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44"/>
          <w:szCs w:val="44"/>
          <w:highlight w:val="none"/>
        </w:rPr>
      </w:pPr>
    </w:p>
    <w:p>
      <w:pPr>
        <w:jc w:val="center"/>
        <w:rPr>
          <w:rFonts w:ascii="宋体" w:hAnsi="宋体"/>
          <w:b/>
          <w:sz w:val="48"/>
          <w:szCs w:val="48"/>
          <w:highlight w:val="none"/>
        </w:rPr>
      </w:pPr>
      <w:r>
        <w:rPr>
          <w:rFonts w:hint="eastAsia" w:ascii="宋体" w:hAnsi="宋体"/>
          <w:b/>
          <w:sz w:val="48"/>
          <w:szCs w:val="48"/>
          <w:highlight w:val="none"/>
        </w:rPr>
        <w:t>房 地 产 估 价 报 告</w:t>
      </w:r>
    </w:p>
    <w:p>
      <w:pPr>
        <w:rPr>
          <w:rFonts w:ascii="仿宋_GB2312" w:eastAsia="仿宋_GB2312"/>
          <w:sz w:val="28"/>
          <w:szCs w:val="28"/>
          <w:highlight w:val="none"/>
        </w:rPr>
      </w:pPr>
    </w:p>
    <w:p>
      <w:pPr>
        <w:spacing w:line="480" w:lineRule="exact"/>
        <w:ind w:left="2127" w:hanging="2127" w:hangingChars="662"/>
        <w:rPr>
          <w:rFonts w:ascii="楷体_GB2312" w:eastAsia="楷体_GB2312"/>
          <w:kern w:val="0"/>
          <w:sz w:val="32"/>
          <w:szCs w:val="30"/>
          <w:highlight w:val="none"/>
        </w:rPr>
      </w:pPr>
      <w:r>
        <w:rPr>
          <w:rFonts w:hint="eastAsia" w:ascii="楷体_GB2312" w:eastAsia="楷体_GB2312"/>
          <w:b/>
          <w:sz w:val="32"/>
          <w:szCs w:val="32"/>
          <w:highlight w:val="none"/>
        </w:rPr>
        <w:t>估价项目名称</w:t>
      </w:r>
      <w:r>
        <w:rPr>
          <w:rFonts w:ascii="楷体_GB2312" w:eastAsia="楷体_GB2312"/>
          <w:b/>
          <w:sz w:val="32"/>
          <w:szCs w:val="32"/>
          <w:highlight w:val="none"/>
        </w:rPr>
        <w:t>:</w:t>
      </w:r>
      <w:r>
        <w:rPr>
          <w:rFonts w:hint="eastAsia" w:ascii="楷体_GB2312" w:eastAsia="楷体_GB2312"/>
          <w:kern w:val="0"/>
          <w:sz w:val="32"/>
          <w:szCs w:val="30"/>
          <w:highlight w:val="none"/>
        </w:rPr>
        <w:t>湘潭市</w:t>
      </w:r>
      <w:r>
        <w:rPr>
          <w:rFonts w:hint="eastAsia" w:ascii="楷体_GB2312" w:eastAsia="楷体_GB2312"/>
          <w:kern w:val="0"/>
          <w:sz w:val="32"/>
          <w:szCs w:val="30"/>
          <w:highlight w:val="none"/>
          <w:lang w:eastAsia="zh-CN"/>
        </w:rPr>
        <w:t>雨湖区昭潭乡迎宾东路68号1号门面及</w:t>
      </w:r>
      <w:r>
        <w:rPr>
          <w:rFonts w:hint="eastAsia" w:ascii="楷体_GB2312" w:eastAsia="楷体_GB2312"/>
          <w:kern w:val="0"/>
          <w:sz w:val="32"/>
          <w:szCs w:val="30"/>
          <w:highlight w:val="none"/>
          <w:lang w:val="en-US" w:eastAsia="zh-CN"/>
        </w:rPr>
        <w:t>2号门面</w:t>
      </w:r>
      <w:r>
        <w:rPr>
          <w:rFonts w:hint="eastAsia" w:ascii="楷体_GB2312" w:eastAsia="楷体_GB2312"/>
          <w:kern w:val="0"/>
          <w:sz w:val="32"/>
          <w:szCs w:val="30"/>
          <w:highlight w:val="none"/>
          <w:lang w:eastAsia="zh-CN"/>
        </w:rPr>
        <w:t>、迎宾东路</w:t>
      </w:r>
      <w:r>
        <w:rPr>
          <w:rFonts w:hint="eastAsia" w:ascii="楷体_GB2312" w:eastAsia="楷体_GB2312"/>
          <w:kern w:val="0"/>
          <w:sz w:val="32"/>
          <w:szCs w:val="30"/>
          <w:highlight w:val="none"/>
          <w:lang w:val="en-US" w:eastAsia="zh-CN"/>
        </w:rPr>
        <w:t>1</w:t>
      </w:r>
      <w:r>
        <w:rPr>
          <w:rFonts w:hint="eastAsia" w:ascii="楷体_GB2312" w:eastAsia="楷体_GB2312"/>
          <w:kern w:val="0"/>
          <w:sz w:val="32"/>
          <w:szCs w:val="30"/>
          <w:highlight w:val="none"/>
          <w:lang w:eastAsia="zh-CN"/>
        </w:rPr>
        <w:t>号楼</w:t>
      </w:r>
      <w:r>
        <w:rPr>
          <w:rFonts w:hint="eastAsia" w:ascii="楷体_GB2312" w:eastAsia="楷体_GB2312"/>
          <w:kern w:val="0"/>
          <w:sz w:val="32"/>
          <w:szCs w:val="30"/>
          <w:highlight w:val="none"/>
          <w:lang w:val="en-US" w:eastAsia="zh-CN"/>
        </w:rPr>
        <w:t>5</w:t>
      </w:r>
      <w:r>
        <w:rPr>
          <w:rFonts w:hint="eastAsia" w:ascii="楷体_GB2312" w:eastAsia="楷体_GB2312"/>
          <w:kern w:val="0"/>
          <w:sz w:val="32"/>
          <w:szCs w:val="30"/>
          <w:highlight w:val="none"/>
          <w:lang w:eastAsia="zh-CN"/>
        </w:rPr>
        <w:t>号门面、迎宾东路</w:t>
      </w:r>
      <w:r>
        <w:rPr>
          <w:rFonts w:hint="eastAsia" w:ascii="楷体_GB2312" w:eastAsia="楷体_GB2312"/>
          <w:kern w:val="0"/>
          <w:sz w:val="32"/>
          <w:szCs w:val="30"/>
          <w:highlight w:val="none"/>
          <w:lang w:val="en-US" w:eastAsia="zh-CN"/>
        </w:rPr>
        <w:t>34</w:t>
      </w:r>
      <w:r>
        <w:rPr>
          <w:rFonts w:hint="eastAsia" w:ascii="楷体_GB2312" w:eastAsia="楷体_GB2312"/>
          <w:kern w:val="0"/>
          <w:sz w:val="32"/>
          <w:szCs w:val="30"/>
          <w:highlight w:val="none"/>
          <w:lang w:eastAsia="zh-CN"/>
        </w:rPr>
        <w:t>号</w:t>
      </w:r>
      <w:r>
        <w:rPr>
          <w:rFonts w:hint="eastAsia" w:ascii="楷体_GB2312" w:eastAsia="楷体_GB2312"/>
          <w:kern w:val="0"/>
          <w:sz w:val="32"/>
          <w:szCs w:val="30"/>
          <w:highlight w:val="none"/>
          <w:lang w:val="en-US" w:eastAsia="zh-CN"/>
        </w:rPr>
        <w:t>23</w:t>
      </w:r>
      <w:r>
        <w:rPr>
          <w:rFonts w:hint="eastAsia" w:ascii="楷体_GB2312" w:eastAsia="楷体_GB2312"/>
          <w:kern w:val="0"/>
          <w:sz w:val="32"/>
          <w:szCs w:val="30"/>
          <w:highlight w:val="none"/>
          <w:lang w:eastAsia="zh-CN"/>
        </w:rPr>
        <w:t>号门面、迎宾东路</w:t>
      </w:r>
      <w:r>
        <w:rPr>
          <w:rFonts w:hint="eastAsia" w:ascii="楷体_GB2312" w:eastAsia="楷体_GB2312"/>
          <w:kern w:val="0"/>
          <w:sz w:val="32"/>
          <w:szCs w:val="30"/>
          <w:highlight w:val="none"/>
          <w:lang w:val="en-US" w:eastAsia="zh-CN"/>
        </w:rPr>
        <w:t>218</w:t>
      </w:r>
      <w:r>
        <w:rPr>
          <w:rFonts w:hint="eastAsia" w:ascii="楷体_GB2312" w:eastAsia="楷体_GB2312"/>
          <w:kern w:val="0"/>
          <w:sz w:val="32"/>
          <w:szCs w:val="30"/>
          <w:highlight w:val="none"/>
          <w:lang w:eastAsia="zh-CN"/>
        </w:rPr>
        <w:t>号</w:t>
      </w:r>
      <w:r>
        <w:rPr>
          <w:rFonts w:hint="eastAsia" w:ascii="楷体_GB2312" w:eastAsia="楷体_GB2312"/>
          <w:kern w:val="0"/>
          <w:sz w:val="32"/>
          <w:szCs w:val="30"/>
          <w:highlight w:val="none"/>
          <w:lang w:val="en-US" w:eastAsia="zh-CN"/>
        </w:rPr>
        <w:t>10栋3单元3号住宅</w:t>
      </w:r>
      <w:r>
        <w:rPr>
          <w:rFonts w:hint="eastAsia" w:ascii="楷体_GB2312" w:eastAsia="楷体_GB2312"/>
          <w:kern w:val="0"/>
          <w:sz w:val="32"/>
          <w:szCs w:val="30"/>
          <w:highlight w:val="none"/>
        </w:rPr>
        <w:t>用房</w:t>
      </w:r>
      <w:r>
        <w:rPr>
          <w:rFonts w:hint="eastAsia" w:ascii="楷体_GB2312" w:eastAsia="楷体_GB2312"/>
          <w:kern w:val="0"/>
          <w:sz w:val="32"/>
          <w:szCs w:val="30"/>
          <w:highlight w:val="none"/>
          <w:lang w:eastAsia="zh-CN"/>
        </w:rPr>
        <w:t>、雨湖区城正街街道建城路</w:t>
      </w:r>
      <w:r>
        <w:rPr>
          <w:rFonts w:hint="eastAsia" w:ascii="楷体_GB2312" w:eastAsia="楷体_GB2312"/>
          <w:kern w:val="0"/>
          <w:sz w:val="32"/>
          <w:szCs w:val="30"/>
          <w:highlight w:val="none"/>
          <w:lang w:val="en-US" w:eastAsia="zh-CN"/>
        </w:rPr>
        <w:t>98号梦真园小区3号楼1单元030101号及030102号住宅用房</w:t>
      </w:r>
      <w:r>
        <w:rPr>
          <w:rFonts w:hint="eastAsia" w:ascii="楷体_GB2312" w:eastAsia="楷体_GB2312"/>
          <w:kern w:val="0"/>
          <w:sz w:val="32"/>
          <w:szCs w:val="30"/>
          <w:highlight w:val="none"/>
          <w:lang w:eastAsia="zh-CN"/>
        </w:rPr>
        <w:t>，总</w:t>
      </w:r>
      <w:r>
        <w:rPr>
          <w:rFonts w:hint="eastAsia" w:ascii="楷体_GB2312" w:eastAsia="楷体_GB2312"/>
          <w:kern w:val="0"/>
          <w:sz w:val="32"/>
          <w:szCs w:val="30"/>
          <w:highlight w:val="none"/>
        </w:rPr>
        <w:t>建筑面积为</w:t>
      </w:r>
      <w:r>
        <w:rPr>
          <w:rFonts w:hint="eastAsia" w:ascii="楷体_GB2312" w:eastAsia="楷体_GB2312"/>
          <w:kern w:val="0"/>
          <w:sz w:val="32"/>
          <w:szCs w:val="30"/>
          <w:highlight w:val="none"/>
          <w:lang w:val="en-US" w:eastAsia="zh-CN"/>
        </w:rPr>
        <w:t>860.65</w:t>
      </w:r>
      <w:r>
        <w:rPr>
          <w:rFonts w:hint="eastAsia" w:ascii="楷体_GB2312" w:eastAsia="楷体_GB2312"/>
          <w:kern w:val="0"/>
          <w:sz w:val="32"/>
          <w:szCs w:val="30"/>
          <w:highlight w:val="none"/>
        </w:rPr>
        <w:t>平方米的房地产市场价值评估</w:t>
      </w:r>
    </w:p>
    <w:p>
      <w:pPr>
        <w:rPr>
          <w:rFonts w:ascii="仿宋_GB2312" w:eastAsia="仿宋_GB2312"/>
          <w:b/>
          <w:sz w:val="28"/>
          <w:szCs w:val="28"/>
          <w:highlight w:val="none"/>
        </w:rPr>
      </w:pPr>
    </w:p>
    <w:p>
      <w:pPr>
        <w:rPr>
          <w:rFonts w:hint="eastAsia" w:ascii="楷体_GB2312" w:eastAsia="楷体_GB2312"/>
          <w:caps/>
          <w:kern w:val="0"/>
          <w:sz w:val="32"/>
          <w:szCs w:val="30"/>
          <w:highlight w:val="none"/>
          <w:lang w:eastAsia="zh-CN"/>
        </w:rPr>
      </w:pPr>
      <w:r>
        <w:rPr>
          <w:rFonts w:hint="eastAsia" w:ascii="楷体_GB2312" w:eastAsia="楷体_GB2312"/>
          <w:b/>
          <w:sz w:val="32"/>
          <w:szCs w:val="32"/>
          <w:highlight w:val="none"/>
        </w:rPr>
        <w:t>估价委托人：</w:t>
      </w:r>
      <w:r>
        <w:rPr>
          <w:rFonts w:hint="eastAsia" w:ascii="楷体_GB2312" w:eastAsia="楷体_GB2312"/>
          <w:kern w:val="0"/>
          <w:sz w:val="32"/>
          <w:szCs w:val="30"/>
          <w:highlight w:val="none"/>
          <w:lang w:eastAsia="zh-CN"/>
        </w:rPr>
        <w:t>湘潭县人民法院</w:t>
      </w:r>
    </w:p>
    <w:p>
      <w:pPr>
        <w:rPr>
          <w:rFonts w:ascii="仿宋_GB2312" w:eastAsia="仿宋_GB2312"/>
          <w:b/>
          <w:sz w:val="28"/>
          <w:szCs w:val="28"/>
          <w:highlight w:val="none"/>
        </w:rPr>
      </w:pPr>
    </w:p>
    <w:p>
      <w:pPr>
        <w:rPr>
          <w:rFonts w:ascii="楷体_GB2312" w:eastAsia="楷体_GB2312"/>
          <w:sz w:val="32"/>
          <w:szCs w:val="32"/>
          <w:highlight w:val="none"/>
        </w:rPr>
      </w:pPr>
      <w:r>
        <w:rPr>
          <w:rFonts w:hint="eastAsia" w:ascii="楷体_GB2312" w:eastAsia="楷体_GB2312"/>
          <w:b/>
          <w:sz w:val="32"/>
          <w:szCs w:val="32"/>
          <w:highlight w:val="none"/>
        </w:rPr>
        <w:t>房地产估价机构：</w:t>
      </w:r>
      <w:r>
        <w:rPr>
          <w:rFonts w:hint="eastAsia" w:ascii="楷体_GB2312" w:eastAsia="楷体_GB2312"/>
          <w:sz w:val="32"/>
          <w:szCs w:val="32"/>
          <w:highlight w:val="none"/>
        </w:rPr>
        <w:t>湖南明诚房地产评估有限责任公司</w:t>
      </w:r>
    </w:p>
    <w:p>
      <w:pPr>
        <w:rPr>
          <w:rFonts w:ascii="楷体_GB2312" w:eastAsia="楷体_GB2312"/>
          <w:sz w:val="32"/>
          <w:szCs w:val="32"/>
          <w:highlight w:val="none"/>
        </w:rPr>
      </w:pPr>
    </w:p>
    <w:p>
      <w:pPr>
        <w:rPr>
          <w:rFonts w:eastAsia="仿宋_GB2312"/>
          <w:sz w:val="28"/>
          <w:highlight w:val="none"/>
        </w:rPr>
      </w:pPr>
      <w:r>
        <w:rPr>
          <w:rFonts w:hint="eastAsia" w:ascii="楷体_GB2312" w:eastAsia="楷体_GB2312"/>
          <w:b/>
          <w:sz w:val="32"/>
          <w:szCs w:val="32"/>
          <w:highlight w:val="none"/>
        </w:rPr>
        <w:t>注册房地产估价师：</w:t>
      </w:r>
      <w:r>
        <w:rPr>
          <w:rFonts w:hint="eastAsia" w:ascii="楷体_GB2312" w:eastAsia="楷体_GB2312"/>
          <w:sz w:val="32"/>
          <w:szCs w:val="32"/>
          <w:highlight w:val="none"/>
        </w:rPr>
        <w:t>黄海燕      4320120032</w:t>
      </w:r>
    </w:p>
    <w:p>
      <w:pPr>
        <w:ind w:firstLine="2880" w:firstLineChars="900"/>
        <w:rPr>
          <w:rFonts w:ascii="楷体_GB2312" w:eastAsia="楷体_GB2312"/>
          <w:sz w:val="32"/>
          <w:szCs w:val="32"/>
          <w:highlight w:val="none"/>
        </w:rPr>
      </w:pPr>
      <w:r>
        <w:rPr>
          <w:rFonts w:hint="eastAsia" w:ascii="楷体_GB2312" w:eastAsia="楷体_GB2312"/>
          <w:sz w:val="32"/>
          <w:szCs w:val="32"/>
          <w:highlight w:val="none"/>
        </w:rPr>
        <w:t>曹春梅      4320190063</w:t>
      </w:r>
    </w:p>
    <w:p>
      <w:pPr>
        <w:ind w:firstLine="3040" w:firstLineChars="950"/>
        <w:rPr>
          <w:rFonts w:ascii="楷体_GB2312" w:eastAsia="楷体_GB2312"/>
          <w:sz w:val="32"/>
          <w:szCs w:val="32"/>
          <w:highlight w:val="none"/>
        </w:rPr>
      </w:pPr>
    </w:p>
    <w:p>
      <w:pPr>
        <w:rPr>
          <w:rFonts w:hint="eastAsia" w:ascii="楷体_GB2312" w:eastAsia="楷体_GB2312"/>
          <w:sz w:val="32"/>
          <w:szCs w:val="32"/>
          <w:highlight w:val="none"/>
          <w:lang w:eastAsia="zh-CN"/>
        </w:rPr>
      </w:pPr>
      <w:r>
        <w:rPr>
          <w:rFonts w:hint="eastAsia" w:ascii="楷体_GB2312" w:eastAsia="楷体_GB2312"/>
          <w:b/>
          <w:sz w:val="32"/>
          <w:szCs w:val="32"/>
          <w:highlight w:val="none"/>
        </w:rPr>
        <w:t>估价报告出具日期：</w:t>
      </w:r>
      <w:r>
        <w:rPr>
          <w:rFonts w:hint="eastAsia" w:ascii="楷体_GB2312" w:eastAsia="楷体_GB2312"/>
          <w:sz w:val="32"/>
          <w:szCs w:val="32"/>
          <w:highlight w:val="none"/>
          <w:lang w:eastAsia="zh-CN"/>
        </w:rPr>
        <w:t>2020年10月26日</w:t>
      </w:r>
    </w:p>
    <w:p>
      <w:pPr>
        <w:rPr>
          <w:rFonts w:ascii="仿宋_GB2312" w:eastAsia="仿宋_GB2312"/>
          <w:b/>
          <w:sz w:val="28"/>
          <w:szCs w:val="28"/>
          <w:highlight w:val="none"/>
        </w:rPr>
      </w:pPr>
    </w:p>
    <w:p>
      <w:pPr>
        <w:rPr>
          <w:rFonts w:ascii="楷体_GB2312" w:eastAsia="楷体_GB2312"/>
          <w:sz w:val="32"/>
          <w:szCs w:val="32"/>
          <w:highlight w:val="none"/>
        </w:rPr>
      </w:pPr>
      <w:r>
        <w:rPr>
          <w:rFonts w:hint="eastAsia" w:ascii="楷体_GB2312" w:eastAsia="楷体_GB2312"/>
          <w:b/>
          <w:sz w:val="32"/>
          <w:szCs w:val="32"/>
          <w:highlight w:val="none"/>
        </w:rPr>
        <w:t>估价报告编号：</w:t>
      </w:r>
      <w:r>
        <w:rPr>
          <w:rFonts w:hint="eastAsia" w:ascii="楷体_GB2312" w:eastAsia="楷体_GB2312"/>
          <w:sz w:val="32"/>
          <w:szCs w:val="32"/>
          <w:highlight w:val="none"/>
        </w:rPr>
        <w:t>湘明评字(2020)第</w:t>
      </w:r>
      <w:r>
        <w:rPr>
          <w:rFonts w:hint="eastAsia" w:ascii="楷体_GB2312" w:eastAsia="楷体_GB2312"/>
          <w:sz w:val="32"/>
          <w:szCs w:val="32"/>
          <w:highlight w:val="none"/>
          <w:lang w:val="en-US" w:eastAsia="zh-CN"/>
        </w:rPr>
        <w:t>1026</w:t>
      </w:r>
      <w:r>
        <w:rPr>
          <w:rFonts w:hint="eastAsia" w:ascii="楷体_GB2312" w:eastAsia="楷体_GB2312"/>
          <w:sz w:val="32"/>
          <w:szCs w:val="32"/>
          <w:highlight w:val="none"/>
        </w:rPr>
        <w:t>070</w:t>
      </w:r>
      <w:r>
        <w:rPr>
          <w:rFonts w:hint="eastAsia" w:ascii="楷体_GB2312" w:eastAsia="楷体_GB2312"/>
          <w:sz w:val="32"/>
          <w:szCs w:val="32"/>
          <w:highlight w:val="none"/>
          <w:lang w:val="en-US" w:eastAsia="zh-CN"/>
        </w:rPr>
        <w:t>2</w:t>
      </w:r>
      <w:r>
        <w:rPr>
          <w:rFonts w:hint="eastAsia" w:ascii="楷体_GB2312" w:eastAsia="楷体_GB2312"/>
          <w:sz w:val="32"/>
          <w:szCs w:val="32"/>
          <w:highlight w:val="none"/>
        </w:rPr>
        <w:t>号</w:t>
      </w:r>
    </w:p>
    <w:p>
      <w:pPr>
        <w:rPr>
          <w:rFonts w:ascii="宋体" w:hAnsi="宋体"/>
          <w:b/>
          <w:sz w:val="44"/>
          <w:szCs w:val="44"/>
          <w:highlight w:val="none"/>
        </w:rPr>
      </w:pPr>
    </w:p>
    <w:p>
      <w:pPr>
        <w:autoSpaceDE w:val="0"/>
        <w:autoSpaceDN w:val="0"/>
        <w:adjustRightInd w:val="0"/>
        <w:spacing w:line="240" w:lineRule="exact"/>
        <w:jc w:val="center"/>
        <w:rPr>
          <w:rFonts w:hAnsi="宋体"/>
          <w:b/>
          <w:sz w:val="44"/>
          <w:szCs w:val="44"/>
          <w:highlight w:val="none"/>
        </w:rPr>
      </w:pPr>
      <w:r>
        <w:rPr>
          <w:rFonts w:hAnsi="宋体"/>
          <w:b/>
          <w:sz w:val="44"/>
          <w:szCs w:val="44"/>
          <w:highlight w:val="none"/>
        </w:rPr>
        <w:br w:type="page"/>
      </w:r>
      <w:bookmarkStart w:id="0" w:name="_Toc409964657"/>
      <w:bookmarkStart w:id="1" w:name="_Toc416685177"/>
      <w:bookmarkStart w:id="2" w:name="_Toc416685215"/>
      <w:bookmarkStart w:id="3" w:name="_Toc416685135"/>
      <w:bookmarkStart w:id="4" w:name="_Toc436762266"/>
    </w:p>
    <w:p>
      <w:pPr>
        <w:pStyle w:val="17"/>
        <w:spacing w:line="300" w:lineRule="exact"/>
        <w:rPr>
          <w:szCs w:val="36"/>
          <w:highlight w:val="none"/>
        </w:rPr>
      </w:pPr>
      <w:bookmarkStart w:id="5" w:name="_Toc467764799"/>
    </w:p>
    <w:p>
      <w:pPr>
        <w:pStyle w:val="17"/>
        <w:spacing w:line="420" w:lineRule="exact"/>
        <w:rPr>
          <w:szCs w:val="36"/>
          <w:highlight w:val="none"/>
        </w:rPr>
      </w:pPr>
      <w:r>
        <w:rPr>
          <w:rFonts w:hint="eastAsia"/>
          <w:szCs w:val="36"/>
          <w:highlight w:val="none"/>
        </w:rPr>
        <w:t>第一部分  致估价委托人</w:t>
      </w:r>
      <w:r>
        <w:rPr>
          <w:szCs w:val="36"/>
          <w:highlight w:val="none"/>
        </w:rPr>
        <w:t>函</w:t>
      </w:r>
      <w:bookmarkEnd w:id="0"/>
      <w:bookmarkEnd w:id="1"/>
      <w:bookmarkEnd w:id="2"/>
      <w:bookmarkEnd w:id="3"/>
      <w:bookmarkEnd w:id="4"/>
      <w:bookmarkEnd w:id="5"/>
    </w:p>
    <w:p>
      <w:pPr>
        <w:autoSpaceDE w:val="0"/>
        <w:autoSpaceDN w:val="0"/>
        <w:adjustRightInd w:val="0"/>
        <w:spacing w:line="240" w:lineRule="exact"/>
        <w:jc w:val="center"/>
        <w:rPr>
          <w:rFonts w:hAnsi="宋体"/>
          <w:b/>
          <w:sz w:val="44"/>
          <w:szCs w:val="44"/>
          <w:highlight w:val="none"/>
        </w:rPr>
      </w:pPr>
    </w:p>
    <w:p>
      <w:pPr>
        <w:pStyle w:val="18"/>
        <w:spacing w:line="440" w:lineRule="exact"/>
        <w:ind w:firstLine="0" w:firstLineChars="0"/>
        <w:rPr>
          <w:highlight w:val="none"/>
        </w:rPr>
      </w:pPr>
      <w:r>
        <w:rPr>
          <w:rFonts w:hint="eastAsia"/>
          <w:highlight w:val="none"/>
          <w:lang w:eastAsia="zh-CN"/>
        </w:rPr>
        <w:t>湘潭县人民法院</w:t>
      </w:r>
      <w:r>
        <w:rPr>
          <w:rFonts w:hint="eastAsia"/>
          <w:highlight w:val="none"/>
        </w:rPr>
        <w:t>：</w:t>
      </w:r>
    </w:p>
    <w:p>
      <w:pPr>
        <w:pStyle w:val="18"/>
        <w:spacing w:line="440" w:lineRule="exact"/>
        <w:ind w:firstLine="560"/>
        <w:rPr>
          <w:rFonts w:hint="eastAsia" w:eastAsia="仿宋_GB2312"/>
          <w:highlight w:val="none"/>
          <w:lang w:val="en-US" w:eastAsia="zh-CN"/>
        </w:rPr>
      </w:pPr>
      <w:r>
        <w:rPr>
          <w:rFonts w:hint="eastAsia"/>
          <w:highlight w:val="none"/>
        </w:rPr>
        <w:t>接受委托，我公司根据国家和行业的有关规定，委派注册房地产估价师对</w:t>
      </w:r>
      <w:r>
        <w:rPr>
          <w:rFonts w:hint="eastAsia"/>
          <w:highlight w:val="none"/>
          <w:lang w:eastAsia="zh-CN"/>
        </w:rPr>
        <w:t>湘潭市雨湖区昭潭乡迎宾东路68号1号门面及2号门面、1号楼5号门面、34号23号门面、雨湖区昭潭乡迎宾东路</w:t>
      </w:r>
      <w:r>
        <w:rPr>
          <w:rFonts w:hint="eastAsia"/>
          <w:highlight w:val="none"/>
          <w:lang w:val="en-US" w:eastAsia="zh-CN"/>
        </w:rPr>
        <w:t>218</w:t>
      </w:r>
      <w:r>
        <w:rPr>
          <w:rFonts w:hint="eastAsia"/>
          <w:highlight w:val="none"/>
          <w:lang w:eastAsia="zh-CN"/>
        </w:rPr>
        <w:t>号</w:t>
      </w:r>
      <w:r>
        <w:rPr>
          <w:rFonts w:hint="eastAsia"/>
          <w:highlight w:val="none"/>
          <w:lang w:val="en-US" w:eastAsia="zh-CN"/>
        </w:rPr>
        <w:t>10栋3单元3号住宅</w:t>
      </w:r>
      <w:r>
        <w:rPr>
          <w:rFonts w:hint="eastAsia"/>
          <w:highlight w:val="none"/>
        </w:rPr>
        <w:t>用房</w:t>
      </w:r>
      <w:r>
        <w:rPr>
          <w:rFonts w:hint="eastAsia"/>
          <w:highlight w:val="none"/>
          <w:lang w:eastAsia="zh-CN"/>
        </w:rPr>
        <w:t>、雨湖区城正街街道建城路</w:t>
      </w:r>
      <w:r>
        <w:rPr>
          <w:rFonts w:hint="eastAsia"/>
          <w:highlight w:val="none"/>
          <w:lang w:val="en-US" w:eastAsia="zh-CN"/>
        </w:rPr>
        <w:t>98号梦真园小区3号楼1单元030101号及030102号住宅用房</w:t>
      </w:r>
      <w:r>
        <w:rPr>
          <w:rFonts w:hint="eastAsia"/>
          <w:highlight w:val="none"/>
          <w:lang w:eastAsia="zh-CN"/>
        </w:rPr>
        <w:t>，总</w:t>
      </w:r>
      <w:r>
        <w:rPr>
          <w:rFonts w:hint="eastAsia"/>
          <w:highlight w:val="none"/>
        </w:rPr>
        <w:t>建筑面积为</w:t>
      </w:r>
      <w:r>
        <w:rPr>
          <w:rFonts w:hint="eastAsia"/>
          <w:highlight w:val="none"/>
          <w:lang w:val="en-US" w:eastAsia="zh-CN"/>
        </w:rPr>
        <w:t>860.65</w:t>
      </w:r>
      <w:r>
        <w:rPr>
          <w:rFonts w:hint="eastAsia"/>
          <w:highlight w:val="none"/>
        </w:rPr>
        <w:t>平方米的房地产市场价值进行了估价。</w:t>
      </w:r>
      <w:r>
        <w:rPr>
          <w:rFonts w:hint="eastAsia"/>
          <w:highlight w:val="none"/>
          <w:lang w:val="en-US" w:eastAsia="zh-CN"/>
        </w:rPr>
        <w:t xml:space="preserve"> </w:t>
      </w:r>
    </w:p>
    <w:p>
      <w:pPr>
        <w:pStyle w:val="18"/>
        <w:spacing w:line="440" w:lineRule="exact"/>
        <w:ind w:firstLine="562"/>
        <w:rPr>
          <w:highlight w:val="none"/>
        </w:rPr>
      </w:pPr>
      <w:r>
        <w:rPr>
          <w:rFonts w:hint="eastAsia"/>
          <w:b/>
          <w:highlight w:val="none"/>
        </w:rPr>
        <w:t>估价目的</w:t>
      </w:r>
      <w:r>
        <w:rPr>
          <w:rFonts w:hint="eastAsia"/>
          <w:highlight w:val="none"/>
        </w:rPr>
        <w:t>：</w:t>
      </w:r>
      <w:r>
        <w:rPr>
          <w:rFonts w:hint="eastAsia" w:hAnsi="宋体"/>
          <w:bCs/>
          <w:highlight w:val="none"/>
        </w:rPr>
        <w:t>为人民法院确定财产处置参考价提供参考依据。</w:t>
      </w:r>
    </w:p>
    <w:p>
      <w:pPr>
        <w:pStyle w:val="18"/>
        <w:spacing w:line="440" w:lineRule="exact"/>
        <w:ind w:firstLine="562"/>
        <w:rPr>
          <w:highlight w:val="none"/>
        </w:rPr>
      </w:pPr>
      <w:r>
        <w:rPr>
          <w:rFonts w:hint="eastAsia"/>
          <w:b/>
          <w:highlight w:val="none"/>
        </w:rPr>
        <w:t>价值时点</w:t>
      </w:r>
      <w:r>
        <w:rPr>
          <w:rFonts w:hint="eastAsia"/>
          <w:highlight w:val="none"/>
        </w:rPr>
        <w:t>：</w:t>
      </w:r>
      <w:r>
        <w:rPr>
          <w:rFonts w:hint="eastAsia" w:hAnsi="宋体"/>
          <w:kern w:val="0"/>
          <w:szCs w:val="36"/>
          <w:highlight w:val="none"/>
        </w:rPr>
        <w:t>2020年</w:t>
      </w:r>
      <w:r>
        <w:rPr>
          <w:rFonts w:hint="eastAsia" w:hAnsi="宋体"/>
          <w:kern w:val="0"/>
          <w:szCs w:val="36"/>
          <w:highlight w:val="none"/>
          <w:lang w:val="en-US" w:eastAsia="zh-CN"/>
        </w:rPr>
        <w:t>10</w:t>
      </w:r>
      <w:r>
        <w:rPr>
          <w:rFonts w:hint="eastAsia" w:hAnsi="宋体"/>
          <w:kern w:val="0"/>
          <w:szCs w:val="36"/>
          <w:highlight w:val="none"/>
        </w:rPr>
        <w:t>月</w:t>
      </w:r>
      <w:r>
        <w:rPr>
          <w:rFonts w:hint="eastAsia" w:hAnsi="宋体"/>
          <w:kern w:val="0"/>
          <w:szCs w:val="36"/>
          <w:highlight w:val="none"/>
          <w:lang w:val="en-US" w:eastAsia="zh-CN"/>
        </w:rPr>
        <w:t>21</w:t>
      </w:r>
      <w:r>
        <w:rPr>
          <w:rFonts w:hint="eastAsia" w:hAnsi="宋体"/>
          <w:kern w:val="0"/>
          <w:szCs w:val="36"/>
          <w:highlight w:val="none"/>
        </w:rPr>
        <w:t>日。</w:t>
      </w:r>
    </w:p>
    <w:p>
      <w:pPr>
        <w:pStyle w:val="18"/>
        <w:spacing w:line="460" w:lineRule="exact"/>
        <w:ind w:firstLine="562"/>
        <w:rPr>
          <w:rFonts w:hAnsi="宋体"/>
          <w:bCs/>
          <w:highlight w:val="none"/>
        </w:rPr>
      </w:pPr>
      <w:r>
        <w:rPr>
          <w:rFonts w:hint="eastAsia"/>
          <w:b/>
          <w:szCs w:val="28"/>
          <w:highlight w:val="none"/>
        </w:rPr>
        <w:t>估价结果：</w:t>
      </w:r>
      <w:r>
        <w:rPr>
          <w:rFonts w:hint="eastAsia" w:hAnsi="宋体"/>
          <w:bCs/>
          <w:highlight w:val="none"/>
        </w:rPr>
        <w:t>注册房地产估价师经过实地查勘与市场调查，遵照国家法律法规、政策及技术标准，遵循估价原则，按照估价程序，并在综合分析影响房地产价格因素的基础上，对估价对象于公开市场上有足够的买方和卖方、并且进入市场无障碍的条件下，选用比较法和收益法进行了分析，经过测算得出估价对象在价值时点的市场价值为人民币</w:t>
      </w:r>
      <w:r>
        <w:rPr>
          <w:rFonts w:hint="eastAsia" w:hAnsi="宋体"/>
          <w:bCs/>
          <w:highlight w:val="none"/>
        </w:rPr>
        <w:fldChar w:fldCharType="begin"/>
      </w:r>
      <w:r>
        <w:rPr>
          <w:rFonts w:hint="eastAsia" w:hAnsi="宋体"/>
          <w:bCs/>
          <w:highlight w:val="none"/>
        </w:rPr>
        <w:instrText xml:space="preserve"> =5992100 \* CHINESENUM2 </w:instrText>
      </w:r>
      <w:r>
        <w:rPr>
          <w:rFonts w:hint="eastAsia" w:hAnsi="宋体"/>
          <w:bCs/>
          <w:highlight w:val="none"/>
        </w:rPr>
        <w:fldChar w:fldCharType="separate"/>
      </w:r>
      <w:r>
        <w:rPr>
          <w:rFonts w:hint="eastAsia" w:hAnsi="宋体"/>
          <w:bCs/>
          <w:highlight w:val="none"/>
        </w:rPr>
        <w:t>伍佰玖拾玖万贰仟壹佰</w:t>
      </w:r>
      <w:r>
        <w:rPr>
          <w:rFonts w:hint="eastAsia" w:hAnsi="宋体"/>
          <w:bCs/>
          <w:highlight w:val="none"/>
        </w:rPr>
        <w:fldChar w:fldCharType="end"/>
      </w:r>
      <w:r>
        <w:rPr>
          <w:rFonts w:hint="eastAsia" w:hAnsi="宋体"/>
          <w:bCs/>
          <w:highlight w:val="none"/>
        </w:rPr>
        <w:t>元整（</w:t>
      </w:r>
      <w:r>
        <w:rPr>
          <w:rFonts w:hint="eastAsia" w:hAnsi="宋体"/>
          <w:bCs/>
          <w:highlight w:val="none"/>
          <w:lang w:eastAsia="zh-CN"/>
        </w:rPr>
        <w:t>¥</w:t>
      </w:r>
      <w:r>
        <w:rPr>
          <w:rFonts w:hint="eastAsia" w:hAnsi="宋体"/>
          <w:bCs/>
          <w:highlight w:val="none"/>
          <w:lang w:val="en-US" w:eastAsia="zh-CN"/>
        </w:rPr>
        <w:t>599.21</w:t>
      </w:r>
      <w:r>
        <w:rPr>
          <w:rFonts w:hint="eastAsia" w:hAnsi="宋体"/>
          <w:bCs/>
          <w:highlight w:val="none"/>
          <w:lang w:eastAsia="zh-CN"/>
        </w:rPr>
        <w:t>万元</w:t>
      </w:r>
      <w:r>
        <w:rPr>
          <w:rFonts w:hint="eastAsia" w:hAnsi="宋体"/>
          <w:bCs/>
          <w:highlight w:val="none"/>
        </w:rPr>
        <w:t>），详见评估结果汇总表：</w:t>
      </w:r>
    </w:p>
    <w:p>
      <w:pPr>
        <w:pStyle w:val="18"/>
        <w:spacing w:line="460" w:lineRule="exact"/>
        <w:ind w:firstLineChars="71"/>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评估结果汇总表</w:t>
      </w:r>
    </w:p>
    <w:tbl>
      <w:tblPr>
        <w:tblStyle w:val="13"/>
        <w:tblW w:w="8774" w:type="dxa"/>
        <w:tblInd w:w="0" w:type="dxa"/>
        <w:tblLayout w:type="fixed"/>
        <w:tblCellMar>
          <w:top w:w="0" w:type="dxa"/>
          <w:left w:w="0" w:type="dxa"/>
          <w:bottom w:w="0" w:type="dxa"/>
          <w:right w:w="0" w:type="dxa"/>
        </w:tblCellMar>
      </w:tblPr>
      <w:tblGrid>
        <w:gridCol w:w="566"/>
        <w:gridCol w:w="2019"/>
        <w:gridCol w:w="1039"/>
        <w:gridCol w:w="842"/>
        <w:gridCol w:w="805"/>
        <w:gridCol w:w="604"/>
        <w:gridCol w:w="955"/>
        <w:gridCol w:w="1005"/>
        <w:gridCol w:w="939"/>
      </w:tblGrid>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估价对象</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权证号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房屋所有人</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所在层次/总层次</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设计</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用途</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结构</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建筑面积（</w:t>
            </w:r>
            <w:r>
              <w:rPr>
                <w:rFonts w:hint="eastAsia" w:ascii="Batang" w:hAnsi="Batang" w:eastAsia="Batang" w:cs="Batang"/>
                <w:color w:val="000000" w:themeColor="text1"/>
                <w:spacing w:val="-20"/>
                <w:kern w:val="0"/>
                <w:szCs w:val="21"/>
                <w:highlight w:val="none"/>
                <w:lang w:bidi="ar"/>
                <w14:textFill>
                  <w14:solidFill>
                    <w14:schemeClr w14:val="tx1"/>
                  </w14:solidFill>
                </w14:textFill>
              </w:rPr>
              <w:t>㎡</w:t>
            </w:r>
            <w:r>
              <w:rPr>
                <w:rFonts w:hint="eastAsia" w:ascii="仿宋_GB2312" w:hAnsi="仿宋_GB2312" w:eastAsia="仿宋_GB2312" w:cs="仿宋_GB2312"/>
                <w:color w:val="000000" w:themeColor="text1"/>
                <w:spacing w:val="-20"/>
                <w:kern w:val="0"/>
                <w:szCs w:val="21"/>
                <w:highlight w:val="none"/>
                <w:lang w:bidi="ar"/>
                <w14:textFill>
                  <w14:solidFill>
                    <w14:schemeClr w14:val="tx1"/>
                  </w14:solidFill>
                </w14:textFill>
              </w:rPr>
              <w:t>）</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评估单价（元/</w:t>
            </w:r>
            <w:r>
              <w:rPr>
                <w:rFonts w:hint="eastAsia" w:ascii="Batang" w:hAnsi="Batang" w:eastAsia="Batang" w:cs="Batang"/>
                <w:color w:val="000000" w:themeColor="text1"/>
                <w:spacing w:val="-20"/>
                <w:kern w:val="0"/>
                <w:szCs w:val="21"/>
                <w:highlight w:val="none"/>
                <w:lang w:bidi="ar"/>
                <w14:textFill>
                  <w14:solidFill>
                    <w14:schemeClr w14:val="tx1"/>
                  </w14:solidFill>
                </w14:textFill>
              </w:rPr>
              <w:t>㎡</w:t>
            </w:r>
            <w:r>
              <w:rPr>
                <w:rFonts w:hint="eastAsia" w:ascii="仿宋_GB2312" w:hAnsi="仿宋_GB2312" w:eastAsia="仿宋_GB2312" w:cs="仿宋_GB2312"/>
                <w:color w:val="000000" w:themeColor="text1"/>
                <w:spacing w:val="-20"/>
                <w:kern w:val="0"/>
                <w:szCs w:val="21"/>
                <w:highlight w:val="none"/>
                <w:lang w:bidi="ar"/>
                <w14:textFill>
                  <w14:solidFill>
                    <w14:schemeClr w14:val="tx1"/>
                  </w14:solidFill>
                </w14:textFill>
              </w:rPr>
              <w:t>）</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评估总价（万元）</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212360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陈申庚</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szCs w:val="21"/>
                <w:highlight w:val="none"/>
                <w14:textFill>
                  <w14:solidFill>
                    <w14:schemeClr w14:val="tx1"/>
                  </w14:solidFill>
                </w14:textFill>
              </w:rPr>
              <w:t>商业</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100.68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10520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105.92</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2</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210009</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刘利文</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val="en-US" w:eastAsia="zh-CN"/>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szCs w:val="21"/>
                <w:highlight w:val="none"/>
                <w14:textFill>
                  <w14:solidFill>
                    <w14:schemeClr w14:val="tx1"/>
                  </w14:solidFill>
                </w14:textFill>
              </w:rPr>
              <w:t>商业</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100.68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10520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105.92</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054906</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商业</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42.15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12530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52.81</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192691</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陈樟</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商业</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99.52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11570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115.14</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105730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293"/>
              </w:tabs>
              <w:spacing w:line="280" w:lineRule="exact"/>
              <w:jc w:val="left"/>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ab/>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3-4/6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247.22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4080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100.87</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2011001814</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148.14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4520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66.96</w:t>
            </w:r>
          </w:p>
        </w:tc>
      </w:tr>
      <w:tr>
        <w:tblPrEx>
          <w:tblCellMar>
            <w:top w:w="0" w:type="dxa"/>
            <w:left w:w="0" w:type="dxa"/>
            <w:bottom w:w="0" w:type="dxa"/>
            <w:right w:w="0" w:type="dxa"/>
          </w:tblCellMar>
        </w:tblPrEx>
        <w:trPr>
          <w:trHeight w:val="57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7</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2011001815</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陈樟</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122.26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4220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51.59</w:t>
            </w:r>
          </w:p>
        </w:tc>
      </w:tr>
      <w:tr>
        <w:tblPrEx>
          <w:tblCellMar>
            <w:top w:w="0" w:type="dxa"/>
            <w:left w:w="0" w:type="dxa"/>
            <w:bottom w:w="0" w:type="dxa"/>
            <w:right w:w="0" w:type="dxa"/>
          </w:tblCellMar>
        </w:tblPrEx>
        <w:trPr>
          <w:trHeight w:val="316"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kern w:val="0"/>
                <w:szCs w:val="21"/>
                <w:highlight w:val="none"/>
                <w:lang w:bidi="ar"/>
              </w:rPr>
              <w:t>合计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1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spacing w:val="-20"/>
                <w:kern w:val="0"/>
                <w:szCs w:val="21"/>
                <w:highlight w:val="none"/>
                <w:lang w:val="en-US" w:eastAsia="zh-CN" w:bidi="ar"/>
              </w:rPr>
            </w:pPr>
            <w:r>
              <w:rPr>
                <w:rFonts w:hint="eastAsia" w:ascii="仿宋_GB2312" w:hAnsi="仿宋" w:eastAsia="仿宋_GB2312" w:cs="仿宋"/>
                <w:color w:val="000000"/>
                <w:spacing w:val="-20"/>
                <w:kern w:val="0"/>
                <w:szCs w:val="21"/>
                <w:highlight w:val="none"/>
                <w:lang w:val="en-US" w:eastAsia="zh-CN" w:bidi="ar"/>
              </w:rPr>
              <w:t>860.65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599.21</w:t>
            </w:r>
          </w:p>
        </w:tc>
      </w:tr>
    </w:tbl>
    <w:p>
      <w:pPr>
        <w:pStyle w:val="18"/>
        <w:spacing w:line="440" w:lineRule="exact"/>
        <w:ind w:firstLine="560"/>
        <w:rPr>
          <w:rFonts w:hAnsi="宋体"/>
          <w:bCs/>
          <w:highlight w:val="none"/>
        </w:rPr>
      </w:pPr>
      <w:r>
        <w:rPr>
          <w:rFonts w:hint="eastAsia"/>
          <w:highlight w:val="none"/>
        </w:rPr>
        <w:t>特别提示：根据《最高人民法院关于人民法院确定财产处置参考价若干问题的规定》（法释[2018]15号）第二十二条规定，我公司现将评估结果呈请贵法院转送给双方当事人，双方当事人自接到评估结果次日起五日内提交书面意见及相关证据，当事人过期未提出书面意见则视同对评估结果无异议</w:t>
      </w:r>
      <w:r>
        <w:rPr>
          <w:rFonts w:hint="eastAsia" w:hAnsi="宋体"/>
          <w:bCs/>
          <w:highlight w:val="none"/>
        </w:rPr>
        <w:t>。</w:t>
      </w:r>
    </w:p>
    <w:p>
      <w:pPr>
        <w:pStyle w:val="18"/>
        <w:spacing w:line="440" w:lineRule="exact"/>
        <w:ind w:firstLine="0" w:firstLineChars="0"/>
        <w:rPr>
          <w:rFonts w:hAnsi="宋体"/>
          <w:bCs/>
          <w:highlight w:val="none"/>
        </w:rPr>
      </w:pPr>
    </w:p>
    <w:p>
      <w:pPr>
        <w:pStyle w:val="18"/>
        <w:spacing w:line="440" w:lineRule="exact"/>
        <w:ind w:firstLine="560"/>
        <w:rPr>
          <w:highlight w:val="none"/>
        </w:rPr>
      </w:pPr>
      <w:r>
        <w:rPr>
          <w:rFonts w:hint="eastAsia"/>
          <w:highlight w:val="none"/>
        </w:rPr>
        <w:t>特此函告！</w:t>
      </w:r>
    </w:p>
    <w:p>
      <w:pPr>
        <w:pStyle w:val="18"/>
        <w:spacing w:line="440" w:lineRule="exact"/>
        <w:ind w:firstLine="3684" w:firstLineChars="1316"/>
        <w:rPr>
          <w:highlight w:val="none"/>
        </w:rPr>
      </w:pPr>
      <w:r>
        <w:rPr>
          <w:rFonts w:hint="eastAsia"/>
          <w:highlight w:val="none"/>
        </w:rPr>
        <w:t>湖南明诚房地产评估有限责任公司</w:t>
      </w:r>
    </w:p>
    <w:p>
      <w:pPr>
        <w:pStyle w:val="18"/>
        <w:spacing w:line="440" w:lineRule="exact"/>
        <w:ind w:firstLine="3684" w:firstLineChars="1316"/>
        <w:rPr>
          <w:highlight w:val="none"/>
        </w:rPr>
      </w:pPr>
      <w:r>
        <w:rPr>
          <w:rFonts w:hint="eastAsia"/>
          <w:highlight w:val="none"/>
        </w:rPr>
        <w:t>法定代表人：</w:t>
      </w:r>
    </w:p>
    <w:p>
      <w:pPr>
        <w:pStyle w:val="18"/>
        <w:spacing w:line="440" w:lineRule="exact"/>
        <w:ind w:right="368" w:rightChars="175" w:firstLine="0" w:firstLineChars="0"/>
        <w:jc w:val="center"/>
        <w:rPr>
          <w:rFonts w:ascii="宋体" w:hAnsi="宋体" w:eastAsia="宋体"/>
          <w:b/>
          <w:sz w:val="36"/>
          <w:szCs w:val="36"/>
          <w:highlight w:val="none"/>
        </w:rPr>
      </w:pPr>
      <w:r>
        <w:rPr>
          <w:rFonts w:hint="eastAsia"/>
          <w:szCs w:val="28"/>
          <w:highlight w:val="none"/>
        </w:rPr>
        <w:t xml:space="preserve">                                </w:t>
      </w:r>
      <w:bookmarkStart w:id="6" w:name="_Toc409964658"/>
      <w:r>
        <w:rPr>
          <w:rFonts w:hint="eastAsia"/>
          <w:szCs w:val="28"/>
          <w:highlight w:val="none"/>
        </w:rPr>
        <w:t>二〇二〇年</w:t>
      </w:r>
      <w:r>
        <w:rPr>
          <w:rFonts w:hint="eastAsia"/>
          <w:szCs w:val="28"/>
          <w:highlight w:val="none"/>
          <w:lang w:eastAsia="zh-CN"/>
        </w:rPr>
        <w:t>十</w:t>
      </w:r>
      <w:r>
        <w:rPr>
          <w:rFonts w:hint="eastAsia"/>
          <w:szCs w:val="28"/>
          <w:highlight w:val="none"/>
        </w:rPr>
        <w:t>月二十</w:t>
      </w:r>
      <w:r>
        <w:rPr>
          <w:rFonts w:hint="eastAsia"/>
          <w:szCs w:val="28"/>
          <w:highlight w:val="none"/>
          <w:lang w:eastAsia="zh-CN"/>
        </w:rPr>
        <w:t>六</w:t>
      </w:r>
      <w:r>
        <w:rPr>
          <w:rFonts w:hint="eastAsia"/>
          <w:szCs w:val="28"/>
          <w:highlight w:val="none"/>
        </w:rPr>
        <w:t>日</w:t>
      </w:r>
      <w:r>
        <w:rPr>
          <w:highlight w:val="none"/>
        </w:rPr>
        <w:br w:type="page"/>
      </w:r>
      <w:bookmarkStart w:id="7" w:name="_Toc416685349"/>
      <w:bookmarkStart w:id="8" w:name="_Toc416685178"/>
      <w:bookmarkStart w:id="9" w:name="_Toc416685136"/>
      <w:bookmarkStart w:id="10" w:name="_Toc416685216"/>
    </w:p>
    <w:p>
      <w:pPr>
        <w:pStyle w:val="18"/>
        <w:ind w:firstLine="163" w:firstLineChars="45"/>
        <w:jc w:val="center"/>
        <w:rPr>
          <w:rFonts w:ascii="宋体" w:hAnsi="宋体" w:eastAsia="宋体"/>
          <w:b/>
          <w:sz w:val="36"/>
          <w:szCs w:val="36"/>
          <w:highlight w:val="none"/>
          <w:lang w:val="zh-CN"/>
        </w:rPr>
      </w:pPr>
    </w:p>
    <w:p>
      <w:pPr>
        <w:pStyle w:val="18"/>
        <w:ind w:firstLine="163" w:firstLineChars="45"/>
        <w:jc w:val="center"/>
        <w:rPr>
          <w:rFonts w:ascii="宋体" w:hAnsi="宋体" w:eastAsia="宋体"/>
          <w:b/>
          <w:sz w:val="36"/>
          <w:szCs w:val="36"/>
          <w:highlight w:val="none"/>
          <w:lang w:val="zh-CN"/>
        </w:rPr>
      </w:pPr>
      <w:r>
        <w:rPr>
          <w:rFonts w:ascii="宋体" w:hAnsi="宋体" w:eastAsia="宋体"/>
          <w:b/>
          <w:sz w:val="36"/>
          <w:szCs w:val="36"/>
          <w:highlight w:val="none"/>
          <w:lang w:val="zh-CN"/>
        </w:rPr>
        <w:t>目</w:t>
      </w:r>
      <w:r>
        <w:rPr>
          <w:rFonts w:hint="eastAsia" w:ascii="宋体" w:hAnsi="宋体" w:eastAsia="宋体"/>
          <w:b/>
          <w:sz w:val="36"/>
          <w:szCs w:val="36"/>
          <w:highlight w:val="none"/>
          <w:lang w:val="zh-CN"/>
        </w:rPr>
        <w:t xml:space="preserve">    </w:t>
      </w:r>
      <w:r>
        <w:rPr>
          <w:rFonts w:ascii="宋体" w:hAnsi="宋体" w:eastAsia="宋体"/>
          <w:b/>
          <w:sz w:val="36"/>
          <w:szCs w:val="36"/>
          <w:highlight w:val="none"/>
          <w:lang w:val="zh-CN"/>
        </w:rPr>
        <w:t>录</w:t>
      </w:r>
      <w:bookmarkEnd w:id="7"/>
    </w:p>
    <w:p>
      <w:pPr>
        <w:pStyle w:val="18"/>
        <w:spacing w:line="240" w:lineRule="exact"/>
        <w:ind w:firstLine="163" w:firstLineChars="45"/>
        <w:jc w:val="center"/>
        <w:rPr>
          <w:rFonts w:ascii="宋体" w:hAnsi="宋体" w:eastAsia="宋体"/>
          <w:b/>
          <w:sz w:val="36"/>
          <w:szCs w:val="36"/>
          <w:highlight w:val="none"/>
          <w:lang w:val="zh-CN"/>
        </w:rPr>
      </w:pPr>
    </w:p>
    <w:p>
      <w:pPr>
        <w:pStyle w:val="10"/>
        <w:spacing w:line="440" w:lineRule="exact"/>
        <w:rPr>
          <w:rStyle w:val="15"/>
          <w:b/>
          <w:color w:val="auto"/>
          <w:highlight w:val="none"/>
        </w:rPr>
      </w:pPr>
      <w:r>
        <w:rPr>
          <w:rFonts w:hint="eastAsia"/>
          <w:sz w:val="24"/>
          <w:szCs w:val="24"/>
          <w:highlight w:val="none"/>
        </w:rPr>
        <w:fldChar w:fldCharType="begin"/>
      </w:r>
      <w:r>
        <w:rPr>
          <w:rFonts w:hint="eastAsia"/>
          <w:sz w:val="24"/>
          <w:szCs w:val="24"/>
          <w:highlight w:val="none"/>
        </w:rPr>
        <w:instrText xml:space="preserve"> TOC \o "1-3" \h \z \u </w:instrText>
      </w:r>
      <w:r>
        <w:rPr>
          <w:rFonts w:hint="eastAsia"/>
          <w:sz w:val="24"/>
          <w:szCs w:val="24"/>
          <w:highlight w:val="none"/>
        </w:rPr>
        <w:fldChar w:fldCharType="separate"/>
      </w:r>
      <w:r>
        <w:rPr>
          <w:highlight w:val="none"/>
        </w:rPr>
        <w:fldChar w:fldCharType="begin"/>
      </w:r>
      <w:r>
        <w:rPr>
          <w:highlight w:val="none"/>
        </w:rPr>
        <w:instrText xml:space="preserve"> HYPERLINK \l "_Toc467764799" </w:instrText>
      </w:r>
      <w:r>
        <w:rPr>
          <w:highlight w:val="none"/>
        </w:rPr>
        <w:fldChar w:fldCharType="separate"/>
      </w:r>
      <w:r>
        <w:rPr>
          <w:rStyle w:val="15"/>
          <w:rFonts w:hint="eastAsia"/>
          <w:b/>
          <w:color w:val="auto"/>
          <w:highlight w:val="none"/>
        </w:rPr>
        <w:t>第一部分  致估价委托人函</w:t>
      </w:r>
      <w:r>
        <w:rPr>
          <w:rStyle w:val="15"/>
          <w:rFonts w:hint="eastAsia"/>
          <w:b/>
          <w:color w:val="auto"/>
          <w:highlight w:val="none"/>
        </w:rPr>
        <w:tab/>
      </w:r>
      <w:r>
        <w:rPr>
          <w:rFonts w:hint="eastAsia"/>
          <w:b/>
          <w:highlight w:val="none"/>
        </w:rPr>
        <w:fldChar w:fldCharType="begin"/>
      </w:r>
      <w:r>
        <w:rPr>
          <w:rStyle w:val="15"/>
          <w:rFonts w:hint="eastAsia"/>
          <w:b/>
          <w:color w:val="auto"/>
          <w:highlight w:val="none"/>
        </w:rPr>
        <w:instrText xml:space="preserve"> </w:instrText>
      </w:r>
      <w:r>
        <w:rPr>
          <w:rStyle w:val="15"/>
          <w:b/>
          <w:color w:val="auto"/>
          <w:highlight w:val="none"/>
        </w:rPr>
        <w:instrText xml:space="preserve">PAGEREF _Toc467764799 \h</w:instrText>
      </w:r>
      <w:r>
        <w:rPr>
          <w:rStyle w:val="15"/>
          <w:rFonts w:hint="eastAsia"/>
          <w:b/>
          <w:color w:val="auto"/>
          <w:highlight w:val="none"/>
        </w:rPr>
        <w:instrText xml:space="preserve"> </w:instrText>
      </w:r>
      <w:r>
        <w:rPr>
          <w:rFonts w:hint="eastAsia"/>
          <w:b/>
          <w:highlight w:val="none"/>
        </w:rPr>
        <w:fldChar w:fldCharType="separate"/>
      </w:r>
      <w:r>
        <w:rPr>
          <w:rStyle w:val="15"/>
          <w:b/>
          <w:color w:val="auto"/>
          <w:highlight w:val="none"/>
        </w:rPr>
        <w:t>2</w:t>
      </w:r>
      <w:r>
        <w:rPr>
          <w:rFonts w:hint="eastAsia"/>
          <w:b/>
          <w:highlight w:val="none"/>
        </w:rPr>
        <w:fldChar w:fldCharType="end"/>
      </w:r>
      <w:r>
        <w:rPr>
          <w:rFonts w:hint="eastAsia"/>
          <w:b/>
          <w:highlight w:val="none"/>
        </w:rPr>
        <w:fldChar w:fldCharType="end"/>
      </w:r>
    </w:p>
    <w:p>
      <w:pPr>
        <w:pStyle w:val="10"/>
        <w:spacing w:line="440" w:lineRule="exact"/>
        <w:rPr>
          <w:rStyle w:val="15"/>
          <w:b/>
          <w:color w:val="auto"/>
          <w:highlight w:val="none"/>
        </w:rPr>
      </w:pPr>
      <w:r>
        <w:rPr>
          <w:highlight w:val="none"/>
        </w:rPr>
        <w:fldChar w:fldCharType="begin"/>
      </w:r>
      <w:r>
        <w:rPr>
          <w:highlight w:val="none"/>
        </w:rPr>
        <w:instrText xml:space="preserve"> HYPERLINK \l "_Toc467764800" </w:instrText>
      </w:r>
      <w:r>
        <w:rPr>
          <w:highlight w:val="none"/>
        </w:rPr>
        <w:fldChar w:fldCharType="separate"/>
      </w:r>
      <w:r>
        <w:rPr>
          <w:rStyle w:val="15"/>
          <w:rFonts w:hint="eastAsia"/>
          <w:b/>
          <w:color w:val="auto"/>
          <w:highlight w:val="none"/>
        </w:rPr>
        <w:t>第二部分  估价师声明</w:t>
      </w:r>
      <w:r>
        <w:rPr>
          <w:rStyle w:val="15"/>
          <w:rFonts w:hint="eastAsia"/>
          <w:b/>
          <w:color w:val="auto"/>
          <w:highlight w:val="none"/>
        </w:rPr>
        <w:tab/>
      </w:r>
      <w:r>
        <w:rPr>
          <w:rFonts w:hint="eastAsia"/>
          <w:b/>
          <w:highlight w:val="none"/>
        </w:rPr>
        <w:fldChar w:fldCharType="begin"/>
      </w:r>
      <w:r>
        <w:rPr>
          <w:rStyle w:val="15"/>
          <w:rFonts w:hint="eastAsia"/>
          <w:b/>
          <w:color w:val="auto"/>
          <w:highlight w:val="none"/>
        </w:rPr>
        <w:instrText xml:space="preserve"> </w:instrText>
      </w:r>
      <w:r>
        <w:rPr>
          <w:rStyle w:val="15"/>
          <w:b/>
          <w:color w:val="auto"/>
          <w:highlight w:val="none"/>
        </w:rPr>
        <w:instrText xml:space="preserve">PAGEREF _Toc467764800 \h</w:instrText>
      </w:r>
      <w:r>
        <w:rPr>
          <w:rStyle w:val="15"/>
          <w:rFonts w:hint="eastAsia"/>
          <w:b/>
          <w:color w:val="auto"/>
          <w:highlight w:val="none"/>
        </w:rPr>
        <w:instrText xml:space="preserve"> </w:instrText>
      </w:r>
      <w:r>
        <w:rPr>
          <w:rFonts w:hint="eastAsia"/>
          <w:b/>
          <w:highlight w:val="none"/>
        </w:rPr>
        <w:fldChar w:fldCharType="separate"/>
      </w:r>
      <w:r>
        <w:rPr>
          <w:rStyle w:val="15"/>
          <w:b/>
          <w:color w:val="auto"/>
          <w:highlight w:val="none"/>
        </w:rPr>
        <w:t>5</w:t>
      </w:r>
      <w:r>
        <w:rPr>
          <w:rFonts w:hint="eastAsia"/>
          <w:b/>
          <w:highlight w:val="none"/>
        </w:rPr>
        <w:fldChar w:fldCharType="end"/>
      </w:r>
      <w:r>
        <w:rPr>
          <w:rFonts w:hint="eastAsia"/>
          <w:b/>
          <w:highlight w:val="none"/>
        </w:rPr>
        <w:fldChar w:fldCharType="end"/>
      </w:r>
    </w:p>
    <w:p>
      <w:pPr>
        <w:pStyle w:val="10"/>
        <w:spacing w:line="440" w:lineRule="exact"/>
        <w:rPr>
          <w:rStyle w:val="15"/>
          <w:b/>
          <w:color w:val="auto"/>
          <w:highlight w:val="none"/>
        </w:rPr>
      </w:pPr>
      <w:r>
        <w:rPr>
          <w:highlight w:val="none"/>
        </w:rPr>
        <w:fldChar w:fldCharType="begin"/>
      </w:r>
      <w:r>
        <w:rPr>
          <w:highlight w:val="none"/>
        </w:rPr>
        <w:instrText xml:space="preserve"> HYPERLINK \l "_Toc467764801" </w:instrText>
      </w:r>
      <w:r>
        <w:rPr>
          <w:highlight w:val="none"/>
        </w:rPr>
        <w:fldChar w:fldCharType="separate"/>
      </w:r>
      <w:r>
        <w:rPr>
          <w:rStyle w:val="15"/>
          <w:rFonts w:hint="eastAsia"/>
          <w:b/>
          <w:color w:val="auto"/>
          <w:highlight w:val="none"/>
        </w:rPr>
        <w:t>第三部分  估价假设和限制条件</w:t>
      </w:r>
      <w:r>
        <w:rPr>
          <w:rStyle w:val="15"/>
          <w:rFonts w:hint="eastAsia"/>
          <w:b/>
          <w:color w:val="auto"/>
          <w:highlight w:val="none"/>
        </w:rPr>
        <w:tab/>
      </w:r>
      <w:r>
        <w:rPr>
          <w:rFonts w:hint="eastAsia"/>
          <w:b/>
          <w:highlight w:val="none"/>
        </w:rPr>
        <w:fldChar w:fldCharType="begin"/>
      </w:r>
      <w:r>
        <w:rPr>
          <w:rStyle w:val="15"/>
          <w:rFonts w:hint="eastAsia"/>
          <w:b/>
          <w:color w:val="auto"/>
          <w:highlight w:val="none"/>
        </w:rPr>
        <w:instrText xml:space="preserve"> </w:instrText>
      </w:r>
      <w:r>
        <w:rPr>
          <w:rStyle w:val="15"/>
          <w:b/>
          <w:color w:val="auto"/>
          <w:highlight w:val="none"/>
        </w:rPr>
        <w:instrText xml:space="preserve">PAGEREF _Toc467764801 \h</w:instrText>
      </w:r>
      <w:r>
        <w:rPr>
          <w:rStyle w:val="15"/>
          <w:rFonts w:hint="eastAsia"/>
          <w:b/>
          <w:color w:val="auto"/>
          <w:highlight w:val="none"/>
        </w:rPr>
        <w:instrText xml:space="preserve"> </w:instrText>
      </w:r>
      <w:r>
        <w:rPr>
          <w:rFonts w:hint="eastAsia"/>
          <w:b/>
          <w:highlight w:val="none"/>
        </w:rPr>
        <w:fldChar w:fldCharType="separate"/>
      </w:r>
      <w:r>
        <w:rPr>
          <w:rStyle w:val="15"/>
          <w:b/>
          <w:color w:val="auto"/>
          <w:highlight w:val="none"/>
        </w:rPr>
        <w:t>6</w:t>
      </w:r>
      <w:r>
        <w:rPr>
          <w:rFonts w:hint="eastAsia"/>
          <w:b/>
          <w:highlight w:val="none"/>
        </w:rPr>
        <w:fldChar w:fldCharType="end"/>
      </w:r>
      <w:r>
        <w:rPr>
          <w:rFonts w:hint="eastAsia"/>
          <w:b/>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"_Toc467764802" </w:instrText>
      </w:r>
      <w:r>
        <w:rPr>
          <w:highlight w:val="none"/>
        </w:rPr>
        <w:fldChar w:fldCharType="separate"/>
      </w:r>
      <w:r>
        <w:rPr>
          <w:rStyle w:val="15"/>
          <w:rFonts w:hint="eastAsia"/>
          <w:color w:val="auto"/>
          <w:highlight w:val="none"/>
        </w:rPr>
        <w:t>一、估价假设</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_Toc467764802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6</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"_Toc467764804" </w:instrText>
      </w:r>
      <w:r>
        <w:rPr>
          <w:highlight w:val="none"/>
        </w:rPr>
        <w:fldChar w:fldCharType="separate"/>
      </w:r>
      <w:r>
        <w:rPr>
          <w:rStyle w:val="15"/>
          <w:rFonts w:hint="eastAsia"/>
          <w:color w:val="auto"/>
          <w:highlight w:val="none"/>
        </w:rPr>
        <w:t>二、估价报告使用限制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_Toc467764804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7</w:t>
      </w:r>
      <w:r>
        <w:rPr>
          <w:rFonts w:hint="eastAsia"/>
          <w:highlight w:val="none"/>
        </w:rPr>
        <w:fldChar w:fldCharType="end"/>
      </w:r>
      <w:r>
        <w:rPr>
          <w:rFonts w:hint="eastAsia"/>
          <w:highlight w:val="none"/>
        </w:rPr>
        <w:fldChar w:fldCharType="end"/>
      </w:r>
    </w:p>
    <w:p>
      <w:pPr>
        <w:pStyle w:val="10"/>
        <w:spacing w:line="440" w:lineRule="exact"/>
        <w:rPr>
          <w:rStyle w:val="15"/>
          <w:b/>
          <w:color w:val="auto"/>
          <w:highlight w:val="none"/>
        </w:rPr>
      </w:pPr>
      <w:r>
        <w:rPr>
          <w:highlight w:val="none"/>
        </w:rPr>
        <w:fldChar w:fldCharType="begin"/>
      </w:r>
      <w:r>
        <w:rPr>
          <w:highlight w:val="none"/>
        </w:rPr>
        <w:instrText xml:space="preserve"> HYPERLINK \l "_Toc467764805" </w:instrText>
      </w:r>
      <w:r>
        <w:rPr>
          <w:highlight w:val="none"/>
        </w:rPr>
        <w:fldChar w:fldCharType="separate"/>
      </w:r>
      <w:r>
        <w:rPr>
          <w:rStyle w:val="15"/>
          <w:rFonts w:hint="eastAsia"/>
          <w:b/>
          <w:color w:val="auto"/>
          <w:highlight w:val="none"/>
        </w:rPr>
        <w:t>第四部分  估价结果报告</w:t>
      </w:r>
      <w:r>
        <w:rPr>
          <w:rStyle w:val="15"/>
          <w:rFonts w:hint="eastAsia"/>
          <w:b/>
          <w:color w:val="auto"/>
          <w:highlight w:val="none"/>
        </w:rPr>
        <w:tab/>
      </w:r>
      <w:r>
        <w:rPr>
          <w:rFonts w:hint="eastAsia"/>
          <w:b/>
          <w:highlight w:val="none"/>
        </w:rPr>
        <w:fldChar w:fldCharType="begin"/>
      </w:r>
      <w:r>
        <w:rPr>
          <w:rStyle w:val="15"/>
          <w:rFonts w:hint="eastAsia"/>
          <w:b/>
          <w:color w:val="auto"/>
          <w:highlight w:val="none"/>
        </w:rPr>
        <w:instrText xml:space="preserve"> </w:instrText>
      </w:r>
      <w:r>
        <w:rPr>
          <w:rStyle w:val="15"/>
          <w:b/>
          <w:color w:val="auto"/>
          <w:highlight w:val="none"/>
        </w:rPr>
        <w:instrText xml:space="preserve">PAGEREF _Toc467764805 \h</w:instrText>
      </w:r>
      <w:r>
        <w:rPr>
          <w:rStyle w:val="15"/>
          <w:rFonts w:hint="eastAsia"/>
          <w:b/>
          <w:color w:val="auto"/>
          <w:highlight w:val="none"/>
        </w:rPr>
        <w:instrText xml:space="preserve"> </w:instrText>
      </w:r>
      <w:r>
        <w:rPr>
          <w:rFonts w:hint="eastAsia"/>
          <w:b/>
          <w:highlight w:val="none"/>
        </w:rPr>
        <w:fldChar w:fldCharType="separate"/>
      </w:r>
      <w:r>
        <w:rPr>
          <w:rStyle w:val="15"/>
          <w:b/>
          <w:color w:val="auto"/>
          <w:highlight w:val="none"/>
        </w:rPr>
        <w:t>10</w:t>
      </w:r>
      <w:r>
        <w:rPr>
          <w:rFonts w:hint="eastAsia"/>
          <w:b/>
          <w:highlight w:val="none"/>
        </w:rPr>
        <w:fldChar w:fldCharType="end"/>
      </w:r>
      <w:r>
        <w:rPr>
          <w:rFonts w:hint="eastAsia"/>
          <w:b/>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"_Toc467764806" </w:instrText>
      </w:r>
      <w:r>
        <w:rPr>
          <w:highlight w:val="none"/>
        </w:rPr>
        <w:fldChar w:fldCharType="separate"/>
      </w:r>
      <w:r>
        <w:rPr>
          <w:rStyle w:val="15"/>
          <w:rFonts w:hint="eastAsia"/>
          <w:color w:val="auto"/>
          <w:highlight w:val="none"/>
        </w:rPr>
        <w:t>一、估价委托人</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_Toc467764806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"_Toc467764811" </w:instrText>
      </w:r>
      <w:r>
        <w:rPr>
          <w:highlight w:val="none"/>
        </w:rPr>
        <w:fldChar w:fldCharType="separate"/>
      </w:r>
      <w:r>
        <w:rPr>
          <w:rStyle w:val="15"/>
          <w:rFonts w:hint="eastAsia"/>
          <w:color w:val="auto"/>
          <w:highlight w:val="none"/>
        </w:rPr>
        <w:t>二、房地产估价机构</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_Toc467764811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"_Toc467764812" </w:instrText>
      </w:r>
      <w:r>
        <w:rPr>
          <w:highlight w:val="none"/>
        </w:rPr>
        <w:fldChar w:fldCharType="separate"/>
      </w:r>
      <w:r>
        <w:rPr>
          <w:rStyle w:val="15"/>
          <w:rFonts w:hint="eastAsia"/>
          <w:color w:val="auto"/>
          <w:highlight w:val="none"/>
        </w:rPr>
        <w:t>三、估价目的</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_Toc467764812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"_Toc467764813" </w:instrText>
      </w:r>
      <w:r>
        <w:rPr>
          <w:highlight w:val="none"/>
        </w:rPr>
        <w:fldChar w:fldCharType="separate"/>
      </w:r>
      <w:r>
        <w:rPr>
          <w:rStyle w:val="15"/>
          <w:rFonts w:hint="eastAsia"/>
          <w:color w:val="auto"/>
          <w:highlight w:val="none"/>
        </w:rPr>
        <w:t>四、估价对象</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_Toc467764813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"_Toc467764814" </w:instrText>
      </w:r>
      <w:r>
        <w:rPr>
          <w:highlight w:val="none"/>
        </w:rPr>
        <w:fldChar w:fldCharType="separate"/>
      </w:r>
      <w:r>
        <w:rPr>
          <w:rStyle w:val="15"/>
          <w:rFonts w:hint="eastAsia"/>
          <w:color w:val="auto"/>
          <w:highlight w:val="none"/>
        </w:rPr>
        <w:t>五、价值时点</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_Toc467764814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"_Toc467764815" </w:instrText>
      </w:r>
      <w:r>
        <w:rPr>
          <w:highlight w:val="none"/>
        </w:rPr>
        <w:fldChar w:fldCharType="separate"/>
      </w:r>
      <w:r>
        <w:rPr>
          <w:rStyle w:val="15"/>
          <w:rFonts w:hint="eastAsia"/>
          <w:color w:val="auto"/>
          <w:highlight w:val="none"/>
        </w:rPr>
        <w:t>六、价值类型</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_Toc467764815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17</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"_Toc467764816" </w:instrText>
      </w:r>
      <w:r>
        <w:rPr>
          <w:highlight w:val="none"/>
        </w:rPr>
        <w:fldChar w:fldCharType="separate"/>
      </w:r>
      <w:r>
        <w:rPr>
          <w:rStyle w:val="15"/>
          <w:rFonts w:hint="eastAsia"/>
          <w:color w:val="auto"/>
          <w:highlight w:val="none"/>
        </w:rPr>
        <w:t>七、估价原则</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_Toc467764816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17</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"_Toc467764817" </w:instrText>
      </w:r>
      <w:r>
        <w:rPr>
          <w:highlight w:val="none"/>
        </w:rPr>
        <w:fldChar w:fldCharType="separate"/>
      </w:r>
      <w:r>
        <w:rPr>
          <w:rStyle w:val="15"/>
          <w:rFonts w:hint="eastAsia"/>
          <w:color w:val="auto"/>
          <w:highlight w:val="none"/>
        </w:rPr>
        <w:t>八、估价依据</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_Toc467764817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18</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"_Toc467764818" </w:instrText>
      </w:r>
      <w:r>
        <w:rPr>
          <w:highlight w:val="none"/>
        </w:rPr>
        <w:fldChar w:fldCharType="separate"/>
      </w:r>
      <w:r>
        <w:rPr>
          <w:rStyle w:val="15"/>
          <w:rFonts w:hint="eastAsia"/>
          <w:color w:val="auto"/>
          <w:highlight w:val="none"/>
        </w:rPr>
        <w:t>九、估价方法</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_Toc467764818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20</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"_Toc467764819" </w:instrText>
      </w:r>
      <w:r>
        <w:rPr>
          <w:highlight w:val="none"/>
        </w:rPr>
        <w:fldChar w:fldCharType="separate"/>
      </w:r>
      <w:r>
        <w:rPr>
          <w:rStyle w:val="15"/>
          <w:rFonts w:hint="eastAsia"/>
          <w:color w:val="auto"/>
          <w:highlight w:val="none"/>
        </w:rPr>
        <w:t>十、估价结果</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_Toc467764819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21</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"_Toc467764820" </w:instrText>
      </w:r>
      <w:r>
        <w:rPr>
          <w:highlight w:val="none"/>
        </w:rPr>
        <w:fldChar w:fldCharType="separate"/>
      </w:r>
      <w:r>
        <w:rPr>
          <w:rStyle w:val="15"/>
          <w:rFonts w:hint="eastAsia"/>
          <w:color w:val="auto"/>
          <w:highlight w:val="none"/>
        </w:rPr>
        <w:t>十一、</w:t>
      </w:r>
      <w:r>
        <w:rPr>
          <w:rStyle w:val="15"/>
          <w:rFonts w:hint="eastAsia"/>
          <w:color w:val="auto"/>
          <w:highlight w:val="none"/>
        </w:rPr>
        <w:fldChar w:fldCharType="end"/>
      </w:r>
      <w:r>
        <w:rPr>
          <w:highlight w:val="none"/>
        </w:rPr>
        <w:fldChar w:fldCharType="begin"/>
      </w:r>
      <w:r>
        <w:rPr>
          <w:highlight w:val="none"/>
        </w:rPr>
        <w:instrText xml:space="preserve"> HYPERLINK \l "_Toc467764824" </w:instrText>
      </w:r>
      <w:r>
        <w:rPr>
          <w:highlight w:val="none"/>
        </w:rPr>
        <w:fldChar w:fldCharType="separate"/>
      </w:r>
      <w:r>
        <w:rPr>
          <w:rStyle w:val="15"/>
          <w:rFonts w:hint="eastAsia"/>
          <w:color w:val="auto"/>
          <w:highlight w:val="none"/>
        </w:rPr>
        <w:t>注册房地产估价师</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_Toc467764824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22</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"_Toc467764825" </w:instrText>
      </w:r>
      <w:r>
        <w:rPr>
          <w:highlight w:val="none"/>
        </w:rPr>
        <w:fldChar w:fldCharType="separate"/>
      </w:r>
      <w:r>
        <w:rPr>
          <w:rStyle w:val="15"/>
          <w:rFonts w:hint="eastAsia"/>
          <w:color w:val="auto"/>
          <w:highlight w:val="none"/>
        </w:rPr>
        <w:t>十二、实地查勘期</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_Toc467764825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22</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"_Toc467764826" </w:instrText>
      </w:r>
      <w:r>
        <w:rPr>
          <w:highlight w:val="none"/>
        </w:rPr>
        <w:fldChar w:fldCharType="separate"/>
      </w:r>
      <w:r>
        <w:rPr>
          <w:rStyle w:val="15"/>
          <w:rFonts w:hint="eastAsia"/>
          <w:color w:val="auto"/>
          <w:highlight w:val="none"/>
        </w:rPr>
        <w:t>十三、估价作业日期</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_Toc467764826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22</w:t>
      </w:r>
      <w:r>
        <w:rPr>
          <w:rFonts w:hint="eastAsia"/>
          <w:highlight w:val="none"/>
        </w:rPr>
        <w:fldChar w:fldCharType="end"/>
      </w:r>
      <w:r>
        <w:rPr>
          <w:rFonts w:hint="eastAsia"/>
          <w:highlight w:val="none"/>
        </w:rPr>
        <w:fldChar w:fldCharType="end"/>
      </w:r>
    </w:p>
    <w:p>
      <w:pPr>
        <w:pStyle w:val="10"/>
        <w:spacing w:line="440" w:lineRule="exact"/>
        <w:rPr>
          <w:rStyle w:val="15"/>
          <w:b/>
          <w:color w:val="auto"/>
          <w:highlight w:val="none"/>
        </w:rPr>
      </w:pPr>
      <w:r>
        <w:rPr>
          <w:highlight w:val="none"/>
        </w:rPr>
        <w:fldChar w:fldCharType="begin"/>
      </w:r>
      <w:r>
        <w:rPr>
          <w:highlight w:val="none"/>
        </w:rPr>
        <w:instrText xml:space="preserve"> HYPERLINK \l "_Toc467764827" </w:instrText>
      </w:r>
      <w:r>
        <w:rPr>
          <w:highlight w:val="none"/>
        </w:rPr>
        <w:fldChar w:fldCharType="separate"/>
      </w:r>
      <w:r>
        <w:rPr>
          <w:rStyle w:val="15"/>
          <w:rFonts w:hint="eastAsia"/>
          <w:b/>
          <w:color w:val="auto"/>
          <w:highlight w:val="none"/>
        </w:rPr>
        <w:t>第五部分  附    件</w:t>
      </w:r>
      <w:r>
        <w:rPr>
          <w:rStyle w:val="15"/>
          <w:rFonts w:hint="eastAsia"/>
          <w:b/>
          <w:color w:val="auto"/>
          <w:highlight w:val="none"/>
        </w:rPr>
        <w:tab/>
      </w:r>
      <w:r>
        <w:rPr>
          <w:rFonts w:hint="eastAsia"/>
          <w:b/>
          <w:highlight w:val="none"/>
        </w:rPr>
        <w:fldChar w:fldCharType="begin"/>
      </w:r>
      <w:r>
        <w:rPr>
          <w:rStyle w:val="15"/>
          <w:rFonts w:hint="eastAsia"/>
          <w:b/>
          <w:color w:val="auto"/>
          <w:highlight w:val="none"/>
        </w:rPr>
        <w:instrText xml:space="preserve"> </w:instrText>
      </w:r>
      <w:r>
        <w:rPr>
          <w:rStyle w:val="15"/>
          <w:b/>
          <w:color w:val="auto"/>
          <w:highlight w:val="none"/>
        </w:rPr>
        <w:instrText xml:space="preserve">PAGEREF _Toc467764827 \h</w:instrText>
      </w:r>
      <w:r>
        <w:rPr>
          <w:rStyle w:val="15"/>
          <w:rFonts w:hint="eastAsia"/>
          <w:b/>
          <w:color w:val="auto"/>
          <w:highlight w:val="none"/>
        </w:rPr>
        <w:instrText xml:space="preserve"> </w:instrText>
      </w:r>
      <w:r>
        <w:rPr>
          <w:rFonts w:hint="eastAsia"/>
          <w:b/>
          <w:highlight w:val="none"/>
        </w:rPr>
        <w:fldChar w:fldCharType="separate"/>
      </w:r>
      <w:r>
        <w:rPr>
          <w:rStyle w:val="15"/>
          <w:b/>
          <w:color w:val="auto"/>
          <w:highlight w:val="none"/>
        </w:rPr>
        <w:t>23</w:t>
      </w:r>
      <w:r>
        <w:rPr>
          <w:rFonts w:hint="eastAsia"/>
          <w:b/>
          <w:highlight w:val="none"/>
        </w:rPr>
        <w:fldChar w:fldCharType="end"/>
      </w:r>
      <w:r>
        <w:rPr>
          <w:rFonts w:hint="eastAsia"/>
          <w:b/>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"_Toc467764828" </w:instrText>
      </w:r>
      <w:r>
        <w:rPr>
          <w:highlight w:val="none"/>
        </w:rPr>
        <w:fldChar w:fldCharType="separate"/>
      </w:r>
      <w:r>
        <w:rPr>
          <w:rStyle w:val="15"/>
          <w:rFonts w:hint="eastAsia"/>
          <w:color w:val="auto"/>
          <w:highlight w:val="none"/>
        </w:rPr>
        <w:t>一、估价对象现状照片</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_Toc467764828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"_Toc467764829" </w:instrText>
      </w:r>
      <w:r>
        <w:rPr>
          <w:highlight w:val="none"/>
        </w:rPr>
        <w:fldChar w:fldCharType="separate"/>
      </w:r>
      <w:r>
        <w:rPr>
          <w:rStyle w:val="15"/>
          <w:rFonts w:hint="eastAsia"/>
          <w:color w:val="auto"/>
          <w:highlight w:val="none"/>
        </w:rPr>
        <w:t>二、估价对象位置图</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_Toc467764829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"_Toc467764830" </w:instrText>
      </w:r>
      <w:r>
        <w:rPr>
          <w:highlight w:val="none"/>
        </w:rPr>
        <w:fldChar w:fldCharType="separate"/>
      </w:r>
      <w:r>
        <w:rPr>
          <w:rStyle w:val="15"/>
          <w:rFonts w:hint="eastAsia"/>
          <w:color w:val="auto"/>
          <w:highlight w:val="none"/>
        </w:rPr>
        <w:t>三、《</w:t>
      </w:r>
      <w:r>
        <w:rPr>
          <w:rStyle w:val="15"/>
          <w:rFonts w:hint="eastAsia"/>
          <w:color w:val="auto"/>
          <w:highlight w:val="none"/>
          <w:lang w:eastAsia="zh-CN"/>
        </w:rPr>
        <w:t>湘潭县人民法院委托书</w:t>
      </w:r>
      <w:r>
        <w:rPr>
          <w:rStyle w:val="15"/>
          <w:rFonts w:hint="eastAsia"/>
          <w:color w:val="auto"/>
          <w:highlight w:val="none"/>
        </w:rPr>
        <w:t>》复印件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_Toc467764830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"_Toc467764831" </w:instrText>
      </w:r>
      <w:r>
        <w:rPr>
          <w:highlight w:val="none"/>
        </w:rPr>
        <w:fldChar w:fldCharType="separate"/>
      </w:r>
      <w:r>
        <w:rPr>
          <w:rStyle w:val="15"/>
          <w:rFonts w:hint="eastAsia"/>
          <w:color w:val="auto"/>
          <w:highlight w:val="none"/>
        </w:rPr>
        <w:t>四、估价对象《房屋所有权证》、《</w:t>
      </w:r>
      <w:r>
        <w:rPr>
          <w:rStyle w:val="15"/>
          <w:rFonts w:hint="eastAsia"/>
          <w:color w:val="auto"/>
          <w:highlight w:val="none"/>
          <w:lang w:eastAsia="zh-CN"/>
        </w:rPr>
        <w:t>国有土地使用证</w:t>
      </w:r>
      <w:r>
        <w:rPr>
          <w:rStyle w:val="15"/>
          <w:rFonts w:hint="eastAsia"/>
          <w:color w:val="auto"/>
          <w:highlight w:val="none"/>
        </w:rPr>
        <w:t>》</w:t>
      </w:r>
      <w:r>
        <w:rPr>
          <w:rFonts w:hint="eastAsia" w:hAnsi="仿宋_GB2312"/>
          <w:bCs/>
          <w:highlight w:val="none"/>
        </w:rPr>
        <w:t>复印件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_Toc467764831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"_Toc467764832" </w:instrText>
      </w:r>
      <w:r>
        <w:rPr>
          <w:highlight w:val="none"/>
        </w:rPr>
        <w:fldChar w:fldCharType="separate"/>
      </w:r>
      <w:r>
        <w:rPr>
          <w:rStyle w:val="15"/>
          <w:rFonts w:hint="eastAsia"/>
          <w:color w:val="auto"/>
          <w:highlight w:val="none"/>
        </w:rPr>
        <w:t>五、房地产估价机构《营业执照》复印件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_Toc467764832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rStyle w:val="15"/>
          <w:color w:val="auto"/>
          <w:highlight w:val="none"/>
        </w:rPr>
      </w:pPr>
      <w:r>
        <w:rPr>
          <w:highlight w:val="none"/>
        </w:rPr>
        <w:fldChar w:fldCharType="begin"/>
      </w:r>
      <w:r>
        <w:rPr>
          <w:highlight w:val="none"/>
        </w:rPr>
        <w:instrText xml:space="preserve"> HYPERLINK \l "_Toc467764833" </w:instrText>
      </w:r>
      <w:r>
        <w:rPr>
          <w:highlight w:val="none"/>
        </w:rPr>
        <w:fldChar w:fldCharType="separate"/>
      </w:r>
      <w:r>
        <w:rPr>
          <w:rStyle w:val="15"/>
          <w:rFonts w:hint="eastAsia"/>
          <w:color w:val="auto"/>
          <w:highlight w:val="none"/>
        </w:rPr>
        <w:t>六、《房地产估价机构备案证书》复印件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_Toc467764833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spacing w:line="440" w:lineRule="exact"/>
        <w:rPr>
          <w:highlight w:val="none"/>
          <w:u w:val="single"/>
        </w:rPr>
      </w:pPr>
      <w:r>
        <w:rPr>
          <w:highlight w:val="none"/>
        </w:rPr>
        <w:fldChar w:fldCharType="begin"/>
      </w:r>
      <w:r>
        <w:rPr>
          <w:highlight w:val="none"/>
        </w:rPr>
        <w:instrText xml:space="preserve"> HYPERLINK \l "_Toc467764834" </w:instrText>
      </w:r>
      <w:r>
        <w:rPr>
          <w:highlight w:val="none"/>
        </w:rPr>
        <w:fldChar w:fldCharType="separate"/>
      </w:r>
      <w:r>
        <w:rPr>
          <w:rStyle w:val="15"/>
          <w:rFonts w:hint="eastAsia"/>
          <w:color w:val="auto"/>
          <w:highlight w:val="none"/>
        </w:rPr>
        <w:t>七、《注册房地产估价师资格证书》复印件</w:t>
      </w:r>
      <w:r>
        <w:rPr>
          <w:rStyle w:val="15"/>
          <w:rFonts w:hint="eastAsia"/>
          <w:color w:val="auto"/>
          <w:highlight w:val="none"/>
        </w:rPr>
        <w:tab/>
      </w:r>
      <w:r>
        <w:rPr>
          <w:rFonts w:hint="eastAsia"/>
          <w:highlight w:val="none"/>
        </w:rPr>
        <w:fldChar w:fldCharType="begin"/>
      </w:r>
      <w:r>
        <w:rPr>
          <w:rStyle w:val="15"/>
          <w:rFonts w:hint="eastAsia"/>
          <w:color w:val="auto"/>
          <w:highlight w:val="none"/>
        </w:rPr>
        <w:instrText xml:space="preserve"> </w:instrText>
      </w:r>
      <w:r>
        <w:rPr>
          <w:rStyle w:val="15"/>
          <w:color w:val="auto"/>
          <w:highlight w:val="none"/>
        </w:rPr>
        <w:instrText xml:space="preserve">PAGEREF _Toc467764834 \h</w:instrText>
      </w:r>
      <w:r>
        <w:rPr>
          <w:rStyle w:val="15"/>
          <w:rFonts w:hint="eastAsia"/>
          <w:color w:val="auto"/>
          <w:highlight w:val="none"/>
        </w:rPr>
        <w:instrText xml:space="preserve"> </w:instrText>
      </w:r>
      <w:r>
        <w:rPr>
          <w:rFonts w:hint="eastAsia"/>
          <w:highlight w:val="none"/>
        </w:rPr>
        <w:fldChar w:fldCharType="separate"/>
      </w:r>
      <w:r>
        <w:rPr>
          <w:rStyle w:val="15"/>
          <w:color w:val="auto"/>
          <w:highlight w:val="none"/>
        </w:rPr>
        <w:t>23</w:t>
      </w:r>
      <w:r>
        <w:rPr>
          <w:rFonts w:hint="eastAsia"/>
          <w:highlight w:val="none"/>
        </w:rPr>
        <w:fldChar w:fldCharType="end"/>
      </w:r>
      <w:r>
        <w:rPr>
          <w:rFonts w:hint="eastAsia"/>
          <w:highlight w:val="none"/>
        </w:rPr>
        <w:fldChar w:fldCharType="end"/>
      </w:r>
    </w:p>
    <w:p>
      <w:pPr>
        <w:pStyle w:val="10"/>
        <w:ind w:left="0" w:leftChars="0"/>
        <w:rPr>
          <w:highlight w:val="none"/>
        </w:rPr>
      </w:pPr>
      <w:r>
        <w:rPr>
          <w:rFonts w:hint="eastAsia"/>
          <w:bCs/>
          <w:highlight w:val="none"/>
        </w:rPr>
        <w:fldChar w:fldCharType="end"/>
      </w:r>
      <w:bookmarkStart w:id="11" w:name="_Toc436762267"/>
      <w:bookmarkStart w:id="12" w:name="_Toc467764800"/>
      <w:r>
        <w:rPr>
          <w:highlight w:val="none"/>
        </w:rPr>
        <w:br w:type="page"/>
      </w:r>
    </w:p>
    <w:p>
      <w:pPr>
        <w:pStyle w:val="17"/>
        <w:spacing w:line="420" w:lineRule="exact"/>
        <w:rPr>
          <w:highlight w:val="none"/>
        </w:rPr>
      </w:pPr>
      <w:r>
        <w:rPr>
          <w:rFonts w:hint="eastAsia"/>
          <w:highlight w:val="none"/>
        </w:rPr>
        <w:t>第二部分  估价师声明</w:t>
      </w:r>
      <w:bookmarkEnd w:id="6"/>
      <w:bookmarkEnd w:id="8"/>
      <w:bookmarkEnd w:id="9"/>
      <w:bookmarkEnd w:id="10"/>
      <w:bookmarkEnd w:id="11"/>
      <w:bookmarkEnd w:id="12"/>
    </w:p>
    <w:p>
      <w:pPr>
        <w:pStyle w:val="18"/>
        <w:spacing w:line="240" w:lineRule="exact"/>
        <w:ind w:firstLine="560"/>
        <w:rPr>
          <w:highlight w:val="none"/>
        </w:rPr>
      </w:pPr>
    </w:p>
    <w:p>
      <w:pPr>
        <w:pStyle w:val="18"/>
        <w:ind w:firstLine="562"/>
        <w:rPr>
          <w:b/>
          <w:highlight w:val="none"/>
        </w:rPr>
      </w:pPr>
      <w:r>
        <w:rPr>
          <w:rFonts w:hint="eastAsia"/>
          <w:b/>
          <w:highlight w:val="none"/>
        </w:rPr>
        <w:t>我们根据自己的专业知识与职业道德，在此郑重声明：</w:t>
      </w:r>
    </w:p>
    <w:p>
      <w:pPr>
        <w:pStyle w:val="18"/>
        <w:ind w:firstLine="560"/>
        <w:rPr>
          <w:highlight w:val="none"/>
        </w:rPr>
      </w:pPr>
      <w:r>
        <w:rPr>
          <w:rFonts w:hint="eastAsia"/>
          <w:highlight w:val="none"/>
        </w:rPr>
        <w:t>1、注册房地产估价师在本估价报告中对事实的说明是真实和准确的，没有虚假记载、误导性陈述和重大遗漏。</w:t>
      </w:r>
    </w:p>
    <w:p>
      <w:pPr>
        <w:pStyle w:val="18"/>
        <w:ind w:firstLine="560"/>
        <w:rPr>
          <w:highlight w:val="none"/>
        </w:rPr>
      </w:pPr>
      <w:r>
        <w:rPr>
          <w:rFonts w:hint="eastAsia"/>
          <w:highlight w:val="none"/>
        </w:rPr>
        <w:t>2、估价报告中的分析、意见和结论是注册房地产估价师独立、客观、公正的专业分析、意见和结论，但受到估价报告中已说明的估价假设和限制条件的限制。</w:t>
      </w:r>
    </w:p>
    <w:p>
      <w:pPr>
        <w:pStyle w:val="18"/>
        <w:ind w:firstLine="560"/>
        <w:rPr>
          <w:highlight w:val="none"/>
        </w:rPr>
      </w:pPr>
      <w:r>
        <w:rPr>
          <w:rFonts w:hint="eastAsia"/>
          <w:highlight w:val="none"/>
        </w:rPr>
        <w:t>3、注册房地产估价师与估价报告中的估价对象没有现实或潜在的利益，与估价委托人及估价利害关系人没有利害关系，也对估价对象、估价委托人及估价利害关系人没有偏见。</w:t>
      </w:r>
    </w:p>
    <w:p>
      <w:pPr>
        <w:pStyle w:val="18"/>
        <w:ind w:firstLine="560"/>
        <w:rPr>
          <w:highlight w:val="none"/>
        </w:rPr>
      </w:pPr>
      <w:r>
        <w:rPr>
          <w:rFonts w:hint="eastAsia"/>
          <w:highlight w:val="none"/>
        </w:rPr>
        <w:t>4、注册房地产估价师是按照中华人民共和国国家标准《房地产估价规范》(GB/T50291—2015)、《房地产估价基本术语标准》（GB/T50899-2013)以及与估价目的相应的房地产估价相关专项标准的规定进行估价工作，形成意见和结论，撰写本估价报告。</w:t>
      </w:r>
    </w:p>
    <w:p>
      <w:pPr>
        <w:pStyle w:val="5"/>
        <w:spacing w:line="420" w:lineRule="exact"/>
        <w:ind w:left="0" w:leftChars="0" w:firstLine="570"/>
        <w:rPr>
          <w:rFonts w:ascii="仿宋_GB2312" w:eastAsia="仿宋_GB2312"/>
          <w:highlight w:val="none"/>
        </w:rPr>
      </w:pPr>
      <w:r>
        <w:rPr>
          <w:rFonts w:hint="eastAsia" w:ascii="仿宋_GB2312" w:eastAsia="仿宋_GB2312"/>
          <w:highlight w:val="none"/>
        </w:rPr>
        <w:t>5、注册房地产估价师黄海燕、曹春梅等人于2020年</w:t>
      </w:r>
      <w:r>
        <w:rPr>
          <w:rFonts w:hint="eastAsia" w:ascii="仿宋_GB2312" w:eastAsia="仿宋_GB2312"/>
          <w:highlight w:val="none"/>
          <w:lang w:val="en-US" w:eastAsia="zh-CN"/>
        </w:rPr>
        <w:t>10</w:t>
      </w:r>
      <w:r>
        <w:rPr>
          <w:rFonts w:hint="eastAsia" w:ascii="仿宋_GB2312" w:eastAsia="仿宋_GB2312"/>
          <w:highlight w:val="none"/>
        </w:rPr>
        <w:t>月</w:t>
      </w:r>
      <w:r>
        <w:rPr>
          <w:rFonts w:hint="eastAsia" w:ascii="仿宋_GB2312" w:eastAsia="仿宋_GB2312"/>
          <w:highlight w:val="none"/>
          <w:lang w:val="en-US" w:eastAsia="zh-CN"/>
        </w:rPr>
        <w:t>22</w:t>
      </w:r>
      <w:r>
        <w:rPr>
          <w:rFonts w:hint="eastAsia" w:ascii="仿宋_GB2312" w:eastAsia="仿宋_GB2312"/>
          <w:highlight w:val="none"/>
        </w:rPr>
        <w:t>日对本估价报告中的估价对象进行了实地查勘并进行记录，但仅限于估价对象的外观与目前维护使用状况。因提供资料有限，我们不承担对估价对象建筑结构质量、总建筑面积数量准确性和相应权益的责任，也不承担其他被遮盖，未暴露及难于接触到的部分进行检视的责任。我们不承担对建筑结构质量进行调查的责任。</w:t>
      </w:r>
    </w:p>
    <w:p>
      <w:pPr>
        <w:pStyle w:val="18"/>
        <w:ind w:firstLine="560"/>
        <w:rPr>
          <w:highlight w:val="none"/>
        </w:rPr>
      </w:pPr>
      <w:r>
        <w:rPr>
          <w:rFonts w:hint="eastAsia"/>
          <w:highlight w:val="none"/>
        </w:rPr>
        <w:t>6、本估价报告仅是在报告中说明的假设条件下对估价对象市场价格进行的合理估算，报告中对估价对象权属情况的披露不能作为对其权属确认的依据，估价对象权属界定以有权管理部门认定为准。</w:t>
      </w:r>
    </w:p>
    <w:p>
      <w:pPr>
        <w:spacing w:line="420" w:lineRule="exact"/>
        <w:ind w:firstLine="560" w:firstLineChars="200"/>
        <w:rPr>
          <w:rFonts w:ascii="仿宋_GB2312" w:eastAsia="仿宋_GB2312"/>
          <w:sz w:val="28"/>
          <w:highlight w:val="none"/>
        </w:rPr>
      </w:pPr>
      <w:r>
        <w:rPr>
          <w:rFonts w:hint="eastAsia" w:ascii="仿宋_GB2312" w:eastAsia="仿宋_GB2312"/>
          <w:sz w:val="28"/>
          <w:highlight w:val="none"/>
        </w:rPr>
        <w:t>7、本估价报告中所依据的有关估价对象权属状况等资料由委托人提供，委托人应对资料的真实、可靠性负责。</w:t>
      </w:r>
    </w:p>
    <w:p>
      <w:pPr>
        <w:pStyle w:val="18"/>
        <w:ind w:firstLine="560"/>
        <w:rPr>
          <w:highlight w:val="none"/>
        </w:rPr>
      </w:pPr>
      <w:r>
        <w:rPr>
          <w:rFonts w:hint="eastAsia"/>
          <w:highlight w:val="none"/>
        </w:rPr>
        <w:t>8、没有外部专家和单位对本估价报告提供重要专业帮助。</w:t>
      </w:r>
    </w:p>
    <w:p>
      <w:pPr>
        <w:pStyle w:val="18"/>
        <w:ind w:firstLine="562"/>
        <w:rPr>
          <w:b/>
          <w:highlight w:val="none"/>
        </w:rPr>
      </w:pPr>
      <w:r>
        <w:rPr>
          <w:rFonts w:hint="eastAsia"/>
          <w:b/>
          <w:highlight w:val="none"/>
        </w:rPr>
        <w:t>参加本次评估的注册房地产估价师：</w:t>
      </w:r>
    </w:p>
    <w:p>
      <w:pPr>
        <w:pStyle w:val="18"/>
        <w:ind w:firstLine="560"/>
        <w:rPr>
          <w:highlight w:val="none"/>
        </w:rPr>
      </w:pPr>
      <w:r>
        <w:rPr>
          <w:rFonts w:hint="eastAsia"/>
          <w:highlight w:val="none"/>
        </w:rPr>
        <w:t>姓  名        注册号        签 名          日  期</w:t>
      </w:r>
    </w:p>
    <w:p>
      <w:pPr>
        <w:pStyle w:val="18"/>
        <w:ind w:firstLine="560"/>
        <w:rPr>
          <w:highlight w:val="none"/>
        </w:rPr>
      </w:pPr>
    </w:p>
    <w:p>
      <w:pPr>
        <w:pStyle w:val="18"/>
        <w:ind w:right="-1" w:firstLine="560"/>
        <w:rPr>
          <w:rFonts w:hint="eastAsia" w:eastAsia="仿宋_GB2312"/>
          <w:highlight w:val="none"/>
          <w:lang w:eastAsia="zh-CN"/>
        </w:rPr>
      </w:pPr>
      <w:bookmarkStart w:id="13" w:name="_Toc409964659"/>
      <w:r>
        <w:rPr>
          <w:rFonts w:hint="eastAsia"/>
          <w:highlight w:val="none"/>
        </w:rPr>
        <w:t xml:space="preserve">曹春梅      4320190063        </w:t>
      </w:r>
      <w:r>
        <w:rPr>
          <w:highlight w:val="none"/>
        </w:rPr>
        <w:t xml:space="preserve">  </w:t>
      </w:r>
      <w:r>
        <w:rPr>
          <w:rFonts w:hint="eastAsia"/>
          <w:highlight w:val="none"/>
        </w:rPr>
        <w:t xml:space="preserve">     </w:t>
      </w:r>
      <w:r>
        <w:rPr>
          <w:rFonts w:hint="eastAsia"/>
          <w:highlight w:val="none"/>
          <w:lang w:eastAsia="zh-CN"/>
        </w:rPr>
        <w:t>2020年10月26日</w:t>
      </w:r>
    </w:p>
    <w:p>
      <w:pPr>
        <w:pStyle w:val="18"/>
        <w:ind w:right="-1" w:firstLine="420" w:firstLineChars="0"/>
        <w:rPr>
          <w:highlight w:val="none"/>
        </w:rPr>
      </w:pPr>
    </w:p>
    <w:p>
      <w:pPr>
        <w:pStyle w:val="18"/>
        <w:ind w:right="-1" w:firstLine="420" w:firstLineChars="0"/>
        <w:rPr>
          <w:rFonts w:hint="eastAsia" w:eastAsia="仿宋_GB2312"/>
          <w:highlight w:val="none"/>
          <w:lang w:eastAsia="zh-CN"/>
        </w:rPr>
      </w:pPr>
      <w:r>
        <w:rPr>
          <w:rFonts w:hint="eastAsia"/>
          <w:highlight w:val="none"/>
        </w:rPr>
        <w:t xml:space="preserve"> 黄海燕</w:t>
      </w:r>
      <w:r>
        <w:rPr>
          <w:rFonts w:hint="eastAsia"/>
          <w:szCs w:val="28"/>
          <w:highlight w:val="none"/>
        </w:rPr>
        <w:t xml:space="preserve">      </w:t>
      </w:r>
      <w:r>
        <w:rPr>
          <w:rFonts w:hint="eastAsia"/>
          <w:highlight w:val="none"/>
        </w:rPr>
        <w:t xml:space="preserve">4320120032 </w:t>
      </w:r>
      <w:r>
        <w:rPr>
          <w:rFonts w:hint="eastAsia"/>
          <w:szCs w:val="28"/>
          <w:highlight w:val="none"/>
        </w:rPr>
        <w:t xml:space="preserve">        </w:t>
      </w:r>
      <w:r>
        <w:rPr>
          <w:szCs w:val="28"/>
          <w:highlight w:val="none"/>
        </w:rPr>
        <w:t xml:space="preserve"> </w:t>
      </w:r>
      <w:r>
        <w:rPr>
          <w:rFonts w:hint="eastAsia"/>
          <w:highlight w:val="none"/>
        </w:rPr>
        <w:t xml:space="preserve">     </w:t>
      </w:r>
      <w:r>
        <w:rPr>
          <w:rFonts w:hint="eastAsia"/>
          <w:highlight w:val="none"/>
          <w:lang w:eastAsia="zh-CN"/>
        </w:rPr>
        <w:t>2020年10月26日</w:t>
      </w:r>
    </w:p>
    <w:p>
      <w:pPr>
        <w:pStyle w:val="17"/>
        <w:spacing w:line="240" w:lineRule="exact"/>
        <w:rPr>
          <w:rFonts w:ascii="仿宋_GB2312" w:eastAsia="仿宋_GB2312"/>
          <w:sz w:val="28"/>
          <w:szCs w:val="28"/>
          <w:highlight w:val="none"/>
        </w:rPr>
      </w:pPr>
      <w:r>
        <w:rPr>
          <w:rFonts w:ascii="仿宋_GB2312" w:eastAsia="仿宋_GB2312"/>
          <w:sz w:val="28"/>
          <w:szCs w:val="28"/>
          <w:highlight w:val="none"/>
        </w:rPr>
        <w:br w:type="page"/>
      </w:r>
      <w:bookmarkStart w:id="14" w:name="_Toc436762268"/>
      <w:bookmarkStart w:id="15" w:name="_Toc416685217"/>
      <w:bookmarkStart w:id="16" w:name="_Toc416685137"/>
      <w:bookmarkStart w:id="17" w:name="_Toc416685179"/>
    </w:p>
    <w:p>
      <w:pPr>
        <w:pStyle w:val="17"/>
        <w:spacing w:line="300" w:lineRule="exact"/>
        <w:rPr>
          <w:highlight w:val="none"/>
        </w:rPr>
      </w:pPr>
      <w:bookmarkStart w:id="18" w:name="_Toc467764801"/>
    </w:p>
    <w:p>
      <w:pPr>
        <w:pStyle w:val="17"/>
        <w:rPr>
          <w:highlight w:val="none"/>
        </w:rPr>
      </w:pPr>
      <w:r>
        <w:rPr>
          <w:rFonts w:hint="eastAsia"/>
          <w:highlight w:val="none"/>
        </w:rPr>
        <w:t>第三部分  估价假设和限制条件</w:t>
      </w:r>
      <w:bookmarkEnd w:id="13"/>
      <w:bookmarkEnd w:id="14"/>
      <w:bookmarkEnd w:id="15"/>
      <w:bookmarkEnd w:id="16"/>
      <w:bookmarkEnd w:id="17"/>
      <w:bookmarkEnd w:id="18"/>
    </w:p>
    <w:p>
      <w:pPr>
        <w:pStyle w:val="19"/>
        <w:spacing w:line="460" w:lineRule="exact"/>
        <w:ind w:firstLine="562"/>
        <w:rPr>
          <w:szCs w:val="28"/>
          <w:highlight w:val="none"/>
        </w:rPr>
      </w:pPr>
      <w:bookmarkStart w:id="19" w:name="_Toc416685218"/>
      <w:bookmarkStart w:id="20" w:name="_Toc436762269"/>
      <w:bookmarkStart w:id="21" w:name="_Toc409964660"/>
      <w:bookmarkStart w:id="22" w:name="_Toc416685180"/>
      <w:bookmarkStart w:id="23" w:name="_Toc416685138"/>
      <w:bookmarkStart w:id="24" w:name="_Toc467764802"/>
      <w:r>
        <w:rPr>
          <w:rFonts w:hint="eastAsia"/>
          <w:szCs w:val="28"/>
          <w:highlight w:val="none"/>
        </w:rPr>
        <w:t>一、估价假设</w:t>
      </w:r>
      <w:bookmarkEnd w:id="19"/>
      <w:bookmarkEnd w:id="20"/>
      <w:bookmarkEnd w:id="21"/>
      <w:bookmarkEnd w:id="22"/>
      <w:bookmarkEnd w:id="23"/>
      <w:bookmarkEnd w:id="24"/>
    </w:p>
    <w:p>
      <w:pPr>
        <w:pStyle w:val="18"/>
        <w:spacing w:line="460" w:lineRule="exact"/>
        <w:ind w:firstLine="562"/>
        <w:rPr>
          <w:b/>
          <w:szCs w:val="28"/>
          <w:highlight w:val="none"/>
        </w:rPr>
      </w:pPr>
      <w:r>
        <w:rPr>
          <w:rFonts w:hint="eastAsia"/>
          <w:b/>
          <w:szCs w:val="28"/>
          <w:highlight w:val="none"/>
        </w:rPr>
        <w:t>㈠ 一般假设</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1、</w:t>
      </w:r>
      <w:r>
        <w:rPr>
          <w:rFonts w:hint="eastAsia" w:hAnsi="仿宋_GB2312" w:cs="仿宋_GB2312"/>
          <w:highlight w:val="none"/>
        </w:rPr>
        <w:t>估价对象产权明晰，手续齐全，可在公开市场上自由转让。</w:t>
      </w:r>
    </w:p>
    <w:p>
      <w:pPr>
        <w:pStyle w:val="18"/>
        <w:spacing w:line="460" w:lineRule="exact"/>
        <w:ind w:firstLine="560"/>
        <w:rPr>
          <w:rFonts w:hAnsi="仿宋_GB2312" w:cs="仿宋_GB2312"/>
          <w:highlight w:val="none"/>
        </w:rPr>
      </w:pPr>
      <w:r>
        <w:rPr>
          <w:rFonts w:hint="eastAsia" w:hAnsi="仿宋_GB2312" w:cs="仿宋_GB2312"/>
          <w:highlight w:val="none"/>
        </w:rPr>
        <w:t>2、本次评估是以估价对象保持完整持续使用为前提，以估价对象在价值时点的状况为依据进行的</w:t>
      </w:r>
      <w:r>
        <w:rPr>
          <w:rFonts w:hint="eastAsia" w:hAnsi="仿宋_GB2312" w:cs="仿宋_GB2312"/>
          <w:szCs w:val="28"/>
          <w:highlight w:val="none"/>
        </w:rPr>
        <w:t>。</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3、本次估价未对估价对象做建筑物基础与结构上的测量和实验，本次评估假设其无基础、结构等方面的重大质量问题。</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4、估价对象在价值时点的房地产市场为公开、平等、自愿的交易市场，即能满足以下条件：</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⑴ 交易双方自愿地进行交易；</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⑵ 交易双方处于利己动机进行交易；</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⑶ 交易双方精明、谨慎行事，并了解交易对象、知晓市场行情；</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⑷ 不存在特殊买者的附加出价。</w:t>
      </w:r>
    </w:p>
    <w:p>
      <w:pPr>
        <w:pStyle w:val="18"/>
        <w:spacing w:line="460" w:lineRule="exact"/>
        <w:ind w:firstLine="560"/>
        <w:rPr>
          <w:rFonts w:hAnsi="仿宋_GB2312" w:cs="仿宋_GB2312"/>
          <w:szCs w:val="28"/>
          <w:highlight w:val="none"/>
        </w:rPr>
      </w:pPr>
      <w:r>
        <w:rPr>
          <w:rFonts w:hint="eastAsia" w:hAnsi="仿宋_GB2312" w:cs="仿宋_GB2312"/>
          <w:szCs w:val="28"/>
          <w:highlight w:val="none"/>
        </w:rPr>
        <w:t>5、市场供应关系、市场结构保持稳定、未发生重大变化或实质性改变。</w:t>
      </w:r>
    </w:p>
    <w:p>
      <w:pPr>
        <w:pStyle w:val="18"/>
        <w:spacing w:line="460" w:lineRule="exact"/>
        <w:ind w:firstLine="560"/>
        <w:rPr>
          <w:rFonts w:hAnsi="仿宋_GB2312" w:cs="仿宋_GB2312"/>
          <w:highlight w:val="none"/>
        </w:rPr>
      </w:pPr>
      <w:r>
        <w:rPr>
          <w:rFonts w:hint="eastAsia" w:hAnsi="仿宋_GB2312" w:cs="仿宋_GB2312"/>
          <w:szCs w:val="28"/>
          <w:highlight w:val="none"/>
        </w:rPr>
        <w:t>6、</w:t>
      </w:r>
      <w:r>
        <w:rPr>
          <w:rFonts w:hint="eastAsia" w:hAnsi="仿宋_GB2312" w:cs="仿宋_GB2312"/>
          <w:highlight w:val="none"/>
        </w:rPr>
        <w:t>本次评估所采用的房屋建筑面积、结构、楼层、用途等是根据估价委托人提供的《房屋所有权证》复印件记载为依据。</w:t>
      </w:r>
    </w:p>
    <w:p>
      <w:pPr>
        <w:pStyle w:val="18"/>
        <w:numPr>
          <w:ilvl w:val="0"/>
          <w:numId w:val="1"/>
        </w:numPr>
        <w:spacing w:line="460" w:lineRule="exact"/>
        <w:ind w:firstLineChars="0"/>
        <w:rPr>
          <w:b/>
          <w:szCs w:val="28"/>
          <w:highlight w:val="none"/>
        </w:rPr>
      </w:pPr>
      <w:bookmarkStart w:id="25" w:name="_Toc416685139"/>
      <w:bookmarkStart w:id="26" w:name="_Toc409964661"/>
      <w:bookmarkStart w:id="27" w:name="_Toc436762270"/>
      <w:bookmarkStart w:id="28" w:name="_Toc416685181"/>
      <w:bookmarkStart w:id="29" w:name="_Toc416685219"/>
      <w:r>
        <w:rPr>
          <w:rFonts w:hint="eastAsia"/>
          <w:b/>
          <w:szCs w:val="28"/>
          <w:highlight w:val="none"/>
        </w:rPr>
        <w:t>未定事项假设</w:t>
      </w:r>
    </w:p>
    <w:p>
      <w:pPr>
        <w:pStyle w:val="18"/>
        <w:spacing w:line="460" w:lineRule="exact"/>
        <w:ind w:firstLine="560"/>
        <w:rPr>
          <w:highlight w:val="none"/>
        </w:rPr>
      </w:pPr>
      <w:r>
        <w:rPr>
          <w:rFonts w:hint="eastAsia"/>
          <w:highlight w:val="none"/>
        </w:rPr>
        <w:t>1、本估价报告中估价结果是反映估价对象建筑物用途符合规划要求的前提下，对应于本次估价的价值时点和估价目的，不存在任何他项权利限制的房地产市场价值。未考虑国家宏观经济政策发生变化、市场供应关系变化、市场结构变化、当地经济状况、周边环境和基础设施改变及遇有自然力和其他不可抗力等因素对房地产价值的影响；未考虑将估价对象按拍卖或其他特殊处置方式处置时，因变现方式或价格折让等因素导致的价格变化；未考虑将来市场价值的波动及国家相关税费政策变化对房地产价值的影响；也未考虑可能存在的房地产价值的债权等法律义务限制的影响。</w:t>
      </w:r>
    </w:p>
    <w:p>
      <w:pPr>
        <w:pStyle w:val="18"/>
        <w:spacing w:line="460" w:lineRule="exact"/>
        <w:ind w:firstLine="560"/>
        <w:rPr>
          <w:highlight w:val="none"/>
        </w:rPr>
      </w:pPr>
      <w:r>
        <w:rPr>
          <w:rFonts w:hint="eastAsia"/>
          <w:highlight w:val="none"/>
        </w:rPr>
        <w:t>2、经估价人员实地查勘，估价对象1-</w:t>
      </w:r>
      <w:r>
        <w:rPr>
          <w:rFonts w:hint="eastAsia"/>
          <w:highlight w:val="none"/>
          <w:lang w:val="en-US" w:eastAsia="zh-CN"/>
        </w:rPr>
        <w:t>2</w:t>
      </w:r>
      <w:r>
        <w:rPr>
          <w:rFonts w:hint="eastAsia"/>
          <w:highlight w:val="none"/>
        </w:rPr>
        <w:t>房屋</w:t>
      </w:r>
      <w:r>
        <w:rPr>
          <w:rFonts w:hint="eastAsia"/>
          <w:highlight w:val="none"/>
          <w:lang w:eastAsia="zh-CN"/>
        </w:rPr>
        <w:t>建成年份约为</w:t>
      </w:r>
      <w:r>
        <w:rPr>
          <w:rFonts w:hint="eastAsia"/>
          <w:highlight w:val="none"/>
          <w:lang w:val="en-US" w:eastAsia="zh-CN"/>
        </w:rPr>
        <w:t>2006</w:t>
      </w:r>
      <w:r>
        <w:rPr>
          <w:rFonts w:hint="eastAsia"/>
          <w:highlight w:val="none"/>
        </w:rPr>
        <w:t>年，</w:t>
      </w:r>
      <w:r>
        <w:rPr>
          <w:rFonts w:hint="eastAsia"/>
          <w:highlight w:val="none"/>
          <w:lang w:eastAsia="zh-CN"/>
        </w:rPr>
        <w:t>估价对象</w:t>
      </w:r>
      <w:r>
        <w:rPr>
          <w:rFonts w:hint="eastAsia"/>
          <w:highlight w:val="none"/>
          <w:lang w:val="en-US" w:eastAsia="zh-CN"/>
        </w:rPr>
        <w:t>3房屋建成年份约为2000年，估价对象4房屋建成年份约为2004年，</w:t>
      </w:r>
      <w:r>
        <w:rPr>
          <w:rFonts w:hint="eastAsia"/>
          <w:highlight w:val="none"/>
          <w:lang w:eastAsia="zh-CN"/>
        </w:rPr>
        <w:t>估价对象</w:t>
      </w:r>
      <w:r>
        <w:rPr>
          <w:rFonts w:hint="eastAsia"/>
          <w:highlight w:val="none"/>
          <w:lang w:val="en-US" w:eastAsia="zh-CN"/>
        </w:rPr>
        <w:t>5房屋建成年份约为2002年，估价对象6-7房屋建成年份约为2008年，</w:t>
      </w:r>
      <w:r>
        <w:rPr>
          <w:rFonts w:hint="eastAsia"/>
          <w:highlight w:val="none"/>
        </w:rPr>
        <w:t>本次估价房屋建成年份以实际调查为准，仅在本报告中使用，不作为其他任何用途使用。</w:t>
      </w:r>
    </w:p>
    <w:p>
      <w:pPr>
        <w:pStyle w:val="18"/>
        <w:spacing w:line="460" w:lineRule="exact"/>
        <w:ind w:firstLine="562"/>
        <w:rPr>
          <w:b/>
          <w:szCs w:val="28"/>
          <w:highlight w:val="none"/>
        </w:rPr>
      </w:pPr>
      <w:r>
        <w:rPr>
          <w:rFonts w:hint="eastAsia"/>
          <w:b/>
          <w:szCs w:val="28"/>
          <w:highlight w:val="none"/>
        </w:rPr>
        <w:t>㈢ 背离事实假设</w:t>
      </w:r>
    </w:p>
    <w:p>
      <w:pPr>
        <w:pStyle w:val="18"/>
        <w:spacing w:line="460" w:lineRule="exact"/>
        <w:ind w:firstLine="560"/>
        <w:rPr>
          <w:kern w:val="0"/>
          <w:szCs w:val="20"/>
          <w:highlight w:val="none"/>
        </w:rPr>
      </w:pPr>
      <w:r>
        <w:rPr>
          <w:rFonts w:hint="eastAsia"/>
          <w:kern w:val="0"/>
          <w:szCs w:val="20"/>
          <w:highlight w:val="none"/>
        </w:rPr>
        <w:t>1、</w:t>
      </w:r>
      <w:r>
        <w:rPr>
          <w:rFonts w:hint="eastAsia"/>
          <w:color w:val="000000"/>
          <w:kern w:val="0"/>
          <w:szCs w:val="20"/>
        </w:rPr>
        <w:t>根据估价委托人提供的资料和介绍，至价值时点，估价对象存在抵押、查封、租赁等权利限制状况，因本次为司法鉴定评估，不考虑抵押、查封、租赁等权利限制状况对价值的影响。</w:t>
      </w:r>
    </w:p>
    <w:p>
      <w:pPr>
        <w:pStyle w:val="18"/>
        <w:spacing w:line="460" w:lineRule="exact"/>
        <w:ind w:firstLine="560"/>
        <w:rPr>
          <w:highlight w:val="none"/>
        </w:rPr>
      </w:pPr>
      <w:r>
        <w:rPr>
          <w:rFonts w:hint="eastAsia"/>
          <w:highlight w:val="none"/>
        </w:rPr>
        <w:t>2、估价结果未考虑未来处置风险。</w:t>
      </w:r>
    </w:p>
    <w:p>
      <w:pPr>
        <w:pStyle w:val="18"/>
        <w:spacing w:line="460" w:lineRule="exact"/>
        <w:ind w:firstLine="560"/>
        <w:rPr>
          <w:highlight w:val="none"/>
        </w:rPr>
      </w:pPr>
      <w:r>
        <w:rPr>
          <w:rFonts w:hint="eastAsia"/>
          <w:highlight w:val="none"/>
        </w:rPr>
        <w:t>3、估价结果未考虑估价对象及其所有权人拖欠的物业管理费和水电费、已承担的债务、或有债务及经营决策失误或市场运作失当对其价值的影响。</w:t>
      </w:r>
    </w:p>
    <w:p>
      <w:pPr>
        <w:pStyle w:val="18"/>
        <w:spacing w:line="460" w:lineRule="exact"/>
        <w:ind w:firstLine="560"/>
        <w:rPr>
          <w:highlight w:val="none"/>
        </w:rPr>
      </w:pPr>
      <w:r>
        <w:rPr>
          <w:rFonts w:hint="eastAsia"/>
          <w:highlight w:val="none"/>
        </w:rPr>
        <w:t>4、我公司于2020年</w:t>
      </w:r>
      <w:r>
        <w:rPr>
          <w:rFonts w:hint="eastAsia"/>
          <w:highlight w:val="none"/>
          <w:lang w:val="en-US" w:eastAsia="zh-CN"/>
        </w:rPr>
        <w:t>10</w:t>
      </w:r>
      <w:r>
        <w:rPr>
          <w:rFonts w:hint="eastAsia"/>
          <w:highlight w:val="none"/>
        </w:rPr>
        <w:t>月</w:t>
      </w:r>
      <w:r>
        <w:rPr>
          <w:rFonts w:hint="eastAsia"/>
          <w:highlight w:val="none"/>
          <w:lang w:val="en-US" w:eastAsia="zh-CN"/>
        </w:rPr>
        <w:t>22</w:t>
      </w:r>
      <w:r>
        <w:rPr>
          <w:rFonts w:hint="eastAsia"/>
          <w:highlight w:val="none"/>
        </w:rPr>
        <w:t>日对估价对象进行了现场查勘，本次评估假设估价对象在查勘期日的外观和使用状况与价值时点（2020年</w:t>
      </w:r>
      <w:r>
        <w:rPr>
          <w:rFonts w:hint="eastAsia"/>
          <w:highlight w:val="none"/>
          <w:lang w:val="en-US" w:eastAsia="zh-CN"/>
        </w:rPr>
        <w:t>10</w:t>
      </w:r>
      <w:r>
        <w:rPr>
          <w:rFonts w:hint="eastAsia"/>
          <w:highlight w:val="none"/>
        </w:rPr>
        <w:t>月</w:t>
      </w:r>
      <w:r>
        <w:rPr>
          <w:rFonts w:hint="eastAsia"/>
          <w:highlight w:val="none"/>
          <w:lang w:val="en-US" w:eastAsia="zh-CN"/>
        </w:rPr>
        <w:t>21</w:t>
      </w:r>
      <w:r>
        <w:rPr>
          <w:rFonts w:hint="eastAsia"/>
          <w:highlight w:val="none"/>
        </w:rPr>
        <w:t>日）相同，评估结论以此为假设前提。</w:t>
      </w:r>
    </w:p>
    <w:p>
      <w:pPr>
        <w:pStyle w:val="18"/>
        <w:spacing w:line="460" w:lineRule="exact"/>
        <w:ind w:firstLine="562"/>
        <w:rPr>
          <w:b/>
          <w:szCs w:val="28"/>
          <w:highlight w:val="none"/>
        </w:rPr>
      </w:pPr>
      <w:r>
        <w:rPr>
          <w:rFonts w:hint="eastAsia"/>
          <w:b/>
          <w:szCs w:val="28"/>
          <w:highlight w:val="none"/>
        </w:rPr>
        <w:t>㈣ 不相一致假设</w:t>
      </w:r>
    </w:p>
    <w:p>
      <w:pPr>
        <w:pStyle w:val="18"/>
        <w:spacing w:line="460" w:lineRule="exact"/>
        <w:ind w:firstLine="560"/>
        <w:rPr>
          <w:szCs w:val="28"/>
          <w:highlight w:val="none"/>
        </w:rPr>
      </w:pPr>
      <w:r>
        <w:rPr>
          <w:rFonts w:hint="eastAsia"/>
          <w:szCs w:val="28"/>
          <w:highlight w:val="none"/>
        </w:rPr>
        <w:t>估价对象在用途、权利人、名称、地址等事项上未出现不一致，本次估价无不相一致假设。</w:t>
      </w:r>
    </w:p>
    <w:p>
      <w:pPr>
        <w:pStyle w:val="18"/>
        <w:spacing w:line="460" w:lineRule="exact"/>
        <w:ind w:firstLine="562"/>
        <w:rPr>
          <w:b/>
          <w:szCs w:val="28"/>
          <w:highlight w:val="none"/>
        </w:rPr>
      </w:pPr>
      <w:r>
        <w:rPr>
          <w:rFonts w:hint="eastAsia"/>
          <w:b/>
          <w:szCs w:val="28"/>
          <w:highlight w:val="none"/>
        </w:rPr>
        <w:t>㈤</w:t>
      </w:r>
      <w:r>
        <w:rPr>
          <w:b/>
          <w:szCs w:val="28"/>
          <w:highlight w:val="none"/>
        </w:rPr>
        <w:t xml:space="preserve"> </w:t>
      </w:r>
      <w:r>
        <w:rPr>
          <w:rFonts w:hint="eastAsia"/>
          <w:b/>
          <w:szCs w:val="28"/>
          <w:highlight w:val="none"/>
        </w:rPr>
        <w:t>依据不足假设</w:t>
      </w:r>
    </w:p>
    <w:p>
      <w:pPr>
        <w:pStyle w:val="19"/>
        <w:numPr>
          <w:ilvl w:val="0"/>
          <w:numId w:val="0"/>
        </w:numPr>
        <w:spacing w:line="460" w:lineRule="exact"/>
        <w:ind w:firstLine="560" w:firstLineChars="200"/>
        <w:rPr>
          <w:rFonts w:hint="eastAsia" w:hAnsi="宋体" w:cs="宋体"/>
          <w:b w:val="0"/>
          <w:highlight w:val="none"/>
        </w:rPr>
      </w:pPr>
      <w:bookmarkStart w:id="30" w:name="_Toc467764804"/>
      <w:r>
        <w:rPr>
          <w:rFonts w:hint="eastAsia"/>
          <w:b w:val="0"/>
          <w:highlight w:val="none"/>
        </w:rPr>
        <w:t>估价委托人未提供估价对象《房屋所有权证》</w:t>
      </w:r>
      <w:r>
        <w:rPr>
          <w:rFonts w:hint="eastAsia"/>
          <w:b w:val="0"/>
          <w:bCs/>
          <w:lang w:eastAsia="zh-CN"/>
        </w:rPr>
        <w:t>、《国有土地使用证》</w:t>
      </w:r>
      <w:r>
        <w:rPr>
          <w:rFonts w:hint="eastAsia"/>
          <w:b w:val="0"/>
          <w:highlight w:val="none"/>
        </w:rPr>
        <w:t>原件，仅提供了《房屋所有权证》</w:t>
      </w:r>
      <w:r>
        <w:rPr>
          <w:rFonts w:hint="eastAsia"/>
          <w:b w:val="0"/>
          <w:bCs/>
          <w:lang w:eastAsia="zh-CN"/>
        </w:rPr>
        <w:t>、《国有土地使用证》</w:t>
      </w:r>
      <w:r>
        <w:rPr>
          <w:rFonts w:hint="eastAsia"/>
          <w:b w:val="0"/>
          <w:bCs/>
          <w:szCs w:val="28"/>
          <w:highlight w:val="none"/>
        </w:rPr>
        <w:t>复</w:t>
      </w:r>
      <w:r>
        <w:rPr>
          <w:rFonts w:hint="eastAsia"/>
          <w:b w:val="0"/>
          <w:szCs w:val="28"/>
          <w:highlight w:val="none"/>
        </w:rPr>
        <w:t>印件，本次评估以</w:t>
      </w:r>
      <w:r>
        <w:rPr>
          <w:rFonts w:hint="eastAsia" w:hAnsi="宋体" w:cs="宋体"/>
          <w:b w:val="0"/>
          <w:highlight w:val="none"/>
        </w:rPr>
        <w:t>估价委托人提供的资料复印件与原件一致且真实有效为假设限制前提，若因估价委托人提供的资料不实而造成评估价值失真，评估机构不承担相关责任。</w:t>
      </w:r>
    </w:p>
    <w:p>
      <w:pPr>
        <w:pStyle w:val="19"/>
        <w:spacing w:line="460" w:lineRule="exact"/>
        <w:ind w:firstLine="562"/>
        <w:rPr>
          <w:szCs w:val="28"/>
          <w:highlight w:val="none"/>
        </w:rPr>
      </w:pPr>
      <w:r>
        <w:rPr>
          <w:rFonts w:hint="eastAsia"/>
          <w:szCs w:val="28"/>
          <w:highlight w:val="none"/>
        </w:rPr>
        <w:t>二、估价报告使用限制</w:t>
      </w:r>
      <w:bookmarkEnd w:id="25"/>
      <w:bookmarkEnd w:id="26"/>
      <w:bookmarkEnd w:id="27"/>
      <w:bookmarkEnd w:id="28"/>
      <w:bookmarkEnd w:id="29"/>
      <w:bookmarkEnd w:id="30"/>
    </w:p>
    <w:p>
      <w:pPr>
        <w:pStyle w:val="18"/>
        <w:widowControl w:val="0"/>
        <w:spacing w:line="460" w:lineRule="exact"/>
        <w:ind w:firstLine="560"/>
        <w:rPr>
          <w:szCs w:val="28"/>
          <w:highlight w:val="none"/>
        </w:rPr>
      </w:pPr>
      <w:r>
        <w:rPr>
          <w:rFonts w:hint="eastAsia"/>
          <w:szCs w:val="28"/>
          <w:highlight w:val="none"/>
        </w:rPr>
        <w:t xml:space="preserve">1、本估价报告仅为估价委托人在本次估价目的下使用，不得用做除本次估价目的之外的其他用途。本估价报告专为估价委托人所使用，未经本估价机构同意，估价报告不得向估价委托人及估价报告审查部门以外的单位和个人提供，凡因估价委托人使用估价报告不当而引起的后果，本估价机构和估价人员不承担由此带来的评估风险和相关法律责任。  </w:t>
      </w:r>
    </w:p>
    <w:p>
      <w:pPr>
        <w:pStyle w:val="18"/>
        <w:spacing w:line="460" w:lineRule="exact"/>
        <w:ind w:firstLine="560"/>
        <w:rPr>
          <w:szCs w:val="28"/>
          <w:highlight w:val="none"/>
        </w:rPr>
      </w:pPr>
      <w:r>
        <w:rPr>
          <w:rFonts w:hint="eastAsia"/>
          <w:szCs w:val="28"/>
          <w:highlight w:val="none"/>
        </w:rPr>
        <w:t>2、本估价报告不能作为土地、房产权属或其他相关权益确认的依据。</w:t>
      </w:r>
    </w:p>
    <w:p>
      <w:pPr>
        <w:pStyle w:val="18"/>
        <w:spacing w:line="460" w:lineRule="exact"/>
        <w:ind w:firstLine="560"/>
        <w:rPr>
          <w:szCs w:val="28"/>
          <w:highlight w:val="none"/>
        </w:rPr>
      </w:pPr>
      <w:r>
        <w:rPr>
          <w:rFonts w:hint="eastAsia"/>
          <w:szCs w:val="28"/>
          <w:highlight w:val="none"/>
        </w:rPr>
        <w:t>3、本估价报告中房地产估价所必需的情况和资料由估价委托人提供，估价委托人提供的资料是编制本报告的基础。估价委托人和相关当事人应对所提供的以上评估原始资料的真实性、合法性、准确性和完整性承担责任。本房地产估价机构仅对上述资料作一般辨别，具体鉴定由有关部门负责。因估价委托人虚假或错误提供资料或对估价对象有隐瞒重大问题和事实，本估价机构和估价人员不承担由此带来的评估风险和相关法律责任。</w:t>
      </w:r>
    </w:p>
    <w:p>
      <w:pPr>
        <w:pStyle w:val="18"/>
        <w:spacing w:line="460" w:lineRule="exact"/>
        <w:ind w:firstLine="560"/>
        <w:rPr>
          <w:szCs w:val="28"/>
          <w:highlight w:val="none"/>
        </w:rPr>
      </w:pPr>
      <w:r>
        <w:rPr>
          <w:rFonts w:hint="eastAsia"/>
          <w:szCs w:val="28"/>
          <w:highlight w:val="none"/>
        </w:rPr>
        <w:t>4、</w:t>
      </w:r>
      <w:r>
        <w:rPr>
          <w:rFonts w:hint="eastAsia"/>
          <w:kern w:val="0"/>
          <w:szCs w:val="28"/>
          <w:highlight w:val="none"/>
        </w:rPr>
        <w:t>本报告结论中的数据系采用计算机连续运算得出，加之在报告中的计算公式数据均按四舍五入保留几位小数或取整，因此可能出现个别等式不完全相等的情况，此为正常情况，不影响计算结果及最终评估结论的准确性。</w:t>
      </w:r>
    </w:p>
    <w:p>
      <w:pPr>
        <w:pStyle w:val="18"/>
        <w:spacing w:line="460" w:lineRule="exact"/>
        <w:ind w:firstLine="560"/>
        <w:rPr>
          <w:szCs w:val="28"/>
          <w:highlight w:val="none"/>
        </w:rPr>
      </w:pPr>
      <w:r>
        <w:rPr>
          <w:rFonts w:hint="eastAsia"/>
          <w:szCs w:val="28"/>
          <w:highlight w:val="none"/>
        </w:rPr>
        <w:t>5、</w:t>
      </w:r>
      <w:r>
        <w:rPr>
          <w:rFonts w:hint="eastAsia"/>
          <w:color w:val="000000"/>
          <w:szCs w:val="28"/>
          <w:highlight w:val="none"/>
        </w:rPr>
        <w:t>根据《房地产</w:t>
      </w:r>
      <w:r>
        <w:rPr>
          <w:color w:val="000000"/>
          <w:szCs w:val="28"/>
          <w:highlight w:val="none"/>
        </w:rPr>
        <w:t>估价规范</w:t>
      </w:r>
      <w:r>
        <w:rPr>
          <w:rFonts w:hint="eastAsia"/>
          <w:color w:val="000000"/>
          <w:szCs w:val="28"/>
          <w:highlight w:val="none"/>
        </w:rPr>
        <w:t>》和《</w:t>
      </w:r>
      <w:r>
        <w:rPr>
          <w:rFonts w:hint="eastAsia"/>
          <w:color w:val="000000"/>
          <w:szCs w:val="28"/>
          <w:highlight w:val="none"/>
          <w:lang w:eastAsia="zh-CN"/>
        </w:rPr>
        <w:t>湘潭县人民法院委托书</w:t>
      </w:r>
      <w:r>
        <w:rPr>
          <w:rFonts w:hint="eastAsia"/>
          <w:color w:val="000000"/>
          <w:szCs w:val="28"/>
          <w:highlight w:val="none"/>
        </w:rPr>
        <w:t>》，</w:t>
      </w:r>
      <w:r>
        <w:rPr>
          <w:color w:val="000000"/>
          <w:szCs w:val="28"/>
          <w:highlight w:val="none"/>
        </w:rPr>
        <w:t>价值</w:t>
      </w:r>
      <w:r>
        <w:rPr>
          <w:color w:val="000000"/>
          <w:kern w:val="0"/>
          <w:szCs w:val="28"/>
          <w:highlight w:val="none"/>
        </w:rPr>
        <w:t>时点设定为</w:t>
      </w:r>
      <w:r>
        <w:rPr>
          <w:rFonts w:hint="eastAsia"/>
          <w:color w:val="000000"/>
          <w:kern w:val="0"/>
          <w:szCs w:val="28"/>
          <w:highlight w:val="none"/>
        </w:rPr>
        <w:t>委托之日2020年</w:t>
      </w:r>
      <w:r>
        <w:rPr>
          <w:rFonts w:hint="eastAsia"/>
          <w:color w:val="000000"/>
          <w:kern w:val="0"/>
          <w:szCs w:val="28"/>
          <w:highlight w:val="none"/>
          <w:lang w:val="en-US" w:eastAsia="zh-CN"/>
        </w:rPr>
        <w:t>10</w:t>
      </w:r>
      <w:r>
        <w:rPr>
          <w:rFonts w:hint="eastAsia"/>
          <w:color w:val="000000"/>
          <w:kern w:val="0"/>
          <w:szCs w:val="28"/>
          <w:highlight w:val="none"/>
        </w:rPr>
        <w:t>月</w:t>
      </w:r>
      <w:r>
        <w:rPr>
          <w:rFonts w:hint="eastAsia"/>
          <w:color w:val="000000"/>
          <w:kern w:val="0"/>
          <w:szCs w:val="28"/>
          <w:highlight w:val="none"/>
          <w:lang w:val="en-US" w:eastAsia="zh-CN"/>
        </w:rPr>
        <w:t>21</w:t>
      </w:r>
      <w:r>
        <w:rPr>
          <w:rFonts w:hint="eastAsia"/>
          <w:color w:val="000000"/>
          <w:kern w:val="0"/>
          <w:szCs w:val="28"/>
          <w:highlight w:val="none"/>
        </w:rPr>
        <w:t>日</w:t>
      </w:r>
      <w:r>
        <w:rPr>
          <w:rFonts w:hint="eastAsia"/>
          <w:kern w:val="0"/>
          <w:szCs w:val="28"/>
          <w:highlight w:val="none"/>
        </w:rPr>
        <w:t>。</w:t>
      </w:r>
    </w:p>
    <w:p>
      <w:pPr>
        <w:pStyle w:val="18"/>
        <w:spacing w:line="460" w:lineRule="exact"/>
        <w:ind w:firstLine="560"/>
        <w:rPr>
          <w:szCs w:val="28"/>
          <w:highlight w:val="none"/>
        </w:rPr>
      </w:pPr>
      <w:r>
        <w:rPr>
          <w:rFonts w:hint="eastAsia"/>
          <w:szCs w:val="28"/>
          <w:highlight w:val="none"/>
        </w:rPr>
        <w:t>6、根据《房地产估价规范》，估价报告使用期限自估价报告出具之日起计算，不超过一年。即在</w:t>
      </w:r>
      <w:r>
        <w:rPr>
          <w:rFonts w:hint="eastAsia"/>
          <w:szCs w:val="28"/>
          <w:highlight w:val="none"/>
          <w:lang w:eastAsia="zh-CN"/>
        </w:rPr>
        <w:t>2020年10月26日</w:t>
      </w:r>
      <w:r>
        <w:rPr>
          <w:rFonts w:hint="eastAsia"/>
          <w:szCs w:val="28"/>
          <w:highlight w:val="none"/>
        </w:rPr>
        <w:t>至2021年</w:t>
      </w:r>
      <w:r>
        <w:rPr>
          <w:rFonts w:hint="eastAsia"/>
          <w:szCs w:val="28"/>
          <w:highlight w:val="none"/>
          <w:lang w:val="en-US" w:eastAsia="zh-CN"/>
        </w:rPr>
        <w:t>10</w:t>
      </w:r>
      <w:r>
        <w:rPr>
          <w:rFonts w:hint="eastAsia"/>
          <w:szCs w:val="28"/>
          <w:highlight w:val="none"/>
        </w:rPr>
        <w:t>月2</w:t>
      </w:r>
      <w:r>
        <w:rPr>
          <w:rFonts w:hint="eastAsia"/>
          <w:szCs w:val="28"/>
          <w:highlight w:val="none"/>
          <w:lang w:val="en-US" w:eastAsia="zh-CN"/>
        </w:rPr>
        <w:t>5</w:t>
      </w:r>
      <w:r>
        <w:rPr>
          <w:rFonts w:hint="eastAsia"/>
          <w:szCs w:val="28"/>
          <w:highlight w:val="none"/>
        </w:rPr>
        <w:t>日内实现。</w:t>
      </w:r>
    </w:p>
    <w:p>
      <w:pPr>
        <w:pStyle w:val="18"/>
        <w:spacing w:line="460" w:lineRule="exact"/>
        <w:ind w:firstLine="560"/>
        <w:rPr>
          <w:color w:val="000000"/>
          <w:szCs w:val="28"/>
          <w:highlight w:val="none"/>
        </w:rPr>
      </w:pPr>
      <w:r>
        <w:rPr>
          <w:rFonts w:hint="eastAsia"/>
          <w:color w:val="000000"/>
          <w:szCs w:val="28"/>
          <w:highlight w:val="none"/>
        </w:rPr>
        <w:t>7、本估价报告的估价结果具有时效性，是相应的价值时点的市场价值，本报告使用人在应用估价结论时，必须充分了解本报告的假设和限制条件。时间和市场情况的变化将影响其评估价格的变动，因此，如果超过估价报告使用期限使用相应的估价结论，或相关政策及市场供求关系发生重大变化时，其价格需作适当调整或重新评估。</w:t>
      </w:r>
    </w:p>
    <w:p>
      <w:pPr>
        <w:pStyle w:val="18"/>
        <w:widowControl w:val="0"/>
        <w:spacing w:line="460" w:lineRule="exact"/>
        <w:ind w:firstLine="560"/>
        <w:rPr>
          <w:color w:val="000000"/>
          <w:szCs w:val="28"/>
          <w:highlight w:val="none"/>
        </w:rPr>
      </w:pPr>
      <w:r>
        <w:rPr>
          <w:rFonts w:hint="eastAsia"/>
          <w:color w:val="000000"/>
          <w:szCs w:val="28"/>
          <w:highlight w:val="none"/>
        </w:rPr>
        <w:t>8、本估价报告的报告解释权为本估价机构所有，未经本评估机构书面同意，其全部或其部分内容不得在任何公开文件、通告或声明中引用，亦不得以任何方式公开发表。</w:t>
      </w:r>
    </w:p>
    <w:p>
      <w:pPr>
        <w:pStyle w:val="18"/>
        <w:spacing w:line="460" w:lineRule="exact"/>
        <w:ind w:firstLine="560"/>
        <w:rPr>
          <w:color w:val="000000"/>
          <w:szCs w:val="28"/>
          <w:highlight w:val="none"/>
        </w:rPr>
      </w:pPr>
      <w:r>
        <w:rPr>
          <w:rFonts w:hint="eastAsia"/>
          <w:szCs w:val="28"/>
          <w:highlight w:val="none"/>
        </w:rPr>
        <w:t>9、本报告必须完整使用方为有效。本估价结果包含估价对象的建筑物价值及其所分摊土地的土地价值，以及与房地产不可分割的满足其使用功能的水、电、气等配套的辅助设施的</w:t>
      </w:r>
      <w:r>
        <w:rPr>
          <w:rFonts w:hint="eastAsia"/>
          <w:lang w:eastAsia="zh-CN"/>
        </w:rPr>
        <w:t>和不可移动部分的装饰装修</w:t>
      </w:r>
      <w:r>
        <w:rPr>
          <w:rFonts w:hint="eastAsia"/>
          <w:szCs w:val="28"/>
          <w:highlight w:val="none"/>
        </w:rPr>
        <w:t>价值，但不包括可移动部分的价值</w:t>
      </w:r>
      <w:r>
        <w:rPr>
          <w:rFonts w:hint="eastAsia" w:hAnsi="宋体"/>
          <w:highlight w:val="none"/>
        </w:rPr>
        <w:t>。</w:t>
      </w:r>
      <w:r>
        <w:rPr>
          <w:rFonts w:hint="eastAsia"/>
          <w:szCs w:val="28"/>
          <w:highlight w:val="none"/>
        </w:rPr>
        <w:t>若该土地使用权和附属的设施设备与房屋分割处置，本估价结果无效</w:t>
      </w:r>
      <w:r>
        <w:rPr>
          <w:rFonts w:hint="eastAsia"/>
          <w:color w:val="000000"/>
          <w:szCs w:val="28"/>
          <w:highlight w:val="none"/>
        </w:rPr>
        <w:t>。</w:t>
      </w:r>
    </w:p>
    <w:p>
      <w:pPr>
        <w:pStyle w:val="18"/>
        <w:spacing w:line="460" w:lineRule="exact"/>
        <w:ind w:firstLine="560"/>
        <w:rPr>
          <w:color w:val="000000"/>
          <w:szCs w:val="28"/>
          <w:highlight w:val="none"/>
        </w:rPr>
      </w:pPr>
      <w:r>
        <w:rPr>
          <w:rFonts w:hint="eastAsia"/>
          <w:color w:val="000000"/>
          <w:szCs w:val="28"/>
          <w:highlight w:val="none"/>
        </w:rPr>
        <w:t>10、本估价报告结论系为估价委托人提供的专业化估价意见，这个意见本身无强制执行的效力，评估者只对结论本身符合规范要求负责，而不对房地产定价决策负责。</w:t>
      </w:r>
    </w:p>
    <w:p>
      <w:pPr>
        <w:pStyle w:val="18"/>
        <w:spacing w:line="460" w:lineRule="exact"/>
        <w:ind w:firstLine="560"/>
        <w:rPr>
          <w:color w:val="000000"/>
          <w:szCs w:val="28"/>
          <w:highlight w:val="none"/>
        </w:rPr>
      </w:pPr>
      <w:r>
        <w:rPr>
          <w:rFonts w:hint="eastAsia"/>
          <w:color w:val="000000"/>
          <w:szCs w:val="28"/>
          <w:highlight w:val="none"/>
        </w:rPr>
        <w:t>11、根据本次评估的目的，以估价对象无任何债权债务纠纷</w:t>
      </w:r>
      <w:r>
        <w:rPr>
          <w:rFonts w:hint="eastAsia" w:hAnsi="Roman 20cpi"/>
          <w:color w:val="000000"/>
          <w:kern w:val="0"/>
          <w:szCs w:val="21"/>
          <w:highlight w:val="none"/>
        </w:rPr>
        <w:t>并未涉及与估价对象有关的</w:t>
      </w:r>
      <w:r>
        <w:rPr>
          <w:rFonts w:hint="eastAsia" w:hAnsi="Roman 20cpi"/>
          <w:color w:val="000000"/>
          <w:kern w:val="0"/>
          <w:szCs w:val="21"/>
          <w:highlight w:val="none"/>
          <w:lang w:eastAsia="zh-CN"/>
        </w:rPr>
        <w:t>租赁、</w:t>
      </w:r>
      <w:r>
        <w:rPr>
          <w:rFonts w:hint="eastAsia" w:hAnsi="Roman 20cpi"/>
          <w:color w:val="000000"/>
          <w:kern w:val="0"/>
          <w:szCs w:val="21"/>
          <w:highlight w:val="none"/>
        </w:rPr>
        <w:t>抵押、担保及负债。</w:t>
      </w:r>
    </w:p>
    <w:p>
      <w:pPr>
        <w:pStyle w:val="18"/>
        <w:spacing w:line="460" w:lineRule="exact"/>
        <w:ind w:firstLine="560"/>
        <w:rPr>
          <w:szCs w:val="28"/>
          <w:highlight w:val="none"/>
        </w:rPr>
      </w:pPr>
      <w:r>
        <w:rPr>
          <w:rFonts w:hint="eastAsia"/>
          <w:szCs w:val="28"/>
          <w:highlight w:val="none"/>
        </w:rPr>
        <w:t>1</w:t>
      </w:r>
      <w:r>
        <w:rPr>
          <w:rFonts w:hint="eastAsia"/>
          <w:szCs w:val="28"/>
          <w:highlight w:val="none"/>
          <w:lang w:val="en-US" w:eastAsia="zh-CN"/>
        </w:rPr>
        <w:t>2</w:t>
      </w:r>
      <w:r>
        <w:rPr>
          <w:rFonts w:hint="eastAsia"/>
          <w:szCs w:val="28"/>
          <w:highlight w:val="none"/>
        </w:rPr>
        <w:t>、经估价人员实地查勘，估价对象</w:t>
      </w:r>
      <w:r>
        <w:rPr>
          <w:rFonts w:hint="eastAsia"/>
          <w:szCs w:val="28"/>
          <w:highlight w:val="none"/>
          <w:lang w:val="en-US" w:eastAsia="zh-CN"/>
        </w:rPr>
        <w:t>5</w:t>
      </w:r>
      <w:r>
        <w:rPr>
          <w:rFonts w:hint="eastAsia"/>
          <w:szCs w:val="28"/>
          <w:highlight w:val="none"/>
        </w:rPr>
        <w:t>出租经营为“</w:t>
      </w:r>
      <w:r>
        <w:rPr>
          <w:rFonts w:hint="eastAsia"/>
          <w:szCs w:val="28"/>
          <w:highlight w:val="none"/>
          <w:lang w:eastAsia="zh-CN"/>
        </w:rPr>
        <w:t>谢记沙鳖</w:t>
      </w:r>
      <w:r>
        <w:rPr>
          <w:rFonts w:hint="eastAsia"/>
          <w:szCs w:val="28"/>
          <w:highlight w:val="none"/>
        </w:rPr>
        <w:t>”的部分，提请报告使用人注意。</w:t>
      </w:r>
    </w:p>
    <w:p>
      <w:pPr>
        <w:pStyle w:val="18"/>
        <w:spacing w:line="460" w:lineRule="exact"/>
        <w:ind w:firstLine="560"/>
        <w:rPr>
          <w:color w:val="000000"/>
          <w:szCs w:val="28"/>
          <w:highlight w:val="none"/>
        </w:rPr>
      </w:pPr>
      <w:r>
        <w:rPr>
          <w:rFonts w:hint="eastAsia"/>
          <w:color w:val="000000"/>
          <w:szCs w:val="28"/>
          <w:highlight w:val="none"/>
        </w:rPr>
        <w:t>1</w:t>
      </w:r>
      <w:r>
        <w:rPr>
          <w:rFonts w:hint="eastAsia"/>
          <w:color w:val="000000"/>
          <w:szCs w:val="28"/>
          <w:highlight w:val="none"/>
          <w:lang w:val="en-US" w:eastAsia="zh-CN"/>
        </w:rPr>
        <w:t>3</w:t>
      </w:r>
      <w:r>
        <w:rPr>
          <w:rFonts w:hint="eastAsia"/>
          <w:color w:val="000000"/>
          <w:szCs w:val="28"/>
          <w:highlight w:val="none"/>
        </w:rPr>
        <w:t>、本次评估是基于上述假设和限制条件成立的，如以上假设和限制条件发生变化，本报告结果必须作相应调整。</w:t>
      </w:r>
    </w:p>
    <w:p>
      <w:pPr>
        <w:pStyle w:val="18"/>
        <w:spacing w:line="460" w:lineRule="exact"/>
        <w:ind w:firstLine="560"/>
        <w:rPr>
          <w:color w:val="000000"/>
          <w:szCs w:val="28"/>
          <w:highlight w:val="none"/>
        </w:rPr>
      </w:pPr>
    </w:p>
    <w:p>
      <w:pPr>
        <w:pStyle w:val="18"/>
        <w:spacing w:line="440" w:lineRule="exact"/>
        <w:ind w:firstLine="560"/>
        <w:rPr>
          <w:szCs w:val="28"/>
          <w:highlight w:val="none"/>
        </w:rPr>
      </w:pPr>
    </w:p>
    <w:p>
      <w:pPr>
        <w:pStyle w:val="17"/>
        <w:spacing w:line="240" w:lineRule="exac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br w:type="page"/>
      </w:r>
      <w:bookmarkStart w:id="31" w:name="_Toc416685182"/>
      <w:bookmarkStart w:id="32" w:name="_Toc436762271"/>
      <w:bookmarkStart w:id="33" w:name="_Toc416685220"/>
      <w:bookmarkStart w:id="34" w:name="_Toc409964662"/>
      <w:bookmarkStart w:id="35" w:name="_Toc416685140"/>
    </w:p>
    <w:p>
      <w:pPr>
        <w:pStyle w:val="17"/>
        <w:spacing w:line="240" w:lineRule="exact"/>
        <w:rPr>
          <w:highlight w:val="none"/>
        </w:rPr>
      </w:pPr>
      <w:bookmarkStart w:id="36" w:name="_Toc467764805"/>
    </w:p>
    <w:p>
      <w:pPr>
        <w:pStyle w:val="17"/>
        <w:spacing w:line="600" w:lineRule="exact"/>
        <w:rPr>
          <w:highlight w:val="none"/>
        </w:rPr>
      </w:pPr>
      <w:r>
        <w:rPr>
          <w:rFonts w:hint="eastAsia"/>
          <w:highlight w:val="none"/>
        </w:rPr>
        <w:t>第四部分  估价结果报告</w:t>
      </w:r>
      <w:bookmarkEnd w:id="31"/>
      <w:bookmarkEnd w:id="32"/>
      <w:bookmarkEnd w:id="33"/>
      <w:bookmarkEnd w:id="34"/>
      <w:bookmarkEnd w:id="35"/>
      <w:bookmarkEnd w:id="36"/>
    </w:p>
    <w:p>
      <w:pPr>
        <w:pStyle w:val="18"/>
        <w:spacing w:line="240" w:lineRule="exact"/>
        <w:ind w:firstLine="560"/>
        <w:rPr>
          <w:highlight w:val="none"/>
        </w:rPr>
      </w:pPr>
    </w:p>
    <w:p>
      <w:pPr>
        <w:pStyle w:val="19"/>
        <w:spacing w:line="460" w:lineRule="exact"/>
        <w:ind w:firstLine="562"/>
        <w:jc w:val="both"/>
        <w:rPr>
          <w:highlight w:val="none"/>
        </w:rPr>
      </w:pPr>
      <w:bookmarkStart w:id="37" w:name="_Toc416685183"/>
      <w:bookmarkStart w:id="38" w:name="_Toc409964663"/>
      <w:bookmarkStart w:id="39" w:name="_Toc467764806"/>
      <w:bookmarkStart w:id="40" w:name="_Toc436762272"/>
      <w:bookmarkStart w:id="41" w:name="_Toc416685221"/>
      <w:bookmarkStart w:id="42" w:name="_Toc416685141"/>
      <w:r>
        <w:rPr>
          <w:rFonts w:hint="eastAsia"/>
          <w:highlight w:val="none"/>
        </w:rPr>
        <w:t>一、估价委托人</w:t>
      </w:r>
      <w:bookmarkEnd w:id="37"/>
      <w:bookmarkEnd w:id="38"/>
      <w:bookmarkEnd w:id="39"/>
      <w:bookmarkEnd w:id="40"/>
      <w:bookmarkEnd w:id="41"/>
      <w:bookmarkEnd w:id="42"/>
      <w:bookmarkStart w:id="43" w:name="_Toc436762273"/>
      <w:bookmarkStart w:id="44" w:name="_Toc416685222"/>
      <w:bookmarkStart w:id="45" w:name="_Toc416685142"/>
      <w:bookmarkStart w:id="46" w:name="_Toc416685184"/>
      <w:bookmarkStart w:id="47" w:name="_Toc409964664"/>
    </w:p>
    <w:p>
      <w:pPr>
        <w:pStyle w:val="18"/>
        <w:spacing w:line="460" w:lineRule="exact"/>
        <w:ind w:firstLine="560"/>
        <w:rPr>
          <w:rFonts w:hint="eastAsia" w:hAnsi="宋体" w:eastAsia="仿宋_GB2312"/>
          <w:bCs/>
          <w:highlight w:val="none"/>
          <w:lang w:eastAsia="zh-CN"/>
        </w:rPr>
      </w:pPr>
      <w:bookmarkStart w:id="48" w:name="_Toc467764811"/>
      <w:r>
        <w:rPr>
          <w:rFonts w:hint="eastAsia" w:hAnsi="宋体"/>
          <w:bCs/>
          <w:highlight w:val="none"/>
        </w:rPr>
        <w:t>1、单位名称：</w:t>
      </w:r>
      <w:r>
        <w:rPr>
          <w:rFonts w:hint="eastAsia" w:hAnsi="宋体"/>
          <w:bCs/>
          <w:highlight w:val="none"/>
          <w:lang w:eastAsia="zh-CN"/>
        </w:rPr>
        <w:t>湘潭县人民法院</w:t>
      </w:r>
    </w:p>
    <w:p>
      <w:pPr>
        <w:pStyle w:val="18"/>
        <w:spacing w:line="460" w:lineRule="exact"/>
        <w:ind w:firstLine="560"/>
        <w:rPr>
          <w:rFonts w:hint="default" w:hAnsi="宋体" w:eastAsia="仿宋_GB2312"/>
          <w:bCs/>
          <w:highlight w:val="none"/>
          <w:lang w:val="en-US" w:eastAsia="zh-CN"/>
        </w:rPr>
      </w:pPr>
      <w:r>
        <w:rPr>
          <w:rFonts w:hint="eastAsia" w:hAnsi="宋体"/>
          <w:bCs/>
          <w:highlight w:val="none"/>
        </w:rPr>
        <w:t>2、地址：湖南省</w:t>
      </w:r>
      <w:r>
        <w:rPr>
          <w:rFonts w:hint="eastAsia" w:hAnsi="宋体"/>
          <w:bCs/>
          <w:highlight w:val="none"/>
          <w:lang w:eastAsia="zh-CN"/>
        </w:rPr>
        <w:t>湘潭县易俗河镇凤凰路中路</w:t>
      </w:r>
      <w:r>
        <w:rPr>
          <w:rFonts w:hint="eastAsia" w:hAnsi="宋体"/>
          <w:bCs/>
          <w:highlight w:val="none"/>
          <w:lang w:val="en-US" w:eastAsia="zh-CN"/>
        </w:rPr>
        <w:t>1038号</w:t>
      </w:r>
    </w:p>
    <w:p>
      <w:pPr>
        <w:pStyle w:val="18"/>
        <w:spacing w:line="460" w:lineRule="exact"/>
        <w:ind w:firstLine="560"/>
        <w:rPr>
          <w:rFonts w:hAnsi="宋体"/>
          <w:bCs/>
          <w:highlight w:val="none"/>
        </w:rPr>
      </w:pPr>
      <w:r>
        <w:rPr>
          <w:rFonts w:hint="eastAsia" w:hAnsi="宋体"/>
          <w:bCs/>
          <w:highlight w:val="none"/>
        </w:rPr>
        <w:t>3、联系人：</w:t>
      </w:r>
      <w:r>
        <w:rPr>
          <w:rFonts w:hint="eastAsia" w:hAnsi="宋体"/>
          <w:bCs/>
          <w:highlight w:val="none"/>
          <w:lang w:eastAsia="zh-CN"/>
        </w:rPr>
        <w:t>谭</w:t>
      </w:r>
      <w:r>
        <w:rPr>
          <w:rFonts w:hint="eastAsia" w:hAnsi="宋体"/>
          <w:bCs/>
          <w:highlight w:val="none"/>
        </w:rPr>
        <w:t>法官</w:t>
      </w:r>
    </w:p>
    <w:p>
      <w:pPr>
        <w:pStyle w:val="18"/>
        <w:spacing w:line="460" w:lineRule="exact"/>
        <w:ind w:firstLine="560"/>
        <w:rPr>
          <w:rFonts w:hint="default" w:hAnsi="宋体" w:eastAsia="仿宋_GB2312"/>
          <w:bCs/>
          <w:highlight w:val="none"/>
          <w:lang w:val="en-US" w:eastAsia="zh-CN"/>
        </w:rPr>
      </w:pPr>
      <w:r>
        <w:rPr>
          <w:rFonts w:hint="eastAsia" w:hAnsi="宋体"/>
          <w:bCs/>
          <w:highlight w:val="none"/>
        </w:rPr>
        <w:t>4、联系电话：1</w:t>
      </w:r>
      <w:r>
        <w:rPr>
          <w:rFonts w:hint="eastAsia" w:hAnsi="宋体"/>
          <w:bCs/>
          <w:highlight w:val="none"/>
          <w:lang w:val="en-US" w:eastAsia="zh-CN"/>
        </w:rPr>
        <w:t>7807322821</w:t>
      </w:r>
    </w:p>
    <w:p>
      <w:pPr>
        <w:pStyle w:val="19"/>
        <w:spacing w:line="460" w:lineRule="exact"/>
        <w:ind w:firstLine="562"/>
        <w:jc w:val="both"/>
        <w:rPr>
          <w:highlight w:val="none"/>
        </w:rPr>
      </w:pPr>
      <w:r>
        <w:rPr>
          <w:rFonts w:hint="eastAsia"/>
          <w:highlight w:val="none"/>
        </w:rPr>
        <w:t>二、房地产估价机构</w:t>
      </w:r>
      <w:bookmarkEnd w:id="43"/>
      <w:bookmarkEnd w:id="44"/>
      <w:bookmarkEnd w:id="45"/>
      <w:bookmarkEnd w:id="46"/>
      <w:bookmarkEnd w:id="47"/>
      <w:bookmarkEnd w:id="48"/>
    </w:p>
    <w:p>
      <w:pPr>
        <w:pStyle w:val="18"/>
        <w:spacing w:line="460" w:lineRule="exact"/>
        <w:ind w:firstLine="560"/>
        <w:rPr>
          <w:rFonts w:hAnsi="宋体"/>
          <w:bCs/>
          <w:highlight w:val="none"/>
        </w:rPr>
      </w:pPr>
      <w:bookmarkStart w:id="49" w:name="_Toc416685223"/>
      <w:bookmarkStart w:id="50" w:name="_Toc409964665"/>
      <w:bookmarkStart w:id="51" w:name="_Toc436762274"/>
      <w:bookmarkStart w:id="52" w:name="_Toc416685185"/>
      <w:bookmarkStart w:id="53" w:name="_Toc416685143"/>
      <w:r>
        <w:rPr>
          <w:rFonts w:hint="eastAsia" w:hAnsi="宋体"/>
          <w:bCs/>
          <w:highlight w:val="none"/>
        </w:rPr>
        <w:t>1、机构名称: 湖南明诚房地产评估有限责任公司</w:t>
      </w:r>
    </w:p>
    <w:p>
      <w:pPr>
        <w:pStyle w:val="18"/>
        <w:spacing w:line="460" w:lineRule="exact"/>
        <w:ind w:firstLine="560"/>
        <w:rPr>
          <w:rFonts w:hAnsi="宋体"/>
          <w:bCs/>
          <w:highlight w:val="none"/>
        </w:rPr>
      </w:pPr>
      <w:r>
        <w:rPr>
          <w:rFonts w:hint="eastAsia" w:hAnsi="宋体"/>
          <w:bCs/>
          <w:highlight w:val="none"/>
        </w:rPr>
        <w:t>2、统一社会信用代码：91430400758040153X</w:t>
      </w:r>
    </w:p>
    <w:p>
      <w:pPr>
        <w:pStyle w:val="18"/>
        <w:spacing w:line="460" w:lineRule="exact"/>
        <w:ind w:firstLine="560"/>
        <w:rPr>
          <w:rFonts w:hAnsi="宋体"/>
          <w:bCs/>
          <w:highlight w:val="none"/>
        </w:rPr>
      </w:pPr>
      <w:r>
        <w:rPr>
          <w:rFonts w:hint="eastAsia" w:hAnsi="宋体"/>
          <w:bCs/>
          <w:highlight w:val="none"/>
        </w:rPr>
        <w:t>3、法人代表: 卿国鸿</w:t>
      </w:r>
    </w:p>
    <w:p>
      <w:pPr>
        <w:pStyle w:val="18"/>
        <w:spacing w:line="460" w:lineRule="exact"/>
        <w:ind w:firstLine="560"/>
        <w:rPr>
          <w:rFonts w:hAnsi="宋体"/>
          <w:bCs/>
          <w:spacing w:val="-20"/>
          <w:highlight w:val="none"/>
        </w:rPr>
      </w:pPr>
      <w:r>
        <w:rPr>
          <w:rFonts w:hint="eastAsia" w:hAnsi="宋体"/>
          <w:bCs/>
          <w:highlight w:val="none"/>
        </w:rPr>
        <w:t>4、地   址：</w:t>
      </w:r>
      <w:r>
        <w:rPr>
          <w:rFonts w:hint="eastAsia" w:hAnsi="宋体"/>
          <w:bCs/>
          <w:spacing w:val="-20"/>
          <w:highlight w:val="none"/>
        </w:rPr>
        <w:t>湖南省衡阳市蒸湘区祝融路8号沐林美郡二期28栋1804室</w:t>
      </w:r>
    </w:p>
    <w:p>
      <w:pPr>
        <w:pStyle w:val="18"/>
        <w:spacing w:line="460" w:lineRule="exact"/>
        <w:ind w:firstLine="560"/>
        <w:rPr>
          <w:rFonts w:hAnsi="宋体"/>
          <w:bCs/>
          <w:highlight w:val="none"/>
        </w:rPr>
      </w:pPr>
      <w:r>
        <w:rPr>
          <w:rFonts w:hint="eastAsia" w:hAnsi="宋体"/>
          <w:bCs/>
          <w:highlight w:val="none"/>
        </w:rPr>
        <w:t>5、备案等级: 原二级资质</w:t>
      </w:r>
    </w:p>
    <w:p>
      <w:pPr>
        <w:pStyle w:val="18"/>
        <w:spacing w:line="460" w:lineRule="exact"/>
        <w:ind w:firstLine="560"/>
        <w:rPr>
          <w:rFonts w:hAnsi="宋体"/>
          <w:bCs/>
          <w:highlight w:val="none"/>
        </w:rPr>
      </w:pPr>
      <w:r>
        <w:rPr>
          <w:rFonts w:hint="eastAsia" w:hAnsi="宋体"/>
          <w:bCs/>
          <w:highlight w:val="none"/>
        </w:rPr>
        <w:t>6、证书编号: 湘建房估（衡）字第0420026号</w:t>
      </w:r>
    </w:p>
    <w:p>
      <w:pPr>
        <w:pStyle w:val="18"/>
        <w:spacing w:line="460" w:lineRule="exact"/>
        <w:ind w:firstLine="560"/>
        <w:rPr>
          <w:highlight w:val="none"/>
        </w:rPr>
      </w:pPr>
      <w:r>
        <w:rPr>
          <w:rFonts w:hint="eastAsia" w:hAnsi="宋体"/>
          <w:bCs/>
          <w:highlight w:val="none"/>
        </w:rPr>
        <w:t>7、联系电话: 0734-8222216</w:t>
      </w:r>
    </w:p>
    <w:p>
      <w:pPr>
        <w:pStyle w:val="19"/>
        <w:spacing w:line="460" w:lineRule="exact"/>
        <w:ind w:firstLine="562"/>
        <w:rPr>
          <w:highlight w:val="none"/>
        </w:rPr>
      </w:pPr>
      <w:bookmarkStart w:id="54" w:name="_Toc467764812"/>
      <w:r>
        <w:rPr>
          <w:rFonts w:hint="eastAsia"/>
          <w:highlight w:val="none"/>
        </w:rPr>
        <w:t>三、估价目的</w:t>
      </w:r>
      <w:bookmarkEnd w:id="49"/>
      <w:bookmarkEnd w:id="50"/>
      <w:bookmarkEnd w:id="51"/>
      <w:bookmarkEnd w:id="52"/>
      <w:bookmarkEnd w:id="53"/>
      <w:bookmarkEnd w:id="54"/>
    </w:p>
    <w:p>
      <w:pPr>
        <w:pStyle w:val="18"/>
        <w:spacing w:line="460" w:lineRule="exact"/>
        <w:ind w:firstLine="560"/>
        <w:rPr>
          <w:rFonts w:hAnsi="仿宋_GB2312" w:cs="仿宋_GB2312"/>
          <w:szCs w:val="28"/>
          <w:highlight w:val="none"/>
        </w:rPr>
      </w:pPr>
      <w:r>
        <w:rPr>
          <w:rFonts w:hint="eastAsia" w:hAnsi="宋体"/>
          <w:bCs/>
          <w:highlight w:val="none"/>
        </w:rPr>
        <w:t>为人民法院确定财产处置参考价提供参考依据。</w:t>
      </w:r>
    </w:p>
    <w:p>
      <w:pPr>
        <w:pStyle w:val="19"/>
        <w:spacing w:line="460" w:lineRule="exact"/>
        <w:ind w:firstLine="562"/>
        <w:rPr>
          <w:highlight w:val="none"/>
        </w:rPr>
      </w:pPr>
      <w:bookmarkStart w:id="55" w:name="_Toc416685144"/>
      <w:bookmarkStart w:id="56" w:name="_Toc467764813"/>
      <w:bookmarkStart w:id="57" w:name="_Toc436762275"/>
      <w:bookmarkStart w:id="58" w:name="_Toc416685224"/>
      <w:bookmarkStart w:id="59" w:name="_Toc409964666"/>
      <w:bookmarkStart w:id="60" w:name="_Toc416685186"/>
      <w:r>
        <w:rPr>
          <w:rFonts w:hint="eastAsia"/>
          <w:highlight w:val="none"/>
        </w:rPr>
        <w:t>四、估价对象</w:t>
      </w:r>
      <w:bookmarkEnd w:id="55"/>
      <w:bookmarkEnd w:id="56"/>
      <w:bookmarkEnd w:id="57"/>
      <w:bookmarkEnd w:id="58"/>
      <w:bookmarkEnd w:id="59"/>
      <w:bookmarkEnd w:id="60"/>
    </w:p>
    <w:p>
      <w:pPr>
        <w:pStyle w:val="18"/>
        <w:spacing w:line="460" w:lineRule="exact"/>
        <w:ind w:firstLine="562"/>
        <w:rPr>
          <w:b/>
          <w:highlight w:val="none"/>
        </w:rPr>
      </w:pPr>
      <w:r>
        <w:rPr>
          <w:rFonts w:hint="eastAsia"/>
          <w:b/>
          <w:highlight w:val="none"/>
        </w:rPr>
        <w:t>1、估价对象范围</w:t>
      </w:r>
    </w:p>
    <w:p>
      <w:pPr>
        <w:pStyle w:val="18"/>
        <w:spacing w:line="460" w:lineRule="exact"/>
        <w:ind w:firstLine="560"/>
        <w:rPr>
          <w:highlight w:val="none"/>
        </w:rPr>
      </w:pPr>
      <w:r>
        <w:rPr>
          <w:rFonts w:hint="eastAsia" w:hAnsi="宋体"/>
          <w:highlight w:val="none"/>
        </w:rPr>
        <w:t>本次</w:t>
      </w:r>
      <w:r>
        <w:rPr>
          <w:rFonts w:hint="eastAsia" w:ascii="Calibri"/>
          <w:highlight w:val="none"/>
        </w:rPr>
        <w:t>估价报告的</w:t>
      </w:r>
      <w:r>
        <w:rPr>
          <w:rFonts w:hint="eastAsia" w:hAnsi="宋体"/>
          <w:highlight w:val="none"/>
        </w:rPr>
        <w:t>估价对象为</w:t>
      </w:r>
      <w:r>
        <w:rPr>
          <w:rFonts w:hint="eastAsia"/>
          <w:highlight w:val="none"/>
          <w:lang w:eastAsia="zh-CN"/>
        </w:rPr>
        <w:t>湘潭市雨湖区昭潭乡迎宾东路68号1号门面及2号门面、1号楼5号门面、34号23号门面、雨湖区昭潭乡迎宾东路</w:t>
      </w:r>
      <w:r>
        <w:rPr>
          <w:rFonts w:hint="eastAsia"/>
          <w:highlight w:val="none"/>
          <w:lang w:val="en-US" w:eastAsia="zh-CN"/>
        </w:rPr>
        <w:t>218</w:t>
      </w:r>
      <w:r>
        <w:rPr>
          <w:rFonts w:hint="eastAsia"/>
          <w:highlight w:val="none"/>
          <w:lang w:eastAsia="zh-CN"/>
        </w:rPr>
        <w:t>号</w:t>
      </w:r>
      <w:r>
        <w:rPr>
          <w:rFonts w:hint="eastAsia"/>
          <w:highlight w:val="none"/>
          <w:lang w:val="en-US" w:eastAsia="zh-CN"/>
        </w:rPr>
        <w:t>10栋3单元3号住宅</w:t>
      </w:r>
      <w:r>
        <w:rPr>
          <w:rFonts w:hint="eastAsia"/>
          <w:highlight w:val="none"/>
        </w:rPr>
        <w:t>用房</w:t>
      </w:r>
      <w:r>
        <w:rPr>
          <w:rFonts w:hint="eastAsia"/>
          <w:highlight w:val="none"/>
          <w:lang w:eastAsia="zh-CN"/>
        </w:rPr>
        <w:t>、雨湖区城正街街道建城路</w:t>
      </w:r>
      <w:r>
        <w:rPr>
          <w:rFonts w:hint="eastAsia"/>
          <w:highlight w:val="none"/>
          <w:lang w:val="en-US" w:eastAsia="zh-CN"/>
        </w:rPr>
        <w:t>98号梦真园小区3号楼1单元030101号及030102号住宅用房</w:t>
      </w:r>
      <w:r>
        <w:rPr>
          <w:rFonts w:hint="eastAsia"/>
          <w:highlight w:val="none"/>
          <w:lang w:eastAsia="zh-CN"/>
        </w:rPr>
        <w:t>，总</w:t>
      </w:r>
      <w:r>
        <w:rPr>
          <w:rFonts w:hint="eastAsia"/>
          <w:highlight w:val="none"/>
        </w:rPr>
        <w:t>建筑面积为</w:t>
      </w:r>
      <w:r>
        <w:rPr>
          <w:rFonts w:hint="eastAsia"/>
          <w:highlight w:val="none"/>
          <w:lang w:val="en-US" w:eastAsia="zh-CN"/>
        </w:rPr>
        <w:t>860.65</w:t>
      </w:r>
      <w:r>
        <w:rPr>
          <w:rFonts w:hint="eastAsia"/>
          <w:highlight w:val="none"/>
        </w:rPr>
        <w:t>平方米</w:t>
      </w:r>
      <w:r>
        <w:rPr>
          <w:rFonts w:hint="eastAsia" w:hAnsi="宋体"/>
          <w:highlight w:val="none"/>
        </w:rPr>
        <w:t>房地产，估价范围包含估价对象的建筑物价</w:t>
      </w:r>
      <w:r>
        <w:rPr>
          <w:rFonts w:hint="eastAsia"/>
          <w:szCs w:val="28"/>
          <w:highlight w:val="none"/>
        </w:rPr>
        <w:t>值及其所分摊土地的土地价值，</w:t>
      </w:r>
      <w:r>
        <w:rPr>
          <w:rFonts w:hint="eastAsia" w:hAnsi="宋体"/>
          <w:highlight w:val="none"/>
        </w:rPr>
        <w:t>以及房地产</w:t>
      </w:r>
      <w:r>
        <w:rPr>
          <w:rFonts w:hint="eastAsia" w:hAnsi="宋体"/>
          <w:bCs/>
          <w:highlight w:val="none"/>
        </w:rPr>
        <w:t>不可分割的满足其使用功能的房屋水、电、气等配套的辅助设施价值</w:t>
      </w:r>
      <w:r>
        <w:rPr>
          <w:rFonts w:hint="eastAsia" w:hAnsi="宋体"/>
          <w:bCs/>
          <w:highlight w:val="none"/>
          <w:lang w:eastAsia="zh-CN"/>
        </w:rPr>
        <w:t>和不可移动部分的装饰装修价值</w:t>
      </w:r>
      <w:r>
        <w:rPr>
          <w:rFonts w:hint="eastAsia" w:hAnsi="宋体"/>
          <w:bCs/>
          <w:highlight w:val="none"/>
        </w:rPr>
        <w:t>，但不包括可移动部分的价值</w:t>
      </w:r>
      <w:r>
        <w:rPr>
          <w:rFonts w:hint="eastAsia" w:hAnsi="宋体"/>
          <w:highlight w:val="none"/>
        </w:rPr>
        <w:t>。</w:t>
      </w:r>
    </w:p>
    <w:p>
      <w:pPr>
        <w:pStyle w:val="18"/>
        <w:spacing w:line="460" w:lineRule="exact"/>
        <w:ind w:firstLine="562"/>
        <w:rPr>
          <w:b/>
          <w:highlight w:val="none"/>
        </w:rPr>
      </w:pPr>
      <w:r>
        <w:rPr>
          <w:rFonts w:hint="eastAsia"/>
          <w:b/>
          <w:highlight w:val="none"/>
        </w:rPr>
        <w:t>2、估价对象基本状况</w:t>
      </w:r>
    </w:p>
    <w:p>
      <w:pPr>
        <w:tabs>
          <w:tab w:val="left" w:pos="0"/>
        </w:tabs>
        <w:spacing w:line="460" w:lineRule="exact"/>
        <w:ind w:left="-2" w:leftChars="-1" w:firstLine="560" w:firstLineChars="200"/>
        <w:rPr>
          <w:rFonts w:ascii="仿宋_GB2312" w:hAnsi="宋体" w:eastAsia="仿宋_GB2312"/>
          <w:color w:val="000000"/>
          <w:sz w:val="28"/>
          <w:szCs w:val="28"/>
          <w:highlight w:val="none"/>
        </w:rPr>
      </w:pPr>
      <w:bookmarkStart w:id="61" w:name="_Toc416685145"/>
      <w:bookmarkStart w:id="62" w:name="_Toc409964667"/>
      <w:bookmarkStart w:id="63" w:name="_Toc467764814"/>
      <w:bookmarkStart w:id="64" w:name="_Toc436762276"/>
      <w:bookmarkStart w:id="65" w:name="_Toc416685225"/>
      <w:bookmarkStart w:id="66" w:name="_Toc416685187"/>
      <w:r>
        <w:rPr>
          <w:rFonts w:hint="eastAsia" w:ascii="仿宋_GB2312" w:eastAsia="仿宋_GB2312"/>
          <w:color w:val="000000"/>
          <w:kern w:val="0"/>
          <w:sz w:val="28"/>
          <w:szCs w:val="32"/>
          <w:highlight w:val="none"/>
        </w:rPr>
        <w:t>⑴ 估价对象</w:t>
      </w:r>
      <w:r>
        <w:rPr>
          <w:rFonts w:hint="eastAsia" w:ascii="仿宋_GB2312" w:hAnsi="宋体" w:eastAsia="仿宋_GB2312"/>
          <w:color w:val="000000"/>
          <w:sz w:val="28"/>
          <w:szCs w:val="28"/>
          <w:highlight w:val="none"/>
        </w:rPr>
        <w:t>的</w:t>
      </w:r>
      <w:r>
        <w:rPr>
          <w:rFonts w:hint="eastAsia" w:ascii="仿宋_GB2312" w:eastAsia="仿宋_GB2312"/>
          <w:color w:val="000000"/>
          <w:kern w:val="0"/>
          <w:sz w:val="28"/>
          <w:szCs w:val="32"/>
          <w:highlight w:val="none"/>
        </w:rPr>
        <w:t>基本</w:t>
      </w:r>
      <w:r>
        <w:rPr>
          <w:rFonts w:hint="eastAsia" w:ascii="仿宋_GB2312" w:hAnsi="宋体" w:eastAsia="仿宋_GB2312"/>
          <w:color w:val="000000"/>
          <w:sz w:val="28"/>
          <w:szCs w:val="28"/>
          <w:highlight w:val="none"/>
        </w:rPr>
        <w:t>情况</w:t>
      </w:r>
    </w:p>
    <w:p>
      <w:pPr>
        <w:tabs>
          <w:tab w:val="left" w:pos="0"/>
        </w:tabs>
        <w:spacing w:line="460" w:lineRule="exact"/>
        <w:ind w:left="-2" w:leftChars="-1" w:firstLine="560" w:firstLineChars="200"/>
        <w:rPr>
          <w:rFonts w:ascii="仿宋_GB2312" w:hAnsi="宋体" w:eastAsia="仿宋_GB2312"/>
          <w:b/>
          <w:color w:val="000000"/>
          <w:sz w:val="28"/>
          <w:szCs w:val="28"/>
          <w:highlight w:val="none"/>
          <w:u w:val="single"/>
        </w:rPr>
      </w:pPr>
      <w:r>
        <w:rPr>
          <w:rFonts w:hint="eastAsia" w:ascii="仿宋_GB2312" w:eastAsia="仿宋_GB2312"/>
          <w:color w:val="000000"/>
          <w:kern w:val="0"/>
          <w:sz w:val="28"/>
          <w:szCs w:val="32"/>
          <w:highlight w:val="none"/>
        </w:rPr>
        <w:t>估价对象</w:t>
      </w:r>
      <w:r>
        <w:rPr>
          <w:rFonts w:hint="eastAsia" w:ascii="仿宋_GB2312" w:hAnsi="宋体" w:eastAsia="仿宋_GB2312"/>
          <w:color w:val="000000"/>
          <w:sz w:val="28"/>
          <w:szCs w:val="28"/>
          <w:highlight w:val="none"/>
        </w:rPr>
        <w:t>的</w:t>
      </w:r>
      <w:r>
        <w:rPr>
          <w:rFonts w:hint="eastAsia" w:ascii="仿宋_GB2312" w:eastAsia="仿宋_GB2312"/>
          <w:color w:val="000000"/>
          <w:kern w:val="0"/>
          <w:sz w:val="28"/>
          <w:szCs w:val="32"/>
          <w:highlight w:val="none"/>
        </w:rPr>
        <w:t>基本</w:t>
      </w:r>
      <w:r>
        <w:rPr>
          <w:rFonts w:hint="eastAsia" w:ascii="仿宋_GB2312" w:hAnsi="宋体" w:eastAsia="仿宋_GB2312"/>
          <w:color w:val="000000"/>
          <w:sz w:val="28"/>
          <w:szCs w:val="28"/>
          <w:highlight w:val="none"/>
        </w:rPr>
        <w:t>情况</w:t>
      </w:r>
      <w:r>
        <w:rPr>
          <w:rFonts w:ascii="仿宋_GB2312" w:hAnsi="宋体" w:eastAsia="仿宋_GB2312"/>
          <w:color w:val="000000"/>
          <w:sz w:val="28"/>
          <w:szCs w:val="28"/>
          <w:highlight w:val="none"/>
        </w:rPr>
        <w:t>详见</w:t>
      </w:r>
      <w:r>
        <w:rPr>
          <w:rFonts w:hint="eastAsia" w:ascii="仿宋_GB2312" w:eastAsia="仿宋_GB2312"/>
          <w:color w:val="000000"/>
          <w:kern w:val="0"/>
          <w:sz w:val="28"/>
          <w:szCs w:val="32"/>
          <w:highlight w:val="none"/>
        </w:rPr>
        <w:t>下表：</w:t>
      </w:r>
    </w:p>
    <w:p>
      <w:pPr>
        <w:tabs>
          <w:tab w:val="left" w:pos="0"/>
        </w:tabs>
        <w:spacing w:line="460" w:lineRule="exact"/>
        <w:jc w:val="center"/>
        <w:rPr>
          <w:rFonts w:ascii="仿宋_GB2312" w:hAnsi="宋体" w:eastAsia="仿宋_GB2312"/>
          <w:b/>
          <w:color w:val="000000"/>
          <w:sz w:val="28"/>
          <w:szCs w:val="28"/>
          <w:highlight w:val="none"/>
          <w:u w:val="single"/>
        </w:rPr>
      </w:pPr>
      <w:r>
        <w:rPr>
          <w:rFonts w:hint="eastAsia" w:ascii="仿宋_GB2312" w:hAnsi="宋体" w:eastAsia="仿宋_GB2312"/>
          <w:b/>
          <w:color w:val="000000"/>
          <w:sz w:val="28"/>
          <w:szCs w:val="28"/>
          <w:highlight w:val="none"/>
          <w:u w:val="single"/>
        </w:rPr>
        <w:t>估价对象</w:t>
      </w:r>
      <w:r>
        <w:rPr>
          <w:rFonts w:ascii="仿宋_GB2312" w:hAnsi="宋体" w:eastAsia="仿宋_GB2312"/>
          <w:b/>
          <w:color w:val="000000"/>
          <w:sz w:val="28"/>
          <w:szCs w:val="28"/>
          <w:highlight w:val="none"/>
          <w:u w:val="single"/>
        </w:rPr>
        <w:t>基本</w:t>
      </w:r>
      <w:r>
        <w:rPr>
          <w:rFonts w:hint="eastAsia" w:ascii="仿宋_GB2312" w:hAnsi="宋体" w:eastAsia="仿宋_GB2312"/>
          <w:b/>
          <w:color w:val="000000"/>
          <w:sz w:val="28"/>
          <w:szCs w:val="28"/>
          <w:highlight w:val="none"/>
          <w:u w:val="single"/>
        </w:rPr>
        <w:t>情况</w:t>
      </w:r>
      <w:r>
        <w:rPr>
          <w:rFonts w:ascii="仿宋_GB2312" w:hAnsi="宋体" w:eastAsia="仿宋_GB2312"/>
          <w:b/>
          <w:color w:val="000000"/>
          <w:sz w:val="28"/>
          <w:szCs w:val="28"/>
          <w:highlight w:val="none"/>
          <w:u w:val="single"/>
        </w:rPr>
        <w:t>表</w:t>
      </w:r>
    </w:p>
    <w:tbl>
      <w:tblPr>
        <w:tblStyle w:val="13"/>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7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估价对象名称</w:t>
            </w:r>
          </w:p>
        </w:tc>
        <w:tc>
          <w:tcPr>
            <w:tcW w:w="7239" w:type="dxa"/>
            <w:vAlign w:val="center"/>
          </w:tcPr>
          <w:p>
            <w:pPr>
              <w:widowControl/>
              <w:spacing w:line="240" w:lineRule="exact"/>
              <w:jc w:val="lef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湘潭市雨湖区昭潭乡迎宾东路68号1号门面及2号门面、1号楼5号门面、34号23号门面、雨湖区昭潭乡迎宾东路</w:t>
            </w:r>
            <w:r>
              <w:rPr>
                <w:rFonts w:hint="eastAsia" w:ascii="仿宋_GB2312" w:hAnsi="宋体" w:eastAsia="仿宋_GB2312" w:cs="宋体"/>
                <w:color w:val="000000"/>
                <w:spacing w:val="-20"/>
                <w:kern w:val="0"/>
                <w:szCs w:val="21"/>
                <w:highlight w:val="none"/>
                <w:lang w:val="en-US" w:eastAsia="zh-CN"/>
              </w:rPr>
              <w:t>218</w:t>
            </w:r>
            <w:r>
              <w:rPr>
                <w:rFonts w:hint="eastAsia" w:ascii="仿宋_GB2312" w:hAnsi="宋体" w:eastAsia="仿宋_GB2312" w:cs="宋体"/>
                <w:color w:val="000000"/>
                <w:spacing w:val="-20"/>
                <w:kern w:val="0"/>
                <w:szCs w:val="21"/>
                <w:highlight w:val="none"/>
                <w:lang w:eastAsia="zh-CN"/>
              </w:rPr>
              <w:t>号</w:t>
            </w:r>
            <w:r>
              <w:rPr>
                <w:rFonts w:hint="eastAsia" w:ascii="仿宋_GB2312" w:hAnsi="宋体" w:eastAsia="仿宋_GB2312" w:cs="宋体"/>
                <w:color w:val="000000"/>
                <w:spacing w:val="-20"/>
                <w:kern w:val="0"/>
                <w:szCs w:val="21"/>
                <w:highlight w:val="none"/>
                <w:lang w:val="en-US" w:eastAsia="zh-CN"/>
              </w:rPr>
              <w:t>10栋3单元3号住宅</w:t>
            </w:r>
            <w:r>
              <w:rPr>
                <w:rFonts w:hint="eastAsia" w:ascii="仿宋_GB2312" w:hAnsi="宋体" w:eastAsia="仿宋_GB2312" w:cs="宋体"/>
                <w:color w:val="000000"/>
                <w:spacing w:val="-20"/>
                <w:kern w:val="0"/>
                <w:szCs w:val="21"/>
                <w:highlight w:val="none"/>
              </w:rPr>
              <w:t>用房</w:t>
            </w:r>
            <w:r>
              <w:rPr>
                <w:rFonts w:hint="eastAsia" w:ascii="仿宋_GB2312" w:hAnsi="宋体" w:eastAsia="仿宋_GB2312" w:cs="宋体"/>
                <w:color w:val="000000"/>
                <w:spacing w:val="-20"/>
                <w:kern w:val="0"/>
                <w:szCs w:val="21"/>
                <w:highlight w:val="none"/>
                <w:lang w:eastAsia="zh-CN"/>
              </w:rPr>
              <w:t>、雨湖区城正街街道建城路</w:t>
            </w:r>
            <w:r>
              <w:rPr>
                <w:rFonts w:hint="eastAsia" w:ascii="仿宋_GB2312" w:hAnsi="宋体" w:eastAsia="仿宋_GB2312" w:cs="宋体"/>
                <w:color w:val="000000"/>
                <w:spacing w:val="-20"/>
                <w:kern w:val="0"/>
                <w:szCs w:val="21"/>
                <w:highlight w:val="none"/>
                <w:lang w:val="en-US" w:eastAsia="zh-CN"/>
              </w:rPr>
              <w:t>98号梦真园小区3号楼1单元030101号及030102号住宅用房</w:t>
            </w:r>
            <w:r>
              <w:rPr>
                <w:rFonts w:hint="eastAsia" w:ascii="仿宋_GB2312" w:hAnsi="宋体" w:eastAsia="仿宋_GB2312" w:cs="宋体"/>
                <w:color w:val="000000"/>
                <w:spacing w:val="-20"/>
                <w:kern w:val="0"/>
                <w:szCs w:val="21"/>
                <w:highlight w:val="none"/>
                <w:lang w:eastAsia="zh-CN"/>
              </w:rPr>
              <w:t>，总</w:t>
            </w:r>
            <w:r>
              <w:rPr>
                <w:rFonts w:hint="eastAsia" w:ascii="仿宋_GB2312" w:hAnsi="宋体" w:eastAsia="仿宋_GB2312" w:cs="宋体"/>
                <w:color w:val="000000"/>
                <w:spacing w:val="-20"/>
                <w:kern w:val="0"/>
                <w:szCs w:val="21"/>
                <w:highlight w:val="none"/>
              </w:rPr>
              <w:t>建筑面积为</w:t>
            </w:r>
            <w:r>
              <w:rPr>
                <w:rFonts w:hint="eastAsia" w:ascii="仿宋_GB2312" w:hAnsi="宋体" w:eastAsia="仿宋_GB2312" w:cs="宋体"/>
                <w:color w:val="000000"/>
                <w:spacing w:val="-20"/>
                <w:kern w:val="0"/>
                <w:szCs w:val="21"/>
                <w:highlight w:val="none"/>
                <w:lang w:val="en-US" w:eastAsia="zh-CN"/>
              </w:rPr>
              <w:t>860.65</w:t>
            </w:r>
            <w:r>
              <w:rPr>
                <w:rFonts w:hint="eastAsia" w:ascii="仿宋_GB2312" w:hAnsi="宋体" w:eastAsia="仿宋_GB2312" w:cs="宋体"/>
                <w:color w:val="000000"/>
                <w:spacing w:val="-20"/>
                <w:kern w:val="0"/>
                <w:szCs w:val="21"/>
                <w:highlight w:val="none"/>
              </w:rPr>
              <w:t>平方米的房地产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坐落</w:t>
            </w:r>
          </w:p>
        </w:tc>
        <w:tc>
          <w:tcPr>
            <w:tcW w:w="7239" w:type="dxa"/>
            <w:vAlign w:val="center"/>
          </w:tcPr>
          <w:p>
            <w:pPr>
              <w:widowControl/>
              <w:spacing w:line="240" w:lineRule="exact"/>
              <w:jc w:val="lef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湘潭市雨湖区昭潭乡迎宾东路68号1号门面及2号门面、1号楼5号门面、34号23号门面、雨湖区昭潭乡迎宾东路</w:t>
            </w:r>
            <w:r>
              <w:rPr>
                <w:rFonts w:hint="eastAsia" w:ascii="仿宋_GB2312" w:hAnsi="宋体" w:eastAsia="仿宋_GB2312" w:cs="宋体"/>
                <w:color w:val="000000"/>
                <w:spacing w:val="-20"/>
                <w:kern w:val="0"/>
                <w:szCs w:val="21"/>
                <w:highlight w:val="none"/>
                <w:lang w:val="en-US" w:eastAsia="zh-CN"/>
              </w:rPr>
              <w:t>218</w:t>
            </w:r>
            <w:r>
              <w:rPr>
                <w:rFonts w:hint="eastAsia" w:ascii="仿宋_GB2312" w:hAnsi="宋体" w:eastAsia="仿宋_GB2312" w:cs="宋体"/>
                <w:color w:val="000000"/>
                <w:spacing w:val="-20"/>
                <w:kern w:val="0"/>
                <w:szCs w:val="21"/>
                <w:highlight w:val="none"/>
                <w:lang w:eastAsia="zh-CN"/>
              </w:rPr>
              <w:t>号</w:t>
            </w:r>
            <w:r>
              <w:rPr>
                <w:rFonts w:hint="eastAsia" w:ascii="仿宋_GB2312" w:hAnsi="宋体" w:eastAsia="仿宋_GB2312" w:cs="宋体"/>
                <w:color w:val="000000"/>
                <w:spacing w:val="-20"/>
                <w:kern w:val="0"/>
                <w:szCs w:val="21"/>
                <w:highlight w:val="none"/>
                <w:lang w:val="en-US" w:eastAsia="zh-CN"/>
              </w:rPr>
              <w:t>10栋3单元3号</w:t>
            </w:r>
            <w:r>
              <w:rPr>
                <w:rFonts w:hint="eastAsia" w:ascii="仿宋_GB2312" w:hAnsi="宋体" w:eastAsia="仿宋_GB2312" w:cs="宋体"/>
                <w:color w:val="000000"/>
                <w:spacing w:val="-20"/>
                <w:kern w:val="0"/>
                <w:szCs w:val="21"/>
                <w:highlight w:val="none"/>
                <w:lang w:eastAsia="zh-CN"/>
              </w:rPr>
              <w:t>、雨湖区城正街街道建城路</w:t>
            </w:r>
            <w:r>
              <w:rPr>
                <w:rFonts w:hint="eastAsia" w:ascii="仿宋_GB2312" w:hAnsi="宋体" w:eastAsia="仿宋_GB2312" w:cs="宋体"/>
                <w:color w:val="000000"/>
                <w:spacing w:val="-20"/>
                <w:kern w:val="0"/>
                <w:szCs w:val="21"/>
                <w:highlight w:val="none"/>
                <w:lang w:val="en-US" w:eastAsia="zh-CN"/>
              </w:rPr>
              <w:t>98号梦真园小区3号楼1单元030101号及030102号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建筑规模</w:t>
            </w:r>
          </w:p>
        </w:tc>
        <w:tc>
          <w:tcPr>
            <w:tcW w:w="7239" w:type="dxa"/>
            <w:vAlign w:val="center"/>
          </w:tcPr>
          <w:p>
            <w:pPr>
              <w:widowControl/>
              <w:spacing w:line="240" w:lineRule="exact"/>
              <w:jc w:val="lef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总</w:t>
            </w:r>
            <w:r>
              <w:rPr>
                <w:rFonts w:hint="eastAsia" w:ascii="仿宋_GB2312" w:hAnsi="宋体" w:eastAsia="仿宋_GB2312" w:cs="宋体"/>
                <w:color w:val="000000"/>
                <w:spacing w:val="-20"/>
                <w:kern w:val="0"/>
                <w:szCs w:val="21"/>
                <w:highlight w:val="none"/>
              </w:rPr>
              <w:t>建筑面积合计为</w:t>
            </w:r>
            <w:r>
              <w:rPr>
                <w:rFonts w:hint="eastAsia" w:ascii="仿宋_GB2312" w:hAnsi="宋体" w:eastAsia="仿宋_GB2312" w:cs="宋体"/>
                <w:color w:val="000000"/>
                <w:spacing w:val="-20"/>
                <w:kern w:val="0"/>
                <w:szCs w:val="21"/>
                <w:highlight w:val="none"/>
                <w:lang w:val="en-US" w:eastAsia="zh-CN"/>
              </w:rPr>
              <w:t>860.65</w:t>
            </w:r>
            <w:r>
              <w:rPr>
                <w:rFonts w:hint="eastAsia" w:ascii="仿宋_GB2312" w:hAnsi="宋体" w:eastAsia="仿宋_GB2312" w:cs="宋体"/>
                <w:color w:val="000000"/>
                <w:spacing w:val="-20"/>
                <w:kern w:val="0"/>
                <w:szCs w:val="21"/>
                <w:highlight w:val="none"/>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房屋用途</w:t>
            </w:r>
          </w:p>
        </w:tc>
        <w:tc>
          <w:tcPr>
            <w:tcW w:w="7239" w:type="dxa"/>
            <w:vAlign w:val="center"/>
          </w:tcPr>
          <w:p>
            <w:pPr>
              <w:widowControl/>
              <w:spacing w:line="240" w:lineRule="exact"/>
              <w:jc w:val="lef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估价对象1、2</w:t>
            </w:r>
            <w:r>
              <w:rPr>
                <w:rFonts w:hint="eastAsia" w:ascii="仿宋_GB2312" w:hAnsi="宋体" w:eastAsia="仿宋_GB2312" w:cs="宋体"/>
                <w:color w:val="000000"/>
                <w:spacing w:val="-20"/>
                <w:kern w:val="0"/>
                <w:szCs w:val="21"/>
                <w:highlight w:val="none"/>
                <w:lang w:eastAsia="zh-CN"/>
              </w:rPr>
              <w:t>、</w:t>
            </w:r>
            <w:r>
              <w:rPr>
                <w:rFonts w:hint="eastAsia" w:ascii="仿宋_GB2312" w:hAnsi="宋体" w:eastAsia="仿宋_GB2312" w:cs="宋体"/>
                <w:color w:val="000000"/>
                <w:spacing w:val="-20"/>
                <w:kern w:val="0"/>
                <w:szCs w:val="21"/>
                <w:highlight w:val="none"/>
                <w:lang w:val="en-US" w:eastAsia="zh-CN"/>
              </w:rPr>
              <w:t>3、4</w:t>
            </w:r>
            <w:r>
              <w:rPr>
                <w:rFonts w:hint="eastAsia" w:ascii="仿宋_GB2312" w:hAnsi="宋体" w:eastAsia="仿宋_GB2312" w:cs="宋体"/>
                <w:color w:val="000000"/>
                <w:spacing w:val="-20"/>
                <w:kern w:val="0"/>
                <w:szCs w:val="21"/>
                <w:highlight w:val="none"/>
              </w:rPr>
              <w:t>规划用途</w:t>
            </w:r>
            <w:r>
              <w:rPr>
                <w:rFonts w:hint="eastAsia" w:ascii="仿宋_GB2312" w:hAnsi="宋体" w:eastAsia="仿宋_GB2312" w:cs="宋体"/>
                <w:color w:val="000000"/>
                <w:spacing w:val="-20"/>
                <w:kern w:val="0"/>
                <w:szCs w:val="21"/>
                <w:highlight w:val="none"/>
                <w:lang w:eastAsia="zh-CN"/>
              </w:rPr>
              <w:t>均</w:t>
            </w:r>
            <w:r>
              <w:rPr>
                <w:rFonts w:hint="eastAsia" w:ascii="仿宋_GB2312" w:hAnsi="宋体" w:eastAsia="仿宋_GB2312" w:cs="宋体"/>
                <w:color w:val="000000"/>
                <w:spacing w:val="-20"/>
                <w:kern w:val="0"/>
                <w:szCs w:val="21"/>
                <w:highlight w:val="none"/>
              </w:rPr>
              <w:t>为商业，实际用途</w:t>
            </w:r>
            <w:r>
              <w:rPr>
                <w:rFonts w:hint="eastAsia" w:ascii="仿宋_GB2312" w:hAnsi="宋体" w:eastAsia="仿宋_GB2312" w:cs="宋体"/>
                <w:color w:val="000000"/>
                <w:spacing w:val="-20"/>
                <w:kern w:val="0"/>
                <w:szCs w:val="21"/>
                <w:highlight w:val="none"/>
                <w:lang w:eastAsia="zh-CN"/>
              </w:rPr>
              <w:t>均</w:t>
            </w:r>
            <w:r>
              <w:rPr>
                <w:rFonts w:hint="eastAsia" w:ascii="仿宋_GB2312" w:hAnsi="宋体" w:eastAsia="仿宋_GB2312" w:cs="宋体"/>
                <w:color w:val="000000"/>
                <w:spacing w:val="-20"/>
                <w:kern w:val="0"/>
                <w:szCs w:val="21"/>
                <w:highlight w:val="none"/>
              </w:rPr>
              <w:t>为商业</w:t>
            </w:r>
            <w:r>
              <w:rPr>
                <w:rFonts w:hint="eastAsia" w:ascii="仿宋_GB2312" w:hAnsi="宋体" w:eastAsia="仿宋_GB2312" w:cs="宋体"/>
                <w:color w:val="000000"/>
                <w:spacing w:val="-20"/>
                <w:kern w:val="0"/>
                <w:szCs w:val="21"/>
                <w:highlight w:val="none"/>
                <w:lang w:eastAsia="zh-CN"/>
              </w:rPr>
              <w:t>。</w:t>
            </w:r>
            <w:r>
              <w:rPr>
                <w:rFonts w:hint="eastAsia" w:ascii="仿宋_GB2312" w:hAnsi="宋体" w:eastAsia="仿宋_GB2312" w:cs="宋体"/>
                <w:color w:val="000000"/>
                <w:spacing w:val="-20"/>
                <w:kern w:val="0"/>
                <w:szCs w:val="21"/>
                <w:highlight w:val="none"/>
              </w:rPr>
              <w:t>估价对象</w:t>
            </w:r>
            <w:r>
              <w:rPr>
                <w:rFonts w:hint="eastAsia" w:ascii="仿宋_GB2312" w:hAnsi="宋体" w:eastAsia="仿宋_GB2312" w:cs="宋体"/>
                <w:color w:val="000000"/>
                <w:spacing w:val="-20"/>
                <w:kern w:val="0"/>
                <w:szCs w:val="21"/>
                <w:highlight w:val="none"/>
                <w:lang w:val="en-US" w:eastAsia="zh-CN"/>
              </w:rPr>
              <w:t>5</w:t>
            </w:r>
            <w:r>
              <w:rPr>
                <w:rFonts w:hint="eastAsia" w:ascii="仿宋_GB2312" w:hAnsi="宋体" w:eastAsia="仿宋_GB2312" w:cs="宋体"/>
                <w:color w:val="000000"/>
                <w:spacing w:val="-20"/>
                <w:kern w:val="0"/>
                <w:szCs w:val="21"/>
                <w:highlight w:val="none"/>
                <w:lang w:eastAsia="zh-CN"/>
              </w:rPr>
              <w:t>、</w:t>
            </w:r>
            <w:r>
              <w:rPr>
                <w:rFonts w:hint="eastAsia" w:ascii="仿宋_GB2312" w:hAnsi="宋体" w:eastAsia="仿宋_GB2312" w:cs="宋体"/>
                <w:color w:val="000000"/>
                <w:spacing w:val="-20"/>
                <w:kern w:val="0"/>
                <w:szCs w:val="21"/>
                <w:highlight w:val="none"/>
                <w:lang w:val="en-US" w:eastAsia="zh-CN"/>
              </w:rPr>
              <w:t>6、7</w:t>
            </w:r>
            <w:r>
              <w:rPr>
                <w:rFonts w:hint="eastAsia" w:ascii="仿宋_GB2312" w:hAnsi="宋体" w:eastAsia="仿宋_GB2312" w:cs="宋体"/>
                <w:color w:val="000000"/>
                <w:spacing w:val="-20"/>
                <w:kern w:val="0"/>
                <w:szCs w:val="21"/>
                <w:highlight w:val="none"/>
              </w:rPr>
              <w:t>规划用途</w:t>
            </w:r>
            <w:r>
              <w:rPr>
                <w:rFonts w:hint="eastAsia" w:ascii="仿宋_GB2312" w:hAnsi="宋体" w:eastAsia="仿宋_GB2312" w:cs="宋体"/>
                <w:color w:val="000000"/>
                <w:spacing w:val="-20"/>
                <w:kern w:val="0"/>
                <w:szCs w:val="21"/>
                <w:highlight w:val="none"/>
                <w:lang w:eastAsia="zh-CN"/>
              </w:rPr>
              <w:t>均</w:t>
            </w:r>
            <w:r>
              <w:rPr>
                <w:rFonts w:hint="eastAsia" w:ascii="仿宋_GB2312" w:hAnsi="宋体" w:eastAsia="仿宋_GB2312" w:cs="宋体"/>
                <w:color w:val="000000"/>
                <w:spacing w:val="-20"/>
                <w:kern w:val="0"/>
                <w:szCs w:val="21"/>
                <w:highlight w:val="none"/>
              </w:rPr>
              <w:t>为</w:t>
            </w:r>
            <w:r>
              <w:rPr>
                <w:rFonts w:hint="eastAsia" w:ascii="仿宋_GB2312" w:hAnsi="宋体" w:eastAsia="仿宋_GB2312" w:cs="宋体"/>
                <w:color w:val="000000"/>
                <w:spacing w:val="-20"/>
                <w:kern w:val="0"/>
                <w:szCs w:val="21"/>
                <w:highlight w:val="none"/>
                <w:lang w:eastAsia="zh-CN"/>
              </w:rPr>
              <w:t>住宅</w:t>
            </w:r>
            <w:r>
              <w:rPr>
                <w:rFonts w:hint="eastAsia" w:ascii="仿宋_GB2312" w:hAnsi="宋体" w:eastAsia="仿宋_GB2312" w:cs="宋体"/>
                <w:color w:val="000000"/>
                <w:spacing w:val="-20"/>
                <w:kern w:val="0"/>
                <w:szCs w:val="21"/>
                <w:highlight w:val="none"/>
              </w:rPr>
              <w:t>，实际用途</w:t>
            </w:r>
            <w:r>
              <w:rPr>
                <w:rFonts w:hint="eastAsia" w:ascii="仿宋_GB2312" w:hAnsi="宋体" w:eastAsia="仿宋_GB2312" w:cs="宋体"/>
                <w:color w:val="000000"/>
                <w:spacing w:val="-20"/>
                <w:kern w:val="0"/>
                <w:szCs w:val="21"/>
                <w:highlight w:val="none"/>
                <w:lang w:eastAsia="zh-CN"/>
              </w:rPr>
              <w:t>均</w:t>
            </w:r>
            <w:r>
              <w:rPr>
                <w:rFonts w:hint="eastAsia" w:ascii="仿宋_GB2312" w:hAnsi="宋体" w:eastAsia="仿宋_GB2312" w:cs="宋体"/>
                <w:color w:val="000000"/>
                <w:spacing w:val="-20"/>
                <w:kern w:val="0"/>
                <w:szCs w:val="21"/>
                <w:highlight w:val="none"/>
              </w:rPr>
              <w:t>为</w:t>
            </w:r>
            <w:r>
              <w:rPr>
                <w:rFonts w:hint="eastAsia" w:ascii="仿宋_GB2312" w:hAnsi="宋体" w:eastAsia="仿宋_GB2312" w:cs="宋体"/>
                <w:color w:val="000000"/>
                <w:spacing w:val="-20"/>
                <w:kern w:val="0"/>
                <w:szCs w:val="21"/>
                <w:highlight w:val="none"/>
                <w:lang w:eastAsia="zh-CN"/>
              </w:rPr>
              <w:t>住宅</w:t>
            </w:r>
          </w:p>
        </w:tc>
      </w:tr>
    </w:tbl>
    <w:p>
      <w:pPr>
        <w:spacing w:line="460" w:lineRule="exact"/>
        <w:ind w:firstLine="560" w:firstLineChars="200"/>
        <w:rPr>
          <w:rFonts w:ascii="仿宋_GB2312" w:eastAsia="仿宋_GB2312"/>
          <w:color w:val="000000"/>
          <w:kern w:val="0"/>
          <w:sz w:val="28"/>
          <w:szCs w:val="28"/>
          <w:highlight w:val="none"/>
        </w:rPr>
      </w:pPr>
      <w:r>
        <w:rPr>
          <w:rFonts w:hint="eastAsia" w:ascii="仿宋_GB2312" w:eastAsia="仿宋_GB2312"/>
          <w:color w:val="000000"/>
          <w:kern w:val="0"/>
          <w:sz w:val="28"/>
          <w:szCs w:val="28"/>
          <w:highlight w:val="none"/>
        </w:rPr>
        <w:t>⑵ 估价对象的权属状况</w:t>
      </w:r>
    </w:p>
    <w:p>
      <w:pPr>
        <w:pStyle w:val="18"/>
        <w:spacing w:line="460" w:lineRule="exact"/>
        <w:ind w:firstLine="560"/>
        <w:rPr>
          <w:color w:val="000000"/>
          <w:kern w:val="0"/>
          <w:szCs w:val="28"/>
          <w:highlight w:val="none"/>
        </w:rPr>
      </w:pPr>
      <w:r>
        <w:rPr>
          <w:rFonts w:hint="eastAsia"/>
          <w:color w:val="000000"/>
          <w:kern w:val="0"/>
          <w:highlight w:val="none"/>
        </w:rPr>
        <w:t>根据</w:t>
      </w:r>
      <w:r>
        <w:rPr>
          <w:color w:val="000000"/>
          <w:kern w:val="0"/>
          <w:highlight w:val="none"/>
        </w:rPr>
        <w:t>估价委托人提供的</w:t>
      </w:r>
      <w:r>
        <w:rPr>
          <w:rFonts w:hint="eastAsia"/>
          <w:color w:val="000000"/>
          <w:highlight w:val="none"/>
        </w:rPr>
        <w:t>《房屋所有权证》</w:t>
      </w:r>
      <w:r>
        <w:rPr>
          <w:rFonts w:hint="eastAsia"/>
          <w:color w:val="000000"/>
          <w:highlight w:val="none"/>
          <w:lang w:eastAsia="zh-CN"/>
        </w:rPr>
        <w:t>、《</w:t>
      </w:r>
      <w:r>
        <w:rPr>
          <w:rFonts w:hint="eastAsia"/>
        </w:rPr>
        <w:t>国有土地使用证</w:t>
      </w:r>
      <w:r>
        <w:rPr>
          <w:rFonts w:hint="eastAsia"/>
          <w:color w:val="000000"/>
          <w:highlight w:val="none"/>
          <w:lang w:eastAsia="zh-CN"/>
        </w:rPr>
        <w:t>》</w:t>
      </w:r>
      <w:r>
        <w:rPr>
          <w:rFonts w:hint="eastAsia"/>
          <w:color w:val="000000"/>
          <w:highlight w:val="none"/>
        </w:rPr>
        <w:t>复印件</w:t>
      </w:r>
      <w:r>
        <w:rPr>
          <w:color w:val="000000"/>
          <w:highlight w:val="none"/>
        </w:rPr>
        <w:t>证载信息如下：</w:t>
      </w:r>
    </w:p>
    <w:p>
      <w:pPr>
        <w:pStyle w:val="20"/>
        <w:spacing w:line="460" w:lineRule="exact"/>
      </w:pPr>
      <w:r>
        <w:rPr>
          <w:rFonts w:hint="eastAsia"/>
          <w:lang w:eastAsia="zh-CN"/>
        </w:rPr>
        <w:t>估价对象</w:t>
      </w:r>
      <w:r>
        <w:rPr>
          <w:rFonts w:hint="eastAsia"/>
          <w:lang w:val="en-US" w:eastAsia="zh-CN"/>
        </w:rPr>
        <w:t>1</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212360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潭国用（2008）第19S01154号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陈申庚</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陈申庚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设计</w:t>
            </w:r>
            <w:r>
              <w:rPr>
                <w:rFonts w:hint="eastAsia" w:ascii="仿宋_GB2312" w:hAnsi="仿宋_GB2312" w:eastAsia="仿宋_GB2312" w:cs="仿宋_GB2312"/>
                <w:spacing w:val="-20"/>
                <w:kern w:val="0"/>
                <w:szCs w:val="21"/>
              </w:rPr>
              <w:t>用途</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商业</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106.8</w:t>
            </w:r>
            <w:r>
              <w:rPr>
                <w:rFonts w:hint="eastAsia" w:ascii="仿宋_GB2312" w:hAnsi="仿宋_GB2312" w:eastAsia="仿宋_GB2312" w:cs="仿宋_GB2312"/>
                <w:spacing w:val="-20"/>
                <w:kern w:val="0"/>
                <w:szCs w:val="21"/>
              </w:rPr>
              <w:t>㎡</w:t>
            </w:r>
            <w:r>
              <w:rPr>
                <w:rFonts w:hint="eastAsia" w:ascii="仿宋_GB2312" w:hAnsi="仿宋_GB2312" w:eastAsia="仿宋_GB2312" w:cs="仿宋_GB2312"/>
                <w:spacing w:val="-20"/>
                <w:kern w:val="0"/>
                <w:szCs w:val="21"/>
                <w:lang w:val="en-US" w:eastAsia="zh-CN"/>
              </w:rPr>
              <w:t>（第1、2层）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hint="eastAsia"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产别</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私有房产</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城镇混合住宅用地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物基</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本情</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100.68</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使用权类型</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结构</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混合</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终止日期</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2055年9月19日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所在层数/总层数</w:t>
            </w:r>
          </w:p>
        </w:tc>
        <w:tc>
          <w:tcPr>
            <w:tcW w:w="2083" w:type="dxa"/>
            <w:vAlign w:val="center"/>
          </w:tcPr>
          <w:p>
            <w:pPr>
              <w:widowControl/>
              <w:spacing w:line="240" w:lineRule="exact"/>
              <w:jc w:val="center"/>
              <w:rPr>
                <w:rFonts w:hint="default" w:ascii="仿宋_GB2312" w:hAnsi="仿宋_GB2312" w:eastAsia="仿宋_GB2312" w:cs="仿宋_GB2312"/>
                <w:color w:val="auto"/>
                <w:spacing w:val="-20"/>
                <w:kern w:val="0"/>
                <w:szCs w:val="21"/>
                <w:lang w:val="en-US" w:eastAsia="zh-CN"/>
              </w:rPr>
            </w:pPr>
            <w:r>
              <w:rPr>
                <w:rFonts w:hint="eastAsia" w:ascii="仿宋_GB2312" w:hAnsi="仿宋_GB2312" w:eastAsia="仿宋_GB2312" w:cs="仿宋_GB2312"/>
                <w:color w:val="auto"/>
                <w:spacing w:val="-20"/>
                <w:kern w:val="0"/>
                <w:szCs w:val="21"/>
                <w:lang w:val="en-US" w:eastAsia="zh-CN"/>
              </w:rPr>
              <w:t>1-2/6</w:t>
            </w:r>
          </w:p>
        </w:tc>
        <w:tc>
          <w:tcPr>
            <w:tcW w:w="1696" w:type="dxa"/>
            <w:vMerge w:val="restart"/>
            <w:vAlign w:val="center"/>
          </w:tcPr>
          <w:p>
            <w:pPr>
              <w:widowControl/>
              <w:spacing w:line="240" w:lineRule="exact"/>
              <w:jc w:val="center"/>
              <w:rPr>
                <w:rFonts w:ascii="仿宋_GB2312" w:hAnsi="仿宋_GB2312" w:eastAsia="仿宋_GB2312" w:cs="仿宋_GB2312"/>
                <w:color w:val="auto"/>
                <w:spacing w:val="-20"/>
                <w:kern w:val="0"/>
                <w:szCs w:val="21"/>
              </w:rPr>
            </w:pPr>
            <w:r>
              <w:rPr>
                <w:rFonts w:hint="eastAsia" w:ascii="仿宋_GB2312" w:hAnsi="仿宋_GB2312" w:eastAsia="仿宋_GB2312" w:cs="仿宋_GB2312"/>
                <w:color w:val="auto"/>
                <w:spacing w:val="-20"/>
                <w:kern w:val="0"/>
                <w:szCs w:val="21"/>
              </w:rPr>
              <w:t>其他</w:t>
            </w:r>
          </w:p>
        </w:tc>
        <w:tc>
          <w:tcPr>
            <w:tcW w:w="2644" w:type="dxa"/>
            <w:vMerge w:val="restart"/>
            <w:vAlign w:val="center"/>
          </w:tcPr>
          <w:p>
            <w:pPr>
              <w:widowControl/>
              <w:spacing w:line="240" w:lineRule="exact"/>
              <w:jc w:val="center"/>
              <w:rPr>
                <w:rFonts w:ascii="仿宋_GB2312" w:hAnsi="仿宋_GB2312" w:eastAsia="仿宋_GB2312" w:cs="仿宋_GB2312"/>
                <w:color w:val="auto"/>
                <w:spacing w:val="-20"/>
                <w:kern w:val="0"/>
                <w:szCs w:val="21"/>
              </w:rPr>
            </w:pPr>
            <w:r>
              <w:rPr>
                <w:rFonts w:hint="eastAsia" w:ascii="仿宋_GB2312" w:hAnsi="仿宋_GB2312" w:eastAsia="仿宋_GB2312" w:cs="仿宋_GB2312"/>
                <w:color w:val="auto"/>
                <w:spacing w:val="-20"/>
                <w:kern w:val="0"/>
                <w:szCs w:val="21"/>
              </w:rPr>
              <w:t>地势平坦，地质条件良</w:t>
            </w:r>
          </w:p>
          <w:p>
            <w:pPr>
              <w:widowControl/>
              <w:spacing w:line="240" w:lineRule="exact"/>
              <w:jc w:val="center"/>
              <w:rPr>
                <w:rFonts w:ascii="仿宋_GB2312" w:hAnsi="仿宋_GB2312" w:eastAsia="仿宋_GB2312" w:cs="仿宋_GB2312"/>
                <w:color w:val="auto"/>
                <w:spacing w:val="-20"/>
                <w:kern w:val="0"/>
                <w:szCs w:val="21"/>
              </w:rPr>
            </w:pPr>
            <w:r>
              <w:rPr>
                <w:rFonts w:hint="eastAsia" w:ascii="仿宋_GB2312" w:hAnsi="仿宋_GB2312" w:eastAsia="仿宋_GB2312" w:cs="仿宋_GB2312"/>
                <w:color w:val="auto"/>
                <w:spacing w:val="-20"/>
                <w:kern w:val="0"/>
                <w:szCs w:val="21"/>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hint="default" w:ascii="仿宋_GB2312" w:hAnsi="仿宋_GB2312" w:eastAsia="仿宋_GB2312" w:cs="仿宋_GB2312"/>
                <w:color w:val="auto"/>
                <w:spacing w:val="-20"/>
                <w:kern w:val="0"/>
                <w:szCs w:val="21"/>
                <w:lang w:val="en-US" w:eastAsia="zh-CN"/>
              </w:rPr>
            </w:pPr>
            <w:r>
              <w:rPr>
                <w:rFonts w:hint="eastAsia" w:ascii="仿宋_GB2312" w:hAnsi="仿宋_GB2312" w:eastAsia="仿宋_GB2312" w:cs="仿宋_GB2312"/>
                <w:color w:val="auto"/>
                <w:spacing w:val="-20"/>
                <w:kern w:val="0"/>
                <w:szCs w:val="21"/>
                <w:lang w:val="en-US" w:eastAsia="zh-CN"/>
              </w:rPr>
              <w:t>2008年8月20日</w:t>
            </w:r>
          </w:p>
        </w:tc>
        <w:tc>
          <w:tcPr>
            <w:tcW w:w="1696" w:type="dxa"/>
            <w:vMerge w:val="continue"/>
            <w:vAlign w:val="center"/>
          </w:tcPr>
          <w:p>
            <w:pPr>
              <w:spacing w:line="240" w:lineRule="exact"/>
              <w:rPr>
                <w:color w:val="auto"/>
                <w:spacing w:val="-10"/>
              </w:rPr>
            </w:pPr>
          </w:p>
        </w:tc>
        <w:tc>
          <w:tcPr>
            <w:tcW w:w="2644" w:type="dxa"/>
            <w:vMerge w:val="continue"/>
            <w:vAlign w:val="center"/>
          </w:tcPr>
          <w:p>
            <w:pPr>
              <w:spacing w:line="240" w:lineRule="exact"/>
              <w:rPr>
                <w:color w:val="auto"/>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rPr>
                <w:rFonts w:ascii="仿宋_GB2312" w:hAnsi="宋体" w:eastAsia="仿宋_GB2312"/>
                <w:color w:val="auto"/>
                <w:spacing w:val="-20"/>
                <w:kern w:val="0"/>
              </w:rPr>
            </w:pPr>
            <w:r>
              <w:rPr>
                <w:rFonts w:hint="eastAsia" w:ascii="仿宋_GB2312" w:hAnsi="宋体" w:eastAsia="仿宋_GB2312" w:cs="宋体"/>
                <w:color w:val="auto"/>
                <w:spacing w:val="-20"/>
                <w:kern w:val="0"/>
                <w:szCs w:val="21"/>
                <w:highlight w:val="none"/>
              </w:rPr>
              <w:t>根据估价委托人介绍及估价人员了解，估价对象在价值时点已设定他项权利，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pPr>
      <w:r>
        <w:rPr>
          <w:rFonts w:hint="eastAsia"/>
          <w:lang w:eastAsia="zh-CN"/>
        </w:rPr>
        <w:t>估价对象</w:t>
      </w:r>
      <w:r>
        <w:rPr>
          <w:rFonts w:hint="eastAsia"/>
          <w:lang w:val="en-US" w:eastAsia="zh-CN"/>
        </w:rPr>
        <w:t>2</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210009</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潭国用（2008）第19S01155号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刘利文</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刘利文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设计</w:t>
            </w:r>
            <w:r>
              <w:rPr>
                <w:rFonts w:hint="eastAsia" w:ascii="仿宋_GB2312" w:hAnsi="仿宋_GB2312" w:eastAsia="仿宋_GB2312" w:cs="仿宋_GB2312"/>
                <w:spacing w:val="-20"/>
                <w:kern w:val="0"/>
                <w:szCs w:val="21"/>
              </w:rPr>
              <w:t>用途</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商业</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106.8</w:t>
            </w:r>
            <w:r>
              <w:rPr>
                <w:rFonts w:hint="eastAsia" w:ascii="仿宋_GB2312" w:hAnsi="仿宋_GB2312" w:eastAsia="仿宋_GB2312" w:cs="仿宋_GB2312"/>
                <w:spacing w:val="-20"/>
                <w:kern w:val="0"/>
                <w:szCs w:val="21"/>
              </w:rPr>
              <w:t>㎡</w:t>
            </w:r>
            <w:r>
              <w:rPr>
                <w:rFonts w:hint="eastAsia" w:ascii="仿宋_GB2312" w:hAnsi="仿宋_GB2312" w:eastAsia="仿宋_GB2312" w:cs="仿宋_GB2312"/>
                <w:spacing w:val="-20"/>
                <w:kern w:val="0"/>
                <w:szCs w:val="21"/>
                <w:lang w:val="en-US" w:eastAsia="zh-CN"/>
              </w:rPr>
              <w:t>（第1、2层）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产别</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私有房产</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城镇混合住宅用地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物基</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本情</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建筑面积（㎡）</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val="en-US" w:eastAsia="zh-CN"/>
              </w:rPr>
              <w:t>100.68</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使用权类型</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结构</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混合</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终止日期</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2055年9月19日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所在层数/总层数</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1-2/6</w:t>
            </w:r>
          </w:p>
        </w:tc>
        <w:tc>
          <w:tcPr>
            <w:tcW w:w="1696"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2644"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地势平坦，地质条件良</w:t>
            </w:r>
          </w:p>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2008年7月30日</w:t>
            </w:r>
          </w:p>
        </w:tc>
        <w:tc>
          <w:tcPr>
            <w:tcW w:w="1696" w:type="dxa"/>
            <w:vMerge w:val="continue"/>
            <w:vAlign w:val="center"/>
          </w:tcPr>
          <w:p>
            <w:pPr>
              <w:spacing w:line="240" w:lineRule="exact"/>
              <w:rPr>
                <w:spacing w:val="-10"/>
              </w:rPr>
            </w:pPr>
          </w:p>
        </w:tc>
        <w:tc>
          <w:tcPr>
            <w:tcW w:w="2644" w:type="dxa"/>
            <w:vMerge w:val="continue"/>
            <w:vAlign w:val="center"/>
          </w:tcPr>
          <w:p>
            <w:pPr>
              <w:spacing w:line="240" w:lineRule="exact"/>
              <w:rPr>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ind w:left="0" w:leftChars="0" w:firstLine="0" w:firstLineChars="0"/>
              <w:rPr>
                <w:rFonts w:ascii="仿宋_GB2312" w:hAnsi="宋体" w:eastAsia="仿宋_GB2312"/>
                <w:color w:val="000000"/>
                <w:spacing w:val="-20"/>
                <w:kern w:val="0"/>
              </w:rPr>
            </w:pPr>
            <w:r>
              <w:rPr>
                <w:rFonts w:hint="eastAsia" w:ascii="仿宋_GB2312" w:hAnsi="宋体" w:eastAsia="仿宋_GB2312" w:cs="宋体"/>
                <w:spacing w:val="-20"/>
                <w:kern w:val="0"/>
                <w:szCs w:val="21"/>
                <w:highlight w:val="none"/>
              </w:rPr>
              <w:t>根据估价委托人介绍及估价人员了解，</w:t>
            </w:r>
            <w:r>
              <w:rPr>
                <w:rFonts w:hint="eastAsia" w:ascii="仿宋_GB2312" w:hAnsi="宋体" w:eastAsia="仿宋_GB2312" w:cs="宋体"/>
                <w:color w:val="000000"/>
                <w:spacing w:val="-20"/>
                <w:kern w:val="0"/>
                <w:szCs w:val="21"/>
                <w:highlight w:val="none"/>
              </w:rPr>
              <w:t>估价</w:t>
            </w:r>
            <w:r>
              <w:rPr>
                <w:rFonts w:hint="eastAsia" w:ascii="仿宋_GB2312" w:hAnsi="宋体" w:eastAsia="仿宋_GB2312" w:cs="宋体"/>
                <w:color w:val="auto"/>
                <w:spacing w:val="-20"/>
                <w:kern w:val="0"/>
                <w:szCs w:val="21"/>
                <w:highlight w:val="none"/>
              </w:rPr>
              <w:t>对象在价值时点已设定他项权利，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pPr>
      <w:r>
        <w:rPr>
          <w:rFonts w:hint="eastAsia"/>
          <w:lang w:eastAsia="zh-CN"/>
        </w:rPr>
        <w:t>估价对象</w:t>
      </w:r>
      <w:r>
        <w:rPr>
          <w:rFonts w:hint="eastAsia"/>
          <w:lang w:val="en-US" w:eastAsia="zh-CN"/>
        </w:rPr>
        <w:t>3</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054906</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潭国用（2011）第19S0576号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陈铁山</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陈铁山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设计</w:t>
            </w:r>
            <w:r>
              <w:rPr>
                <w:rFonts w:hint="eastAsia" w:ascii="仿宋_GB2312" w:hAnsi="仿宋_GB2312" w:eastAsia="仿宋_GB2312" w:cs="仿宋_GB2312"/>
                <w:spacing w:val="-20"/>
                <w:kern w:val="0"/>
                <w:szCs w:val="21"/>
              </w:rPr>
              <w:t>用途</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商业</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42.15</w:t>
            </w:r>
            <w:r>
              <w:rPr>
                <w:rFonts w:hint="eastAsia" w:ascii="仿宋_GB2312" w:hAnsi="仿宋_GB2312" w:eastAsia="仿宋_GB2312" w:cs="仿宋_GB2312"/>
                <w:spacing w:val="-20"/>
                <w:kern w:val="0"/>
                <w:szCs w:val="21"/>
              </w:rPr>
              <w:t>㎡</w:t>
            </w:r>
            <w:r>
              <w:rPr>
                <w:rFonts w:hint="eastAsia" w:ascii="仿宋_GB2312" w:hAnsi="仿宋_GB2312" w:eastAsia="仿宋_GB2312" w:cs="仿宋_GB2312"/>
                <w:spacing w:val="-20"/>
                <w:kern w:val="0"/>
                <w:szCs w:val="21"/>
                <w:lang w:val="en-US" w:eastAsia="zh-CN"/>
              </w:rPr>
              <w:t>（第1层）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产别</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私有房产</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商服用地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物基</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本情</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42.15</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使用权类型</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结构</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混合</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终止日期</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2050年12月12日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所在层数/总层数</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1/7</w:t>
            </w:r>
          </w:p>
        </w:tc>
        <w:tc>
          <w:tcPr>
            <w:tcW w:w="1696"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2644"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地势平坦，地质条件良</w:t>
            </w:r>
          </w:p>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2002年2月1日</w:t>
            </w:r>
          </w:p>
        </w:tc>
        <w:tc>
          <w:tcPr>
            <w:tcW w:w="1696" w:type="dxa"/>
            <w:vMerge w:val="continue"/>
            <w:vAlign w:val="center"/>
          </w:tcPr>
          <w:p>
            <w:pPr>
              <w:spacing w:line="240" w:lineRule="exact"/>
              <w:rPr>
                <w:spacing w:val="-10"/>
              </w:rPr>
            </w:pPr>
          </w:p>
        </w:tc>
        <w:tc>
          <w:tcPr>
            <w:tcW w:w="2644" w:type="dxa"/>
            <w:vMerge w:val="continue"/>
            <w:vAlign w:val="center"/>
          </w:tcPr>
          <w:p>
            <w:pPr>
              <w:spacing w:line="240" w:lineRule="exact"/>
              <w:rPr>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ind w:left="0" w:leftChars="0" w:firstLine="0" w:firstLineChars="0"/>
              <w:rPr>
                <w:rFonts w:ascii="仿宋_GB2312" w:hAnsi="宋体" w:eastAsia="仿宋_GB2312"/>
                <w:color w:val="000000"/>
                <w:spacing w:val="-20"/>
                <w:kern w:val="0"/>
              </w:rPr>
            </w:pPr>
            <w:r>
              <w:rPr>
                <w:rFonts w:hint="eastAsia" w:ascii="仿宋_GB2312" w:hAnsi="宋体" w:eastAsia="仿宋_GB2312" w:cs="宋体"/>
                <w:spacing w:val="-20"/>
                <w:kern w:val="0"/>
                <w:szCs w:val="21"/>
                <w:highlight w:val="none"/>
              </w:rPr>
              <w:t>根据估价委托人介绍及估价人员了解，</w:t>
            </w:r>
            <w:r>
              <w:rPr>
                <w:rFonts w:hint="eastAsia" w:ascii="仿宋_GB2312" w:hAnsi="宋体" w:eastAsia="仿宋_GB2312" w:cs="宋体"/>
                <w:color w:val="000000"/>
                <w:spacing w:val="-20"/>
                <w:kern w:val="0"/>
                <w:szCs w:val="21"/>
                <w:highlight w:val="none"/>
              </w:rPr>
              <w:t>估价对象</w:t>
            </w:r>
            <w:r>
              <w:rPr>
                <w:rFonts w:hint="eastAsia" w:ascii="仿宋_GB2312" w:hAnsi="宋体" w:eastAsia="仿宋_GB2312" w:cs="宋体"/>
                <w:color w:val="auto"/>
                <w:spacing w:val="-20"/>
                <w:kern w:val="0"/>
                <w:szCs w:val="21"/>
                <w:highlight w:val="none"/>
              </w:rPr>
              <w:t>在价值时点已设定他项权利，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pPr>
      <w:r>
        <w:rPr>
          <w:rFonts w:hint="eastAsia"/>
          <w:lang w:eastAsia="zh-CN"/>
        </w:rPr>
        <w:t>估价对象</w:t>
      </w:r>
      <w:r>
        <w:rPr>
          <w:rFonts w:hint="eastAsia"/>
          <w:lang w:val="en-US" w:eastAsia="zh-CN"/>
        </w:rPr>
        <w:t>4</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192691</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潭国用（2011）第19S05488号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陈樟</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陈樟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设计</w:t>
            </w:r>
            <w:r>
              <w:rPr>
                <w:rFonts w:hint="eastAsia" w:ascii="仿宋_GB2312" w:hAnsi="仿宋_GB2312" w:eastAsia="仿宋_GB2312" w:cs="仿宋_GB2312"/>
                <w:spacing w:val="-20"/>
                <w:kern w:val="0"/>
                <w:szCs w:val="21"/>
              </w:rPr>
              <w:t>用途</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商业</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99.52</w:t>
            </w:r>
            <w:r>
              <w:rPr>
                <w:rFonts w:hint="eastAsia" w:ascii="仿宋_GB2312" w:hAnsi="仿宋_GB2312" w:eastAsia="仿宋_GB2312" w:cs="仿宋_GB2312"/>
                <w:spacing w:val="-20"/>
                <w:kern w:val="0"/>
                <w:szCs w:val="21"/>
              </w:rPr>
              <w:t>㎡</w:t>
            </w:r>
            <w:r>
              <w:rPr>
                <w:rFonts w:hint="eastAsia" w:ascii="仿宋_GB2312" w:hAnsi="仿宋_GB2312" w:eastAsia="仿宋_GB2312" w:cs="仿宋_GB2312"/>
                <w:spacing w:val="-20"/>
                <w:kern w:val="0"/>
                <w:szCs w:val="21"/>
                <w:lang w:val="en-US" w:eastAsia="zh-CN"/>
              </w:rPr>
              <w:t>（第1、2层）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产别</w:t>
            </w:r>
            <w:bookmarkStart w:id="157" w:name="_GoBack"/>
            <w:bookmarkEnd w:id="157"/>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私有房产</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城镇混合住宅用地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物基</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本情</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99.52</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使用权类型</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结构</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混合</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终止日期</w:t>
            </w:r>
          </w:p>
        </w:tc>
        <w:tc>
          <w:tcPr>
            <w:tcW w:w="2644"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val="en-US" w:eastAsia="zh-CN"/>
              </w:rPr>
              <w:t>2051年12月26日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所在层数/总层数</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1-2/6</w:t>
            </w:r>
          </w:p>
        </w:tc>
        <w:tc>
          <w:tcPr>
            <w:tcW w:w="1696"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2644"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地势平坦，地质条件良</w:t>
            </w:r>
          </w:p>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highlight w:val="none"/>
                <w:lang w:val="en-US" w:eastAsia="zh-CN"/>
              </w:rPr>
              <w:t>2006年</w:t>
            </w:r>
            <w:r>
              <w:rPr>
                <w:rFonts w:hint="eastAsia" w:ascii="仿宋_GB2312" w:hAnsi="仿宋_GB2312" w:eastAsia="仿宋_GB2312" w:cs="仿宋_GB2312"/>
                <w:spacing w:val="-20"/>
                <w:kern w:val="0"/>
                <w:szCs w:val="21"/>
                <w:lang w:val="en-US" w:eastAsia="zh-CN"/>
              </w:rPr>
              <w:t>5月12日</w:t>
            </w:r>
          </w:p>
        </w:tc>
        <w:tc>
          <w:tcPr>
            <w:tcW w:w="1696" w:type="dxa"/>
            <w:vMerge w:val="continue"/>
            <w:vAlign w:val="center"/>
          </w:tcPr>
          <w:p>
            <w:pPr>
              <w:spacing w:line="240" w:lineRule="exact"/>
              <w:rPr>
                <w:spacing w:val="-10"/>
              </w:rPr>
            </w:pPr>
          </w:p>
        </w:tc>
        <w:tc>
          <w:tcPr>
            <w:tcW w:w="2644" w:type="dxa"/>
            <w:vMerge w:val="continue"/>
            <w:vAlign w:val="center"/>
          </w:tcPr>
          <w:p>
            <w:pPr>
              <w:spacing w:line="240" w:lineRule="exact"/>
              <w:rPr>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ind w:left="0" w:leftChars="0" w:firstLine="0" w:firstLineChars="0"/>
              <w:rPr>
                <w:rFonts w:ascii="仿宋_GB2312" w:hAnsi="宋体" w:eastAsia="仿宋_GB2312"/>
                <w:color w:val="000000"/>
                <w:spacing w:val="-20"/>
                <w:kern w:val="0"/>
              </w:rPr>
            </w:pPr>
            <w:r>
              <w:rPr>
                <w:rFonts w:hint="eastAsia" w:ascii="仿宋_GB2312" w:hAnsi="宋体" w:eastAsia="仿宋_GB2312" w:cs="宋体"/>
                <w:spacing w:val="-20"/>
                <w:kern w:val="0"/>
                <w:szCs w:val="21"/>
                <w:highlight w:val="none"/>
              </w:rPr>
              <w:t>根据估价委托人介绍及估价人员了解，</w:t>
            </w:r>
            <w:r>
              <w:rPr>
                <w:rFonts w:hint="eastAsia" w:ascii="仿宋_GB2312" w:hAnsi="宋体" w:eastAsia="仿宋_GB2312" w:cs="宋体"/>
                <w:color w:val="000000"/>
                <w:spacing w:val="-20"/>
                <w:kern w:val="0"/>
                <w:szCs w:val="21"/>
                <w:highlight w:val="none"/>
              </w:rPr>
              <w:t>估</w:t>
            </w:r>
            <w:r>
              <w:rPr>
                <w:rFonts w:hint="eastAsia" w:ascii="仿宋_GB2312" w:hAnsi="宋体" w:eastAsia="仿宋_GB2312" w:cs="宋体"/>
                <w:color w:val="auto"/>
                <w:spacing w:val="-20"/>
                <w:kern w:val="0"/>
                <w:szCs w:val="21"/>
                <w:highlight w:val="none"/>
              </w:rPr>
              <w:t>价对象在价值时点已设定他项权利，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pPr>
      <w:r>
        <w:rPr>
          <w:rFonts w:hint="eastAsia"/>
          <w:lang w:eastAsia="zh-CN"/>
        </w:rPr>
        <w:t>估价对象</w:t>
      </w:r>
      <w:r>
        <w:rPr>
          <w:rFonts w:hint="eastAsia"/>
          <w:lang w:val="en-US" w:eastAsia="zh-CN"/>
        </w:rPr>
        <w:t>5</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105730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eastAsia="zh-CN"/>
              </w:rPr>
              <w:t>潭国用</w:t>
            </w:r>
            <w:r>
              <w:rPr>
                <w:rFonts w:hint="eastAsia" w:ascii="仿宋_GB2312" w:hAnsi="仿宋_GB2312" w:eastAsia="仿宋_GB2312" w:cs="仿宋_GB2312"/>
                <w:spacing w:val="-20"/>
                <w:kern w:val="0"/>
                <w:szCs w:val="21"/>
                <w:lang w:val="en-US" w:eastAsia="zh-CN"/>
              </w:rPr>
              <w:t>(2005)第19S00971号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陈铁山</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陈铁山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lang w:eastAsia="zh-CN"/>
              </w:rPr>
              <w:t>设计</w:t>
            </w:r>
            <w:r>
              <w:rPr>
                <w:rFonts w:hint="eastAsia" w:ascii="仿宋_GB2312" w:hAnsi="仿宋_GB2312" w:eastAsia="仿宋_GB2312" w:cs="仿宋_GB2312"/>
                <w:spacing w:val="-20"/>
                <w:kern w:val="0"/>
                <w:szCs w:val="21"/>
              </w:rPr>
              <w:t>用途</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住宅</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分摊面积（㎡）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产别</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私有房产</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物基</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本情</w:t>
            </w:r>
            <w:r>
              <w:rPr>
                <w:rFonts w:hint="eastAsia" w:ascii="仿宋_GB2312" w:hAnsi="仿宋_GB2312" w:eastAsia="仿宋_GB2312" w:cs="仿宋_GB2312"/>
                <w:spacing w:val="-20"/>
                <w:kern w:val="0"/>
                <w:szCs w:val="21"/>
              </w:rPr>
              <w:br w:type="textWrapping"/>
            </w:r>
            <w:r>
              <w:rPr>
                <w:rFonts w:hint="eastAsia" w:ascii="仿宋_GB2312" w:hAnsi="仿宋_GB2312" w:eastAsia="仿宋_GB2312" w:cs="仿宋_GB2312"/>
                <w:spacing w:val="-20"/>
                <w:kern w:val="0"/>
                <w:szCs w:val="21"/>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247.22</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使用权类型</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城镇混合住宅用地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建筑结构</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混合</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终止日期</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2052年12月12日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所在层数/总层数</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3-4/6</w:t>
            </w:r>
          </w:p>
        </w:tc>
        <w:tc>
          <w:tcPr>
            <w:tcW w:w="1696"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2644" w:type="dxa"/>
            <w:vMerge w:val="restart"/>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地势平坦，地质条件良</w:t>
            </w:r>
          </w:p>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2004年3月17日</w:t>
            </w:r>
          </w:p>
        </w:tc>
        <w:tc>
          <w:tcPr>
            <w:tcW w:w="1696" w:type="dxa"/>
            <w:vMerge w:val="continue"/>
            <w:vAlign w:val="center"/>
          </w:tcPr>
          <w:p>
            <w:pPr>
              <w:spacing w:line="240" w:lineRule="exact"/>
              <w:rPr>
                <w:spacing w:val="-10"/>
              </w:rPr>
            </w:pPr>
          </w:p>
        </w:tc>
        <w:tc>
          <w:tcPr>
            <w:tcW w:w="2644" w:type="dxa"/>
            <w:vMerge w:val="continue"/>
            <w:vAlign w:val="center"/>
          </w:tcPr>
          <w:p>
            <w:pPr>
              <w:spacing w:line="240" w:lineRule="exact"/>
              <w:rPr>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rPr>
                <w:rFonts w:ascii="仿宋_GB2312" w:hAnsi="宋体" w:eastAsia="仿宋_GB2312"/>
                <w:color w:val="000000"/>
                <w:spacing w:val="-20"/>
                <w:kern w:val="0"/>
              </w:rPr>
            </w:pPr>
            <w:r>
              <w:rPr>
                <w:rFonts w:hint="eastAsia" w:ascii="仿宋_GB2312" w:hAnsi="宋体" w:eastAsia="仿宋_GB2312" w:cs="宋体"/>
                <w:spacing w:val="-20"/>
                <w:kern w:val="0"/>
                <w:szCs w:val="21"/>
                <w:highlight w:val="none"/>
              </w:rPr>
              <w:t>根据估价委托人介绍及估价人员了解，</w:t>
            </w:r>
            <w:r>
              <w:rPr>
                <w:rFonts w:hint="eastAsia" w:ascii="仿宋_GB2312" w:hAnsi="宋体" w:eastAsia="仿宋_GB2312" w:cs="宋体"/>
                <w:color w:val="000000"/>
                <w:spacing w:val="-20"/>
                <w:kern w:val="0"/>
                <w:szCs w:val="21"/>
                <w:highlight w:val="none"/>
              </w:rPr>
              <w:t>估价对象在价值时点已设定他项权利，</w:t>
            </w:r>
            <w:r>
              <w:rPr>
                <w:rFonts w:hint="eastAsia" w:ascii="仿宋_GB2312" w:hAnsi="宋体" w:eastAsia="仿宋_GB2312" w:cs="宋体"/>
                <w:color w:val="000000"/>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pPr>
      <w:r>
        <w:rPr>
          <w:rFonts w:hint="eastAsia"/>
          <w:lang w:eastAsia="zh-CN"/>
        </w:rPr>
        <w:t>估价对象</w:t>
      </w:r>
      <w:r>
        <w:rPr>
          <w:rFonts w:hint="eastAsia"/>
          <w:lang w:val="en-US" w:eastAsia="zh-CN"/>
        </w:rPr>
        <w:t>6</w:t>
      </w:r>
      <w:r>
        <w:t>房屋</w:t>
      </w:r>
      <w:r>
        <w:rPr>
          <w:rFonts w:hint="eastAsia"/>
          <w:kern w:val="0"/>
        </w:rPr>
        <w:t>权属</w:t>
      </w:r>
      <w: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rPr>
            </w:pPr>
            <w:r>
              <w:rPr>
                <w:rFonts w:hint="eastAsia" w:ascii="仿宋_GB2312" w:eastAsia="仿宋_GB2312" w:cs="宋体"/>
                <w:b/>
                <w:spacing w:val="-10"/>
                <w:kern w:val="0"/>
                <w:szCs w:val="21"/>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2011001814</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土地使用证号</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eastAsia="zh-CN"/>
              </w:rPr>
              <w:t>潭国用（</w:t>
            </w:r>
            <w:r>
              <w:rPr>
                <w:rFonts w:hint="eastAsia" w:ascii="仿宋_GB2312" w:hAnsi="仿宋_GB2312" w:eastAsia="仿宋_GB2312" w:cs="仿宋_GB2312"/>
                <w:spacing w:val="-20"/>
                <w:kern w:val="0"/>
                <w:szCs w:val="21"/>
                <w:lang w:val="en-US" w:eastAsia="zh-CN"/>
              </w:rPr>
              <w:t>2011</w:t>
            </w:r>
            <w:r>
              <w:rPr>
                <w:rFonts w:hint="eastAsia" w:ascii="仿宋_GB2312" w:hAnsi="仿宋_GB2312" w:eastAsia="仿宋_GB2312" w:cs="仿宋_GB2312"/>
                <w:spacing w:val="-20"/>
                <w:kern w:val="0"/>
                <w:szCs w:val="21"/>
                <w:lang w:eastAsia="zh-CN"/>
              </w:rPr>
              <w:t>）第</w:t>
            </w:r>
            <w:r>
              <w:rPr>
                <w:rFonts w:hint="eastAsia" w:ascii="仿宋_GB2312" w:hAnsi="仿宋_GB2312" w:eastAsia="仿宋_GB2312" w:cs="仿宋_GB2312"/>
                <w:spacing w:val="-20"/>
                <w:kern w:val="0"/>
                <w:szCs w:val="21"/>
                <w:lang w:val="en-US" w:eastAsia="zh-CN"/>
              </w:rPr>
              <w:t>19S02812号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陈铁山</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土地使用权人</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陈铁山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规划用途</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住宅</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lang w:val="en-US" w:eastAsia="zh-CN"/>
              </w:rPr>
            </w:pPr>
            <w:r>
              <w:rPr>
                <w:rFonts w:hint="eastAsia" w:ascii="仿宋_GB2312" w:hAnsi="仿宋_GB2312" w:eastAsia="仿宋_GB2312" w:cs="仿宋_GB2312"/>
                <w:spacing w:val="-20"/>
                <w:kern w:val="0"/>
                <w:szCs w:val="21"/>
                <w:lang w:val="en-US" w:eastAsia="zh-CN"/>
              </w:rPr>
              <w:t>148.14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共有情况</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单独所有</w:t>
            </w:r>
          </w:p>
        </w:tc>
        <w:tc>
          <w:tcPr>
            <w:tcW w:w="1696"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地类（用途）</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lang w:eastAsia="zh-CN"/>
              </w:rPr>
            </w:pPr>
            <w:r>
              <w:rPr>
                <w:rFonts w:hint="eastAsia" w:ascii="仿宋_GB2312" w:hAnsi="仿宋_GB2312" w:eastAsia="仿宋_GB2312" w:cs="仿宋_GB2312"/>
                <w:spacing w:val="-20"/>
                <w:kern w:val="0"/>
                <w:szCs w:val="21"/>
                <w:lang w:eastAsia="zh-CN"/>
              </w:rPr>
              <w:t>城镇单一住宅用地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建筑</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物基</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本情</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148.14</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使用权类型</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highlight w:val="none"/>
              </w:rPr>
            </w:pPr>
          </w:p>
        </w:tc>
        <w:tc>
          <w:tcPr>
            <w:tcW w:w="1691"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房屋性质</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终止日期</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2077年12月7日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highlight w:val="none"/>
              </w:rPr>
            </w:pPr>
          </w:p>
        </w:tc>
        <w:tc>
          <w:tcPr>
            <w:tcW w:w="1691"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所在层数/总层数</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3/5</w:t>
            </w:r>
          </w:p>
        </w:tc>
        <w:tc>
          <w:tcPr>
            <w:tcW w:w="1696" w:type="dxa"/>
            <w:vMerge w:val="restart"/>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其他</w:t>
            </w:r>
          </w:p>
        </w:tc>
        <w:tc>
          <w:tcPr>
            <w:tcW w:w="2644" w:type="dxa"/>
            <w:vMerge w:val="restart"/>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地势平坦，地质条件良</w:t>
            </w:r>
          </w:p>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highlight w:val="none"/>
              </w:rPr>
            </w:pPr>
          </w:p>
        </w:tc>
        <w:tc>
          <w:tcPr>
            <w:tcW w:w="1691"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登记时间</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2011年3月23日</w:t>
            </w:r>
          </w:p>
        </w:tc>
        <w:tc>
          <w:tcPr>
            <w:tcW w:w="1696" w:type="dxa"/>
            <w:vMerge w:val="continue"/>
            <w:vAlign w:val="center"/>
          </w:tcPr>
          <w:p>
            <w:pPr>
              <w:spacing w:line="240" w:lineRule="exact"/>
              <w:rPr>
                <w:spacing w:val="-10"/>
                <w:highlight w:val="none"/>
              </w:rPr>
            </w:pPr>
          </w:p>
        </w:tc>
        <w:tc>
          <w:tcPr>
            <w:tcW w:w="2644" w:type="dxa"/>
            <w:vMerge w:val="continue"/>
            <w:vAlign w:val="center"/>
          </w:tcPr>
          <w:p>
            <w:pPr>
              <w:spacing w:line="240" w:lineRule="exact"/>
              <w:rPr>
                <w:spacing w:val="-1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其他</w:t>
            </w:r>
          </w:p>
        </w:tc>
        <w:tc>
          <w:tcPr>
            <w:tcW w:w="6423" w:type="dxa"/>
            <w:gridSpan w:val="3"/>
            <w:vAlign w:val="center"/>
          </w:tcPr>
          <w:p>
            <w:pPr>
              <w:numPr>
                <w:ilvl w:val="0"/>
                <w:numId w:val="0"/>
              </w:numPr>
              <w:spacing w:line="240" w:lineRule="exact"/>
              <w:rPr>
                <w:rFonts w:ascii="仿宋_GB2312" w:hAnsi="宋体" w:eastAsia="仿宋_GB2312"/>
                <w:color w:val="000000"/>
                <w:spacing w:val="-20"/>
                <w:kern w:val="0"/>
                <w:highlight w:val="none"/>
              </w:rPr>
            </w:pPr>
            <w:r>
              <w:rPr>
                <w:rFonts w:hint="eastAsia" w:ascii="仿宋_GB2312" w:hAnsi="宋体" w:eastAsia="仿宋_GB2312" w:cs="宋体"/>
                <w:spacing w:val="-20"/>
                <w:kern w:val="0"/>
                <w:szCs w:val="21"/>
                <w:highlight w:val="none"/>
              </w:rPr>
              <w:t>根据估价委托人介绍及估价人员了解，</w:t>
            </w:r>
            <w:r>
              <w:rPr>
                <w:rFonts w:hint="eastAsia" w:ascii="仿宋_GB2312" w:hAnsi="宋体" w:eastAsia="仿宋_GB2312" w:cs="宋体"/>
                <w:color w:val="000000"/>
                <w:spacing w:val="-20"/>
                <w:kern w:val="0"/>
                <w:szCs w:val="21"/>
                <w:highlight w:val="none"/>
              </w:rPr>
              <w:t>估价对象在价值时</w:t>
            </w:r>
            <w:r>
              <w:rPr>
                <w:rFonts w:hint="eastAsia" w:ascii="仿宋_GB2312" w:hAnsi="宋体" w:eastAsia="仿宋_GB2312" w:cs="宋体"/>
                <w:color w:val="auto"/>
                <w:spacing w:val="-20"/>
                <w:kern w:val="0"/>
                <w:szCs w:val="21"/>
                <w:highlight w:val="none"/>
              </w:rPr>
              <w:t>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pStyle w:val="20"/>
        <w:spacing w:line="460" w:lineRule="exact"/>
        <w:rPr>
          <w:highlight w:val="none"/>
        </w:rPr>
      </w:pPr>
      <w:r>
        <w:rPr>
          <w:rFonts w:hint="eastAsia"/>
          <w:highlight w:val="none"/>
          <w:lang w:eastAsia="zh-CN"/>
        </w:rPr>
        <w:t>估价对象</w:t>
      </w:r>
      <w:r>
        <w:rPr>
          <w:rFonts w:hint="eastAsia"/>
          <w:highlight w:val="none"/>
          <w:lang w:val="en-US" w:eastAsia="zh-CN"/>
        </w:rPr>
        <w:t>7</w:t>
      </w:r>
      <w:r>
        <w:rPr>
          <w:highlight w:val="none"/>
        </w:rPr>
        <w:t>房屋</w:t>
      </w:r>
      <w:r>
        <w:rPr>
          <w:rFonts w:hint="eastAsia"/>
          <w:kern w:val="0"/>
          <w:highlight w:val="none"/>
        </w:rPr>
        <w:t>权属</w:t>
      </w:r>
      <w:r>
        <w:rPr>
          <w:highlight w:val="none"/>
        </w:rPr>
        <w:t>状况表</w:t>
      </w:r>
    </w:p>
    <w:tbl>
      <w:tblPr>
        <w:tblStyle w:val="1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91"/>
        <w:gridCol w:w="2083"/>
        <w:gridCol w:w="169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3" w:type="dxa"/>
            <w:gridSpan w:val="3"/>
            <w:shd w:val="clear" w:color="auto" w:fill="D9D9D9"/>
            <w:vAlign w:val="center"/>
          </w:tcPr>
          <w:p>
            <w:pPr>
              <w:widowControl/>
              <w:spacing w:line="240" w:lineRule="exact"/>
              <w:jc w:val="center"/>
              <w:rPr>
                <w:rFonts w:ascii="仿宋_GB2312" w:eastAsia="仿宋_GB2312" w:cs="宋体"/>
                <w:b/>
                <w:spacing w:val="-10"/>
                <w:kern w:val="0"/>
                <w:szCs w:val="21"/>
                <w:highlight w:val="none"/>
              </w:rPr>
            </w:pPr>
            <w:r>
              <w:rPr>
                <w:rFonts w:hint="eastAsia" w:ascii="仿宋_GB2312" w:eastAsia="仿宋_GB2312" w:cs="宋体"/>
                <w:b/>
                <w:spacing w:val="-10"/>
                <w:kern w:val="0"/>
                <w:szCs w:val="21"/>
                <w:highlight w:val="none"/>
              </w:rPr>
              <w:t>房屋权益状况</w:t>
            </w:r>
          </w:p>
        </w:tc>
        <w:tc>
          <w:tcPr>
            <w:tcW w:w="4340" w:type="dxa"/>
            <w:gridSpan w:val="2"/>
            <w:shd w:val="clear" w:color="auto" w:fill="D9D9D9"/>
            <w:vAlign w:val="center"/>
          </w:tcPr>
          <w:p>
            <w:pPr>
              <w:widowControl/>
              <w:spacing w:line="240" w:lineRule="exact"/>
              <w:jc w:val="center"/>
              <w:rPr>
                <w:rFonts w:ascii="仿宋_GB2312" w:eastAsia="仿宋_GB2312" w:cs="宋体"/>
                <w:b/>
                <w:spacing w:val="-10"/>
                <w:kern w:val="0"/>
                <w:szCs w:val="21"/>
                <w:highlight w:val="none"/>
              </w:rPr>
            </w:pPr>
            <w:r>
              <w:rPr>
                <w:rFonts w:hint="eastAsia" w:ascii="仿宋_GB2312" w:eastAsia="仿宋_GB2312" w:cs="宋体"/>
                <w:b/>
                <w:spacing w:val="-10"/>
                <w:kern w:val="0"/>
                <w:szCs w:val="21"/>
                <w:highlight w:val="none"/>
              </w:rPr>
              <w:t>土地权益状况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房屋所有权证号</w:t>
            </w:r>
          </w:p>
        </w:tc>
        <w:tc>
          <w:tcPr>
            <w:tcW w:w="2083"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2011001815</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土地使用证号</w:t>
            </w:r>
          </w:p>
        </w:tc>
        <w:tc>
          <w:tcPr>
            <w:tcW w:w="2644"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lang w:eastAsia="zh-CN"/>
              </w:rPr>
              <w:t>潭国用（</w:t>
            </w:r>
            <w:r>
              <w:rPr>
                <w:rFonts w:hint="eastAsia" w:ascii="仿宋_GB2312" w:hAnsi="仿宋_GB2312" w:eastAsia="仿宋_GB2312" w:cs="仿宋_GB2312"/>
                <w:spacing w:val="-20"/>
                <w:kern w:val="0"/>
                <w:szCs w:val="21"/>
                <w:highlight w:val="none"/>
                <w:lang w:val="en-US" w:eastAsia="zh-CN"/>
              </w:rPr>
              <w:t>2011</w:t>
            </w:r>
            <w:r>
              <w:rPr>
                <w:rFonts w:hint="eastAsia" w:ascii="仿宋_GB2312" w:hAnsi="仿宋_GB2312" w:eastAsia="仿宋_GB2312" w:cs="仿宋_GB2312"/>
                <w:spacing w:val="-20"/>
                <w:kern w:val="0"/>
                <w:szCs w:val="21"/>
                <w:highlight w:val="none"/>
                <w:lang w:eastAsia="zh-CN"/>
              </w:rPr>
              <w:t>）第</w:t>
            </w:r>
            <w:r>
              <w:rPr>
                <w:rFonts w:hint="eastAsia" w:ascii="仿宋_GB2312" w:hAnsi="仿宋_GB2312" w:eastAsia="仿宋_GB2312" w:cs="仿宋_GB2312"/>
                <w:spacing w:val="-20"/>
                <w:kern w:val="0"/>
                <w:szCs w:val="21"/>
                <w:highlight w:val="none"/>
                <w:lang w:val="en-US" w:eastAsia="zh-CN"/>
              </w:rPr>
              <w:t>19S02807号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房屋所有权人</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陈樟</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土地使用权人</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陈樟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规划用途</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住宅</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使用权面积（㎡）</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122.26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共有情况</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单独所有</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地类（用途）</w:t>
            </w:r>
          </w:p>
        </w:tc>
        <w:tc>
          <w:tcPr>
            <w:tcW w:w="2644"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lang w:eastAsia="zh-CN"/>
              </w:rPr>
              <w:t>城镇单一住宅用地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Merge w:val="restart"/>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建筑</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物基</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本情</w:t>
            </w:r>
            <w:r>
              <w:rPr>
                <w:rFonts w:hint="eastAsia" w:ascii="仿宋_GB2312" w:hAnsi="仿宋_GB2312" w:eastAsia="仿宋_GB2312" w:cs="仿宋_GB2312"/>
                <w:spacing w:val="-20"/>
                <w:kern w:val="0"/>
                <w:szCs w:val="21"/>
                <w:highlight w:val="none"/>
              </w:rPr>
              <w:br w:type="textWrapping"/>
            </w:r>
            <w:r>
              <w:rPr>
                <w:rFonts w:hint="eastAsia" w:ascii="仿宋_GB2312" w:hAnsi="仿宋_GB2312" w:eastAsia="仿宋_GB2312" w:cs="仿宋_GB2312"/>
                <w:spacing w:val="-20"/>
                <w:kern w:val="0"/>
                <w:szCs w:val="21"/>
                <w:highlight w:val="none"/>
              </w:rPr>
              <w:t>况</w:t>
            </w:r>
          </w:p>
        </w:tc>
        <w:tc>
          <w:tcPr>
            <w:tcW w:w="1691"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建筑面积（㎡）</w:t>
            </w:r>
          </w:p>
        </w:tc>
        <w:tc>
          <w:tcPr>
            <w:tcW w:w="2083"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122.26</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使用权类型</w:t>
            </w:r>
          </w:p>
        </w:tc>
        <w:tc>
          <w:tcPr>
            <w:tcW w:w="2644"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highlight w:val="none"/>
              </w:rPr>
            </w:pPr>
          </w:p>
        </w:tc>
        <w:tc>
          <w:tcPr>
            <w:tcW w:w="1691"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eastAsia="zh-CN"/>
              </w:rPr>
            </w:pPr>
            <w:r>
              <w:rPr>
                <w:rFonts w:hint="eastAsia" w:ascii="仿宋_GB2312" w:hAnsi="仿宋_GB2312" w:eastAsia="仿宋_GB2312" w:cs="仿宋_GB2312"/>
                <w:spacing w:val="-20"/>
                <w:kern w:val="0"/>
                <w:szCs w:val="21"/>
                <w:highlight w:val="none"/>
                <w:lang w:eastAsia="zh-CN"/>
              </w:rPr>
              <w:t>房屋性质</w:t>
            </w:r>
          </w:p>
        </w:tc>
        <w:tc>
          <w:tcPr>
            <w:tcW w:w="2083" w:type="dxa"/>
            <w:vAlign w:val="center"/>
          </w:tcPr>
          <w:p>
            <w:pPr>
              <w:widowControl/>
              <w:spacing w:line="240" w:lineRule="exact"/>
              <w:jc w:val="center"/>
              <w:rPr>
                <w:rFonts w:hint="eastAsia"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w:t>
            </w:r>
          </w:p>
        </w:tc>
        <w:tc>
          <w:tcPr>
            <w:tcW w:w="1696"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终止日期</w:t>
            </w:r>
          </w:p>
        </w:tc>
        <w:tc>
          <w:tcPr>
            <w:tcW w:w="2644" w:type="dxa"/>
            <w:vAlign w:val="center"/>
          </w:tcPr>
          <w:p>
            <w:pPr>
              <w:widowControl/>
              <w:spacing w:line="240" w:lineRule="exact"/>
              <w:jc w:val="center"/>
              <w:rPr>
                <w:rFonts w:hint="default" w:ascii="仿宋_GB2312" w:hAnsi="仿宋_GB2312" w:eastAsia="仿宋_GB2312" w:cs="仿宋_GB2312"/>
                <w:spacing w:val="-20"/>
                <w:kern w:val="0"/>
                <w:szCs w:val="21"/>
                <w:highlight w:val="none"/>
                <w:lang w:val="en-US" w:eastAsia="zh-CN"/>
              </w:rPr>
            </w:pPr>
            <w:r>
              <w:rPr>
                <w:rFonts w:hint="eastAsia" w:ascii="仿宋_GB2312" w:hAnsi="仿宋_GB2312" w:eastAsia="仿宋_GB2312" w:cs="仿宋_GB2312"/>
                <w:spacing w:val="-20"/>
                <w:kern w:val="0"/>
                <w:szCs w:val="21"/>
                <w:highlight w:val="none"/>
                <w:lang w:val="en-US" w:eastAsia="zh-CN"/>
              </w:rPr>
              <w:t>2077年12月7日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widowControl/>
              <w:spacing w:line="240" w:lineRule="exact"/>
              <w:jc w:val="center"/>
              <w:rPr>
                <w:rFonts w:ascii="仿宋_GB2312" w:hAnsi="仿宋_GB2312" w:eastAsia="仿宋_GB2312" w:cs="仿宋_GB2312"/>
                <w:spacing w:val="-20"/>
                <w:kern w:val="0"/>
                <w:szCs w:val="21"/>
                <w:highlight w:val="none"/>
              </w:rPr>
            </w:pPr>
          </w:p>
        </w:tc>
        <w:tc>
          <w:tcPr>
            <w:tcW w:w="1691" w:type="dxa"/>
            <w:vAlign w:val="center"/>
          </w:tcPr>
          <w:p>
            <w:pPr>
              <w:widowControl/>
              <w:spacing w:line="240" w:lineRule="exact"/>
              <w:jc w:val="center"/>
              <w:rPr>
                <w:rFonts w:ascii="仿宋_GB2312" w:hAnsi="仿宋_GB2312" w:eastAsia="仿宋_GB2312" w:cs="仿宋_GB2312"/>
                <w:spacing w:val="-20"/>
                <w:kern w:val="0"/>
                <w:szCs w:val="21"/>
                <w:highlight w:val="none"/>
              </w:rPr>
            </w:pPr>
            <w:r>
              <w:rPr>
                <w:rFonts w:hint="eastAsia" w:ascii="仿宋_GB2312" w:hAnsi="仿宋_GB2312" w:eastAsia="仿宋_GB2312" w:cs="仿宋_GB2312"/>
                <w:spacing w:val="-20"/>
                <w:kern w:val="0"/>
                <w:szCs w:val="21"/>
                <w:highlight w:val="none"/>
              </w:rPr>
              <w:t>所在层数/总层数</w:t>
            </w:r>
          </w:p>
        </w:tc>
        <w:tc>
          <w:tcPr>
            <w:tcW w:w="2083" w:type="dxa"/>
            <w:vAlign w:val="center"/>
          </w:tcPr>
          <w:p>
            <w:pPr>
              <w:widowControl/>
              <w:spacing w:line="240" w:lineRule="exact"/>
              <w:jc w:val="center"/>
              <w:rPr>
                <w:rFonts w:hint="default" w:ascii="仿宋_GB2312" w:hAnsi="仿宋_GB2312" w:eastAsia="仿宋_GB2312" w:cs="仿宋_GB2312"/>
                <w:color w:val="auto"/>
                <w:spacing w:val="-20"/>
                <w:kern w:val="0"/>
                <w:szCs w:val="21"/>
                <w:highlight w:val="none"/>
                <w:lang w:val="en-US" w:eastAsia="zh-CN"/>
              </w:rPr>
            </w:pPr>
            <w:r>
              <w:rPr>
                <w:rFonts w:hint="eastAsia" w:ascii="仿宋_GB2312" w:hAnsi="仿宋_GB2312" w:eastAsia="仿宋_GB2312" w:cs="仿宋_GB2312"/>
                <w:color w:val="auto"/>
                <w:spacing w:val="-20"/>
                <w:kern w:val="0"/>
                <w:szCs w:val="21"/>
                <w:highlight w:val="none"/>
                <w:lang w:val="en-US" w:eastAsia="zh-CN"/>
              </w:rPr>
              <w:t>3/5</w:t>
            </w:r>
          </w:p>
        </w:tc>
        <w:tc>
          <w:tcPr>
            <w:tcW w:w="1696" w:type="dxa"/>
            <w:vMerge w:val="restart"/>
            <w:vAlign w:val="center"/>
          </w:tcPr>
          <w:p>
            <w:pPr>
              <w:widowControl/>
              <w:spacing w:line="240" w:lineRule="exact"/>
              <w:jc w:val="center"/>
              <w:rPr>
                <w:rFonts w:ascii="仿宋_GB2312" w:hAnsi="仿宋_GB2312" w:eastAsia="仿宋_GB2312" w:cs="仿宋_GB2312"/>
                <w:color w:val="auto"/>
                <w:spacing w:val="-20"/>
                <w:kern w:val="0"/>
                <w:szCs w:val="21"/>
                <w:highlight w:val="none"/>
              </w:rPr>
            </w:pPr>
            <w:r>
              <w:rPr>
                <w:rFonts w:hint="eastAsia" w:ascii="仿宋_GB2312" w:hAnsi="仿宋_GB2312" w:eastAsia="仿宋_GB2312" w:cs="仿宋_GB2312"/>
                <w:color w:val="auto"/>
                <w:spacing w:val="-20"/>
                <w:kern w:val="0"/>
                <w:szCs w:val="21"/>
                <w:highlight w:val="none"/>
              </w:rPr>
              <w:t>其他</w:t>
            </w:r>
          </w:p>
        </w:tc>
        <w:tc>
          <w:tcPr>
            <w:tcW w:w="2644" w:type="dxa"/>
            <w:vMerge w:val="restart"/>
            <w:vAlign w:val="center"/>
          </w:tcPr>
          <w:p>
            <w:pPr>
              <w:widowControl/>
              <w:spacing w:line="240" w:lineRule="exact"/>
              <w:jc w:val="center"/>
              <w:rPr>
                <w:rFonts w:ascii="仿宋_GB2312" w:hAnsi="仿宋_GB2312" w:eastAsia="仿宋_GB2312" w:cs="仿宋_GB2312"/>
                <w:color w:val="auto"/>
                <w:spacing w:val="-20"/>
                <w:kern w:val="0"/>
                <w:szCs w:val="21"/>
                <w:highlight w:val="none"/>
              </w:rPr>
            </w:pPr>
            <w:r>
              <w:rPr>
                <w:rFonts w:hint="eastAsia" w:ascii="仿宋_GB2312" w:hAnsi="仿宋_GB2312" w:eastAsia="仿宋_GB2312" w:cs="仿宋_GB2312"/>
                <w:color w:val="auto"/>
                <w:spacing w:val="-20"/>
                <w:kern w:val="0"/>
                <w:szCs w:val="21"/>
                <w:highlight w:val="none"/>
              </w:rPr>
              <w:t>地势平坦，地质条件良</w:t>
            </w:r>
          </w:p>
          <w:p>
            <w:pPr>
              <w:widowControl/>
              <w:spacing w:line="240" w:lineRule="exact"/>
              <w:jc w:val="center"/>
              <w:rPr>
                <w:rFonts w:ascii="仿宋_GB2312" w:hAnsi="仿宋_GB2312" w:eastAsia="仿宋_GB2312" w:cs="仿宋_GB2312"/>
                <w:color w:val="auto"/>
                <w:spacing w:val="-20"/>
                <w:kern w:val="0"/>
                <w:szCs w:val="21"/>
                <w:highlight w:val="none"/>
              </w:rPr>
            </w:pPr>
            <w:r>
              <w:rPr>
                <w:rFonts w:hint="eastAsia" w:ascii="仿宋_GB2312" w:hAnsi="仿宋_GB2312" w:eastAsia="仿宋_GB2312" w:cs="仿宋_GB2312"/>
                <w:color w:val="auto"/>
                <w:spacing w:val="-20"/>
                <w:kern w:val="0"/>
                <w:szCs w:val="21"/>
                <w:highlight w:val="none"/>
              </w:rPr>
              <w:t>好，基础配套设施较齐全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spacing w:line="240" w:lineRule="exact"/>
              <w:rPr>
                <w:spacing w:val="-10"/>
              </w:rPr>
            </w:pPr>
          </w:p>
        </w:tc>
        <w:tc>
          <w:tcPr>
            <w:tcW w:w="1691" w:type="dxa"/>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登记时间</w:t>
            </w:r>
          </w:p>
        </w:tc>
        <w:tc>
          <w:tcPr>
            <w:tcW w:w="2083" w:type="dxa"/>
            <w:vAlign w:val="center"/>
          </w:tcPr>
          <w:p>
            <w:pPr>
              <w:widowControl/>
              <w:spacing w:line="240" w:lineRule="exact"/>
              <w:jc w:val="center"/>
              <w:rPr>
                <w:rFonts w:hint="default" w:ascii="仿宋_GB2312" w:hAnsi="仿宋_GB2312" w:eastAsia="仿宋_GB2312" w:cs="仿宋_GB2312"/>
                <w:color w:val="auto"/>
                <w:spacing w:val="-20"/>
                <w:kern w:val="0"/>
                <w:szCs w:val="21"/>
                <w:lang w:val="en-US" w:eastAsia="zh-CN"/>
              </w:rPr>
            </w:pPr>
            <w:r>
              <w:rPr>
                <w:rFonts w:hint="eastAsia" w:ascii="仿宋_GB2312" w:hAnsi="仿宋_GB2312" w:eastAsia="仿宋_GB2312" w:cs="仿宋_GB2312"/>
                <w:color w:val="auto"/>
                <w:spacing w:val="-20"/>
                <w:kern w:val="0"/>
                <w:szCs w:val="21"/>
                <w:lang w:val="en-US" w:eastAsia="zh-CN"/>
              </w:rPr>
              <w:t>2011年3月24日</w:t>
            </w:r>
          </w:p>
        </w:tc>
        <w:tc>
          <w:tcPr>
            <w:tcW w:w="1696" w:type="dxa"/>
            <w:vMerge w:val="continue"/>
            <w:vAlign w:val="center"/>
          </w:tcPr>
          <w:p>
            <w:pPr>
              <w:spacing w:line="240" w:lineRule="exact"/>
              <w:rPr>
                <w:color w:val="auto"/>
                <w:spacing w:val="-10"/>
              </w:rPr>
            </w:pPr>
          </w:p>
        </w:tc>
        <w:tc>
          <w:tcPr>
            <w:tcW w:w="2644" w:type="dxa"/>
            <w:vMerge w:val="continue"/>
            <w:vAlign w:val="center"/>
          </w:tcPr>
          <w:p>
            <w:pPr>
              <w:spacing w:line="240" w:lineRule="exact"/>
              <w:rPr>
                <w:color w:val="auto"/>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gridSpan w:val="2"/>
            <w:vAlign w:val="center"/>
          </w:tcPr>
          <w:p>
            <w:pPr>
              <w:widowControl/>
              <w:spacing w:line="240" w:lineRule="exact"/>
              <w:jc w:val="center"/>
              <w:rPr>
                <w:rFonts w:ascii="仿宋_GB2312" w:hAnsi="仿宋_GB2312" w:eastAsia="仿宋_GB2312" w:cs="仿宋_GB2312"/>
                <w:spacing w:val="-20"/>
                <w:kern w:val="0"/>
                <w:szCs w:val="21"/>
              </w:rPr>
            </w:pPr>
            <w:r>
              <w:rPr>
                <w:rFonts w:hint="eastAsia" w:ascii="仿宋_GB2312" w:hAnsi="仿宋_GB2312" w:eastAsia="仿宋_GB2312" w:cs="仿宋_GB2312"/>
                <w:spacing w:val="-20"/>
                <w:kern w:val="0"/>
                <w:szCs w:val="21"/>
              </w:rPr>
              <w:t>其他</w:t>
            </w:r>
          </w:p>
        </w:tc>
        <w:tc>
          <w:tcPr>
            <w:tcW w:w="6423" w:type="dxa"/>
            <w:gridSpan w:val="3"/>
            <w:vAlign w:val="center"/>
          </w:tcPr>
          <w:p>
            <w:pPr>
              <w:numPr>
                <w:ilvl w:val="0"/>
                <w:numId w:val="0"/>
              </w:numPr>
              <w:spacing w:line="240" w:lineRule="exact"/>
              <w:rPr>
                <w:rFonts w:hint="eastAsia" w:ascii="仿宋_GB2312" w:hAnsi="宋体" w:eastAsia="仿宋_GB2312"/>
                <w:color w:val="auto"/>
                <w:spacing w:val="-20"/>
                <w:kern w:val="0"/>
                <w:lang w:eastAsia="zh-CN"/>
              </w:rPr>
            </w:pPr>
            <w:r>
              <w:rPr>
                <w:rFonts w:hint="eastAsia" w:ascii="仿宋_GB2312" w:hAnsi="宋体" w:eastAsia="仿宋_GB2312" w:cs="宋体"/>
                <w:color w:val="auto"/>
                <w:spacing w:val="-20"/>
                <w:kern w:val="0"/>
                <w:szCs w:val="21"/>
                <w:highlight w:val="none"/>
              </w:rPr>
              <w:t>根据估价委托人介绍及估价人员了解，估价对象在价值时点已设定他项权利，</w:t>
            </w:r>
            <w:r>
              <w:rPr>
                <w:rFonts w:hint="eastAsia" w:ascii="仿宋_GB2312" w:hAnsi="宋体" w:eastAsia="仿宋_GB2312" w:cs="宋体"/>
                <w:color w:val="auto"/>
                <w:spacing w:val="-20"/>
                <w:kern w:val="0"/>
                <w:szCs w:val="21"/>
                <w:highlight w:val="none"/>
                <w:lang w:eastAsia="zh-CN"/>
              </w:rPr>
              <w:t>权利人为湖南湘潭天易农村商业银行股份有限公司乌石支行</w:t>
            </w:r>
            <w:r>
              <w:rPr>
                <w:rFonts w:hint="eastAsia" w:ascii="仿宋_GB2312" w:hAnsi="宋体" w:eastAsia="仿宋_GB2312"/>
                <w:color w:val="auto"/>
                <w:spacing w:val="-20"/>
                <w:kern w:val="0"/>
                <w:szCs w:val="21"/>
                <w:highlight w:val="none"/>
                <w:lang w:eastAsia="zh-CN"/>
              </w:rPr>
              <w:t>；</w:t>
            </w:r>
            <w:r>
              <w:rPr>
                <w:rFonts w:hint="eastAsia" w:ascii="仿宋_GB2312" w:hAnsi="宋体" w:eastAsia="仿宋_GB2312" w:cs="宋体"/>
                <w:color w:val="auto"/>
                <w:spacing w:val="-20"/>
                <w:kern w:val="0"/>
                <w:szCs w:val="21"/>
                <w:highlight w:val="none"/>
                <w:lang w:val="en-US" w:eastAsia="zh-CN"/>
              </w:rPr>
              <w:t>估价对象已被湘潭县人民法院查封。</w:t>
            </w:r>
          </w:p>
        </w:tc>
      </w:tr>
    </w:tbl>
    <w:p>
      <w:pPr>
        <w:tabs>
          <w:tab w:val="left" w:pos="0"/>
        </w:tabs>
        <w:spacing w:line="540" w:lineRule="exact"/>
        <w:ind w:left="-2" w:leftChars="-1" w:firstLine="56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根据本次评估的目的，以估价对象无任何债权债务纠纷为假设前提，并未涉及与估价对象有关抵押、担保及负债等。</w:t>
      </w:r>
    </w:p>
    <w:p>
      <w:pPr>
        <w:widowControl/>
        <w:spacing w:line="540" w:lineRule="exact"/>
        <w:ind w:firstLine="562" w:firstLineChars="200"/>
        <w:rPr>
          <w:rFonts w:ascii="仿宋_GB2312" w:eastAsia="仿宋_GB2312"/>
          <w:b/>
          <w:bCs/>
          <w:color w:val="000000"/>
          <w:sz w:val="28"/>
          <w:szCs w:val="28"/>
          <w:highlight w:val="none"/>
        </w:rPr>
      </w:pPr>
      <w:r>
        <w:rPr>
          <w:rFonts w:hint="eastAsia" w:ascii="仿宋_GB2312" w:hAnsi="宋体" w:eastAsia="仿宋_GB2312"/>
          <w:b/>
          <w:color w:val="000000"/>
          <w:sz w:val="28"/>
          <w:szCs w:val="28"/>
          <w:highlight w:val="none"/>
        </w:rPr>
        <w:t>3、</w:t>
      </w:r>
      <w:r>
        <w:rPr>
          <w:rFonts w:hint="eastAsia" w:ascii="仿宋_GB2312" w:eastAsia="仿宋_GB2312"/>
          <w:b/>
          <w:bCs/>
          <w:color w:val="000000"/>
          <w:sz w:val="28"/>
          <w:szCs w:val="28"/>
          <w:highlight w:val="none"/>
        </w:rPr>
        <w:t>土地基本状况</w:t>
      </w:r>
    </w:p>
    <w:p>
      <w:pPr>
        <w:tabs>
          <w:tab w:val="left" w:pos="0"/>
        </w:tabs>
        <w:spacing w:line="540" w:lineRule="exact"/>
        <w:ind w:firstLine="560" w:firstLineChars="200"/>
        <w:rPr>
          <w:rFonts w:ascii="仿宋_GB2312" w:hAnsi="宋体" w:eastAsia="仿宋_GB2312"/>
          <w:color w:val="000000"/>
          <w:sz w:val="28"/>
          <w:szCs w:val="28"/>
          <w:highlight w:val="none"/>
        </w:rPr>
      </w:pPr>
      <w:r>
        <w:rPr>
          <w:rFonts w:hint="eastAsia" w:ascii="仿宋_GB2312" w:eastAsia="仿宋_GB2312"/>
          <w:color w:val="000000"/>
          <w:kern w:val="0"/>
          <w:sz w:val="28"/>
          <w:szCs w:val="32"/>
          <w:highlight w:val="none"/>
        </w:rPr>
        <w:t>估价对象</w:t>
      </w:r>
      <w:r>
        <w:rPr>
          <w:rFonts w:hint="eastAsia" w:ascii="仿宋_GB2312" w:hAnsi="宋体" w:eastAsia="仿宋_GB2312"/>
          <w:color w:val="000000"/>
          <w:sz w:val="28"/>
          <w:szCs w:val="28"/>
          <w:highlight w:val="none"/>
        </w:rPr>
        <w:t>的土地</w:t>
      </w:r>
      <w:r>
        <w:rPr>
          <w:rFonts w:hint="eastAsia" w:ascii="仿宋_GB2312" w:eastAsia="仿宋_GB2312"/>
          <w:color w:val="000000"/>
          <w:kern w:val="0"/>
          <w:sz w:val="28"/>
          <w:szCs w:val="32"/>
          <w:highlight w:val="none"/>
        </w:rPr>
        <w:t>基本</w:t>
      </w:r>
      <w:r>
        <w:rPr>
          <w:rFonts w:hint="eastAsia" w:ascii="仿宋_GB2312" w:hAnsi="宋体" w:eastAsia="仿宋_GB2312"/>
          <w:color w:val="000000"/>
          <w:sz w:val="28"/>
          <w:szCs w:val="28"/>
          <w:highlight w:val="none"/>
        </w:rPr>
        <w:t>情况</w:t>
      </w:r>
      <w:r>
        <w:rPr>
          <w:rFonts w:ascii="仿宋_GB2312" w:hAnsi="宋体" w:eastAsia="仿宋_GB2312"/>
          <w:color w:val="000000"/>
          <w:sz w:val="28"/>
          <w:szCs w:val="28"/>
          <w:highlight w:val="none"/>
        </w:rPr>
        <w:t>详见</w:t>
      </w:r>
      <w:r>
        <w:rPr>
          <w:rFonts w:hint="eastAsia" w:ascii="仿宋_GB2312" w:eastAsia="仿宋_GB2312"/>
          <w:color w:val="000000"/>
          <w:kern w:val="0"/>
          <w:sz w:val="28"/>
          <w:szCs w:val="32"/>
          <w:highlight w:val="none"/>
        </w:rPr>
        <w:t>下表：</w:t>
      </w:r>
    </w:p>
    <w:p>
      <w:pPr>
        <w:pStyle w:val="20"/>
        <w:spacing w:line="460" w:lineRule="exact"/>
        <w:rPr>
          <w:rFonts w:hint="eastAsia"/>
          <w:color w:val="000000"/>
          <w:highlight w:val="none"/>
        </w:rPr>
      </w:pPr>
      <w:r>
        <w:rPr>
          <w:rFonts w:hint="eastAsia"/>
          <w:color w:val="000000"/>
          <w:highlight w:val="none"/>
        </w:rPr>
        <w:t>土地基本状况表</w:t>
      </w:r>
    </w:p>
    <w:p>
      <w:pPr>
        <w:pStyle w:val="11"/>
        <w:spacing w:line="460" w:lineRule="exact"/>
        <w:ind w:left="561" w:firstLine="0"/>
        <w:jc w:val="left"/>
        <w:rPr>
          <w:rFonts w:hint="eastAsia" w:ascii="仿宋_GB2312" w:eastAsia="仿宋_GB2312"/>
          <w:b/>
          <w:color w:val="000000"/>
          <w:sz w:val="28"/>
          <w:szCs w:val="28"/>
          <w:highlight w:val="none"/>
          <w:u w:val="none"/>
        </w:rPr>
      </w:pPr>
      <w:r>
        <w:rPr>
          <w:rFonts w:hint="eastAsia" w:ascii="仿宋_GB2312" w:eastAsia="仿宋_GB2312"/>
          <w:b/>
          <w:color w:val="000000"/>
          <w:sz w:val="28"/>
          <w:szCs w:val="28"/>
          <w:highlight w:val="none"/>
          <w:u w:val="none"/>
        </w:rPr>
        <w:t>估价对象1</w:t>
      </w:r>
      <w:r>
        <w:rPr>
          <w:rFonts w:hint="eastAsia" w:ascii="仿宋_GB2312" w:eastAsia="仿宋_GB2312"/>
          <w:b/>
          <w:color w:val="000000"/>
          <w:sz w:val="28"/>
          <w:szCs w:val="28"/>
          <w:highlight w:val="none"/>
          <w:u w:val="none"/>
          <w:lang w:val="en-US" w:eastAsia="zh-CN"/>
        </w:rPr>
        <w:t>-2</w:t>
      </w:r>
    </w:p>
    <w:tbl>
      <w:tblPr>
        <w:tblStyle w:val="1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34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Align w:val="center"/>
          </w:tcPr>
          <w:p>
            <w:pPr>
              <w:pStyle w:val="21"/>
              <w:spacing w:line="240" w:lineRule="exact"/>
              <w:rPr>
                <w:color w:val="000000"/>
                <w:spacing w:val="-20"/>
                <w:highlight w:val="none"/>
              </w:rPr>
            </w:pPr>
            <w:r>
              <w:rPr>
                <w:rFonts w:hint="eastAsia"/>
                <w:color w:val="000000"/>
                <w:spacing w:val="-20"/>
                <w:highlight w:val="none"/>
              </w:rPr>
              <w:t>四至</w:t>
            </w:r>
          </w:p>
        </w:tc>
        <w:tc>
          <w:tcPr>
            <w:tcW w:w="7360" w:type="dxa"/>
            <w:gridSpan w:val="2"/>
            <w:vAlign w:val="center"/>
          </w:tcPr>
          <w:p>
            <w:pPr>
              <w:pStyle w:val="21"/>
              <w:spacing w:line="240" w:lineRule="exact"/>
              <w:jc w:val="both"/>
              <w:rPr>
                <w:rFonts w:hint="default" w:eastAsia="仿宋_GB2312"/>
                <w:spacing w:val="-20"/>
                <w:highlight w:val="none"/>
                <w:lang w:val="en-US" w:eastAsia="zh-CN"/>
              </w:rPr>
            </w:pPr>
            <w:r>
              <w:rPr>
                <w:rFonts w:hint="eastAsia"/>
                <w:spacing w:val="-20"/>
                <w:highlight w:val="none"/>
                <w:lang w:val="en-US" w:eastAsia="zh-CN"/>
              </w:rPr>
              <w:t>东距宾湖路约190米，</w:t>
            </w:r>
            <w:r>
              <w:rPr>
                <w:rFonts w:hint="eastAsia"/>
                <w:spacing w:val="-20"/>
                <w:highlight w:val="none"/>
                <w:lang w:eastAsia="zh-CN"/>
              </w:rPr>
              <w:t>南临迎宾东路</w:t>
            </w:r>
            <w:r>
              <w:rPr>
                <w:rFonts w:hint="eastAsia"/>
                <w:spacing w:val="-20"/>
                <w:highlight w:val="none"/>
                <w:lang w:val="en-US" w:eastAsia="zh-CN"/>
              </w:rPr>
              <w:t>，西、北均邻其他商住楼。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highlight w:val="none"/>
              </w:rPr>
            </w:pPr>
            <w:r>
              <w:rPr>
                <w:rFonts w:hint="eastAsia"/>
                <w:color w:val="000000"/>
                <w:spacing w:val="-20"/>
                <w:highlight w:val="none"/>
              </w:rPr>
              <w:t>土地</w:t>
            </w:r>
            <w:r>
              <w:rPr>
                <w:rFonts w:hint="eastAsia" w:hAnsi="仿宋_GB2312" w:cs="仿宋_GB2312"/>
                <w:color w:val="000000"/>
                <w:spacing w:val="-20"/>
                <w:highlight w:val="none"/>
              </w:rPr>
              <w:t>使用权面积</w:t>
            </w:r>
          </w:p>
        </w:tc>
        <w:tc>
          <w:tcPr>
            <w:tcW w:w="7360" w:type="dxa"/>
            <w:gridSpan w:val="2"/>
            <w:vAlign w:val="center"/>
          </w:tcPr>
          <w:p>
            <w:pPr>
              <w:pStyle w:val="21"/>
              <w:spacing w:line="240" w:lineRule="exact"/>
              <w:jc w:val="both"/>
              <w:rPr>
                <w:rFonts w:hint="default" w:eastAsia="仿宋_GB2312"/>
                <w:color w:val="000000"/>
                <w:spacing w:val="-20"/>
                <w:highlight w:val="none"/>
                <w:lang w:val="en-US" w:eastAsia="zh-CN"/>
              </w:rPr>
            </w:pPr>
            <w:r>
              <w:rPr>
                <w:rFonts w:hint="eastAsia" w:hAnsi="仿宋_GB2312" w:cs="仿宋_GB2312"/>
                <w:color w:val="000000"/>
                <w:spacing w:val="-20"/>
                <w:highlight w:val="none"/>
                <w:lang w:val="en-US" w:eastAsia="zh-CN"/>
              </w:rPr>
              <w:t>213.6平方米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土地形状</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周围环境</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周边主要为商业区，自然环境良好，人文环境一般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景观</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区域内主要为街景，没有其他特殊景观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开发程度</w:t>
            </w:r>
          </w:p>
        </w:tc>
        <w:tc>
          <w:tcPr>
            <w:tcW w:w="7360" w:type="dxa"/>
            <w:gridSpan w:val="2"/>
            <w:vAlign w:val="center"/>
          </w:tcPr>
          <w:p>
            <w:pPr>
              <w:pStyle w:val="21"/>
              <w:spacing w:line="240" w:lineRule="exact"/>
              <w:jc w:val="both"/>
              <w:rPr>
                <w:color w:val="000000"/>
                <w:spacing w:val="-20"/>
              </w:rPr>
            </w:pPr>
            <w:r>
              <w:rPr>
                <w:rFonts w:hint="eastAsia"/>
                <w:color w:val="000000"/>
                <w:spacing w:val="-20"/>
              </w:rPr>
              <w:t>土地开发程</w:t>
            </w:r>
            <w:r>
              <w:rPr>
                <w:rFonts w:hint="eastAsia"/>
                <w:color w:val="000000"/>
                <w:spacing w:val="-20"/>
                <w:highlight w:val="none"/>
              </w:rPr>
              <w:t>度为“</w:t>
            </w:r>
            <w:r>
              <w:rPr>
                <w:rFonts w:hint="eastAsia"/>
                <w:color w:val="000000"/>
                <w:spacing w:val="-20"/>
                <w:highlight w:val="none"/>
                <w:lang w:eastAsia="zh-CN"/>
              </w:rPr>
              <w:t>六</w:t>
            </w:r>
            <w:r>
              <w:rPr>
                <w:rFonts w:hint="eastAsia"/>
                <w:color w:val="000000"/>
                <w:spacing w:val="-20"/>
                <w:highlight w:val="none"/>
              </w:rPr>
              <w:t>通一平”（宗地外通上水、通下水、通路、通电、</w:t>
            </w:r>
            <w:r>
              <w:rPr>
                <w:rFonts w:hint="eastAsia"/>
                <w:color w:val="000000"/>
                <w:spacing w:val="-20"/>
                <w:highlight w:val="none"/>
                <w:lang w:eastAsia="zh-CN"/>
              </w:rPr>
              <w:t>通气、</w:t>
            </w:r>
            <w:r>
              <w:rPr>
                <w:rFonts w:hint="eastAsia"/>
                <w:color w:val="000000"/>
                <w:spacing w:val="-20"/>
                <w:highlight w:val="none"/>
              </w:rPr>
              <w:t>通讯）及宗</w:t>
            </w:r>
            <w:r>
              <w:rPr>
                <w:rFonts w:hint="eastAsia"/>
                <w:color w:val="000000"/>
                <w:spacing w:val="-20"/>
              </w:rPr>
              <w:t>地内场地平整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地形、地势</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地势开阔，地形平坦，符合建设要求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地质</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地质情况良好，承载力较强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水文状况</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highlight w:val="none"/>
              </w:rPr>
              <w:t>湘潭市境内雨水充足，水文状况较好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规划条件</w:t>
            </w:r>
          </w:p>
        </w:tc>
        <w:tc>
          <w:tcPr>
            <w:tcW w:w="7342" w:type="dxa"/>
            <w:vAlign w:val="center"/>
          </w:tcPr>
          <w:p>
            <w:pPr>
              <w:pStyle w:val="21"/>
              <w:spacing w:line="240" w:lineRule="exact"/>
              <w:jc w:val="both"/>
              <w:rPr>
                <w:color w:val="000000"/>
                <w:spacing w:val="-20"/>
              </w:rPr>
            </w:pPr>
            <w:r>
              <w:rPr>
                <w:rFonts w:hint="eastAsia"/>
                <w:color w:val="000000"/>
                <w:spacing w:val="-20"/>
              </w:rPr>
              <w:t>土地用途为</w:t>
            </w:r>
            <w:r>
              <w:rPr>
                <w:rFonts w:hint="eastAsia"/>
                <w:color w:val="000000"/>
                <w:spacing w:val="-20"/>
                <w:lang w:eastAsia="zh-CN"/>
              </w:rPr>
              <w:t>城镇混合住宅用地</w:t>
            </w:r>
            <w:r>
              <w:rPr>
                <w:rFonts w:hint="eastAsia"/>
                <w:color w:val="000000"/>
                <w:spacing w:val="-20"/>
              </w:rPr>
              <w:t>，使用权类型为</w:t>
            </w:r>
            <w:r>
              <w:rPr>
                <w:rFonts w:hint="eastAsia"/>
                <w:color w:val="000000"/>
                <w:spacing w:val="-20"/>
                <w:lang w:eastAsia="zh-CN"/>
              </w:rPr>
              <w:t>出让</w:t>
            </w:r>
            <w:r>
              <w:rPr>
                <w:rFonts w:hint="eastAsia"/>
                <w:color w:val="000000"/>
                <w:spacing w:val="-20"/>
              </w:rPr>
              <w:t>，容积率符合规划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利用现状</w:t>
            </w:r>
          </w:p>
        </w:tc>
        <w:tc>
          <w:tcPr>
            <w:tcW w:w="7342" w:type="dxa"/>
            <w:vAlign w:val="center"/>
          </w:tcPr>
          <w:p>
            <w:pPr>
              <w:pStyle w:val="21"/>
              <w:spacing w:line="240" w:lineRule="exact"/>
              <w:jc w:val="both"/>
              <w:rPr>
                <w:color w:val="000000"/>
                <w:spacing w:val="-20"/>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雨湖区昭潭乡迎宾东路68号1号门面及</w:t>
            </w:r>
            <w:r>
              <w:rPr>
                <w:rFonts w:hint="eastAsia" w:cs="宋体"/>
                <w:color w:val="000000"/>
                <w:spacing w:val="-20"/>
                <w:kern w:val="0"/>
                <w:szCs w:val="21"/>
                <w:highlight w:val="none"/>
                <w:lang w:val="en-US" w:eastAsia="zh-CN"/>
              </w:rPr>
              <w:t>2号门面</w:t>
            </w:r>
            <w:r>
              <w:rPr>
                <w:rFonts w:hint="eastAsia"/>
                <w:color w:val="000000"/>
                <w:spacing w:val="-20"/>
              </w:rPr>
              <w:t>用地</w:t>
            </w:r>
          </w:p>
        </w:tc>
      </w:tr>
    </w:tbl>
    <w:p>
      <w:pPr>
        <w:pStyle w:val="11"/>
        <w:spacing w:line="460" w:lineRule="exact"/>
        <w:ind w:left="561" w:firstLine="0"/>
        <w:jc w:val="left"/>
        <w:rPr>
          <w:rFonts w:hint="eastAsia" w:ascii="仿宋_GB2312" w:eastAsia="仿宋_GB2312"/>
          <w:b/>
          <w:color w:val="000000"/>
          <w:sz w:val="28"/>
          <w:szCs w:val="28"/>
          <w:highlight w:val="none"/>
          <w:u w:val="none"/>
        </w:rPr>
      </w:pPr>
      <w:r>
        <w:rPr>
          <w:rFonts w:hint="eastAsia" w:ascii="仿宋_GB2312" w:eastAsia="仿宋_GB2312"/>
          <w:b/>
          <w:color w:val="000000"/>
          <w:sz w:val="28"/>
          <w:szCs w:val="28"/>
          <w:highlight w:val="none"/>
          <w:u w:val="none"/>
        </w:rPr>
        <w:t>估价对象</w:t>
      </w:r>
      <w:r>
        <w:rPr>
          <w:rFonts w:hint="eastAsia" w:ascii="仿宋_GB2312" w:eastAsia="仿宋_GB2312"/>
          <w:b/>
          <w:color w:val="000000"/>
          <w:sz w:val="28"/>
          <w:szCs w:val="28"/>
          <w:highlight w:val="none"/>
          <w:u w:val="none"/>
          <w:lang w:val="en-US" w:eastAsia="zh-CN"/>
        </w:rPr>
        <w:t>3</w:t>
      </w:r>
    </w:p>
    <w:tbl>
      <w:tblPr>
        <w:tblStyle w:val="1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34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四至</w:t>
            </w:r>
          </w:p>
        </w:tc>
        <w:tc>
          <w:tcPr>
            <w:tcW w:w="7360" w:type="dxa"/>
            <w:gridSpan w:val="2"/>
            <w:vAlign w:val="center"/>
          </w:tcPr>
          <w:p>
            <w:pPr>
              <w:pStyle w:val="21"/>
              <w:spacing w:line="240" w:lineRule="exact"/>
              <w:jc w:val="both"/>
              <w:rPr>
                <w:rFonts w:hint="default" w:eastAsia="仿宋_GB2312"/>
                <w:spacing w:val="-20"/>
                <w:lang w:val="en-US" w:eastAsia="zh-CN"/>
              </w:rPr>
            </w:pPr>
            <w:r>
              <w:rPr>
                <w:rFonts w:hint="eastAsia"/>
                <w:spacing w:val="-20"/>
                <w:highlight w:val="none"/>
                <w:lang w:eastAsia="zh-CN"/>
              </w:rPr>
              <w:t>南临迎宾东路</w:t>
            </w:r>
            <w:r>
              <w:rPr>
                <w:rFonts w:hint="eastAsia"/>
                <w:spacing w:val="-20"/>
                <w:highlight w:val="none"/>
                <w:lang w:val="en-US" w:eastAsia="zh-CN"/>
              </w:rPr>
              <w:t>，西距南岭路约110米、东、北均邻其他商住楼</w:t>
            </w:r>
            <w:r>
              <w:rPr>
                <w:rFonts w:hint="eastAsia"/>
                <w:spacing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w:t>
            </w:r>
            <w:r>
              <w:rPr>
                <w:rFonts w:hint="eastAsia" w:hAnsi="仿宋_GB2312" w:cs="仿宋_GB2312"/>
                <w:color w:val="000000"/>
                <w:spacing w:val="-20"/>
              </w:rPr>
              <w:t>使用权面积</w:t>
            </w:r>
          </w:p>
        </w:tc>
        <w:tc>
          <w:tcPr>
            <w:tcW w:w="7360" w:type="dxa"/>
            <w:gridSpan w:val="2"/>
            <w:vAlign w:val="center"/>
          </w:tcPr>
          <w:p>
            <w:pPr>
              <w:pStyle w:val="21"/>
              <w:spacing w:line="240" w:lineRule="exact"/>
              <w:jc w:val="both"/>
              <w:rPr>
                <w:rFonts w:hint="default" w:eastAsia="仿宋_GB2312"/>
                <w:color w:val="000000"/>
                <w:spacing w:val="-20"/>
                <w:lang w:val="en-US" w:eastAsia="zh-CN"/>
              </w:rPr>
            </w:pPr>
            <w:r>
              <w:rPr>
                <w:rFonts w:hint="eastAsia" w:hAnsi="仿宋_GB2312" w:cs="仿宋_GB2312"/>
                <w:color w:val="000000"/>
                <w:spacing w:val="-20"/>
                <w:lang w:val="en-US" w:eastAsia="zh-CN"/>
              </w:rPr>
              <w:t>42.15平方米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土地形状</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周围环境</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周边主要为商业区，自然环境良好，人文环境一般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景观</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区域内主要为街景，没有其他特殊景观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开发程度</w:t>
            </w:r>
          </w:p>
        </w:tc>
        <w:tc>
          <w:tcPr>
            <w:tcW w:w="7360" w:type="dxa"/>
            <w:gridSpan w:val="2"/>
            <w:vAlign w:val="center"/>
          </w:tcPr>
          <w:p>
            <w:pPr>
              <w:pStyle w:val="21"/>
              <w:spacing w:line="240" w:lineRule="exact"/>
              <w:jc w:val="both"/>
              <w:rPr>
                <w:color w:val="000000"/>
                <w:spacing w:val="-20"/>
              </w:rPr>
            </w:pPr>
            <w:r>
              <w:rPr>
                <w:rFonts w:hint="eastAsia"/>
                <w:color w:val="000000"/>
                <w:spacing w:val="-20"/>
              </w:rPr>
              <w:t>土地开发程</w:t>
            </w:r>
            <w:r>
              <w:rPr>
                <w:rFonts w:hint="eastAsia"/>
                <w:color w:val="000000"/>
                <w:spacing w:val="-20"/>
                <w:highlight w:val="none"/>
              </w:rPr>
              <w:t>度为“</w:t>
            </w:r>
            <w:r>
              <w:rPr>
                <w:rFonts w:hint="eastAsia"/>
                <w:color w:val="000000"/>
                <w:spacing w:val="-20"/>
                <w:highlight w:val="none"/>
                <w:lang w:eastAsia="zh-CN"/>
              </w:rPr>
              <w:t>六</w:t>
            </w:r>
            <w:r>
              <w:rPr>
                <w:rFonts w:hint="eastAsia"/>
                <w:color w:val="000000"/>
                <w:spacing w:val="-20"/>
                <w:highlight w:val="none"/>
              </w:rPr>
              <w:t>通一平”（宗地外通上水、通下水、通路、通电、</w:t>
            </w:r>
            <w:r>
              <w:rPr>
                <w:rFonts w:hint="eastAsia"/>
                <w:color w:val="000000"/>
                <w:spacing w:val="-20"/>
                <w:highlight w:val="none"/>
                <w:lang w:eastAsia="zh-CN"/>
              </w:rPr>
              <w:t>通气、</w:t>
            </w:r>
            <w:r>
              <w:rPr>
                <w:rFonts w:hint="eastAsia"/>
                <w:color w:val="000000"/>
                <w:spacing w:val="-20"/>
                <w:highlight w:val="none"/>
              </w:rPr>
              <w:t>通讯）及宗</w:t>
            </w:r>
            <w:r>
              <w:rPr>
                <w:rFonts w:hint="eastAsia"/>
                <w:color w:val="000000"/>
                <w:spacing w:val="-20"/>
              </w:rPr>
              <w:t>地内场地平整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地形、地势</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地势开阔，地形平坦，符合建设要求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地质</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地质情况良好，承载力较强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水文状况</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highlight w:val="none"/>
              </w:rPr>
              <w:t>湘潭市境内雨水充足，水文状况较好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规划条件</w:t>
            </w:r>
          </w:p>
        </w:tc>
        <w:tc>
          <w:tcPr>
            <w:tcW w:w="7342" w:type="dxa"/>
            <w:vAlign w:val="center"/>
          </w:tcPr>
          <w:p>
            <w:pPr>
              <w:pStyle w:val="21"/>
              <w:spacing w:line="240" w:lineRule="exact"/>
              <w:jc w:val="both"/>
              <w:rPr>
                <w:color w:val="000000"/>
                <w:spacing w:val="-20"/>
              </w:rPr>
            </w:pPr>
            <w:r>
              <w:rPr>
                <w:rFonts w:hint="eastAsia"/>
                <w:color w:val="000000"/>
                <w:spacing w:val="-20"/>
              </w:rPr>
              <w:t>土地用途为</w:t>
            </w:r>
            <w:r>
              <w:rPr>
                <w:rFonts w:hint="eastAsia"/>
                <w:color w:val="000000"/>
                <w:spacing w:val="-20"/>
                <w:lang w:eastAsia="zh-CN"/>
              </w:rPr>
              <w:t>商服用地</w:t>
            </w:r>
            <w:r>
              <w:rPr>
                <w:rFonts w:hint="eastAsia"/>
                <w:color w:val="000000"/>
                <w:spacing w:val="-20"/>
              </w:rPr>
              <w:t>，使用权类型为</w:t>
            </w:r>
            <w:r>
              <w:rPr>
                <w:rFonts w:hint="eastAsia"/>
                <w:color w:val="000000"/>
                <w:spacing w:val="-20"/>
                <w:lang w:eastAsia="zh-CN"/>
              </w:rPr>
              <w:t>出让</w:t>
            </w:r>
            <w:r>
              <w:rPr>
                <w:rFonts w:hint="eastAsia"/>
                <w:color w:val="000000"/>
                <w:spacing w:val="-20"/>
              </w:rPr>
              <w:t>，容积率符合规划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利用现状</w:t>
            </w:r>
          </w:p>
        </w:tc>
        <w:tc>
          <w:tcPr>
            <w:tcW w:w="7342" w:type="dxa"/>
            <w:vAlign w:val="center"/>
          </w:tcPr>
          <w:p>
            <w:pPr>
              <w:pStyle w:val="21"/>
              <w:spacing w:line="240" w:lineRule="exact"/>
              <w:jc w:val="both"/>
              <w:rPr>
                <w:color w:val="000000"/>
                <w:spacing w:val="-20"/>
              </w:rPr>
            </w:pPr>
            <w:r>
              <w:rPr>
                <w:rFonts w:hint="eastAsia" w:ascii="仿宋_GB2312" w:hAnsi="宋体" w:eastAsia="仿宋_GB2312" w:cs="宋体"/>
                <w:color w:val="000000"/>
                <w:spacing w:val="-20"/>
                <w:kern w:val="0"/>
                <w:szCs w:val="21"/>
                <w:highlight w:val="none"/>
              </w:rPr>
              <w:t>湘潭市</w:t>
            </w:r>
            <w:r>
              <w:rPr>
                <w:rFonts w:hint="eastAsia"/>
                <w:highlight w:val="none"/>
                <w:lang w:eastAsia="zh-CN"/>
              </w:rPr>
              <w:t>雨湖区昭潭乡迎宾东路</w:t>
            </w:r>
            <w:r>
              <w:rPr>
                <w:rFonts w:hint="eastAsia"/>
                <w:highlight w:val="none"/>
                <w:lang w:val="en-US" w:eastAsia="zh-CN"/>
              </w:rPr>
              <w:t>1</w:t>
            </w:r>
            <w:r>
              <w:rPr>
                <w:rFonts w:hint="eastAsia"/>
                <w:highlight w:val="none"/>
                <w:lang w:eastAsia="zh-CN"/>
              </w:rPr>
              <w:t>号楼</w:t>
            </w:r>
            <w:r>
              <w:rPr>
                <w:rFonts w:hint="eastAsia"/>
                <w:highlight w:val="none"/>
                <w:lang w:val="en-US" w:eastAsia="zh-CN"/>
              </w:rPr>
              <w:t>5</w:t>
            </w:r>
            <w:r>
              <w:rPr>
                <w:rFonts w:hint="eastAsia"/>
                <w:highlight w:val="none"/>
                <w:lang w:eastAsia="zh-CN"/>
              </w:rPr>
              <w:t>号门面</w:t>
            </w:r>
            <w:r>
              <w:rPr>
                <w:rFonts w:hint="eastAsia"/>
                <w:color w:val="000000"/>
                <w:spacing w:val="-20"/>
              </w:rPr>
              <w:t>用地</w:t>
            </w:r>
          </w:p>
        </w:tc>
      </w:tr>
    </w:tbl>
    <w:p>
      <w:pPr>
        <w:pStyle w:val="11"/>
        <w:spacing w:line="460" w:lineRule="exact"/>
        <w:ind w:left="561" w:firstLine="0"/>
        <w:jc w:val="left"/>
        <w:rPr>
          <w:rFonts w:hint="eastAsia" w:ascii="仿宋_GB2312" w:eastAsia="仿宋_GB2312"/>
          <w:b/>
          <w:color w:val="000000"/>
          <w:sz w:val="28"/>
          <w:szCs w:val="28"/>
          <w:highlight w:val="none"/>
          <w:u w:val="none"/>
        </w:rPr>
      </w:pPr>
      <w:r>
        <w:rPr>
          <w:rFonts w:hint="eastAsia" w:ascii="仿宋_GB2312" w:eastAsia="仿宋_GB2312"/>
          <w:b/>
          <w:color w:val="000000"/>
          <w:sz w:val="28"/>
          <w:szCs w:val="28"/>
          <w:highlight w:val="none"/>
          <w:u w:val="none"/>
        </w:rPr>
        <w:t>估价对象</w:t>
      </w:r>
      <w:r>
        <w:rPr>
          <w:rFonts w:hint="eastAsia" w:ascii="仿宋_GB2312" w:eastAsia="仿宋_GB2312"/>
          <w:b/>
          <w:color w:val="000000"/>
          <w:sz w:val="28"/>
          <w:szCs w:val="28"/>
          <w:highlight w:val="none"/>
          <w:u w:val="none"/>
          <w:lang w:val="en-US" w:eastAsia="zh-CN"/>
        </w:rPr>
        <w:t>4</w:t>
      </w:r>
    </w:p>
    <w:tbl>
      <w:tblPr>
        <w:tblStyle w:val="1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34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四至</w:t>
            </w:r>
          </w:p>
        </w:tc>
        <w:tc>
          <w:tcPr>
            <w:tcW w:w="7360" w:type="dxa"/>
            <w:gridSpan w:val="2"/>
            <w:vAlign w:val="center"/>
          </w:tcPr>
          <w:p>
            <w:pPr>
              <w:pStyle w:val="21"/>
              <w:spacing w:line="240" w:lineRule="exact"/>
              <w:ind w:firstLine="0" w:firstLineChars="0"/>
              <w:jc w:val="both"/>
              <w:rPr>
                <w:rFonts w:hint="default" w:eastAsia="仿宋_GB2312"/>
                <w:spacing w:val="-20"/>
                <w:lang w:val="en-US" w:eastAsia="zh-CN"/>
              </w:rPr>
            </w:pPr>
            <w:r>
              <w:rPr>
                <w:rFonts w:hint="eastAsia"/>
                <w:spacing w:val="-20"/>
                <w:lang w:val="en-US" w:eastAsia="zh-CN"/>
              </w:rPr>
              <w:t>东距宾湖路</w:t>
            </w:r>
            <w:r>
              <w:rPr>
                <w:rFonts w:hint="eastAsia"/>
                <w:spacing w:val="-20"/>
                <w:highlight w:val="none"/>
                <w:lang w:val="en-US" w:eastAsia="zh-CN"/>
              </w:rPr>
              <w:t>约170米，</w:t>
            </w:r>
            <w:r>
              <w:rPr>
                <w:rFonts w:hint="eastAsia"/>
                <w:spacing w:val="-20"/>
                <w:highlight w:val="none"/>
                <w:lang w:eastAsia="zh-CN"/>
              </w:rPr>
              <w:t>南临迎宾东路</w:t>
            </w:r>
            <w:r>
              <w:rPr>
                <w:rFonts w:hint="eastAsia"/>
                <w:spacing w:val="-20"/>
                <w:highlight w:val="none"/>
                <w:lang w:val="en-US" w:eastAsia="zh-CN"/>
              </w:rPr>
              <w:t>，西、北均邻其他商住楼</w:t>
            </w:r>
            <w:r>
              <w:rPr>
                <w:rFonts w:hint="eastAsia"/>
                <w:spacing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w:t>
            </w:r>
            <w:r>
              <w:rPr>
                <w:rFonts w:hint="eastAsia" w:hAnsi="仿宋_GB2312" w:cs="仿宋_GB2312"/>
                <w:color w:val="000000"/>
                <w:spacing w:val="-20"/>
              </w:rPr>
              <w:t>使用权面积</w:t>
            </w:r>
          </w:p>
        </w:tc>
        <w:tc>
          <w:tcPr>
            <w:tcW w:w="7360" w:type="dxa"/>
            <w:gridSpan w:val="2"/>
            <w:vAlign w:val="center"/>
          </w:tcPr>
          <w:p>
            <w:pPr>
              <w:pStyle w:val="21"/>
              <w:spacing w:line="240" w:lineRule="exact"/>
              <w:ind w:firstLine="0" w:firstLineChars="0"/>
              <w:jc w:val="both"/>
              <w:rPr>
                <w:rFonts w:hint="eastAsia" w:eastAsia="仿宋_GB2312"/>
                <w:color w:val="000000"/>
                <w:spacing w:val="-20"/>
                <w:lang w:eastAsia="zh-CN"/>
              </w:rPr>
            </w:pPr>
            <w:r>
              <w:rPr>
                <w:rFonts w:hint="eastAsia" w:hAnsi="仿宋_GB2312" w:cs="仿宋_GB2312"/>
                <w:color w:val="000000"/>
                <w:spacing w:val="-20"/>
                <w:lang w:val="en-US" w:eastAsia="zh-CN"/>
              </w:rPr>
              <w:t>99.52平方米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土地形状</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周围环境</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周边主要为商业区，自然环境良好，人文环境一般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景观</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区域内主要为街景，没有其他特殊景观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开发程度</w:t>
            </w:r>
          </w:p>
        </w:tc>
        <w:tc>
          <w:tcPr>
            <w:tcW w:w="7360" w:type="dxa"/>
            <w:gridSpan w:val="2"/>
            <w:vAlign w:val="center"/>
          </w:tcPr>
          <w:p>
            <w:pPr>
              <w:pStyle w:val="21"/>
              <w:spacing w:line="240" w:lineRule="exact"/>
              <w:ind w:firstLine="0" w:firstLineChars="0"/>
              <w:jc w:val="both"/>
              <w:rPr>
                <w:color w:val="000000"/>
                <w:spacing w:val="-20"/>
              </w:rPr>
            </w:pPr>
            <w:r>
              <w:rPr>
                <w:rFonts w:hint="eastAsia"/>
                <w:color w:val="000000"/>
                <w:spacing w:val="-20"/>
              </w:rPr>
              <w:t>土地开发程</w:t>
            </w:r>
            <w:r>
              <w:rPr>
                <w:rFonts w:hint="eastAsia"/>
                <w:color w:val="000000"/>
                <w:spacing w:val="-20"/>
                <w:highlight w:val="none"/>
              </w:rPr>
              <w:t>度为“</w:t>
            </w:r>
            <w:r>
              <w:rPr>
                <w:rFonts w:hint="eastAsia"/>
                <w:color w:val="000000"/>
                <w:spacing w:val="-20"/>
                <w:highlight w:val="none"/>
                <w:lang w:eastAsia="zh-CN"/>
              </w:rPr>
              <w:t>六</w:t>
            </w:r>
            <w:r>
              <w:rPr>
                <w:rFonts w:hint="eastAsia"/>
                <w:color w:val="000000"/>
                <w:spacing w:val="-20"/>
                <w:highlight w:val="none"/>
              </w:rPr>
              <w:t>通一平”（宗地外通上水、通下水、通路、通电、</w:t>
            </w:r>
            <w:r>
              <w:rPr>
                <w:rFonts w:hint="eastAsia"/>
                <w:color w:val="000000"/>
                <w:spacing w:val="-20"/>
                <w:highlight w:val="none"/>
                <w:lang w:eastAsia="zh-CN"/>
              </w:rPr>
              <w:t>通气、</w:t>
            </w:r>
            <w:r>
              <w:rPr>
                <w:rFonts w:hint="eastAsia"/>
                <w:color w:val="000000"/>
                <w:spacing w:val="-20"/>
                <w:highlight w:val="none"/>
              </w:rPr>
              <w:t>通讯）及宗</w:t>
            </w:r>
            <w:r>
              <w:rPr>
                <w:rFonts w:hint="eastAsia"/>
                <w:color w:val="000000"/>
                <w:spacing w:val="-20"/>
              </w:rPr>
              <w:t>地内场地平整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地形、地势</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地势开阔，地形平坦，符合建设要求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地质</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地质情况良好，承载力较强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水文状况</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highlight w:val="none"/>
              </w:rPr>
              <w:t>湘潭市境内雨水充足，水文状况较好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规划条件</w:t>
            </w:r>
          </w:p>
        </w:tc>
        <w:tc>
          <w:tcPr>
            <w:tcW w:w="7342" w:type="dxa"/>
            <w:vAlign w:val="center"/>
          </w:tcPr>
          <w:p>
            <w:pPr>
              <w:pStyle w:val="21"/>
              <w:spacing w:line="240" w:lineRule="exact"/>
              <w:ind w:firstLine="0" w:firstLineChars="0"/>
              <w:jc w:val="both"/>
              <w:rPr>
                <w:color w:val="000000"/>
                <w:spacing w:val="-20"/>
              </w:rPr>
            </w:pPr>
            <w:r>
              <w:rPr>
                <w:rFonts w:hint="eastAsia"/>
                <w:color w:val="000000"/>
                <w:spacing w:val="-20"/>
              </w:rPr>
              <w:t>土地用途为</w:t>
            </w:r>
            <w:r>
              <w:rPr>
                <w:rFonts w:hint="eastAsia"/>
                <w:color w:val="000000"/>
                <w:spacing w:val="-20"/>
                <w:lang w:eastAsia="zh-CN"/>
              </w:rPr>
              <w:t>城镇混合住宅用地</w:t>
            </w:r>
            <w:r>
              <w:rPr>
                <w:rFonts w:hint="eastAsia"/>
                <w:color w:val="000000"/>
                <w:spacing w:val="-20"/>
              </w:rPr>
              <w:t>，使用权类型为</w:t>
            </w:r>
            <w:r>
              <w:rPr>
                <w:rFonts w:hint="eastAsia"/>
                <w:color w:val="000000"/>
                <w:spacing w:val="-20"/>
                <w:lang w:eastAsia="zh-CN"/>
              </w:rPr>
              <w:t>出让</w:t>
            </w:r>
            <w:r>
              <w:rPr>
                <w:rFonts w:hint="eastAsia"/>
                <w:color w:val="000000"/>
                <w:spacing w:val="-20"/>
              </w:rPr>
              <w:t>，容积率符合规划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利用现状</w:t>
            </w:r>
          </w:p>
        </w:tc>
        <w:tc>
          <w:tcPr>
            <w:tcW w:w="7342" w:type="dxa"/>
            <w:vAlign w:val="center"/>
          </w:tcPr>
          <w:p>
            <w:pPr>
              <w:pStyle w:val="21"/>
              <w:spacing w:line="240" w:lineRule="exact"/>
              <w:ind w:firstLine="0" w:firstLineChars="0"/>
              <w:jc w:val="both"/>
              <w:rPr>
                <w:color w:val="000000"/>
                <w:spacing w:val="-20"/>
              </w:rPr>
            </w:pPr>
            <w:r>
              <w:rPr>
                <w:rFonts w:hint="eastAsia" w:ascii="仿宋_GB2312" w:hAnsi="宋体" w:eastAsia="仿宋_GB2312" w:cs="宋体"/>
                <w:color w:val="000000"/>
                <w:spacing w:val="-20"/>
                <w:kern w:val="0"/>
                <w:szCs w:val="21"/>
                <w:highlight w:val="none"/>
              </w:rPr>
              <w:t>湘潭市</w:t>
            </w:r>
            <w:r>
              <w:rPr>
                <w:rFonts w:hint="eastAsia"/>
                <w:highlight w:val="none"/>
                <w:lang w:eastAsia="zh-CN"/>
              </w:rPr>
              <w:t>雨湖区昭潭乡迎宾东路</w:t>
            </w:r>
            <w:r>
              <w:rPr>
                <w:rFonts w:hint="eastAsia"/>
                <w:highlight w:val="none"/>
                <w:lang w:val="en-US" w:eastAsia="zh-CN"/>
              </w:rPr>
              <w:t>34</w:t>
            </w:r>
            <w:r>
              <w:rPr>
                <w:rFonts w:hint="eastAsia"/>
                <w:highlight w:val="none"/>
                <w:lang w:eastAsia="zh-CN"/>
              </w:rPr>
              <w:t>号</w:t>
            </w:r>
            <w:r>
              <w:rPr>
                <w:rFonts w:hint="eastAsia"/>
                <w:highlight w:val="none"/>
                <w:lang w:val="en-US" w:eastAsia="zh-CN"/>
              </w:rPr>
              <w:t>23</w:t>
            </w:r>
            <w:r>
              <w:rPr>
                <w:rFonts w:hint="eastAsia"/>
                <w:highlight w:val="none"/>
                <w:lang w:eastAsia="zh-CN"/>
              </w:rPr>
              <w:t>号</w:t>
            </w:r>
            <w:r>
              <w:rPr>
                <w:rFonts w:hint="eastAsia" w:cs="宋体"/>
                <w:color w:val="000000"/>
                <w:spacing w:val="-20"/>
                <w:kern w:val="0"/>
                <w:szCs w:val="21"/>
                <w:highlight w:val="none"/>
                <w:lang w:eastAsia="zh-CN"/>
              </w:rPr>
              <w:t>门面</w:t>
            </w:r>
            <w:r>
              <w:rPr>
                <w:rFonts w:hint="eastAsia"/>
                <w:color w:val="000000"/>
                <w:spacing w:val="-20"/>
              </w:rPr>
              <w:t>用地</w:t>
            </w:r>
          </w:p>
        </w:tc>
      </w:tr>
    </w:tbl>
    <w:p>
      <w:pPr>
        <w:pStyle w:val="11"/>
        <w:spacing w:line="460" w:lineRule="exact"/>
        <w:ind w:left="561" w:firstLine="0"/>
        <w:jc w:val="left"/>
        <w:rPr>
          <w:rFonts w:hint="eastAsia" w:ascii="仿宋_GB2312" w:eastAsia="仿宋_GB2312"/>
          <w:b/>
          <w:color w:val="000000"/>
          <w:sz w:val="28"/>
          <w:szCs w:val="28"/>
          <w:highlight w:val="none"/>
          <w:u w:val="none"/>
        </w:rPr>
      </w:pPr>
      <w:r>
        <w:rPr>
          <w:rFonts w:hint="eastAsia" w:ascii="仿宋_GB2312" w:eastAsia="仿宋_GB2312"/>
          <w:b/>
          <w:color w:val="000000"/>
          <w:sz w:val="28"/>
          <w:szCs w:val="28"/>
          <w:highlight w:val="none"/>
          <w:u w:val="none"/>
        </w:rPr>
        <w:t>估价对象</w:t>
      </w:r>
      <w:r>
        <w:rPr>
          <w:rFonts w:hint="eastAsia" w:ascii="仿宋_GB2312" w:eastAsia="仿宋_GB2312"/>
          <w:b/>
          <w:color w:val="000000"/>
          <w:sz w:val="28"/>
          <w:szCs w:val="28"/>
          <w:highlight w:val="none"/>
          <w:u w:val="none"/>
          <w:lang w:val="en-US" w:eastAsia="zh-CN"/>
        </w:rPr>
        <w:t>5</w:t>
      </w:r>
    </w:p>
    <w:tbl>
      <w:tblPr>
        <w:tblStyle w:val="1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34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四至</w:t>
            </w:r>
          </w:p>
        </w:tc>
        <w:tc>
          <w:tcPr>
            <w:tcW w:w="7360" w:type="dxa"/>
            <w:gridSpan w:val="2"/>
            <w:vAlign w:val="center"/>
          </w:tcPr>
          <w:p>
            <w:pPr>
              <w:pStyle w:val="21"/>
              <w:spacing w:line="240" w:lineRule="exact"/>
              <w:jc w:val="both"/>
              <w:rPr>
                <w:rFonts w:hint="default" w:eastAsia="仿宋_GB2312"/>
                <w:spacing w:val="-20"/>
                <w:lang w:val="en-US" w:eastAsia="zh-CN"/>
              </w:rPr>
            </w:pPr>
            <w:r>
              <w:rPr>
                <w:rFonts w:hint="eastAsia"/>
                <w:spacing w:val="-20"/>
                <w:lang w:val="en-US" w:eastAsia="zh-CN"/>
              </w:rPr>
              <w:t>该小区东临棤树园路</w:t>
            </w:r>
            <w:r>
              <w:rPr>
                <w:rFonts w:hint="eastAsia"/>
                <w:spacing w:val="-20"/>
                <w:highlight w:val="none"/>
                <w:lang w:val="en-US" w:eastAsia="zh-CN"/>
              </w:rPr>
              <w:t>，</w:t>
            </w:r>
            <w:r>
              <w:rPr>
                <w:rFonts w:hint="eastAsia"/>
                <w:spacing w:val="-20"/>
                <w:highlight w:val="none"/>
                <w:lang w:eastAsia="zh-CN"/>
              </w:rPr>
              <w:t>南临迎宾东路</w:t>
            </w:r>
            <w:r>
              <w:rPr>
                <w:rFonts w:hint="eastAsia"/>
                <w:spacing w:val="-20"/>
                <w:highlight w:val="none"/>
                <w:lang w:val="en-US" w:eastAsia="zh-CN"/>
              </w:rPr>
              <w:t>，西距南岭路约180米，北邻其他小区</w:t>
            </w:r>
            <w:r>
              <w:rPr>
                <w:rFonts w:hint="eastAsia"/>
                <w:spacing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w:t>
            </w:r>
            <w:r>
              <w:rPr>
                <w:rFonts w:hint="eastAsia" w:hAnsi="仿宋_GB2312" w:cs="仿宋_GB2312"/>
                <w:color w:val="000000"/>
                <w:spacing w:val="-20"/>
              </w:rPr>
              <w:t>使用权面积</w:t>
            </w:r>
          </w:p>
        </w:tc>
        <w:tc>
          <w:tcPr>
            <w:tcW w:w="7360" w:type="dxa"/>
            <w:gridSpan w:val="2"/>
            <w:vAlign w:val="center"/>
          </w:tcPr>
          <w:p>
            <w:pPr>
              <w:pStyle w:val="21"/>
              <w:spacing w:line="240" w:lineRule="exact"/>
              <w:jc w:val="both"/>
              <w:rPr>
                <w:rFonts w:hint="eastAsia" w:eastAsia="仿宋_GB2312"/>
                <w:color w:val="000000"/>
                <w:spacing w:val="-20"/>
                <w:lang w:eastAsia="zh-CN"/>
              </w:rPr>
            </w:pPr>
            <w:r>
              <w:rPr>
                <w:rFonts w:hint="eastAsia" w:hAnsi="仿宋_GB2312" w:cs="仿宋_GB2312"/>
                <w:color w:val="000000"/>
                <w:spacing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土地形状</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周围环境</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周边主要为商业</w:t>
            </w:r>
            <w:r>
              <w:rPr>
                <w:rFonts w:hint="eastAsia" w:ascii="仿宋_GB2312" w:hAnsi="宋体" w:eastAsia="仿宋_GB2312"/>
                <w:color w:val="000000"/>
                <w:spacing w:val="-20"/>
                <w:kern w:val="0"/>
                <w:lang w:eastAsia="zh-CN"/>
              </w:rPr>
              <w:t>、住宅</w:t>
            </w:r>
            <w:r>
              <w:rPr>
                <w:rFonts w:hint="eastAsia" w:ascii="仿宋_GB2312" w:hAnsi="宋体" w:eastAsia="仿宋_GB2312"/>
                <w:color w:val="000000"/>
                <w:spacing w:val="-20"/>
                <w:kern w:val="0"/>
              </w:rPr>
              <w:t>区，自然环境良好，人文环境一般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景观</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区域内主要为街景，没有其他特殊景观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开发程度</w:t>
            </w:r>
          </w:p>
        </w:tc>
        <w:tc>
          <w:tcPr>
            <w:tcW w:w="7360" w:type="dxa"/>
            <w:gridSpan w:val="2"/>
            <w:vAlign w:val="center"/>
          </w:tcPr>
          <w:p>
            <w:pPr>
              <w:pStyle w:val="21"/>
              <w:spacing w:line="240" w:lineRule="exact"/>
              <w:jc w:val="both"/>
              <w:rPr>
                <w:color w:val="000000"/>
                <w:spacing w:val="-20"/>
              </w:rPr>
            </w:pPr>
            <w:r>
              <w:rPr>
                <w:rFonts w:hint="eastAsia"/>
                <w:color w:val="000000"/>
                <w:spacing w:val="-20"/>
              </w:rPr>
              <w:t>土地开发程</w:t>
            </w:r>
            <w:r>
              <w:rPr>
                <w:rFonts w:hint="eastAsia"/>
                <w:color w:val="000000"/>
                <w:spacing w:val="-20"/>
                <w:highlight w:val="none"/>
              </w:rPr>
              <w:t>度为“</w:t>
            </w:r>
            <w:r>
              <w:rPr>
                <w:rFonts w:hint="eastAsia"/>
                <w:color w:val="000000"/>
                <w:spacing w:val="-20"/>
                <w:highlight w:val="none"/>
                <w:lang w:eastAsia="zh-CN"/>
              </w:rPr>
              <w:t>六</w:t>
            </w:r>
            <w:r>
              <w:rPr>
                <w:rFonts w:hint="eastAsia"/>
                <w:color w:val="000000"/>
                <w:spacing w:val="-20"/>
                <w:highlight w:val="none"/>
              </w:rPr>
              <w:t>通一平”（宗地外通上水、通下水、通路、通电、</w:t>
            </w:r>
            <w:r>
              <w:rPr>
                <w:rFonts w:hint="eastAsia"/>
                <w:color w:val="000000"/>
                <w:spacing w:val="-20"/>
                <w:highlight w:val="none"/>
                <w:lang w:eastAsia="zh-CN"/>
              </w:rPr>
              <w:t>通气、</w:t>
            </w:r>
            <w:r>
              <w:rPr>
                <w:rFonts w:hint="eastAsia"/>
                <w:color w:val="000000"/>
                <w:spacing w:val="-20"/>
                <w:highlight w:val="none"/>
              </w:rPr>
              <w:t>通讯）及宗</w:t>
            </w:r>
            <w:r>
              <w:rPr>
                <w:rFonts w:hint="eastAsia"/>
                <w:color w:val="000000"/>
                <w:spacing w:val="-20"/>
              </w:rPr>
              <w:t>地内场地平整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地形、地势</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地势开阔，地形平坦，符合建设要求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地质</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地质情况良好，承载力较强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水文状况</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highlight w:val="none"/>
              </w:rPr>
              <w:t>湘潭市境内雨水充足，水文状况较好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规划条件</w:t>
            </w:r>
          </w:p>
        </w:tc>
        <w:tc>
          <w:tcPr>
            <w:tcW w:w="7342" w:type="dxa"/>
            <w:vAlign w:val="center"/>
          </w:tcPr>
          <w:p>
            <w:pPr>
              <w:pStyle w:val="21"/>
              <w:spacing w:line="240" w:lineRule="exact"/>
              <w:jc w:val="both"/>
              <w:rPr>
                <w:color w:val="000000"/>
                <w:spacing w:val="-20"/>
              </w:rPr>
            </w:pPr>
            <w:r>
              <w:rPr>
                <w:rFonts w:hint="eastAsia"/>
                <w:color w:val="000000"/>
                <w:spacing w:val="-20"/>
              </w:rPr>
              <w:t>土地用途为</w:t>
            </w:r>
            <w:r>
              <w:rPr>
                <w:rFonts w:hint="eastAsia"/>
                <w:color w:val="000000"/>
                <w:spacing w:val="-20"/>
                <w:lang w:eastAsia="zh-CN"/>
              </w:rPr>
              <w:t>城镇混合住宅用地</w:t>
            </w:r>
            <w:r>
              <w:rPr>
                <w:rFonts w:hint="eastAsia"/>
                <w:color w:val="000000"/>
                <w:spacing w:val="-20"/>
              </w:rPr>
              <w:t>，使用权类型为</w:t>
            </w:r>
            <w:r>
              <w:rPr>
                <w:rFonts w:hint="eastAsia"/>
                <w:color w:val="000000"/>
                <w:spacing w:val="-20"/>
                <w:lang w:eastAsia="zh-CN"/>
              </w:rPr>
              <w:t>出让</w:t>
            </w:r>
            <w:r>
              <w:rPr>
                <w:rFonts w:hint="eastAsia"/>
                <w:color w:val="000000"/>
                <w:spacing w:val="-20"/>
              </w:rPr>
              <w:t>，容积率符合规划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利用现状</w:t>
            </w:r>
          </w:p>
        </w:tc>
        <w:tc>
          <w:tcPr>
            <w:tcW w:w="7342" w:type="dxa"/>
            <w:vAlign w:val="center"/>
          </w:tcPr>
          <w:p>
            <w:pPr>
              <w:pStyle w:val="21"/>
              <w:spacing w:line="240" w:lineRule="exact"/>
              <w:jc w:val="both"/>
              <w:rPr>
                <w:color w:val="000000"/>
                <w:spacing w:val="-20"/>
              </w:rPr>
            </w:pPr>
            <w:r>
              <w:rPr>
                <w:rFonts w:hint="eastAsia" w:ascii="仿宋_GB2312" w:hAnsi="宋体" w:eastAsia="仿宋_GB2312" w:cs="宋体"/>
                <w:color w:val="000000"/>
                <w:spacing w:val="-20"/>
                <w:kern w:val="0"/>
                <w:szCs w:val="21"/>
                <w:highlight w:val="none"/>
              </w:rPr>
              <w:t>湘潭市</w:t>
            </w:r>
            <w:r>
              <w:rPr>
                <w:rFonts w:hint="eastAsia"/>
                <w:highlight w:val="none"/>
                <w:lang w:eastAsia="zh-CN"/>
              </w:rPr>
              <w:t>雨湖区昭潭乡迎宾东路</w:t>
            </w:r>
            <w:r>
              <w:rPr>
                <w:rFonts w:hint="eastAsia"/>
                <w:highlight w:val="none"/>
                <w:lang w:val="en-US" w:eastAsia="zh-CN"/>
              </w:rPr>
              <w:t>218</w:t>
            </w:r>
            <w:r>
              <w:rPr>
                <w:rFonts w:hint="eastAsia"/>
                <w:highlight w:val="none"/>
                <w:lang w:eastAsia="zh-CN"/>
              </w:rPr>
              <w:t>号</w:t>
            </w:r>
            <w:r>
              <w:rPr>
                <w:rFonts w:hint="eastAsia"/>
                <w:highlight w:val="none"/>
                <w:lang w:val="en-US" w:eastAsia="zh-CN"/>
              </w:rPr>
              <w:t>10栋住宅</w:t>
            </w:r>
            <w:r>
              <w:rPr>
                <w:rFonts w:hint="eastAsia"/>
                <w:highlight w:val="none"/>
              </w:rPr>
              <w:t>用房</w:t>
            </w:r>
            <w:r>
              <w:rPr>
                <w:rFonts w:hint="eastAsia"/>
                <w:color w:val="000000"/>
                <w:spacing w:val="-20"/>
              </w:rPr>
              <w:t>用地</w:t>
            </w:r>
          </w:p>
        </w:tc>
      </w:tr>
    </w:tbl>
    <w:p>
      <w:pPr>
        <w:pStyle w:val="11"/>
        <w:spacing w:line="460" w:lineRule="exact"/>
        <w:ind w:left="561" w:firstLine="0"/>
        <w:jc w:val="left"/>
        <w:rPr>
          <w:rFonts w:hint="eastAsia" w:ascii="仿宋_GB2312" w:eastAsia="仿宋_GB2312"/>
          <w:b/>
          <w:color w:val="000000"/>
          <w:sz w:val="28"/>
          <w:szCs w:val="28"/>
          <w:highlight w:val="none"/>
          <w:u w:val="none"/>
        </w:rPr>
      </w:pPr>
      <w:r>
        <w:rPr>
          <w:rFonts w:hint="eastAsia" w:ascii="仿宋_GB2312" w:eastAsia="仿宋_GB2312"/>
          <w:b/>
          <w:color w:val="000000"/>
          <w:sz w:val="28"/>
          <w:szCs w:val="28"/>
          <w:highlight w:val="none"/>
          <w:u w:val="none"/>
        </w:rPr>
        <w:t>估价对象</w:t>
      </w:r>
      <w:r>
        <w:rPr>
          <w:rFonts w:hint="eastAsia" w:ascii="仿宋_GB2312" w:eastAsia="仿宋_GB2312"/>
          <w:b/>
          <w:color w:val="000000"/>
          <w:sz w:val="28"/>
          <w:szCs w:val="28"/>
          <w:highlight w:val="none"/>
          <w:u w:val="none"/>
          <w:lang w:val="en-US" w:eastAsia="zh-CN"/>
        </w:rPr>
        <w:t>6-7</w:t>
      </w:r>
    </w:p>
    <w:tbl>
      <w:tblPr>
        <w:tblStyle w:val="1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34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highlight w:val="none"/>
              </w:rPr>
            </w:pPr>
            <w:r>
              <w:rPr>
                <w:rFonts w:hint="eastAsia"/>
                <w:color w:val="000000"/>
                <w:spacing w:val="-20"/>
                <w:highlight w:val="none"/>
              </w:rPr>
              <w:t>四至</w:t>
            </w:r>
          </w:p>
        </w:tc>
        <w:tc>
          <w:tcPr>
            <w:tcW w:w="7360" w:type="dxa"/>
            <w:gridSpan w:val="2"/>
            <w:vAlign w:val="center"/>
          </w:tcPr>
          <w:p>
            <w:pPr>
              <w:pStyle w:val="21"/>
              <w:spacing w:line="240" w:lineRule="exact"/>
              <w:jc w:val="both"/>
              <w:rPr>
                <w:rFonts w:hint="default" w:eastAsia="仿宋_GB2312"/>
                <w:spacing w:val="-20"/>
                <w:highlight w:val="none"/>
                <w:lang w:val="en-US" w:eastAsia="zh-CN"/>
              </w:rPr>
            </w:pPr>
            <w:r>
              <w:rPr>
                <w:rFonts w:hint="eastAsia"/>
                <w:spacing w:val="-20"/>
                <w:highlight w:val="none"/>
                <w:lang w:val="en-US" w:eastAsia="zh-CN"/>
              </w:rPr>
              <w:t>该小区东邻其他小区，</w:t>
            </w:r>
            <w:r>
              <w:rPr>
                <w:rFonts w:hint="eastAsia"/>
                <w:spacing w:val="-20"/>
                <w:highlight w:val="none"/>
                <w:lang w:eastAsia="zh-CN"/>
              </w:rPr>
              <w:t>南、西均邻其他商住楼</w:t>
            </w:r>
            <w:r>
              <w:rPr>
                <w:rFonts w:hint="eastAsia"/>
                <w:spacing w:val="-20"/>
                <w:highlight w:val="none"/>
                <w:lang w:val="en-US" w:eastAsia="zh-CN"/>
              </w:rPr>
              <w:t>，北临环城路。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highlight w:val="none"/>
              </w:rPr>
            </w:pPr>
            <w:r>
              <w:rPr>
                <w:rFonts w:hint="eastAsia"/>
                <w:color w:val="000000"/>
                <w:spacing w:val="-20"/>
                <w:highlight w:val="none"/>
              </w:rPr>
              <w:t>土地</w:t>
            </w:r>
            <w:r>
              <w:rPr>
                <w:rFonts w:hint="eastAsia" w:hAnsi="仿宋_GB2312" w:cs="仿宋_GB2312"/>
                <w:color w:val="000000"/>
                <w:spacing w:val="-20"/>
                <w:highlight w:val="none"/>
              </w:rPr>
              <w:t>使用权面积</w:t>
            </w:r>
          </w:p>
        </w:tc>
        <w:tc>
          <w:tcPr>
            <w:tcW w:w="7360" w:type="dxa"/>
            <w:gridSpan w:val="2"/>
            <w:vAlign w:val="center"/>
          </w:tcPr>
          <w:p>
            <w:pPr>
              <w:pStyle w:val="21"/>
              <w:spacing w:line="240" w:lineRule="exact"/>
              <w:jc w:val="both"/>
              <w:rPr>
                <w:rFonts w:hint="default" w:eastAsia="仿宋_GB2312"/>
                <w:color w:val="000000"/>
                <w:spacing w:val="-20"/>
                <w:highlight w:val="none"/>
                <w:lang w:val="en-US" w:eastAsia="zh-CN"/>
              </w:rPr>
            </w:pPr>
            <w:r>
              <w:rPr>
                <w:rFonts w:hint="eastAsia" w:hAnsi="仿宋_GB2312" w:cs="仿宋_GB2312"/>
                <w:color w:val="000000"/>
                <w:spacing w:val="-20"/>
                <w:highlight w:val="none"/>
                <w:lang w:val="en-US" w:eastAsia="zh-CN"/>
              </w:rPr>
              <w:t>270.4平方米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土地形状</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周围环境</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周边主要为</w:t>
            </w:r>
            <w:r>
              <w:rPr>
                <w:rFonts w:hint="eastAsia" w:ascii="仿宋_GB2312" w:hAnsi="宋体" w:eastAsia="仿宋_GB2312"/>
                <w:color w:val="000000"/>
                <w:spacing w:val="-20"/>
                <w:kern w:val="0"/>
                <w:lang w:eastAsia="zh-CN"/>
              </w:rPr>
              <w:t>住宅</w:t>
            </w:r>
            <w:r>
              <w:rPr>
                <w:rFonts w:hint="eastAsia" w:ascii="仿宋_GB2312" w:hAnsi="宋体" w:eastAsia="仿宋_GB2312"/>
                <w:color w:val="000000"/>
                <w:spacing w:val="-20"/>
                <w:kern w:val="0"/>
              </w:rPr>
              <w:t>区，自然环境良好，人文环境一般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景观</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区域内主要为街景，没有其他特殊景观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开发程度</w:t>
            </w:r>
          </w:p>
        </w:tc>
        <w:tc>
          <w:tcPr>
            <w:tcW w:w="7360" w:type="dxa"/>
            <w:gridSpan w:val="2"/>
            <w:vAlign w:val="center"/>
          </w:tcPr>
          <w:p>
            <w:pPr>
              <w:pStyle w:val="21"/>
              <w:spacing w:line="240" w:lineRule="exact"/>
              <w:jc w:val="both"/>
              <w:rPr>
                <w:color w:val="000000"/>
                <w:spacing w:val="-20"/>
              </w:rPr>
            </w:pPr>
            <w:r>
              <w:rPr>
                <w:rFonts w:hint="eastAsia"/>
                <w:color w:val="000000"/>
                <w:spacing w:val="-20"/>
              </w:rPr>
              <w:t>土地开发程</w:t>
            </w:r>
            <w:r>
              <w:rPr>
                <w:rFonts w:hint="eastAsia"/>
                <w:color w:val="000000"/>
                <w:spacing w:val="-20"/>
                <w:highlight w:val="none"/>
              </w:rPr>
              <w:t>度为“</w:t>
            </w:r>
            <w:r>
              <w:rPr>
                <w:rFonts w:hint="eastAsia"/>
                <w:color w:val="000000"/>
                <w:spacing w:val="-20"/>
                <w:highlight w:val="none"/>
                <w:lang w:eastAsia="zh-CN"/>
              </w:rPr>
              <w:t>六</w:t>
            </w:r>
            <w:r>
              <w:rPr>
                <w:rFonts w:hint="eastAsia"/>
                <w:color w:val="000000"/>
                <w:spacing w:val="-20"/>
                <w:highlight w:val="none"/>
              </w:rPr>
              <w:t>通一平”（宗地外通上水、通下水、通路、通电、</w:t>
            </w:r>
            <w:r>
              <w:rPr>
                <w:rFonts w:hint="eastAsia"/>
                <w:color w:val="000000"/>
                <w:spacing w:val="-20"/>
                <w:highlight w:val="none"/>
                <w:lang w:eastAsia="zh-CN"/>
              </w:rPr>
              <w:t>通气、</w:t>
            </w:r>
            <w:r>
              <w:rPr>
                <w:rFonts w:hint="eastAsia"/>
                <w:color w:val="000000"/>
                <w:spacing w:val="-20"/>
                <w:highlight w:val="none"/>
              </w:rPr>
              <w:t>通讯）及宗</w:t>
            </w:r>
            <w:r>
              <w:rPr>
                <w:rFonts w:hint="eastAsia"/>
                <w:color w:val="000000"/>
                <w:spacing w:val="-20"/>
              </w:rPr>
              <w:t>地内场地平整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地形、地势</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地势开阔，地形平坦，符合建设要求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地质</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rPr>
              <w:t>地质情况良好，承载力较强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3" w:type="dxa"/>
            <w:vAlign w:val="center"/>
          </w:tcPr>
          <w:p>
            <w:pPr>
              <w:spacing w:line="240" w:lineRule="exact"/>
              <w:jc w:val="center"/>
              <w:rPr>
                <w:rFonts w:ascii="仿宋_GB2312" w:hAnsi="宋体" w:eastAsia="仿宋_GB2312" w:cs="宋体"/>
                <w:color w:val="000000"/>
                <w:spacing w:val="-20"/>
                <w:kern w:val="0"/>
                <w:szCs w:val="21"/>
              </w:rPr>
            </w:pPr>
            <w:r>
              <w:rPr>
                <w:rFonts w:hint="eastAsia" w:ascii="仿宋_GB2312" w:hAnsi="宋体" w:eastAsia="仿宋_GB2312" w:cs="宋体"/>
                <w:color w:val="000000"/>
                <w:spacing w:val="-20"/>
                <w:kern w:val="0"/>
                <w:szCs w:val="21"/>
              </w:rPr>
              <w:t>水文状况</w:t>
            </w:r>
          </w:p>
        </w:tc>
        <w:tc>
          <w:tcPr>
            <w:tcW w:w="7360" w:type="dxa"/>
            <w:gridSpan w:val="2"/>
            <w:vAlign w:val="center"/>
          </w:tcPr>
          <w:p>
            <w:pPr>
              <w:widowControl/>
              <w:spacing w:line="240" w:lineRule="exact"/>
              <w:rPr>
                <w:color w:val="000000"/>
                <w:spacing w:val="-20"/>
              </w:rPr>
            </w:pPr>
            <w:r>
              <w:rPr>
                <w:rFonts w:hint="eastAsia" w:ascii="仿宋_GB2312" w:hAnsi="宋体" w:eastAsia="仿宋_GB2312"/>
                <w:color w:val="000000"/>
                <w:spacing w:val="-20"/>
                <w:kern w:val="0"/>
                <w:highlight w:val="none"/>
              </w:rPr>
              <w:t>湘潭市境内雨水充足，水文状况较好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规划条件</w:t>
            </w:r>
          </w:p>
        </w:tc>
        <w:tc>
          <w:tcPr>
            <w:tcW w:w="7342" w:type="dxa"/>
            <w:vAlign w:val="center"/>
          </w:tcPr>
          <w:p>
            <w:pPr>
              <w:pStyle w:val="21"/>
              <w:spacing w:line="240" w:lineRule="exact"/>
              <w:jc w:val="both"/>
              <w:rPr>
                <w:color w:val="000000"/>
                <w:spacing w:val="-20"/>
              </w:rPr>
            </w:pPr>
            <w:r>
              <w:rPr>
                <w:rFonts w:hint="eastAsia"/>
                <w:color w:val="000000"/>
                <w:spacing w:val="-20"/>
              </w:rPr>
              <w:t>土地用途为</w:t>
            </w:r>
            <w:r>
              <w:rPr>
                <w:rFonts w:hint="eastAsia"/>
                <w:color w:val="000000"/>
                <w:spacing w:val="-20"/>
                <w:lang w:eastAsia="zh-CN"/>
              </w:rPr>
              <w:t>城镇单一住宅用地</w:t>
            </w:r>
            <w:r>
              <w:rPr>
                <w:rFonts w:hint="eastAsia"/>
                <w:color w:val="000000"/>
                <w:spacing w:val="-20"/>
              </w:rPr>
              <w:t>，使用权类型为</w:t>
            </w:r>
            <w:r>
              <w:rPr>
                <w:rFonts w:hint="eastAsia"/>
                <w:color w:val="000000"/>
                <w:spacing w:val="-20"/>
                <w:lang w:eastAsia="zh-CN"/>
              </w:rPr>
              <w:t>出让</w:t>
            </w:r>
            <w:r>
              <w:rPr>
                <w:rFonts w:hint="eastAsia"/>
                <w:color w:val="000000"/>
                <w:spacing w:val="-20"/>
              </w:rPr>
              <w:t>，容积率符合规划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12" w:hRule="atLeast"/>
          <w:jc w:val="center"/>
        </w:trPr>
        <w:tc>
          <w:tcPr>
            <w:tcW w:w="1713" w:type="dxa"/>
            <w:vAlign w:val="center"/>
          </w:tcPr>
          <w:p>
            <w:pPr>
              <w:pStyle w:val="21"/>
              <w:spacing w:line="240" w:lineRule="exact"/>
              <w:rPr>
                <w:color w:val="000000"/>
                <w:spacing w:val="-20"/>
              </w:rPr>
            </w:pPr>
            <w:r>
              <w:rPr>
                <w:rFonts w:hint="eastAsia"/>
                <w:color w:val="000000"/>
                <w:spacing w:val="-20"/>
              </w:rPr>
              <w:t>利用现状</w:t>
            </w:r>
          </w:p>
        </w:tc>
        <w:tc>
          <w:tcPr>
            <w:tcW w:w="7342" w:type="dxa"/>
            <w:vAlign w:val="center"/>
          </w:tcPr>
          <w:p>
            <w:pPr>
              <w:pStyle w:val="21"/>
              <w:spacing w:line="240" w:lineRule="exact"/>
              <w:jc w:val="both"/>
              <w:rPr>
                <w:color w:val="000000"/>
                <w:spacing w:val="-20"/>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雨湖区城正街街道建城路</w:t>
            </w:r>
            <w:r>
              <w:rPr>
                <w:rFonts w:hint="eastAsia" w:ascii="仿宋_GB2312" w:hAnsi="宋体" w:eastAsia="仿宋_GB2312" w:cs="宋体"/>
                <w:color w:val="000000"/>
                <w:spacing w:val="-20"/>
                <w:kern w:val="0"/>
                <w:szCs w:val="21"/>
                <w:highlight w:val="none"/>
                <w:lang w:val="en-US" w:eastAsia="zh-CN"/>
              </w:rPr>
              <w:t>98号梦真园小区3号楼1单元030101号及030102号</w:t>
            </w:r>
            <w:r>
              <w:rPr>
                <w:rFonts w:hint="eastAsia"/>
                <w:highlight w:val="none"/>
                <w:lang w:val="en-US" w:eastAsia="zh-CN"/>
              </w:rPr>
              <w:t>住宅</w:t>
            </w:r>
            <w:r>
              <w:rPr>
                <w:rFonts w:hint="eastAsia"/>
                <w:highlight w:val="none"/>
              </w:rPr>
              <w:t>用房</w:t>
            </w:r>
            <w:r>
              <w:rPr>
                <w:rFonts w:hint="eastAsia"/>
                <w:color w:val="000000"/>
                <w:spacing w:val="-20"/>
              </w:rPr>
              <w:t>用地</w:t>
            </w:r>
          </w:p>
        </w:tc>
      </w:tr>
    </w:tbl>
    <w:p>
      <w:pPr>
        <w:tabs>
          <w:tab w:val="left" w:pos="0"/>
        </w:tabs>
        <w:spacing w:line="460" w:lineRule="exact"/>
        <w:ind w:firstLine="562" w:firstLineChars="200"/>
        <w:rPr>
          <w:rFonts w:ascii="仿宋_GB2312" w:eastAsia="仿宋_GB2312"/>
          <w:b/>
          <w:color w:val="000000"/>
          <w:kern w:val="0"/>
          <w:sz w:val="28"/>
          <w:szCs w:val="28"/>
          <w:highlight w:val="none"/>
        </w:rPr>
      </w:pPr>
      <w:r>
        <w:rPr>
          <w:rFonts w:hint="eastAsia" w:ascii="仿宋_GB2312" w:eastAsia="仿宋_GB2312"/>
          <w:b/>
          <w:color w:val="000000"/>
          <w:kern w:val="0"/>
          <w:sz w:val="28"/>
          <w:szCs w:val="28"/>
          <w:highlight w:val="none"/>
        </w:rPr>
        <w:t>4、建筑物基本状况</w:t>
      </w:r>
    </w:p>
    <w:p>
      <w:pPr>
        <w:tabs>
          <w:tab w:val="left" w:pos="0"/>
        </w:tabs>
        <w:spacing w:line="460" w:lineRule="exact"/>
        <w:ind w:left="-2" w:leftChars="-1" w:firstLine="560" w:firstLineChars="200"/>
        <w:rPr>
          <w:rFonts w:ascii="仿宋_GB2312" w:hAnsi="宋体" w:eastAsia="仿宋_GB2312"/>
          <w:color w:val="000000"/>
          <w:sz w:val="28"/>
          <w:szCs w:val="28"/>
          <w:highlight w:val="none"/>
        </w:rPr>
      </w:pPr>
      <w:r>
        <w:rPr>
          <w:rFonts w:hint="eastAsia" w:ascii="仿宋_GB2312" w:eastAsia="仿宋_GB2312"/>
          <w:color w:val="000000"/>
          <w:kern w:val="0"/>
          <w:sz w:val="28"/>
          <w:szCs w:val="32"/>
          <w:highlight w:val="none"/>
        </w:rPr>
        <w:t>估价对象</w:t>
      </w:r>
      <w:r>
        <w:rPr>
          <w:rFonts w:hint="eastAsia" w:ascii="仿宋_GB2312" w:hAnsi="宋体" w:eastAsia="仿宋_GB2312"/>
          <w:color w:val="000000"/>
          <w:sz w:val="28"/>
          <w:szCs w:val="28"/>
          <w:highlight w:val="none"/>
        </w:rPr>
        <w:t>的建筑物</w:t>
      </w:r>
      <w:r>
        <w:rPr>
          <w:rFonts w:hint="eastAsia" w:ascii="仿宋_GB2312" w:eastAsia="仿宋_GB2312"/>
          <w:color w:val="000000"/>
          <w:kern w:val="0"/>
          <w:sz w:val="28"/>
          <w:szCs w:val="32"/>
          <w:highlight w:val="none"/>
        </w:rPr>
        <w:t>基本状况</w:t>
      </w:r>
      <w:r>
        <w:rPr>
          <w:rFonts w:ascii="仿宋_GB2312" w:hAnsi="宋体" w:eastAsia="仿宋_GB2312"/>
          <w:color w:val="000000"/>
          <w:sz w:val="28"/>
          <w:szCs w:val="28"/>
          <w:highlight w:val="none"/>
        </w:rPr>
        <w:t>详见</w:t>
      </w:r>
      <w:r>
        <w:rPr>
          <w:rFonts w:hint="eastAsia" w:ascii="仿宋_GB2312" w:eastAsia="仿宋_GB2312"/>
          <w:color w:val="000000"/>
          <w:kern w:val="0"/>
          <w:sz w:val="28"/>
          <w:szCs w:val="32"/>
          <w:highlight w:val="none"/>
        </w:rPr>
        <w:t>下表：</w:t>
      </w:r>
    </w:p>
    <w:p>
      <w:pPr>
        <w:pStyle w:val="11"/>
        <w:spacing w:line="460" w:lineRule="exact"/>
        <w:ind w:left="561" w:firstLine="0"/>
        <w:jc w:val="center"/>
        <w:rPr>
          <w:rFonts w:hint="eastAsia" w:ascii="仿宋_GB2312" w:eastAsia="仿宋_GB2312"/>
          <w:b/>
          <w:color w:val="000000"/>
          <w:sz w:val="28"/>
          <w:szCs w:val="28"/>
          <w:highlight w:val="none"/>
          <w:u w:val="single"/>
        </w:rPr>
      </w:pPr>
      <w:r>
        <w:rPr>
          <w:rFonts w:hint="eastAsia" w:ascii="仿宋_GB2312" w:eastAsia="仿宋_GB2312"/>
          <w:b/>
          <w:color w:val="000000"/>
          <w:sz w:val="28"/>
          <w:szCs w:val="28"/>
          <w:highlight w:val="none"/>
          <w:u w:val="single"/>
        </w:rPr>
        <w:t>建筑物基本状况表</w:t>
      </w:r>
    </w:p>
    <w:p>
      <w:pPr>
        <w:pStyle w:val="11"/>
        <w:spacing w:line="460" w:lineRule="exact"/>
        <w:ind w:left="561" w:firstLine="0"/>
        <w:jc w:val="left"/>
        <w:rPr>
          <w:rFonts w:hint="default" w:ascii="仿宋_GB2312" w:eastAsia="仿宋_GB2312"/>
          <w:b/>
          <w:color w:val="000000"/>
          <w:sz w:val="28"/>
          <w:szCs w:val="28"/>
          <w:highlight w:val="none"/>
          <w:u w:val="none"/>
          <w:lang w:val="en-US"/>
        </w:rPr>
      </w:pPr>
      <w:r>
        <w:rPr>
          <w:rFonts w:hint="eastAsia" w:ascii="仿宋_GB2312" w:eastAsia="仿宋_GB2312"/>
          <w:b/>
          <w:color w:val="000000"/>
          <w:sz w:val="28"/>
          <w:szCs w:val="28"/>
          <w:highlight w:val="none"/>
          <w:u w:val="none"/>
        </w:rPr>
        <w:t>估价对象1</w:t>
      </w:r>
      <w:r>
        <w:rPr>
          <w:rFonts w:hint="eastAsia" w:ascii="仿宋_GB2312" w:eastAsia="仿宋_GB2312"/>
          <w:b/>
          <w:color w:val="000000"/>
          <w:sz w:val="28"/>
          <w:szCs w:val="28"/>
          <w:highlight w:val="none"/>
          <w:u w:val="none"/>
          <w:lang w:val="en-US" w:eastAsia="zh-CN"/>
        </w:rPr>
        <w:t>-2、3、4</w:t>
      </w:r>
    </w:p>
    <w:tbl>
      <w:tblPr>
        <w:tblStyle w:val="1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90"/>
        <w:gridCol w:w="2295"/>
        <w:gridCol w:w="2216"/>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shd w:val="clear" w:color="auto" w:fill="BFBFBF"/>
            <w:vAlign w:val="center"/>
          </w:tcPr>
          <w:p>
            <w:pPr>
              <w:pStyle w:val="21"/>
              <w:spacing w:line="240" w:lineRule="exact"/>
              <w:rPr>
                <w:color w:val="000000"/>
                <w:spacing w:val="-20"/>
                <w:highlight w:val="none"/>
              </w:rPr>
            </w:pPr>
            <w:r>
              <w:rPr>
                <w:rFonts w:hint="eastAsia"/>
                <w:b/>
                <w:color w:val="000000"/>
                <w:spacing w:val="-20"/>
                <w:highlight w:val="none"/>
              </w:rPr>
              <w:t>估价对象</w:t>
            </w:r>
          </w:p>
        </w:tc>
        <w:tc>
          <w:tcPr>
            <w:tcW w:w="2295" w:type="dxa"/>
            <w:shd w:val="clear" w:color="auto" w:fill="BFBFBF"/>
            <w:vAlign w:val="center"/>
          </w:tcPr>
          <w:p>
            <w:pPr>
              <w:pStyle w:val="21"/>
              <w:spacing w:line="240" w:lineRule="exact"/>
              <w:rPr>
                <w:rFonts w:hint="default" w:eastAsia="仿宋_GB2312"/>
                <w:color w:val="000000"/>
                <w:spacing w:val="-20"/>
                <w:highlight w:val="none"/>
                <w:lang w:val="en-US" w:eastAsia="zh-CN"/>
              </w:rPr>
            </w:pPr>
            <w:r>
              <w:rPr>
                <w:rFonts w:hint="eastAsia"/>
                <w:b/>
                <w:color w:val="000000"/>
                <w:spacing w:val="-20"/>
                <w:highlight w:val="none"/>
              </w:rPr>
              <w:t>估价对象1</w:t>
            </w:r>
            <w:r>
              <w:rPr>
                <w:rFonts w:hint="eastAsia"/>
                <w:b/>
                <w:color w:val="000000"/>
                <w:spacing w:val="-20"/>
                <w:highlight w:val="none"/>
                <w:lang w:val="en-US" w:eastAsia="zh-CN"/>
              </w:rPr>
              <w:t>-2</w:t>
            </w:r>
          </w:p>
        </w:tc>
        <w:tc>
          <w:tcPr>
            <w:tcW w:w="2216" w:type="dxa"/>
            <w:shd w:val="clear" w:color="auto" w:fill="BFBFBF"/>
            <w:vAlign w:val="center"/>
          </w:tcPr>
          <w:p>
            <w:pPr>
              <w:pStyle w:val="21"/>
              <w:spacing w:line="240" w:lineRule="exact"/>
              <w:rPr>
                <w:rFonts w:hint="eastAsia" w:eastAsia="仿宋_GB2312"/>
                <w:b/>
                <w:color w:val="000000"/>
                <w:spacing w:val="-20"/>
                <w:highlight w:val="none"/>
                <w:lang w:val="en-US" w:eastAsia="zh-CN"/>
              </w:rPr>
            </w:pPr>
            <w:r>
              <w:rPr>
                <w:rFonts w:hint="eastAsia"/>
                <w:b/>
                <w:color w:val="000000"/>
                <w:spacing w:val="-20"/>
                <w:highlight w:val="none"/>
              </w:rPr>
              <w:t>估价对象</w:t>
            </w:r>
            <w:r>
              <w:rPr>
                <w:rFonts w:hint="eastAsia"/>
                <w:b/>
                <w:color w:val="000000"/>
                <w:spacing w:val="-20"/>
                <w:highlight w:val="none"/>
                <w:lang w:val="en-US" w:eastAsia="zh-CN"/>
              </w:rPr>
              <w:t>3</w:t>
            </w:r>
          </w:p>
        </w:tc>
        <w:tc>
          <w:tcPr>
            <w:tcW w:w="2576" w:type="dxa"/>
            <w:shd w:val="clear" w:color="auto" w:fill="BFBFBF"/>
            <w:vAlign w:val="center"/>
          </w:tcPr>
          <w:p>
            <w:pPr>
              <w:pStyle w:val="21"/>
              <w:spacing w:line="240" w:lineRule="exact"/>
              <w:rPr>
                <w:rFonts w:hint="eastAsia" w:eastAsia="仿宋_GB2312"/>
                <w:b/>
                <w:color w:val="000000"/>
                <w:spacing w:val="-20"/>
                <w:highlight w:val="none"/>
                <w:lang w:val="en-US" w:eastAsia="zh-CN"/>
              </w:rPr>
            </w:pPr>
            <w:r>
              <w:rPr>
                <w:rFonts w:hint="eastAsia"/>
                <w:b/>
                <w:color w:val="000000"/>
                <w:spacing w:val="-20"/>
                <w:highlight w:val="none"/>
              </w:rPr>
              <w:t>估价对象</w:t>
            </w:r>
            <w:r>
              <w:rPr>
                <w:rFonts w:hint="eastAsia"/>
                <w:b/>
                <w:color w:val="000000"/>
                <w:spacing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名称</w:t>
            </w:r>
          </w:p>
        </w:tc>
        <w:tc>
          <w:tcPr>
            <w:tcW w:w="2295" w:type="dxa"/>
            <w:vAlign w:val="center"/>
          </w:tcPr>
          <w:p>
            <w:pPr>
              <w:widowControl/>
              <w:spacing w:line="240" w:lineRule="exact"/>
              <w:jc w:val="lef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湘潭市雨湖区昭潭乡迎宾东路68号1号门面及</w:t>
            </w:r>
            <w:r>
              <w:rPr>
                <w:rFonts w:hint="eastAsia" w:ascii="仿宋_GB2312" w:hAnsi="宋体" w:eastAsia="仿宋_GB2312" w:cs="宋体"/>
                <w:color w:val="000000"/>
                <w:spacing w:val="-20"/>
                <w:kern w:val="0"/>
                <w:szCs w:val="21"/>
                <w:highlight w:val="none"/>
                <w:lang w:val="en-US" w:eastAsia="zh-CN"/>
              </w:rPr>
              <w:t>2</w:t>
            </w:r>
            <w:r>
              <w:rPr>
                <w:rFonts w:hint="eastAsia" w:ascii="仿宋_GB2312" w:hAnsi="宋体" w:eastAsia="仿宋_GB2312" w:cs="宋体"/>
                <w:color w:val="000000"/>
                <w:spacing w:val="-20"/>
                <w:kern w:val="0"/>
                <w:szCs w:val="21"/>
                <w:highlight w:val="none"/>
                <w:lang w:eastAsia="zh-CN"/>
              </w:rPr>
              <w:t>号门面</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雨湖区昭潭乡迎宾东路</w:t>
            </w:r>
            <w:r>
              <w:rPr>
                <w:rFonts w:hint="eastAsia" w:ascii="仿宋_GB2312" w:hAnsi="宋体" w:eastAsia="仿宋_GB2312" w:cs="宋体"/>
                <w:color w:val="000000"/>
                <w:spacing w:val="-20"/>
                <w:kern w:val="0"/>
                <w:szCs w:val="21"/>
                <w:highlight w:val="none"/>
                <w:lang w:val="en-US" w:eastAsia="zh-CN"/>
              </w:rPr>
              <w:t>1</w:t>
            </w:r>
            <w:r>
              <w:rPr>
                <w:rFonts w:hint="eastAsia" w:ascii="仿宋_GB2312" w:hAnsi="宋体" w:eastAsia="仿宋_GB2312" w:cs="宋体"/>
                <w:color w:val="000000"/>
                <w:spacing w:val="-20"/>
                <w:kern w:val="0"/>
                <w:szCs w:val="21"/>
                <w:highlight w:val="none"/>
                <w:lang w:eastAsia="zh-CN"/>
              </w:rPr>
              <w:t>号楼</w:t>
            </w:r>
            <w:r>
              <w:rPr>
                <w:rFonts w:hint="eastAsia" w:ascii="仿宋_GB2312" w:hAnsi="宋体" w:eastAsia="仿宋_GB2312" w:cs="宋体"/>
                <w:color w:val="000000"/>
                <w:spacing w:val="-20"/>
                <w:kern w:val="0"/>
                <w:szCs w:val="21"/>
                <w:highlight w:val="none"/>
                <w:lang w:val="en-US" w:eastAsia="zh-CN"/>
              </w:rPr>
              <w:t>5</w:t>
            </w:r>
            <w:r>
              <w:rPr>
                <w:rFonts w:hint="eastAsia" w:ascii="仿宋_GB2312" w:hAnsi="宋体" w:eastAsia="仿宋_GB2312" w:cs="宋体"/>
                <w:color w:val="000000"/>
                <w:spacing w:val="-20"/>
                <w:kern w:val="0"/>
                <w:szCs w:val="21"/>
                <w:highlight w:val="none"/>
                <w:lang w:eastAsia="zh-CN"/>
              </w:rPr>
              <w:t>号门面</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雨湖区昭潭乡迎宾东路</w:t>
            </w:r>
            <w:r>
              <w:rPr>
                <w:rFonts w:hint="eastAsia" w:ascii="仿宋_GB2312" w:hAnsi="宋体" w:eastAsia="仿宋_GB2312" w:cs="宋体"/>
                <w:color w:val="000000"/>
                <w:spacing w:val="-20"/>
                <w:kern w:val="0"/>
                <w:szCs w:val="21"/>
                <w:highlight w:val="none"/>
                <w:lang w:val="en-US" w:eastAsia="zh-CN"/>
              </w:rPr>
              <w:t>34</w:t>
            </w:r>
            <w:r>
              <w:rPr>
                <w:rFonts w:hint="eastAsia" w:ascii="仿宋_GB2312" w:hAnsi="宋体" w:eastAsia="仿宋_GB2312" w:cs="宋体"/>
                <w:color w:val="000000"/>
                <w:spacing w:val="-20"/>
                <w:kern w:val="0"/>
                <w:szCs w:val="21"/>
                <w:highlight w:val="none"/>
                <w:lang w:eastAsia="zh-CN"/>
              </w:rPr>
              <w:t>号</w:t>
            </w:r>
            <w:r>
              <w:rPr>
                <w:rFonts w:hint="eastAsia" w:ascii="仿宋_GB2312" w:hAnsi="宋体" w:eastAsia="仿宋_GB2312" w:cs="宋体"/>
                <w:color w:val="000000"/>
                <w:spacing w:val="-20"/>
                <w:kern w:val="0"/>
                <w:szCs w:val="21"/>
                <w:highlight w:val="none"/>
                <w:lang w:val="en-US" w:eastAsia="zh-CN"/>
              </w:rPr>
              <w:t>23</w:t>
            </w:r>
            <w:r>
              <w:rPr>
                <w:rFonts w:hint="eastAsia" w:ascii="仿宋_GB2312" w:hAnsi="宋体" w:eastAsia="仿宋_GB2312" w:cs="宋体"/>
                <w:color w:val="000000"/>
                <w:spacing w:val="-20"/>
                <w:kern w:val="0"/>
                <w:szCs w:val="21"/>
                <w:highlight w:val="none"/>
                <w:lang w:eastAsia="zh-CN"/>
              </w:rPr>
              <w:t>号门面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总层数/所在层数</w:t>
            </w:r>
          </w:p>
        </w:tc>
        <w:tc>
          <w:tcPr>
            <w:tcW w:w="2295"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rPr>
              <w:t>6/1</w:t>
            </w:r>
            <w:r>
              <w:rPr>
                <w:rFonts w:hint="eastAsia" w:ascii="仿宋_GB2312" w:hAnsi="宋体" w:eastAsia="仿宋_GB2312" w:cs="宋体"/>
                <w:color w:val="000000"/>
                <w:spacing w:val="-20"/>
                <w:kern w:val="0"/>
                <w:szCs w:val="21"/>
                <w:highlight w:val="none"/>
                <w:lang w:val="en-US" w:eastAsia="zh-CN"/>
              </w:rPr>
              <w:t>-2</w:t>
            </w:r>
          </w:p>
        </w:tc>
        <w:tc>
          <w:tcPr>
            <w:tcW w:w="221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7/1</w:t>
            </w:r>
          </w:p>
        </w:tc>
        <w:tc>
          <w:tcPr>
            <w:tcW w:w="257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用途</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商业</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商业</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建筑结构</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混合</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混合</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restart"/>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装修状况</w:t>
            </w: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外墙</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墙砖</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墙砖</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天棚</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墙漆</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墙漆</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墙漆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内墙</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墙漆</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墙漆</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墙漆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地面</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浅色地砖</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浅色地砖</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浅色地砖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门窗</w:t>
            </w:r>
          </w:p>
        </w:tc>
        <w:tc>
          <w:tcPr>
            <w:tcW w:w="2295" w:type="dxa"/>
            <w:vAlign w:val="center"/>
          </w:tcPr>
          <w:p>
            <w:pPr>
              <w:widowControl/>
              <w:spacing w:line="240" w:lineRule="exact"/>
              <w:rPr>
                <w:rFonts w:ascii="仿宋_GB2312" w:eastAsia="仿宋_GB2312"/>
                <w:color w:val="000000"/>
                <w:spacing w:val="-20"/>
                <w:szCs w:val="21"/>
                <w:highlight w:val="none"/>
              </w:rPr>
            </w:pPr>
            <w:r>
              <w:rPr>
                <w:rFonts w:hint="eastAsia" w:ascii="仿宋_GB2312" w:hAnsi="宋体" w:eastAsia="仿宋_GB2312" w:cs="宋体"/>
                <w:color w:val="000000"/>
                <w:spacing w:val="-20"/>
                <w:kern w:val="0"/>
                <w:szCs w:val="21"/>
                <w:highlight w:val="none"/>
              </w:rPr>
              <w:t>卷闸门、</w:t>
            </w:r>
            <w:r>
              <w:rPr>
                <w:rFonts w:hint="eastAsia" w:ascii="仿宋_GB2312" w:hAnsi="宋体" w:eastAsia="仿宋_GB2312" w:cs="宋体"/>
                <w:color w:val="000000"/>
                <w:spacing w:val="-20"/>
                <w:kern w:val="0"/>
                <w:szCs w:val="21"/>
                <w:highlight w:val="none"/>
                <w:lang w:eastAsia="zh-CN"/>
              </w:rPr>
              <w:t>玻璃</w:t>
            </w:r>
            <w:r>
              <w:rPr>
                <w:rFonts w:hint="eastAsia" w:ascii="仿宋_GB2312" w:hAnsi="宋体" w:eastAsia="仿宋_GB2312" w:cs="宋体"/>
                <w:color w:val="000000"/>
                <w:spacing w:val="-20"/>
                <w:kern w:val="0"/>
                <w:szCs w:val="21"/>
                <w:highlight w:val="none"/>
              </w:rPr>
              <w:t>门</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卷闸门、</w:t>
            </w:r>
            <w:r>
              <w:rPr>
                <w:rFonts w:hint="eastAsia" w:ascii="仿宋_GB2312" w:hAnsi="宋体" w:eastAsia="仿宋_GB2312" w:cs="宋体"/>
                <w:color w:val="000000"/>
                <w:spacing w:val="-20"/>
                <w:kern w:val="0"/>
                <w:szCs w:val="21"/>
                <w:highlight w:val="none"/>
                <w:lang w:eastAsia="zh-CN"/>
              </w:rPr>
              <w:t>玻璃</w:t>
            </w:r>
            <w:r>
              <w:rPr>
                <w:rFonts w:hint="eastAsia" w:ascii="仿宋_GB2312" w:hAnsi="宋体" w:eastAsia="仿宋_GB2312" w:cs="宋体"/>
                <w:color w:val="000000"/>
                <w:spacing w:val="-20"/>
                <w:kern w:val="0"/>
                <w:szCs w:val="21"/>
                <w:highlight w:val="none"/>
              </w:rPr>
              <w:t>门</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卷闸门、</w:t>
            </w:r>
            <w:r>
              <w:rPr>
                <w:rFonts w:hint="eastAsia" w:ascii="仿宋_GB2312" w:hAnsi="宋体" w:eastAsia="仿宋_GB2312" w:cs="宋体"/>
                <w:color w:val="000000"/>
                <w:spacing w:val="-20"/>
                <w:kern w:val="0"/>
                <w:szCs w:val="21"/>
                <w:highlight w:val="none"/>
                <w:lang w:eastAsia="zh-CN"/>
              </w:rPr>
              <w:t>玻璃</w:t>
            </w:r>
            <w:r>
              <w:rPr>
                <w:rFonts w:hint="eastAsia" w:ascii="仿宋_GB2312" w:hAnsi="宋体" w:eastAsia="仿宋_GB2312" w:cs="宋体"/>
                <w:color w:val="000000"/>
                <w:spacing w:val="-20"/>
                <w:kern w:val="0"/>
                <w:szCs w:val="21"/>
                <w:highlight w:val="none"/>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restart"/>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设备设施状况</w:t>
            </w: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水电</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已通水电</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已通水电</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已通水电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电梯</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消防</w:t>
            </w:r>
          </w:p>
        </w:tc>
        <w:tc>
          <w:tcPr>
            <w:tcW w:w="2295"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有</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有</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智能化系统</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7" w:type="dxa"/>
            <w:vMerge w:val="continue"/>
            <w:vAlign w:val="center"/>
          </w:tcPr>
          <w:p>
            <w:pPr>
              <w:widowControl/>
              <w:spacing w:line="240" w:lineRule="exact"/>
              <w:jc w:val="center"/>
              <w:rPr>
                <w:rFonts w:ascii="仿宋_GB2312" w:hAnsi="宋体" w:eastAsia="仿宋_GB2312" w:cs="宋体"/>
                <w:color w:val="000000"/>
                <w:spacing w:val="-20"/>
                <w:kern w:val="0"/>
                <w:szCs w:val="21"/>
                <w:highlight w:val="none"/>
              </w:rPr>
            </w:pPr>
          </w:p>
        </w:tc>
        <w:tc>
          <w:tcPr>
            <w:tcW w:w="1290" w:type="dxa"/>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其他配套</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平面布置</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估价对象户型结构为营业用房</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估价对象户型结构为营业用房</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估价对象户型结构为营业用房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工程质量</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合格</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合格</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建成年份</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val="en-US" w:eastAsia="zh-CN"/>
              </w:rPr>
              <w:t>约2006</w:t>
            </w:r>
            <w:r>
              <w:rPr>
                <w:rFonts w:hint="eastAsia" w:ascii="仿宋_GB2312" w:hAnsi="宋体" w:eastAsia="仿宋_GB2312" w:cs="宋体"/>
                <w:color w:val="000000"/>
                <w:spacing w:val="-20"/>
                <w:kern w:val="0"/>
                <w:szCs w:val="21"/>
                <w:highlight w:val="none"/>
              </w:rPr>
              <w:t>年</w:t>
            </w:r>
          </w:p>
        </w:tc>
        <w:tc>
          <w:tcPr>
            <w:tcW w:w="221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约2000年</w:t>
            </w:r>
          </w:p>
        </w:tc>
        <w:tc>
          <w:tcPr>
            <w:tcW w:w="257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约2004年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维护与保养</w:t>
            </w:r>
          </w:p>
        </w:tc>
        <w:tc>
          <w:tcPr>
            <w:tcW w:w="2295"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维护保养良好</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维护保养良好</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维护保养良好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使用状况</w:t>
            </w:r>
          </w:p>
        </w:tc>
        <w:tc>
          <w:tcPr>
            <w:tcW w:w="2295"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现出租为“</w:t>
            </w:r>
            <w:r>
              <w:rPr>
                <w:rFonts w:hint="eastAsia" w:ascii="仿宋_GB2312" w:hAnsi="宋体" w:eastAsia="仿宋_GB2312" w:cs="宋体"/>
                <w:color w:val="000000"/>
                <w:spacing w:val="-20"/>
                <w:kern w:val="0"/>
                <w:szCs w:val="21"/>
                <w:highlight w:val="none"/>
                <w:lang w:eastAsia="zh-CN"/>
              </w:rPr>
              <w:t>华侨足浴休闲中心</w:t>
            </w:r>
            <w:r>
              <w:rPr>
                <w:rFonts w:hint="eastAsia" w:ascii="仿宋_GB2312" w:hAnsi="宋体" w:eastAsia="仿宋_GB2312" w:cs="宋体"/>
                <w:color w:val="000000"/>
                <w:spacing w:val="-20"/>
                <w:kern w:val="0"/>
                <w:szCs w:val="21"/>
                <w:highlight w:val="none"/>
              </w:rPr>
              <w:t>”</w:t>
            </w:r>
          </w:p>
        </w:tc>
        <w:tc>
          <w:tcPr>
            <w:tcW w:w="221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现出租为“我的宠屋”</w:t>
            </w:r>
          </w:p>
        </w:tc>
        <w:tc>
          <w:tcPr>
            <w:tcW w:w="257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现出租为“谢记沙鳖”部分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27"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公共配套设施完备程度</w:t>
            </w:r>
          </w:p>
        </w:tc>
        <w:tc>
          <w:tcPr>
            <w:tcW w:w="7087" w:type="dxa"/>
            <w:gridSpan w:val="3"/>
            <w:vAlign w:val="center"/>
          </w:tcPr>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福润多</w:t>
            </w: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超市、芙蓉兴盛</w:t>
            </w:r>
          </w:p>
          <w:p>
            <w:pPr>
              <w:widowControl/>
              <w:spacing w:line="240" w:lineRule="exact"/>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银行：邮政储蓄银行、</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农业银行</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医疗：湘潭</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市第二人民</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湘潭民康</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志豪宾馆</w:t>
            </w:r>
            <w:r>
              <w:rPr>
                <w:rFonts w:hint="eastAsia" w:ascii="仿宋_GB2312" w:hAnsi="宋体" w:eastAsia="仿宋_GB2312" w:cs="宋体"/>
                <w:color w:val="000000" w:themeColor="text1"/>
                <w:spacing w:val="-20"/>
                <w:kern w:val="0"/>
                <w:szCs w:val="21"/>
                <w:highlight w:val="none"/>
                <w14:textFill>
                  <w14:solidFill>
                    <w14:schemeClr w14:val="tx1"/>
                  </w14:solidFill>
                </w14:textFill>
              </w:rPr>
              <w:t>、</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湘潭雅馨</w:t>
            </w: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p>
          <w:p>
            <w:pPr>
              <w:widowControl/>
              <w:spacing w:line="240" w:lineRule="exact"/>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学校：湘潭市第</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spacing w:val="-20"/>
                <w:kern w:val="0"/>
                <w:szCs w:val="21"/>
                <w:highlight w:val="none"/>
                <w14:textFill>
                  <w14:solidFill>
                    <w14:schemeClr w14:val="tx1"/>
                  </w14:solidFill>
                </w14:textFill>
              </w:rPr>
              <w:t>中学、</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韶西逸夫小学</w:t>
            </w:r>
          </w:p>
        </w:tc>
      </w:tr>
    </w:tbl>
    <w:p>
      <w:pPr>
        <w:pStyle w:val="19"/>
        <w:spacing w:line="460" w:lineRule="exact"/>
        <w:ind w:firstLine="562"/>
        <w:jc w:val="both"/>
        <w:rPr>
          <w:rFonts w:hint="eastAsia"/>
          <w:highlight w:val="none"/>
        </w:rPr>
      </w:pPr>
      <w:r>
        <w:rPr>
          <w:rFonts w:hint="eastAsia"/>
          <w:b/>
          <w:color w:val="000000"/>
          <w:spacing w:val="-20"/>
          <w:highlight w:val="none"/>
        </w:rPr>
        <w:t>估价对象</w:t>
      </w:r>
      <w:r>
        <w:rPr>
          <w:rFonts w:hint="eastAsia"/>
          <w:b/>
          <w:color w:val="000000"/>
          <w:spacing w:val="-20"/>
          <w:highlight w:val="none"/>
          <w:lang w:val="en-US" w:eastAsia="zh-CN"/>
        </w:rPr>
        <w:t>5</w:t>
      </w:r>
    </w:p>
    <w:tbl>
      <w:tblPr>
        <w:tblStyle w:val="13"/>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165"/>
        <w:gridCol w:w="6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shd w:val="clear" w:color="auto" w:fill="BFBFBF"/>
            <w:vAlign w:val="center"/>
          </w:tcPr>
          <w:p>
            <w:pPr>
              <w:pStyle w:val="21"/>
              <w:spacing w:line="240" w:lineRule="exact"/>
              <w:rPr>
                <w:color w:val="000000"/>
                <w:spacing w:val="-20"/>
                <w:highlight w:val="none"/>
              </w:rPr>
            </w:pPr>
            <w:r>
              <w:rPr>
                <w:rFonts w:hint="eastAsia"/>
                <w:b/>
                <w:color w:val="000000"/>
                <w:spacing w:val="-20"/>
                <w:highlight w:val="none"/>
              </w:rPr>
              <w:t>估价对象</w:t>
            </w:r>
          </w:p>
        </w:tc>
        <w:tc>
          <w:tcPr>
            <w:tcW w:w="6886" w:type="dxa"/>
            <w:shd w:val="clear" w:color="auto" w:fill="BFBFBF"/>
            <w:vAlign w:val="center"/>
          </w:tcPr>
          <w:p>
            <w:pPr>
              <w:pStyle w:val="21"/>
              <w:spacing w:line="240" w:lineRule="exact"/>
              <w:rPr>
                <w:rFonts w:hint="eastAsia" w:eastAsia="仿宋_GB2312"/>
                <w:color w:val="000000"/>
                <w:spacing w:val="-20"/>
                <w:highlight w:val="none"/>
                <w:lang w:val="en-US" w:eastAsia="zh-CN"/>
              </w:rPr>
            </w:pPr>
            <w:r>
              <w:rPr>
                <w:rFonts w:hint="eastAsia"/>
                <w:b/>
                <w:color w:val="000000"/>
                <w:spacing w:val="-20"/>
                <w:highlight w:val="none"/>
              </w:rPr>
              <w:t>估价对象</w:t>
            </w:r>
            <w:r>
              <w:rPr>
                <w:rFonts w:hint="eastAsia"/>
                <w:b/>
                <w:color w:val="000000"/>
                <w:spacing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建筑物名称</w:t>
            </w:r>
          </w:p>
        </w:tc>
        <w:tc>
          <w:tcPr>
            <w:tcW w:w="6886" w:type="dxa"/>
            <w:vAlign w:val="center"/>
          </w:tcPr>
          <w:p>
            <w:pPr>
              <w:widowControl/>
              <w:spacing w:line="240" w:lineRule="exact"/>
              <w:jc w:val="lef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雨湖区昭潭乡迎宾东路</w:t>
            </w:r>
            <w:r>
              <w:rPr>
                <w:rFonts w:hint="eastAsia" w:ascii="仿宋_GB2312" w:hAnsi="宋体" w:eastAsia="仿宋_GB2312" w:cs="宋体"/>
                <w:color w:val="000000"/>
                <w:spacing w:val="-20"/>
                <w:kern w:val="0"/>
                <w:szCs w:val="21"/>
                <w:highlight w:val="none"/>
                <w:lang w:val="en-US" w:eastAsia="zh-CN"/>
              </w:rPr>
              <w:t>218</w:t>
            </w:r>
            <w:r>
              <w:rPr>
                <w:rFonts w:hint="eastAsia" w:ascii="仿宋_GB2312" w:hAnsi="宋体" w:eastAsia="仿宋_GB2312" w:cs="宋体"/>
                <w:color w:val="000000"/>
                <w:spacing w:val="-20"/>
                <w:kern w:val="0"/>
                <w:szCs w:val="21"/>
                <w:highlight w:val="none"/>
                <w:lang w:eastAsia="zh-CN"/>
              </w:rPr>
              <w:t>号</w:t>
            </w:r>
            <w:r>
              <w:rPr>
                <w:rFonts w:hint="eastAsia" w:ascii="仿宋_GB2312" w:hAnsi="宋体" w:eastAsia="仿宋_GB2312" w:cs="宋体"/>
                <w:color w:val="000000"/>
                <w:spacing w:val="-20"/>
                <w:kern w:val="0"/>
                <w:szCs w:val="21"/>
                <w:highlight w:val="none"/>
                <w:lang w:val="en-US" w:eastAsia="zh-CN"/>
              </w:rPr>
              <w:t>10栋3单元3号住宅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建筑面积</w:t>
            </w:r>
          </w:p>
        </w:tc>
        <w:tc>
          <w:tcPr>
            <w:tcW w:w="688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247.22平方米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总层数/所在层次</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6/</w:t>
            </w:r>
            <w:r>
              <w:rPr>
                <w:rFonts w:hint="eastAsia" w:ascii="仿宋_GB2312" w:hAnsi="宋体" w:eastAsia="仿宋_GB2312" w:cs="宋体"/>
                <w:color w:val="000000"/>
                <w:spacing w:val="-20"/>
                <w:kern w:val="0"/>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建筑结构</w:t>
            </w:r>
          </w:p>
        </w:tc>
        <w:tc>
          <w:tcPr>
            <w:tcW w:w="6886"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lang w:eastAsia="zh-CN"/>
              </w:rPr>
              <w:t>规划</w:t>
            </w:r>
            <w:r>
              <w:rPr>
                <w:rFonts w:hint="eastAsia"/>
                <w:spacing w:val="-20"/>
              </w:rPr>
              <w:t>用途</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restart"/>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装饰装修</w:t>
            </w: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外墙</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天棚</w:t>
            </w:r>
          </w:p>
        </w:tc>
        <w:tc>
          <w:tcPr>
            <w:tcW w:w="6886"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普通吊顶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内墙</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墙漆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地面</w:t>
            </w:r>
          </w:p>
        </w:tc>
        <w:tc>
          <w:tcPr>
            <w:tcW w:w="6886" w:type="dxa"/>
            <w:vAlign w:val="center"/>
          </w:tcPr>
          <w:p>
            <w:pPr>
              <w:widowControl/>
              <w:spacing w:line="240" w:lineRule="exact"/>
              <w:rPr>
                <w:rFonts w:hint="eastAsia" w:ascii="仿宋_GB2312" w:eastAsia="仿宋_GB2312"/>
                <w:color w:val="000000"/>
                <w:spacing w:val="-20"/>
                <w:szCs w:val="21"/>
                <w:highlight w:val="none"/>
                <w:lang w:eastAsia="zh-CN"/>
              </w:rPr>
            </w:pPr>
            <w:r>
              <w:rPr>
                <w:rFonts w:hint="eastAsia" w:ascii="仿宋_GB2312" w:hAnsi="宋体" w:eastAsia="仿宋_GB2312" w:cs="宋体"/>
                <w:color w:val="000000"/>
                <w:spacing w:val="-20"/>
                <w:kern w:val="0"/>
                <w:szCs w:val="21"/>
                <w:highlight w:val="none"/>
                <w:lang w:eastAsia="zh-CN"/>
              </w:rPr>
              <w:t>部分</w:t>
            </w:r>
            <w:r>
              <w:rPr>
                <w:rFonts w:hint="eastAsia" w:ascii="仿宋_GB2312" w:hAnsi="宋体" w:eastAsia="仿宋_GB2312" w:cs="宋体"/>
                <w:color w:val="000000"/>
                <w:spacing w:val="-20"/>
                <w:kern w:val="0"/>
                <w:szCs w:val="21"/>
                <w:highlight w:val="none"/>
              </w:rPr>
              <w:t>地板砖</w:t>
            </w:r>
            <w:r>
              <w:rPr>
                <w:rFonts w:hint="eastAsia" w:ascii="仿宋_GB2312" w:hAnsi="宋体" w:eastAsia="仿宋_GB2312" w:cs="宋体"/>
                <w:color w:val="000000"/>
                <w:spacing w:val="-20"/>
                <w:kern w:val="0"/>
                <w:szCs w:val="21"/>
                <w:highlight w:val="none"/>
                <w:lang w:eastAsia="zh-CN"/>
              </w:rPr>
              <w:t>、部分木地板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窗</w:t>
            </w:r>
          </w:p>
        </w:tc>
        <w:tc>
          <w:tcPr>
            <w:tcW w:w="6886"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门</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防盗门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restart"/>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设施设备</w:t>
            </w: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水电</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电梯</w:t>
            </w:r>
          </w:p>
        </w:tc>
        <w:tc>
          <w:tcPr>
            <w:tcW w:w="6886"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消防</w:t>
            </w:r>
          </w:p>
        </w:tc>
        <w:tc>
          <w:tcPr>
            <w:tcW w:w="6886"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pPr>
            <w:r>
              <w:rPr>
                <w:rFonts w:hint="eastAsia"/>
                <w:spacing w:val="-20"/>
              </w:rPr>
              <w:t>智能化系统</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5" w:type="dxa"/>
            <w:vAlign w:val="center"/>
          </w:tcPr>
          <w:p>
            <w:pPr>
              <w:pStyle w:val="21"/>
              <w:spacing w:line="240" w:lineRule="exact"/>
              <w:ind w:firstLine="0" w:firstLineChars="0"/>
            </w:pPr>
            <w:r>
              <w:rPr>
                <w:rFonts w:hint="eastAsia"/>
                <w:spacing w:val="-20"/>
              </w:rPr>
              <w:t>其他配套</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spacing w:val="-20"/>
                <w:kern w:val="0"/>
                <w:szCs w:val="21"/>
              </w:rPr>
              <w:t>平面布置</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复式房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工程质量</w:t>
            </w:r>
          </w:p>
        </w:tc>
        <w:tc>
          <w:tcPr>
            <w:tcW w:w="6886"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建成时间</w:t>
            </w:r>
          </w:p>
        </w:tc>
        <w:tc>
          <w:tcPr>
            <w:tcW w:w="6886"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约2002年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维护与保养</w:t>
            </w:r>
          </w:p>
        </w:tc>
        <w:tc>
          <w:tcPr>
            <w:tcW w:w="6886" w:type="dxa"/>
            <w:vAlign w:val="center"/>
          </w:tcPr>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维护保养较好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731" w:type="dxa"/>
            <w:gridSpan w:val="2"/>
            <w:vAlign w:val="center"/>
          </w:tcPr>
          <w:p>
            <w:pPr>
              <w:pStyle w:val="21"/>
              <w:spacing w:line="240" w:lineRule="exact"/>
              <w:ind w:firstLine="0" w:firstLineChars="0"/>
              <w:rPr>
                <w:rFonts w:hint="eastAsia" w:ascii="仿宋_GB2312" w:hAnsi="宋体" w:eastAsia="仿宋_GB2312" w:cs="宋体"/>
                <w:color w:val="000000"/>
                <w:spacing w:val="-20"/>
                <w:kern w:val="0"/>
                <w:szCs w:val="21"/>
                <w:highlight w:val="none"/>
              </w:rPr>
            </w:pPr>
            <w:r>
              <w:rPr>
                <w:rFonts w:hint="eastAsia"/>
                <w:spacing w:val="-20"/>
              </w:rPr>
              <w:t>公共配套设施</w:t>
            </w:r>
          </w:p>
        </w:tc>
        <w:tc>
          <w:tcPr>
            <w:tcW w:w="6886" w:type="dxa"/>
            <w:vAlign w:val="center"/>
          </w:tcPr>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福润多</w:t>
            </w: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超市、芙蓉兴盛</w:t>
            </w:r>
          </w:p>
          <w:p>
            <w:pPr>
              <w:widowControl/>
              <w:spacing w:line="240" w:lineRule="exact"/>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银行：邮政储蓄银行、</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农业银行</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医疗：湘潭</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市第二人民</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湘潭民康</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志豪宾馆</w:t>
            </w:r>
            <w:r>
              <w:rPr>
                <w:rFonts w:hint="eastAsia" w:ascii="仿宋_GB2312" w:hAnsi="宋体" w:eastAsia="仿宋_GB2312" w:cs="宋体"/>
                <w:color w:val="000000" w:themeColor="text1"/>
                <w:spacing w:val="-20"/>
                <w:kern w:val="0"/>
                <w:szCs w:val="21"/>
                <w:highlight w:val="none"/>
                <w14:textFill>
                  <w14:solidFill>
                    <w14:schemeClr w14:val="tx1"/>
                  </w14:solidFill>
                </w14:textFill>
              </w:rPr>
              <w:t>、</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湘潭雅馨</w:t>
            </w: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p>
          <w:p>
            <w:pPr>
              <w:widowControl/>
              <w:spacing w:line="240" w:lineRule="exact"/>
              <w:rPr>
                <w:rFonts w:hint="eastAsia"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学校：湘潭市第</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spacing w:val="-20"/>
                <w:kern w:val="0"/>
                <w:szCs w:val="21"/>
                <w:highlight w:val="none"/>
                <w14:textFill>
                  <w14:solidFill>
                    <w14:schemeClr w14:val="tx1"/>
                  </w14:solidFill>
                </w14:textFill>
              </w:rPr>
              <w:t>中学、</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韶西逸夫小学</w:t>
            </w:r>
          </w:p>
        </w:tc>
      </w:tr>
    </w:tbl>
    <w:p>
      <w:pPr>
        <w:pStyle w:val="18"/>
        <w:rPr>
          <w:rFonts w:hint="eastAsia"/>
        </w:rPr>
      </w:pPr>
      <w:r>
        <w:rPr>
          <w:rFonts w:hint="eastAsia"/>
          <w:b/>
          <w:color w:val="000000"/>
          <w:spacing w:val="-20"/>
          <w:highlight w:val="none"/>
        </w:rPr>
        <w:t>估价对象</w:t>
      </w:r>
      <w:r>
        <w:rPr>
          <w:rFonts w:hint="eastAsia"/>
          <w:b/>
          <w:color w:val="000000"/>
          <w:spacing w:val="-20"/>
          <w:highlight w:val="none"/>
          <w:lang w:val="en-US" w:eastAsia="zh-CN"/>
        </w:rPr>
        <w:t>6-7</w:t>
      </w:r>
    </w:p>
    <w:tbl>
      <w:tblPr>
        <w:tblStyle w:val="13"/>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
        <w:gridCol w:w="1162"/>
        <w:gridCol w:w="3418"/>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shd w:val="clear" w:color="auto" w:fill="BFBFBF"/>
            <w:vAlign w:val="center"/>
          </w:tcPr>
          <w:p>
            <w:pPr>
              <w:pStyle w:val="21"/>
              <w:spacing w:line="240" w:lineRule="exact"/>
              <w:rPr>
                <w:color w:val="000000"/>
                <w:spacing w:val="-20"/>
                <w:highlight w:val="none"/>
              </w:rPr>
            </w:pPr>
            <w:r>
              <w:rPr>
                <w:rFonts w:hint="eastAsia"/>
                <w:b/>
                <w:color w:val="000000"/>
                <w:spacing w:val="-20"/>
                <w:highlight w:val="none"/>
              </w:rPr>
              <w:t>估价对象</w:t>
            </w:r>
          </w:p>
        </w:tc>
        <w:tc>
          <w:tcPr>
            <w:tcW w:w="3418" w:type="dxa"/>
            <w:shd w:val="clear" w:color="auto" w:fill="BFBFBF"/>
            <w:vAlign w:val="center"/>
          </w:tcPr>
          <w:p>
            <w:pPr>
              <w:pStyle w:val="21"/>
              <w:spacing w:line="240" w:lineRule="exact"/>
              <w:rPr>
                <w:rFonts w:hint="default" w:eastAsia="仿宋_GB2312"/>
                <w:color w:val="000000"/>
                <w:spacing w:val="-20"/>
                <w:highlight w:val="none"/>
                <w:lang w:val="en-US" w:eastAsia="zh-CN"/>
              </w:rPr>
            </w:pPr>
            <w:r>
              <w:rPr>
                <w:rFonts w:hint="eastAsia"/>
                <w:b/>
                <w:color w:val="000000"/>
                <w:spacing w:val="-20"/>
                <w:highlight w:val="none"/>
              </w:rPr>
              <w:t>估价对象</w:t>
            </w:r>
            <w:r>
              <w:rPr>
                <w:rFonts w:hint="eastAsia"/>
                <w:b/>
                <w:color w:val="000000"/>
                <w:spacing w:val="-20"/>
                <w:highlight w:val="none"/>
                <w:lang w:val="en-US" w:eastAsia="zh-CN"/>
              </w:rPr>
              <w:t>6</w:t>
            </w:r>
          </w:p>
        </w:tc>
        <w:tc>
          <w:tcPr>
            <w:tcW w:w="3914" w:type="dxa"/>
            <w:shd w:val="clear" w:color="auto" w:fill="BFBFBF"/>
            <w:vAlign w:val="center"/>
          </w:tcPr>
          <w:p>
            <w:pPr>
              <w:pStyle w:val="21"/>
              <w:spacing w:line="240" w:lineRule="exact"/>
              <w:rPr>
                <w:rFonts w:hint="eastAsia"/>
                <w:b/>
                <w:color w:val="000000"/>
                <w:spacing w:val="-20"/>
                <w:highlight w:val="none"/>
              </w:rPr>
            </w:pPr>
            <w:r>
              <w:rPr>
                <w:rFonts w:hint="eastAsia"/>
                <w:b/>
                <w:color w:val="000000"/>
                <w:spacing w:val="-20"/>
                <w:highlight w:val="none"/>
              </w:rPr>
              <w:t>估价对象</w:t>
            </w:r>
            <w:r>
              <w:rPr>
                <w:rFonts w:hint="eastAsia"/>
                <w:b/>
                <w:color w:val="000000"/>
                <w:spacing w:val="-20"/>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建筑物名称</w:t>
            </w:r>
          </w:p>
        </w:tc>
        <w:tc>
          <w:tcPr>
            <w:tcW w:w="3418" w:type="dxa"/>
            <w:vAlign w:val="center"/>
          </w:tcPr>
          <w:p>
            <w:pPr>
              <w:widowControl/>
              <w:spacing w:line="240" w:lineRule="exact"/>
              <w:jc w:val="lef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雨湖区城正街街道建城路</w:t>
            </w:r>
            <w:r>
              <w:rPr>
                <w:rFonts w:hint="eastAsia" w:ascii="仿宋_GB2312" w:hAnsi="宋体" w:eastAsia="仿宋_GB2312" w:cs="宋体"/>
                <w:color w:val="000000"/>
                <w:spacing w:val="-20"/>
                <w:kern w:val="0"/>
                <w:szCs w:val="21"/>
                <w:highlight w:val="none"/>
                <w:lang w:val="en-US" w:eastAsia="zh-CN"/>
              </w:rPr>
              <w:t>98号梦真园小区3号楼1单元030101号住宅</w:t>
            </w:r>
          </w:p>
        </w:tc>
        <w:tc>
          <w:tcPr>
            <w:tcW w:w="3914" w:type="dxa"/>
            <w:vAlign w:val="center"/>
          </w:tcPr>
          <w:p>
            <w:pPr>
              <w:widowControl/>
              <w:spacing w:line="240" w:lineRule="exact"/>
              <w:jc w:val="lef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湘潭市</w:t>
            </w:r>
            <w:r>
              <w:rPr>
                <w:rFonts w:hint="eastAsia" w:ascii="仿宋_GB2312" w:hAnsi="宋体" w:eastAsia="仿宋_GB2312" w:cs="宋体"/>
                <w:color w:val="000000"/>
                <w:spacing w:val="-20"/>
                <w:kern w:val="0"/>
                <w:szCs w:val="21"/>
                <w:highlight w:val="none"/>
                <w:lang w:eastAsia="zh-CN"/>
              </w:rPr>
              <w:t>雨湖区城正街街道建城路</w:t>
            </w:r>
            <w:r>
              <w:rPr>
                <w:rFonts w:hint="eastAsia" w:ascii="仿宋_GB2312" w:hAnsi="宋体" w:eastAsia="仿宋_GB2312" w:cs="宋体"/>
                <w:color w:val="000000"/>
                <w:spacing w:val="-20"/>
                <w:kern w:val="0"/>
                <w:szCs w:val="21"/>
                <w:highlight w:val="none"/>
                <w:lang w:val="en-US" w:eastAsia="zh-CN"/>
              </w:rPr>
              <w:t>98号梦真园小区3号楼1单元030102号住宅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建筑面积</w:t>
            </w:r>
          </w:p>
        </w:tc>
        <w:tc>
          <w:tcPr>
            <w:tcW w:w="3418"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148.14平方米</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122.26平方米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总层数/所在层次</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val="en-US" w:eastAsia="zh-CN"/>
              </w:rPr>
              <w:t>5</w:t>
            </w:r>
            <w:r>
              <w:rPr>
                <w:rFonts w:hint="eastAsia" w:ascii="仿宋_GB2312" w:hAnsi="宋体" w:eastAsia="仿宋_GB2312" w:cs="宋体"/>
                <w:color w:val="000000"/>
                <w:spacing w:val="-20"/>
                <w:kern w:val="0"/>
                <w:szCs w:val="21"/>
                <w:highlight w:val="none"/>
              </w:rPr>
              <w:t>/</w:t>
            </w:r>
            <w:r>
              <w:rPr>
                <w:rFonts w:hint="eastAsia" w:ascii="仿宋_GB2312" w:hAnsi="宋体" w:eastAsia="仿宋_GB2312" w:cs="宋体"/>
                <w:color w:val="000000"/>
                <w:spacing w:val="-20"/>
                <w:kern w:val="0"/>
                <w:szCs w:val="21"/>
                <w:highlight w:val="none"/>
                <w:lang w:val="en-US" w:eastAsia="zh-CN"/>
              </w:rPr>
              <w:t>3</w:t>
            </w:r>
          </w:p>
        </w:tc>
        <w:tc>
          <w:tcPr>
            <w:tcW w:w="3914" w:type="dxa"/>
            <w:vAlign w:val="center"/>
          </w:tcPr>
          <w:p>
            <w:pPr>
              <w:widowControl/>
              <w:spacing w:line="240" w:lineRule="exact"/>
              <w:rPr>
                <w:rFonts w:hint="default"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建筑结构</w:t>
            </w:r>
          </w:p>
        </w:tc>
        <w:tc>
          <w:tcPr>
            <w:tcW w:w="3418"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val="en-US" w:eastAsia="zh-CN"/>
              </w:rPr>
              <w:t>混合</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lang w:eastAsia="zh-CN"/>
              </w:rPr>
              <w:t>规划</w:t>
            </w:r>
            <w:r>
              <w:rPr>
                <w:rFonts w:hint="eastAsia"/>
                <w:spacing w:val="-20"/>
              </w:rPr>
              <w:t>用途</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住宅</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restart"/>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装饰装修</w:t>
            </w: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外墙</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墙砖</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天棚</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普通吊顶</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墙漆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内墙</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墙漆</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墙漆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地面</w:t>
            </w:r>
          </w:p>
        </w:tc>
        <w:tc>
          <w:tcPr>
            <w:tcW w:w="3418" w:type="dxa"/>
            <w:vAlign w:val="center"/>
          </w:tcPr>
          <w:p>
            <w:pPr>
              <w:widowControl/>
              <w:spacing w:line="240" w:lineRule="exact"/>
              <w:rPr>
                <w:rFonts w:ascii="仿宋_GB2312" w:eastAsia="仿宋_GB2312"/>
                <w:color w:val="000000"/>
                <w:spacing w:val="-20"/>
                <w:szCs w:val="21"/>
                <w:highlight w:val="none"/>
              </w:rPr>
            </w:pPr>
            <w:r>
              <w:rPr>
                <w:rFonts w:hint="eastAsia" w:ascii="仿宋_GB2312" w:hAnsi="宋体" w:eastAsia="仿宋_GB2312" w:cs="宋体"/>
                <w:color w:val="000000"/>
                <w:spacing w:val="-20"/>
                <w:kern w:val="0"/>
                <w:szCs w:val="21"/>
                <w:highlight w:val="none"/>
                <w:lang w:eastAsia="zh-CN"/>
              </w:rPr>
              <w:t>部分</w:t>
            </w:r>
            <w:r>
              <w:rPr>
                <w:rFonts w:hint="eastAsia" w:ascii="仿宋_GB2312" w:hAnsi="宋体" w:eastAsia="仿宋_GB2312" w:cs="宋体"/>
                <w:color w:val="000000"/>
                <w:spacing w:val="-20"/>
                <w:kern w:val="0"/>
                <w:szCs w:val="21"/>
                <w:highlight w:val="none"/>
              </w:rPr>
              <w:t>地板砖</w:t>
            </w:r>
            <w:r>
              <w:rPr>
                <w:rFonts w:hint="eastAsia" w:ascii="仿宋_GB2312" w:hAnsi="宋体" w:eastAsia="仿宋_GB2312" w:cs="宋体"/>
                <w:color w:val="000000"/>
                <w:spacing w:val="-20"/>
                <w:kern w:val="0"/>
                <w:szCs w:val="21"/>
                <w:highlight w:val="none"/>
                <w:lang w:eastAsia="zh-CN"/>
              </w:rPr>
              <w:t>、部分木地板</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部分地板砖、部分毛坯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窗</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铝合金窗</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门</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FF"/>
                <w:spacing w:val="-20"/>
                <w:kern w:val="0"/>
                <w:szCs w:val="21"/>
                <w:highlight w:val="none"/>
                <w:lang w:eastAsia="zh-CN"/>
              </w:rPr>
              <w:t>防盗门、木门</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防盗门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restart"/>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设施设备</w:t>
            </w: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水电</w:t>
            </w:r>
          </w:p>
        </w:tc>
        <w:tc>
          <w:tcPr>
            <w:tcW w:w="3418"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齐全</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电梯</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消防</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pPr>
            <w:r>
              <w:rPr>
                <w:rFonts w:hint="eastAsia"/>
                <w:spacing w:val="-20"/>
              </w:rPr>
              <w:t>智能化系统</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无</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22" w:type="dxa"/>
            <w:vMerge w:val="continue"/>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p>
        </w:tc>
        <w:tc>
          <w:tcPr>
            <w:tcW w:w="1162" w:type="dxa"/>
            <w:vAlign w:val="center"/>
          </w:tcPr>
          <w:p>
            <w:pPr>
              <w:pStyle w:val="21"/>
              <w:spacing w:line="240" w:lineRule="exact"/>
              <w:ind w:firstLine="0" w:firstLineChars="0"/>
            </w:pPr>
            <w:r>
              <w:rPr>
                <w:rFonts w:hint="eastAsia"/>
                <w:spacing w:val="-20"/>
              </w:rPr>
              <w:t>其他配套</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无</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widowControl/>
              <w:spacing w:line="240" w:lineRule="exact"/>
              <w:jc w:val="center"/>
              <w:rPr>
                <w:rFonts w:ascii="仿宋_GB2312" w:hAnsi="宋体" w:eastAsia="仿宋_GB2312" w:cs="宋体"/>
                <w:color w:val="000000"/>
                <w:spacing w:val="-20"/>
                <w:kern w:val="0"/>
                <w:szCs w:val="21"/>
                <w:highlight w:val="none"/>
              </w:rPr>
            </w:pPr>
            <w:r>
              <w:rPr>
                <w:rFonts w:hint="eastAsia" w:ascii="仿宋_GB2312" w:hAnsi="宋体" w:eastAsia="仿宋_GB2312" w:cs="宋体"/>
                <w:spacing w:val="-20"/>
                <w:kern w:val="0"/>
                <w:szCs w:val="21"/>
              </w:rPr>
              <w:t>平面布置</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四室两厅</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三室两厅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工程质量</w:t>
            </w:r>
          </w:p>
        </w:tc>
        <w:tc>
          <w:tcPr>
            <w:tcW w:w="3418" w:type="dxa"/>
            <w:vAlign w:val="center"/>
          </w:tcPr>
          <w:p>
            <w:pPr>
              <w:widowControl/>
              <w:spacing w:line="240" w:lineRule="exact"/>
              <w:rPr>
                <w:rFonts w:ascii="仿宋_GB2312" w:hAnsi="宋体" w:eastAsia="仿宋_GB2312" w:cs="宋体"/>
                <w:color w:val="000000"/>
                <w:spacing w:val="-20"/>
                <w:kern w:val="0"/>
                <w:szCs w:val="21"/>
                <w:highlight w:val="none"/>
              </w:rPr>
            </w:pPr>
            <w:r>
              <w:rPr>
                <w:rFonts w:hint="eastAsia" w:ascii="仿宋_GB2312" w:hAnsi="宋体" w:eastAsia="仿宋_GB2312" w:cs="宋体"/>
                <w:color w:val="000000"/>
                <w:spacing w:val="-20"/>
                <w:kern w:val="0"/>
                <w:szCs w:val="21"/>
                <w:highlight w:val="none"/>
                <w:lang w:eastAsia="zh-CN"/>
              </w:rPr>
              <w:t>合格</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建成时间</w:t>
            </w:r>
          </w:p>
        </w:tc>
        <w:tc>
          <w:tcPr>
            <w:tcW w:w="3418" w:type="dxa"/>
            <w:vAlign w:val="center"/>
          </w:tcPr>
          <w:p>
            <w:pPr>
              <w:widowControl/>
              <w:spacing w:line="240" w:lineRule="exact"/>
              <w:rPr>
                <w:rFonts w:hint="eastAsia" w:ascii="仿宋_GB2312" w:hAnsi="宋体" w:eastAsia="仿宋_GB2312" w:cs="宋体"/>
                <w:color w:val="000000"/>
                <w:spacing w:val="-20"/>
                <w:kern w:val="0"/>
                <w:szCs w:val="21"/>
                <w:highlight w:val="none"/>
                <w:lang w:eastAsia="zh-CN"/>
              </w:rPr>
            </w:pPr>
            <w:r>
              <w:rPr>
                <w:rFonts w:hint="eastAsia" w:ascii="仿宋_GB2312" w:hAnsi="宋体" w:eastAsia="仿宋_GB2312" w:cs="宋体"/>
                <w:color w:val="000000"/>
                <w:spacing w:val="-20"/>
                <w:kern w:val="0"/>
                <w:szCs w:val="21"/>
                <w:highlight w:val="none"/>
                <w:lang w:val="en-US" w:eastAsia="zh-CN"/>
              </w:rPr>
              <w:t>约2008年</w:t>
            </w:r>
          </w:p>
        </w:tc>
        <w:tc>
          <w:tcPr>
            <w:tcW w:w="3914" w:type="dxa"/>
            <w:vAlign w:val="center"/>
          </w:tcPr>
          <w:p>
            <w:pPr>
              <w:widowControl/>
              <w:spacing w:line="240" w:lineRule="exact"/>
              <w:rPr>
                <w:rFonts w:hint="eastAsia" w:ascii="仿宋_GB2312" w:hAnsi="宋体" w:eastAsia="仿宋_GB2312" w:cs="宋体"/>
                <w:color w:val="000000"/>
                <w:spacing w:val="-20"/>
                <w:kern w:val="0"/>
                <w:szCs w:val="21"/>
                <w:highlight w:val="none"/>
                <w:lang w:val="en-US" w:eastAsia="zh-CN"/>
              </w:rPr>
            </w:pPr>
            <w:r>
              <w:rPr>
                <w:rFonts w:hint="eastAsia" w:ascii="仿宋_GB2312" w:hAnsi="宋体" w:eastAsia="仿宋_GB2312" w:cs="宋体"/>
                <w:color w:val="000000"/>
                <w:spacing w:val="-20"/>
                <w:kern w:val="0"/>
                <w:szCs w:val="21"/>
                <w:highlight w:val="none"/>
                <w:lang w:val="en-US" w:eastAsia="zh-CN"/>
              </w:rPr>
              <w:t>约2008年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ascii="仿宋_GB2312" w:hAnsi="宋体" w:eastAsia="仿宋_GB2312" w:cs="宋体"/>
                <w:color w:val="000000"/>
                <w:spacing w:val="-20"/>
                <w:kern w:val="0"/>
                <w:szCs w:val="21"/>
                <w:highlight w:val="none"/>
              </w:rPr>
            </w:pPr>
            <w:r>
              <w:rPr>
                <w:rFonts w:hint="eastAsia"/>
                <w:spacing w:val="-20"/>
              </w:rPr>
              <w:t>维护与保养</w:t>
            </w:r>
          </w:p>
        </w:tc>
        <w:tc>
          <w:tcPr>
            <w:tcW w:w="3418" w:type="dxa"/>
            <w:vAlign w:val="center"/>
          </w:tcPr>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维护保养较好</w:t>
            </w:r>
          </w:p>
        </w:tc>
        <w:tc>
          <w:tcPr>
            <w:tcW w:w="3914" w:type="dxa"/>
            <w:vAlign w:val="center"/>
          </w:tcPr>
          <w:p>
            <w:pPr>
              <w:widowControl/>
              <w:spacing w:line="240" w:lineRule="exact"/>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维护保养较好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84" w:type="dxa"/>
            <w:gridSpan w:val="2"/>
            <w:vAlign w:val="center"/>
          </w:tcPr>
          <w:p>
            <w:pPr>
              <w:pStyle w:val="21"/>
              <w:spacing w:line="240" w:lineRule="exact"/>
              <w:ind w:firstLine="0" w:firstLineChars="0"/>
              <w:rPr>
                <w:rFonts w:hint="eastAsia" w:ascii="仿宋_GB2312" w:hAnsi="宋体" w:eastAsia="仿宋_GB2312" w:cs="宋体"/>
                <w:color w:val="000000"/>
                <w:spacing w:val="-20"/>
                <w:kern w:val="0"/>
                <w:szCs w:val="21"/>
                <w:highlight w:val="none"/>
              </w:rPr>
            </w:pPr>
            <w:r>
              <w:rPr>
                <w:rFonts w:hint="eastAsia"/>
                <w:spacing w:val="-20"/>
              </w:rPr>
              <w:t>公共配套设施</w:t>
            </w:r>
          </w:p>
        </w:tc>
        <w:tc>
          <w:tcPr>
            <w:tcW w:w="7332" w:type="dxa"/>
            <w:gridSpan w:val="2"/>
            <w:vAlign w:val="center"/>
          </w:tcPr>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步步高</w:t>
            </w:r>
            <w:r>
              <w:rPr>
                <w:rFonts w:hint="eastAsia" w:ascii="仿宋_GB2312" w:hAnsi="宋体" w:eastAsia="仿宋_GB2312" w:cs="宋体"/>
                <w:color w:val="000000" w:themeColor="text1"/>
                <w:spacing w:val="-20"/>
                <w:kern w:val="0"/>
                <w:szCs w:val="21"/>
                <w:highlight w:val="none"/>
                <w14:textFill>
                  <w14:solidFill>
                    <w14:schemeClr w14:val="tx1"/>
                  </w14:solidFill>
                </w14:textFill>
              </w:rPr>
              <w:t>超市、芙蓉兴盛</w:t>
            </w:r>
          </w:p>
          <w:p>
            <w:pPr>
              <w:widowControl/>
              <w:spacing w:line="240" w:lineRule="exact"/>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银行：</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工商</w:t>
            </w:r>
            <w:r>
              <w:rPr>
                <w:rFonts w:hint="eastAsia" w:ascii="仿宋_GB2312" w:hAnsi="宋体" w:eastAsia="仿宋_GB2312" w:cs="宋体"/>
                <w:color w:val="000000" w:themeColor="text1"/>
                <w:spacing w:val="-20"/>
                <w:kern w:val="0"/>
                <w:szCs w:val="21"/>
                <w:highlight w:val="none"/>
                <w14:textFill>
                  <w14:solidFill>
                    <w14:schemeClr w14:val="tx1"/>
                  </w14:solidFill>
                </w14:textFill>
              </w:rPr>
              <w:t>银行、</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民生银行</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医疗：湘潭</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博爱</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湘潭市济康</w:t>
            </w:r>
            <w:r>
              <w:rPr>
                <w:rFonts w:hint="eastAsia" w:ascii="仿宋_GB2312" w:hAnsi="宋体" w:eastAsia="仿宋_GB2312" w:cs="宋体"/>
                <w:color w:val="000000" w:themeColor="text1"/>
                <w:spacing w:val="-20"/>
                <w:kern w:val="0"/>
                <w:szCs w:val="21"/>
                <w:highlight w:val="none"/>
                <w14:textFill>
                  <w14:solidFill>
                    <w14:schemeClr w14:val="tx1"/>
                  </w14:solidFill>
                </w14:textFill>
              </w:rPr>
              <w:t>医院</w:t>
            </w:r>
          </w:p>
          <w:p>
            <w:pPr>
              <w:widowControl/>
              <w:spacing w:line="240" w:lineRule="exact"/>
              <w:rPr>
                <w:rFonts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华银国际大酒店</w:t>
            </w:r>
            <w:r>
              <w:rPr>
                <w:rFonts w:hint="eastAsia" w:ascii="仿宋_GB2312" w:hAnsi="宋体" w:eastAsia="仿宋_GB2312" w:cs="宋体"/>
                <w:color w:val="000000" w:themeColor="text1"/>
                <w:spacing w:val="-20"/>
                <w:kern w:val="0"/>
                <w:szCs w:val="21"/>
                <w:highlight w:val="none"/>
                <w14:textFill>
                  <w14:solidFill>
                    <w14:schemeClr w14:val="tx1"/>
                  </w14:solidFill>
                </w14:textFill>
              </w:rPr>
              <w:t>、</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湘潭潘多拉主题</w:t>
            </w:r>
            <w:r>
              <w:rPr>
                <w:rFonts w:hint="eastAsia" w:ascii="仿宋_GB2312" w:hAnsi="宋体" w:eastAsia="仿宋_GB2312" w:cs="宋体"/>
                <w:color w:val="000000" w:themeColor="text1"/>
                <w:spacing w:val="-20"/>
                <w:kern w:val="0"/>
                <w:szCs w:val="21"/>
                <w:highlight w:val="none"/>
                <w14:textFill>
                  <w14:solidFill>
                    <w14:schemeClr w14:val="tx1"/>
                  </w14:solidFill>
                </w14:textFill>
              </w:rPr>
              <w:t>酒店</w:t>
            </w:r>
          </w:p>
          <w:p>
            <w:pPr>
              <w:widowControl/>
              <w:spacing w:line="240" w:lineRule="exact"/>
              <w:rPr>
                <w:rFonts w:hint="eastAsia" w:ascii="仿宋_GB2312" w:hAnsi="宋体" w:eastAsia="仿宋_GB2312" w:cs="宋体"/>
                <w:color w:val="000000" w:themeColor="text1"/>
                <w:spacing w:val="-20"/>
                <w:kern w:val="0"/>
                <w:szCs w:val="21"/>
                <w:highlight w:val="none"/>
                <w14:textFill>
                  <w14:solidFill>
                    <w14:schemeClr w14:val="tx1"/>
                  </w14:solidFill>
                </w14:textFill>
              </w:rPr>
            </w:pPr>
            <w:r>
              <w:rPr>
                <w:rFonts w:hint="eastAsia" w:ascii="仿宋_GB2312" w:hAnsi="宋体" w:eastAsia="仿宋_GB2312" w:cs="宋体"/>
                <w:color w:val="000000" w:themeColor="text1"/>
                <w:spacing w:val="-20"/>
                <w:kern w:val="0"/>
                <w:szCs w:val="21"/>
                <w:highlight w:val="none"/>
                <w14:textFill>
                  <w14:solidFill>
                    <w14:schemeClr w14:val="tx1"/>
                  </w14:solidFill>
                </w14:textFill>
              </w:rPr>
              <w:t>学校：湘潭市第</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四</w:t>
            </w:r>
            <w:r>
              <w:rPr>
                <w:rFonts w:hint="eastAsia" w:ascii="仿宋_GB2312" w:hAnsi="宋体" w:eastAsia="仿宋_GB2312" w:cs="宋体"/>
                <w:color w:val="000000" w:themeColor="text1"/>
                <w:spacing w:val="-20"/>
                <w:kern w:val="0"/>
                <w:szCs w:val="21"/>
                <w:highlight w:val="none"/>
                <w14:textFill>
                  <w14:solidFill>
                    <w14:schemeClr w14:val="tx1"/>
                  </w14:solidFill>
                </w14:textFill>
              </w:rPr>
              <w:t>中学、</w:t>
            </w:r>
            <w:r>
              <w:rPr>
                <w:rFonts w:hint="eastAsia" w:ascii="仿宋_GB2312" w:hAnsi="宋体" w:eastAsia="仿宋_GB2312" w:cs="宋体"/>
                <w:color w:val="000000" w:themeColor="text1"/>
                <w:spacing w:val="-20"/>
                <w:kern w:val="0"/>
                <w:szCs w:val="21"/>
                <w:highlight w:val="none"/>
                <w:lang w:eastAsia="zh-CN"/>
                <w14:textFill>
                  <w14:solidFill>
                    <w14:schemeClr w14:val="tx1"/>
                  </w14:solidFill>
                </w14:textFill>
              </w:rPr>
              <w:t>熙春路逸夫小学</w:t>
            </w:r>
          </w:p>
        </w:tc>
      </w:tr>
    </w:tbl>
    <w:p>
      <w:pPr>
        <w:pStyle w:val="19"/>
        <w:spacing w:line="460" w:lineRule="exact"/>
        <w:ind w:firstLine="562"/>
        <w:jc w:val="both"/>
        <w:rPr>
          <w:highlight w:val="none"/>
        </w:rPr>
      </w:pPr>
      <w:r>
        <w:rPr>
          <w:rFonts w:hint="eastAsia"/>
          <w:highlight w:val="none"/>
        </w:rPr>
        <w:t>五、价值时点</w:t>
      </w:r>
      <w:bookmarkEnd w:id="61"/>
      <w:bookmarkEnd w:id="62"/>
      <w:bookmarkEnd w:id="63"/>
      <w:bookmarkEnd w:id="64"/>
      <w:bookmarkEnd w:id="65"/>
      <w:bookmarkEnd w:id="66"/>
    </w:p>
    <w:p>
      <w:pPr>
        <w:pStyle w:val="18"/>
        <w:widowControl w:val="0"/>
        <w:spacing w:line="460" w:lineRule="exact"/>
        <w:ind w:firstLine="560"/>
        <w:rPr>
          <w:highlight w:val="none"/>
        </w:rPr>
      </w:pPr>
      <w:bookmarkStart w:id="67" w:name="_Toc416685146"/>
      <w:bookmarkStart w:id="68" w:name="_Toc416685188"/>
      <w:bookmarkStart w:id="69" w:name="_Toc416685226"/>
      <w:bookmarkStart w:id="70" w:name="_Toc409964668"/>
      <w:bookmarkStart w:id="71" w:name="_Toc467764815"/>
      <w:bookmarkStart w:id="72" w:name="_Toc436762277"/>
      <w:r>
        <w:rPr>
          <w:rFonts w:hint="eastAsia"/>
          <w:highlight w:val="none"/>
        </w:rPr>
        <w:t>本报告价值时点设定为《</w:t>
      </w:r>
      <w:r>
        <w:rPr>
          <w:rFonts w:hint="eastAsia"/>
          <w:highlight w:val="none"/>
          <w:lang w:eastAsia="zh-CN"/>
        </w:rPr>
        <w:t>湘潭县人民法院委托书</w:t>
      </w:r>
      <w:r>
        <w:rPr>
          <w:rFonts w:hint="eastAsia"/>
          <w:highlight w:val="none"/>
        </w:rPr>
        <w:t>》委托之日，即2020年</w:t>
      </w:r>
      <w:r>
        <w:rPr>
          <w:rFonts w:hint="eastAsia"/>
          <w:highlight w:val="none"/>
          <w:lang w:val="en-US" w:eastAsia="zh-CN"/>
        </w:rPr>
        <w:t>10</w:t>
      </w:r>
      <w:r>
        <w:rPr>
          <w:rFonts w:hint="eastAsia"/>
          <w:highlight w:val="none"/>
        </w:rPr>
        <w:t>月</w:t>
      </w:r>
      <w:r>
        <w:rPr>
          <w:rFonts w:hint="eastAsia"/>
          <w:highlight w:val="none"/>
          <w:lang w:val="en-US" w:eastAsia="zh-CN"/>
        </w:rPr>
        <w:t>21</w:t>
      </w:r>
      <w:r>
        <w:rPr>
          <w:rFonts w:hint="eastAsia"/>
          <w:highlight w:val="none"/>
        </w:rPr>
        <w:t>日。</w:t>
      </w:r>
    </w:p>
    <w:p>
      <w:pPr>
        <w:pStyle w:val="18"/>
        <w:widowControl w:val="0"/>
        <w:spacing w:line="460" w:lineRule="exact"/>
        <w:ind w:firstLine="562"/>
        <w:rPr>
          <w:b/>
          <w:bCs/>
          <w:highlight w:val="none"/>
        </w:rPr>
      </w:pPr>
      <w:r>
        <w:rPr>
          <w:rFonts w:hint="eastAsia"/>
          <w:b/>
          <w:bCs/>
          <w:highlight w:val="none"/>
        </w:rPr>
        <w:t>六、价值类型</w:t>
      </w:r>
      <w:bookmarkEnd w:id="67"/>
      <w:bookmarkEnd w:id="68"/>
      <w:bookmarkEnd w:id="69"/>
      <w:bookmarkEnd w:id="70"/>
      <w:bookmarkEnd w:id="71"/>
      <w:bookmarkEnd w:id="72"/>
    </w:p>
    <w:p>
      <w:pPr>
        <w:pStyle w:val="18"/>
        <w:widowControl w:val="0"/>
        <w:spacing w:line="460" w:lineRule="exact"/>
        <w:ind w:firstLine="560"/>
        <w:rPr>
          <w:highlight w:val="none"/>
        </w:rPr>
      </w:pPr>
      <w:bookmarkStart w:id="73" w:name="_Toc416685189"/>
      <w:bookmarkStart w:id="74" w:name="_Toc416685147"/>
      <w:bookmarkStart w:id="75" w:name="_Toc467764816"/>
      <w:bookmarkStart w:id="76" w:name="_Toc416685227"/>
      <w:bookmarkStart w:id="77" w:name="_Toc436762278"/>
      <w:bookmarkStart w:id="78" w:name="_Toc409964669"/>
      <w:r>
        <w:rPr>
          <w:rFonts w:hint="eastAsia"/>
          <w:highlight w:val="none"/>
        </w:rPr>
        <w:t>本次估价的房地产价格为估价对象在价值时点2020年</w:t>
      </w:r>
      <w:r>
        <w:rPr>
          <w:rFonts w:hint="eastAsia"/>
          <w:highlight w:val="none"/>
          <w:lang w:val="en-US" w:eastAsia="zh-CN"/>
        </w:rPr>
        <w:t>10</w:t>
      </w:r>
      <w:r>
        <w:rPr>
          <w:rFonts w:hint="eastAsia"/>
          <w:highlight w:val="none"/>
        </w:rPr>
        <w:t>月</w:t>
      </w:r>
      <w:r>
        <w:rPr>
          <w:rFonts w:hint="eastAsia"/>
          <w:highlight w:val="none"/>
          <w:lang w:val="en-US" w:eastAsia="zh-CN"/>
        </w:rPr>
        <w:t>21</w:t>
      </w:r>
      <w:r>
        <w:rPr>
          <w:rFonts w:hint="eastAsia"/>
          <w:highlight w:val="none"/>
        </w:rPr>
        <w:t>日的市场价值。</w:t>
      </w:r>
    </w:p>
    <w:p>
      <w:pPr>
        <w:pStyle w:val="18"/>
        <w:widowControl w:val="0"/>
        <w:spacing w:line="460" w:lineRule="exact"/>
        <w:ind w:firstLine="560"/>
        <w:rPr>
          <w:highlight w:val="none"/>
        </w:rPr>
      </w:pPr>
      <w:r>
        <w:rPr>
          <w:rFonts w:hint="eastAsia"/>
          <w:highlight w:val="none"/>
        </w:rPr>
        <w:t>市场价值是指估价对象经适当营销后，由熟悉情况、谨慎行事且不受强迫的交易双方，以公平交易方式在价值时点自愿进行交易的金额。本次估价不考虑抵押、查封、冻结等因素对估价对象价值的影响。</w:t>
      </w:r>
    </w:p>
    <w:p>
      <w:pPr>
        <w:pStyle w:val="19"/>
        <w:spacing w:line="460" w:lineRule="exact"/>
        <w:ind w:firstLine="562"/>
        <w:jc w:val="both"/>
        <w:rPr>
          <w:highlight w:val="none"/>
        </w:rPr>
      </w:pPr>
      <w:r>
        <w:rPr>
          <w:rFonts w:hint="eastAsia"/>
          <w:highlight w:val="none"/>
        </w:rPr>
        <w:t>七、估价原则</w:t>
      </w:r>
      <w:bookmarkEnd w:id="73"/>
      <w:bookmarkEnd w:id="74"/>
      <w:bookmarkEnd w:id="75"/>
      <w:bookmarkEnd w:id="76"/>
      <w:bookmarkEnd w:id="77"/>
      <w:bookmarkEnd w:id="78"/>
    </w:p>
    <w:p>
      <w:pPr>
        <w:pStyle w:val="18"/>
        <w:keepLines/>
        <w:widowControl w:val="0"/>
        <w:spacing w:line="460" w:lineRule="exact"/>
        <w:ind w:firstLine="560"/>
        <w:rPr>
          <w:highlight w:val="none"/>
        </w:rPr>
      </w:pPr>
      <w:r>
        <w:rPr>
          <w:rFonts w:hint="eastAsia"/>
          <w:highlight w:val="none"/>
        </w:rPr>
        <w:t>根据估价目的，结合估价对象的具体情况，本次估价过程遵循了以下估价原则：</w:t>
      </w:r>
    </w:p>
    <w:p>
      <w:pPr>
        <w:pStyle w:val="18"/>
        <w:spacing w:line="460" w:lineRule="exact"/>
        <w:ind w:firstLine="560"/>
        <w:rPr>
          <w:highlight w:val="none"/>
        </w:rPr>
      </w:pPr>
      <w:r>
        <w:rPr>
          <w:rFonts w:hint="eastAsia"/>
          <w:highlight w:val="none"/>
        </w:rPr>
        <w:t>⑴ 独立、客观、公正原则</w:t>
      </w:r>
    </w:p>
    <w:p>
      <w:pPr>
        <w:pStyle w:val="18"/>
        <w:widowControl w:val="0"/>
        <w:spacing w:line="460" w:lineRule="exact"/>
        <w:ind w:firstLine="560"/>
        <w:rPr>
          <w:highlight w:val="none"/>
        </w:rPr>
      </w:pPr>
      <w:r>
        <w:rPr>
          <w:rFonts w:hint="eastAsia"/>
          <w:highlight w:val="none"/>
        </w:rPr>
        <w:t>要求站在中立的立场上，实事求是，公平正直地评估出对各方估价利害关系人均是公平合理的价值或价格的原则。</w:t>
      </w:r>
    </w:p>
    <w:p>
      <w:pPr>
        <w:pStyle w:val="18"/>
        <w:spacing w:line="460" w:lineRule="exact"/>
        <w:ind w:firstLine="560"/>
        <w:rPr>
          <w:highlight w:val="none"/>
        </w:rPr>
      </w:pPr>
      <w:r>
        <w:rPr>
          <w:rFonts w:hint="eastAsia"/>
          <w:highlight w:val="none"/>
        </w:rPr>
        <w:t>本次估价遵循了独立客观公正原则，注册房地产估价师与估价对象及当事人没有直接利害关系，以客观公正的态度履行估价程序，相关市场调查、信息资料的获取及价值测算过程均独立完成。</w:t>
      </w:r>
    </w:p>
    <w:p>
      <w:pPr>
        <w:pStyle w:val="18"/>
        <w:spacing w:line="460" w:lineRule="exact"/>
        <w:ind w:firstLine="560"/>
        <w:rPr>
          <w:highlight w:val="none"/>
        </w:rPr>
      </w:pPr>
      <w:r>
        <w:rPr>
          <w:rFonts w:hint="eastAsia"/>
          <w:highlight w:val="none"/>
        </w:rPr>
        <w:t>⑵ 合法原则</w:t>
      </w:r>
    </w:p>
    <w:p>
      <w:pPr>
        <w:pStyle w:val="18"/>
        <w:spacing w:line="460" w:lineRule="exact"/>
        <w:ind w:firstLine="560"/>
        <w:rPr>
          <w:highlight w:val="none"/>
        </w:rPr>
      </w:pPr>
      <w:r>
        <w:rPr>
          <w:rFonts w:hint="eastAsia"/>
          <w:highlight w:val="none"/>
        </w:rPr>
        <w:t>要求估价结果是在依法判定的估价对象状况下的价值或价格的原则。</w:t>
      </w:r>
    </w:p>
    <w:p>
      <w:pPr>
        <w:pStyle w:val="18"/>
        <w:spacing w:line="460" w:lineRule="exact"/>
        <w:ind w:firstLine="560"/>
        <w:rPr>
          <w:highlight w:val="none"/>
        </w:rPr>
      </w:pPr>
      <w:r>
        <w:rPr>
          <w:rFonts w:hint="eastAsia"/>
          <w:highlight w:val="none"/>
        </w:rPr>
        <w:t>本次估价依法判定以估价对象的合法产权、合法使用、合法处分为前提，遵循估价程序，采用相应的估价方法得出的评估结果。在合法产权方面，以估价委托人提供的</w:t>
      </w:r>
      <w:r>
        <w:rPr>
          <w:rFonts w:hint="eastAsia"/>
          <w:szCs w:val="28"/>
          <w:highlight w:val="none"/>
        </w:rPr>
        <w:t>合法</w:t>
      </w:r>
      <w:r>
        <w:rPr>
          <w:rFonts w:hint="eastAsia"/>
          <w:highlight w:val="none"/>
        </w:rPr>
        <w:t>权属资料为依据；在合法使用方面，以使用管制即合法用途为依据；在合法处分方面，以</w:t>
      </w:r>
      <w:r>
        <w:rPr>
          <w:rFonts w:hint="eastAsia"/>
          <w:szCs w:val="28"/>
          <w:highlight w:val="none"/>
        </w:rPr>
        <w:t>容</w:t>
      </w:r>
      <w:r>
        <w:rPr>
          <w:rFonts w:hint="eastAsia"/>
          <w:highlight w:val="none"/>
        </w:rPr>
        <w:t>许的处分方式为依据。</w:t>
      </w:r>
    </w:p>
    <w:p>
      <w:pPr>
        <w:pStyle w:val="18"/>
        <w:spacing w:line="460" w:lineRule="exact"/>
        <w:ind w:firstLine="560"/>
        <w:rPr>
          <w:highlight w:val="none"/>
        </w:rPr>
      </w:pPr>
      <w:r>
        <w:rPr>
          <w:rFonts w:hint="eastAsia"/>
          <w:highlight w:val="none"/>
        </w:rPr>
        <w:t>⑶ 价值时点原则</w:t>
      </w:r>
    </w:p>
    <w:p>
      <w:pPr>
        <w:pStyle w:val="18"/>
        <w:widowControl w:val="0"/>
        <w:spacing w:line="460" w:lineRule="exact"/>
        <w:ind w:firstLine="560"/>
        <w:rPr>
          <w:highlight w:val="none"/>
        </w:rPr>
      </w:pPr>
      <w:r>
        <w:rPr>
          <w:rFonts w:hint="eastAsia"/>
          <w:highlight w:val="none"/>
        </w:rPr>
        <w:t>要求估价结果是在根据估价目的确定的某一特定时间的价值或价格的原则。</w:t>
      </w:r>
    </w:p>
    <w:p>
      <w:pPr>
        <w:pStyle w:val="18"/>
        <w:spacing w:line="460" w:lineRule="exact"/>
        <w:ind w:firstLine="560"/>
        <w:rPr>
          <w:highlight w:val="none"/>
        </w:rPr>
      </w:pPr>
      <w:r>
        <w:rPr>
          <w:rFonts w:hint="eastAsia"/>
          <w:highlight w:val="none"/>
        </w:rPr>
        <w:t>房地产市场是变动的，在不同的时间上，同一宗房地产往往会有不同的价格，估价通常仅是求取所评估</w:t>
      </w:r>
      <w:r>
        <w:rPr>
          <w:highlight w:val="none"/>
        </w:rPr>
        <w:t>的估价对象在对应的某一特定时间的价值或者价格</w:t>
      </w:r>
      <w:r>
        <w:rPr>
          <w:rFonts w:hint="eastAsia"/>
          <w:highlight w:val="none"/>
        </w:rPr>
        <w:t>，这个特定时间就是价值时点，确定价值时点原则的意义在于，价值时点是评估房地产价值时的界限。因为房地产价格与政府颁布的有关房地产法律、法规等密切相关，这些法律、法规的发布、变更、实施日期，均有可能影响待估房地产的价值。</w:t>
      </w:r>
    </w:p>
    <w:p>
      <w:pPr>
        <w:pStyle w:val="18"/>
        <w:spacing w:line="460" w:lineRule="exact"/>
        <w:ind w:firstLine="560"/>
        <w:rPr>
          <w:highlight w:val="none"/>
        </w:rPr>
      </w:pPr>
      <w:r>
        <w:rPr>
          <w:rFonts w:hint="eastAsia"/>
          <w:highlight w:val="none"/>
        </w:rPr>
        <w:t>⑷ 替代原则</w:t>
      </w:r>
    </w:p>
    <w:p>
      <w:pPr>
        <w:pStyle w:val="18"/>
        <w:spacing w:line="460" w:lineRule="exact"/>
        <w:ind w:firstLine="560"/>
        <w:rPr>
          <w:highlight w:val="none"/>
        </w:rPr>
      </w:pPr>
      <w:r>
        <w:rPr>
          <w:rFonts w:hint="eastAsia"/>
          <w:highlight w:val="none"/>
        </w:rPr>
        <w:t>要求估价结果与估价对象的类似房地产在同等条件下的价值或价格偏差在合理范围的原则。</w:t>
      </w:r>
    </w:p>
    <w:p>
      <w:pPr>
        <w:pStyle w:val="18"/>
        <w:widowControl w:val="0"/>
        <w:spacing w:line="460" w:lineRule="exact"/>
        <w:ind w:firstLine="560"/>
        <w:rPr>
          <w:highlight w:val="none"/>
        </w:rPr>
      </w:pPr>
      <w:r>
        <w:rPr>
          <w:rFonts w:hint="eastAsia"/>
          <w:highlight w:val="none"/>
        </w:rPr>
        <w:t>根据市场运行规律，在同一商品市场中，商品或提供服务的效用相同或大致相似时，价格低者吸引需求，即有两个以上互有替代性的商品或服务同时存在时，商品或服务的价格是经过相互影响与比较之后来决定的。房地产价格也同样遵循替代规律，某房地产的价格，受其它具有相同使用价值的房地产，即同类型具有替代可能的房地产价格所牵制。换言之，具有相同使用价值、替代可能的房地产之间，会相互影响和竞争，使价格相互牵制而趋于一致。</w:t>
      </w:r>
    </w:p>
    <w:p>
      <w:pPr>
        <w:pStyle w:val="18"/>
        <w:spacing w:line="460" w:lineRule="exact"/>
        <w:ind w:firstLine="560"/>
        <w:rPr>
          <w:highlight w:val="none"/>
        </w:rPr>
      </w:pPr>
      <w:r>
        <w:rPr>
          <w:rFonts w:hint="eastAsia"/>
          <w:highlight w:val="none"/>
        </w:rPr>
        <w:t>⑸ 最高最佳利用原则</w:t>
      </w:r>
    </w:p>
    <w:p>
      <w:pPr>
        <w:pStyle w:val="18"/>
        <w:spacing w:line="460" w:lineRule="exact"/>
        <w:ind w:firstLine="560"/>
        <w:rPr>
          <w:highlight w:val="none"/>
        </w:rPr>
      </w:pPr>
      <w:r>
        <w:rPr>
          <w:rFonts w:hint="eastAsia"/>
          <w:highlight w:val="none"/>
        </w:rPr>
        <w:t>要求估价结果是在估价对象最高最佳利用状况下的价值或价格的原则。</w:t>
      </w:r>
    </w:p>
    <w:p>
      <w:pPr>
        <w:pStyle w:val="18"/>
        <w:spacing w:line="460" w:lineRule="exact"/>
        <w:ind w:firstLine="560"/>
        <w:rPr>
          <w:highlight w:val="none"/>
        </w:rPr>
      </w:pPr>
      <w:r>
        <w:rPr>
          <w:rFonts w:hint="eastAsia"/>
          <w:highlight w:val="none"/>
        </w:rPr>
        <w:t>最高最佳利用是指房地产在法律上允许、技术上可能、财务上可行并使价值最大的合理、可能的利用，包括最佳的用途、规模、档次等。本次评估对估价对象进行了最高最佳利用分析，估价结果的得出是在经过充分合理的论证，能使估价对象产生最高价值的使用方式上得出的。</w:t>
      </w:r>
    </w:p>
    <w:p>
      <w:pPr>
        <w:pStyle w:val="19"/>
        <w:spacing w:line="460" w:lineRule="exact"/>
        <w:ind w:firstLine="562"/>
        <w:jc w:val="both"/>
        <w:rPr>
          <w:highlight w:val="none"/>
        </w:rPr>
      </w:pPr>
      <w:bookmarkStart w:id="79" w:name="_Toc416685148"/>
      <w:bookmarkStart w:id="80" w:name="_Toc436762279"/>
      <w:bookmarkStart w:id="81" w:name="_Toc467764817"/>
      <w:bookmarkStart w:id="82" w:name="_Toc409964670"/>
      <w:bookmarkStart w:id="83" w:name="_Toc416685228"/>
      <w:bookmarkStart w:id="84" w:name="_Toc416685190"/>
      <w:r>
        <w:rPr>
          <w:rFonts w:hint="eastAsia"/>
          <w:highlight w:val="none"/>
        </w:rPr>
        <w:t>八、估价依据</w:t>
      </w:r>
      <w:bookmarkEnd w:id="79"/>
      <w:bookmarkEnd w:id="80"/>
      <w:bookmarkEnd w:id="81"/>
      <w:bookmarkEnd w:id="82"/>
      <w:bookmarkEnd w:id="83"/>
      <w:bookmarkEnd w:id="84"/>
    </w:p>
    <w:p>
      <w:pPr>
        <w:pStyle w:val="18"/>
        <w:spacing w:line="460" w:lineRule="exact"/>
        <w:ind w:firstLine="560"/>
        <w:rPr>
          <w:highlight w:val="none"/>
        </w:rPr>
      </w:pPr>
      <w:r>
        <w:rPr>
          <w:rFonts w:hint="eastAsia"/>
          <w:highlight w:val="none"/>
        </w:rPr>
        <w:t>本次评估依据国务院、住建部、</w:t>
      </w:r>
      <w:r>
        <w:rPr>
          <w:rFonts w:hint="eastAsia"/>
          <w:highlight w:val="none"/>
          <w:lang w:eastAsia="zh-CN"/>
        </w:rPr>
        <w:t>自然</w:t>
      </w:r>
      <w:r>
        <w:rPr>
          <w:rFonts w:hint="eastAsia"/>
          <w:highlight w:val="none"/>
        </w:rPr>
        <w:t>资源部及湖南省和湘潭市人民政府及有关部门颁布的法律规定和政策性文件以及评估房地产的具体资料，主要有：</w:t>
      </w:r>
    </w:p>
    <w:p>
      <w:pPr>
        <w:pStyle w:val="18"/>
        <w:spacing w:line="460" w:lineRule="exact"/>
        <w:ind w:firstLine="562"/>
        <w:rPr>
          <w:b/>
          <w:highlight w:val="none"/>
        </w:rPr>
      </w:pPr>
      <w:r>
        <w:rPr>
          <w:rFonts w:hint="eastAsia"/>
          <w:b/>
          <w:highlight w:val="none"/>
        </w:rPr>
        <w:t>1、国家有关法律、法规和政策性文件</w:t>
      </w:r>
    </w:p>
    <w:p>
      <w:pPr>
        <w:pStyle w:val="18"/>
        <w:widowControl w:val="0"/>
        <w:spacing w:line="460" w:lineRule="exact"/>
        <w:ind w:firstLine="560"/>
        <w:rPr>
          <w:rFonts w:hint="eastAsia"/>
          <w:highlight w:val="none"/>
        </w:rPr>
      </w:pPr>
      <w:r>
        <w:rPr>
          <w:rFonts w:hint="eastAsia"/>
          <w:highlight w:val="none"/>
        </w:rPr>
        <w:t>⑴《中华人民共和国资产评估法》（中华人民共和国主席令第46号）；</w:t>
      </w:r>
    </w:p>
    <w:p>
      <w:pPr>
        <w:pStyle w:val="18"/>
        <w:widowControl w:val="0"/>
        <w:spacing w:line="460" w:lineRule="exact"/>
        <w:ind w:firstLine="560"/>
        <w:rPr>
          <w:rFonts w:hint="eastAsia"/>
          <w:highlight w:val="none"/>
        </w:rPr>
      </w:pPr>
      <w:r>
        <w:rPr>
          <w:rFonts w:hint="eastAsia"/>
          <w:highlight w:val="none"/>
        </w:rPr>
        <w:t>⑵《全国人民代表大会常务委员会关于修改《中华人民共和国土地管理法》、《中华人民共和国城市房地产管理法》的决定》（中华人民共和国主席令第</w:t>
      </w:r>
      <w:r>
        <w:rPr>
          <w:rFonts w:hint="eastAsia"/>
          <w:highlight w:val="none"/>
          <w:lang w:val="en-US" w:eastAsia="zh-CN"/>
        </w:rPr>
        <w:t>32</w:t>
      </w:r>
      <w:r>
        <w:rPr>
          <w:rFonts w:hint="eastAsia"/>
          <w:highlight w:val="none"/>
        </w:rPr>
        <w:t>号)</w:t>
      </w:r>
    </w:p>
    <w:p>
      <w:pPr>
        <w:pStyle w:val="18"/>
        <w:widowControl w:val="0"/>
        <w:spacing w:line="460" w:lineRule="exact"/>
        <w:ind w:firstLine="560"/>
        <w:rPr>
          <w:rFonts w:hint="eastAsia"/>
          <w:highlight w:val="none"/>
        </w:rPr>
      </w:pPr>
      <w:r>
        <w:rPr>
          <w:rFonts w:hint="eastAsia"/>
          <w:highlight w:val="none"/>
        </w:rPr>
        <w:t>⑶《中华人民共和国物权法》（中华人民共和国主席令第62号）；</w:t>
      </w:r>
    </w:p>
    <w:p>
      <w:pPr>
        <w:pStyle w:val="18"/>
        <w:widowControl w:val="0"/>
        <w:spacing w:line="460" w:lineRule="exact"/>
        <w:ind w:firstLine="560"/>
        <w:rPr>
          <w:highlight w:val="none"/>
        </w:rPr>
      </w:pPr>
      <w:r>
        <w:rPr>
          <w:rFonts w:hint="eastAsia"/>
          <w:highlight w:val="none"/>
        </w:rPr>
        <w:t>⑷《中华人民共和国担保法》（中华人民共和国主席令第50号）；</w:t>
      </w:r>
    </w:p>
    <w:p>
      <w:pPr>
        <w:pStyle w:val="18"/>
        <w:spacing w:line="460" w:lineRule="exact"/>
        <w:ind w:firstLine="560"/>
        <w:rPr>
          <w:highlight w:val="none"/>
        </w:rPr>
      </w:pPr>
      <w:r>
        <w:rPr>
          <w:rFonts w:hint="eastAsia"/>
          <w:highlight w:val="none"/>
        </w:rPr>
        <w:t>⑸《中华人民共和国拍卖法》（中华人民共和国主席令第23号）；</w:t>
      </w:r>
    </w:p>
    <w:p>
      <w:pPr>
        <w:pStyle w:val="18"/>
        <w:spacing w:line="460" w:lineRule="exact"/>
        <w:ind w:firstLine="560"/>
        <w:rPr>
          <w:highlight w:val="none"/>
        </w:rPr>
      </w:pPr>
      <w:r>
        <w:rPr>
          <w:rFonts w:hint="eastAsia"/>
          <w:highlight w:val="none"/>
        </w:rPr>
        <w:t>⑹《中华人民共和国城乡规划法》（中华人民共和国主席令第74号）；</w:t>
      </w:r>
    </w:p>
    <w:p>
      <w:pPr>
        <w:pStyle w:val="18"/>
        <w:spacing w:line="460" w:lineRule="exact"/>
        <w:ind w:firstLine="560"/>
        <w:rPr>
          <w:highlight w:val="none"/>
        </w:rPr>
      </w:pPr>
      <w:r>
        <w:rPr>
          <w:rFonts w:hint="eastAsia"/>
          <w:highlight w:val="none"/>
        </w:rPr>
        <w:t>⑺《中华人民共和国土地管理法实施条例》（中华人民共和国国务院令第256号）；</w:t>
      </w:r>
    </w:p>
    <w:p>
      <w:pPr>
        <w:pStyle w:val="18"/>
        <w:spacing w:line="460" w:lineRule="exact"/>
        <w:ind w:firstLine="560"/>
        <w:rPr>
          <w:highlight w:val="none"/>
        </w:rPr>
      </w:pPr>
      <w:r>
        <w:rPr>
          <w:rFonts w:hint="eastAsia"/>
          <w:highlight w:val="none"/>
        </w:rPr>
        <w:t>⑻《房屋登记办法》（中华人民共和国建设部令第168号）；</w:t>
      </w:r>
    </w:p>
    <w:p>
      <w:pPr>
        <w:pStyle w:val="18"/>
        <w:widowControl w:val="0"/>
        <w:spacing w:line="460" w:lineRule="exact"/>
        <w:ind w:firstLine="560"/>
        <w:rPr>
          <w:highlight w:val="none"/>
        </w:rPr>
      </w:pPr>
      <w:r>
        <w:rPr>
          <w:rFonts w:hint="eastAsia"/>
          <w:highlight w:val="none"/>
        </w:rPr>
        <w:t>⑼《商品房屋租赁管理办法》（中华人民共和国住房和城乡建设部令第6号）；</w:t>
      </w:r>
    </w:p>
    <w:p>
      <w:pPr>
        <w:pStyle w:val="18"/>
        <w:widowControl w:val="0"/>
        <w:spacing w:line="460" w:lineRule="exact"/>
        <w:ind w:firstLine="560"/>
        <w:rPr>
          <w:highlight w:val="none"/>
        </w:rPr>
      </w:pPr>
      <w:r>
        <w:rPr>
          <w:rFonts w:hint="eastAsia"/>
          <w:highlight w:val="none"/>
        </w:rPr>
        <w:t>⑽《城市房地产转让管理规定》（中华人民共和国建设部令第96号）；</w:t>
      </w:r>
    </w:p>
    <w:p>
      <w:pPr>
        <w:pStyle w:val="18"/>
        <w:spacing w:line="460" w:lineRule="exact"/>
        <w:ind w:firstLine="560"/>
        <w:rPr>
          <w:highlight w:val="none"/>
        </w:rPr>
      </w:pPr>
      <w:r>
        <w:rPr>
          <w:rFonts w:hint="eastAsia"/>
          <w:highlight w:val="none"/>
        </w:rPr>
        <w:t>⑾《最高人民法院关于人民法院确定财产处置参考价若干问题的规定》法释〔2018〕15号，自2018年9月1日起施行；</w:t>
      </w:r>
    </w:p>
    <w:p>
      <w:pPr>
        <w:pStyle w:val="18"/>
        <w:spacing w:line="460" w:lineRule="exact"/>
        <w:ind w:firstLine="560"/>
        <w:rPr>
          <w:highlight w:val="none"/>
        </w:rPr>
      </w:pPr>
      <w:r>
        <w:rPr>
          <w:rFonts w:hint="eastAsia"/>
          <w:highlight w:val="none"/>
        </w:rPr>
        <w:t>⑿《最高人民法院办公厅、中国资产评估协会、中国土地估价师与土地登记代理人协会、中国房地产估价师与房地产经济人学会、中国矿业权评估师协会、中国珠宝玉石首饰行业协会关于印发〈人民法院委托评估工作规范〉的通知》（法办[2018]273号）。</w:t>
      </w:r>
    </w:p>
    <w:p>
      <w:pPr>
        <w:pStyle w:val="18"/>
        <w:spacing w:line="460" w:lineRule="exact"/>
        <w:ind w:firstLine="562"/>
        <w:rPr>
          <w:b/>
          <w:highlight w:val="none"/>
        </w:rPr>
      </w:pPr>
      <w:r>
        <w:rPr>
          <w:rFonts w:hint="eastAsia"/>
          <w:b/>
          <w:highlight w:val="none"/>
        </w:rPr>
        <w:t>2、技术标准、规程、规范</w:t>
      </w:r>
    </w:p>
    <w:p>
      <w:pPr>
        <w:pStyle w:val="18"/>
        <w:spacing w:line="460" w:lineRule="exact"/>
        <w:ind w:firstLine="560"/>
        <w:rPr>
          <w:highlight w:val="none"/>
        </w:rPr>
      </w:pPr>
      <w:r>
        <w:rPr>
          <w:rFonts w:hint="eastAsia"/>
          <w:highlight w:val="none"/>
        </w:rPr>
        <w:t>⑴《房地产估价规范》(GB/T50291—2015)；</w:t>
      </w:r>
    </w:p>
    <w:p>
      <w:pPr>
        <w:pStyle w:val="18"/>
        <w:spacing w:line="460" w:lineRule="exact"/>
        <w:ind w:firstLine="560"/>
        <w:rPr>
          <w:highlight w:val="none"/>
        </w:rPr>
      </w:pPr>
      <w:r>
        <w:rPr>
          <w:rFonts w:hint="eastAsia"/>
          <w:highlight w:val="none"/>
        </w:rPr>
        <w:t>⑵《房地产估价基本术语标准》（GB/T50899-2013)。</w:t>
      </w:r>
    </w:p>
    <w:p>
      <w:pPr>
        <w:pStyle w:val="18"/>
        <w:spacing w:line="460" w:lineRule="exact"/>
        <w:ind w:firstLine="562"/>
        <w:rPr>
          <w:b/>
          <w:highlight w:val="none"/>
        </w:rPr>
      </w:pPr>
      <w:r>
        <w:rPr>
          <w:rFonts w:hint="eastAsia"/>
          <w:b/>
          <w:highlight w:val="none"/>
        </w:rPr>
        <w:t>3、估价委托人提供的资料</w:t>
      </w:r>
    </w:p>
    <w:p>
      <w:pPr>
        <w:pStyle w:val="18"/>
        <w:widowControl w:val="0"/>
        <w:spacing w:line="460" w:lineRule="exact"/>
        <w:ind w:firstLine="560"/>
        <w:rPr>
          <w:highlight w:val="none"/>
        </w:rPr>
      </w:pPr>
      <w:r>
        <w:rPr>
          <w:rFonts w:hint="eastAsia"/>
          <w:highlight w:val="none"/>
        </w:rPr>
        <w:t>⑴ 估价委托人提供的</w:t>
      </w:r>
      <w:r>
        <w:rPr>
          <w:rFonts w:hint="eastAsia"/>
          <w:szCs w:val="28"/>
          <w:highlight w:val="none"/>
        </w:rPr>
        <w:t>《房屋所有权证》</w:t>
      </w:r>
      <w:r>
        <w:rPr>
          <w:rFonts w:hint="eastAsia"/>
          <w:szCs w:val="28"/>
          <w:highlight w:val="none"/>
          <w:lang w:eastAsia="zh-CN"/>
        </w:rPr>
        <w:t>、</w:t>
      </w:r>
      <w:r>
        <w:rPr>
          <w:rFonts w:hint="eastAsia"/>
          <w:szCs w:val="28"/>
          <w:highlight w:val="none"/>
        </w:rPr>
        <w:t>《</w:t>
      </w:r>
      <w:r>
        <w:rPr>
          <w:rFonts w:hint="eastAsia"/>
          <w:szCs w:val="28"/>
          <w:highlight w:val="none"/>
          <w:lang w:eastAsia="zh-CN"/>
        </w:rPr>
        <w:t>国有土地使用证</w:t>
      </w:r>
      <w:r>
        <w:rPr>
          <w:rFonts w:hint="eastAsia"/>
          <w:szCs w:val="28"/>
          <w:highlight w:val="none"/>
        </w:rPr>
        <w:t>》</w:t>
      </w:r>
      <w:r>
        <w:rPr>
          <w:rFonts w:hint="eastAsia"/>
          <w:highlight w:val="none"/>
        </w:rPr>
        <w:t>复印件；</w:t>
      </w:r>
    </w:p>
    <w:p>
      <w:pPr>
        <w:pStyle w:val="18"/>
        <w:spacing w:line="460" w:lineRule="exact"/>
        <w:ind w:firstLine="560"/>
        <w:rPr>
          <w:highlight w:val="none"/>
        </w:rPr>
      </w:pPr>
      <w:r>
        <w:rPr>
          <w:rFonts w:hint="eastAsia"/>
          <w:highlight w:val="none"/>
        </w:rPr>
        <w:t>⑵ 估价委托人提供的其他相关信息资料。</w:t>
      </w:r>
    </w:p>
    <w:p>
      <w:pPr>
        <w:pStyle w:val="18"/>
        <w:spacing w:line="460" w:lineRule="exact"/>
        <w:ind w:firstLine="562"/>
        <w:rPr>
          <w:b/>
          <w:highlight w:val="none"/>
        </w:rPr>
      </w:pPr>
      <w:r>
        <w:rPr>
          <w:rFonts w:hint="eastAsia"/>
          <w:b/>
          <w:highlight w:val="none"/>
        </w:rPr>
        <w:t>4、注册房地产估价师收集和调查的资料</w:t>
      </w:r>
    </w:p>
    <w:p>
      <w:pPr>
        <w:pStyle w:val="18"/>
        <w:spacing w:line="460" w:lineRule="exact"/>
        <w:ind w:firstLine="560"/>
        <w:rPr>
          <w:highlight w:val="none"/>
        </w:rPr>
      </w:pPr>
      <w:r>
        <w:rPr>
          <w:rFonts w:hint="eastAsia"/>
          <w:highlight w:val="none"/>
        </w:rPr>
        <w:t>⑴</w:t>
      </w:r>
      <w:r>
        <w:rPr>
          <w:highlight w:val="none"/>
        </w:rPr>
        <w:t xml:space="preserve"> </w:t>
      </w:r>
      <w:r>
        <w:rPr>
          <w:rFonts w:hint="eastAsia"/>
          <w:highlight w:val="none"/>
        </w:rPr>
        <w:t>估价对象权利状况调查资料；</w:t>
      </w:r>
    </w:p>
    <w:p>
      <w:pPr>
        <w:pStyle w:val="18"/>
        <w:spacing w:line="460" w:lineRule="exact"/>
        <w:ind w:firstLine="560"/>
        <w:rPr>
          <w:highlight w:val="none"/>
        </w:rPr>
      </w:pPr>
      <w:r>
        <w:rPr>
          <w:rFonts w:hint="eastAsia"/>
          <w:highlight w:val="none"/>
        </w:rPr>
        <w:t>⑵ 估价对象所在区域交通状况、配套设施等调查资料；</w:t>
      </w:r>
    </w:p>
    <w:p>
      <w:pPr>
        <w:pStyle w:val="18"/>
        <w:spacing w:line="460" w:lineRule="exact"/>
        <w:ind w:firstLine="560"/>
        <w:rPr>
          <w:highlight w:val="none"/>
        </w:rPr>
      </w:pPr>
      <w:r>
        <w:rPr>
          <w:rFonts w:hint="eastAsia"/>
          <w:highlight w:val="none"/>
        </w:rPr>
        <w:t>⑶ 估价对象所在区域房地产市场状况调查资料；</w:t>
      </w:r>
    </w:p>
    <w:p>
      <w:pPr>
        <w:pStyle w:val="18"/>
        <w:spacing w:line="460" w:lineRule="exact"/>
        <w:ind w:firstLine="560"/>
        <w:rPr>
          <w:highlight w:val="none"/>
        </w:rPr>
      </w:pPr>
      <w:r>
        <w:rPr>
          <w:rFonts w:hint="eastAsia"/>
          <w:highlight w:val="none"/>
        </w:rPr>
        <w:t>⑷ 估价对象现状及周边环境照片；</w:t>
      </w:r>
    </w:p>
    <w:p>
      <w:pPr>
        <w:pStyle w:val="18"/>
        <w:spacing w:line="460" w:lineRule="exact"/>
        <w:ind w:firstLine="560"/>
        <w:rPr>
          <w:highlight w:val="none"/>
        </w:rPr>
      </w:pPr>
      <w:r>
        <w:rPr>
          <w:rFonts w:hint="eastAsia"/>
          <w:highlight w:val="none"/>
        </w:rPr>
        <w:t>⑸ 估价对象自身条件实地查勘笔录；</w:t>
      </w:r>
    </w:p>
    <w:p>
      <w:pPr>
        <w:pStyle w:val="18"/>
        <w:spacing w:line="460" w:lineRule="exact"/>
        <w:ind w:firstLine="560"/>
        <w:rPr>
          <w:highlight w:val="none"/>
        </w:rPr>
      </w:pPr>
      <w:r>
        <w:rPr>
          <w:rFonts w:hint="eastAsia"/>
          <w:highlight w:val="none"/>
        </w:rPr>
        <w:t>⑹ 房地产估价机构及注册房地产估价师掌握的其他相关信息资料。</w:t>
      </w:r>
    </w:p>
    <w:p>
      <w:pPr>
        <w:pStyle w:val="18"/>
        <w:spacing w:line="460" w:lineRule="exact"/>
        <w:ind w:firstLine="562"/>
        <w:rPr>
          <w:b/>
          <w:highlight w:val="none"/>
        </w:rPr>
      </w:pPr>
      <w:r>
        <w:rPr>
          <w:rFonts w:hint="eastAsia"/>
          <w:b/>
          <w:highlight w:val="none"/>
        </w:rPr>
        <w:t>5、</w:t>
      </w:r>
      <w:r>
        <w:rPr>
          <w:rFonts w:hint="eastAsia"/>
          <w:b/>
          <w:color w:val="000000"/>
          <w:highlight w:val="none"/>
        </w:rPr>
        <w:t>《</w:t>
      </w:r>
      <w:r>
        <w:rPr>
          <w:rFonts w:hint="eastAsia"/>
          <w:b/>
          <w:color w:val="000000"/>
          <w:highlight w:val="none"/>
          <w:lang w:eastAsia="zh-CN"/>
        </w:rPr>
        <w:t>湘潭县人民法院委托书</w:t>
      </w:r>
      <w:r>
        <w:rPr>
          <w:rFonts w:hint="eastAsia"/>
          <w:b/>
          <w:color w:val="000000"/>
          <w:highlight w:val="none"/>
        </w:rPr>
        <w:t>》</w:t>
      </w:r>
      <w:r>
        <w:rPr>
          <w:rFonts w:hint="eastAsia"/>
          <w:b/>
          <w:bCs/>
          <w:color w:val="000000"/>
          <w:highlight w:val="none"/>
        </w:rPr>
        <w:t>[（2020）湘03</w:t>
      </w:r>
      <w:r>
        <w:rPr>
          <w:rFonts w:hint="eastAsia"/>
          <w:b/>
          <w:bCs/>
          <w:color w:val="000000"/>
          <w:highlight w:val="none"/>
          <w:lang w:val="en-US" w:eastAsia="zh-CN"/>
        </w:rPr>
        <w:t>2</w:t>
      </w:r>
      <w:r>
        <w:rPr>
          <w:rFonts w:hint="eastAsia"/>
          <w:b/>
          <w:bCs/>
          <w:color w:val="000000"/>
          <w:highlight w:val="none"/>
        </w:rPr>
        <w:t>1执</w:t>
      </w:r>
      <w:r>
        <w:rPr>
          <w:rFonts w:hint="eastAsia"/>
          <w:b/>
          <w:bCs/>
          <w:color w:val="000000"/>
          <w:highlight w:val="none"/>
          <w:lang w:eastAsia="zh-CN"/>
        </w:rPr>
        <w:t>恢</w:t>
      </w:r>
      <w:r>
        <w:rPr>
          <w:rFonts w:hint="eastAsia"/>
          <w:b/>
          <w:bCs/>
          <w:color w:val="000000"/>
          <w:highlight w:val="none"/>
          <w:lang w:val="en-US" w:eastAsia="zh-CN"/>
        </w:rPr>
        <w:t>359</w:t>
      </w:r>
      <w:r>
        <w:rPr>
          <w:rFonts w:hint="eastAsia"/>
          <w:b/>
          <w:bCs/>
          <w:color w:val="000000"/>
          <w:highlight w:val="none"/>
        </w:rPr>
        <w:t>号]</w:t>
      </w:r>
    </w:p>
    <w:p>
      <w:pPr>
        <w:pStyle w:val="19"/>
        <w:spacing w:line="460" w:lineRule="exact"/>
        <w:ind w:firstLine="562"/>
        <w:jc w:val="both"/>
        <w:rPr>
          <w:highlight w:val="none"/>
        </w:rPr>
      </w:pPr>
      <w:bookmarkStart w:id="85" w:name="_Toc436762280"/>
      <w:bookmarkStart w:id="86" w:name="_Toc416685149"/>
      <w:bookmarkStart w:id="87" w:name="_Toc409964671"/>
      <w:bookmarkStart w:id="88" w:name="_Toc467764818"/>
      <w:bookmarkStart w:id="89" w:name="_Toc416685191"/>
      <w:bookmarkStart w:id="90" w:name="_Toc416685229"/>
      <w:r>
        <w:rPr>
          <w:rFonts w:hint="eastAsia"/>
          <w:highlight w:val="none"/>
        </w:rPr>
        <w:t>九、估价方法</w:t>
      </w:r>
      <w:bookmarkEnd w:id="85"/>
      <w:bookmarkEnd w:id="86"/>
      <w:bookmarkEnd w:id="87"/>
      <w:bookmarkEnd w:id="88"/>
      <w:bookmarkEnd w:id="89"/>
      <w:bookmarkEnd w:id="90"/>
    </w:p>
    <w:p>
      <w:pPr>
        <w:pStyle w:val="18"/>
        <w:spacing w:line="460" w:lineRule="exact"/>
        <w:ind w:firstLine="560"/>
        <w:rPr>
          <w:highlight w:val="none"/>
        </w:rPr>
      </w:pPr>
      <w:r>
        <w:rPr>
          <w:rFonts w:hint="eastAsia"/>
          <w:highlight w:val="none"/>
        </w:rPr>
        <w:t>注册房地产估价师深入细致地分析了估价对象的特点和实际状况，并认真分析估价委托人提供的资料及注册房地产估价师掌握的资料，结合实地查勘和市场调研的结果，遵照《房地产估价规范》（GB/T50291-2015）及《房地产估价基本术语标准》（GB/T50899-2013），在选用项目的估价方法时，主要作了以下的考虑：</w:t>
      </w:r>
    </w:p>
    <w:p>
      <w:pPr>
        <w:pStyle w:val="18"/>
        <w:spacing w:line="460" w:lineRule="exact"/>
        <w:ind w:firstLine="560"/>
        <w:rPr>
          <w:highlight w:val="none"/>
        </w:rPr>
      </w:pPr>
      <w:r>
        <w:rPr>
          <w:rFonts w:hint="eastAsia"/>
          <w:highlight w:val="none"/>
        </w:rPr>
        <w:t>房地产估价的基本方法有比较法、收益法、成本法和假设开发法。</w:t>
      </w:r>
    </w:p>
    <w:p>
      <w:pPr>
        <w:pStyle w:val="18"/>
        <w:keepNext/>
        <w:widowControl w:val="0"/>
        <w:spacing w:line="460" w:lineRule="exact"/>
        <w:ind w:firstLine="562"/>
        <w:rPr>
          <w:highlight w:val="none"/>
        </w:rPr>
      </w:pPr>
      <w:r>
        <w:rPr>
          <w:b/>
          <w:highlight w:val="none"/>
        </w:rPr>
        <w:t>1</w:t>
      </w:r>
      <w:r>
        <w:rPr>
          <w:rFonts w:hint="eastAsia"/>
          <w:b/>
          <w:highlight w:val="none"/>
        </w:rPr>
        <w:t>、比较法</w:t>
      </w:r>
      <w:r>
        <w:rPr>
          <w:rFonts w:hint="eastAsia"/>
          <w:highlight w:val="none"/>
        </w:rPr>
        <w:t>是选取一定数量的可比实例，将它们与估价对象进行比较，根据其间的差异对可比实例成交价格进行处理后得到估价对象价值或价格的方法。</w:t>
      </w:r>
    </w:p>
    <w:p>
      <w:pPr>
        <w:pStyle w:val="18"/>
        <w:spacing w:line="460" w:lineRule="exact"/>
        <w:ind w:firstLine="562"/>
        <w:rPr>
          <w:highlight w:val="none"/>
        </w:rPr>
      </w:pPr>
      <w:r>
        <w:rPr>
          <w:b/>
          <w:highlight w:val="none"/>
        </w:rPr>
        <w:t>2</w:t>
      </w:r>
      <w:r>
        <w:rPr>
          <w:rFonts w:hint="eastAsia"/>
          <w:b/>
          <w:highlight w:val="none"/>
        </w:rPr>
        <w:t>、收益法</w:t>
      </w:r>
      <w:r>
        <w:rPr>
          <w:rFonts w:hint="eastAsia"/>
          <w:highlight w:val="none"/>
        </w:rPr>
        <w:t>是预测估价对象的未来收益，利用报酬率或资本化率、收益乘数将未来收益转换为价值得到估价对象价值或价格的方法。</w:t>
      </w:r>
    </w:p>
    <w:p>
      <w:pPr>
        <w:pStyle w:val="18"/>
        <w:spacing w:line="460" w:lineRule="exact"/>
        <w:ind w:firstLine="562"/>
        <w:rPr>
          <w:highlight w:val="none"/>
        </w:rPr>
      </w:pPr>
      <w:r>
        <w:rPr>
          <w:rFonts w:hint="eastAsia"/>
          <w:b/>
          <w:highlight w:val="none"/>
        </w:rPr>
        <w:t>3、成本法</w:t>
      </w:r>
      <w:r>
        <w:rPr>
          <w:rFonts w:hint="eastAsia"/>
          <w:highlight w:val="none"/>
        </w:rPr>
        <w:t>是测算估价对象在价值时点的重置成本或重建成本和折旧，将重置成本或重建成本减去折旧得到估价对象价值或价格的方法。</w:t>
      </w:r>
    </w:p>
    <w:p>
      <w:pPr>
        <w:pStyle w:val="18"/>
        <w:spacing w:line="460" w:lineRule="exact"/>
        <w:ind w:firstLine="562"/>
        <w:rPr>
          <w:highlight w:val="none"/>
        </w:rPr>
      </w:pPr>
      <w:r>
        <w:rPr>
          <w:rFonts w:hint="eastAsia"/>
          <w:b/>
          <w:highlight w:val="none"/>
        </w:rPr>
        <w:t>4、假设开发法</w:t>
      </w:r>
      <w:r>
        <w:rPr>
          <w:rFonts w:hint="eastAsia"/>
          <w:highlight w:val="none"/>
        </w:rPr>
        <w:t>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p>
      <w:pPr>
        <w:pStyle w:val="18"/>
        <w:spacing w:line="460" w:lineRule="exact"/>
        <w:ind w:firstLine="560"/>
        <w:rPr>
          <w:highlight w:val="none"/>
        </w:rPr>
      </w:pPr>
      <w:r>
        <w:rPr>
          <w:rFonts w:hint="eastAsia"/>
          <w:highlight w:val="none"/>
        </w:rPr>
        <w:t>“估价对象的同类房地产有较多交易的，应选用比较法。估价对象的同类房地产通常有租金等经济收入的，应选用收益法。估价对象具有开发或再开发潜力且开发完成后的价值可采用除成本法以外的方法测算的，应选用假设开发法。当估价对象的同类房地产没有交易或交易很少，且估价对象或同类房地产没有租金等经济收入的，可采用成本法。当估价对象仅适用一种估价方法进行估价时，可只选用一种估价方法进行估价，当估价对象适用两种或两种以上估价方法进行估价时，宜同时选用所有适用的估价方法进行估价。”</w:t>
      </w:r>
    </w:p>
    <w:p>
      <w:pPr>
        <w:pStyle w:val="18"/>
        <w:spacing w:line="460" w:lineRule="exact"/>
        <w:ind w:firstLine="562"/>
        <w:rPr>
          <w:highlight w:val="none"/>
        </w:rPr>
      </w:pPr>
      <w:r>
        <w:rPr>
          <w:rFonts w:hint="eastAsia"/>
          <w:b/>
          <w:highlight w:val="none"/>
        </w:rPr>
        <w:t>估价方法选择：</w:t>
      </w:r>
      <w:r>
        <w:rPr>
          <w:rFonts w:hint="eastAsia"/>
          <w:highlight w:val="none"/>
        </w:rPr>
        <w:t>注册房地产估价师深入细致地分析了估价对象的特点和实际状况，并研究了估价委托人提供的资料及注册房地产估价师掌握的资料，结合实地查勘和市场调研的结果，采用比较法和收益法对估价对象进行估价。具体分析如下：</w:t>
      </w:r>
    </w:p>
    <w:p>
      <w:pPr>
        <w:pStyle w:val="18"/>
        <w:spacing w:line="460" w:lineRule="exact"/>
        <w:ind w:firstLine="560"/>
        <w:rPr>
          <w:kern w:val="0"/>
          <w:szCs w:val="32"/>
          <w:highlight w:val="none"/>
        </w:rPr>
      </w:pPr>
      <w:r>
        <w:rPr>
          <w:rFonts w:hint="eastAsia"/>
          <w:kern w:val="0"/>
          <w:szCs w:val="32"/>
          <w:highlight w:val="none"/>
        </w:rPr>
        <w:t>1、估价对象所在区域房地产交易市场较成熟,类似房地产交易案例较多，适宜采用比较法进行</w:t>
      </w:r>
      <w:r>
        <w:rPr>
          <w:rFonts w:hint="eastAsia"/>
          <w:highlight w:val="none"/>
        </w:rPr>
        <w:t>估价</w:t>
      </w:r>
      <w:r>
        <w:rPr>
          <w:rFonts w:hint="eastAsia"/>
          <w:kern w:val="0"/>
          <w:szCs w:val="32"/>
          <w:highlight w:val="none"/>
        </w:rPr>
        <w:t>；</w:t>
      </w:r>
    </w:p>
    <w:p>
      <w:pPr>
        <w:pStyle w:val="18"/>
        <w:widowControl w:val="0"/>
        <w:spacing w:line="460" w:lineRule="exact"/>
        <w:ind w:firstLine="560"/>
        <w:rPr>
          <w:kern w:val="0"/>
          <w:szCs w:val="32"/>
          <w:highlight w:val="none"/>
        </w:rPr>
      </w:pPr>
      <w:r>
        <w:rPr>
          <w:rFonts w:hint="eastAsia"/>
          <w:kern w:val="0"/>
          <w:szCs w:val="32"/>
          <w:highlight w:val="none"/>
        </w:rPr>
        <w:t>2、估价对象所在区域房地产租赁市场较成熟,周边类似出租案例较多，适宜采用收益法进行</w:t>
      </w:r>
      <w:r>
        <w:rPr>
          <w:rFonts w:hint="eastAsia"/>
          <w:highlight w:val="none"/>
        </w:rPr>
        <w:t>估价</w:t>
      </w:r>
      <w:r>
        <w:rPr>
          <w:rFonts w:hint="eastAsia"/>
          <w:kern w:val="0"/>
          <w:szCs w:val="32"/>
          <w:highlight w:val="none"/>
        </w:rPr>
        <w:t>；</w:t>
      </w:r>
    </w:p>
    <w:p>
      <w:pPr>
        <w:pStyle w:val="18"/>
        <w:widowControl w:val="0"/>
        <w:spacing w:line="460" w:lineRule="exact"/>
        <w:ind w:firstLine="560"/>
        <w:rPr>
          <w:kern w:val="0"/>
          <w:szCs w:val="32"/>
          <w:highlight w:val="none"/>
        </w:rPr>
      </w:pPr>
      <w:r>
        <w:rPr>
          <w:rFonts w:hint="eastAsia"/>
          <w:kern w:val="0"/>
          <w:szCs w:val="32"/>
          <w:highlight w:val="none"/>
        </w:rPr>
        <w:t>3、估价对象属于建成并投入使用的物业，非待开发建设物业，不产生后续开发成本，故不宜采用假设开发法进行</w:t>
      </w:r>
      <w:r>
        <w:rPr>
          <w:rFonts w:hint="eastAsia"/>
          <w:highlight w:val="none"/>
        </w:rPr>
        <w:t>估价</w:t>
      </w:r>
      <w:r>
        <w:rPr>
          <w:rFonts w:hint="eastAsia"/>
          <w:kern w:val="0"/>
          <w:szCs w:val="32"/>
          <w:highlight w:val="none"/>
        </w:rPr>
        <w:t>；</w:t>
      </w:r>
    </w:p>
    <w:p>
      <w:pPr>
        <w:pStyle w:val="18"/>
        <w:spacing w:line="460" w:lineRule="exact"/>
        <w:ind w:firstLine="560"/>
        <w:rPr>
          <w:kern w:val="0"/>
          <w:szCs w:val="32"/>
          <w:highlight w:val="none"/>
        </w:rPr>
      </w:pPr>
      <w:r>
        <w:rPr>
          <w:rFonts w:hint="eastAsia"/>
          <w:kern w:val="0"/>
          <w:szCs w:val="32"/>
          <w:highlight w:val="none"/>
        </w:rPr>
        <w:t>4、估价对象房地产市场依据较充分，出租及交易案例较多，其房地产价格与成本关联性弱，房地产的开发成本不能准确反映房地产的市场价值，故不采用成本法进行估价。</w:t>
      </w:r>
    </w:p>
    <w:p>
      <w:pPr>
        <w:pStyle w:val="18"/>
        <w:spacing w:line="460" w:lineRule="exact"/>
        <w:ind w:firstLine="560"/>
        <w:rPr>
          <w:highlight w:val="none"/>
        </w:rPr>
      </w:pPr>
      <w:r>
        <w:rPr>
          <w:rFonts w:hint="eastAsia"/>
          <w:kern w:val="0"/>
          <w:szCs w:val="32"/>
          <w:highlight w:val="none"/>
        </w:rPr>
        <w:t>综上所述，确定估价对象采用比较法和收益法进行估价</w:t>
      </w:r>
      <w:r>
        <w:rPr>
          <w:rFonts w:hint="eastAsia" w:hAnsi="宋体"/>
          <w:highlight w:val="none"/>
        </w:rPr>
        <w:t>，并</w:t>
      </w:r>
      <w:r>
        <w:rPr>
          <w:rFonts w:hint="eastAsia"/>
          <w:highlight w:val="none"/>
        </w:rPr>
        <w:t>对两种方法所得结果进行综合分析，结合估价对象的实际情况，分别确定两种方法结果的影响权重，求得估价对象的价值。</w:t>
      </w:r>
      <w:bookmarkStart w:id="91" w:name="_Toc436762281"/>
      <w:bookmarkStart w:id="92" w:name="_Toc416685230"/>
      <w:bookmarkStart w:id="93" w:name="_Toc416685192"/>
      <w:bookmarkStart w:id="94" w:name="_Toc416685150"/>
      <w:bookmarkStart w:id="95" w:name="_Toc409964672"/>
      <w:bookmarkStart w:id="96" w:name="_Toc467764819"/>
    </w:p>
    <w:p>
      <w:pPr>
        <w:pStyle w:val="19"/>
        <w:spacing w:line="460" w:lineRule="exact"/>
        <w:ind w:firstLine="562"/>
        <w:jc w:val="both"/>
        <w:rPr>
          <w:highlight w:val="none"/>
        </w:rPr>
      </w:pPr>
      <w:r>
        <w:rPr>
          <w:rFonts w:hint="eastAsia"/>
          <w:highlight w:val="none"/>
        </w:rPr>
        <w:t>十、估价结果</w:t>
      </w:r>
      <w:bookmarkEnd w:id="91"/>
      <w:bookmarkEnd w:id="92"/>
      <w:bookmarkEnd w:id="93"/>
      <w:bookmarkEnd w:id="94"/>
      <w:bookmarkEnd w:id="95"/>
      <w:bookmarkEnd w:id="96"/>
    </w:p>
    <w:p>
      <w:pPr>
        <w:pStyle w:val="18"/>
        <w:spacing w:line="460" w:lineRule="exact"/>
        <w:ind w:firstLine="562"/>
        <w:rPr>
          <w:rFonts w:hAnsi="宋体"/>
          <w:bCs/>
          <w:highlight w:val="none"/>
        </w:rPr>
      </w:pPr>
      <w:bookmarkStart w:id="97" w:name="_Toc409964673"/>
      <w:bookmarkStart w:id="98" w:name="_Toc436762282"/>
      <w:bookmarkStart w:id="99" w:name="_Toc416685231"/>
      <w:bookmarkStart w:id="100" w:name="_Toc416685151"/>
      <w:bookmarkStart w:id="101" w:name="_Toc416685193"/>
      <w:bookmarkStart w:id="102" w:name="_Toc467764820"/>
      <w:r>
        <w:rPr>
          <w:rFonts w:hint="eastAsia"/>
          <w:highlight w:val="none"/>
        </w:rPr>
        <w:t>注册房地产估价师经过实地查勘与市场调查，遵照国家法律法规、政策及技术标准，遵循估价原则，按照估价程序，并在综合分析影响房地产价格因素的基础上，对估价对象于公开市场上有足够的买方和卖方、并且进入市场无障碍的条件下，选用比较法和收益法进行了分析，经过测算得出</w:t>
      </w:r>
      <w:r>
        <w:rPr>
          <w:rFonts w:hint="eastAsia" w:hAnsi="宋体"/>
          <w:bCs/>
          <w:highlight w:val="none"/>
        </w:rPr>
        <w:t>估价对象在价值时点的市场价值为人民币</w:t>
      </w:r>
      <w:r>
        <w:rPr>
          <w:rFonts w:hint="eastAsia" w:hAnsi="宋体"/>
          <w:bCs/>
          <w:highlight w:val="none"/>
        </w:rPr>
        <w:fldChar w:fldCharType="begin"/>
      </w:r>
      <w:r>
        <w:rPr>
          <w:rFonts w:hint="eastAsia" w:hAnsi="宋体"/>
          <w:bCs/>
          <w:highlight w:val="none"/>
        </w:rPr>
        <w:instrText xml:space="preserve"> =5992100 \* CHINESENUM2 </w:instrText>
      </w:r>
      <w:r>
        <w:rPr>
          <w:rFonts w:hint="eastAsia" w:hAnsi="宋体"/>
          <w:bCs/>
          <w:highlight w:val="none"/>
        </w:rPr>
        <w:fldChar w:fldCharType="separate"/>
      </w:r>
      <w:r>
        <w:rPr>
          <w:rFonts w:hint="eastAsia" w:hAnsi="宋体"/>
          <w:bCs/>
          <w:highlight w:val="none"/>
        </w:rPr>
        <w:t>伍佰玖拾玖万贰仟壹佰</w:t>
      </w:r>
      <w:r>
        <w:rPr>
          <w:rFonts w:hint="eastAsia" w:hAnsi="宋体"/>
          <w:bCs/>
          <w:highlight w:val="none"/>
        </w:rPr>
        <w:fldChar w:fldCharType="end"/>
      </w:r>
      <w:r>
        <w:rPr>
          <w:rFonts w:hint="eastAsia" w:hAnsi="宋体"/>
          <w:bCs/>
          <w:highlight w:val="none"/>
        </w:rPr>
        <w:t>元整（</w:t>
      </w:r>
      <w:r>
        <w:rPr>
          <w:rFonts w:hint="eastAsia" w:hAnsi="宋体"/>
          <w:bCs/>
          <w:highlight w:val="none"/>
          <w:lang w:eastAsia="zh-CN"/>
        </w:rPr>
        <w:t>¥</w:t>
      </w:r>
      <w:r>
        <w:rPr>
          <w:rFonts w:hint="eastAsia" w:hAnsi="宋体"/>
          <w:bCs/>
          <w:highlight w:val="none"/>
          <w:lang w:val="en-US" w:eastAsia="zh-CN"/>
        </w:rPr>
        <w:t>599.21</w:t>
      </w:r>
      <w:r>
        <w:rPr>
          <w:rFonts w:hint="eastAsia" w:hAnsi="宋体"/>
          <w:bCs/>
          <w:highlight w:val="none"/>
          <w:lang w:eastAsia="zh-CN"/>
        </w:rPr>
        <w:t>万元</w:t>
      </w:r>
      <w:r>
        <w:rPr>
          <w:rFonts w:hint="eastAsia" w:hAnsi="宋体"/>
          <w:bCs/>
          <w:highlight w:val="none"/>
        </w:rPr>
        <w:t>），详见评估结果汇总表：</w:t>
      </w:r>
    </w:p>
    <w:p>
      <w:pPr>
        <w:pStyle w:val="18"/>
        <w:spacing w:line="460" w:lineRule="exact"/>
        <w:ind w:firstLineChars="71"/>
        <w:jc w:val="center"/>
        <w:rPr>
          <w:rFonts w:hint="eastAsia"/>
          <w:b/>
          <w:color w:val="000000" w:themeColor="text1"/>
          <w:highlight w:val="none"/>
          <w14:textFill>
            <w14:solidFill>
              <w14:schemeClr w14:val="tx1"/>
            </w14:solidFill>
          </w14:textFill>
        </w:rPr>
      </w:pPr>
    </w:p>
    <w:p>
      <w:pPr>
        <w:pStyle w:val="18"/>
        <w:spacing w:line="460" w:lineRule="exact"/>
        <w:ind w:firstLineChars="71"/>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评估结果汇总表</w:t>
      </w:r>
    </w:p>
    <w:tbl>
      <w:tblPr>
        <w:tblStyle w:val="13"/>
        <w:tblW w:w="8336" w:type="dxa"/>
        <w:tblInd w:w="0" w:type="dxa"/>
        <w:tblLayout w:type="fixed"/>
        <w:tblCellMar>
          <w:top w:w="0" w:type="dxa"/>
          <w:left w:w="0" w:type="dxa"/>
          <w:bottom w:w="0" w:type="dxa"/>
          <w:right w:w="0" w:type="dxa"/>
        </w:tblCellMar>
      </w:tblPr>
      <w:tblGrid>
        <w:gridCol w:w="538"/>
        <w:gridCol w:w="1918"/>
        <w:gridCol w:w="987"/>
        <w:gridCol w:w="800"/>
        <w:gridCol w:w="765"/>
        <w:gridCol w:w="574"/>
        <w:gridCol w:w="907"/>
        <w:gridCol w:w="955"/>
        <w:gridCol w:w="892"/>
      </w:tblGrid>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估价对象</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权证号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房屋所有人</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所在层次/总层次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设计</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用途</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结构</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建筑面积（</w:t>
            </w:r>
            <w:r>
              <w:rPr>
                <w:rFonts w:hint="eastAsia" w:ascii="Batang" w:hAnsi="Batang" w:eastAsia="Batang" w:cs="Batang"/>
                <w:color w:val="000000" w:themeColor="text1"/>
                <w:spacing w:val="-20"/>
                <w:kern w:val="0"/>
                <w:szCs w:val="21"/>
                <w:highlight w:val="none"/>
                <w:lang w:bidi="ar"/>
                <w14:textFill>
                  <w14:solidFill>
                    <w14:schemeClr w14:val="tx1"/>
                  </w14:solidFill>
                </w14:textFill>
              </w:rPr>
              <w:t>㎡</w:t>
            </w:r>
            <w:r>
              <w:rPr>
                <w:rFonts w:hint="eastAsia" w:ascii="仿宋_GB2312" w:hAnsi="仿宋_GB2312" w:eastAsia="仿宋_GB2312" w:cs="仿宋_GB2312"/>
                <w:color w:val="000000" w:themeColor="text1"/>
                <w:spacing w:val="-20"/>
                <w:kern w:val="0"/>
                <w:szCs w:val="21"/>
                <w:highlight w:val="none"/>
                <w:lang w:bidi="ar"/>
                <w14:textFill>
                  <w14:solidFill>
                    <w14:schemeClr w14:val="tx1"/>
                  </w14:solidFill>
                </w14:textFill>
              </w:rPr>
              <w:t>）</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评估单价（元/</w:t>
            </w:r>
            <w:r>
              <w:rPr>
                <w:rFonts w:hint="eastAsia" w:ascii="Batang" w:hAnsi="Batang" w:eastAsia="Batang" w:cs="Batang"/>
                <w:color w:val="000000" w:themeColor="text1"/>
                <w:spacing w:val="-20"/>
                <w:kern w:val="0"/>
                <w:szCs w:val="21"/>
                <w:highlight w:val="none"/>
                <w:lang w:bidi="ar"/>
                <w14:textFill>
                  <w14:solidFill>
                    <w14:schemeClr w14:val="tx1"/>
                  </w14:solidFill>
                </w14:textFill>
              </w:rPr>
              <w:t>㎡</w:t>
            </w:r>
            <w:r>
              <w:rPr>
                <w:rFonts w:hint="eastAsia" w:ascii="仿宋_GB2312" w:hAnsi="仿宋_GB2312" w:eastAsia="仿宋_GB2312" w:cs="仿宋_GB2312"/>
                <w:color w:val="000000" w:themeColor="text1"/>
                <w:spacing w:val="-20"/>
                <w:kern w:val="0"/>
                <w:szCs w:val="21"/>
                <w:highlight w:val="none"/>
                <w:lang w:bidi="ar"/>
                <w14:textFill>
                  <w14:solidFill>
                    <w14:schemeClr w14:val="tx1"/>
                  </w14:solidFill>
                </w14:textFill>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评估总价（万元）</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212360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陈申庚</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szCs w:val="21"/>
                <w:highlight w:val="none"/>
                <w14:textFill>
                  <w14:solidFill>
                    <w14:schemeClr w14:val="tx1"/>
                  </w14:solidFill>
                </w14:textFill>
              </w:rPr>
              <w:t>商业</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100.68</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10520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105.92</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2</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210009</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刘利文</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val="en-US" w:eastAsia="zh-CN"/>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1</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szCs w:val="21"/>
                <w:highlight w:val="none"/>
                <w14:textFill>
                  <w14:solidFill>
                    <w14:schemeClr w14:val="tx1"/>
                  </w14:solidFill>
                </w14:textFill>
              </w:rPr>
            </w:pPr>
            <w:r>
              <w:rPr>
                <w:rFonts w:hint="eastAsia" w:ascii="仿宋_GB2312" w:hAnsi="仿宋" w:eastAsia="仿宋_GB2312" w:cs="仿宋"/>
                <w:color w:val="000000" w:themeColor="text1"/>
                <w:spacing w:val="-20"/>
                <w:szCs w:val="21"/>
                <w:highlight w:val="none"/>
                <w14:textFill>
                  <w14:solidFill>
                    <w14:schemeClr w14:val="tx1"/>
                  </w14:solidFill>
                </w14:textFill>
              </w:rPr>
              <w:t>商业</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100.68</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10520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105.92</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054906</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1/7</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商业</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42.15</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12530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52.81</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192691</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陈樟</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商业</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99.52</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11570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115.14</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湘潭市</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105730</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293"/>
              </w:tabs>
              <w:spacing w:line="280" w:lineRule="exact"/>
              <w:jc w:val="left"/>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ab/>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3-4/6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247.22</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4080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100.87</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2011001814</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陈铁山</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148.14</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4520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66.96</w:t>
            </w:r>
          </w:p>
        </w:tc>
      </w:tr>
      <w:tr>
        <w:tblPrEx>
          <w:tblCellMar>
            <w:top w:w="0" w:type="dxa"/>
            <w:left w:w="0" w:type="dxa"/>
            <w:bottom w:w="0" w:type="dxa"/>
            <w:right w:w="0" w:type="dxa"/>
          </w:tblCellMar>
        </w:tblPrEx>
        <w:trPr>
          <w:trHeight w:val="58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7</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潭房权证</w:t>
            </w: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雨湖区</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字第</w:t>
            </w: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2011001815</w:t>
            </w: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号</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陈樟</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szCs w:val="21"/>
                <w:highlight w:val="none"/>
                <w:lang w:eastAsia="zh-CN"/>
                <w14:textFill>
                  <w14:solidFill>
                    <w14:schemeClr w14:val="tx1"/>
                  </w14:solidFill>
                </w14:textFill>
              </w:rPr>
            </w:pPr>
            <w:r>
              <w:rPr>
                <w:rFonts w:hint="eastAsia" w:ascii="仿宋_GB2312" w:hAnsi="仿宋" w:eastAsia="仿宋_GB2312" w:cs="仿宋"/>
                <w:color w:val="000000" w:themeColor="text1"/>
                <w:spacing w:val="-20"/>
                <w:szCs w:val="21"/>
                <w:highlight w:val="none"/>
                <w:lang w:eastAsia="zh-CN"/>
                <w14:textFill>
                  <w14:solidFill>
                    <w14:schemeClr w14:val="tx1"/>
                  </w14:solidFill>
                </w14:textFill>
              </w:rPr>
              <w:t>住宅</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eastAsia="zh-CN" w:bidi="ar"/>
                <w14:textFill>
                  <w14:solidFill>
                    <w14:schemeClr w14:val="tx1"/>
                  </w14:solidFill>
                </w14:textFill>
              </w:rPr>
              <w:t>混合</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122.26</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4220</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51.59</w:t>
            </w:r>
          </w:p>
        </w:tc>
      </w:tr>
      <w:tr>
        <w:tblPrEx>
          <w:tblCellMar>
            <w:top w:w="0" w:type="dxa"/>
            <w:left w:w="0" w:type="dxa"/>
            <w:bottom w:w="0" w:type="dxa"/>
            <w:right w:w="0" w:type="dxa"/>
          </w:tblCellMar>
        </w:tblPrEx>
        <w:trPr>
          <w:trHeight w:val="319"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kern w:val="0"/>
                <w:szCs w:val="21"/>
                <w:highlight w:val="none"/>
                <w:lang w:bidi="ar"/>
              </w:rPr>
              <w:t>合计</w:t>
            </w:r>
          </w:p>
        </w:tc>
        <w:tc>
          <w:tcPr>
            <w:tcW w:w="1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spacing w:val="-20"/>
                <w:szCs w:val="21"/>
                <w:highlight w:val="none"/>
              </w:rPr>
            </w:pPr>
            <w:r>
              <w:rPr>
                <w:rFonts w:hint="eastAsia" w:ascii="仿宋_GB2312" w:hAnsi="仿宋" w:eastAsia="仿宋_GB2312" w:cs="仿宋"/>
                <w:color w:val="000000"/>
                <w:spacing w:val="-20"/>
                <w:szCs w:val="21"/>
                <w:highlight w:val="none"/>
              </w:rPr>
              <w:t>-</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spacing w:val="-20"/>
                <w:kern w:val="0"/>
                <w:szCs w:val="21"/>
                <w:highlight w:val="none"/>
                <w:lang w:val="en-US" w:eastAsia="zh-CN" w:bidi="ar"/>
              </w:rPr>
            </w:pPr>
            <w:r>
              <w:rPr>
                <w:rFonts w:hint="eastAsia" w:ascii="仿宋_GB2312" w:hAnsi="仿宋" w:eastAsia="仿宋_GB2312" w:cs="仿宋"/>
                <w:color w:val="000000"/>
                <w:spacing w:val="-20"/>
                <w:kern w:val="0"/>
                <w:szCs w:val="21"/>
                <w:highlight w:val="none"/>
                <w:lang w:val="en-US" w:eastAsia="zh-CN" w:bidi="ar"/>
              </w:rPr>
              <w:t>860.65</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80" w:lineRule="exact"/>
              <w:jc w:val="center"/>
              <w:rPr>
                <w:rFonts w:ascii="仿宋_GB2312" w:hAnsi="仿宋" w:eastAsia="仿宋_GB2312" w:cs="仿宋"/>
                <w:color w:val="000000" w:themeColor="text1"/>
                <w:spacing w:val="-20"/>
                <w:kern w:val="0"/>
                <w:szCs w:val="21"/>
                <w:highlight w:val="none"/>
                <w:lang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bidi="ar"/>
                <w14:textFill>
                  <w14:solidFill>
                    <w14:schemeClr w14:val="tx1"/>
                  </w14:solidFill>
                </w14:textFill>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仿宋_GB2312" w:hAnsi="仿宋" w:eastAsia="仿宋_GB2312" w:cs="仿宋"/>
                <w:color w:val="000000" w:themeColor="text1"/>
                <w:spacing w:val="-20"/>
                <w:kern w:val="0"/>
                <w:szCs w:val="21"/>
                <w:highlight w:val="none"/>
                <w:lang w:val="en-US" w:eastAsia="zh-CN" w:bidi="ar"/>
                <w14:textFill>
                  <w14:solidFill>
                    <w14:schemeClr w14:val="tx1"/>
                  </w14:solidFill>
                </w14:textFill>
              </w:rPr>
            </w:pPr>
            <w:r>
              <w:rPr>
                <w:rFonts w:hint="eastAsia" w:ascii="仿宋_GB2312" w:hAnsi="仿宋" w:eastAsia="仿宋_GB2312" w:cs="仿宋"/>
                <w:color w:val="000000" w:themeColor="text1"/>
                <w:spacing w:val="-20"/>
                <w:kern w:val="0"/>
                <w:szCs w:val="21"/>
                <w:highlight w:val="none"/>
                <w:lang w:val="en-US" w:eastAsia="zh-CN" w:bidi="ar"/>
                <w14:textFill>
                  <w14:solidFill>
                    <w14:schemeClr w14:val="tx1"/>
                  </w14:solidFill>
                </w14:textFill>
              </w:rPr>
              <w:t>599.21</w:t>
            </w:r>
          </w:p>
        </w:tc>
      </w:tr>
    </w:tbl>
    <w:p>
      <w:pPr>
        <w:pStyle w:val="18"/>
        <w:spacing w:line="480" w:lineRule="exact"/>
        <w:ind w:firstLine="562"/>
        <w:rPr>
          <w:highlight w:val="none"/>
        </w:rPr>
      </w:pPr>
      <w:r>
        <w:rPr>
          <w:rFonts w:hint="eastAsia"/>
          <w:b/>
          <w:bCs/>
          <w:highlight w:val="none"/>
        </w:rPr>
        <w:t>十一、</w:t>
      </w:r>
      <w:bookmarkEnd w:id="97"/>
      <w:bookmarkEnd w:id="98"/>
      <w:bookmarkEnd w:id="99"/>
      <w:bookmarkEnd w:id="100"/>
      <w:bookmarkEnd w:id="101"/>
      <w:bookmarkEnd w:id="102"/>
      <w:bookmarkStart w:id="103" w:name="_Toc467764824"/>
      <w:bookmarkStart w:id="104" w:name="_Toc416685195"/>
      <w:bookmarkStart w:id="105" w:name="_Toc416685233"/>
      <w:bookmarkStart w:id="106" w:name="_Toc416685153"/>
      <w:bookmarkStart w:id="107" w:name="_Toc436762284"/>
      <w:r>
        <w:rPr>
          <w:rFonts w:hint="eastAsia"/>
          <w:b/>
          <w:bCs/>
          <w:highlight w:val="none"/>
        </w:rPr>
        <w:t>注册房地产估价师</w:t>
      </w:r>
      <w:bookmarkEnd w:id="103"/>
    </w:p>
    <w:p>
      <w:pPr>
        <w:pStyle w:val="18"/>
        <w:spacing w:line="460" w:lineRule="exact"/>
        <w:ind w:firstLine="560"/>
        <w:rPr>
          <w:highlight w:val="none"/>
        </w:rPr>
      </w:pPr>
      <w:r>
        <w:rPr>
          <w:rFonts w:hint="eastAsia"/>
          <w:highlight w:val="none"/>
        </w:rPr>
        <w:t>参加本次评估的注册房地产估价师：</w:t>
      </w:r>
      <w:bookmarkEnd w:id="104"/>
      <w:bookmarkEnd w:id="105"/>
      <w:bookmarkEnd w:id="106"/>
      <w:bookmarkEnd w:id="107"/>
      <w:bookmarkStart w:id="108" w:name="_Toc416685234"/>
      <w:bookmarkStart w:id="109" w:name="_Toc416685196"/>
      <w:bookmarkStart w:id="110" w:name="_Toc416685154"/>
      <w:bookmarkStart w:id="111" w:name="_Toc409964675"/>
      <w:bookmarkStart w:id="112" w:name="_Toc436762285"/>
      <w:bookmarkStart w:id="113" w:name="_Toc467764825"/>
    </w:p>
    <w:tbl>
      <w:tblPr>
        <w:tblStyle w:val="13"/>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177"/>
        <w:gridCol w:w="2098"/>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45" w:type="dxa"/>
            <w:vAlign w:val="center"/>
          </w:tcPr>
          <w:p>
            <w:pPr>
              <w:pStyle w:val="18"/>
              <w:widowControl w:val="0"/>
              <w:spacing w:line="460" w:lineRule="exact"/>
              <w:ind w:firstLine="0" w:firstLineChars="0"/>
              <w:jc w:val="center"/>
              <w:rPr>
                <w:szCs w:val="28"/>
                <w:highlight w:val="none"/>
              </w:rPr>
            </w:pPr>
            <w:r>
              <w:rPr>
                <w:rFonts w:hint="eastAsia"/>
                <w:szCs w:val="28"/>
                <w:highlight w:val="none"/>
              </w:rPr>
              <w:t>姓  名</w:t>
            </w:r>
          </w:p>
        </w:tc>
        <w:tc>
          <w:tcPr>
            <w:tcW w:w="2177" w:type="dxa"/>
            <w:vAlign w:val="center"/>
          </w:tcPr>
          <w:p>
            <w:pPr>
              <w:pStyle w:val="18"/>
              <w:widowControl w:val="0"/>
              <w:spacing w:line="460" w:lineRule="exact"/>
              <w:ind w:firstLine="0" w:firstLineChars="0"/>
              <w:jc w:val="center"/>
              <w:rPr>
                <w:szCs w:val="28"/>
                <w:highlight w:val="none"/>
              </w:rPr>
            </w:pPr>
            <w:r>
              <w:rPr>
                <w:rFonts w:hint="eastAsia"/>
                <w:szCs w:val="28"/>
                <w:highlight w:val="none"/>
              </w:rPr>
              <w:t>注册号</w:t>
            </w:r>
          </w:p>
        </w:tc>
        <w:tc>
          <w:tcPr>
            <w:tcW w:w="2098" w:type="dxa"/>
            <w:vAlign w:val="center"/>
          </w:tcPr>
          <w:p>
            <w:pPr>
              <w:pStyle w:val="18"/>
              <w:widowControl w:val="0"/>
              <w:spacing w:line="460" w:lineRule="exact"/>
              <w:ind w:firstLine="0" w:firstLineChars="0"/>
              <w:jc w:val="center"/>
              <w:rPr>
                <w:szCs w:val="28"/>
                <w:highlight w:val="none"/>
              </w:rPr>
            </w:pPr>
            <w:r>
              <w:rPr>
                <w:rFonts w:hint="eastAsia"/>
                <w:szCs w:val="28"/>
                <w:highlight w:val="none"/>
              </w:rPr>
              <w:t>签 名</w:t>
            </w:r>
          </w:p>
        </w:tc>
        <w:tc>
          <w:tcPr>
            <w:tcW w:w="2719" w:type="dxa"/>
            <w:vAlign w:val="center"/>
          </w:tcPr>
          <w:p>
            <w:pPr>
              <w:pStyle w:val="18"/>
              <w:widowControl w:val="0"/>
              <w:spacing w:line="460" w:lineRule="exact"/>
              <w:ind w:firstLine="0" w:firstLineChars="0"/>
              <w:jc w:val="center"/>
              <w:rPr>
                <w:szCs w:val="28"/>
                <w:highlight w:val="none"/>
              </w:rPr>
            </w:pPr>
            <w:r>
              <w:rPr>
                <w:rFonts w:hint="eastAsia"/>
                <w:szCs w:val="28"/>
                <w:highlight w:val="none"/>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445" w:type="dxa"/>
            <w:vAlign w:val="center"/>
          </w:tcPr>
          <w:p>
            <w:pPr>
              <w:pStyle w:val="18"/>
              <w:widowControl w:val="0"/>
              <w:spacing w:line="460" w:lineRule="exact"/>
              <w:ind w:firstLine="0" w:firstLineChars="0"/>
              <w:jc w:val="center"/>
              <w:rPr>
                <w:szCs w:val="28"/>
                <w:highlight w:val="none"/>
              </w:rPr>
            </w:pPr>
            <w:r>
              <w:rPr>
                <w:rFonts w:hint="eastAsia"/>
                <w:szCs w:val="28"/>
                <w:highlight w:val="none"/>
              </w:rPr>
              <w:t>曹春梅</w:t>
            </w:r>
          </w:p>
        </w:tc>
        <w:tc>
          <w:tcPr>
            <w:tcW w:w="2177" w:type="dxa"/>
            <w:vAlign w:val="center"/>
          </w:tcPr>
          <w:p>
            <w:pPr>
              <w:pStyle w:val="18"/>
              <w:widowControl w:val="0"/>
              <w:spacing w:line="460" w:lineRule="exact"/>
              <w:ind w:firstLine="0" w:firstLineChars="0"/>
              <w:jc w:val="center"/>
              <w:rPr>
                <w:szCs w:val="28"/>
                <w:highlight w:val="none"/>
              </w:rPr>
            </w:pPr>
            <w:r>
              <w:rPr>
                <w:rFonts w:hint="eastAsia"/>
                <w:szCs w:val="28"/>
                <w:highlight w:val="none"/>
              </w:rPr>
              <w:t>4320190063</w:t>
            </w:r>
          </w:p>
        </w:tc>
        <w:tc>
          <w:tcPr>
            <w:tcW w:w="2098" w:type="dxa"/>
            <w:vAlign w:val="center"/>
          </w:tcPr>
          <w:p>
            <w:pPr>
              <w:pStyle w:val="18"/>
              <w:widowControl w:val="0"/>
              <w:spacing w:line="600" w:lineRule="exact"/>
              <w:ind w:firstLine="0" w:firstLineChars="0"/>
              <w:rPr>
                <w:sz w:val="24"/>
                <w:szCs w:val="24"/>
                <w:highlight w:val="none"/>
              </w:rPr>
            </w:pPr>
          </w:p>
          <w:p>
            <w:pPr>
              <w:pStyle w:val="18"/>
              <w:widowControl w:val="0"/>
              <w:spacing w:line="600" w:lineRule="exact"/>
              <w:ind w:firstLine="0" w:firstLineChars="0"/>
              <w:rPr>
                <w:sz w:val="24"/>
                <w:szCs w:val="24"/>
                <w:highlight w:val="none"/>
              </w:rPr>
            </w:pPr>
          </w:p>
        </w:tc>
        <w:tc>
          <w:tcPr>
            <w:tcW w:w="2719" w:type="dxa"/>
            <w:vAlign w:val="center"/>
          </w:tcPr>
          <w:p>
            <w:pPr>
              <w:pStyle w:val="18"/>
              <w:widowControl w:val="0"/>
              <w:spacing w:line="460" w:lineRule="exact"/>
              <w:ind w:firstLine="0" w:firstLineChars="0"/>
              <w:jc w:val="center"/>
              <w:rPr>
                <w:rFonts w:hint="eastAsia" w:eastAsia="仿宋_GB2312"/>
                <w:szCs w:val="28"/>
                <w:highlight w:val="none"/>
                <w:lang w:eastAsia="zh-CN"/>
              </w:rPr>
            </w:pPr>
            <w:r>
              <w:rPr>
                <w:rFonts w:hint="eastAsia"/>
                <w:szCs w:val="28"/>
                <w:highlight w:val="none"/>
                <w:lang w:eastAsia="zh-CN"/>
              </w:rPr>
              <w:t>2020年10月26日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445" w:type="dxa"/>
            <w:vAlign w:val="center"/>
          </w:tcPr>
          <w:p>
            <w:pPr>
              <w:pStyle w:val="18"/>
              <w:widowControl w:val="0"/>
              <w:spacing w:line="460" w:lineRule="exact"/>
              <w:ind w:firstLine="0" w:firstLineChars="0"/>
              <w:jc w:val="center"/>
              <w:rPr>
                <w:szCs w:val="28"/>
                <w:highlight w:val="none"/>
              </w:rPr>
            </w:pPr>
            <w:r>
              <w:rPr>
                <w:rFonts w:hint="eastAsia"/>
                <w:szCs w:val="28"/>
                <w:highlight w:val="none"/>
              </w:rPr>
              <w:t>黄海燕</w:t>
            </w:r>
          </w:p>
        </w:tc>
        <w:tc>
          <w:tcPr>
            <w:tcW w:w="2177" w:type="dxa"/>
            <w:vAlign w:val="center"/>
          </w:tcPr>
          <w:p>
            <w:pPr>
              <w:pStyle w:val="18"/>
              <w:widowControl w:val="0"/>
              <w:spacing w:line="460" w:lineRule="exact"/>
              <w:ind w:firstLine="0" w:firstLineChars="0"/>
              <w:jc w:val="center"/>
              <w:rPr>
                <w:szCs w:val="28"/>
                <w:highlight w:val="none"/>
              </w:rPr>
            </w:pPr>
            <w:r>
              <w:rPr>
                <w:rFonts w:hint="eastAsia"/>
                <w:szCs w:val="28"/>
                <w:highlight w:val="none"/>
              </w:rPr>
              <w:t>4320120032</w:t>
            </w:r>
          </w:p>
        </w:tc>
        <w:tc>
          <w:tcPr>
            <w:tcW w:w="2098" w:type="dxa"/>
            <w:vAlign w:val="center"/>
          </w:tcPr>
          <w:p>
            <w:pPr>
              <w:autoSpaceDE w:val="0"/>
              <w:autoSpaceDN w:val="0"/>
              <w:adjustRightInd w:val="0"/>
              <w:spacing w:line="600" w:lineRule="exact"/>
              <w:rPr>
                <w:rFonts w:ascii="仿宋_GB2312" w:eastAsia="仿宋_GB2312"/>
                <w:sz w:val="24"/>
                <w:szCs w:val="24"/>
                <w:highlight w:val="none"/>
              </w:rPr>
            </w:pPr>
          </w:p>
          <w:p>
            <w:pPr>
              <w:autoSpaceDE w:val="0"/>
              <w:autoSpaceDN w:val="0"/>
              <w:adjustRightInd w:val="0"/>
              <w:spacing w:line="600" w:lineRule="exact"/>
              <w:rPr>
                <w:rFonts w:ascii="仿宋_GB2312" w:eastAsia="仿宋_GB2312"/>
                <w:sz w:val="24"/>
                <w:szCs w:val="24"/>
                <w:highlight w:val="none"/>
              </w:rPr>
            </w:pPr>
          </w:p>
        </w:tc>
        <w:tc>
          <w:tcPr>
            <w:tcW w:w="2719" w:type="dxa"/>
            <w:vAlign w:val="center"/>
          </w:tcPr>
          <w:p>
            <w:pPr>
              <w:pStyle w:val="18"/>
              <w:widowControl w:val="0"/>
              <w:spacing w:line="460" w:lineRule="exact"/>
              <w:ind w:firstLine="0" w:firstLineChars="0"/>
              <w:jc w:val="center"/>
              <w:rPr>
                <w:rFonts w:hint="eastAsia" w:eastAsia="仿宋_GB2312"/>
                <w:szCs w:val="28"/>
                <w:highlight w:val="none"/>
                <w:lang w:eastAsia="zh-CN"/>
              </w:rPr>
            </w:pPr>
            <w:r>
              <w:rPr>
                <w:rFonts w:hint="eastAsia"/>
                <w:szCs w:val="28"/>
                <w:highlight w:val="none"/>
                <w:lang w:eastAsia="zh-CN"/>
              </w:rPr>
              <w:t>2020年10月26日</w:t>
            </w:r>
          </w:p>
        </w:tc>
      </w:tr>
    </w:tbl>
    <w:p>
      <w:pPr>
        <w:pStyle w:val="19"/>
        <w:spacing w:line="460" w:lineRule="exact"/>
        <w:ind w:firstLine="562"/>
        <w:jc w:val="both"/>
        <w:rPr>
          <w:highlight w:val="none"/>
        </w:rPr>
      </w:pPr>
      <w:r>
        <w:rPr>
          <w:rFonts w:hint="eastAsia"/>
          <w:highlight w:val="none"/>
        </w:rPr>
        <w:t>十二、</w:t>
      </w:r>
      <w:bookmarkEnd w:id="108"/>
      <w:bookmarkEnd w:id="109"/>
      <w:bookmarkEnd w:id="110"/>
      <w:bookmarkEnd w:id="111"/>
      <w:bookmarkEnd w:id="112"/>
      <w:r>
        <w:rPr>
          <w:rFonts w:hint="eastAsia"/>
          <w:highlight w:val="none"/>
        </w:rPr>
        <w:t>实地查勘期</w:t>
      </w:r>
      <w:bookmarkEnd w:id="113"/>
    </w:p>
    <w:p>
      <w:pPr>
        <w:pStyle w:val="18"/>
        <w:spacing w:line="460" w:lineRule="exact"/>
        <w:ind w:firstLine="560"/>
        <w:rPr>
          <w:highlight w:val="none"/>
        </w:rPr>
      </w:pPr>
      <w:r>
        <w:rPr>
          <w:rFonts w:hint="eastAsia" w:hAnsi="宋体"/>
          <w:szCs w:val="28"/>
          <w:highlight w:val="none"/>
        </w:rPr>
        <w:t>注册房地产</w:t>
      </w:r>
      <w:r>
        <w:rPr>
          <w:rFonts w:hAnsi="宋体"/>
          <w:szCs w:val="28"/>
          <w:highlight w:val="none"/>
        </w:rPr>
        <w:t>估价师于</w:t>
      </w:r>
      <w:r>
        <w:rPr>
          <w:rFonts w:hint="eastAsia"/>
          <w:szCs w:val="28"/>
          <w:highlight w:val="none"/>
        </w:rPr>
        <w:t>2020年</w:t>
      </w:r>
      <w:r>
        <w:rPr>
          <w:rFonts w:hint="eastAsia"/>
          <w:szCs w:val="28"/>
          <w:highlight w:val="none"/>
          <w:lang w:val="en-US" w:eastAsia="zh-CN"/>
        </w:rPr>
        <w:t>10</w:t>
      </w:r>
      <w:r>
        <w:rPr>
          <w:rFonts w:hint="eastAsia"/>
          <w:szCs w:val="28"/>
          <w:highlight w:val="none"/>
        </w:rPr>
        <w:t>月</w:t>
      </w:r>
      <w:r>
        <w:rPr>
          <w:rFonts w:hint="eastAsia"/>
          <w:szCs w:val="28"/>
          <w:highlight w:val="none"/>
          <w:lang w:val="en-US" w:eastAsia="zh-CN"/>
        </w:rPr>
        <w:t>22</w:t>
      </w:r>
      <w:r>
        <w:rPr>
          <w:rFonts w:hint="eastAsia"/>
          <w:szCs w:val="28"/>
          <w:highlight w:val="none"/>
        </w:rPr>
        <w:t>日</w:t>
      </w:r>
      <w:r>
        <w:rPr>
          <w:rFonts w:hAnsi="宋体"/>
          <w:szCs w:val="28"/>
          <w:highlight w:val="none"/>
        </w:rPr>
        <w:t>进入估价对象</w:t>
      </w:r>
      <w:r>
        <w:rPr>
          <w:rFonts w:hint="eastAsia" w:hAnsi="宋体"/>
          <w:szCs w:val="28"/>
          <w:highlight w:val="none"/>
        </w:rPr>
        <w:t>现场</w:t>
      </w:r>
      <w:r>
        <w:rPr>
          <w:rFonts w:hAnsi="宋体"/>
          <w:szCs w:val="28"/>
          <w:highlight w:val="none"/>
        </w:rPr>
        <w:t>进行实地查勘，并</w:t>
      </w:r>
      <w:r>
        <w:rPr>
          <w:rFonts w:hint="eastAsia" w:hAnsi="宋体"/>
          <w:szCs w:val="28"/>
          <w:highlight w:val="none"/>
        </w:rPr>
        <w:t>于</w:t>
      </w:r>
      <w:r>
        <w:rPr>
          <w:rFonts w:hAnsi="宋体"/>
          <w:szCs w:val="28"/>
          <w:highlight w:val="none"/>
        </w:rPr>
        <w:t>当天完成实地查</w:t>
      </w:r>
      <w:r>
        <w:rPr>
          <w:rFonts w:hint="eastAsia"/>
          <w:highlight w:val="none"/>
        </w:rPr>
        <w:t>勘。</w:t>
      </w:r>
    </w:p>
    <w:p>
      <w:pPr>
        <w:pStyle w:val="19"/>
        <w:spacing w:line="460" w:lineRule="exact"/>
        <w:ind w:firstLine="562"/>
        <w:jc w:val="both"/>
        <w:rPr>
          <w:highlight w:val="none"/>
        </w:rPr>
      </w:pPr>
      <w:bookmarkStart w:id="114" w:name="_Toc416685197"/>
      <w:bookmarkStart w:id="115" w:name="_Toc416685235"/>
      <w:bookmarkStart w:id="116" w:name="_Toc409964676"/>
      <w:bookmarkStart w:id="117" w:name="_Toc436762286"/>
      <w:bookmarkStart w:id="118" w:name="_Toc416685155"/>
      <w:bookmarkStart w:id="119" w:name="_Toc467764826"/>
      <w:r>
        <w:rPr>
          <w:rFonts w:hint="eastAsia"/>
          <w:highlight w:val="none"/>
        </w:rPr>
        <w:t>十三、</w:t>
      </w:r>
      <w:bookmarkEnd w:id="114"/>
      <w:bookmarkEnd w:id="115"/>
      <w:bookmarkEnd w:id="116"/>
      <w:bookmarkEnd w:id="117"/>
      <w:bookmarkEnd w:id="118"/>
      <w:r>
        <w:rPr>
          <w:rFonts w:hint="eastAsia"/>
          <w:highlight w:val="none"/>
        </w:rPr>
        <w:t>估价作业日期</w:t>
      </w:r>
      <w:bookmarkEnd w:id="119"/>
    </w:p>
    <w:p>
      <w:pPr>
        <w:spacing w:line="460" w:lineRule="exact"/>
        <w:ind w:firstLine="560" w:firstLineChars="200"/>
        <w:rPr>
          <w:rFonts w:ascii="仿宋_GB2312" w:eastAsia="仿宋_GB2312"/>
          <w:b/>
          <w:bCs/>
          <w:sz w:val="28"/>
          <w:szCs w:val="28"/>
          <w:highlight w:val="none"/>
        </w:rPr>
      </w:pPr>
      <w:r>
        <w:rPr>
          <w:rFonts w:hint="eastAsia" w:ascii="仿宋_GB2312" w:eastAsia="仿宋_GB2312"/>
          <w:sz w:val="28"/>
          <w:szCs w:val="28"/>
          <w:highlight w:val="none"/>
        </w:rPr>
        <w:t>2020年</w:t>
      </w:r>
      <w:r>
        <w:rPr>
          <w:rFonts w:hint="eastAsia" w:ascii="仿宋_GB2312" w:eastAsia="仿宋_GB2312"/>
          <w:sz w:val="28"/>
          <w:szCs w:val="28"/>
          <w:highlight w:val="none"/>
          <w:lang w:val="en-US" w:eastAsia="zh-CN"/>
        </w:rPr>
        <w:t>10</w:t>
      </w:r>
      <w:r>
        <w:rPr>
          <w:rFonts w:hint="eastAsia" w:ascii="仿宋_GB2312" w:eastAsia="仿宋_GB2312"/>
          <w:sz w:val="28"/>
          <w:szCs w:val="28"/>
          <w:highlight w:val="none"/>
        </w:rPr>
        <w:t>月</w:t>
      </w:r>
      <w:r>
        <w:rPr>
          <w:rFonts w:hint="eastAsia" w:ascii="仿宋_GB2312" w:eastAsia="仿宋_GB2312"/>
          <w:sz w:val="28"/>
          <w:szCs w:val="28"/>
          <w:highlight w:val="none"/>
          <w:lang w:val="en-US" w:eastAsia="zh-CN"/>
        </w:rPr>
        <w:t>21</w:t>
      </w:r>
      <w:r>
        <w:rPr>
          <w:rFonts w:hint="eastAsia" w:ascii="仿宋_GB2312" w:eastAsia="仿宋_GB2312"/>
          <w:sz w:val="28"/>
          <w:szCs w:val="28"/>
          <w:highlight w:val="none"/>
        </w:rPr>
        <w:t>日</w:t>
      </w:r>
      <w:r>
        <w:rPr>
          <w:rFonts w:hint="eastAsia" w:ascii="仿宋_GB2312" w:hAnsi="宋体" w:eastAsia="仿宋_GB2312"/>
          <w:sz w:val="28"/>
          <w:szCs w:val="28"/>
          <w:highlight w:val="none"/>
        </w:rPr>
        <w:t>至</w:t>
      </w:r>
      <w:r>
        <w:rPr>
          <w:rFonts w:hint="eastAsia" w:ascii="仿宋_GB2312" w:eastAsia="仿宋_GB2312"/>
          <w:sz w:val="28"/>
          <w:szCs w:val="28"/>
          <w:highlight w:val="none"/>
          <w:lang w:eastAsia="zh-CN"/>
        </w:rPr>
        <w:t>2020年10月26日</w:t>
      </w:r>
      <w:r>
        <w:rPr>
          <w:rFonts w:hint="eastAsia" w:ascii="仿宋_GB2312" w:eastAsia="仿宋_GB2312"/>
          <w:sz w:val="28"/>
          <w:szCs w:val="28"/>
          <w:highlight w:val="none"/>
        </w:rPr>
        <w:t>。</w:t>
      </w:r>
    </w:p>
    <w:p>
      <w:pPr>
        <w:widowControl/>
        <w:jc w:val="left"/>
        <w:rPr>
          <w:rFonts w:ascii="宋体"/>
          <w:b/>
          <w:sz w:val="36"/>
          <w:highlight w:val="none"/>
        </w:rPr>
      </w:pPr>
      <w:bookmarkStart w:id="120" w:name="_Toc416685206"/>
      <w:bookmarkStart w:id="121" w:name="_Toc416685244"/>
      <w:bookmarkStart w:id="122" w:name="_Toc467764827"/>
      <w:bookmarkStart w:id="123" w:name="_Toc416685164"/>
      <w:bookmarkStart w:id="124" w:name="_Toc409964684"/>
      <w:bookmarkStart w:id="125" w:name="_Toc436762287"/>
      <w:r>
        <w:rPr>
          <w:highlight w:val="none"/>
        </w:rPr>
        <w:br w:type="page"/>
      </w:r>
    </w:p>
    <w:p>
      <w:pPr>
        <w:pStyle w:val="17"/>
        <w:spacing w:line="420" w:lineRule="exact"/>
        <w:rPr>
          <w:highlight w:val="none"/>
        </w:rPr>
      </w:pPr>
    </w:p>
    <w:p>
      <w:pPr>
        <w:pStyle w:val="17"/>
        <w:spacing w:line="420" w:lineRule="exact"/>
        <w:rPr>
          <w:highlight w:val="none"/>
        </w:rPr>
      </w:pPr>
      <w:r>
        <w:rPr>
          <w:rFonts w:hint="eastAsia"/>
          <w:highlight w:val="none"/>
        </w:rPr>
        <w:t>第五部分  附    件</w:t>
      </w:r>
      <w:bookmarkEnd w:id="120"/>
      <w:bookmarkEnd w:id="121"/>
      <w:bookmarkEnd w:id="122"/>
      <w:bookmarkEnd w:id="123"/>
      <w:bookmarkEnd w:id="124"/>
      <w:bookmarkEnd w:id="125"/>
    </w:p>
    <w:p>
      <w:pPr>
        <w:pStyle w:val="17"/>
        <w:spacing w:line="460" w:lineRule="exact"/>
        <w:rPr>
          <w:highlight w:val="none"/>
        </w:rPr>
      </w:pPr>
    </w:p>
    <w:p>
      <w:pPr>
        <w:pStyle w:val="19"/>
        <w:spacing w:line="480" w:lineRule="auto"/>
        <w:ind w:firstLine="560"/>
        <w:rPr>
          <w:b w:val="0"/>
          <w:highlight w:val="none"/>
        </w:rPr>
      </w:pPr>
      <w:bookmarkStart w:id="126" w:name="_Toc467764828"/>
      <w:bookmarkStart w:id="127" w:name="_Toc416685207"/>
      <w:bookmarkStart w:id="128" w:name="_Toc416685165"/>
      <w:bookmarkStart w:id="129" w:name="_Toc436762288"/>
      <w:bookmarkStart w:id="130" w:name="_Toc416685245"/>
      <w:r>
        <w:rPr>
          <w:rFonts w:hint="eastAsia"/>
          <w:b w:val="0"/>
          <w:highlight w:val="none"/>
        </w:rPr>
        <w:t>一、估价对象</w:t>
      </w:r>
      <w:r>
        <w:rPr>
          <w:rFonts w:hint="eastAsia"/>
          <w:b w:val="0"/>
          <w:bCs/>
          <w:highlight w:val="none"/>
        </w:rPr>
        <w:t>现状照片</w:t>
      </w:r>
      <w:bookmarkEnd w:id="126"/>
    </w:p>
    <w:bookmarkEnd w:id="127"/>
    <w:bookmarkEnd w:id="128"/>
    <w:bookmarkEnd w:id="129"/>
    <w:bookmarkEnd w:id="130"/>
    <w:p>
      <w:pPr>
        <w:pStyle w:val="19"/>
        <w:spacing w:line="480" w:lineRule="auto"/>
        <w:ind w:firstLine="560"/>
        <w:rPr>
          <w:b w:val="0"/>
          <w:highlight w:val="none"/>
        </w:rPr>
      </w:pPr>
      <w:bookmarkStart w:id="131" w:name="_Toc436762289"/>
      <w:bookmarkStart w:id="132" w:name="_Toc416685208"/>
      <w:bookmarkStart w:id="133" w:name="_Toc416685246"/>
      <w:bookmarkStart w:id="134" w:name="_Toc416685166"/>
      <w:bookmarkStart w:id="135" w:name="_Toc467764829"/>
      <w:r>
        <w:rPr>
          <w:rFonts w:hint="eastAsia"/>
          <w:b w:val="0"/>
          <w:highlight w:val="none"/>
        </w:rPr>
        <w:t>二、</w:t>
      </w:r>
      <w:bookmarkEnd w:id="131"/>
      <w:bookmarkEnd w:id="132"/>
      <w:bookmarkEnd w:id="133"/>
      <w:bookmarkEnd w:id="134"/>
      <w:r>
        <w:rPr>
          <w:rFonts w:hint="eastAsia"/>
          <w:b w:val="0"/>
          <w:highlight w:val="none"/>
        </w:rPr>
        <w:t>估价对象位置图</w:t>
      </w:r>
      <w:bookmarkEnd w:id="135"/>
    </w:p>
    <w:p>
      <w:pPr>
        <w:pStyle w:val="19"/>
        <w:spacing w:line="480" w:lineRule="auto"/>
        <w:ind w:firstLine="560"/>
        <w:rPr>
          <w:b w:val="0"/>
          <w:highlight w:val="none"/>
        </w:rPr>
      </w:pPr>
      <w:bookmarkStart w:id="136" w:name="_Toc416685167"/>
      <w:bookmarkStart w:id="137" w:name="_Toc416685209"/>
      <w:bookmarkStart w:id="138" w:name="_Toc436762290"/>
      <w:bookmarkStart w:id="139" w:name="_Toc416685247"/>
      <w:bookmarkStart w:id="140" w:name="_Toc467764830"/>
      <w:r>
        <w:rPr>
          <w:rFonts w:hint="eastAsia"/>
          <w:b w:val="0"/>
          <w:highlight w:val="none"/>
        </w:rPr>
        <w:t>三、</w:t>
      </w:r>
      <w:bookmarkEnd w:id="136"/>
      <w:bookmarkEnd w:id="137"/>
      <w:bookmarkEnd w:id="138"/>
      <w:bookmarkEnd w:id="139"/>
      <w:r>
        <w:rPr>
          <w:rFonts w:hint="eastAsia"/>
          <w:b w:val="0"/>
          <w:highlight w:val="none"/>
        </w:rPr>
        <w:t>《</w:t>
      </w:r>
      <w:r>
        <w:rPr>
          <w:rFonts w:hint="eastAsia"/>
          <w:b w:val="0"/>
          <w:highlight w:val="none"/>
          <w:lang w:eastAsia="zh-CN"/>
        </w:rPr>
        <w:t>湘潭县人民法院委托书</w:t>
      </w:r>
      <w:r>
        <w:rPr>
          <w:rFonts w:hint="eastAsia"/>
          <w:b w:val="0"/>
          <w:highlight w:val="none"/>
        </w:rPr>
        <w:t>》复印件</w:t>
      </w:r>
      <w:bookmarkEnd w:id="140"/>
    </w:p>
    <w:p>
      <w:pPr>
        <w:pStyle w:val="19"/>
        <w:spacing w:line="480" w:lineRule="auto"/>
        <w:ind w:left="1119" w:leftChars="266" w:hanging="560" w:hangingChars="200"/>
        <w:rPr>
          <w:rFonts w:hint="eastAsia"/>
          <w:b w:val="0"/>
          <w:szCs w:val="28"/>
          <w:highlight w:val="none"/>
          <w:lang w:eastAsia="zh-CN"/>
        </w:rPr>
      </w:pPr>
      <w:bookmarkStart w:id="141" w:name="_Toc416685168"/>
      <w:bookmarkStart w:id="142" w:name="_Toc416685248"/>
      <w:bookmarkStart w:id="143" w:name="_Toc436762291"/>
      <w:bookmarkStart w:id="144" w:name="_Toc416685210"/>
      <w:bookmarkStart w:id="145" w:name="_Toc467764831"/>
      <w:r>
        <w:rPr>
          <w:rFonts w:hint="eastAsia"/>
          <w:b w:val="0"/>
          <w:highlight w:val="none"/>
        </w:rPr>
        <w:t>四、</w:t>
      </w:r>
      <w:bookmarkEnd w:id="141"/>
      <w:bookmarkEnd w:id="142"/>
      <w:bookmarkEnd w:id="143"/>
      <w:bookmarkEnd w:id="144"/>
      <w:r>
        <w:rPr>
          <w:rFonts w:hint="eastAsia"/>
          <w:b w:val="0"/>
          <w:highlight w:val="none"/>
        </w:rPr>
        <w:t>估价对象</w:t>
      </w:r>
      <w:r>
        <w:rPr>
          <w:rFonts w:hint="eastAsia"/>
          <w:b w:val="0"/>
          <w:szCs w:val="28"/>
          <w:highlight w:val="none"/>
        </w:rPr>
        <w:t>《房屋所有权证》</w:t>
      </w:r>
      <w:r>
        <w:rPr>
          <w:rFonts w:hint="eastAsia"/>
          <w:b w:val="0"/>
          <w:szCs w:val="28"/>
          <w:highlight w:val="none"/>
          <w:lang w:eastAsia="zh-CN"/>
        </w:rPr>
        <w:t>、</w:t>
      </w:r>
      <w:r>
        <w:rPr>
          <w:rFonts w:hint="eastAsia"/>
          <w:b w:val="0"/>
          <w:szCs w:val="28"/>
          <w:highlight w:val="none"/>
        </w:rPr>
        <w:t>《</w:t>
      </w:r>
      <w:r>
        <w:rPr>
          <w:rFonts w:hint="eastAsia"/>
          <w:b w:val="0"/>
          <w:szCs w:val="28"/>
          <w:highlight w:val="none"/>
          <w:lang w:eastAsia="zh-CN"/>
        </w:rPr>
        <w:t>国有土地使用证</w:t>
      </w:r>
      <w:r>
        <w:rPr>
          <w:rFonts w:hint="eastAsia"/>
          <w:b w:val="0"/>
          <w:szCs w:val="28"/>
          <w:highlight w:val="none"/>
        </w:rPr>
        <w:t>》</w:t>
      </w:r>
      <w:r>
        <w:rPr>
          <w:rFonts w:hint="eastAsia"/>
          <w:b w:val="0"/>
          <w:szCs w:val="28"/>
          <w:highlight w:val="none"/>
          <w:lang w:eastAsia="zh-CN"/>
        </w:rPr>
        <w:t>复印件</w:t>
      </w:r>
      <w:bookmarkEnd w:id="145"/>
    </w:p>
    <w:p>
      <w:pPr>
        <w:pStyle w:val="19"/>
        <w:spacing w:line="480" w:lineRule="auto"/>
        <w:ind w:firstLine="560"/>
        <w:rPr>
          <w:b w:val="0"/>
          <w:highlight w:val="none"/>
        </w:rPr>
      </w:pPr>
      <w:bookmarkStart w:id="146" w:name="_Toc416685249"/>
      <w:bookmarkStart w:id="147" w:name="_Toc416685211"/>
      <w:bookmarkStart w:id="148" w:name="_Toc436762292"/>
      <w:bookmarkStart w:id="149" w:name="_Toc416685169"/>
      <w:bookmarkStart w:id="150" w:name="_Toc467764832"/>
      <w:r>
        <w:rPr>
          <w:rFonts w:hint="eastAsia"/>
          <w:b w:val="0"/>
          <w:highlight w:val="none"/>
        </w:rPr>
        <w:t>五、</w:t>
      </w:r>
      <w:bookmarkEnd w:id="146"/>
      <w:bookmarkEnd w:id="147"/>
      <w:bookmarkEnd w:id="148"/>
      <w:bookmarkEnd w:id="149"/>
      <w:bookmarkStart w:id="151" w:name="_Toc436762293"/>
      <w:bookmarkStart w:id="152" w:name="_Toc416685212"/>
      <w:bookmarkStart w:id="153" w:name="_Toc416685250"/>
      <w:bookmarkStart w:id="154" w:name="_Toc416685170"/>
      <w:r>
        <w:rPr>
          <w:rFonts w:hint="eastAsia"/>
          <w:b w:val="0"/>
          <w:highlight w:val="none"/>
        </w:rPr>
        <w:t>房地产估价机构《营业执照》复印件</w:t>
      </w:r>
      <w:bookmarkEnd w:id="150"/>
    </w:p>
    <w:p>
      <w:pPr>
        <w:pStyle w:val="19"/>
        <w:spacing w:line="480" w:lineRule="auto"/>
        <w:ind w:firstLine="560"/>
        <w:rPr>
          <w:b w:val="0"/>
          <w:highlight w:val="none"/>
        </w:rPr>
      </w:pPr>
      <w:bookmarkStart w:id="155" w:name="_Toc467764833"/>
      <w:r>
        <w:rPr>
          <w:rFonts w:hint="eastAsia"/>
          <w:b w:val="0"/>
          <w:highlight w:val="none"/>
        </w:rPr>
        <w:t>六、</w:t>
      </w:r>
      <w:bookmarkEnd w:id="151"/>
      <w:bookmarkEnd w:id="152"/>
      <w:bookmarkEnd w:id="153"/>
      <w:bookmarkEnd w:id="154"/>
      <w:r>
        <w:rPr>
          <w:rFonts w:hint="eastAsia"/>
          <w:b w:val="0"/>
          <w:highlight w:val="none"/>
        </w:rPr>
        <w:t>《房地产估价机构备案证书》复印件</w:t>
      </w:r>
      <w:bookmarkEnd w:id="155"/>
    </w:p>
    <w:p>
      <w:pPr>
        <w:pStyle w:val="19"/>
        <w:spacing w:line="480" w:lineRule="auto"/>
        <w:ind w:firstLine="560"/>
        <w:rPr>
          <w:b w:val="0"/>
          <w:highlight w:val="none"/>
        </w:rPr>
      </w:pPr>
      <w:bookmarkStart w:id="156" w:name="_Toc467764834"/>
      <w:r>
        <w:rPr>
          <w:rFonts w:hint="eastAsia"/>
          <w:b w:val="0"/>
          <w:highlight w:val="none"/>
        </w:rPr>
        <w:t>七、《注册房地产估价师资格证书》复印件</w:t>
      </w:r>
      <w:bookmarkEnd w:id="156"/>
    </w:p>
    <w:p>
      <w:pPr>
        <w:pStyle w:val="19"/>
        <w:spacing w:line="480" w:lineRule="auto"/>
        <w:ind w:firstLine="562"/>
        <w:rPr>
          <w:highlight w:val="none"/>
        </w:rPr>
        <w:sectPr>
          <w:headerReference r:id="rId3" w:type="default"/>
          <w:footerReference r:id="rId4" w:type="default"/>
          <w:pgSz w:w="11906" w:h="16838"/>
          <w:pgMar w:top="1429" w:right="1644" w:bottom="1429" w:left="1644" w:header="520" w:footer="822" w:gutter="0"/>
          <w:pgNumType w:start="1"/>
          <w:cols w:space="720" w:num="1"/>
          <w:docGrid w:type="lines" w:linePitch="369" w:charSpace="0"/>
        </w:sectPr>
      </w:pPr>
    </w:p>
    <w:p>
      <w:pPr>
        <w:spacing w:line="440" w:lineRule="exact"/>
        <w:rPr>
          <w:rFonts w:ascii="仿宋_GB2312" w:hAnsi="宋体" w:eastAsia="仿宋_GB2312" w:cs="宋体"/>
          <w:sz w:val="24"/>
          <w:szCs w:val="24"/>
          <w:highlight w:val="none"/>
        </w:rPr>
      </w:pPr>
      <w:r>
        <w:rPr>
          <w:rFonts w:hint="eastAsia" w:ascii="仿宋_GB2312" w:hAnsi="宋体" w:eastAsia="仿宋_GB2312"/>
          <w:sz w:val="28"/>
          <w:highlight w:val="none"/>
        </w:rPr>
        <w:t>估价对象1、2现状照片：</w:t>
      </w:r>
      <w:r>
        <w:rPr>
          <w:rFonts w:hint="eastAsia" w:ascii="仿宋_GB2312" w:hAnsi="宋体" w:eastAsia="仿宋_GB2312" w:cs="宋体"/>
          <w:sz w:val="24"/>
          <w:szCs w:val="24"/>
          <w:highlight w:val="none"/>
        </w:rPr>
        <w:t xml:space="preserve">  </w:t>
      </w:r>
    </w:p>
    <w:tbl>
      <w:tblPr>
        <w:tblStyle w:val="1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1" name="图片 51" descr="68号1号门面-2号门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8号1号门面-2号门面_2"/>
                          <pic:cNvPicPr>
                            <a:picLocks noChangeAspect="1"/>
                          </pic:cNvPicPr>
                        </pic:nvPicPr>
                        <pic:blipFill>
                          <a:blip r:embed="rId8"/>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2" name="图片 52" descr="68号1号门面-2号门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8号1号门面-2号门面_1"/>
                          <pic:cNvPicPr>
                            <a:picLocks noChangeAspect="1"/>
                          </pic:cNvPicPr>
                        </pic:nvPicPr>
                        <pic:blipFill>
                          <a:blip r:embed="rId9"/>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3" name="图片 53" descr="68号1号门面-2号门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8号1号门面-2号门面_4"/>
                          <pic:cNvPicPr>
                            <a:picLocks noChangeAspect="1"/>
                          </pic:cNvPicPr>
                        </pic:nvPicPr>
                        <pic:blipFill>
                          <a:blip r:embed="rId10"/>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4" name="图片 54" descr="68号1号门面-2号门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8号1号门面-2号门面_16"/>
                          <pic:cNvPicPr>
                            <a:picLocks noChangeAspect="1"/>
                          </pic:cNvPicPr>
                        </pic:nvPicPr>
                        <pic:blipFill>
                          <a:blip r:embed="rId11"/>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5" name="图片 55" descr="68号1号门面-2号门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8号1号门面-2号门面_10"/>
                          <pic:cNvPicPr>
                            <a:picLocks noChangeAspect="1"/>
                          </pic:cNvPicPr>
                        </pic:nvPicPr>
                        <pic:blipFill>
                          <a:blip r:embed="rId12"/>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6" name="图片 56" descr="68号1号门面-2号门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8号1号门面-2号门面_5"/>
                          <pic:cNvPicPr>
                            <a:picLocks noChangeAspect="1"/>
                          </pic:cNvPicPr>
                        </pic:nvPicPr>
                        <pic:blipFill>
                          <a:blip r:embed="rId13"/>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7" name="图片 57" descr="68号1号门面-2号门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8号1号门面-2号门面_7"/>
                          <pic:cNvPicPr>
                            <a:picLocks noChangeAspect="1"/>
                          </pic:cNvPicPr>
                        </pic:nvPicPr>
                        <pic:blipFill>
                          <a:blip r:embed="rId14"/>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b/>
                <w:sz w:val="28"/>
                <w:szCs w:val="28"/>
                <w:highlight w:val="none"/>
                <w:lang w:eastAsia="zh-CN"/>
              </w:rPr>
            </w:pPr>
            <w:r>
              <w:rPr>
                <w:rFonts w:hint="eastAsia" w:ascii="仿宋_GB2312" w:eastAsia="仿宋_GB2312"/>
                <w:b/>
                <w:sz w:val="28"/>
                <w:szCs w:val="28"/>
                <w:highlight w:val="none"/>
                <w:lang w:eastAsia="zh-CN"/>
              </w:rPr>
              <w:drawing>
                <wp:inline distT="0" distB="0" distL="114300" distR="114300">
                  <wp:extent cx="2691130" cy="2014220"/>
                  <wp:effectExtent l="0" t="0" r="13970" b="5080"/>
                  <wp:docPr id="58" name="图片 58" descr="68号1号门面-2号门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8号1号门面-2号门面_8"/>
                          <pic:cNvPicPr>
                            <a:picLocks noChangeAspect="1"/>
                          </pic:cNvPicPr>
                        </pic:nvPicPr>
                        <pic:blipFill>
                          <a:blip r:embed="rId15"/>
                          <a:stretch>
                            <a:fillRect/>
                          </a:stretch>
                        </pic:blipFill>
                        <pic:spPr>
                          <a:xfrm>
                            <a:off x="0" y="0"/>
                            <a:ext cx="2691130" cy="2014220"/>
                          </a:xfrm>
                          <a:prstGeom prst="rect">
                            <a:avLst/>
                          </a:prstGeom>
                        </pic:spPr>
                      </pic:pic>
                    </a:graphicData>
                  </a:graphic>
                </wp:inline>
              </w:drawing>
            </w:r>
          </w:p>
        </w:tc>
      </w:tr>
    </w:tbl>
    <w:p>
      <w:pPr>
        <w:spacing w:line="440" w:lineRule="exact"/>
        <w:rPr>
          <w:rFonts w:ascii="仿宋_GB2312" w:hAnsi="宋体" w:eastAsia="仿宋_GB2312" w:cs="宋体"/>
          <w:sz w:val="24"/>
          <w:szCs w:val="24"/>
          <w:highlight w:val="none"/>
        </w:rPr>
      </w:pPr>
      <w:r>
        <w:rPr>
          <w:rFonts w:hint="eastAsia" w:ascii="仿宋_GB2312" w:hAnsi="宋体" w:eastAsia="仿宋_GB2312"/>
          <w:sz w:val="28"/>
          <w:highlight w:val="none"/>
        </w:rPr>
        <w:t>估价对象</w:t>
      </w:r>
      <w:r>
        <w:rPr>
          <w:rFonts w:hint="eastAsia" w:ascii="仿宋_GB2312" w:hAnsi="宋体" w:eastAsia="仿宋_GB2312"/>
          <w:sz w:val="28"/>
          <w:highlight w:val="none"/>
          <w:lang w:val="en-US" w:eastAsia="zh-CN"/>
        </w:rPr>
        <w:t>3</w:t>
      </w:r>
      <w:r>
        <w:rPr>
          <w:rFonts w:hint="eastAsia" w:ascii="仿宋_GB2312" w:hAnsi="宋体" w:eastAsia="仿宋_GB2312"/>
          <w:sz w:val="28"/>
          <w:highlight w:val="none"/>
        </w:rPr>
        <w:t>现状照片：</w:t>
      </w:r>
      <w:r>
        <w:rPr>
          <w:rFonts w:hint="eastAsia" w:ascii="仿宋_GB2312" w:hAnsi="宋体" w:eastAsia="仿宋_GB2312" w:cs="宋体"/>
          <w:sz w:val="24"/>
          <w:szCs w:val="24"/>
          <w:highlight w:val="none"/>
        </w:rPr>
        <w:t xml:space="preserve">  </w:t>
      </w:r>
    </w:p>
    <w:tbl>
      <w:tblPr>
        <w:tblStyle w:val="1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59" name="图片 59" descr="5号门面陈铁山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号门面陈铁山_9"/>
                          <pic:cNvPicPr>
                            <a:picLocks noChangeAspect="1"/>
                          </pic:cNvPicPr>
                        </pic:nvPicPr>
                        <pic:blipFill>
                          <a:blip r:embed="rId16"/>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0" name="图片 60" descr="5号门面陈铁山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号门面陈铁山_7"/>
                          <pic:cNvPicPr>
                            <a:picLocks noChangeAspect="1"/>
                          </pic:cNvPicPr>
                        </pic:nvPicPr>
                        <pic:blipFill>
                          <a:blip r:embed="rId17"/>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4" name="图片 64" descr="5号门面陈铁山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号门面陈铁山_6"/>
                          <pic:cNvPicPr>
                            <a:picLocks noChangeAspect="1"/>
                          </pic:cNvPicPr>
                        </pic:nvPicPr>
                        <pic:blipFill>
                          <a:blip r:embed="rId18"/>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5" name="图片 65" descr="5号门面陈铁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5号门面陈铁山_1"/>
                          <pic:cNvPicPr>
                            <a:picLocks noChangeAspect="1"/>
                          </pic:cNvPicPr>
                        </pic:nvPicPr>
                        <pic:blipFill>
                          <a:blip r:embed="rId19"/>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6" name="图片 66" descr="5号门面陈铁山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号门面陈铁山_2"/>
                          <pic:cNvPicPr>
                            <a:picLocks noChangeAspect="1"/>
                          </pic:cNvPicPr>
                        </pic:nvPicPr>
                        <pic:blipFill>
                          <a:blip r:embed="rId20"/>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7" name="图片 67" descr="5号门面陈铁山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5号门面陈铁山_3"/>
                          <pic:cNvPicPr>
                            <a:picLocks noChangeAspect="1"/>
                          </pic:cNvPicPr>
                        </pic:nvPicPr>
                        <pic:blipFill>
                          <a:blip r:embed="rId21"/>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68" name="图片 68" descr="5号门面陈铁山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号门面陈铁山_4"/>
                          <pic:cNvPicPr>
                            <a:picLocks noChangeAspect="1"/>
                          </pic:cNvPicPr>
                        </pic:nvPicPr>
                        <pic:blipFill>
                          <a:blip r:embed="rId22"/>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b/>
                <w:sz w:val="28"/>
                <w:szCs w:val="28"/>
                <w:highlight w:val="none"/>
                <w:lang w:eastAsia="zh-CN"/>
              </w:rPr>
            </w:pPr>
            <w:r>
              <w:rPr>
                <w:rFonts w:hint="eastAsia" w:ascii="仿宋_GB2312" w:eastAsia="仿宋_GB2312"/>
                <w:b/>
                <w:sz w:val="28"/>
                <w:szCs w:val="28"/>
                <w:highlight w:val="none"/>
                <w:lang w:eastAsia="zh-CN"/>
              </w:rPr>
              <w:drawing>
                <wp:inline distT="0" distB="0" distL="114300" distR="114300">
                  <wp:extent cx="2691130" cy="2014220"/>
                  <wp:effectExtent l="0" t="0" r="13970" b="5080"/>
                  <wp:docPr id="69" name="图片 69" descr="5号门面陈铁山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号门面陈铁山_5"/>
                          <pic:cNvPicPr>
                            <a:picLocks noChangeAspect="1"/>
                          </pic:cNvPicPr>
                        </pic:nvPicPr>
                        <pic:blipFill>
                          <a:blip r:embed="rId23"/>
                          <a:stretch>
                            <a:fillRect/>
                          </a:stretch>
                        </pic:blipFill>
                        <pic:spPr>
                          <a:xfrm>
                            <a:off x="0" y="0"/>
                            <a:ext cx="2691130" cy="2014220"/>
                          </a:xfrm>
                          <a:prstGeom prst="rect">
                            <a:avLst/>
                          </a:prstGeom>
                        </pic:spPr>
                      </pic:pic>
                    </a:graphicData>
                  </a:graphic>
                </wp:inline>
              </w:drawing>
            </w:r>
          </w:p>
        </w:tc>
      </w:tr>
    </w:tbl>
    <w:p>
      <w:pPr>
        <w:spacing w:line="440" w:lineRule="exact"/>
        <w:rPr>
          <w:rFonts w:ascii="仿宋_GB2312" w:hAnsi="宋体" w:eastAsia="仿宋_GB2312" w:cs="宋体"/>
          <w:sz w:val="24"/>
          <w:szCs w:val="24"/>
          <w:highlight w:val="none"/>
        </w:rPr>
      </w:pPr>
      <w:r>
        <w:rPr>
          <w:rFonts w:hint="eastAsia" w:ascii="仿宋_GB2312" w:hAnsi="宋体" w:eastAsia="仿宋_GB2312"/>
          <w:sz w:val="28"/>
          <w:highlight w:val="none"/>
        </w:rPr>
        <w:t>估价对象</w:t>
      </w:r>
      <w:r>
        <w:rPr>
          <w:rFonts w:hint="eastAsia" w:ascii="仿宋_GB2312" w:hAnsi="宋体" w:eastAsia="仿宋_GB2312"/>
          <w:sz w:val="28"/>
          <w:highlight w:val="none"/>
          <w:lang w:val="en-US" w:eastAsia="zh-CN"/>
        </w:rPr>
        <w:t>4</w:t>
      </w:r>
      <w:r>
        <w:rPr>
          <w:rFonts w:hint="eastAsia" w:ascii="仿宋_GB2312" w:hAnsi="宋体" w:eastAsia="仿宋_GB2312"/>
          <w:sz w:val="28"/>
          <w:highlight w:val="none"/>
        </w:rPr>
        <w:t>现状照片：</w:t>
      </w:r>
      <w:r>
        <w:rPr>
          <w:rFonts w:hint="eastAsia" w:ascii="仿宋_GB2312" w:hAnsi="宋体" w:eastAsia="仿宋_GB2312" w:cs="宋体"/>
          <w:sz w:val="24"/>
          <w:szCs w:val="24"/>
          <w:highlight w:val="none"/>
        </w:rPr>
        <w:t xml:space="preserve">  </w:t>
      </w:r>
    </w:p>
    <w:tbl>
      <w:tblPr>
        <w:tblStyle w:val="1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0" name="图片 70" descr="34号23号门面陈樟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4号23号门面陈樟_10"/>
                          <pic:cNvPicPr>
                            <a:picLocks noChangeAspect="1"/>
                          </pic:cNvPicPr>
                        </pic:nvPicPr>
                        <pic:blipFill>
                          <a:blip r:embed="rId24"/>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1" name="图片 71" descr="34号23号门面陈樟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4号23号门面陈樟_11"/>
                          <pic:cNvPicPr>
                            <a:picLocks noChangeAspect="1"/>
                          </pic:cNvPicPr>
                        </pic:nvPicPr>
                        <pic:blipFill>
                          <a:blip r:embed="rId25"/>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2" name="图片 72" descr="34号23号门面陈樟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34号23号门面陈樟_1"/>
                          <pic:cNvPicPr>
                            <a:picLocks noChangeAspect="1"/>
                          </pic:cNvPicPr>
                        </pic:nvPicPr>
                        <pic:blipFill>
                          <a:blip r:embed="rId26"/>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3" name="图片 73" descr="34号23号门面陈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34号23号门面陈樟_2"/>
                          <pic:cNvPicPr>
                            <a:picLocks noChangeAspect="1"/>
                          </pic:cNvPicPr>
                        </pic:nvPicPr>
                        <pic:blipFill>
                          <a:blip r:embed="rId27"/>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4" name="图片 74" descr="34号23号门面陈樟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4号23号门面陈樟_3"/>
                          <pic:cNvPicPr>
                            <a:picLocks noChangeAspect="1"/>
                          </pic:cNvPicPr>
                        </pic:nvPicPr>
                        <pic:blipFill>
                          <a:blip r:embed="rId28"/>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5" name="图片 75" descr="34号23号门面陈樟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4号23号门面陈樟_4"/>
                          <pic:cNvPicPr>
                            <a:picLocks noChangeAspect="1"/>
                          </pic:cNvPicPr>
                        </pic:nvPicPr>
                        <pic:blipFill>
                          <a:blip r:embed="rId29"/>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6" name="图片 76" descr="34号23号门面陈樟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4号23号门面陈樟_5"/>
                          <pic:cNvPicPr>
                            <a:picLocks noChangeAspect="1"/>
                          </pic:cNvPicPr>
                        </pic:nvPicPr>
                        <pic:blipFill>
                          <a:blip r:embed="rId30"/>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b/>
                <w:sz w:val="28"/>
                <w:szCs w:val="28"/>
                <w:highlight w:val="none"/>
                <w:lang w:eastAsia="zh-CN"/>
              </w:rPr>
            </w:pPr>
            <w:r>
              <w:rPr>
                <w:rFonts w:hint="eastAsia" w:ascii="仿宋_GB2312" w:eastAsia="仿宋_GB2312"/>
                <w:b/>
                <w:sz w:val="28"/>
                <w:szCs w:val="28"/>
                <w:highlight w:val="none"/>
                <w:lang w:eastAsia="zh-CN"/>
              </w:rPr>
              <w:drawing>
                <wp:inline distT="0" distB="0" distL="114300" distR="114300">
                  <wp:extent cx="2691130" cy="2014220"/>
                  <wp:effectExtent l="0" t="0" r="13970" b="5080"/>
                  <wp:docPr id="77" name="图片 77" descr="34号23号门面陈樟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4号23号门面陈樟_7"/>
                          <pic:cNvPicPr>
                            <a:picLocks noChangeAspect="1"/>
                          </pic:cNvPicPr>
                        </pic:nvPicPr>
                        <pic:blipFill>
                          <a:blip r:embed="rId31"/>
                          <a:stretch>
                            <a:fillRect/>
                          </a:stretch>
                        </pic:blipFill>
                        <pic:spPr>
                          <a:xfrm>
                            <a:off x="0" y="0"/>
                            <a:ext cx="2691130" cy="2014220"/>
                          </a:xfrm>
                          <a:prstGeom prst="rect">
                            <a:avLst/>
                          </a:prstGeom>
                        </pic:spPr>
                      </pic:pic>
                    </a:graphicData>
                  </a:graphic>
                </wp:inline>
              </w:drawing>
            </w:r>
          </w:p>
        </w:tc>
      </w:tr>
    </w:tbl>
    <w:p>
      <w:pPr>
        <w:spacing w:line="440" w:lineRule="exact"/>
        <w:rPr>
          <w:rFonts w:ascii="仿宋_GB2312" w:hAnsi="宋体" w:eastAsia="仿宋_GB2312" w:cs="宋体"/>
          <w:sz w:val="24"/>
          <w:szCs w:val="24"/>
          <w:highlight w:val="none"/>
        </w:rPr>
      </w:pPr>
      <w:r>
        <w:rPr>
          <w:rFonts w:hint="eastAsia" w:ascii="仿宋_GB2312" w:hAnsi="宋体" w:eastAsia="仿宋_GB2312"/>
          <w:sz w:val="28"/>
          <w:highlight w:val="none"/>
        </w:rPr>
        <w:t>估价对象</w:t>
      </w:r>
      <w:r>
        <w:rPr>
          <w:rFonts w:hint="eastAsia" w:ascii="仿宋_GB2312" w:hAnsi="宋体" w:eastAsia="仿宋_GB2312"/>
          <w:sz w:val="28"/>
          <w:highlight w:val="none"/>
          <w:lang w:val="en-US" w:eastAsia="zh-CN"/>
        </w:rPr>
        <w:t>5</w:t>
      </w:r>
      <w:r>
        <w:rPr>
          <w:rFonts w:hint="eastAsia" w:ascii="仿宋_GB2312" w:hAnsi="宋体" w:eastAsia="仿宋_GB2312"/>
          <w:sz w:val="28"/>
          <w:highlight w:val="none"/>
        </w:rPr>
        <w:t>现状照片：</w:t>
      </w:r>
      <w:r>
        <w:rPr>
          <w:rFonts w:hint="eastAsia" w:ascii="仿宋_GB2312" w:hAnsi="宋体" w:eastAsia="仿宋_GB2312" w:cs="宋体"/>
          <w:sz w:val="24"/>
          <w:szCs w:val="24"/>
          <w:highlight w:val="none"/>
        </w:rPr>
        <w:t xml:space="preserve">  </w:t>
      </w:r>
    </w:p>
    <w:tbl>
      <w:tblPr>
        <w:tblStyle w:val="1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8" name="图片 78" descr="10栋3单元3号陈铁山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0栋3单元3号陈铁山_21"/>
                          <pic:cNvPicPr>
                            <a:picLocks noChangeAspect="1"/>
                          </pic:cNvPicPr>
                        </pic:nvPicPr>
                        <pic:blipFill>
                          <a:blip r:embed="rId32"/>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79" name="图片 79" descr="10栋3单元3号陈铁山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0栋3单元3号陈铁山_20"/>
                          <pic:cNvPicPr>
                            <a:picLocks noChangeAspect="1"/>
                          </pic:cNvPicPr>
                        </pic:nvPicPr>
                        <pic:blipFill>
                          <a:blip r:embed="rId33"/>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0" name="图片 80" descr="10栋3单元3号陈铁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0栋3单元3号陈铁山_1"/>
                          <pic:cNvPicPr>
                            <a:picLocks noChangeAspect="1"/>
                          </pic:cNvPicPr>
                        </pic:nvPicPr>
                        <pic:blipFill>
                          <a:blip r:embed="rId34"/>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1" name="图片 81" descr="10栋3单元3号陈铁山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0栋3单元3号陈铁山_2"/>
                          <pic:cNvPicPr>
                            <a:picLocks noChangeAspect="1"/>
                          </pic:cNvPicPr>
                        </pic:nvPicPr>
                        <pic:blipFill>
                          <a:blip r:embed="rId35"/>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2" name="图片 82" descr="10栋3单元3号陈铁山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0栋3单元3号陈铁山_9"/>
                          <pic:cNvPicPr>
                            <a:picLocks noChangeAspect="1"/>
                          </pic:cNvPicPr>
                        </pic:nvPicPr>
                        <pic:blipFill>
                          <a:blip r:embed="rId36"/>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3" name="图片 83" descr="10栋3单元3号陈铁山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0栋3单元3号陈铁山_10"/>
                          <pic:cNvPicPr>
                            <a:picLocks noChangeAspect="1"/>
                          </pic:cNvPicPr>
                        </pic:nvPicPr>
                        <pic:blipFill>
                          <a:blip r:embed="rId37"/>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4" name="图片 84" descr="10栋3单元3号陈铁山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0栋3单元3号陈铁山_11"/>
                          <pic:cNvPicPr>
                            <a:picLocks noChangeAspect="1"/>
                          </pic:cNvPicPr>
                        </pic:nvPicPr>
                        <pic:blipFill>
                          <a:blip r:embed="rId38"/>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b/>
                <w:sz w:val="28"/>
                <w:szCs w:val="28"/>
                <w:highlight w:val="none"/>
                <w:lang w:eastAsia="zh-CN"/>
              </w:rPr>
            </w:pPr>
            <w:r>
              <w:rPr>
                <w:rFonts w:hint="eastAsia" w:ascii="仿宋_GB2312" w:eastAsia="仿宋_GB2312"/>
                <w:b/>
                <w:sz w:val="28"/>
                <w:szCs w:val="28"/>
                <w:highlight w:val="none"/>
                <w:lang w:eastAsia="zh-CN"/>
              </w:rPr>
              <w:drawing>
                <wp:inline distT="0" distB="0" distL="114300" distR="114300">
                  <wp:extent cx="2691130" cy="2014220"/>
                  <wp:effectExtent l="0" t="0" r="13970" b="5080"/>
                  <wp:docPr id="85" name="图片 85" descr="10栋3单元3号陈铁山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0栋3单元3号陈铁山_5"/>
                          <pic:cNvPicPr>
                            <a:picLocks noChangeAspect="1"/>
                          </pic:cNvPicPr>
                        </pic:nvPicPr>
                        <pic:blipFill>
                          <a:blip r:embed="rId39"/>
                          <a:stretch>
                            <a:fillRect/>
                          </a:stretch>
                        </pic:blipFill>
                        <pic:spPr>
                          <a:xfrm>
                            <a:off x="0" y="0"/>
                            <a:ext cx="2691130" cy="2014220"/>
                          </a:xfrm>
                          <a:prstGeom prst="rect">
                            <a:avLst/>
                          </a:prstGeom>
                        </pic:spPr>
                      </pic:pic>
                    </a:graphicData>
                  </a:graphic>
                </wp:inline>
              </w:drawing>
            </w:r>
          </w:p>
        </w:tc>
      </w:tr>
    </w:tbl>
    <w:p>
      <w:pPr>
        <w:spacing w:line="440" w:lineRule="exact"/>
        <w:rPr>
          <w:rFonts w:ascii="仿宋_GB2312" w:hAnsi="宋体" w:eastAsia="仿宋_GB2312" w:cs="宋体"/>
          <w:sz w:val="24"/>
          <w:szCs w:val="24"/>
          <w:highlight w:val="none"/>
        </w:rPr>
      </w:pPr>
      <w:r>
        <w:rPr>
          <w:rFonts w:hint="eastAsia" w:ascii="仿宋_GB2312" w:hAnsi="宋体" w:eastAsia="仿宋_GB2312"/>
          <w:sz w:val="28"/>
          <w:highlight w:val="none"/>
        </w:rPr>
        <w:t>估价对象</w:t>
      </w:r>
      <w:r>
        <w:rPr>
          <w:rFonts w:hint="eastAsia" w:ascii="仿宋_GB2312" w:hAnsi="宋体" w:eastAsia="仿宋_GB2312"/>
          <w:sz w:val="28"/>
          <w:highlight w:val="none"/>
          <w:lang w:val="en-US" w:eastAsia="zh-CN"/>
        </w:rPr>
        <w:t>6、7</w:t>
      </w:r>
      <w:r>
        <w:rPr>
          <w:rFonts w:hint="eastAsia" w:ascii="仿宋_GB2312" w:hAnsi="宋体" w:eastAsia="仿宋_GB2312"/>
          <w:sz w:val="28"/>
          <w:highlight w:val="none"/>
        </w:rPr>
        <w:t>现状照片：</w:t>
      </w:r>
      <w:r>
        <w:rPr>
          <w:rFonts w:hint="eastAsia" w:ascii="仿宋_GB2312" w:hAnsi="宋体" w:eastAsia="仿宋_GB2312" w:cs="宋体"/>
          <w:sz w:val="24"/>
          <w:szCs w:val="24"/>
          <w:highlight w:val="none"/>
        </w:rPr>
        <w:t xml:space="preserve">  </w:t>
      </w:r>
    </w:p>
    <w:tbl>
      <w:tblPr>
        <w:tblStyle w:val="1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6" name="图片 86" descr="梦真园302陈樟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梦真园302陈樟_14"/>
                          <pic:cNvPicPr>
                            <a:picLocks noChangeAspect="1"/>
                          </pic:cNvPicPr>
                        </pic:nvPicPr>
                        <pic:blipFill>
                          <a:blip r:embed="rId40"/>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7" name="图片 87" descr="梦真园302陈樟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梦真园302陈樟_13"/>
                          <pic:cNvPicPr>
                            <a:picLocks noChangeAspect="1"/>
                          </pic:cNvPicPr>
                        </pic:nvPicPr>
                        <pic:blipFill>
                          <a:blip r:embed="rId41"/>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8" name="图片 88" descr="梦真园301陈铁山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梦真园301陈铁山_2"/>
                          <pic:cNvPicPr>
                            <a:picLocks noChangeAspect="1"/>
                          </pic:cNvPicPr>
                        </pic:nvPicPr>
                        <pic:blipFill>
                          <a:blip r:embed="rId42"/>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89" name="图片 89" descr="梦真园301陈铁山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梦真园301陈铁山_3"/>
                          <pic:cNvPicPr>
                            <a:picLocks noChangeAspect="1"/>
                          </pic:cNvPicPr>
                        </pic:nvPicPr>
                        <pic:blipFill>
                          <a:blip r:embed="rId43"/>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90" name="图片 90" descr="梦真园301陈铁山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梦真园301陈铁山_12"/>
                          <pic:cNvPicPr>
                            <a:picLocks noChangeAspect="1"/>
                          </pic:cNvPicPr>
                        </pic:nvPicPr>
                        <pic:blipFill>
                          <a:blip r:embed="rId44"/>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91" name="图片 91" descr="梦真园302陈樟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梦真园302陈樟_1"/>
                          <pic:cNvPicPr>
                            <a:picLocks noChangeAspect="1"/>
                          </pic:cNvPicPr>
                        </pic:nvPicPr>
                        <pic:blipFill>
                          <a:blip r:embed="rId45"/>
                          <a:stretch>
                            <a:fillRect/>
                          </a:stretch>
                        </pic:blipFill>
                        <pic:spPr>
                          <a:xfrm>
                            <a:off x="0" y="0"/>
                            <a:ext cx="2691130" cy="201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473" w:type="dxa"/>
            <w:vAlign w:val="center"/>
          </w:tcPr>
          <w:p>
            <w:pPr>
              <w:jc w:val="center"/>
              <w:rPr>
                <w:rFonts w:hint="eastAsia" w:ascii="仿宋_GB2312" w:eastAsia="仿宋_GB2312"/>
                <w:sz w:val="28"/>
                <w:szCs w:val="28"/>
                <w:highlight w:val="none"/>
                <w:lang w:eastAsia="zh-CN"/>
              </w:rPr>
            </w:pPr>
            <w:r>
              <w:rPr>
                <w:rFonts w:hint="eastAsia" w:ascii="仿宋_GB2312" w:eastAsia="仿宋_GB2312"/>
                <w:sz w:val="28"/>
                <w:szCs w:val="28"/>
                <w:highlight w:val="none"/>
                <w:lang w:eastAsia="zh-CN"/>
              </w:rPr>
              <w:drawing>
                <wp:inline distT="0" distB="0" distL="114300" distR="114300">
                  <wp:extent cx="2691130" cy="2014220"/>
                  <wp:effectExtent l="0" t="0" r="13970" b="5080"/>
                  <wp:docPr id="92" name="图片 92" descr="梦真园302陈樟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梦真园302陈樟_3"/>
                          <pic:cNvPicPr>
                            <a:picLocks noChangeAspect="1"/>
                          </pic:cNvPicPr>
                        </pic:nvPicPr>
                        <pic:blipFill>
                          <a:blip r:embed="rId46"/>
                          <a:stretch>
                            <a:fillRect/>
                          </a:stretch>
                        </pic:blipFill>
                        <pic:spPr>
                          <a:xfrm>
                            <a:off x="0" y="0"/>
                            <a:ext cx="2691130" cy="2014220"/>
                          </a:xfrm>
                          <a:prstGeom prst="rect">
                            <a:avLst/>
                          </a:prstGeom>
                        </pic:spPr>
                      </pic:pic>
                    </a:graphicData>
                  </a:graphic>
                </wp:inline>
              </w:drawing>
            </w:r>
          </w:p>
        </w:tc>
        <w:tc>
          <w:tcPr>
            <w:tcW w:w="4473" w:type="dxa"/>
            <w:vAlign w:val="center"/>
          </w:tcPr>
          <w:p>
            <w:pPr>
              <w:jc w:val="center"/>
              <w:rPr>
                <w:rFonts w:hint="eastAsia" w:ascii="仿宋_GB2312" w:eastAsia="仿宋_GB2312"/>
                <w:b/>
                <w:sz w:val="28"/>
                <w:szCs w:val="28"/>
                <w:highlight w:val="none"/>
                <w:lang w:eastAsia="zh-CN"/>
              </w:rPr>
            </w:pPr>
            <w:r>
              <w:rPr>
                <w:rFonts w:hint="eastAsia" w:ascii="仿宋_GB2312" w:eastAsia="仿宋_GB2312"/>
                <w:b/>
                <w:sz w:val="28"/>
                <w:szCs w:val="28"/>
                <w:highlight w:val="none"/>
                <w:lang w:eastAsia="zh-CN"/>
              </w:rPr>
              <w:drawing>
                <wp:inline distT="0" distB="0" distL="114300" distR="114300">
                  <wp:extent cx="2691130" cy="2014220"/>
                  <wp:effectExtent l="0" t="0" r="13970" b="5080"/>
                  <wp:docPr id="93" name="图片 93" descr="梦真园302陈樟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梦真园302陈樟_8"/>
                          <pic:cNvPicPr>
                            <a:picLocks noChangeAspect="1"/>
                          </pic:cNvPicPr>
                        </pic:nvPicPr>
                        <pic:blipFill>
                          <a:blip r:embed="rId47"/>
                          <a:stretch>
                            <a:fillRect/>
                          </a:stretch>
                        </pic:blipFill>
                        <pic:spPr>
                          <a:xfrm>
                            <a:off x="0" y="0"/>
                            <a:ext cx="2691130" cy="2014220"/>
                          </a:xfrm>
                          <a:prstGeom prst="rect">
                            <a:avLst/>
                          </a:prstGeom>
                        </pic:spPr>
                      </pic:pic>
                    </a:graphicData>
                  </a:graphic>
                </wp:inline>
              </w:drawing>
            </w:r>
          </w:p>
        </w:tc>
      </w:tr>
    </w:tbl>
    <w:p>
      <w:pPr>
        <w:spacing w:line="440" w:lineRule="exact"/>
        <w:rPr>
          <w:rFonts w:ascii="仿宋_GB2312" w:hAnsi="宋体" w:eastAsia="仿宋_GB2312"/>
          <w:sz w:val="28"/>
          <w:szCs w:val="28"/>
          <w:highlight w:val="none"/>
        </w:rPr>
      </w:pPr>
      <w:r>
        <w:rPr>
          <w:rFonts w:hint="eastAsia" w:ascii="仿宋_GB2312" w:hAnsi="宋体" w:eastAsia="仿宋_GB2312"/>
          <w:sz w:val="28"/>
          <w:szCs w:val="28"/>
          <w:highlight w:val="none"/>
        </w:rPr>
        <w:t>估价对象1、2</w:t>
      </w:r>
      <w:r>
        <w:rPr>
          <w:rFonts w:hint="eastAsia" w:ascii="仿宋_GB2312" w:hAnsi="宋体" w:eastAsia="仿宋_GB2312"/>
          <w:sz w:val="28"/>
          <w:szCs w:val="28"/>
          <w:highlight w:val="none"/>
          <w:lang w:eastAsia="zh-CN"/>
        </w:rPr>
        <w:t>、</w:t>
      </w:r>
      <w:r>
        <w:rPr>
          <w:rFonts w:hint="eastAsia" w:ascii="仿宋_GB2312" w:hAnsi="宋体" w:eastAsia="仿宋_GB2312"/>
          <w:sz w:val="28"/>
          <w:szCs w:val="28"/>
          <w:highlight w:val="none"/>
          <w:lang w:val="en-US" w:eastAsia="zh-CN"/>
        </w:rPr>
        <w:t>3、4、5</w:t>
      </w:r>
      <w:r>
        <w:rPr>
          <w:rFonts w:hint="eastAsia" w:ascii="仿宋_GB2312" w:hAnsi="宋体" w:eastAsia="仿宋_GB2312"/>
          <w:sz w:val="28"/>
          <w:szCs w:val="28"/>
          <w:highlight w:val="none"/>
        </w:rPr>
        <w:t>位置图：</w:t>
      </w:r>
    </w:p>
    <w:p>
      <w:pPr>
        <w:widowControl/>
        <w:jc w:val="left"/>
      </w:pPr>
    </w:p>
    <w:p>
      <w:pPr>
        <w:widowControl/>
        <w:jc w:val="left"/>
        <w:rPr>
          <w:highlight w:val="none"/>
        </w:rPr>
      </w:pPr>
      <w:r>
        <w:drawing>
          <wp:inline distT="0" distB="0" distL="114300" distR="114300">
            <wp:extent cx="5469255" cy="3006090"/>
            <wp:effectExtent l="0" t="0" r="17145" b="3810"/>
            <wp:docPr id="97" name="图片 12"/>
            <wp:cNvGraphicFramePr/>
            <a:graphic xmlns:a="http://schemas.openxmlformats.org/drawingml/2006/main">
              <a:graphicData uri="http://schemas.openxmlformats.org/drawingml/2006/picture">
                <pic:pic xmlns:pic="http://schemas.openxmlformats.org/drawingml/2006/picture">
                  <pic:nvPicPr>
                    <pic:cNvPr id="97" name="图片 12"/>
                    <pic:cNvPicPr/>
                  </pic:nvPicPr>
                  <pic:blipFill>
                    <a:blip r:embed="rId48"/>
                    <a:stretch>
                      <a:fillRect/>
                    </a:stretch>
                  </pic:blipFill>
                  <pic:spPr>
                    <a:xfrm>
                      <a:off x="0" y="0"/>
                      <a:ext cx="5469255" cy="3006090"/>
                    </a:xfrm>
                    <a:prstGeom prst="rect">
                      <a:avLst/>
                    </a:prstGeom>
                    <a:noFill/>
                    <a:ln>
                      <a:noFill/>
                    </a:ln>
                  </pic:spPr>
                </pic:pic>
              </a:graphicData>
            </a:graphic>
          </wp:inline>
        </w:drawing>
      </w:r>
    </w:p>
    <w:p>
      <w:pPr>
        <w:widowControl/>
        <w:jc w:val="left"/>
        <w:rPr>
          <w:highlight w:val="none"/>
        </w:rPr>
      </w:pPr>
    </w:p>
    <w:p>
      <w:pPr>
        <w:widowControl/>
        <w:jc w:val="left"/>
        <w:rPr>
          <w:highlight w:val="none"/>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189865</wp:posOffset>
            </wp:positionV>
            <wp:extent cx="5462905" cy="3006090"/>
            <wp:effectExtent l="0" t="0" r="4445" b="3810"/>
            <wp:wrapSquare wrapText="bothSides"/>
            <wp:docPr id="96" name="图片 11"/>
            <wp:cNvGraphicFramePr/>
            <a:graphic xmlns:a="http://schemas.openxmlformats.org/drawingml/2006/main">
              <a:graphicData uri="http://schemas.openxmlformats.org/drawingml/2006/picture">
                <pic:pic xmlns:pic="http://schemas.openxmlformats.org/drawingml/2006/picture">
                  <pic:nvPicPr>
                    <pic:cNvPr id="96" name="图片 11"/>
                    <pic:cNvPicPr/>
                  </pic:nvPicPr>
                  <pic:blipFill>
                    <a:blip r:embed="rId49"/>
                    <a:stretch>
                      <a:fillRect/>
                    </a:stretch>
                  </pic:blipFill>
                  <pic:spPr>
                    <a:xfrm>
                      <a:off x="0" y="0"/>
                      <a:ext cx="5462905" cy="3006090"/>
                    </a:xfrm>
                    <a:prstGeom prst="rect">
                      <a:avLst/>
                    </a:prstGeom>
                    <a:noFill/>
                    <a:ln>
                      <a:noFill/>
                    </a:ln>
                  </pic:spPr>
                </pic:pic>
              </a:graphicData>
            </a:graphic>
          </wp:anchor>
        </w:drawing>
      </w:r>
    </w:p>
    <w:p>
      <w:pPr>
        <w:spacing w:line="440" w:lineRule="exact"/>
        <w:rPr>
          <w:rFonts w:hint="eastAsia" w:ascii="仿宋_GB2312" w:hAnsi="宋体" w:eastAsia="仿宋_GB2312"/>
          <w:sz w:val="28"/>
          <w:szCs w:val="28"/>
          <w:highlight w:val="none"/>
        </w:rPr>
      </w:pPr>
    </w:p>
    <w:p>
      <w:pPr>
        <w:spacing w:line="440" w:lineRule="exact"/>
        <w:rPr>
          <w:rFonts w:hint="eastAsia" w:ascii="仿宋_GB2312" w:hAnsi="宋体" w:eastAsia="仿宋_GB2312"/>
          <w:sz w:val="28"/>
          <w:szCs w:val="28"/>
          <w:highlight w:val="none"/>
        </w:rPr>
      </w:pPr>
    </w:p>
    <w:p>
      <w:pPr>
        <w:spacing w:line="440" w:lineRule="exact"/>
        <w:rPr>
          <w:rFonts w:hint="eastAsia" w:ascii="仿宋_GB2312" w:hAnsi="宋体" w:eastAsia="仿宋_GB2312"/>
          <w:sz w:val="28"/>
          <w:szCs w:val="28"/>
          <w:highlight w:val="none"/>
        </w:rPr>
      </w:pPr>
    </w:p>
    <w:p>
      <w:pPr>
        <w:spacing w:line="440" w:lineRule="exact"/>
        <w:rPr>
          <w:rFonts w:hint="eastAsia" w:ascii="仿宋_GB2312" w:hAnsi="宋体" w:eastAsia="仿宋_GB2312"/>
          <w:sz w:val="28"/>
          <w:szCs w:val="28"/>
          <w:highlight w:val="none"/>
        </w:rPr>
      </w:pPr>
    </w:p>
    <w:p>
      <w:pPr>
        <w:spacing w:line="440" w:lineRule="exact"/>
        <w:rPr>
          <w:rFonts w:hint="eastAsia" w:ascii="仿宋_GB2312" w:hAnsi="宋体" w:eastAsia="仿宋_GB2312"/>
          <w:sz w:val="28"/>
          <w:szCs w:val="28"/>
          <w:highlight w:val="none"/>
        </w:rPr>
      </w:pPr>
    </w:p>
    <w:p>
      <w:pPr>
        <w:spacing w:line="440" w:lineRule="exact"/>
        <w:rPr>
          <w:rFonts w:ascii="仿宋_GB2312" w:hAnsi="宋体" w:eastAsia="仿宋_GB2312"/>
          <w:sz w:val="28"/>
          <w:szCs w:val="28"/>
          <w:highlight w:val="none"/>
        </w:rPr>
      </w:pPr>
      <w:r>
        <w:rPr>
          <w:rFonts w:hint="eastAsia" w:ascii="仿宋_GB2312" w:hAnsi="宋体" w:eastAsia="仿宋_GB2312"/>
          <w:sz w:val="28"/>
          <w:szCs w:val="28"/>
          <w:highlight w:val="none"/>
        </w:rPr>
        <w:t>估价对象</w:t>
      </w:r>
      <w:r>
        <w:rPr>
          <w:rFonts w:hint="eastAsia" w:ascii="仿宋_GB2312" w:hAnsi="宋体" w:eastAsia="仿宋_GB2312"/>
          <w:sz w:val="28"/>
          <w:szCs w:val="28"/>
          <w:highlight w:val="none"/>
          <w:lang w:val="en-US" w:eastAsia="zh-CN"/>
        </w:rPr>
        <w:t>6、7</w:t>
      </w:r>
      <w:r>
        <w:rPr>
          <w:rFonts w:hint="eastAsia" w:ascii="仿宋_GB2312" w:hAnsi="宋体" w:eastAsia="仿宋_GB2312"/>
          <w:sz w:val="28"/>
          <w:szCs w:val="28"/>
          <w:highlight w:val="none"/>
        </w:rPr>
        <w:t>位置图：</w:t>
      </w:r>
    </w:p>
    <w:p>
      <w:pPr>
        <w:spacing w:line="440" w:lineRule="exact"/>
        <w:rPr>
          <w:rFonts w:ascii="仿宋_GB2312" w:eastAsia="仿宋_GB2312" w:cs="宋体"/>
          <w:kern w:val="0"/>
          <w:sz w:val="28"/>
          <w:szCs w:val="28"/>
          <w:highlight w:val="none"/>
        </w:rPr>
      </w:pPr>
      <w:r>
        <w:drawing>
          <wp:anchor distT="0" distB="0" distL="114300" distR="114300" simplePos="0" relativeHeight="251659264" behindDoc="0" locked="0" layoutInCell="1" allowOverlap="1">
            <wp:simplePos x="0" y="0"/>
            <wp:positionH relativeFrom="column">
              <wp:posOffset>22860</wp:posOffset>
            </wp:positionH>
            <wp:positionV relativeFrom="paragraph">
              <wp:posOffset>3533140</wp:posOffset>
            </wp:positionV>
            <wp:extent cx="5462270" cy="3079750"/>
            <wp:effectExtent l="0" t="0" r="5080" b="635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0"/>
                    <a:stretch>
                      <a:fillRect/>
                    </a:stretch>
                  </pic:blipFill>
                  <pic:spPr>
                    <a:xfrm>
                      <a:off x="0" y="0"/>
                      <a:ext cx="5462270" cy="3079750"/>
                    </a:xfrm>
                    <a:prstGeom prst="rect">
                      <a:avLst/>
                    </a:prstGeom>
                    <a:noFill/>
                    <a:ln>
                      <a:noFill/>
                    </a:ln>
                  </pic:spPr>
                </pic:pic>
              </a:graphicData>
            </a:graphic>
          </wp:anchor>
        </w:drawing>
      </w:r>
      <w:r>
        <w:drawing>
          <wp:anchor distT="0" distB="0" distL="114300" distR="114300" simplePos="0" relativeHeight="251658240" behindDoc="0" locked="0" layoutInCell="1" allowOverlap="1">
            <wp:simplePos x="0" y="0"/>
            <wp:positionH relativeFrom="column">
              <wp:posOffset>65405</wp:posOffset>
            </wp:positionH>
            <wp:positionV relativeFrom="paragraph">
              <wp:posOffset>215900</wp:posOffset>
            </wp:positionV>
            <wp:extent cx="5460365" cy="3013075"/>
            <wp:effectExtent l="0" t="0" r="6985" b="15875"/>
            <wp:wrapSquare wrapText="bothSides"/>
            <wp:docPr id="17" name="图片 7"/>
            <wp:cNvGraphicFramePr/>
            <a:graphic xmlns:a="http://schemas.openxmlformats.org/drawingml/2006/main">
              <a:graphicData uri="http://schemas.openxmlformats.org/drawingml/2006/picture">
                <pic:pic xmlns:pic="http://schemas.openxmlformats.org/drawingml/2006/picture">
                  <pic:nvPicPr>
                    <pic:cNvPr id="17" name="图片 7"/>
                    <pic:cNvPicPr/>
                  </pic:nvPicPr>
                  <pic:blipFill>
                    <a:blip r:embed="rId51"/>
                    <a:stretch>
                      <a:fillRect/>
                    </a:stretch>
                  </pic:blipFill>
                  <pic:spPr>
                    <a:xfrm>
                      <a:off x="0" y="0"/>
                      <a:ext cx="5460365" cy="3013075"/>
                    </a:xfrm>
                    <a:prstGeom prst="rect">
                      <a:avLst/>
                    </a:prstGeom>
                    <a:noFill/>
                    <a:ln>
                      <a:noFill/>
                    </a:ln>
                  </pic:spPr>
                </pic:pic>
              </a:graphicData>
            </a:graphic>
          </wp:anchor>
        </w:drawing>
      </w:r>
    </w:p>
    <w:sectPr>
      <w:headerReference r:id="rId5" w:type="default"/>
      <w:footerReference r:id="rId6" w:type="default"/>
      <w:pgSz w:w="11906" w:h="16838"/>
      <w:pgMar w:top="1429" w:right="1644" w:bottom="1429" w:left="1644" w:header="720" w:footer="822" w:gutter="0"/>
      <w:cols w:space="720" w:num="1"/>
      <w:docGrid w:type="lines" w:linePitch="36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Roman 20cpi">
    <w:altName w:val="Lucida Console"/>
    <w:panose1 w:val="00000000000000000000"/>
    <w:charset w:val="00"/>
    <w:family w:val="moder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宋体" w:hAnsi="宋体"/>
        <w:lang w:val="zh-CN"/>
      </w:rPr>
    </w:pPr>
    <w:r>
      <w:rPr>
        <w:rFonts w:hint="eastAsia" w:ascii="宋体" w:hAnsi="宋体"/>
        <w:lang w:val="zh-CN"/>
      </w:rPr>
      <w:t>第</w:t>
    </w:r>
    <w:r>
      <w:rPr>
        <w:rFonts w:ascii="宋体" w:hAnsi="宋体"/>
        <w:lang w:val="zh-CN"/>
      </w:rPr>
      <w:fldChar w:fldCharType="begin"/>
    </w:r>
    <w:r>
      <w:rPr>
        <w:rFonts w:ascii="宋体" w:hAnsi="宋体"/>
        <w:lang w:val="zh-CN"/>
      </w:rPr>
      <w:instrText xml:space="preserve"> PAGE </w:instrText>
    </w:r>
    <w:r>
      <w:rPr>
        <w:rFonts w:ascii="宋体" w:hAnsi="宋体"/>
        <w:lang w:val="zh-CN"/>
      </w:rPr>
      <w:fldChar w:fldCharType="separate"/>
    </w:r>
    <w:r>
      <w:rPr>
        <w:rFonts w:ascii="宋体" w:hAnsi="宋体"/>
        <w:lang w:val="zh-CN"/>
      </w:rPr>
      <w:t>18</w:t>
    </w:r>
    <w:r>
      <w:rPr>
        <w:rFonts w:ascii="宋体" w:hAnsi="宋体"/>
        <w:lang w:val="zh-CN"/>
      </w:rPr>
      <w:fldChar w:fldCharType="end"/>
    </w:r>
    <w:r>
      <w:rPr>
        <w:rFonts w:hint="eastAsia" w:ascii="宋体" w:hAnsi="宋体"/>
        <w:lang w:val="zh-CN"/>
      </w:rPr>
      <w:t>页 /</w:t>
    </w:r>
    <w:r>
      <w:rPr>
        <w:rFonts w:ascii="宋体" w:hAnsi="宋体"/>
        <w:lang w:val="zh-CN"/>
      </w:rPr>
      <w:t xml:space="preserve"> </w:t>
    </w:r>
    <w:r>
      <w:rPr>
        <w:rFonts w:hint="eastAsia" w:ascii="宋体" w:hAnsi="宋体"/>
        <w:lang w:val="zh-CN"/>
      </w:rPr>
      <w:t>共</w:t>
    </w:r>
    <w:r>
      <w:rPr>
        <w:rFonts w:hint="eastAsia" w:ascii="宋体" w:hAnsi="宋体"/>
        <w:lang w:val="zh-CN"/>
      </w:rPr>
      <w:fldChar w:fldCharType="begin"/>
    </w:r>
    <w:r>
      <w:rPr>
        <w:rFonts w:hint="eastAsia" w:ascii="宋体" w:hAnsi="宋体"/>
        <w:lang w:val="zh-CN"/>
      </w:rPr>
      <w:instrText xml:space="preserve">NUMPAGES</w:instrText>
    </w:r>
    <w:r>
      <w:rPr>
        <w:rFonts w:hint="eastAsia" w:ascii="宋体" w:hAnsi="宋体"/>
        <w:lang w:val="zh-CN"/>
      </w:rPr>
      <w:fldChar w:fldCharType="separate"/>
    </w:r>
    <w:r>
      <w:rPr>
        <w:rFonts w:ascii="宋体" w:hAnsi="宋体"/>
        <w:lang w:val="zh-CN"/>
      </w:rPr>
      <w:t>20</w:t>
    </w:r>
    <w:r>
      <w:rPr>
        <w:rFonts w:hint="eastAsia" w:ascii="宋体" w:hAnsi="宋体"/>
        <w:lang w:val="zh-CN"/>
      </w:rPr>
      <w:fldChar w:fldCharType="end"/>
    </w:r>
    <w:r>
      <w:rPr>
        <w:rFonts w:hint="eastAsia" w:ascii="宋体" w:hAnsi="宋体"/>
        <w:lang w:val="zh-CN"/>
      </w:rPr>
      <w:t>页</w:t>
    </w:r>
  </w:p>
  <w:p>
    <w:pPr>
      <w:pStyle w:val="8"/>
      <w:jc w:val="center"/>
      <w:rPr>
        <w:rFonts w:ascii="宋体" w:hAnsi="宋体"/>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宋体" w:hAnsi="宋体"/>
        <w:lang w:val="zh-CN"/>
      </w:rPr>
    </w:pPr>
    <w:r>
      <w:rPr>
        <w:rFonts w:hint="eastAsia" w:ascii="宋体" w:hAnsi="宋体"/>
        <w:lang w:val="zh-CN"/>
      </w:rPr>
      <w:t>第</w:t>
    </w:r>
    <w:r>
      <w:rPr>
        <w:rFonts w:ascii="宋体" w:hAnsi="宋体"/>
        <w:lang w:val="zh-CN"/>
      </w:rPr>
      <w:fldChar w:fldCharType="begin"/>
    </w:r>
    <w:r>
      <w:rPr>
        <w:rFonts w:ascii="宋体" w:hAnsi="宋体"/>
        <w:lang w:val="zh-CN"/>
      </w:rPr>
      <w:instrText xml:space="preserve"> PAGE </w:instrText>
    </w:r>
    <w:r>
      <w:rPr>
        <w:rFonts w:ascii="宋体" w:hAnsi="宋体"/>
        <w:lang w:val="zh-CN"/>
      </w:rPr>
      <w:fldChar w:fldCharType="separate"/>
    </w:r>
    <w:r>
      <w:rPr>
        <w:rFonts w:ascii="宋体" w:hAnsi="宋体"/>
        <w:lang w:val="zh-CN"/>
      </w:rPr>
      <w:t>19</w:t>
    </w:r>
    <w:r>
      <w:rPr>
        <w:rFonts w:ascii="宋体" w:hAnsi="宋体"/>
        <w:lang w:val="zh-CN"/>
      </w:rPr>
      <w:fldChar w:fldCharType="end"/>
    </w:r>
    <w:r>
      <w:rPr>
        <w:rFonts w:hint="eastAsia" w:ascii="宋体" w:hAnsi="宋体"/>
        <w:lang w:val="zh-CN"/>
      </w:rPr>
      <w:t>页 /</w:t>
    </w:r>
    <w:r>
      <w:rPr>
        <w:rFonts w:ascii="宋体" w:hAnsi="宋体"/>
        <w:lang w:val="zh-CN"/>
      </w:rPr>
      <w:t xml:space="preserve"> </w:t>
    </w:r>
    <w:r>
      <w:rPr>
        <w:rFonts w:hint="eastAsia" w:ascii="宋体" w:hAnsi="宋体"/>
        <w:lang w:val="zh-CN"/>
      </w:rPr>
      <w:t>共</w:t>
    </w:r>
    <w:r>
      <w:rPr>
        <w:rFonts w:hint="eastAsia" w:ascii="宋体" w:hAnsi="宋体"/>
        <w:lang w:val="zh-CN"/>
      </w:rPr>
      <w:fldChar w:fldCharType="begin"/>
    </w:r>
    <w:r>
      <w:rPr>
        <w:rFonts w:hint="eastAsia" w:ascii="宋体" w:hAnsi="宋体"/>
        <w:lang w:val="zh-CN"/>
      </w:rPr>
      <w:instrText xml:space="preserve">NUMPAGES</w:instrText>
    </w:r>
    <w:r>
      <w:rPr>
        <w:rFonts w:hint="eastAsia" w:ascii="宋体" w:hAnsi="宋体"/>
        <w:lang w:val="zh-CN"/>
      </w:rPr>
      <w:fldChar w:fldCharType="separate"/>
    </w:r>
    <w:r>
      <w:rPr>
        <w:rFonts w:ascii="宋体" w:hAnsi="宋体"/>
        <w:lang w:val="zh-CN"/>
      </w:rPr>
      <w:t>20</w:t>
    </w:r>
    <w:r>
      <w:rPr>
        <w:rFonts w:hint="eastAsia" w:ascii="宋体" w:hAnsi="宋体"/>
        <w:lang w:val="zh-CN"/>
      </w:rPr>
      <w:fldChar w:fldCharType="end"/>
    </w:r>
    <w:r>
      <w:rPr>
        <w:rFonts w:hint="eastAsia" w:ascii="宋体" w:hAnsi="宋体"/>
        <w:lang w:val="zh-CN"/>
      </w:rPr>
      <w:t>页</w: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pBdr>
        <w:bottom w:val="single" w:color="auto" w:sz="6" w:space="0"/>
      </w:pBdr>
      <w:tabs>
        <w:tab w:val="right" w:pos="8610"/>
        <w:tab w:val="clear" w:pos="8306"/>
      </w:tabs>
      <w:spacing w:line="360" w:lineRule="exact"/>
      <w:jc w:val="left"/>
      <w:textAlignment w:val="top"/>
      <w:rPr>
        <w:rFonts w:ascii="楷体_GB2312" w:hAnsi="楷体" w:eastAsia="楷体_GB2312" w:cs="楷体"/>
        <w:spacing w:val="-16"/>
      </w:rPr>
    </w:pPr>
    <w:r>
      <w:rPr>
        <w:rFonts w:hint="eastAsia" w:ascii="楷体_GB2312" w:hAnsi="楷体" w:eastAsia="楷体_GB2312" w:cs="楷体"/>
        <w:b/>
        <w:spacing w:val="-4"/>
        <w:sz w:val="24"/>
      </w:rPr>
      <w:t>湖南明诚房地产评估有限责任公司</w:t>
    </w:r>
    <w:r>
      <w:rPr>
        <w:rFonts w:hint="eastAsia" w:ascii="楷体_GB2312" w:hAnsi="楷体" w:eastAsia="楷体_GB2312" w:cs="楷体"/>
        <w:spacing w:val="-16"/>
      </w:rPr>
      <w:t xml:space="preserve">                      地址：衡阳市蒸湘区祝融路8号沐林美郡28号公馆18楼</w:t>
    </w:r>
  </w:p>
  <w:p>
    <w:pPr>
      <w:pStyle w:val="9"/>
      <w:pBdr>
        <w:bottom w:val="single" w:color="auto" w:sz="6" w:space="0"/>
      </w:pBdr>
      <w:tabs>
        <w:tab w:val="left" w:pos="3731"/>
        <w:tab w:val="left" w:pos="3840"/>
        <w:tab w:val="left" w:pos="4018"/>
      </w:tabs>
      <w:spacing w:line="280" w:lineRule="exact"/>
      <w:ind w:firstLine="4737" w:firstLineChars="2632"/>
      <w:jc w:val="left"/>
      <w:textAlignment w:val="top"/>
      <w:rPr>
        <w:rFonts w:ascii="楷体_GB2312" w:hAnsi="楷体" w:eastAsia="楷体_GB2312" w:cs="楷体"/>
      </w:rPr>
    </w:pPr>
    <w:r>
      <w:rPr>
        <w:rFonts w:hint="eastAsia" w:ascii="楷体_GB2312" w:hAnsi="楷体" w:eastAsia="楷体_GB2312" w:cs="楷体"/>
      </w:rPr>
      <w:t>电话：（0734）8222216     8203998</w:t>
    </w:r>
  </w:p>
  <w:p>
    <w:pPr>
      <w:pStyle w:val="9"/>
      <w:pBdr>
        <w:bottom w:val="single" w:color="auto" w:sz="6" w:space="0"/>
      </w:pBdr>
      <w:jc w:val="left"/>
      <w:rPr>
        <w:rFonts w:ascii="楷体_GB2312" w:hAnsi="楷体" w:eastAsia="楷体_GB2312" w:cs="楷体"/>
      </w:rPr>
    </w:pPr>
    <w:r>
      <w:rPr>
        <w:rFonts w:hint="eastAsia" w:ascii="楷体_GB2312" w:hAnsi="楷体" w:eastAsia="楷体_GB2312" w:cs="楷体"/>
        <w:spacing w:val="-12"/>
      </w:rPr>
      <w:t xml:space="preserve">HUNAN MING CHENG REAL ESTATE APPRAISAL.LTD  </w:t>
    </w:r>
    <w:r>
      <w:rPr>
        <w:rFonts w:hint="eastAsia" w:ascii="楷体_GB2312" w:hAnsi="楷体" w:eastAsia="楷体_GB2312" w:cs="楷体"/>
        <w:spacing w:val="10"/>
      </w:rPr>
      <w:t xml:space="preserve"> </w:t>
    </w:r>
    <w:r>
      <w:rPr>
        <w:rFonts w:hint="eastAsia" w:ascii="楷体_GB2312" w:hAnsi="楷体" w:eastAsia="楷体_GB2312" w:cs="楷体"/>
      </w:rPr>
      <w:t xml:space="preserve">              传真：（0734）8203998     邮编：421000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pBdr>
        <w:bottom w:val="single" w:color="auto" w:sz="6" w:space="0"/>
      </w:pBdr>
      <w:tabs>
        <w:tab w:val="right" w:pos="8610"/>
        <w:tab w:val="clear" w:pos="8306"/>
      </w:tabs>
      <w:spacing w:line="360" w:lineRule="exact"/>
      <w:jc w:val="left"/>
      <w:textAlignment w:val="top"/>
      <w:rPr>
        <w:rFonts w:ascii="仿宋_GB2312" w:hAnsi="楷体" w:eastAsia="仿宋_GB2312" w:cs="楷体"/>
        <w:spacing w:val="-16"/>
      </w:rPr>
    </w:pPr>
    <w:r>
      <w:rPr>
        <w:rFonts w:hint="eastAsia" w:ascii="仿宋_GB2312" w:hAnsi="楷体" w:eastAsia="仿宋_GB2312" w:cs="楷体"/>
        <w:b/>
        <w:spacing w:val="-4"/>
        <w:sz w:val="24"/>
      </w:rPr>
      <w:t>湖南明诚房地产评估有限责任公司</w:t>
    </w:r>
    <w:r>
      <w:rPr>
        <w:rFonts w:hint="eastAsia" w:ascii="仿宋_GB2312" w:hAnsi="楷体" w:eastAsia="仿宋_GB2312" w:cs="楷体"/>
        <w:spacing w:val="-16"/>
      </w:rPr>
      <w:t xml:space="preserve">                  地址：衡阳市蒸湘区祝融路8号沐林美郡28号公馆18楼</w:t>
    </w:r>
  </w:p>
  <w:p>
    <w:pPr>
      <w:pStyle w:val="9"/>
      <w:pBdr>
        <w:bottom w:val="single" w:color="auto" w:sz="6" w:space="0"/>
      </w:pBdr>
      <w:tabs>
        <w:tab w:val="left" w:pos="3731"/>
        <w:tab w:val="left" w:pos="3840"/>
        <w:tab w:val="left" w:pos="4018"/>
      </w:tabs>
      <w:spacing w:line="280" w:lineRule="exact"/>
      <w:ind w:firstLine="4590" w:firstLineChars="2550"/>
      <w:jc w:val="left"/>
      <w:textAlignment w:val="top"/>
      <w:rPr>
        <w:rFonts w:ascii="仿宋_GB2312" w:hAnsi="楷体" w:eastAsia="仿宋_GB2312" w:cs="楷体"/>
      </w:rPr>
    </w:pPr>
    <w:r>
      <w:rPr>
        <w:rFonts w:hint="eastAsia" w:ascii="仿宋_GB2312" w:hAnsi="楷体" w:eastAsia="仿宋_GB2312" w:cs="楷体"/>
      </w:rPr>
      <w:t>电话：（0734）8222216     8203998</w:t>
    </w:r>
  </w:p>
  <w:p>
    <w:pPr>
      <w:pStyle w:val="9"/>
      <w:pBdr>
        <w:bottom w:val="single" w:color="auto" w:sz="6" w:space="0"/>
      </w:pBdr>
      <w:jc w:val="left"/>
      <w:rPr>
        <w:rFonts w:ascii="仿宋_GB2312" w:hAnsi="楷体" w:eastAsia="仿宋_GB2312" w:cs="楷体"/>
      </w:rPr>
    </w:pPr>
    <w:r>
      <w:rPr>
        <w:rFonts w:hint="eastAsia" w:ascii="仿宋_GB2312" w:hAnsi="楷体" w:eastAsia="仿宋_GB2312" w:cs="楷体"/>
        <w:spacing w:val="-12"/>
      </w:rPr>
      <w:t xml:space="preserve">HUNAN MING CHENG REAL ESTATE APPRAISAL.LTD  </w:t>
    </w:r>
    <w:r>
      <w:rPr>
        <w:rFonts w:hint="eastAsia" w:ascii="仿宋_GB2312" w:hAnsi="楷体" w:eastAsia="仿宋_GB2312" w:cs="楷体"/>
        <w:spacing w:val="10"/>
      </w:rPr>
      <w:t xml:space="preserve"> </w:t>
    </w:r>
    <w:r>
      <w:rPr>
        <w:rFonts w:hint="eastAsia" w:ascii="仿宋_GB2312" w:hAnsi="楷体" w:eastAsia="仿宋_GB2312" w:cs="楷体"/>
      </w:rPr>
      <w:t xml:space="preserve">            传真：（0734）8203998     邮编：421000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414D2"/>
    <w:multiLevelType w:val="multilevel"/>
    <w:tmpl w:val="3E3414D2"/>
    <w:lvl w:ilvl="0" w:tentative="0">
      <w:start w:val="2"/>
      <w:numFmt w:val="ideograph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803D58"/>
    <w:rsid w:val="000276C9"/>
    <w:rsid w:val="00047104"/>
    <w:rsid w:val="000773AA"/>
    <w:rsid w:val="00090361"/>
    <w:rsid w:val="000B399B"/>
    <w:rsid w:val="000B6B93"/>
    <w:rsid w:val="000F763D"/>
    <w:rsid w:val="00114591"/>
    <w:rsid w:val="00164E4E"/>
    <w:rsid w:val="00177EB0"/>
    <w:rsid w:val="001B70DB"/>
    <w:rsid w:val="001D1BF5"/>
    <w:rsid w:val="001D1D74"/>
    <w:rsid w:val="001D5280"/>
    <w:rsid w:val="001D5FBA"/>
    <w:rsid w:val="00202754"/>
    <w:rsid w:val="00217C7C"/>
    <w:rsid w:val="002208B7"/>
    <w:rsid w:val="00254300"/>
    <w:rsid w:val="002A4467"/>
    <w:rsid w:val="002B7A7F"/>
    <w:rsid w:val="002C4B35"/>
    <w:rsid w:val="002E0364"/>
    <w:rsid w:val="002F0F3F"/>
    <w:rsid w:val="002F51FF"/>
    <w:rsid w:val="00356D30"/>
    <w:rsid w:val="00384DAB"/>
    <w:rsid w:val="003876BF"/>
    <w:rsid w:val="003C706F"/>
    <w:rsid w:val="003F3D9C"/>
    <w:rsid w:val="003F405A"/>
    <w:rsid w:val="00455E21"/>
    <w:rsid w:val="004604DC"/>
    <w:rsid w:val="004630CC"/>
    <w:rsid w:val="00463FC3"/>
    <w:rsid w:val="004A1F44"/>
    <w:rsid w:val="004A43A5"/>
    <w:rsid w:val="004A495F"/>
    <w:rsid w:val="004A614E"/>
    <w:rsid w:val="004A6C19"/>
    <w:rsid w:val="004C05A4"/>
    <w:rsid w:val="004D3035"/>
    <w:rsid w:val="00566A6E"/>
    <w:rsid w:val="00571DF8"/>
    <w:rsid w:val="005C76F3"/>
    <w:rsid w:val="005E2C9A"/>
    <w:rsid w:val="005E42B0"/>
    <w:rsid w:val="006317FB"/>
    <w:rsid w:val="00632263"/>
    <w:rsid w:val="006761B7"/>
    <w:rsid w:val="006C4444"/>
    <w:rsid w:val="006E64F9"/>
    <w:rsid w:val="006F7B1B"/>
    <w:rsid w:val="0077636F"/>
    <w:rsid w:val="0077788F"/>
    <w:rsid w:val="00795B36"/>
    <w:rsid w:val="007966F0"/>
    <w:rsid w:val="00796D72"/>
    <w:rsid w:val="007F2AD1"/>
    <w:rsid w:val="00810EEE"/>
    <w:rsid w:val="008178E4"/>
    <w:rsid w:val="008215DD"/>
    <w:rsid w:val="00825181"/>
    <w:rsid w:val="0084100D"/>
    <w:rsid w:val="00842179"/>
    <w:rsid w:val="0086724E"/>
    <w:rsid w:val="00867356"/>
    <w:rsid w:val="00886276"/>
    <w:rsid w:val="008A5654"/>
    <w:rsid w:val="008F084A"/>
    <w:rsid w:val="008F2515"/>
    <w:rsid w:val="009413FF"/>
    <w:rsid w:val="00943DAB"/>
    <w:rsid w:val="00944402"/>
    <w:rsid w:val="00956678"/>
    <w:rsid w:val="009621DB"/>
    <w:rsid w:val="00967A15"/>
    <w:rsid w:val="009931EC"/>
    <w:rsid w:val="009E036A"/>
    <w:rsid w:val="009E709B"/>
    <w:rsid w:val="009F2999"/>
    <w:rsid w:val="00A00B6D"/>
    <w:rsid w:val="00A05935"/>
    <w:rsid w:val="00A145DF"/>
    <w:rsid w:val="00A244C8"/>
    <w:rsid w:val="00A2452B"/>
    <w:rsid w:val="00A333B9"/>
    <w:rsid w:val="00A364F4"/>
    <w:rsid w:val="00A761FA"/>
    <w:rsid w:val="00A80366"/>
    <w:rsid w:val="00A856F3"/>
    <w:rsid w:val="00AA0583"/>
    <w:rsid w:val="00AA6EB8"/>
    <w:rsid w:val="00AC383E"/>
    <w:rsid w:val="00AE6872"/>
    <w:rsid w:val="00B05AE3"/>
    <w:rsid w:val="00B10250"/>
    <w:rsid w:val="00B17E41"/>
    <w:rsid w:val="00B512CD"/>
    <w:rsid w:val="00B6561A"/>
    <w:rsid w:val="00B90012"/>
    <w:rsid w:val="00B921F7"/>
    <w:rsid w:val="00B93D0E"/>
    <w:rsid w:val="00BA404E"/>
    <w:rsid w:val="00BA4F86"/>
    <w:rsid w:val="00BB1756"/>
    <w:rsid w:val="00BB5A00"/>
    <w:rsid w:val="00BB7F3A"/>
    <w:rsid w:val="00C326FE"/>
    <w:rsid w:val="00C61D46"/>
    <w:rsid w:val="00C63BF5"/>
    <w:rsid w:val="00CB2247"/>
    <w:rsid w:val="00CB42D9"/>
    <w:rsid w:val="00CC566A"/>
    <w:rsid w:val="00D564A1"/>
    <w:rsid w:val="00D60753"/>
    <w:rsid w:val="00D76F82"/>
    <w:rsid w:val="00DA154F"/>
    <w:rsid w:val="00DA66B7"/>
    <w:rsid w:val="00DC7F9B"/>
    <w:rsid w:val="00DD6B2C"/>
    <w:rsid w:val="00DD7755"/>
    <w:rsid w:val="00DE47CC"/>
    <w:rsid w:val="00DE6271"/>
    <w:rsid w:val="00DF019D"/>
    <w:rsid w:val="00E16921"/>
    <w:rsid w:val="00E22787"/>
    <w:rsid w:val="00E25838"/>
    <w:rsid w:val="00E353BE"/>
    <w:rsid w:val="00E42DFD"/>
    <w:rsid w:val="00E46B64"/>
    <w:rsid w:val="00E4720C"/>
    <w:rsid w:val="00E54683"/>
    <w:rsid w:val="00E663DD"/>
    <w:rsid w:val="00E73869"/>
    <w:rsid w:val="00E75C01"/>
    <w:rsid w:val="00EA231A"/>
    <w:rsid w:val="00EC03BE"/>
    <w:rsid w:val="00EC4928"/>
    <w:rsid w:val="00EC6F62"/>
    <w:rsid w:val="00EE0FA5"/>
    <w:rsid w:val="00EF0643"/>
    <w:rsid w:val="00F11FCC"/>
    <w:rsid w:val="00F245A5"/>
    <w:rsid w:val="00F42345"/>
    <w:rsid w:val="00F65564"/>
    <w:rsid w:val="00F8061C"/>
    <w:rsid w:val="00F860DF"/>
    <w:rsid w:val="00F879DE"/>
    <w:rsid w:val="00FA0896"/>
    <w:rsid w:val="00FA7B2F"/>
    <w:rsid w:val="00FD7942"/>
    <w:rsid w:val="01292311"/>
    <w:rsid w:val="014155E1"/>
    <w:rsid w:val="03732DA7"/>
    <w:rsid w:val="03A57314"/>
    <w:rsid w:val="03E111D4"/>
    <w:rsid w:val="04D20B9B"/>
    <w:rsid w:val="04FA6C40"/>
    <w:rsid w:val="0636551F"/>
    <w:rsid w:val="06AB2646"/>
    <w:rsid w:val="071E0932"/>
    <w:rsid w:val="07241997"/>
    <w:rsid w:val="076F4588"/>
    <w:rsid w:val="0809132F"/>
    <w:rsid w:val="08543320"/>
    <w:rsid w:val="08883BC0"/>
    <w:rsid w:val="09A1595E"/>
    <w:rsid w:val="09D82B73"/>
    <w:rsid w:val="09FA130D"/>
    <w:rsid w:val="0A297126"/>
    <w:rsid w:val="0AB50EFE"/>
    <w:rsid w:val="0AD45D6F"/>
    <w:rsid w:val="0AFD7E3C"/>
    <w:rsid w:val="0B526A12"/>
    <w:rsid w:val="0B714EC7"/>
    <w:rsid w:val="0BA2275E"/>
    <w:rsid w:val="0BFF6174"/>
    <w:rsid w:val="0C252F58"/>
    <w:rsid w:val="0CCD79E4"/>
    <w:rsid w:val="0CE82932"/>
    <w:rsid w:val="0EB638BC"/>
    <w:rsid w:val="0F280E66"/>
    <w:rsid w:val="0F3B376D"/>
    <w:rsid w:val="0F6B5DB8"/>
    <w:rsid w:val="0FAB1735"/>
    <w:rsid w:val="0FB05CE8"/>
    <w:rsid w:val="10403A4A"/>
    <w:rsid w:val="106F4516"/>
    <w:rsid w:val="10CB2A21"/>
    <w:rsid w:val="11B63720"/>
    <w:rsid w:val="11B71696"/>
    <w:rsid w:val="129955A9"/>
    <w:rsid w:val="12FA77CA"/>
    <w:rsid w:val="130D6421"/>
    <w:rsid w:val="138C1E01"/>
    <w:rsid w:val="13B96958"/>
    <w:rsid w:val="13E42A3B"/>
    <w:rsid w:val="165B7922"/>
    <w:rsid w:val="174F05E1"/>
    <w:rsid w:val="1819047E"/>
    <w:rsid w:val="18330E68"/>
    <w:rsid w:val="188C5B83"/>
    <w:rsid w:val="18D07F65"/>
    <w:rsid w:val="18D91BA3"/>
    <w:rsid w:val="19251B1F"/>
    <w:rsid w:val="195120BD"/>
    <w:rsid w:val="195421F8"/>
    <w:rsid w:val="19D16D1C"/>
    <w:rsid w:val="19F607D9"/>
    <w:rsid w:val="1A3B2D71"/>
    <w:rsid w:val="1A3D2E64"/>
    <w:rsid w:val="1AFA3AD6"/>
    <w:rsid w:val="1B4F24F3"/>
    <w:rsid w:val="1C1D294F"/>
    <w:rsid w:val="1C38013F"/>
    <w:rsid w:val="1CB326F4"/>
    <w:rsid w:val="1D7F44C2"/>
    <w:rsid w:val="1DA8529C"/>
    <w:rsid w:val="1DD16B68"/>
    <w:rsid w:val="1F8C047B"/>
    <w:rsid w:val="1F947DF9"/>
    <w:rsid w:val="204811D3"/>
    <w:rsid w:val="20524EB1"/>
    <w:rsid w:val="20573CBA"/>
    <w:rsid w:val="205C00BA"/>
    <w:rsid w:val="20F60481"/>
    <w:rsid w:val="20FE67C6"/>
    <w:rsid w:val="213E55BE"/>
    <w:rsid w:val="22382394"/>
    <w:rsid w:val="22523418"/>
    <w:rsid w:val="227807E8"/>
    <w:rsid w:val="22A424E9"/>
    <w:rsid w:val="22B04B89"/>
    <w:rsid w:val="22C92E97"/>
    <w:rsid w:val="23FD5172"/>
    <w:rsid w:val="24895D9F"/>
    <w:rsid w:val="24A92884"/>
    <w:rsid w:val="24BF0818"/>
    <w:rsid w:val="24DB68F6"/>
    <w:rsid w:val="24EF5386"/>
    <w:rsid w:val="25A86CF9"/>
    <w:rsid w:val="26504D7A"/>
    <w:rsid w:val="2685382C"/>
    <w:rsid w:val="26AF66C2"/>
    <w:rsid w:val="26B43625"/>
    <w:rsid w:val="27020BF8"/>
    <w:rsid w:val="2732141E"/>
    <w:rsid w:val="27B64790"/>
    <w:rsid w:val="27D00458"/>
    <w:rsid w:val="2834714C"/>
    <w:rsid w:val="28AF4EA8"/>
    <w:rsid w:val="29575F6C"/>
    <w:rsid w:val="29632751"/>
    <w:rsid w:val="29F34FE0"/>
    <w:rsid w:val="2A932DE4"/>
    <w:rsid w:val="2AE026B8"/>
    <w:rsid w:val="2BD0264B"/>
    <w:rsid w:val="2C1612BF"/>
    <w:rsid w:val="2C4471AC"/>
    <w:rsid w:val="2C577060"/>
    <w:rsid w:val="2C8B793D"/>
    <w:rsid w:val="2C960843"/>
    <w:rsid w:val="2CCE03FC"/>
    <w:rsid w:val="2DBE6883"/>
    <w:rsid w:val="2DBF1FF4"/>
    <w:rsid w:val="2E01113A"/>
    <w:rsid w:val="2E9D4524"/>
    <w:rsid w:val="2F344956"/>
    <w:rsid w:val="30656C4E"/>
    <w:rsid w:val="31B74CDE"/>
    <w:rsid w:val="32194170"/>
    <w:rsid w:val="33626CA3"/>
    <w:rsid w:val="342A37EA"/>
    <w:rsid w:val="346600E6"/>
    <w:rsid w:val="34A11987"/>
    <w:rsid w:val="34B415AB"/>
    <w:rsid w:val="351319D1"/>
    <w:rsid w:val="35525B83"/>
    <w:rsid w:val="36320580"/>
    <w:rsid w:val="37A33E1F"/>
    <w:rsid w:val="37D86AB2"/>
    <w:rsid w:val="37FA5168"/>
    <w:rsid w:val="384516AE"/>
    <w:rsid w:val="388A1618"/>
    <w:rsid w:val="3962624D"/>
    <w:rsid w:val="39943DD8"/>
    <w:rsid w:val="3A065EE1"/>
    <w:rsid w:val="3A266BB0"/>
    <w:rsid w:val="3A38032A"/>
    <w:rsid w:val="3AEC1535"/>
    <w:rsid w:val="3BBB1DE4"/>
    <w:rsid w:val="3C402E77"/>
    <w:rsid w:val="3C6821DD"/>
    <w:rsid w:val="3C6C411C"/>
    <w:rsid w:val="3C7D119F"/>
    <w:rsid w:val="3CA41C27"/>
    <w:rsid w:val="3DA55486"/>
    <w:rsid w:val="3E7E5E62"/>
    <w:rsid w:val="3F171BF3"/>
    <w:rsid w:val="3FA4663F"/>
    <w:rsid w:val="3FBA1A34"/>
    <w:rsid w:val="3FC4188A"/>
    <w:rsid w:val="40702985"/>
    <w:rsid w:val="40B038A8"/>
    <w:rsid w:val="411F5832"/>
    <w:rsid w:val="41A12D4E"/>
    <w:rsid w:val="41EC2690"/>
    <w:rsid w:val="42A41247"/>
    <w:rsid w:val="4359055F"/>
    <w:rsid w:val="43CB5A62"/>
    <w:rsid w:val="443319A7"/>
    <w:rsid w:val="44737305"/>
    <w:rsid w:val="44923581"/>
    <w:rsid w:val="45A14043"/>
    <w:rsid w:val="45D47AD3"/>
    <w:rsid w:val="45EC42F9"/>
    <w:rsid w:val="46272CEF"/>
    <w:rsid w:val="469A3527"/>
    <w:rsid w:val="47EE3D00"/>
    <w:rsid w:val="487A3128"/>
    <w:rsid w:val="487B68A1"/>
    <w:rsid w:val="489C74EC"/>
    <w:rsid w:val="494D4F40"/>
    <w:rsid w:val="4BC132F8"/>
    <w:rsid w:val="4C623D57"/>
    <w:rsid w:val="4D197097"/>
    <w:rsid w:val="4D595373"/>
    <w:rsid w:val="4E7C4960"/>
    <w:rsid w:val="4E9C1427"/>
    <w:rsid w:val="4EA249C8"/>
    <w:rsid w:val="4EDB13C5"/>
    <w:rsid w:val="4F326495"/>
    <w:rsid w:val="504B0853"/>
    <w:rsid w:val="50733A19"/>
    <w:rsid w:val="51483F01"/>
    <w:rsid w:val="526C45CC"/>
    <w:rsid w:val="52AB55ED"/>
    <w:rsid w:val="52BE1FD5"/>
    <w:rsid w:val="52D5452F"/>
    <w:rsid w:val="540A1FF5"/>
    <w:rsid w:val="54D35031"/>
    <w:rsid w:val="553974DE"/>
    <w:rsid w:val="5639395D"/>
    <w:rsid w:val="565A3262"/>
    <w:rsid w:val="568872B9"/>
    <w:rsid w:val="56A63B60"/>
    <w:rsid w:val="57BA5802"/>
    <w:rsid w:val="58333415"/>
    <w:rsid w:val="58BC2408"/>
    <w:rsid w:val="59782DD8"/>
    <w:rsid w:val="59D035B1"/>
    <w:rsid w:val="5A4B2355"/>
    <w:rsid w:val="5B8875B4"/>
    <w:rsid w:val="5BAA20AC"/>
    <w:rsid w:val="5BD742B1"/>
    <w:rsid w:val="5C345212"/>
    <w:rsid w:val="5C3D5864"/>
    <w:rsid w:val="5C8F5546"/>
    <w:rsid w:val="5CB94426"/>
    <w:rsid w:val="5CE33CC9"/>
    <w:rsid w:val="5D15488A"/>
    <w:rsid w:val="5DE76B94"/>
    <w:rsid w:val="5DEC0B41"/>
    <w:rsid w:val="5EE17AD1"/>
    <w:rsid w:val="5FB71A18"/>
    <w:rsid w:val="60437B0E"/>
    <w:rsid w:val="60BE6771"/>
    <w:rsid w:val="61012263"/>
    <w:rsid w:val="616239E2"/>
    <w:rsid w:val="61E63594"/>
    <w:rsid w:val="62803D58"/>
    <w:rsid w:val="62832A41"/>
    <w:rsid w:val="62FE10C7"/>
    <w:rsid w:val="66134EB1"/>
    <w:rsid w:val="66A16794"/>
    <w:rsid w:val="66AF2190"/>
    <w:rsid w:val="67AB7F22"/>
    <w:rsid w:val="68971850"/>
    <w:rsid w:val="68CC7154"/>
    <w:rsid w:val="68E43F1E"/>
    <w:rsid w:val="691F767A"/>
    <w:rsid w:val="69484573"/>
    <w:rsid w:val="697501C4"/>
    <w:rsid w:val="69BF36D4"/>
    <w:rsid w:val="69CA0E8B"/>
    <w:rsid w:val="6B6C6C40"/>
    <w:rsid w:val="6BC86158"/>
    <w:rsid w:val="6C747580"/>
    <w:rsid w:val="6D7468A6"/>
    <w:rsid w:val="6D990AD2"/>
    <w:rsid w:val="6D9C51F3"/>
    <w:rsid w:val="6DBD665C"/>
    <w:rsid w:val="6DD90B18"/>
    <w:rsid w:val="6E4217B7"/>
    <w:rsid w:val="6EB61FFD"/>
    <w:rsid w:val="6F51518C"/>
    <w:rsid w:val="6FAC4CCE"/>
    <w:rsid w:val="705F2D38"/>
    <w:rsid w:val="70B57564"/>
    <w:rsid w:val="712F737B"/>
    <w:rsid w:val="713166DD"/>
    <w:rsid w:val="718B60F8"/>
    <w:rsid w:val="71E825FE"/>
    <w:rsid w:val="72E919F1"/>
    <w:rsid w:val="734D42A2"/>
    <w:rsid w:val="73F01746"/>
    <w:rsid w:val="74172D81"/>
    <w:rsid w:val="746301F3"/>
    <w:rsid w:val="74DE624E"/>
    <w:rsid w:val="75E65DB3"/>
    <w:rsid w:val="761C444B"/>
    <w:rsid w:val="764467DA"/>
    <w:rsid w:val="76515319"/>
    <w:rsid w:val="769633A7"/>
    <w:rsid w:val="7720441F"/>
    <w:rsid w:val="7764749C"/>
    <w:rsid w:val="778C08B9"/>
    <w:rsid w:val="7790741F"/>
    <w:rsid w:val="78237011"/>
    <w:rsid w:val="79FE316C"/>
    <w:rsid w:val="7A124CFA"/>
    <w:rsid w:val="7A3921A6"/>
    <w:rsid w:val="7A714086"/>
    <w:rsid w:val="7B3C7E4A"/>
    <w:rsid w:val="7BAB7559"/>
    <w:rsid w:val="7BC644A9"/>
    <w:rsid w:val="7BED567B"/>
    <w:rsid w:val="7BFE1DF9"/>
    <w:rsid w:val="7C2520AF"/>
    <w:rsid w:val="7C38291E"/>
    <w:rsid w:val="7D230B71"/>
    <w:rsid w:val="7D7E2652"/>
    <w:rsid w:val="7D8A2E98"/>
    <w:rsid w:val="7E964E72"/>
    <w:rsid w:val="7F0104E5"/>
    <w:rsid w:val="7F905E6D"/>
    <w:rsid w:val="7FC87041"/>
    <w:rsid w:val="7FF95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link w:val="27"/>
    <w:qFormat/>
    <w:uiPriority w:val="0"/>
    <w:pPr>
      <w:keepNext/>
      <w:keepLines/>
      <w:spacing w:before="260" w:after="260" w:line="413" w:lineRule="auto"/>
      <w:outlineLvl w:val="1"/>
    </w:pPr>
    <w:rPr>
      <w:rFonts w:ascii="Arial" w:hAnsi="Arial" w:eastAsia="黑体"/>
      <w:b/>
      <w:bCs/>
      <w:kern w:val="0"/>
      <w:sz w:val="32"/>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3">
    <w:name w:val="table of authorities"/>
    <w:basedOn w:val="1"/>
    <w:next w:val="1"/>
    <w:semiHidden/>
    <w:qFormat/>
    <w:uiPriority w:val="0"/>
    <w:pPr>
      <w:ind w:left="420" w:leftChars="200"/>
    </w:pPr>
  </w:style>
  <w:style w:type="paragraph" w:styleId="4">
    <w:name w:val="annotation text"/>
    <w:basedOn w:val="1"/>
    <w:link w:val="22"/>
    <w:qFormat/>
    <w:uiPriority w:val="0"/>
    <w:pPr>
      <w:jc w:val="left"/>
    </w:pPr>
  </w:style>
  <w:style w:type="paragraph" w:styleId="5">
    <w:name w:val="Closing"/>
    <w:basedOn w:val="1"/>
    <w:link w:val="26"/>
    <w:unhideWhenUsed/>
    <w:qFormat/>
    <w:uiPriority w:val="0"/>
    <w:pPr>
      <w:ind w:left="100" w:leftChars="2100"/>
    </w:pPr>
    <w:rPr>
      <w:sz w:val="28"/>
    </w:rPr>
  </w:style>
  <w:style w:type="paragraph" w:styleId="6">
    <w:name w:val="Body Text Indent"/>
    <w:basedOn w:val="1"/>
    <w:qFormat/>
    <w:uiPriority w:val="0"/>
    <w:pPr>
      <w:tabs>
        <w:tab w:val="left" w:pos="630"/>
      </w:tabs>
      <w:spacing w:line="360" w:lineRule="auto"/>
      <w:ind w:firstLine="720"/>
    </w:pPr>
    <w:rPr>
      <w:rFonts w:ascii="仿宋_GB2312" w:eastAsia="仿宋_GB2312"/>
      <w:kern w:val="0"/>
      <w:sz w:val="28"/>
      <w:szCs w:val="20"/>
    </w:rPr>
  </w:style>
  <w:style w:type="paragraph" w:styleId="7">
    <w:name w:val="Balloon Text"/>
    <w:basedOn w:val="1"/>
    <w:link w:val="24"/>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kern w:val="0"/>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oc 1"/>
    <w:basedOn w:val="3"/>
    <w:next w:val="3"/>
    <w:qFormat/>
    <w:uiPriority w:val="39"/>
    <w:pPr>
      <w:tabs>
        <w:tab w:val="right" w:leader="dot" w:pos="8494"/>
      </w:tabs>
      <w:spacing w:line="400" w:lineRule="exact"/>
    </w:pPr>
    <w:rPr>
      <w:rFonts w:ascii="仿宋_GB2312" w:eastAsia="仿宋_GB2312"/>
      <w:sz w:val="28"/>
      <w:szCs w:val="28"/>
    </w:rPr>
  </w:style>
  <w:style w:type="paragraph" w:styleId="11">
    <w:name w:val="List"/>
    <w:basedOn w:val="1"/>
    <w:qFormat/>
    <w:uiPriority w:val="0"/>
    <w:pPr>
      <w:autoSpaceDE w:val="0"/>
      <w:autoSpaceDN w:val="0"/>
      <w:adjustRightInd w:val="0"/>
      <w:spacing w:line="312" w:lineRule="atLeast"/>
      <w:ind w:left="420" w:hanging="420"/>
      <w:textAlignment w:val="baseline"/>
    </w:pPr>
    <w:rPr>
      <w:kern w:val="0"/>
      <w:szCs w:val="20"/>
    </w:rPr>
  </w:style>
  <w:style w:type="paragraph" w:styleId="12">
    <w:name w:val="annotation subject"/>
    <w:basedOn w:val="4"/>
    <w:next w:val="4"/>
    <w:link w:val="23"/>
    <w:qFormat/>
    <w:uiPriority w:val="0"/>
    <w:rPr>
      <w:b/>
      <w:bCs/>
    </w:rPr>
  </w:style>
  <w:style w:type="character" w:styleId="15">
    <w:name w:val="Hyperlink"/>
    <w:qFormat/>
    <w:uiPriority w:val="99"/>
    <w:rPr>
      <w:color w:val="0000FF"/>
      <w:u w:val="single"/>
    </w:rPr>
  </w:style>
  <w:style w:type="character" w:styleId="16">
    <w:name w:val="annotation reference"/>
    <w:basedOn w:val="14"/>
    <w:qFormat/>
    <w:uiPriority w:val="0"/>
    <w:rPr>
      <w:sz w:val="21"/>
      <w:szCs w:val="21"/>
    </w:rPr>
  </w:style>
  <w:style w:type="paragraph" w:customStyle="1" w:styleId="17">
    <w:name w:val="1级标题He"/>
    <w:next w:val="18"/>
    <w:qFormat/>
    <w:uiPriority w:val="0"/>
    <w:pPr>
      <w:spacing w:line="720" w:lineRule="exact"/>
      <w:jc w:val="center"/>
      <w:textAlignment w:val="center"/>
      <w:outlineLvl w:val="0"/>
    </w:pPr>
    <w:rPr>
      <w:rFonts w:ascii="宋体" w:hAnsi="Times New Roman" w:eastAsia="宋体" w:cs="Times New Roman"/>
      <w:b/>
      <w:kern w:val="2"/>
      <w:sz w:val="36"/>
      <w:szCs w:val="22"/>
      <w:lang w:val="en-US" w:eastAsia="zh-CN" w:bidi="ar-SA"/>
    </w:rPr>
  </w:style>
  <w:style w:type="paragraph" w:customStyle="1" w:styleId="18">
    <w:name w:val="`正文He"/>
    <w:link w:val="25"/>
    <w:qFormat/>
    <w:uiPriority w:val="0"/>
    <w:pPr>
      <w:spacing w:line="420" w:lineRule="exact"/>
      <w:ind w:firstLine="200" w:firstLineChars="200"/>
      <w:jc w:val="both"/>
      <w:textAlignment w:val="center"/>
    </w:pPr>
    <w:rPr>
      <w:rFonts w:ascii="仿宋_GB2312" w:hAnsi="Times New Roman" w:eastAsia="仿宋_GB2312" w:cs="Times New Roman"/>
      <w:kern w:val="2"/>
      <w:sz w:val="28"/>
      <w:szCs w:val="22"/>
      <w:lang w:val="en-US" w:eastAsia="zh-CN" w:bidi="ar-SA"/>
    </w:rPr>
  </w:style>
  <w:style w:type="paragraph" w:customStyle="1" w:styleId="19">
    <w:name w:val="2级标题"/>
    <w:next w:val="18"/>
    <w:qFormat/>
    <w:uiPriority w:val="0"/>
    <w:pPr>
      <w:spacing w:line="440" w:lineRule="exact"/>
      <w:ind w:firstLine="200" w:firstLineChars="200"/>
      <w:textAlignment w:val="center"/>
      <w:outlineLvl w:val="1"/>
    </w:pPr>
    <w:rPr>
      <w:rFonts w:ascii="仿宋_GB2312" w:hAnsi="Times New Roman" w:eastAsia="仿宋_GB2312" w:cs="Times New Roman"/>
      <w:b/>
      <w:kern w:val="2"/>
      <w:sz w:val="28"/>
      <w:szCs w:val="22"/>
      <w:lang w:val="en-US" w:eastAsia="zh-CN" w:bidi="ar-SA"/>
    </w:rPr>
  </w:style>
  <w:style w:type="paragraph" w:customStyle="1" w:styleId="20">
    <w:name w:val="3表格标题"/>
    <w:next w:val="18"/>
    <w:qFormat/>
    <w:uiPriority w:val="0"/>
    <w:pPr>
      <w:spacing w:line="440" w:lineRule="exact"/>
      <w:jc w:val="center"/>
      <w:textAlignment w:val="baseline"/>
    </w:pPr>
    <w:rPr>
      <w:rFonts w:ascii="仿宋_GB2312" w:hAnsi="Times New Roman" w:eastAsia="仿宋_GB2312" w:cs="Times New Roman"/>
      <w:b/>
      <w:kern w:val="2"/>
      <w:sz w:val="28"/>
      <w:szCs w:val="22"/>
      <w:u w:val="single"/>
      <w:lang w:val="en-US" w:eastAsia="zh-CN" w:bidi="ar-SA"/>
    </w:rPr>
  </w:style>
  <w:style w:type="paragraph" w:customStyle="1" w:styleId="21">
    <w:name w:val="`表格文字"/>
    <w:basedOn w:val="18"/>
    <w:qFormat/>
    <w:uiPriority w:val="0"/>
    <w:pPr>
      <w:spacing w:line="260" w:lineRule="exact"/>
      <w:ind w:firstLine="0" w:firstLineChars="0"/>
      <w:jc w:val="center"/>
    </w:pPr>
    <w:rPr>
      <w:rFonts w:hAnsi="宋体" w:cs="宋体"/>
      <w:spacing w:val="-3"/>
      <w:kern w:val="0"/>
      <w:sz w:val="21"/>
      <w:szCs w:val="21"/>
    </w:rPr>
  </w:style>
  <w:style w:type="character" w:customStyle="1" w:styleId="22">
    <w:name w:val="批注文字 Char"/>
    <w:basedOn w:val="14"/>
    <w:link w:val="4"/>
    <w:qFormat/>
    <w:uiPriority w:val="0"/>
    <w:rPr>
      <w:kern w:val="2"/>
      <w:sz w:val="21"/>
      <w:szCs w:val="22"/>
    </w:rPr>
  </w:style>
  <w:style w:type="character" w:customStyle="1" w:styleId="23">
    <w:name w:val="批注主题 Char"/>
    <w:basedOn w:val="22"/>
    <w:link w:val="12"/>
    <w:qFormat/>
    <w:uiPriority w:val="0"/>
    <w:rPr>
      <w:b/>
      <w:bCs/>
      <w:kern w:val="2"/>
      <w:sz w:val="21"/>
      <w:szCs w:val="22"/>
    </w:rPr>
  </w:style>
  <w:style w:type="character" w:customStyle="1" w:styleId="24">
    <w:name w:val="批注框文本 Char"/>
    <w:basedOn w:val="14"/>
    <w:link w:val="7"/>
    <w:qFormat/>
    <w:uiPriority w:val="0"/>
    <w:rPr>
      <w:kern w:val="2"/>
      <w:sz w:val="18"/>
      <w:szCs w:val="18"/>
    </w:rPr>
  </w:style>
  <w:style w:type="character" w:customStyle="1" w:styleId="25">
    <w:name w:val="`正文He Char"/>
    <w:link w:val="18"/>
    <w:qFormat/>
    <w:uiPriority w:val="0"/>
    <w:rPr>
      <w:rFonts w:ascii="仿宋_GB2312" w:eastAsia="仿宋_GB2312"/>
      <w:kern w:val="2"/>
      <w:sz w:val="28"/>
      <w:szCs w:val="22"/>
    </w:rPr>
  </w:style>
  <w:style w:type="character" w:customStyle="1" w:styleId="26">
    <w:name w:val="结束语 Char"/>
    <w:link w:val="5"/>
    <w:qFormat/>
    <w:uiPriority w:val="0"/>
    <w:rPr>
      <w:kern w:val="2"/>
      <w:sz w:val="28"/>
      <w:szCs w:val="22"/>
    </w:rPr>
  </w:style>
  <w:style w:type="character" w:customStyle="1" w:styleId="27">
    <w:name w:val="标题 2 Char"/>
    <w:basedOn w:val="14"/>
    <w:link w:val="2"/>
    <w:qFormat/>
    <w:uiPriority w:val="0"/>
    <w:rPr>
      <w:rFonts w:ascii="Arial" w:hAnsi="Arial" w:eastAsia="黑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372B95-821C-4E93-9080-30FD740B8CA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9849</Words>
  <Characters>3232</Characters>
  <Lines>26</Lines>
  <Paragraphs>26</Paragraphs>
  <TotalTime>37</TotalTime>
  <ScaleCrop>false</ScaleCrop>
  <LinksUpToDate>false</LinksUpToDate>
  <CharactersWithSpaces>13055</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2019-03-04T01:49:00Z</dcterms:created>
  <dc:creator>七年如宾</dc:creator>
  <cp:lastModifiedBy>Administrator</cp:lastModifiedBy>
  <cp:lastPrinted>2020-10-30T04:38:53Z</cp:lastPrinted>
  <dcterms:modified xsi:type="dcterms:W3CDTF">2020-10-30T05:12:51Z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