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before="120" w:after="120" w:line="360" w:lineRule="auto"/>
        <w:ind w:right="206" w:rightChars="98" w:firstLine="1285"/>
        <w:rPr>
          <w:rFonts w:eastAsia="仿宋"/>
          <w:b/>
          <w:sz w:val="64"/>
          <w:szCs w:val="64"/>
        </w:rPr>
      </w:pPr>
    </w:p>
    <w:p>
      <w:pPr>
        <w:tabs>
          <w:tab w:val="left" w:pos="0"/>
        </w:tabs>
        <w:spacing w:before="120" w:after="120" w:line="360" w:lineRule="auto"/>
        <w:jc w:val="center"/>
        <w:rPr>
          <w:rFonts w:eastAsia="仿宋"/>
          <w:b/>
          <w:color w:val="000000" w:themeColor="text1"/>
          <w:sz w:val="64"/>
          <w:szCs w:val="64"/>
        </w:rPr>
      </w:pPr>
      <w:r>
        <w:rPr>
          <w:rFonts w:eastAsia="仿宋"/>
          <w:b/>
          <w:color w:val="000000" w:themeColor="text1"/>
          <w:sz w:val="64"/>
          <w:szCs w:val="64"/>
        </w:rPr>
        <w:t>房地产司法鉴定估价报告</w:t>
      </w:r>
    </w:p>
    <w:p>
      <w:pPr>
        <w:spacing w:before="120" w:line="360" w:lineRule="auto"/>
        <w:ind w:right="206" w:rightChars="98" w:firstLine="420"/>
        <w:jc w:val="center"/>
        <w:rPr>
          <w:rFonts w:eastAsia="仿宋"/>
        </w:rPr>
      </w:pPr>
    </w:p>
    <w:p>
      <w:pPr>
        <w:spacing w:before="120"/>
        <w:ind w:right="206" w:rightChars="98" w:firstLine="400"/>
        <w:jc w:val="center"/>
        <w:rPr>
          <w:rFonts w:eastAsia="仿宋"/>
          <w:sz w:val="20"/>
          <w:szCs w:val="20"/>
        </w:rPr>
      </w:pPr>
    </w:p>
    <w:p>
      <w:pPr>
        <w:spacing w:before="120"/>
        <w:ind w:right="206" w:rightChars="98" w:firstLine="400"/>
        <w:jc w:val="center"/>
        <w:rPr>
          <w:rFonts w:eastAsia="仿宋"/>
          <w:sz w:val="20"/>
          <w:szCs w:val="20"/>
        </w:rPr>
      </w:pPr>
    </w:p>
    <w:p>
      <w:pPr>
        <w:spacing w:before="120"/>
        <w:ind w:right="206" w:rightChars="98" w:firstLine="400"/>
        <w:jc w:val="center"/>
        <w:rPr>
          <w:rFonts w:eastAsia="仿宋"/>
          <w:sz w:val="20"/>
          <w:szCs w:val="20"/>
        </w:rPr>
      </w:pPr>
    </w:p>
    <w:p>
      <w:pPr>
        <w:spacing w:before="120" w:line="360" w:lineRule="auto"/>
        <w:ind w:right="206" w:rightChars="98" w:firstLine="560"/>
        <w:jc w:val="center"/>
        <w:rPr>
          <w:rFonts w:eastAsia="仿宋"/>
          <w:sz w:val="28"/>
          <w:szCs w:val="28"/>
        </w:rPr>
      </w:pPr>
    </w:p>
    <w:p>
      <w:pPr>
        <w:spacing w:before="120" w:line="360" w:lineRule="auto"/>
        <w:ind w:left="2493" w:leftChars="250" w:hanging="1968" w:hangingChars="700"/>
        <w:rPr>
          <w:rFonts w:eastAsia="仿宋"/>
          <w:sz w:val="28"/>
          <w:szCs w:val="28"/>
        </w:rPr>
      </w:pPr>
      <w:r>
        <w:rPr>
          <w:rFonts w:eastAsia="仿宋"/>
          <w:b/>
          <w:sz w:val="28"/>
          <w:szCs w:val="28"/>
        </w:rPr>
        <w:t>估价项目名称：</w:t>
      </w:r>
      <w:r>
        <w:rPr>
          <w:rFonts w:eastAsia="仿宋"/>
          <w:sz w:val="28"/>
          <w:szCs w:val="28"/>
        </w:rPr>
        <w:t>石嘴山市</w:t>
      </w:r>
      <w:r>
        <w:rPr>
          <w:rFonts w:hint="eastAsia" w:eastAsia="仿宋"/>
          <w:sz w:val="28"/>
          <w:szCs w:val="28"/>
        </w:rPr>
        <w:t>大武口区文明北路民乐小区24幢1单元501号住宅</w:t>
      </w:r>
      <w:r>
        <w:rPr>
          <w:rFonts w:eastAsia="仿宋"/>
          <w:sz w:val="28"/>
          <w:szCs w:val="28"/>
        </w:rPr>
        <w:t>房地产市场价格评估</w:t>
      </w:r>
    </w:p>
    <w:p>
      <w:pPr>
        <w:tabs>
          <w:tab w:val="left" w:pos="3850"/>
        </w:tabs>
        <w:spacing w:before="120" w:line="360" w:lineRule="auto"/>
        <w:ind w:right="206" w:rightChars="98" w:firstLine="562"/>
        <w:rPr>
          <w:rFonts w:eastAsia="仿宋"/>
          <w:b/>
          <w:sz w:val="28"/>
          <w:szCs w:val="28"/>
        </w:rPr>
      </w:pPr>
    </w:p>
    <w:p>
      <w:pPr>
        <w:tabs>
          <w:tab w:val="left" w:pos="1985"/>
        </w:tabs>
        <w:spacing w:before="120" w:line="360" w:lineRule="auto"/>
        <w:ind w:right="206" w:rightChars="98" w:firstLine="562"/>
        <w:rPr>
          <w:rFonts w:eastAsia="仿宋"/>
          <w:sz w:val="28"/>
          <w:szCs w:val="28"/>
        </w:rPr>
      </w:pPr>
      <w:r>
        <w:rPr>
          <w:rFonts w:eastAsia="仿宋"/>
          <w:b/>
          <w:sz w:val="28"/>
          <w:szCs w:val="28"/>
        </w:rPr>
        <w:t>估价委托人：</w:t>
      </w:r>
      <w:r>
        <w:rPr>
          <w:rFonts w:eastAsia="仿宋"/>
          <w:sz w:val="28"/>
          <w:szCs w:val="28"/>
        </w:rPr>
        <w:t>石嘴山市</w:t>
      </w:r>
      <w:r>
        <w:rPr>
          <w:rFonts w:hint="eastAsia" w:eastAsia="仿宋"/>
          <w:sz w:val="28"/>
          <w:szCs w:val="28"/>
        </w:rPr>
        <w:t>大武口区人民法院</w:t>
      </w:r>
    </w:p>
    <w:p>
      <w:pPr>
        <w:tabs>
          <w:tab w:val="left" w:pos="1620"/>
          <w:tab w:val="left" w:pos="1800"/>
        </w:tabs>
        <w:spacing w:before="120" w:line="360" w:lineRule="auto"/>
        <w:ind w:right="206" w:rightChars="98" w:firstLine="562"/>
        <w:rPr>
          <w:rFonts w:eastAsia="仿宋"/>
          <w:b/>
          <w:sz w:val="28"/>
          <w:szCs w:val="28"/>
        </w:rPr>
      </w:pPr>
    </w:p>
    <w:p>
      <w:pPr>
        <w:tabs>
          <w:tab w:val="left" w:pos="1620"/>
          <w:tab w:val="left" w:pos="1800"/>
        </w:tabs>
        <w:spacing w:before="120" w:line="360" w:lineRule="auto"/>
        <w:ind w:right="206" w:rightChars="98" w:firstLine="562"/>
        <w:rPr>
          <w:rFonts w:eastAsia="仿宋"/>
          <w:sz w:val="28"/>
          <w:szCs w:val="28"/>
        </w:rPr>
      </w:pPr>
      <w:r>
        <w:rPr>
          <w:rFonts w:eastAsia="仿宋"/>
          <w:b/>
          <w:sz w:val="28"/>
          <w:szCs w:val="28"/>
        </w:rPr>
        <w:t>房地产估价机构：</w:t>
      </w:r>
      <w:r>
        <w:rPr>
          <w:rFonts w:eastAsia="仿宋"/>
          <w:sz w:val="28"/>
          <w:szCs w:val="28"/>
        </w:rPr>
        <w:t>宁夏宇川房地产评估咨询事务所（有限公司）</w:t>
      </w:r>
    </w:p>
    <w:p>
      <w:pPr>
        <w:spacing w:before="120" w:line="360" w:lineRule="auto"/>
        <w:ind w:right="206" w:rightChars="98" w:firstLine="602"/>
        <w:rPr>
          <w:rFonts w:eastAsia="仿宋"/>
          <w:b/>
          <w:spacing w:val="10"/>
          <w:sz w:val="28"/>
          <w:szCs w:val="28"/>
          <w:highlight w:val="yellow"/>
        </w:rPr>
      </w:pPr>
    </w:p>
    <w:p>
      <w:pPr>
        <w:spacing w:before="120" w:line="480" w:lineRule="auto"/>
        <w:ind w:right="206" w:rightChars="98" w:firstLine="562"/>
        <w:rPr>
          <w:rFonts w:eastAsia="仿宋"/>
          <w:sz w:val="28"/>
          <w:szCs w:val="28"/>
        </w:rPr>
      </w:pPr>
      <w:r>
        <w:rPr>
          <w:rFonts w:eastAsia="仿宋"/>
          <w:b/>
          <w:sz w:val="28"/>
          <w:szCs w:val="28"/>
        </w:rPr>
        <w:t>注册房地产估价师：</w:t>
      </w:r>
      <w:r>
        <w:rPr>
          <w:rFonts w:eastAsia="仿宋"/>
          <w:color w:val="000000" w:themeColor="text1"/>
          <w:sz w:val="28"/>
          <w:szCs w:val="28"/>
        </w:rPr>
        <w:t>钟志强（6420110006）</w:t>
      </w:r>
    </w:p>
    <w:p>
      <w:pPr>
        <w:spacing w:before="120" w:line="480" w:lineRule="auto"/>
        <w:ind w:right="206" w:rightChars="98" w:firstLine="3136" w:firstLineChars="1120"/>
        <w:rPr>
          <w:rFonts w:eastAsia="仿宋"/>
          <w:sz w:val="28"/>
          <w:szCs w:val="28"/>
        </w:rPr>
      </w:pPr>
      <w:r>
        <w:rPr>
          <w:rFonts w:eastAsia="仿宋"/>
          <w:sz w:val="28"/>
          <w:szCs w:val="28"/>
        </w:rPr>
        <w:t>曹  娟（1120070015）</w:t>
      </w:r>
    </w:p>
    <w:p>
      <w:pPr>
        <w:spacing w:before="120" w:line="480" w:lineRule="auto"/>
        <w:ind w:right="206" w:rightChars="98" w:firstLine="562"/>
        <w:rPr>
          <w:rFonts w:eastAsia="仿宋"/>
          <w:b/>
          <w:sz w:val="28"/>
          <w:szCs w:val="28"/>
        </w:rPr>
      </w:pPr>
    </w:p>
    <w:p>
      <w:pPr>
        <w:spacing w:before="120" w:line="360" w:lineRule="auto"/>
        <w:ind w:right="206" w:rightChars="98" w:firstLine="562"/>
        <w:rPr>
          <w:rFonts w:eastAsia="仿宋"/>
          <w:sz w:val="28"/>
          <w:szCs w:val="28"/>
        </w:rPr>
      </w:pPr>
      <w:r>
        <w:rPr>
          <w:rFonts w:eastAsia="仿宋"/>
          <w:b/>
          <w:sz w:val="28"/>
          <w:szCs w:val="28"/>
        </w:rPr>
        <w:t>估价报告出具日期：</w:t>
      </w:r>
      <w:r>
        <w:rPr>
          <w:rFonts w:eastAsia="仿宋"/>
          <w:sz w:val="28"/>
          <w:szCs w:val="28"/>
        </w:rPr>
        <w:t>二〇二〇年</w:t>
      </w:r>
      <w:r>
        <w:rPr>
          <w:rFonts w:hint="eastAsia" w:eastAsia="仿宋"/>
          <w:sz w:val="28"/>
          <w:szCs w:val="28"/>
        </w:rPr>
        <w:t>七月二十七日</w:t>
      </w:r>
    </w:p>
    <w:p>
      <w:pPr>
        <w:spacing w:before="120" w:line="360" w:lineRule="auto"/>
        <w:ind w:right="206" w:rightChars="98" w:firstLine="562"/>
        <w:rPr>
          <w:rFonts w:eastAsia="仿宋"/>
          <w:b/>
          <w:sz w:val="28"/>
          <w:szCs w:val="28"/>
        </w:rPr>
      </w:pPr>
    </w:p>
    <w:p>
      <w:pPr>
        <w:spacing w:before="120" w:line="360" w:lineRule="auto"/>
        <w:ind w:right="206" w:rightChars="98" w:firstLine="562"/>
        <w:rPr>
          <w:rFonts w:eastAsia="仿宋"/>
          <w:sz w:val="28"/>
          <w:szCs w:val="28"/>
        </w:rPr>
      </w:pPr>
      <w:r>
        <w:rPr>
          <w:rFonts w:eastAsia="仿宋"/>
          <w:b/>
          <w:sz w:val="28"/>
          <w:szCs w:val="28"/>
        </w:rPr>
        <w:t>估价报告编号：</w:t>
      </w:r>
      <w:r>
        <w:rPr>
          <w:rFonts w:eastAsia="仿宋"/>
          <w:sz w:val="28"/>
          <w:szCs w:val="28"/>
        </w:rPr>
        <w:t>宁宇川估字第鉴[2020]</w:t>
      </w:r>
      <w:r>
        <w:rPr>
          <w:rFonts w:hint="eastAsia" w:eastAsia="仿宋"/>
          <w:sz w:val="28"/>
          <w:szCs w:val="28"/>
        </w:rPr>
        <w:t>0034</w:t>
      </w:r>
      <w:r>
        <w:rPr>
          <w:rFonts w:eastAsia="仿宋"/>
          <w:sz w:val="28"/>
          <w:szCs w:val="28"/>
        </w:rPr>
        <w:t>号</w:t>
      </w:r>
    </w:p>
    <w:p>
      <w:pPr>
        <w:spacing w:before="120" w:line="360" w:lineRule="auto"/>
        <w:ind w:right="206" w:rightChars="98" w:firstLine="560"/>
        <w:rPr>
          <w:rFonts w:eastAsia="仿宋"/>
          <w:sz w:val="28"/>
          <w:szCs w:val="28"/>
        </w:rPr>
      </w:pPr>
    </w:p>
    <w:p>
      <w:pPr>
        <w:pageBreakBefore/>
        <w:tabs>
          <w:tab w:val="left" w:pos="0"/>
        </w:tabs>
        <w:spacing w:before="120" w:after="120" w:line="440" w:lineRule="exact"/>
        <w:ind w:right="206" w:rightChars="98" w:firstLine="1044"/>
        <w:rPr>
          <w:rFonts w:eastAsia="仿宋"/>
          <w:b/>
          <w:sz w:val="52"/>
          <w:szCs w:val="52"/>
        </w:rPr>
        <w:sectPr>
          <w:headerReference r:id="rId3" w:type="default"/>
          <w:footerReference r:id="rId4" w:type="default"/>
          <w:footerReference r:id="rId5" w:type="even"/>
          <w:pgSz w:w="11906" w:h="16838"/>
          <w:pgMar w:top="1440" w:right="986" w:bottom="1440" w:left="1605" w:header="851" w:footer="992" w:gutter="284"/>
          <w:cols w:space="720" w:num="1"/>
          <w:titlePg/>
          <w:docGrid w:linePitch="312" w:charSpace="0"/>
        </w:sectPr>
      </w:pPr>
    </w:p>
    <w:p>
      <w:pPr>
        <w:spacing w:before="120"/>
        <w:jc w:val="center"/>
        <w:rPr>
          <w:rFonts w:eastAsia="仿宋"/>
          <w:b/>
          <w:sz w:val="30"/>
          <w:szCs w:val="30"/>
        </w:rPr>
      </w:pPr>
      <w:bookmarkStart w:id="0" w:name="_Toc386010978"/>
      <w:r>
        <w:rPr>
          <w:rFonts w:eastAsia="仿宋"/>
          <w:b/>
          <w:sz w:val="48"/>
          <w:szCs w:val="48"/>
        </w:rPr>
        <w:t>致估价委托人函</w:t>
      </w:r>
      <w:bookmarkEnd w:id="0"/>
    </w:p>
    <w:p>
      <w:pPr>
        <w:spacing w:before="120" w:line="420" w:lineRule="exact"/>
        <w:rPr>
          <w:rFonts w:eastAsia="仿宋"/>
          <w:b/>
          <w:sz w:val="30"/>
          <w:szCs w:val="30"/>
        </w:rPr>
      </w:pPr>
      <w:r>
        <w:rPr>
          <w:rFonts w:eastAsia="仿宋"/>
          <w:b/>
          <w:sz w:val="30"/>
          <w:szCs w:val="30"/>
        </w:rPr>
        <w:t>石嘴山市</w:t>
      </w:r>
      <w:r>
        <w:rPr>
          <w:rFonts w:hint="eastAsia" w:eastAsia="仿宋"/>
          <w:b/>
          <w:sz w:val="30"/>
          <w:szCs w:val="30"/>
        </w:rPr>
        <w:t>大武口区人民法院</w:t>
      </w:r>
      <w:r>
        <w:rPr>
          <w:rFonts w:eastAsia="仿宋"/>
          <w:b/>
          <w:sz w:val="30"/>
          <w:szCs w:val="30"/>
        </w:rPr>
        <w:t>：</w:t>
      </w:r>
    </w:p>
    <w:p>
      <w:pPr>
        <w:keepNext w:val="0"/>
        <w:keepLines w:val="0"/>
        <w:pageBreakBefore w:val="0"/>
        <w:widowControl/>
        <w:kinsoku/>
        <w:wordWrap/>
        <w:overflowPunct/>
        <w:topLinePunct w:val="0"/>
        <w:bidi w:val="0"/>
        <w:snapToGrid/>
        <w:spacing w:before="120" w:line="400" w:lineRule="exact"/>
        <w:ind w:firstLine="480" w:firstLineChars="200"/>
        <w:textAlignment w:val="auto"/>
        <w:rPr>
          <w:rFonts w:eastAsia="仿宋"/>
          <w:sz w:val="24"/>
          <w:szCs w:val="24"/>
        </w:rPr>
      </w:pPr>
      <w:r>
        <w:rPr>
          <w:rFonts w:eastAsia="仿宋"/>
          <w:sz w:val="24"/>
          <w:szCs w:val="24"/>
        </w:rPr>
        <w:t>承蒙委托，我公司对权属</w:t>
      </w:r>
      <w:r>
        <w:rPr>
          <w:rFonts w:hint="eastAsia" w:eastAsia="仿宋"/>
          <w:sz w:val="24"/>
          <w:szCs w:val="24"/>
        </w:rPr>
        <w:t>陈全贵、李会萍</w:t>
      </w:r>
      <w:r>
        <w:rPr>
          <w:rFonts w:eastAsia="仿宋"/>
          <w:sz w:val="24"/>
          <w:szCs w:val="24"/>
        </w:rPr>
        <w:t>的位于石嘴山市</w:t>
      </w:r>
      <w:r>
        <w:rPr>
          <w:rFonts w:hint="eastAsia" w:eastAsia="仿宋"/>
          <w:sz w:val="24"/>
          <w:szCs w:val="24"/>
        </w:rPr>
        <w:t>大武口区文明北路民乐小区24幢1单元501号的住宅</w:t>
      </w:r>
      <w:r>
        <w:rPr>
          <w:rFonts w:eastAsia="仿宋"/>
          <w:sz w:val="24"/>
          <w:szCs w:val="24"/>
        </w:rPr>
        <w:t>房地产市场价格进行评估（本次评估包含房屋价值、</w:t>
      </w:r>
      <w:r>
        <w:rPr>
          <w:rFonts w:hint="eastAsia" w:eastAsia="仿宋"/>
          <w:sz w:val="24"/>
          <w:szCs w:val="24"/>
          <w:lang w:eastAsia="zh-CN"/>
        </w:rPr>
        <w:t>地下室价值、</w:t>
      </w:r>
      <w:r>
        <w:rPr>
          <w:rFonts w:hint="eastAsia" w:eastAsia="仿宋"/>
          <w:sz w:val="24"/>
          <w:szCs w:val="24"/>
        </w:rPr>
        <w:t>分摊的土地使用权价值、</w:t>
      </w:r>
      <w:r>
        <w:rPr>
          <w:rFonts w:eastAsia="仿宋"/>
          <w:sz w:val="24"/>
          <w:szCs w:val="24"/>
        </w:rPr>
        <w:t>不可分离的设施设备及装修价值）。估价目的是为贵法院确定财产处置参考价提供依据，价值时点为二〇二〇年</w:t>
      </w:r>
      <w:r>
        <w:rPr>
          <w:rFonts w:hint="eastAsia" w:eastAsia="仿宋"/>
          <w:sz w:val="24"/>
          <w:szCs w:val="24"/>
        </w:rPr>
        <w:t>七月十七日</w:t>
      </w:r>
      <w:r>
        <w:rPr>
          <w:rFonts w:eastAsia="仿宋"/>
          <w:sz w:val="24"/>
          <w:szCs w:val="24"/>
        </w:rPr>
        <w:t>。</w:t>
      </w:r>
    </w:p>
    <w:p>
      <w:pPr>
        <w:keepNext w:val="0"/>
        <w:keepLines w:val="0"/>
        <w:pageBreakBefore w:val="0"/>
        <w:widowControl/>
        <w:kinsoku/>
        <w:wordWrap/>
        <w:overflowPunct/>
        <w:topLinePunct w:val="0"/>
        <w:autoSpaceDE w:val="0"/>
        <w:autoSpaceDN w:val="0"/>
        <w:bidi w:val="0"/>
        <w:adjustRightInd w:val="0"/>
        <w:snapToGrid/>
        <w:spacing w:before="120" w:line="400" w:lineRule="exact"/>
        <w:ind w:firstLine="480" w:firstLineChars="200"/>
        <w:textAlignment w:val="auto"/>
        <w:rPr>
          <w:rFonts w:eastAsia="仿宋"/>
          <w:b/>
          <w:bCs/>
          <w:kern w:val="0"/>
          <w:sz w:val="24"/>
          <w:szCs w:val="24"/>
        </w:rPr>
      </w:pPr>
      <w:r>
        <w:rPr>
          <w:rFonts w:eastAsia="仿宋"/>
          <w:sz w:val="24"/>
          <w:szCs w:val="24"/>
        </w:rPr>
        <w:t>估价人员根据估价目的，经过市场调查和实地查勘，依据《房地产估价规范》（GB/T50291—2015）《房地产估价基本术语标准》（GB/T50899—2013）《涉执房地产处置司法评估指导意见》及其他相关法律法规，遵循独立、客观、公正、合法的原则，运用比较法和收益法对估价对象的市场价格进行测算，确定估价对象在价值时点的市场价格为：</w:t>
      </w:r>
      <w:r>
        <w:rPr>
          <w:rFonts w:eastAsia="仿宋"/>
          <w:b/>
          <w:sz w:val="24"/>
          <w:szCs w:val="24"/>
        </w:rPr>
        <w:t>￥</w:t>
      </w:r>
      <w:r>
        <w:rPr>
          <w:rFonts w:hint="eastAsia" w:eastAsia="仿宋"/>
          <w:b/>
          <w:sz w:val="24"/>
          <w:szCs w:val="24"/>
        </w:rPr>
        <w:t>142,802.0</w:t>
      </w:r>
      <w:r>
        <w:rPr>
          <w:rFonts w:eastAsia="仿宋"/>
          <w:b/>
          <w:sz w:val="24"/>
          <w:szCs w:val="24"/>
        </w:rPr>
        <w:t>元整，大写(人民币)：</w:t>
      </w:r>
      <w:r>
        <w:rPr>
          <w:rFonts w:hint="eastAsia" w:eastAsia="仿宋"/>
          <w:b/>
          <w:sz w:val="24"/>
          <w:szCs w:val="24"/>
        </w:rPr>
        <w:t>壹拾肆万贰仟捌佰零贰</w:t>
      </w:r>
      <w:r>
        <w:rPr>
          <w:rFonts w:eastAsia="仿宋"/>
          <w:b/>
          <w:sz w:val="24"/>
          <w:szCs w:val="24"/>
        </w:rPr>
        <w:t>元</w:t>
      </w:r>
      <w:r>
        <w:rPr>
          <w:rFonts w:eastAsia="仿宋"/>
          <w:b/>
          <w:bCs/>
          <w:kern w:val="0"/>
          <w:sz w:val="24"/>
          <w:szCs w:val="24"/>
          <w:lang w:val="zh-CN"/>
        </w:rPr>
        <w:t>整。</w:t>
      </w:r>
    </w:p>
    <w:p>
      <w:pPr>
        <w:spacing w:before="120" w:line="420" w:lineRule="exact"/>
        <w:jc w:val="center"/>
        <w:rPr>
          <w:rFonts w:eastAsia="仿宋"/>
          <w:b/>
          <w:sz w:val="28"/>
          <w:szCs w:val="26"/>
        </w:rPr>
      </w:pPr>
      <w:r>
        <w:rPr>
          <w:rFonts w:eastAsia="仿宋"/>
          <w:b/>
          <w:sz w:val="24"/>
          <w:szCs w:val="26"/>
        </w:rPr>
        <w:t>评估结果汇总表</w:t>
      </w:r>
    </w:p>
    <w:p>
      <w:pPr>
        <w:spacing w:before="120" w:line="360" w:lineRule="atLeast"/>
        <w:ind w:firstLine="442" w:firstLineChars="200"/>
        <w:jc w:val="right"/>
        <w:rPr>
          <w:rFonts w:eastAsia="仿宋"/>
          <w:b/>
          <w:sz w:val="28"/>
          <w:szCs w:val="26"/>
        </w:rPr>
      </w:pPr>
      <w:r>
        <w:rPr>
          <w:rFonts w:eastAsia="仿宋"/>
          <w:b/>
          <w:sz w:val="22"/>
          <w:szCs w:val="22"/>
        </w:rPr>
        <w:t>币种：人民币</w:t>
      </w:r>
    </w:p>
    <w:tbl>
      <w:tblPr>
        <w:tblStyle w:val="26"/>
        <w:tblW w:w="983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030"/>
        <w:gridCol w:w="1885"/>
        <w:gridCol w:w="700"/>
        <w:gridCol w:w="637"/>
        <w:gridCol w:w="709"/>
        <w:gridCol w:w="1136"/>
        <w:gridCol w:w="109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60" w:type="dxa"/>
            <w:shd w:val="clear" w:color="auto" w:fill="auto"/>
            <w:vAlign w:val="center"/>
          </w:tcPr>
          <w:p>
            <w:pPr>
              <w:jc w:val="center"/>
              <w:rPr>
                <w:rFonts w:eastAsia="仿宋"/>
                <w:b/>
                <w:kern w:val="0"/>
                <w:sz w:val="20"/>
                <w:szCs w:val="20"/>
              </w:rPr>
            </w:pPr>
            <w:r>
              <w:rPr>
                <w:rFonts w:eastAsia="仿宋_GB2312"/>
                <w:b/>
                <w:kern w:val="0"/>
                <w:sz w:val="20"/>
                <w:szCs w:val="20"/>
              </w:rPr>
              <w:t>产权证号</w:t>
            </w:r>
          </w:p>
        </w:tc>
        <w:tc>
          <w:tcPr>
            <w:tcW w:w="1030" w:type="dxa"/>
            <w:shd w:val="clear" w:color="auto" w:fill="auto"/>
            <w:vAlign w:val="center"/>
          </w:tcPr>
          <w:p>
            <w:pPr>
              <w:jc w:val="center"/>
              <w:rPr>
                <w:rFonts w:eastAsia="仿宋"/>
                <w:b/>
                <w:kern w:val="0"/>
                <w:sz w:val="20"/>
                <w:szCs w:val="20"/>
              </w:rPr>
            </w:pPr>
            <w:r>
              <w:rPr>
                <w:rFonts w:eastAsia="仿宋"/>
                <w:b/>
                <w:kern w:val="0"/>
                <w:sz w:val="20"/>
                <w:szCs w:val="20"/>
              </w:rPr>
              <w:t>产权人</w:t>
            </w:r>
          </w:p>
        </w:tc>
        <w:tc>
          <w:tcPr>
            <w:tcW w:w="1885" w:type="dxa"/>
            <w:shd w:val="clear" w:color="auto" w:fill="auto"/>
            <w:vAlign w:val="center"/>
          </w:tcPr>
          <w:p>
            <w:pPr>
              <w:jc w:val="center"/>
              <w:rPr>
                <w:rFonts w:eastAsia="仿宋"/>
                <w:b/>
                <w:kern w:val="0"/>
                <w:sz w:val="20"/>
                <w:szCs w:val="20"/>
              </w:rPr>
            </w:pPr>
            <w:r>
              <w:rPr>
                <w:rFonts w:eastAsia="仿宋"/>
                <w:b/>
                <w:kern w:val="0"/>
                <w:sz w:val="20"/>
                <w:szCs w:val="20"/>
              </w:rPr>
              <w:t>坐落</w:t>
            </w:r>
          </w:p>
        </w:tc>
        <w:tc>
          <w:tcPr>
            <w:tcW w:w="700" w:type="dxa"/>
            <w:shd w:val="clear" w:color="auto" w:fill="auto"/>
            <w:vAlign w:val="center"/>
          </w:tcPr>
          <w:p>
            <w:pPr>
              <w:jc w:val="center"/>
              <w:rPr>
                <w:rFonts w:eastAsia="仿宋"/>
                <w:b/>
                <w:kern w:val="0"/>
                <w:sz w:val="20"/>
                <w:szCs w:val="20"/>
              </w:rPr>
            </w:pPr>
            <w:r>
              <w:rPr>
                <w:rFonts w:eastAsia="仿宋"/>
                <w:b/>
                <w:kern w:val="0"/>
                <w:sz w:val="20"/>
                <w:szCs w:val="20"/>
              </w:rPr>
              <w:t>用途</w:t>
            </w:r>
          </w:p>
        </w:tc>
        <w:tc>
          <w:tcPr>
            <w:tcW w:w="637" w:type="dxa"/>
            <w:shd w:val="clear" w:color="auto" w:fill="auto"/>
            <w:vAlign w:val="center"/>
          </w:tcPr>
          <w:p>
            <w:pPr>
              <w:jc w:val="center"/>
              <w:rPr>
                <w:rFonts w:eastAsia="仿宋"/>
                <w:b/>
                <w:kern w:val="0"/>
                <w:sz w:val="20"/>
                <w:szCs w:val="20"/>
              </w:rPr>
            </w:pPr>
            <w:r>
              <w:rPr>
                <w:rFonts w:hint="eastAsia" w:eastAsia="仿宋"/>
                <w:b/>
                <w:kern w:val="0"/>
                <w:sz w:val="20"/>
                <w:szCs w:val="20"/>
              </w:rPr>
              <w:t>结构</w:t>
            </w:r>
          </w:p>
        </w:tc>
        <w:tc>
          <w:tcPr>
            <w:tcW w:w="709" w:type="dxa"/>
            <w:shd w:val="clear" w:color="auto" w:fill="auto"/>
            <w:vAlign w:val="center"/>
          </w:tcPr>
          <w:p>
            <w:pPr>
              <w:jc w:val="center"/>
              <w:rPr>
                <w:rFonts w:eastAsia="仿宋"/>
                <w:b/>
                <w:kern w:val="0"/>
                <w:sz w:val="20"/>
                <w:szCs w:val="20"/>
              </w:rPr>
            </w:pPr>
            <w:r>
              <w:rPr>
                <w:rFonts w:eastAsia="仿宋"/>
                <w:b/>
                <w:kern w:val="0"/>
                <w:sz w:val="20"/>
                <w:szCs w:val="20"/>
              </w:rPr>
              <w:t>楼层</w:t>
            </w:r>
          </w:p>
        </w:tc>
        <w:tc>
          <w:tcPr>
            <w:tcW w:w="1136" w:type="dxa"/>
            <w:shd w:val="clear" w:color="auto" w:fill="auto"/>
            <w:vAlign w:val="center"/>
          </w:tcPr>
          <w:p>
            <w:pPr>
              <w:jc w:val="center"/>
              <w:rPr>
                <w:rFonts w:eastAsia="仿宋"/>
                <w:b/>
                <w:kern w:val="0"/>
                <w:sz w:val="20"/>
                <w:szCs w:val="20"/>
              </w:rPr>
            </w:pPr>
            <w:r>
              <w:rPr>
                <w:rFonts w:eastAsia="仿宋"/>
                <w:b/>
                <w:kern w:val="0"/>
                <w:sz w:val="20"/>
                <w:szCs w:val="20"/>
              </w:rPr>
              <w:t>建筑面积（m</w:t>
            </w:r>
            <w:r>
              <w:rPr>
                <w:rFonts w:eastAsia="仿宋"/>
                <w:b/>
                <w:kern w:val="0"/>
                <w:sz w:val="20"/>
                <w:szCs w:val="20"/>
                <w:vertAlign w:val="superscript"/>
              </w:rPr>
              <w:t>2</w:t>
            </w:r>
            <w:r>
              <w:rPr>
                <w:rFonts w:eastAsia="仿宋"/>
                <w:b/>
                <w:kern w:val="0"/>
                <w:sz w:val="20"/>
                <w:szCs w:val="20"/>
              </w:rPr>
              <w:t>）</w:t>
            </w:r>
          </w:p>
        </w:tc>
        <w:tc>
          <w:tcPr>
            <w:tcW w:w="1099" w:type="dxa"/>
            <w:shd w:val="clear" w:color="auto" w:fill="auto"/>
            <w:vAlign w:val="center"/>
          </w:tcPr>
          <w:p>
            <w:pPr>
              <w:jc w:val="center"/>
              <w:rPr>
                <w:rFonts w:eastAsia="仿宋"/>
                <w:b/>
                <w:kern w:val="0"/>
                <w:sz w:val="20"/>
                <w:szCs w:val="20"/>
              </w:rPr>
            </w:pPr>
            <w:r>
              <w:rPr>
                <w:rFonts w:eastAsia="仿宋"/>
                <w:b/>
                <w:kern w:val="0"/>
                <w:sz w:val="20"/>
                <w:szCs w:val="20"/>
              </w:rPr>
              <w:t>评估单价（元/m</w:t>
            </w:r>
            <w:r>
              <w:rPr>
                <w:rFonts w:eastAsia="仿宋"/>
                <w:b/>
                <w:kern w:val="0"/>
                <w:sz w:val="20"/>
                <w:szCs w:val="20"/>
                <w:vertAlign w:val="superscript"/>
              </w:rPr>
              <w:t>2</w:t>
            </w:r>
            <w:r>
              <w:rPr>
                <w:rFonts w:eastAsia="仿宋"/>
                <w:b/>
                <w:kern w:val="0"/>
                <w:sz w:val="20"/>
                <w:szCs w:val="20"/>
              </w:rPr>
              <w:t>）</w:t>
            </w:r>
          </w:p>
        </w:tc>
        <w:tc>
          <w:tcPr>
            <w:tcW w:w="1076" w:type="dxa"/>
            <w:shd w:val="clear" w:color="auto" w:fill="auto"/>
            <w:vAlign w:val="center"/>
          </w:tcPr>
          <w:p>
            <w:pPr>
              <w:jc w:val="center"/>
              <w:rPr>
                <w:rFonts w:eastAsia="仿宋"/>
                <w:b/>
                <w:kern w:val="0"/>
                <w:sz w:val="20"/>
                <w:szCs w:val="20"/>
              </w:rPr>
            </w:pPr>
            <w:r>
              <w:rPr>
                <w:rFonts w:eastAsia="仿宋"/>
                <w:b/>
                <w:kern w:val="0"/>
                <w:sz w:val="20"/>
                <w:szCs w:val="20"/>
              </w:rPr>
              <w:t>评估总价（元）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60" w:type="dxa"/>
            <w:vMerge w:val="restart"/>
            <w:shd w:val="clear" w:color="auto" w:fill="auto"/>
            <w:vAlign w:val="center"/>
          </w:tcPr>
          <w:p>
            <w:pPr>
              <w:jc w:val="center"/>
              <w:rPr>
                <w:rFonts w:eastAsia="仿宋"/>
                <w:kern w:val="0"/>
                <w:sz w:val="20"/>
                <w:szCs w:val="20"/>
              </w:rPr>
            </w:pPr>
            <w:r>
              <w:rPr>
                <w:rFonts w:hint="eastAsia" w:eastAsia="仿宋"/>
                <w:kern w:val="0"/>
                <w:sz w:val="20"/>
                <w:szCs w:val="20"/>
              </w:rPr>
              <w:t>宁（2019）石嘴山市不动产权第D0004345号</w:t>
            </w:r>
          </w:p>
        </w:tc>
        <w:tc>
          <w:tcPr>
            <w:tcW w:w="1030" w:type="dxa"/>
            <w:vMerge w:val="restart"/>
            <w:shd w:val="clear" w:color="auto" w:fill="auto"/>
            <w:vAlign w:val="center"/>
          </w:tcPr>
          <w:p>
            <w:pPr>
              <w:jc w:val="center"/>
              <w:rPr>
                <w:rFonts w:eastAsia="仿宋"/>
                <w:kern w:val="0"/>
                <w:sz w:val="20"/>
                <w:szCs w:val="20"/>
              </w:rPr>
            </w:pPr>
            <w:r>
              <w:rPr>
                <w:rFonts w:hint="eastAsia" w:eastAsia="仿宋"/>
                <w:kern w:val="0"/>
                <w:sz w:val="20"/>
                <w:szCs w:val="20"/>
              </w:rPr>
              <w:t>陈全贵、李会萍</w:t>
            </w:r>
          </w:p>
        </w:tc>
        <w:tc>
          <w:tcPr>
            <w:tcW w:w="1885" w:type="dxa"/>
            <w:vMerge w:val="restart"/>
            <w:shd w:val="clear" w:color="auto" w:fill="auto"/>
            <w:vAlign w:val="center"/>
          </w:tcPr>
          <w:p>
            <w:pPr>
              <w:jc w:val="center"/>
              <w:rPr>
                <w:rFonts w:eastAsia="仿宋"/>
                <w:kern w:val="0"/>
                <w:sz w:val="20"/>
                <w:szCs w:val="20"/>
              </w:rPr>
            </w:pPr>
            <w:r>
              <w:rPr>
                <w:rFonts w:eastAsia="仿宋"/>
                <w:kern w:val="0"/>
                <w:sz w:val="20"/>
                <w:szCs w:val="20"/>
              </w:rPr>
              <w:t>石嘴山市</w:t>
            </w:r>
            <w:r>
              <w:rPr>
                <w:rFonts w:hint="eastAsia" w:eastAsia="仿宋"/>
                <w:kern w:val="0"/>
                <w:sz w:val="20"/>
                <w:szCs w:val="20"/>
              </w:rPr>
              <w:t>大武口区文明北路民乐小区24幢1单元501号</w:t>
            </w:r>
          </w:p>
        </w:tc>
        <w:tc>
          <w:tcPr>
            <w:tcW w:w="700" w:type="dxa"/>
            <w:shd w:val="clear" w:color="auto" w:fill="auto"/>
            <w:vAlign w:val="center"/>
          </w:tcPr>
          <w:p>
            <w:pPr>
              <w:jc w:val="center"/>
              <w:rPr>
                <w:rFonts w:eastAsia="仿宋"/>
                <w:kern w:val="0"/>
                <w:sz w:val="20"/>
                <w:szCs w:val="20"/>
              </w:rPr>
            </w:pPr>
            <w:r>
              <w:rPr>
                <w:rFonts w:eastAsia="仿宋"/>
                <w:kern w:val="0"/>
                <w:sz w:val="20"/>
                <w:szCs w:val="20"/>
              </w:rPr>
              <w:t>住宅</w:t>
            </w:r>
          </w:p>
        </w:tc>
        <w:tc>
          <w:tcPr>
            <w:tcW w:w="637" w:type="dxa"/>
            <w:shd w:val="clear" w:color="auto" w:fill="auto"/>
            <w:vAlign w:val="center"/>
          </w:tcPr>
          <w:p>
            <w:pPr>
              <w:jc w:val="center"/>
              <w:rPr>
                <w:rFonts w:eastAsia="仿宋"/>
                <w:kern w:val="0"/>
                <w:sz w:val="20"/>
                <w:szCs w:val="20"/>
              </w:rPr>
            </w:pPr>
            <w:r>
              <w:rPr>
                <w:rFonts w:hint="eastAsia" w:eastAsia="仿宋"/>
                <w:kern w:val="0"/>
                <w:sz w:val="20"/>
                <w:szCs w:val="20"/>
              </w:rPr>
              <w:t>混合</w:t>
            </w:r>
          </w:p>
        </w:tc>
        <w:tc>
          <w:tcPr>
            <w:tcW w:w="709" w:type="dxa"/>
            <w:shd w:val="clear" w:color="auto" w:fill="auto"/>
            <w:vAlign w:val="center"/>
          </w:tcPr>
          <w:p>
            <w:pPr>
              <w:jc w:val="center"/>
              <w:rPr>
                <w:rFonts w:eastAsia="仿宋"/>
                <w:kern w:val="0"/>
                <w:sz w:val="20"/>
                <w:szCs w:val="20"/>
              </w:rPr>
            </w:pPr>
            <w:r>
              <w:rPr>
                <w:rFonts w:hint="eastAsia" w:eastAsia="仿宋"/>
                <w:kern w:val="0"/>
                <w:sz w:val="20"/>
                <w:szCs w:val="20"/>
              </w:rPr>
              <w:t>5/6</w:t>
            </w:r>
          </w:p>
        </w:tc>
        <w:tc>
          <w:tcPr>
            <w:tcW w:w="1136" w:type="dxa"/>
            <w:shd w:val="clear" w:color="auto" w:fill="auto"/>
            <w:vAlign w:val="center"/>
          </w:tcPr>
          <w:p>
            <w:pPr>
              <w:jc w:val="center"/>
              <w:rPr>
                <w:rFonts w:eastAsia="仿宋"/>
                <w:kern w:val="0"/>
                <w:sz w:val="20"/>
                <w:szCs w:val="20"/>
              </w:rPr>
            </w:pPr>
            <w:r>
              <w:rPr>
                <w:rFonts w:hint="eastAsia" w:eastAsia="仿宋"/>
                <w:kern w:val="0"/>
                <w:sz w:val="20"/>
                <w:szCs w:val="20"/>
              </w:rPr>
              <w:t>70.52</w:t>
            </w:r>
          </w:p>
        </w:tc>
        <w:tc>
          <w:tcPr>
            <w:tcW w:w="1099" w:type="dxa"/>
            <w:shd w:val="clear" w:color="auto" w:fill="auto"/>
            <w:vAlign w:val="center"/>
          </w:tcPr>
          <w:p>
            <w:pPr>
              <w:jc w:val="center"/>
              <w:rPr>
                <w:rFonts w:eastAsia="仿宋"/>
                <w:kern w:val="0"/>
                <w:sz w:val="20"/>
                <w:szCs w:val="20"/>
              </w:rPr>
            </w:pPr>
            <w:r>
              <w:rPr>
                <w:rFonts w:hint="eastAsia" w:eastAsia="仿宋"/>
                <w:kern w:val="0"/>
                <w:sz w:val="20"/>
                <w:szCs w:val="20"/>
              </w:rPr>
              <w:t>1851</w:t>
            </w:r>
          </w:p>
        </w:tc>
        <w:tc>
          <w:tcPr>
            <w:tcW w:w="1076" w:type="dxa"/>
            <w:shd w:val="clear" w:color="auto" w:fill="auto"/>
            <w:vAlign w:val="center"/>
          </w:tcPr>
          <w:p>
            <w:pPr>
              <w:jc w:val="center"/>
              <w:rPr>
                <w:rFonts w:eastAsia="仿宋"/>
                <w:kern w:val="0"/>
                <w:sz w:val="20"/>
                <w:szCs w:val="20"/>
              </w:rPr>
            </w:pPr>
            <w:r>
              <w:rPr>
                <w:rFonts w:hint="eastAsia" w:eastAsia="仿宋"/>
                <w:kern w:val="0"/>
                <w:sz w:val="20"/>
                <w:szCs w:val="20"/>
              </w:rPr>
              <w:t>130,533.0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60" w:type="dxa"/>
            <w:vMerge w:val="continue"/>
            <w:shd w:val="clear" w:color="auto" w:fill="auto"/>
            <w:vAlign w:val="center"/>
          </w:tcPr>
          <w:p>
            <w:pPr>
              <w:jc w:val="center"/>
              <w:rPr>
                <w:rFonts w:eastAsia="仿宋"/>
                <w:kern w:val="0"/>
                <w:sz w:val="20"/>
                <w:szCs w:val="20"/>
              </w:rPr>
            </w:pPr>
          </w:p>
        </w:tc>
        <w:tc>
          <w:tcPr>
            <w:tcW w:w="1030" w:type="dxa"/>
            <w:vMerge w:val="continue"/>
            <w:shd w:val="clear" w:color="auto" w:fill="auto"/>
            <w:vAlign w:val="center"/>
          </w:tcPr>
          <w:p>
            <w:pPr>
              <w:jc w:val="center"/>
              <w:rPr>
                <w:rFonts w:eastAsia="仿宋"/>
                <w:kern w:val="0"/>
                <w:sz w:val="20"/>
                <w:szCs w:val="20"/>
              </w:rPr>
            </w:pPr>
          </w:p>
        </w:tc>
        <w:tc>
          <w:tcPr>
            <w:tcW w:w="1885" w:type="dxa"/>
            <w:vMerge w:val="continue"/>
            <w:shd w:val="clear" w:color="auto" w:fill="auto"/>
            <w:vAlign w:val="center"/>
          </w:tcPr>
          <w:p>
            <w:pPr>
              <w:jc w:val="center"/>
              <w:rPr>
                <w:rFonts w:eastAsia="仿宋"/>
                <w:kern w:val="0"/>
                <w:sz w:val="20"/>
                <w:szCs w:val="20"/>
              </w:rPr>
            </w:pPr>
          </w:p>
        </w:tc>
        <w:tc>
          <w:tcPr>
            <w:tcW w:w="700" w:type="dxa"/>
            <w:shd w:val="clear" w:color="auto" w:fill="auto"/>
            <w:vAlign w:val="center"/>
          </w:tcPr>
          <w:p>
            <w:pPr>
              <w:jc w:val="center"/>
              <w:rPr>
                <w:rFonts w:eastAsia="仿宋"/>
                <w:kern w:val="0"/>
                <w:sz w:val="20"/>
                <w:szCs w:val="20"/>
              </w:rPr>
            </w:pPr>
            <w:r>
              <w:rPr>
                <w:rFonts w:hint="eastAsia" w:eastAsia="仿宋"/>
                <w:kern w:val="0"/>
                <w:sz w:val="20"/>
                <w:szCs w:val="20"/>
              </w:rPr>
              <w:t>住宅</w:t>
            </w:r>
          </w:p>
        </w:tc>
        <w:tc>
          <w:tcPr>
            <w:tcW w:w="637" w:type="dxa"/>
            <w:shd w:val="clear" w:color="auto" w:fill="auto"/>
            <w:vAlign w:val="center"/>
          </w:tcPr>
          <w:p>
            <w:pPr>
              <w:jc w:val="center"/>
              <w:rPr>
                <w:rFonts w:eastAsia="仿宋"/>
                <w:kern w:val="0"/>
                <w:sz w:val="20"/>
                <w:szCs w:val="20"/>
              </w:rPr>
            </w:pPr>
            <w:r>
              <w:rPr>
                <w:rFonts w:hint="eastAsia" w:eastAsia="仿宋"/>
                <w:kern w:val="0"/>
                <w:sz w:val="20"/>
                <w:szCs w:val="20"/>
              </w:rPr>
              <w:t>混合</w:t>
            </w:r>
          </w:p>
        </w:tc>
        <w:tc>
          <w:tcPr>
            <w:tcW w:w="709" w:type="dxa"/>
            <w:shd w:val="clear" w:color="auto" w:fill="auto"/>
            <w:vAlign w:val="center"/>
          </w:tcPr>
          <w:p>
            <w:pPr>
              <w:jc w:val="center"/>
              <w:rPr>
                <w:rFonts w:eastAsia="仿宋"/>
                <w:kern w:val="0"/>
                <w:sz w:val="20"/>
                <w:szCs w:val="20"/>
              </w:rPr>
            </w:pPr>
            <w:r>
              <w:rPr>
                <w:rFonts w:hint="eastAsia" w:eastAsia="仿宋"/>
                <w:kern w:val="0"/>
                <w:sz w:val="20"/>
                <w:szCs w:val="20"/>
              </w:rPr>
              <w:t>-1/6</w:t>
            </w:r>
          </w:p>
        </w:tc>
        <w:tc>
          <w:tcPr>
            <w:tcW w:w="1136" w:type="dxa"/>
            <w:shd w:val="clear" w:color="auto" w:fill="auto"/>
            <w:vAlign w:val="center"/>
          </w:tcPr>
          <w:p>
            <w:pPr>
              <w:jc w:val="center"/>
              <w:rPr>
                <w:rFonts w:eastAsia="仿宋"/>
                <w:kern w:val="0"/>
                <w:sz w:val="20"/>
                <w:szCs w:val="20"/>
              </w:rPr>
            </w:pPr>
            <w:r>
              <w:rPr>
                <w:rFonts w:hint="eastAsia" w:eastAsia="仿宋"/>
                <w:kern w:val="0"/>
                <w:sz w:val="20"/>
                <w:szCs w:val="20"/>
              </w:rPr>
              <w:t>20.38</w:t>
            </w:r>
          </w:p>
        </w:tc>
        <w:tc>
          <w:tcPr>
            <w:tcW w:w="1099" w:type="dxa"/>
            <w:shd w:val="clear" w:color="auto" w:fill="auto"/>
            <w:vAlign w:val="center"/>
          </w:tcPr>
          <w:p>
            <w:pPr>
              <w:jc w:val="center"/>
              <w:rPr>
                <w:rFonts w:eastAsia="仿宋"/>
                <w:kern w:val="0"/>
                <w:sz w:val="20"/>
                <w:szCs w:val="20"/>
              </w:rPr>
            </w:pPr>
            <w:r>
              <w:rPr>
                <w:rFonts w:hint="eastAsia" w:eastAsia="仿宋"/>
                <w:kern w:val="0"/>
                <w:sz w:val="20"/>
                <w:szCs w:val="20"/>
              </w:rPr>
              <w:t>602</w:t>
            </w:r>
          </w:p>
        </w:tc>
        <w:tc>
          <w:tcPr>
            <w:tcW w:w="1076" w:type="dxa"/>
            <w:shd w:val="clear" w:color="auto" w:fill="auto"/>
            <w:vAlign w:val="center"/>
          </w:tcPr>
          <w:p>
            <w:pPr>
              <w:jc w:val="center"/>
              <w:rPr>
                <w:rFonts w:eastAsia="仿宋"/>
                <w:kern w:val="0"/>
                <w:sz w:val="20"/>
                <w:szCs w:val="20"/>
              </w:rPr>
            </w:pPr>
            <w:r>
              <w:rPr>
                <w:rFonts w:hint="eastAsia" w:eastAsia="仿宋"/>
                <w:kern w:val="0"/>
                <w:sz w:val="20"/>
                <w:szCs w:val="20"/>
              </w:rPr>
              <w:t>12,269.0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60" w:type="dxa"/>
            <w:shd w:val="clear" w:color="auto" w:fill="auto"/>
            <w:vAlign w:val="center"/>
          </w:tcPr>
          <w:p>
            <w:pPr>
              <w:jc w:val="center"/>
              <w:rPr>
                <w:rFonts w:eastAsia="仿宋"/>
                <w:kern w:val="0"/>
                <w:sz w:val="20"/>
                <w:szCs w:val="20"/>
              </w:rPr>
            </w:pPr>
            <w:r>
              <w:rPr>
                <w:rFonts w:hint="eastAsia" w:eastAsia="仿宋"/>
                <w:kern w:val="0"/>
                <w:sz w:val="20"/>
                <w:szCs w:val="20"/>
              </w:rPr>
              <w:t>合计</w:t>
            </w:r>
          </w:p>
        </w:tc>
        <w:tc>
          <w:tcPr>
            <w:tcW w:w="7196" w:type="dxa"/>
            <w:gridSpan w:val="7"/>
            <w:shd w:val="clear" w:color="auto" w:fill="auto"/>
            <w:vAlign w:val="center"/>
          </w:tcPr>
          <w:p>
            <w:pPr>
              <w:jc w:val="center"/>
              <w:rPr>
                <w:rFonts w:eastAsia="仿宋"/>
                <w:kern w:val="0"/>
                <w:sz w:val="20"/>
                <w:szCs w:val="20"/>
              </w:rPr>
            </w:pPr>
          </w:p>
        </w:tc>
        <w:tc>
          <w:tcPr>
            <w:tcW w:w="1076" w:type="dxa"/>
            <w:shd w:val="clear" w:color="auto" w:fill="auto"/>
            <w:vAlign w:val="center"/>
          </w:tcPr>
          <w:p>
            <w:pPr>
              <w:jc w:val="center"/>
              <w:rPr>
                <w:rFonts w:eastAsia="仿宋"/>
                <w:kern w:val="0"/>
                <w:sz w:val="20"/>
                <w:szCs w:val="20"/>
              </w:rPr>
            </w:pPr>
            <w:r>
              <w:rPr>
                <w:rFonts w:hint="eastAsia" w:eastAsia="仿宋"/>
                <w:kern w:val="0"/>
                <w:sz w:val="20"/>
                <w:szCs w:val="20"/>
              </w:rPr>
              <w:t>142,802.0</w:t>
            </w:r>
          </w:p>
        </w:tc>
      </w:tr>
    </w:tbl>
    <w:p>
      <w:pPr>
        <w:spacing w:line="440" w:lineRule="exact"/>
        <w:ind w:firstLine="482" w:firstLineChars="200"/>
        <w:rPr>
          <w:rFonts w:eastAsia="仿宋"/>
          <w:b/>
          <w:sz w:val="24"/>
        </w:rPr>
      </w:pPr>
      <w:r>
        <w:rPr>
          <w:rFonts w:eastAsia="仿宋"/>
          <w:b/>
          <w:sz w:val="24"/>
        </w:rPr>
        <w:t>特别提示：</w:t>
      </w:r>
    </w:p>
    <w:p>
      <w:pPr>
        <w:spacing w:line="440" w:lineRule="exact"/>
        <w:ind w:firstLine="480" w:firstLineChars="200"/>
        <w:rPr>
          <w:rFonts w:eastAsia="仿宋"/>
          <w:sz w:val="24"/>
        </w:rPr>
      </w:pPr>
      <w:r>
        <w:rPr>
          <w:rFonts w:eastAsia="仿宋"/>
          <w:sz w:val="24"/>
        </w:rPr>
        <w:t>1、本估价报告使用期限自二〇二〇年</w:t>
      </w:r>
      <w:r>
        <w:rPr>
          <w:rFonts w:hint="eastAsia" w:eastAsia="仿宋"/>
          <w:sz w:val="24"/>
        </w:rPr>
        <w:t>七月二十七日</w:t>
      </w:r>
      <w:r>
        <w:rPr>
          <w:rFonts w:eastAsia="仿宋"/>
          <w:sz w:val="24"/>
        </w:rPr>
        <w:t>起一年内有效；</w:t>
      </w:r>
    </w:p>
    <w:p>
      <w:pPr>
        <w:spacing w:line="440" w:lineRule="exact"/>
        <w:ind w:firstLine="480" w:firstLineChars="200"/>
        <w:rPr>
          <w:rFonts w:eastAsia="仿宋"/>
          <w:sz w:val="24"/>
        </w:rPr>
      </w:pPr>
      <w:r>
        <w:rPr>
          <w:rFonts w:eastAsia="仿宋"/>
          <w:sz w:val="24"/>
        </w:rPr>
        <w:t>2、本报告估价结果在满足全部假设与限制条件下成立，报告使用人使用本报告时，如市场状况或估价对象权利状况、实物状况发生变化，足以影响估价对象价值时，应重新委托评估；</w:t>
      </w:r>
    </w:p>
    <w:p>
      <w:pPr>
        <w:spacing w:line="440" w:lineRule="exact"/>
        <w:ind w:firstLine="480" w:firstLineChars="200"/>
        <w:rPr>
          <w:rFonts w:eastAsia="仿宋"/>
          <w:color w:val="000000"/>
          <w:sz w:val="28"/>
          <w:szCs w:val="28"/>
        </w:rPr>
      </w:pPr>
      <w:r>
        <w:rPr>
          <w:rFonts w:eastAsia="仿宋"/>
          <w:sz w:val="24"/>
        </w:rPr>
        <w:t>3、本估价报告仅可用于石嘴山市</w:t>
      </w:r>
      <w:r>
        <w:rPr>
          <w:rFonts w:hint="eastAsia" w:eastAsia="仿宋"/>
          <w:sz w:val="24"/>
        </w:rPr>
        <w:t>大武口区人民法院执行王建文与陈全贵、陈鹏飞借款合同纠纷</w:t>
      </w:r>
      <w:r>
        <w:rPr>
          <w:rFonts w:eastAsia="仿宋"/>
          <w:sz w:val="24"/>
        </w:rPr>
        <w:t>一案对该房地产进行司法执行提供价值参考依据，其他用途无效。</w:t>
      </w:r>
    </w:p>
    <w:p>
      <w:pPr>
        <w:tabs>
          <w:tab w:val="left" w:pos="0"/>
        </w:tabs>
        <w:spacing w:before="120" w:line="440" w:lineRule="exact"/>
        <w:ind w:firstLine="3080" w:firstLineChars="1100"/>
        <w:rPr>
          <w:rFonts w:eastAsia="仿宋"/>
          <w:color w:val="000000"/>
          <w:sz w:val="28"/>
          <w:szCs w:val="28"/>
        </w:rPr>
      </w:pPr>
    </w:p>
    <w:p>
      <w:pPr>
        <w:tabs>
          <w:tab w:val="left" w:pos="0"/>
        </w:tabs>
        <w:spacing w:before="120" w:line="440" w:lineRule="exact"/>
        <w:ind w:firstLine="3080" w:firstLineChars="1100"/>
        <w:rPr>
          <w:rFonts w:eastAsia="仿宋"/>
          <w:b/>
          <w:bCs/>
          <w:sz w:val="30"/>
        </w:rPr>
      </w:pPr>
      <w:r>
        <w:rPr>
          <w:rFonts w:eastAsia="仿宋"/>
          <w:color w:val="000000"/>
          <w:sz w:val="28"/>
          <w:szCs w:val="28"/>
        </w:rPr>
        <w:t xml:space="preserve"> </w:t>
      </w:r>
      <w:r>
        <w:rPr>
          <w:rFonts w:eastAsia="仿宋"/>
          <w:b/>
          <w:bCs/>
          <w:sz w:val="30"/>
        </w:rPr>
        <w:t>宁夏宇川房地产评估咨询事务所(有限公司)</w:t>
      </w:r>
    </w:p>
    <w:p>
      <w:pPr>
        <w:spacing w:before="120" w:beforeLines="50" w:line="440" w:lineRule="exact"/>
        <w:ind w:firstLine="361" w:firstLineChars="120"/>
        <w:rPr>
          <w:rFonts w:eastAsia="仿宋"/>
          <w:b/>
          <w:bCs/>
          <w:sz w:val="30"/>
        </w:rPr>
      </w:pPr>
      <w:r>
        <w:rPr>
          <w:rFonts w:eastAsia="仿宋"/>
          <w:b/>
          <w:bCs/>
          <w:sz w:val="30"/>
        </w:rPr>
        <w:t xml:space="preserve">                              法定代表人: </w:t>
      </w:r>
    </w:p>
    <w:p>
      <w:pPr>
        <w:spacing w:before="120" w:line="400" w:lineRule="exact"/>
        <w:ind w:firstLine="361" w:firstLineChars="120"/>
        <w:rPr>
          <w:rFonts w:eastAsia="仿宋"/>
          <w:b/>
          <w:bCs/>
          <w:sz w:val="30"/>
        </w:rPr>
        <w:sectPr>
          <w:pgSz w:w="11906" w:h="16838"/>
          <w:pgMar w:top="1440" w:right="987" w:bottom="1440" w:left="1293" w:header="624" w:footer="697" w:gutter="284"/>
          <w:pgNumType w:start="1"/>
          <w:cols w:space="720" w:num="1"/>
          <w:docGrid w:linePitch="312" w:charSpace="0"/>
        </w:sectPr>
      </w:pPr>
      <w:r>
        <w:rPr>
          <w:rFonts w:eastAsia="仿宋"/>
          <w:b/>
          <w:bCs/>
          <w:sz w:val="30"/>
        </w:rPr>
        <w:t xml:space="preserve"> </w:t>
      </w:r>
      <w:r>
        <w:rPr>
          <w:rFonts w:hint="eastAsia" w:eastAsia="仿宋"/>
          <w:b/>
          <w:bCs/>
          <w:sz w:val="30"/>
        </w:rPr>
        <w:t xml:space="preserve">                           </w:t>
      </w:r>
      <w:r>
        <w:rPr>
          <w:rFonts w:eastAsia="仿宋"/>
          <w:b/>
          <w:bCs/>
          <w:sz w:val="30"/>
        </w:rPr>
        <w:t>二〇二〇年</w:t>
      </w:r>
      <w:r>
        <w:rPr>
          <w:rFonts w:hint="eastAsia" w:eastAsia="仿宋"/>
          <w:b/>
          <w:bCs/>
          <w:sz w:val="30"/>
        </w:rPr>
        <w:t xml:space="preserve">七月二十七日 </w:t>
      </w:r>
    </w:p>
    <w:p>
      <w:pPr>
        <w:tabs>
          <w:tab w:val="left" w:pos="0"/>
        </w:tabs>
        <w:spacing w:before="120" w:line="560" w:lineRule="exact"/>
        <w:jc w:val="center"/>
        <w:rPr>
          <w:rFonts w:eastAsia="仿宋"/>
          <w:b/>
          <w:sz w:val="52"/>
          <w:lang w:val="zh-CN"/>
        </w:rPr>
      </w:pPr>
      <w:r>
        <w:rPr>
          <w:rFonts w:eastAsia="仿宋"/>
          <w:b/>
          <w:sz w:val="52"/>
          <w:lang w:val="zh-CN"/>
        </w:rPr>
        <w:t xml:space="preserve">目 </w:t>
      </w:r>
      <w:r>
        <w:rPr>
          <w:rFonts w:hint="eastAsia" w:eastAsia="仿宋"/>
          <w:b/>
          <w:sz w:val="52"/>
          <w:lang w:val="zh-CN"/>
        </w:rPr>
        <w:t xml:space="preserve"> </w:t>
      </w:r>
      <w:r>
        <w:rPr>
          <w:rFonts w:eastAsia="仿宋"/>
          <w:b/>
          <w:sz w:val="52"/>
          <w:lang w:val="zh-CN"/>
        </w:rPr>
        <w:t>录</w:t>
      </w:r>
    </w:p>
    <w:p>
      <w:pPr>
        <w:tabs>
          <w:tab w:val="left" w:pos="0"/>
        </w:tabs>
        <w:spacing w:before="120" w:line="560" w:lineRule="exact"/>
        <w:rPr>
          <w:rFonts w:eastAsia="仿宋"/>
          <w:b/>
          <w:sz w:val="52"/>
          <w:lang w:val="zh-CN"/>
        </w:rPr>
      </w:pPr>
    </w:p>
    <w:p>
      <w:pPr>
        <w:pStyle w:val="18"/>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b w:val="0"/>
          <w:bCs w:val="0"/>
          <w:caps w:val="0"/>
          <w:sz w:val="28"/>
          <w:szCs w:val="28"/>
        </w:rPr>
      </w:pPr>
      <w:bookmarkStart w:id="1" w:name="_Toc8295291"/>
      <w:bookmarkStart w:id="2" w:name="_Toc34296040"/>
      <w:bookmarkStart w:id="3" w:name="_Toc386010979"/>
      <w:bookmarkStart w:id="4" w:name="_Toc3323274"/>
      <w:bookmarkStart w:id="5" w:name="_Toc38525650"/>
      <w:bookmarkStart w:id="6" w:name="_Toc534210010"/>
      <w:r>
        <w:rPr>
          <w:rFonts w:ascii="Times New Roman" w:hAnsi="Times New Roman" w:eastAsia="仿宋"/>
          <w:b w:val="0"/>
          <w:bCs w:val="0"/>
          <w:caps w:val="0"/>
          <w:color w:val="00B050"/>
          <w:sz w:val="28"/>
          <w:szCs w:val="28"/>
        </w:rPr>
        <w:fldChar w:fldCharType="begin"/>
      </w:r>
      <w:r>
        <w:rPr>
          <w:rFonts w:ascii="Times New Roman" w:hAnsi="Times New Roman" w:eastAsia="仿宋"/>
          <w:b w:val="0"/>
          <w:bCs w:val="0"/>
          <w:caps w:val="0"/>
          <w:color w:val="00B050"/>
          <w:sz w:val="28"/>
          <w:szCs w:val="28"/>
        </w:rPr>
        <w:instrText xml:space="preserve"> TOC \o "1-2" \h \z \u </w:instrText>
      </w:r>
      <w:r>
        <w:rPr>
          <w:rFonts w:ascii="Times New Roman" w:hAnsi="Times New Roman" w:eastAsia="仿宋"/>
          <w:b w:val="0"/>
          <w:bCs w:val="0"/>
          <w:caps w:val="0"/>
          <w:color w:val="00B050"/>
          <w:sz w:val="28"/>
          <w:szCs w:val="28"/>
        </w:rPr>
        <w:fldChar w:fldCharType="separate"/>
      </w:r>
      <w:r>
        <w:rPr>
          <w:sz w:val="28"/>
          <w:szCs w:val="28"/>
        </w:rPr>
        <w:fldChar w:fldCharType="begin"/>
      </w:r>
      <w:r>
        <w:rPr>
          <w:sz w:val="28"/>
          <w:szCs w:val="28"/>
        </w:rPr>
        <w:instrText xml:space="preserve"> HYPERLINK \l "_Toc46474421" </w:instrText>
      </w:r>
      <w:r>
        <w:rPr>
          <w:sz w:val="28"/>
          <w:szCs w:val="28"/>
        </w:rPr>
        <w:fldChar w:fldCharType="separate"/>
      </w:r>
      <w:r>
        <w:rPr>
          <w:rStyle w:val="32"/>
          <w:rFonts w:ascii="Times New Roman" w:hAnsi="Times New Roman" w:eastAsia="仿宋_GB2312"/>
          <w:sz w:val="28"/>
          <w:szCs w:val="28"/>
        </w:rPr>
        <w:t>注册房地产估价师声明</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_Toc46474421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8"/>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b w:val="0"/>
          <w:bCs w:val="0"/>
          <w:caps w:val="0"/>
          <w:sz w:val="28"/>
          <w:szCs w:val="28"/>
        </w:rPr>
      </w:pPr>
      <w:r>
        <w:rPr>
          <w:sz w:val="28"/>
          <w:szCs w:val="28"/>
        </w:rPr>
        <w:fldChar w:fldCharType="begin"/>
      </w:r>
      <w:r>
        <w:rPr>
          <w:sz w:val="28"/>
          <w:szCs w:val="28"/>
        </w:rPr>
        <w:instrText xml:space="preserve"> HYPERLINK \l "_Toc46474422" </w:instrText>
      </w:r>
      <w:r>
        <w:rPr>
          <w:sz w:val="28"/>
          <w:szCs w:val="28"/>
        </w:rPr>
        <w:fldChar w:fldCharType="separate"/>
      </w:r>
      <w:r>
        <w:rPr>
          <w:rStyle w:val="32"/>
          <w:rFonts w:ascii="Times New Roman" w:hAnsi="Times New Roman" w:eastAsia="仿宋_GB2312"/>
          <w:sz w:val="28"/>
          <w:szCs w:val="28"/>
        </w:rPr>
        <w:t>估价假设和限制条件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_Toc46474422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8"/>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b w:val="0"/>
          <w:bCs w:val="0"/>
          <w:caps w:val="0"/>
          <w:sz w:val="28"/>
          <w:szCs w:val="28"/>
        </w:rPr>
      </w:pPr>
      <w:r>
        <w:rPr>
          <w:sz w:val="28"/>
          <w:szCs w:val="28"/>
        </w:rPr>
        <w:fldChar w:fldCharType="begin"/>
      </w:r>
      <w:r>
        <w:rPr>
          <w:sz w:val="28"/>
          <w:szCs w:val="28"/>
        </w:rPr>
        <w:instrText xml:space="preserve"> HYPERLINK \l "_Toc46474426" </w:instrText>
      </w:r>
      <w:r>
        <w:rPr>
          <w:sz w:val="28"/>
          <w:szCs w:val="28"/>
        </w:rPr>
        <w:fldChar w:fldCharType="separate"/>
      </w:r>
      <w:r>
        <w:rPr>
          <w:rStyle w:val="32"/>
          <w:rFonts w:ascii="Times New Roman" w:hAnsi="Times New Roman" w:eastAsia="仿宋_GB2312"/>
          <w:sz w:val="28"/>
          <w:szCs w:val="28"/>
        </w:rPr>
        <w:t>房地产估价结果报告</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_Toc46474426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"_Toc46474427" </w:instrText>
      </w:r>
      <w:r>
        <w:rPr>
          <w:sz w:val="28"/>
          <w:szCs w:val="28"/>
        </w:rPr>
        <w:fldChar w:fldCharType="separate"/>
      </w:r>
      <w:r>
        <w:rPr>
          <w:rStyle w:val="32"/>
          <w:rFonts w:ascii="Times New Roman" w:hAnsi="Times New Roman" w:eastAsia="仿宋_GB2312"/>
          <w:sz w:val="28"/>
          <w:szCs w:val="28"/>
        </w:rPr>
        <w:t>一、 估价委托人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_Toc46474427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"_Toc46474428" </w:instrText>
      </w:r>
      <w:r>
        <w:rPr>
          <w:sz w:val="28"/>
          <w:szCs w:val="28"/>
        </w:rPr>
        <w:fldChar w:fldCharType="separate"/>
      </w:r>
      <w:r>
        <w:rPr>
          <w:rStyle w:val="32"/>
          <w:rFonts w:ascii="Times New Roman" w:hAnsi="Times New Roman" w:eastAsia="仿宋_GB2312"/>
          <w:sz w:val="28"/>
          <w:szCs w:val="28"/>
        </w:rPr>
        <w:t>二、 房地产估价机构</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_Toc46474428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"_Toc46474429" </w:instrText>
      </w:r>
      <w:r>
        <w:rPr>
          <w:sz w:val="28"/>
          <w:szCs w:val="28"/>
        </w:rPr>
        <w:fldChar w:fldCharType="separate"/>
      </w:r>
      <w:r>
        <w:rPr>
          <w:rStyle w:val="32"/>
          <w:rFonts w:ascii="Times New Roman" w:hAnsi="Times New Roman" w:eastAsia="仿宋_GB2312"/>
          <w:sz w:val="28"/>
          <w:szCs w:val="28"/>
        </w:rPr>
        <w:t>三、 估价目的</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_Toc46474429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"_Toc46474430" </w:instrText>
      </w:r>
      <w:r>
        <w:rPr>
          <w:sz w:val="28"/>
          <w:szCs w:val="28"/>
        </w:rPr>
        <w:fldChar w:fldCharType="separate"/>
      </w:r>
      <w:r>
        <w:rPr>
          <w:rStyle w:val="32"/>
          <w:rFonts w:ascii="Times New Roman" w:hAnsi="Times New Roman" w:eastAsia="仿宋_GB2312"/>
          <w:sz w:val="28"/>
          <w:szCs w:val="28"/>
        </w:rPr>
        <w:t>四、 估价对象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_Toc46474430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"_Toc46474431" </w:instrText>
      </w:r>
      <w:r>
        <w:rPr>
          <w:sz w:val="28"/>
          <w:szCs w:val="28"/>
        </w:rPr>
        <w:fldChar w:fldCharType="separate"/>
      </w:r>
      <w:r>
        <w:rPr>
          <w:rStyle w:val="32"/>
          <w:rFonts w:ascii="Times New Roman" w:hAnsi="Times New Roman" w:eastAsia="仿宋_GB2312"/>
          <w:sz w:val="28"/>
          <w:szCs w:val="28"/>
        </w:rPr>
        <w:t>五、 价值时点</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_Toc46474431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"_Toc46474432" </w:instrText>
      </w:r>
      <w:r>
        <w:rPr>
          <w:sz w:val="28"/>
          <w:szCs w:val="28"/>
        </w:rPr>
        <w:fldChar w:fldCharType="separate"/>
      </w:r>
      <w:r>
        <w:rPr>
          <w:rStyle w:val="32"/>
          <w:rFonts w:ascii="Times New Roman" w:hAnsi="Times New Roman" w:eastAsia="仿宋_GB2312"/>
          <w:sz w:val="28"/>
          <w:szCs w:val="28"/>
        </w:rPr>
        <w:t>六、 价值类型</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_Toc46474432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"_Toc46474433" </w:instrText>
      </w:r>
      <w:r>
        <w:rPr>
          <w:sz w:val="28"/>
          <w:szCs w:val="28"/>
        </w:rPr>
        <w:fldChar w:fldCharType="separate"/>
      </w:r>
      <w:r>
        <w:rPr>
          <w:rStyle w:val="32"/>
          <w:rFonts w:ascii="Times New Roman" w:hAnsi="Times New Roman" w:eastAsia="仿宋_GB2312"/>
          <w:sz w:val="28"/>
          <w:szCs w:val="28"/>
        </w:rPr>
        <w:t>七、 估价原则</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_Toc46474433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"_Toc46474434" </w:instrText>
      </w:r>
      <w:r>
        <w:rPr>
          <w:sz w:val="28"/>
          <w:szCs w:val="28"/>
        </w:rPr>
        <w:fldChar w:fldCharType="separate"/>
      </w:r>
      <w:r>
        <w:rPr>
          <w:rStyle w:val="32"/>
          <w:rFonts w:ascii="Times New Roman" w:hAnsi="Times New Roman" w:eastAsia="仿宋_GB2312"/>
          <w:sz w:val="28"/>
          <w:szCs w:val="28"/>
        </w:rPr>
        <w:t>八、 估价依据</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_Toc46474434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"_Toc46474435" </w:instrText>
      </w:r>
      <w:r>
        <w:rPr>
          <w:sz w:val="28"/>
          <w:szCs w:val="28"/>
        </w:rPr>
        <w:fldChar w:fldCharType="separate"/>
      </w:r>
      <w:r>
        <w:rPr>
          <w:rStyle w:val="32"/>
          <w:rFonts w:ascii="Times New Roman" w:hAnsi="Times New Roman" w:eastAsia="仿宋_GB2312"/>
          <w:sz w:val="28"/>
          <w:szCs w:val="28"/>
        </w:rPr>
        <w:t>九、 估价方法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_Toc46474435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"_Toc46474436" </w:instrText>
      </w:r>
      <w:r>
        <w:rPr>
          <w:sz w:val="28"/>
          <w:szCs w:val="28"/>
        </w:rPr>
        <w:fldChar w:fldCharType="separate"/>
      </w:r>
      <w:r>
        <w:rPr>
          <w:rStyle w:val="32"/>
          <w:rFonts w:ascii="Times New Roman" w:hAnsi="Times New Roman" w:eastAsia="仿宋_GB2312"/>
          <w:sz w:val="28"/>
          <w:szCs w:val="28"/>
        </w:rPr>
        <w:t>十、 估价结果</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_Toc46474436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"_Toc46474437" </w:instrText>
      </w:r>
      <w:r>
        <w:rPr>
          <w:sz w:val="28"/>
          <w:szCs w:val="28"/>
        </w:rPr>
        <w:fldChar w:fldCharType="separate"/>
      </w:r>
      <w:r>
        <w:rPr>
          <w:rStyle w:val="32"/>
          <w:rFonts w:ascii="Times New Roman" w:hAnsi="Times New Roman" w:eastAsia="仿宋_GB2312"/>
          <w:sz w:val="28"/>
          <w:szCs w:val="28"/>
        </w:rPr>
        <w:t>十一、 注册房地产估价师</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_Toc46474437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"_Toc46474438" </w:instrText>
      </w:r>
      <w:r>
        <w:rPr>
          <w:sz w:val="28"/>
          <w:szCs w:val="28"/>
        </w:rPr>
        <w:fldChar w:fldCharType="separate"/>
      </w:r>
      <w:r>
        <w:rPr>
          <w:rStyle w:val="32"/>
          <w:rFonts w:ascii="Times New Roman" w:hAnsi="Times New Roman" w:eastAsia="仿宋_GB2312"/>
          <w:sz w:val="28"/>
          <w:szCs w:val="28"/>
        </w:rPr>
        <w:t>十二、 实地查勘期</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_Toc46474438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r>
        <w:rPr>
          <w:sz w:val="28"/>
          <w:szCs w:val="28"/>
        </w:rPr>
        <w:fldChar w:fldCharType="begin"/>
      </w:r>
      <w:r>
        <w:rPr>
          <w:sz w:val="28"/>
          <w:szCs w:val="28"/>
        </w:rPr>
        <w:instrText xml:space="preserve"> HYPERLINK \l "_Toc46474439" </w:instrText>
      </w:r>
      <w:r>
        <w:rPr>
          <w:sz w:val="28"/>
          <w:szCs w:val="28"/>
        </w:rPr>
        <w:fldChar w:fldCharType="separate"/>
      </w:r>
      <w:r>
        <w:rPr>
          <w:rStyle w:val="32"/>
          <w:rFonts w:ascii="Times New Roman" w:hAnsi="Times New Roman" w:eastAsia="仿宋_GB2312"/>
          <w:sz w:val="28"/>
          <w:szCs w:val="28"/>
        </w:rPr>
        <w:t>十三、 估价作业期</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_Toc46474439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8"/>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b w:val="0"/>
          <w:bCs w:val="0"/>
          <w:caps w:val="0"/>
          <w:sz w:val="28"/>
          <w:szCs w:val="28"/>
        </w:rPr>
      </w:pPr>
      <w:r>
        <w:rPr>
          <w:sz w:val="28"/>
          <w:szCs w:val="28"/>
        </w:rPr>
        <w:fldChar w:fldCharType="begin"/>
      </w:r>
      <w:r>
        <w:rPr>
          <w:sz w:val="28"/>
          <w:szCs w:val="28"/>
        </w:rPr>
        <w:instrText xml:space="preserve"> HYPERLINK \l "_Toc46474440" </w:instrText>
      </w:r>
      <w:r>
        <w:rPr>
          <w:sz w:val="28"/>
          <w:szCs w:val="28"/>
        </w:rPr>
        <w:fldChar w:fldCharType="separate"/>
      </w:r>
      <w:r>
        <w:rPr>
          <w:rStyle w:val="32"/>
          <w:rFonts w:ascii="Times New Roman" w:hAnsi="Times New Roman" w:eastAsia="仿宋_GB2312"/>
          <w:sz w:val="28"/>
          <w:szCs w:val="28"/>
        </w:rPr>
        <w:t>附   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_Toc46474440 \h </w:instrText>
      </w:r>
      <w:r>
        <w:rPr>
          <w:rFonts w:ascii="Times New Roman" w:hAnsi="Times New Roman" w:eastAsia="仿宋_GB2312"/>
          <w:sz w:val="28"/>
          <w:szCs w:val="28"/>
        </w:rPr>
        <w:fldChar w:fldCharType="separate"/>
      </w:r>
      <w:r>
        <w:rPr>
          <w:rFonts w:ascii="Times New Roman" w:hAnsi="Times New Roman" w:eastAsia="仿宋_GB2312"/>
          <w:sz w:val="28"/>
          <w:szCs w:val="28"/>
        </w:rPr>
        <w:t>12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2"/>
        <w:keepNext w:val="0"/>
        <w:keepLines w:val="0"/>
        <w:pageBreakBefore w:val="0"/>
        <w:widowControl/>
        <w:tabs>
          <w:tab w:val="right" w:leader="dot" w:pos="9333"/>
        </w:tabs>
        <w:kinsoku/>
        <w:wordWrap/>
        <w:overflowPunct/>
        <w:topLinePunct w:val="0"/>
        <w:autoSpaceDE/>
        <w:autoSpaceDN/>
        <w:bidi w:val="0"/>
        <w:adjustRightInd/>
        <w:snapToGrid/>
        <w:spacing w:line="600" w:lineRule="exact"/>
        <w:textAlignment w:val="auto"/>
        <w:rPr>
          <w:rFonts w:ascii="Times New Roman" w:hAnsi="Times New Roman" w:eastAsia="仿宋_GB2312"/>
          <w:smallCaps w:val="0"/>
          <w:sz w:val="28"/>
          <w:szCs w:val="28"/>
        </w:rPr>
      </w:pPr>
    </w:p>
    <w:p>
      <w:pPr>
        <w:pStyle w:val="18"/>
        <w:keepNext w:val="0"/>
        <w:keepLines w:val="0"/>
        <w:pageBreakBefore w:val="0"/>
        <w:widowControl/>
        <w:tabs>
          <w:tab w:val="right" w:leader="dot" w:pos="9333"/>
        </w:tabs>
        <w:kinsoku/>
        <w:wordWrap/>
        <w:overflowPunct/>
        <w:topLinePunct w:val="0"/>
        <w:autoSpaceDE/>
        <w:autoSpaceDN/>
        <w:bidi w:val="0"/>
        <w:adjustRightInd/>
        <w:snapToGrid/>
        <w:spacing w:before="0" w:after="0" w:line="600" w:lineRule="exact"/>
        <w:ind w:firstLine="643"/>
        <w:jc w:val="center"/>
        <w:textAlignment w:val="auto"/>
        <w:rPr>
          <w:rFonts w:ascii="Times New Roman" w:hAnsi="Times New Roman" w:eastAsia="仿宋"/>
          <w:sz w:val="32"/>
          <w:szCs w:val="32"/>
        </w:rPr>
        <w:sectPr>
          <w:headerReference r:id="rId6" w:type="default"/>
          <w:footerReference r:id="rId7" w:type="default"/>
          <w:pgSz w:w="11906" w:h="16838"/>
          <w:pgMar w:top="1440" w:right="986" w:bottom="1440" w:left="1293" w:header="851" w:footer="992" w:gutter="284"/>
          <w:pgNumType w:start="1"/>
          <w:cols w:space="720" w:num="1"/>
          <w:docGrid w:linePitch="312" w:charSpace="0"/>
        </w:sectPr>
      </w:pPr>
      <w:r>
        <w:rPr>
          <w:rFonts w:ascii="Times New Roman" w:hAnsi="Times New Roman" w:eastAsia="仿宋"/>
          <w:b w:val="0"/>
          <w:bCs w:val="0"/>
          <w:caps w:val="0"/>
          <w:color w:val="00B050"/>
          <w:sz w:val="28"/>
          <w:szCs w:val="28"/>
        </w:rPr>
        <w:fldChar w:fldCharType="end"/>
      </w:r>
    </w:p>
    <w:p>
      <w:pPr>
        <w:rPr>
          <w:sz w:val="2"/>
        </w:rPr>
      </w:pPr>
    </w:p>
    <w:p>
      <w:pPr>
        <w:pStyle w:val="2"/>
        <w:spacing w:before="480" w:beforeLines="200" w:line="240" w:lineRule="auto"/>
        <w:jc w:val="center"/>
        <w:rPr>
          <w:rFonts w:eastAsia="仿宋"/>
          <w:color w:val="000000" w:themeColor="text1"/>
          <w:sz w:val="48"/>
          <w:szCs w:val="48"/>
        </w:rPr>
      </w:pPr>
      <w:bookmarkStart w:id="7" w:name="_Toc43456702"/>
      <w:bookmarkStart w:id="8" w:name="_Toc46474421"/>
      <w:r>
        <w:rPr>
          <w:rFonts w:eastAsia="仿宋"/>
          <w:color w:val="000000" w:themeColor="text1"/>
          <w:sz w:val="48"/>
          <w:szCs w:val="48"/>
        </w:rPr>
        <w:t>注册房地产估价师声明</w:t>
      </w:r>
      <w:bookmarkEnd w:id="1"/>
      <w:bookmarkEnd w:id="2"/>
      <w:bookmarkEnd w:id="3"/>
      <w:bookmarkEnd w:id="4"/>
      <w:bookmarkEnd w:id="5"/>
      <w:bookmarkEnd w:id="6"/>
      <w:bookmarkEnd w:id="7"/>
      <w:bookmarkEnd w:id="8"/>
    </w:p>
    <w:p>
      <w:pPr>
        <w:spacing w:before="120" w:line="360" w:lineRule="auto"/>
        <w:ind w:firstLine="520" w:firstLineChars="200"/>
        <w:rPr>
          <w:rFonts w:eastAsia="仿宋"/>
          <w:sz w:val="26"/>
          <w:szCs w:val="26"/>
        </w:rPr>
      </w:pPr>
    </w:p>
    <w:p>
      <w:pPr>
        <w:spacing w:before="120" w:line="360" w:lineRule="auto"/>
        <w:ind w:firstLine="520" w:firstLineChars="200"/>
        <w:rPr>
          <w:rFonts w:eastAsia="仿宋_GB2312"/>
          <w:sz w:val="26"/>
          <w:szCs w:val="26"/>
        </w:rPr>
      </w:pPr>
      <w:r>
        <w:rPr>
          <w:rFonts w:eastAsia="仿宋_GB2312"/>
          <w:sz w:val="26"/>
          <w:szCs w:val="26"/>
        </w:rPr>
        <w:t>一、我们在本估价报告中对事实的说明是真实和准确的，没有虚假记载、误导性陈述和重大遗漏。</w:t>
      </w:r>
    </w:p>
    <w:p>
      <w:pPr>
        <w:spacing w:before="120" w:line="360" w:lineRule="auto"/>
        <w:ind w:firstLine="520" w:firstLineChars="200"/>
        <w:rPr>
          <w:rFonts w:eastAsia="仿宋_GB2312"/>
          <w:sz w:val="26"/>
          <w:szCs w:val="26"/>
        </w:rPr>
      </w:pPr>
      <w:r>
        <w:rPr>
          <w:rFonts w:eastAsia="仿宋_GB2312"/>
          <w:sz w:val="26"/>
          <w:szCs w:val="26"/>
        </w:rPr>
        <w:t>二、本估价报告中的分析、意见和结论是我们独立、客观、公正的专业分析、意见和结论，但受到本估价报告中已经说明的假设和限制条件的限制。</w:t>
      </w:r>
    </w:p>
    <w:p>
      <w:pPr>
        <w:spacing w:before="120" w:line="360" w:lineRule="auto"/>
        <w:ind w:firstLine="520" w:firstLineChars="200"/>
        <w:rPr>
          <w:rFonts w:eastAsia="仿宋_GB2312"/>
          <w:sz w:val="26"/>
          <w:szCs w:val="26"/>
        </w:rPr>
      </w:pPr>
      <w:r>
        <w:rPr>
          <w:rFonts w:eastAsia="仿宋_GB2312"/>
          <w:sz w:val="26"/>
          <w:szCs w:val="26"/>
        </w:rPr>
        <w:t>三、我们与本估价报告中的估价对象没有现实或潜在的利益，与估价委托人及估价利害关系人没有利害关系；对本估价报告中的估价对象、估价委托人及估价利害关系人没有偏见。</w:t>
      </w:r>
    </w:p>
    <w:p>
      <w:pPr>
        <w:spacing w:before="120" w:line="360" w:lineRule="auto"/>
        <w:ind w:firstLine="520" w:firstLineChars="200"/>
        <w:rPr>
          <w:rFonts w:eastAsia="仿宋_GB2312"/>
          <w:sz w:val="26"/>
          <w:szCs w:val="26"/>
        </w:rPr>
      </w:pPr>
      <w:r>
        <w:rPr>
          <w:rFonts w:eastAsia="仿宋_GB2312"/>
          <w:sz w:val="26"/>
          <w:szCs w:val="26"/>
        </w:rPr>
        <w:t>四、我们依照《房地产估价规范》（GB/T50291-2015）、《房地产估价基本术语标准》（GB/T50899-2013）</w:t>
      </w:r>
      <w:r>
        <w:rPr>
          <w:rFonts w:hint="eastAsia" w:eastAsia="仿宋_GB2312"/>
          <w:sz w:val="26"/>
          <w:szCs w:val="26"/>
        </w:rPr>
        <w:t>、</w:t>
      </w:r>
      <w:r>
        <w:rPr>
          <w:rFonts w:eastAsia="仿宋_GB2312"/>
          <w:sz w:val="26"/>
          <w:szCs w:val="26"/>
        </w:rPr>
        <w:t>《涉执房地产处置司法评估指导意见》进行分析，形成意见和结论，撰写估价报告。</w:t>
      </w:r>
    </w:p>
    <w:p>
      <w:pPr>
        <w:spacing w:before="120" w:line="440" w:lineRule="exact"/>
        <w:ind w:firstLine="520" w:firstLineChars="200"/>
        <w:rPr>
          <w:rFonts w:eastAsia="仿宋"/>
          <w:sz w:val="26"/>
          <w:szCs w:val="26"/>
        </w:rPr>
      </w:pPr>
    </w:p>
    <w:p>
      <w:pPr>
        <w:spacing w:before="120" w:line="440" w:lineRule="exact"/>
        <w:ind w:firstLine="520" w:firstLineChars="200"/>
        <w:rPr>
          <w:rFonts w:eastAsia="仿宋"/>
          <w:sz w:val="26"/>
          <w:szCs w:val="26"/>
        </w:rPr>
      </w:pPr>
    </w:p>
    <w:p>
      <w:pPr>
        <w:spacing w:before="120" w:line="440" w:lineRule="exact"/>
        <w:ind w:firstLine="520" w:firstLineChars="200"/>
        <w:rPr>
          <w:rFonts w:eastAsia="仿宋"/>
          <w:sz w:val="26"/>
          <w:szCs w:val="26"/>
        </w:rPr>
      </w:pPr>
    </w:p>
    <w:p>
      <w:pPr>
        <w:spacing w:before="120" w:line="440" w:lineRule="exact"/>
        <w:ind w:firstLine="520" w:firstLineChars="200"/>
        <w:rPr>
          <w:rFonts w:eastAsia="仿宋"/>
          <w:sz w:val="26"/>
          <w:szCs w:val="26"/>
        </w:rPr>
      </w:pPr>
    </w:p>
    <w:p>
      <w:pPr>
        <w:spacing w:before="120" w:line="440" w:lineRule="exact"/>
        <w:ind w:firstLine="520" w:firstLineChars="200"/>
        <w:rPr>
          <w:rFonts w:eastAsia="仿宋"/>
          <w:sz w:val="26"/>
          <w:szCs w:val="26"/>
        </w:rPr>
      </w:pPr>
    </w:p>
    <w:p>
      <w:pPr>
        <w:spacing w:before="120" w:line="440" w:lineRule="exact"/>
        <w:ind w:firstLine="520"/>
        <w:rPr>
          <w:rFonts w:eastAsia="仿宋"/>
          <w:sz w:val="26"/>
          <w:szCs w:val="26"/>
        </w:rPr>
      </w:pPr>
      <w:bookmarkStart w:id="9" w:name="_Toc534210011"/>
      <w:bookmarkStart w:id="10" w:name="_Toc386010980"/>
      <w:bookmarkStart w:id="11" w:name="_Toc3323275"/>
      <w:bookmarkStart w:id="12" w:name="_Toc8295292"/>
      <w:r>
        <w:rPr>
          <w:rFonts w:eastAsia="仿宋"/>
          <w:sz w:val="26"/>
          <w:szCs w:val="26"/>
        </w:rPr>
        <w:br w:type="page"/>
      </w:r>
    </w:p>
    <w:p>
      <w:pPr>
        <w:spacing w:before="120" w:line="440" w:lineRule="exact"/>
        <w:ind w:firstLine="520"/>
        <w:rPr>
          <w:rFonts w:eastAsia="仿宋"/>
          <w:sz w:val="2"/>
          <w:szCs w:val="26"/>
        </w:rPr>
      </w:pPr>
    </w:p>
    <w:p>
      <w:pPr>
        <w:pStyle w:val="2"/>
        <w:spacing w:before="120" w:after="240" w:line="240" w:lineRule="auto"/>
        <w:jc w:val="center"/>
        <w:rPr>
          <w:rFonts w:eastAsia="仿宋"/>
          <w:color w:val="000000" w:themeColor="text1"/>
          <w:sz w:val="48"/>
          <w:szCs w:val="48"/>
        </w:rPr>
      </w:pPr>
      <w:bookmarkStart w:id="13" w:name="_Toc38525651"/>
      <w:bookmarkStart w:id="14" w:name="_Toc34296041"/>
      <w:bookmarkStart w:id="15" w:name="_Toc43456703"/>
      <w:bookmarkStart w:id="16" w:name="_Toc46474422"/>
      <w:r>
        <w:rPr>
          <w:rFonts w:eastAsia="仿宋"/>
          <w:color w:val="000000" w:themeColor="text1"/>
          <w:sz w:val="48"/>
          <w:szCs w:val="48"/>
        </w:rPr>
        <w:t>估价假设和限制条件</w:t>
      </w:r>
      <w:bookmarkEnd w:id="9"/>
      <w:bookmarkEnd w:id="10"/>
      <w:bookmarkEnd w:id="11"/>
      <w:bookmarkEnd w:id="12"/>
      <w:bookmarkEnd w:id="13"/>
      <w:bookmarkEnd w:id="14"/>
      <w:bookmarkEnd w:id="15"/>
      <w:bookmarkEnd w:id="16"/>
    </w:p>
    <w:p>
      <w:pPr>
        <w:pStyle w:val="3"/>
        <w:spacing w:before="120" w:beforeLines="50" w:after="120" w:afterLines="50" w:line="480" w:lineRule="exact"/>
        <w:ind w:firstLine="643" w:firstLineChars="200"/>
        <w:rPr>
          <w:rFonts w:ascii="Times New Roman" w:hAnsi="Times New Roman" w:eastAsia="仿宋"/>
          <w:color w:val="000000"/>
          <w:kern w:val="0"/>
          <w:szCs w:val="28"/>
        </w:rPr>
      </w:pPr>
      <w:bookmarkStart w:id="17" w:name="_Toc411503042"/>
      <w:bookmarkStart w:id="18" w:name="_Toc403487719"/>
      <w:bookmarkStart w:id="19" w:name="_Toc411349620"/>
      <w:bookmarkStart w:id="20" w:name="_Toc38525652"/>
      <w:bookmarkStart w:id="21" w:name="_Toc46474423"/>
      <w:bookmarkStart w:id="22" w:name="_Toc46474324"/>
      <w:bookmarkStart w:id="23" w:name="_Toc43456704"/>
      <w:bookmarkStart w:id="24" w:name="_Toc2346689"/>
      <w:r>
        <w:rPr>
          <w:rFonts w:ascii="Times New Roman" w:hAnsi="Times New Roman" w:eastAsia="仿宋"/>
        </w:rPr>
        <w:t>一、假设</w:t>
      </w:r>
      <w:bookmarkEnd w:id="17"/>
      <w:bookmarkEnd w:id="18"/>
      <w:bookmarkEnd w:id="19"/>
      <w:r>
        <w:rPr>
          <w:rFonts w:ascii="Times New Roman" w:hAnsi="Times New Roman" w:eastAsia="仿宋"/>
        </w:rPr>
        <w:t>前提</w:t>
      </w:r>
      <w:bookmarkEnd w:id="20"/>
      <w:bookmarkEnd w:id="21"/>
      <w:bookmarkEnd w:id="22"/>
      <w:bookmarkEnd w:id="23"/>
      <w:bookmarkEnd w:id="24"/>
    </w:p>
    <w:p>
      <w:pPr>
        <w:spacing w:line="480" w:lineRule="exact"/>
        <w:ind w:firstLine="520" w:firstLineChars="200"/>
        <w:rPr>
          <w:rFonts w:eastAsia="仿宋_GB2312"/>
          <w:sz w:val="26"/>
          <w:szCs w:val="26"/>
        </w:rPr>
      </w:pPr>
      <w:r>
        <w:rPr>
          <w:rFonts w:eastAsia="仿宋_GB2312"/>
          <w:sz w:val="26"/>
          <w:szCs w:val="26"/>
        </w:rPr>
        <w:t>（一）一般假设</w:t>
      </w:r>
    </w:p>
    <w:p>
      <w:pPr>
        <w:spacing w:line="480" w:lineRule="exact"/>
        <w:ind w:firstLine="520" w:firstLineChars="200"/>
        <w:rPr>
          <w:rFonts w:eastAsia="仿宋_GB2312"/>
          <w:sz w:val="26"/>
          <w:szCs w:val="26"/>
        </w:rPr>
      </w:pPr>
      <w:r>
        <w:rPr>
          <w:rFonts w:eastAsia="仿宋_GB2312"/>
          <w:sz w:val="26"/>
          <w:szCs w:val="26"/>
        </w:rPr>
        <w:t>1、估价对象在价值时点的房地产市场为公开、平等、自愿的交易市场，即能满足以下条件：</w:t>
      </w:r>
    </w:p>
    <w:p>
      <w:pPr>
        <w:spacing w:line="480" w:lineRule="exact"/>
        <w:ind w:firstLine="520" w:firstLineChars="200"/>
        <w:rPr>
          <w:rFonts w:eastAsia="仿宋_GB2312"/>
          <w:sz w:val="26"/>
          <w:szCs w:val="26"/>
        </w:rPr>
      </w:pPr>
      <w:r>
        <w:rPr>
          <w:rFonts w:eastAsia="仿宋_GB2312"/>
          <w:sz w:val="26"/>
          <w:szCs w:val="26"/>
        </w:rPr>
        <w:t>（1）交易双方自愿地进行交易；</w:t>
      </w:r>
    </w:p>
    <w:p>
      <w:pPr>
        <w:spacing w:line="480" w:lineRule="exact"/>
        <w:ind w:firstLine="520" w:firstLineChars="200"/>
        <w:rPr>
          <w:rFonts w:eastAsia="仿宋_GB2312"/>
          <w:sz w:val="26"/>
          <w:szCs w:val="26"/>
        </w:rPr>
      </w:pPr>
      <w:r>
        <w:rPr>
          <w:rFonts w:eastAsia="仿宋_GB2312"/>
          <w:sz w:val="26"/>
          <w:szCs w:val="26"/>
        </w:rPr>
        <w:t>（2）交易双方处于利己动机进行交易；</w:t>
      </w:r>
    </w:p>
    <w:p>
      <w:pPr>
        <w:spacing w:line="480" w:lineRule="exact"/>
        <w:ind w:firstLine="520" w:firstLineChars="200"/>
        <w:rPr>
          <w:rFonts w:eastAsia="仿宋_GB2312"/>
          <w:sz w:val="26"/>
          <w:szCs w:val="26"/>
        </w:rPr>
      </w:pPr>
      <w:r>
        <w:rPr>
          <w:rFonts w:eastAsia="仿宋_GB2312"/>
          <w:sz w:val="26"/>
          <w:szCs w:val="26"/>
        </w:rPr>
        <w:t>（3）交易双方精明、谨慎行事，并了解交易对象、知晓市场行情；</w:t>
      </w:r>
    </w:p>
    <w:p>
      <w:pPr>
        <w:spacing w:line="480" w:lineRule="exact"/>
        <w:ind w:firstLine="520" w:firstLineChars="200"/>
        <w:rPr>
          <w:rFonts w:eastAsia="仿宋_GB2312"/>
          <w:sz w:val="26"/>
          <w:szCs w:val="26"/>
        </w:rPr>
      </w:pPr>
      <w:r>
        <w:rPr>
          <w:rFonts w:eastAsia="仿宋_GB2312"/>
          <w:sz w:val="26"/>
          <w:szCs w:val="26"/>
        </w:rPr>
        <w:t>（4）交易双方有充裕的时间进行交易；</w:t>
      </w:r>
    </w:p>
    <w:p>
      <w:pPr>
        <w:spacing w:line="480" w:lineRule="exact"/>
        <w:ind w:firstLine="520" w:firstLineChars="200"/>
        <w:rPr>
          <w:rFonts w:eastAsia="仿宋_GB2312"/>
          <w:sz w:val="26"/>
          <w:szCs w:val="26"/>
        </w:rPr>
      </w:pPr>
      <w:r>
        <w:rPr>
          <w:rFonts w:eastAsia="仿宋_GB2312"/>
          <w:sz w:val="26"/>
          <w:szCs w:val="26"/>
        </w:rPr>
        <w:t>（5）不存在买者因特殊兴趣而给予附加出价。</w:t>
      </w:r>
    </w:p>
    <w:p>
      <w:pPr>
        <w:spacing w:line="480" w:lineRule="exact"/>
        <w:ind w:firstLine="520" w:firstLineChars="200"/>
        <w:rPr>
          <w:rFonts w:eastAsia="仿宋_GB2312"/>
          <w:sz w:val="26"/>
          <w:szCs w:val="26"/>
        </w:rPr>
      </w:pPr>
      <w:r>
        <w:rPr>
          <w:rFonts w:eastAsia="仿宋_GB2312"/>
          <w:sz w:val="26"/>
          <w:szCs w:val="26"/>
        </w:rPr>
        <w:t>2、估价委托人提供了估价对象的相关资料，其真实性、合法性和完整性由估价委托人负责；估价人员在无理由怀疑其合法性、真实性、准确性和完整性的情况下，假定估价委托人提供的资料合法、真实、准确、完整。如因估价委托人提供资料有误而造成评估值失实，估价机构和估价师不承担相应责任。</w:t>
      </w:r>
    </w:p>
    <w:p>
      <w:pPr>
        <w:spacing w:line="480" w:lineRule="exact"/>
        <w:ind w:firstLine="520" w:firstLineChars="200"/>
        <w:rPr>
          <w:rFonts w:eastAsia="仿宋_GB2312"/>
          <w:sz w:val="26"/>
          <w:szCs w:val="26"/>
        </w:rPr>
      </w:pPr>
      <w:r>
        <w:rPr>
          <w:rFonts w:eastAsia="仿宋_GB2312"/>
          <w:sz w:val="26"/>
          <w:szCs w:val="26"/>
        </w:rPr>
        <w:t>3、由于专业知识的局限性，估价人员仅对房屋安全、环境污染等影响估价对象价值的重大因素作了一般性的查看，在无理由怀疑估价对象存在安全隐患且无相应鉴定、检测的情况下，假定估价对象能正常安全使用。</w:t>
      </w:r>
    </w:p>
    <w:p>
      <w:pPr>
        <w:spacing w:line="480" w:lineRule="exact"/>
        <w:ind w:firstLine="520" w:firstLineChars="200"/>
        <w:rPr>
          <w:rFonts w:eastAsia="仿宋_GB2312"/>
          <w:sz w:val="26"/>
          <w:szCs w:val="26"/>
        </w:rPr>
      </w:pPr>
      <w:r>
        <w:rPr>
          <w:rFonts w:eastAsia="仿宋_GB2312"/>
          <w:sz w:val="26"/>
          <w:szCs w:val="26"/>
        </w:rPr>
        <w:t>4、根据估价目的，本次估价的价值标准为公开市场价值，未考虑租赁、抵押、查封对估价结果的影响。</w:t>
      </w:r>
    </w:p>
    <w:p>
      <w:pPr>
        <w:spacing w:line="480" w:lineRule="exact"/>
        <w:ind w:firstLine="520" w:firstLineChars="200"/>
        <w:rPr>
          <w:rFonts w:eastAsia="仿宋_GB2312"/>
          <w:sz w:val="26"/>
          <w:szCs w:val="26"/>
        </w:rPr>
      </w:pPr>
      <w:r>
        <w:rPr>
          <w:rFonts w:eastAsia="仿宋_GB2312"/>
          <w:sz w:val="26"/>
          <w:szCs w:val="26"/>
        </w:rPr>
        <w:t>5、本次评估未考虑宏观经济政策变化及自然和其他不可抗力等因素对房地产价值的影响，也未考虑特殊交易方式下的特殊交易价格对估价结果的影响。假设当地房地产供求状况在未来一年内不会发生大的变化。</w:t>
      </w:r>
    </w:p>
    <w:p>
      <w:pPr>
        <w:spacing w:line="480" w:lineRule="exact"/>
        <w:ind w:firstLine="520" w:firstLineChars="200"/>
        <w:rPr>
          <w:rFonts w:eastAsia="仿宋_GB2312"/>
          <w:sz w:val="26"/>
          <w:szCs w:val="26"/>
        </w:rPr>
      </w:pPr>
      <w:r>
        <w:rPr>
          <w:rFonts w:eastAsia="仿宋_GB2312"/>
          <w:sz w:val="26"/>
          <w:szCs w:val="26"/>
        </w:rPr>
        <w:t>6、本估价结果没有考虑快速变现、税费转嫁等特殊的交易方式，以及可能发生的办理权利转移相关费用对估价对象价值的影响，如上述条件发生变化，估价结果需做相应调整。</w:t>
      </w:r>
    </w:p>
    <w:p>
      <w:pPr>
        <w:spacing w:line="480" w:lineRule="exact"/>
        <w:ind w:firstLine="520" w:firstLineChars="200"/>
        <w:rPr>
          <w:rFonts w:eastAsia="仿宋_GB2312"/>
          <w:sz w:val="26"/>
          <w:szCs w:val="26"/>
        </w:rPr>
      </w:pPr>
      <w:r>
        <w:rPr>
          <w:rFonts w:eastAsia="仿宋_GB2312"/>
          <w:sz w:val="26"/>
          <w:szCs w:val="26"/>
        </w:rPr>
        <w:t>7、假定人民法院拍卖（或者变卖）财产之日的评估对象状况和房地产市场状况与实地查勘完成之日的状况相同。</w:t>
      </w:r>
    </w:p>
    <w:p>
      <w:pPr>
        <w:spacing w:line="480" w:lineRule="exact"/>
        <w:ind w:firstLine="520" w:firstLineChars="200"/>
        <w:rPr>
          <w:rFonts w:eastAsia="仿宋_GB2312"/>
          <w:sz w:val="26"/>
          <w:szCs w:val="26"/>
        </w:rPr>
      </w:pPr>
      <w:r>
        <w:rPr>
          <w:rFonts w:eastAsia="仿宋_GB2312"/>
          <w:sz w:val="26"/>
          <w:szCs w:val="26"/>
        </w:rPr>
        <w:t>（二）未定事项假设</w:t>
      </w:r>
    </w:p>
    <w:p>
      <w:pPr>
        <w:widowControl w:val="0"/>
        <w:spacing w:line="480" w:lineRule="exact"/>
        <w:ind w:firstLine="525" w:firstLineChars="202"/>
        <w:rPr>
          <w:rFonts w:eastAsia="仿宋_GB2312"/>
          <w:color w:val="000000" w:themeColor="text1"/>
          <w:kern w:val="0"/>
          <w:sz w:val="26"/>
          <w:szCs w:val="26"/>
        </w:rPr>
      </w:pPr>
      <w:r>
        <w:rPr>
          <w:rFonts w:eastAsia="仿宋_GB2312"/>
          <w:color w:val="000000" w:themeColor="text1"/>
          <w:kern w:val="0"/>
          <w:sz w:val="26"/>
          <w:szCs w:val="26"/>
        </w:rPr>
        <w:t>1、由于估价对象产权人未到现场配合估价人员现场查勘，估价人员无法进入估价对象室内进行查看；经估价人员对估价对象相邻楼下同户型房屋室内观察，设定估价对象为二室一厅一卫一厨户型；另本次估价设定估价对象室内装修为一般装修，设定地下室为一室，简单装修，如室内实际状况发生变化，本次评估结果需做相应调整，特请报告使用人注意。</w:t>
      </w:r>
    </w:p>
    <w:p>
      <w:pPr>
        <w:widowControl w:val="0"/>
        <w:spacing w:line="480" w:lineRule="exact"/>
        <w:ind w:firstLine="525" w:firstLineChars="202"/>
        <w:rPr>
          <w:rFonts w:eastAsia="仿宋_GB2312"/>
          <w:sz w:val="26"/>
          <w:szCs w:val="26"/>
        </w:rPr>
      </w:pPr>
      <w:r>
        <w:rPr>
          <w:rFonts w:eastAsia="仿宋_GB2312"/>
          <w:sz w:val="26"/>
          <w:szCs w:val="26"/>
        </w:rPr>
        <w:t>2、根据估价委托人提供的相关资料显示，估价对象为陈全贵、李会萍共有，但共有形式不明晰，在此提供报告使用者注意。</w:t>
      </w:r>
    </w:p>
    <w:p>
      <w:pPr>
        <w:widowControl w:val="0"/>
        <w:spacing w:line="480" w:lineRule="exact"/>
        <w:ind w:firstLine="525" w:firstLineChars="202"/>
        <w:rPr>
          <w:rFonts w:eastAsia="仿宋_GB2312"/>
          <w:sz w:val="26"/>
          <w:szCs w:val="26"/>
        </w:rPr>
      </w:pPr>
      <w:r>
        <w:rPr>
          <w:rFonts w:eastAsia="仿宋_GB2312"/>
          <w:sz w:val="26"/>
          <w:szCs w:val="26"/>
        </w:rPr>
        <w:t>3、由于估计委托人未提供估价对象《不动产权证书》，仅提供《不动产登记信息》（复印件），估价对象房屋性质、分摊土地使用权面积、性质、使用期限等信息不明晰；本次估价设定估价对象房屋性质为商品房，分摊土地使用权性质为出让，用途为城镇住宅用地。若上述设定情况与实际情况不符，本次评估结果需做相应调整，特请报告使用人注意。</w:t>
      </w:r>
    </w:p>
    <w:p>
      <w:pPr>
        <w:spacing w:line="480" w:lineRule="exact"/>
        <w:ind w:firstLine="520" w:firstLineChars="200"/>
        <w:rPr>
          <w:rFonts w:eastAsia="仿宋_GB2312"/>
          <w:sz w:val="26"/>
          <w:szCs w:val="26"/>
        </w:rPr>
      </w:pPr>
      <w:r>
        <w:rPr>
          <w:rFonts w:eastAsia="仿宋_GB2312"/>
          <w:sz w:val="26"/>
          <w:szCs w:val="26"/>
        </w:rPr>
        <w:t>（三）背离事实假设</w:t>
      </w:r>
    </w:p>
    <w:p>
      <w:pPr>
        <w:spacing w:line="480" w:lineRule="exact"/>
        <w:ind w:firstLine="520" w:firstLineChars="200"/>
        <w:rPr>
          <w:rFonts w:eastAsia="仿宋_GB2312"/>
          <w:sz w:val="26"/>
          <w:szCs w:val="26"/>
        </w:rPr>
      </w:pPr>
      <w:r>
        <w:rPr>
          <w:rFonts w:eastAsia="仿宋_GB2312"/>
          <w:sz w:val="26"/>
          <w:szCs w:val="26"/>
        </w:rPr>
        <w:t>本次估价对象无背离事实情况，故无背离事实假设。</w:t>
      </w:r>
    </w:p>
    <w:p>
      <w:pPr>
        <w:spacing w:line="480" w:lineRule="exact"/>
        <w:ind w:firstLine="520" w:firstLineChars="200"/>
        <w:rPr>
          <w:rFonts w:eastAsia="仿宋_GB2312"/>
          <w:sz w:val="26"/>
          <w:szCs w:val="26"/>
        </w:rPr>
      </w:pPr>
      <w:r>
        <w:rPr>
          <w:rFonts w:eastAsia="仿宋_GB2312"/>
          <w:sz w:val="26"/>
          <w:szCs w:val="26"/>
        </w:rPr>
        <w:t>（四）不相一致假设</w:t>
      </w:r>
    </w:p>
    <w:p>
      <w:pPr>
        <w:spacing w:line="480" w:lineRule="exact"/>
        <w:ind w:firstLine="520" w:firstLineChars="200"/>
        <w:rPr>
          <w:rFonts w:eastAsia="仿宋_GB2312"/>
          <w:sz w:val="26"/>
          <w:szCs w:val="26"/>
        </w:rPr>
      </w:pPr>
      <w:r>
        <w:rPr>
          <w:rFonts w:eastAsia="仿宋_GB2312"/>
          <w:sz w:val="26"/>
          <w:szCs w:val="26"/>
        </w:rPr>
        <w:t>本次估价对象无不相一致情况，故无不相一致假设。</w:t>
      </w:r>
    </w:p>
    <w:p>
      <w:pPr>
        <w:spacing w:line="480" w:lineRule="exact"/>
        <w:ind w:firstLine="520" w:firstLineChars="200"/>
        <w:rPr>
          <w:rFonts w:eastAsia="仿宋_GB2312"/>
          <w:sz w:val="26"/>
          <w:szCs w:val="26"/>
        </w:rPr>
      </w:pPr>
      <w:r>
        <w:rPr>
          <w:rFonts w:eastAsia="仿宋_GB2312"/>
          <w:sz w:val="26"/>
          <w:szCs w:val="26"/>
        </w:rPr>
        <w:t>（五）依据不足假设</w:t>
      </w:r>
    </w:p>
    <w:p>
      <w:pPr>
        <w:spacing w:line="480" w:lineRule="exact"/>
        <w:ind w:firstLine="520" w:firstLineChars="200"/>
        <w:rPr>
          <w:rFonts w:eastAsia="仿宋_GB2312"/>
          <w:sz w:val="26"/>
          <w:szCs w:val="26"/>
        </w:rPr>
      </w:pPr>
      <w:r>
        <w:rPr>
          <w:rFonts w:eastAsia="仿宋_GB2312"/>
          <w:sz w:val="26"/>
          <w:szCs w:val="26"/>
        </w:rPr>
        <w:t>本次估价对象无依据不足情况，故无依据不足假设。</w:t>
      </w:r>
    </w:p>
    <w:p>
      <w:pPr>
        <w:pStyle w:val="3"/>
        <w:spacing w:before="120" w:beforeLines="50" w:after="120" w:afterLines="50" w:line="480" w:lineRule="exact"/>
        <w:ind w:firstLine="565" w:firstLineChars="176"/>
        <w:rPr>
          <w:rFonts w:ascii="Times New Roman" w:hAnsi="Times New Roman" w:eastAsia="仿宋"/>
        </w:rPr>
      </w:pPr>
      <w:bookmarkStart w:id="25" w:name="_Toc46474424"/>
      <w:bookmarkStart w:id="26" w:name="_Toc43456705"/>
      <w:bookmarkStart w:id="27" w:name="_Toc46474325"/>
      <w:r>
        <w:rPr>
          <w:rFonts w:ascii="Times New Roman" w:hAnsi="Times New Roman" w:eastAsia="仿宋"/>
        </w:rPr>
        <w:t>二、估价限制条件</w:t>
      </w:r>
      <w:bookmarkEnd w:id="25"/>
      <w:bookmarkEnd w:id="26"/>
      <w:bookmarkEnd w:id="27"/>
    </w:p>
    <w:p>
      <w:pPr>
        <w:spacing w:line="480" w:lineRule="exact"/>
        <w:ind w:firstLine="520" w:firstLineChars="200"/>
        <w:rPr>
          <w:rFonts w:eastAsia="仿宋_GB2312"/>
          <w:sz w:val="26"/>
          <w:szCs w:val="26"/>
        </w:rPr>
      </w:pPr>
      <w:bookmarkStart w:id="28" w:name="_Toc19107187"/>
      <w:bookmarkStart w:id="29" w:name="_Toc386010983"/>
      <w:bookmarkStart w:id="30" w:name="_Toc534210012"/>
      <w:bookmarkStart w:id="31" w:name="_Toc3323276"/>
      <w:bookmarkStart w:id="32" w:name="_Toc8295293"/>
      <w:bookmarkStart w:id="33" w:name="_Toc3323279"/>
      <w:bookmarkStart w:id="34" w:name="_Toc8295296"/>
      <w:bookmarkStart w:id="35" w:name="_Toc534210015"/>
      <w:r>
        <w:rPr>
          <w:rFonts w:eastAsia="仿宋_GB2312"/>
          <w:sz w:val="26"/>
          <w:szCs w:val="26"/>
        </w:rPr>
        <w:t>1、本报告以估价委托人确定的范围为前提进行估价。估价人员在估价委托人相关人员配合下对估价对象进行现场调查并由其确认，如果相关指认有误，应对本报告评估结果作相应调整或重新评估。</w:t>
      </w:r>
    </w:p>
    <w:p>
      <w:pPr>
        <w:spacing w:line="480" w:lineRule="exact"/>
        <w:ind w:firstLine="520" w:firstLineChars="200"/>
        <w:rPr>
          <w:rFonts w:eastAsia="仿宋_GB2312"/>
          <w:color w:val="000000" w:themeColor="text1"/>
          <w:sz w:val="26"/>
          <w:szCs w:val="26"/>
        </w:rPr>
      </w:pPr>
      <w:r>
        <w:rPr>
          <w:rFonts w:eastAsia="仿宋_GB2312"/>
          <w:color w:val="000000" w:themeColor="text1"/>
          <w:sz w:val="26"/>
          <w:szCs w:val="26"/>
        </w:rPr>
        <w:t>2、根据《中华人民共和国物权法》第一百四十九条规定“住宅建设用地使用权期间届满后自动续期”，本次估价对象尚可使用年限按照房屋建筑物剩余可使用年限计算。</w:t>
      </w:r>
    </w:p>
    <w:p>
      <w:pPr>
        <w:spacing w:line="480" w:lineRule="exact"/>
        <w:ind w:firstLine="520" w:firstLineChars="200"/>
        <w:rPr>
          <w:rFonts w:eastAsia="仿宋_GB2312"/>
          <w:sz w:val="26"/>
          <w:szCs w:val="26"/>
        </w:rPr>
      </w:pPr>
      <w:r>
        <w:rPr>
          <w:rFonts w:eastAsia="仿宋_GB2312"/>
          <w:sz w:val="26"/>
          <w:szCs w:val="26"/>
        </w:rPr>
        <w:t>3、本估价报告若出现文字或数字因打印、校对及其他原因发生误差时，请估价委托人及时通知本公司更正，否则，误差部分无效。</w:t>
      </w:r>
    </w:p>
    <w:p>
      <w:pPr>
        <w:spacing w:line="480" w:lineRule="exact"/>
        <w:ind w:firstLine="520" w:firstLineChars="200"/>
        <w:rPr>
          <w:rFonts w:eastAsia="仿宋_GB2312"/>
          <w:sz w:val="26"/>
          <w:szCs w:val="26"/>
        </w:rPr>
      </w:pPr>
      <w:r>
        <w:rPr>
          <w:rFonts w:eastAsia="仿宋_GB2312"/>
          <w:sz w:val="26"/>
          <w:szCs w:val="26"/>
        </w:rPr>
        <w:t>4、未经估价单位书面同意，本估价报告的全部或任何部分均不得使用于公开文件、通告或报告中，也不得以任何形式公开发表。本估价报告对任何第三者及其他目的用途不承担责任。</w:t>
      </w:r>
    </w:p>
    <w:p>
      <w:pPr>
        <w:spacing w:line="480" w:lineRule="exact"/>
        <w:ind w:firstLine="520" w:firstLineChars="200"/>
        <w:rPr>
          <w:rFonts w:eastAsia="仿宋_GB2312"/>
          <w:sz w:val="26"/>
          <w:szCs w:val="26"/>
        </w:rPr>
      </w:pPr>
      <w:r>
        <w:rPr>
          <w:rFonts w:eastAsia="仿宋_GB2312"/>
          <w:sz w:val="26"/>
          <w:szCs w:val="26"/>
        </w:rPr>
        <w:t>5、本估价报告的估价结果，需经宁夏宇川房地产评估咨询事务所（有限公司）盖章及注册房地产估价师签字，并作为一个整体完整使用时有效。本公司对本次估价结果拥有最终解释权。</w:t>
      </w:r>
    </w:p>
    <w:p>
      <w:pPr>
        <w:spacing w:line="480" w:lineRule="exact"/>
        <w:ind w:firstLine="520" w:firstLineChars="200"/>
        <w:rPr>
          <w:rFonts w:eastAsia="仿宋_GB2312"/>
          <w:color w:val="000000" w:themeColor="text1"/>
          <w:sz w:val="26"/>
          <w:szCs w:val="26"/>
        </w:rPr>
      </w:pPr>
      <w:r>
        <w:rPr>
          <w:rFonts w:eastAsia="仿宋_GB2312"/>
          <w:color w:val="000000" w:themeColor="text1"/>
          <w:sz w:val="26"/>
          <w:szCs w:val="26"/>
        </w:rPr>
        <w:t>6、估价报告使用期限自报告出具之日起一年，即：2020年7月27日至2021年7月26日。</w:t>
      </w:r>
    </w:p>
    <w:bookmarkEnd w:id="28"/>
    <w:p>
      <w:pPr>
        <w:pStyle w:val="3"/>
        <w:spacing w:before="120" w:beforeLines="50" w:after="120" w:afterLines="50" w:line="480" w:lineRule="exact"/>
        <w:ind w:firstLine="565" w:firstLineChars="176"/>
        <w:rPr>
          <w:rFonts w:ascii="Times New Roman" w:hAnsi="Times New Roman" w:eastAsia="仿宋"/>
          <w:color w:val="000000" w:themeColor="text1"/>
        </w:rPr>
      </w:pPr>
      <w:bookmarkStart w:id="36" w:name="_Toc38525653"/>
      <w:bookmarkStart w:id="37" w:name="_Toc43456706"/>
      <w:bookmarkStart w:id="38" w:name="_Toc46474425"/>
      <w:bookmarkStart w:id="39" w:name="_Toc46474326"/>
      <w:r>
        <w:rPr>
          <w:rFonts w:ascii="Times New Roman" w:hAnsi="Times New Roman" w:eastAsia="仿宋"/>
          <w:color w:val="000000" w:themeColor="text1"/>
        </w:rPr>
        <w:t>三、估价结果使用特别提示</w:t>
      </w:r>
      <w:bookmarkEnd w:id="36"/>
      <w:bookmarkEnd w:id="37"/>
      <w:bookmarkEnd w:id="38"/>
      <w:bookmarkEnd w:id="39"/>
    </w:p>
    <w:p>
      <w:pPr>
        <w:spacing w:line="480" w:lineRule="exact"/>
        <w:ind w:firstLine="520" w:firstLineChars="200"/>
        <w:rPr>
          <w:rFonts w:eastAsia="仿宋"/>
          <w:color w:val="00B050"/>
          <w:sz w:val="26"/>
          <w:szCs w:val="26"/>
        </w:rPr>
      </w:pPr>
      <w:r>
        <w:rPr>
          <w:rFonts w:eastAsia="仿宋"/>
          <w:color w:val="000000" w:themeColor="text1"/>
          <w:sz w:val="26"/>
          <w:szCs w:val="26"/>
        </w:rPr>
        <w:t>1、在</w:t>
      </w:r>
      <w:r>
        <w:rPr>
          <w:rFonts w:hint="eastAsia" w:eastAsia="仿宋"/>
          <w:color w:val="000000" w:themeColor="text1"/>
          <w:sz w:val="26"/>
          <w:szCs w:val="26"/>
        </w:rPr>
        <w:t>估价报告使用期限内</w:t>
      </w:r>
      <w:r>
        <w:rPr>
          <w:rFonts w:eastAsia="仿宋"/>
          <w:color w:val="000000" w:themeColor="text1"/>
          <w:sz w:val="26"/>
          <w:szCs w:val="26"/>
        </w:rPr>
        <w:t>，估价对象状况或者房地产市场发生明显变化的，估价结果应当进行调整</w:t>
      </w:r>
      <w:r>
        <w:rPr>
          <w:rFonts w:hint="eastAsia" w:eastAsia="仿宋"/>
          <w:color w:val="000000" w:themeColor="text1"/>
          <w:sz w:val="26"/>
          <w:szCs w:val="26"/>
        </w:rPr>
        <w:t>。</w:t>
      </w:r>
    </w:p>
    <w:p>
      <w:pPr>
        <w:spacing w:line="480" w:lineRule="exact"/>
        <w:ind w:firstLine="520" w:firstLineChars="200"/>
        <w:rPr>
          <w:rFonts w:eastAsia="仿宋"/>
          <w:sz w:val="26"/>
          <w:szCs w:val="26"/>
        </w:rPr>
      </w:pPr>
      <w:r>
        <w:rPr>
          <w:rFonts w:eastAsia="仿宋"/>
          <w:sz w:val="26"/>
          <w:szCs w:val="26"/>
        </w:rPr>
        <w:t>2、因财产拍卖（或者变卖）日期与价值时点不一致，估价对象状况或者房地产市场状况的变化会对估价结果产生影响</w:t>
      </w:r>
      <w:r>
        <w:rPr>
          <w:rFonts w:hint="eastAsia" w:eastAsia="仿宋"/>
          <w:sz w:val="26"/>
          <w:szCs w:val="26"/>
        </w:rPr>
        <w:t>。</w:t>
      </w:r>
    </w:p>
    <w:p>
      <w:pPr>
        <w:spacing w:line="480" w:lineRule="exact"/>
        <w:ind w:firstLine="520" w:firstLineChars="200"/>
        <w:rPr>
          <w:rFonts w:eastAsia="仿宋"/>
          <w:sz w:val="26"/>
          <w:szCs w:val="26"/>
        </w:rPr>
      </w:pPr>
      <w:r>
        <w:rPr>
          <w:rFonts w:eastAsia="仿宋"/>
          <w:sz w:val="26"/>
          <w:szCs w:val="26"/>
        </w:rPr>
        <w:t>3、委托人或者估价报告使用人应当按照法律规定和估价报告载明的使用范围使用估价报告，违反该规定使用估价报告的，房地产估价机构和注册房地产估价师依法不承担责任</w:t>
      </w:r>
      <w:r>
        <w:rPr>
          <w:rFonts w:hint="eastAsia" w:eastAsia="仿宋"/>
          <w:sz w:val="26"/>
          <w:szCs w:val="26"/>
        </w:rPr>
        <w:t>。</w:t>
      </w:r>
    </w:p>
    <w:p>
      <w:pPr>
        <w:spacing w:line="480" w:lineRule="exact"/>
        <w:ind w:firstLine="520" w:firstLineChars="200"/>
        <w:rPr>
          <w:rFonts w:eastAsia="仿宋"/>
          <w:sz w:val="26"/>
          <w:szCs w:val="26"/>
        </w:rPr>
      </w:pPr>
      <w:r>
        <w:rPr>
          <w:rFonts w:eastAsia="仿宋"/>
          <w:sz w:val="26"/>
          <w:szCs w:val="26"/>
        </w:rPr>
        <w:t>4、评估结果不等于估价对象处置可实现的成交价，评估结果不应被认为是对估价对象处置成交价的保证。</w:t>
      </w:r>
    </w:p>
    <w:p>
      <w:pPr>
        <w:tabs>
          <w:tab w:val="left" w:pos="6355"/>
        </w:tabs>
        <w:spacing w:line="480" w:lineRule="exact"/>
        <w:ind w:firstLine="520" w:firstLineChars="200"/>
        <w:rPr>
          <w:rFonts w:eastAsia="仿宋"/>
          <w:sz w:val="26"/>
          <w:szCs w:val="26"/>
        </w:rPr>
      </w:pPr>
      <w:r>
        <w:rPr>
          <w:rFonts w:eastAsia="仿宋"/>
          <w:sz w:val="26"/>
          <w:szCs w:val="26"/>
        </w:rPr>
        <w:t>5、本次评估结果是在估价对象满足全部估价的假设和限制前提条件下评估出的市场价值：</w:t>
      </w:r>
      <w:r>
        <w:rPr>
          <w:rFonts w:hint="eastAsia" w:ascii="宋体" w:hAnsi="宋体" w:cs="宋体"/>
          <w:sz w:val="26"/>
          <w:szCs w:val="26"/>
        </w:rPr>
        <w:t>⑴</w:t>
      </w:r>
      <w:r>
        <w:rPr>
          <w:rFonts w:eastAsia="仿宋"/>
          <w:sz w:val="26"/>
          <w:szCs w:val="26"/>
        </w:rPr>
        <w:t>估价对象产权完整且产权无异议；</w:t>
      </w:r>
      <w:r>
        <w:rPr>
          <w:rFonts w:hint="eastAsia" w:ascii="宋体" w:hAnsi="宋体" w:cs="宋体"/>
          <w:sz w:val="26"/>
          <w:szCs w:val="26"/>
        </w:rPr>
        <w:t>⑵</w:t>
      </w:r>
      <w:r>
        <w:rPr>
          <w:rFonts w:eastAsia="仿宋"/>
          <w:sz w:val="26"/>
          <w:szCs w:val="26"/>
        </w:rPr>
        <w:t>能够正常转让交易。</w:t>
      </w:r>
    </w:p>
    <w:p>
      <w:pPr>
        <w:tabs>
          <w:tab w:val="left" w:pos="6355"/>
        </w:tabs>
        <w:spacing w:line="480" w:lineRule="exact"/>
        <w:ind w:firstLine="520" w:firstLineChars="200"/>
        <w:rPr>
          <w:rFonts w:eastAsia="仿宋"/>
          <w:sz w:val="26"/>
          <w:szCs w:val="26"/>
        </w:rPr>
      </w:pPr>
      <w:r>
        <w:rPr>
          <w:rFonts w:eastAsia="仿宋"/>
          <w:sz w:val="26"/>
          <w:szCs w:val="26"/>
        </w:rPr>
        <w:t>6、当事人对本估价报告有异议的，自收到估价报告之日起10日内，向估价委托人提出书面复核申请，并由估价委托人向本估价机构提出书面申请进行复核。</w:t>
      </w:r>
    </w:p>
    <w:p>
      <w:pPr>
        <w:spacing w:before="120" w:line="480" w:lineRule="exact"/>
        <w:ind w:firstLine="520" w:firstLineChars="200"/>
        <w:rPr>
          <w:rFonts w:eastAsia="仿宋"/>
          <w:sz w:val="26"/>
          <w:szCs w:val="26"/>
        </w:rPr>
      </w:pPr>
    </w:p>
    <w:p>
      <w:pPr>
        <w:spacing w:before="120" w:line="480" w:lineRule="exact"/>
        <w:ind w:firstLine="520" w:firstLineChars="200"/>
        <w:rPr>
          <w:rFonts w:eastAsia="仿宋"/>
          <w:sz w:val="26"/>
          <w:szCs w:val="26"/>
        </w:rPr>
      </w:pPr>
    </w:p>
    <w:p>
      <w:pPr>
        <w:spacing w:before="120" w:line="480" w:lineRule="exact"/>
        <w:ind w:firstLine="520" w:firstLineChars="200"/>
        <w:rPr>
          <w:rFonts w:eastAsia="仿宋"/>
          <w:sz w:val="26"/>
          <w:szCs w:val="26"/>
        </w:rPr>
      </w:pPr>
      <w:r>
        <w:rPr>
          <w:rFonts w:eastAsia="仿宋"/>
          <w:sz w:val="26"/>
          <w:szCs w:val="26"/>
        </w:rPr>
        <w:br w:type="page"/>
      </w:r>
    </w:p>
    <w:p>
      <w:pPr>
        <w:pStyle w:val="2"/>
        <w:spacing w:before="120" w:after="120" w:line="240" w:lineRule="auto"/>
        <w:jc w:val="center"/>
        <w:rPr>
          <w:rFonts w:eastAsia="仿宋"/>
          <w:sz w:val="48"/>
          <w:szCs w:val="48"/>
        </w:rPr>
      </w:pPr>
      <w:bookmarkStart w:id="40" w:name="_Toc38525654"/>
      <w:bookmarkStart w:id="41" w:name="_Toc46474426"/>
      <w:bookmarkStart w:id="42" w:name="_Toc43456707"/>
      <w:bookmarkStart w:id="43" w:name="_Toc34296042"/>
      <w:r>
        <w:rPr>
          <w:rFonts w:eastAsia="仿宋"/>
          <w:sz w:val="48"/>
          <w:szCs w:val="48"/>
        </w:rPr>
        <w:t>房地产估价结果报告</w:t>
      </w:r>
      <w:bookmarkEnd w:id="29"/>
      <w:bookmarkEnd w:id="30"/>
      <w:bookmarkEnd w:id="31"/>
      <w:bookmarkEnd w:id="32"/>
      <w:bookmarkEnd w:id="40"/>
      <w:bookmarkEnd w:id="41"/>
      <w:bookmarkEnd w:id="42"/>
      <w:bookmarkEnd w:id="43"/>
    </w:p>
    <w:p>
      <w:pPr>
        <w:tabs>
          <w:tab w:val="left" w:pos="2520"/>
        </w:tabs>
        <w:spacing w:before="120" w:after="240" w:afterLines="100" w:line="480" w:lineRule="exact"/>
        <w:jc w:val="center"/>
        <w:rPr>
          <w:rFonts w:eastAsia="仿宋"/>
          <w:color w:val="000000" w:themeColor="text1"/>
          <w:sz w:val="26"/>
          <w:szCs w:val="26"/>
        </w:rPr>
      </w:pPr>
      <w:r>
        <w:rPr>
          <w:rFonts w:eastAsia="仿宋"/>
          <w:color w:val="000000" w:themeColor="text1"/>
          <w:sz w:val="26"/>
          <w:szCs w:val="26"/>
        </w:rPr>
        <w:t>宁宇川估字第鉴[2020]0034号</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44" w:name="_Toc34296043"/>
      <w:bookmarkStart w:id="45" w:name="_Toc8295294"/>
      <w:bookmarkStart w:id="46" w:name="_Toc386010984"/>
      <w:bookmarkStart w:id="47" w:name="_Toc534210013"/>
      <w:bookmarkStart w:id="48" w:name="_Toc3323277"/>
      <w:bookmarkStart w:id="49" w:name="_Toc38525655"/>
      <w:bookmarkStart w:id="50" w:name="_Toc43456708"/>
      <w:bookmarkStart w:id="51" w:name="_Toc46474427"/>
      <w:r>
        <w:rPr>
          <w:rFonts w:ascii="Times New Roman" w:hAnsi="Times New Roman" w:eastAsia="仿宋"/>
          <w:sz w:val="30"/>
          <w:szCs w:val="30"/>
        </w:rPr>
        <w:t>估价委托人</w:t>
      </w:r>
      <w:bookmarkEnd w:id="44"/>
      <w:bookmarkEnd w:id="45"/>
      <w:bookmarkEnd w:id="46"/>
      <w:bookmarkEnd w:id="47"/>
      <w:bookmarkEnd w:id="48"/>
      <w:bookmarkEnd w:id="49"/>
      <w:bookmarkEnd w:id="50"/>
      <w:bookmarkEnd w:id="51"/>
    </w:p>
    <w:p>
      <w:pPr>
        <w:tabs>
          <w:tab w:val="left" w:pos="2520"/>
        </w:tabs>
        <w:spacing w:line="360" w:lineRule="auto"/>
        <w:ind w:firstLine="520" w:firstLineChars="200"/>
        <w:rPr>
          <w:rFonts w:eastAsia="仿宋"/>
          <w:sz w:val="26"/>
          <w:szCs w:val="26"/>
          <w:highlight w:val="yellow"/>
        </w:rPr>
      </w:pPr>
      <w:r>
        <w:rPr>
          <w:rFonts w:eastAsia="仿宋"/>
          <w:sz w:val="26"/>
          <w:szCs w:val="26"/>
        </w:rPr>
        <w:t>名    称：石嘴山市</w:t>
      </w:r>
      <w:r>
        <w:rPr>
          <w:rFonts w:hint="eastAsia" w:eastAsia="仿宋"/>
          <w:sz w:val="26"/>
          <w:szCs w:val="26"/>
        </w:rPr>
        <w:t>大武口区人民法院</w:t>
      </w:r>
    </w:p>
    <w:p>
      <w:pPr>
        <w:tabs>
          <w:tab w:val="left" w:pos="2520"/>
        </w:tabs>
        <w:spacing w:line="360" w:lineRule="auto"/>
        <w:ind w:firstLine="520" w:firstLineChars="200"/>
        <w:rPr>
          <w:rFonts w:eastAsia="仿宋"/>
          <w:sz w:val="26"/>
          <w:szCs w:val="26"/>
        </w:rPr>
      </w:pPr>
      <w:bookmarkStart w:id="52" w:name="_Toc386010985"/>
      <w:bookmarkStart w:id="53" w:name="_Toc8295295"/>
      <w:bookmarkStart w:id="54" w:name="_Toc3323278"/>
      <w:bookmarkStart w:id="55" w:name="_Toc534210014"/>
      <w:r>
        <w:rPr>
          <w:rFonts w:eastAsia="仿宋"/>
          <w:sz w:val="26"/>
          <w:szCs w:val="26"/>
        </w:rPr>
        <w:t>联系人：</w:t>
      </w:r>
      <w:r>
        <w:rPr>
          <w:rFonts w:hint="eastAsia" w:eastAsia="仿宋"/>
          <w:sz w:val="26"/>
          <w:szCs w:val="26"/>
        </w:rPr>
        <w:t>李鑫</w:t>
      </w:r>
    </w:p>
    <w:p>
      <w:pPr>
        <w:tabs>
          <w:tab w:val="left" w:pos="2520"/>
        </w:tabs>
        <w:spacing w:line="360" w:lineRule="auto"/>
        <w:ind w:firstLine="520" w:firstLineChars="200"/>
        <w:rPr>
          <w:rFonts w:eastAsia="仿宋"/>
          <w:sz w:val="26"/>
          <w:szCs w:val="26"/>
        </w:rPr>
      </w:pPr>
      <w:r>
        <w:rPr>
          <w:rFonts w:eastAsia="仿宋"/>
          <w:sz w:val="26"/>
          <w:szCs w:val="26"/>
        </w:rPr>
        <w:t>联系电话：</w:t>
      </w:r>
      <w:r>
        <w:rPr>
          <w:rFonts w:hint="eastAsia" w:eastAsia="仿宋"/>
          <w:sz w:val="26"/>
          <w:szCs w:val="26"/>
        </w:rPr>
        <w:t>18009526036</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56" w:name="_Toc34296044"/>
      <w:bookmarkStart w:id="57" w:name="_Toc38525656"/>
      <w:bookmarkStart w:id="58" w:name="_Toc43456709"/>
      <w:bookmarkStart w:id="59" w:name="_Toc46474428"/>
      <w:r>
        <w:rPr>
          <w:rFonts w:ascii="Times New Roman" w:hAnsi="Times New Roman" w:eastAsia="仿宋"/>
          <w:sz w:val="30"/>
          <w:szCs w:val="30"/>
        </w:rPr>
        <w:t>房地产估价机构</w:t>
      </w:r>
      <w:bookmarkEnd w:id="52"/>
      <w:bookmarkEnd w:id="53"/>
      <w:bookmarkEnd w:id="54"/>
      <w:bookmarkEnd w:id="55"/>
      <w:bookmarkEnd w:id="56"/>
      <w:bookmarkEnd w:id="57"/>
      <w:bookmarkEnd w:id="58"/>
      <w:bookmarkEnd w:id="59"/>
    </w:p>
    <w:p>
      <w:pPr>
        <w:tabs>
          <w:tab w:val="left" w:pos="2520"/>
        </w:tabs>
        <w:spacing w:line="360" w:lineRule="auto"/>
        <w:ind w:firstLine="520" w:firstLineChars="200"/>
        <w:rPr>
          <w:rFonts w:eastAsia="仿宋"/>
          <w:sz w:val="26"/>
          <w:szCs w:val="26"/>
        </w:rPr>
      </w:pPr>
      <w:r>
        <w:rPr>
          <w:rFonts w:hint="eastAsia" w:eastAsia="仿宋"/>
          <w:sz w:val="26"/>
          <w:szCs w:val="26"/>
        </w:rPr>
        <w:t>名    称</w:t>
      </w:r>
      <w:r>
        <w:rPr>
          <w:rFonts w:eastAsia="仿宋"/>
          <w:sz w:val="26"/>
          <w:szCs w:val="26"/>
        </w:rPr>
        <w:t>：宁夏宇川房地产评估咨询事务所（有限公司）</w:t>
      </w:r>
    </w:p>
    <w:p>
      <w:pPr>
        <w:tabs>
          <w:tab w:val="left" w:pos="2520"/>
        </w:tabs>
        <w:spacing w:line="360" w:lineRule="auto"/>
        <w:ind w:firstLine="520" w:firstLineChars="200"/>
        <w:rPr>
          <w:rFonts w:eastAsia="仿宋"/>
          <w:sz w:val="26"/>
          <w:szCs w:val="26"/>
        </w:rPr>
      </w:pPr>
      <w:r>
        <w:rPr>
          <w:rFonts w:hint="eastAsia" w:eastAsia="仿宋"/>
          <w:sz w:val="26"/>
          <w:szCs w:val="26"/>
        </w:rPr>
        <w:t>社会统一信用代码</w:t>
      </w:r>
      <w:r>
        <w:rPr>
          <w:rFonts w:eastAsia="仿宋"/>
          <w:sz w:val="26"/>
          <w:szCs w:val="26"/>
        </w:rPr>
        <w:t>：91640100750825722K</w:t>
      </w:r>
    </w:p>
    <w:p>
      <w:pPr>
        <w:tabs>
          <w:tab w:val="left" w:pos="2520"/>
        </w:tabs>
        <w:spacing w:line="360" w:lineRule="auto"/>
        <w:ind w:firstLine="520" w:firstLineChars="200"/>
        <w:rPr>
          <w:rFonts w:eastAsia="仿宋"/>
          <w:sz w:val="26"/>
          <w:szCs w:val="26"/>
        </w:rPr>
      </w:pPr>
      <w:r>
        <w:rPr>
          <w:rFonts w:eastAsia="仿宋"/>
          <w:sz w:val="26"/>
          <w:szCs w:val="26"/>
        </w:rPr>
        <w:t>法定代表人：魏莉</w:t>
      </w:r>
    </w:p>
    <w:p>
      <w:pPr>
        <w:tabs>
          <w:tab w:val="left" w:pos="2520"/>
        </w:tabs>
        <w:spacing w:line="360" w:lineRule="auto"/>
        <w:ind w:firstLine="520" w:firstLineChars="200"/>
        <w:rPr>
          <w:rFonts w:eastAsia="仿宋"/>
          <w:sz w:val="26"/>
          <w:szCs w:val="26"/>
        </w:rPr>
      </w:pPr>
      <w:r>
        <w:rPr>
          <w:rFonts w:eastAsia="仿宋"/>
          <w:sz w:val="26"/>
          <w:szCs w:val="26"/>
        </w:rPr>
        <w:t>资质等级：二级</w:t>
      </w:r>
    </w:p>
    <w:p>
      <w:pPr>
        <w:tabs>
          <w:tab w:val="left" w:pos="2520"/>
        </w:tabs>
        <w:spacing w:line="360" w:lineRule="auto"/>
        <w:ind w:firstLine="520" w:firstLineChars="200"/>
        <w:rPr>
          <w:rFonts w:eastAsia="仿宋"/>
          <w:sz w:val="26"/>
          <w:szCs w:val="26"/>
        </w:rPr>
      </w:pPr>
      <w:r>
        <w:rPr>
          <w:rFonts w:eastAsia="仿宋"/>
          <w:sz w:val="26"/>
          <w:szCs w:val="26"/>
        </w:rPr>
        <w:t>资质证书编号：宁建房估证字[2007]第031号</w:t>
      </w:r>
    </w:p>
    <w:p>
      <w:pPr>
        <w:tabs>
          <w:tab w:val="left" w:pos="2520"/>
        </w:tabs>
        <w:spacing w:line="360" w:lineRule="auto"/>
        <w:ind w:firstLine="520" w:firstLineChars="200"/>
        <w:rPr>
          <w:rFonts w:eastAsia="仿宋"/>
          <w:sz w:val="26"/>
          <w:szCs w:val="26"/>
        </w:rPr>
      </w:pPr>
      <w:r>
        <w:rPr>
          <w:rFonts w:eastAsia="仿宋"/>
          <w:sz w:val="26"/>
          <w:szCs w:val="26"/>
        </w:rPr>
        <w:t>有效期限：2019年12月12日-2022年12月11日</w:t>
      </w:r>
    </w:p>
    <w:p>
      <w:pPr>
        <w:tabs>
          <w:tab w:val="left" w:pos="2520"/>
        </w:tabs>
        <w:spacing w:line="360" w:lineRule="auto"/>
        <w:ind w:firstLine="520" w:firstLineChars="200"/>
        <w:rPr>
          <w:rFonts w:eastAsia="仿宋"/>
          <w:sz w:val="26"/>
          <w:szCs w:val="26"/>
        </w:rPr>
      </w:pPr>
      <w:r>
        <w:rPr>
          <w:rFonts w:eastAsia="仿宋"/>
          <w:sz w:val="26"/>
          <w:szCs w:val="26"/>
        </w:rPr>
        <w:t>联系人：</w:t>
      </w:r>
      <w:r>
        <w:rPr>
          <w:rFonts w:hint="eastAsia" w:eastAsia="仿宋"/>
          <w:sz w:val="26"/>
          <w:szCs w:val="26"/>
        </w:rPr>
        <w:t>钟志强</w:t>
      </w:r>
    </w:p>
    <w:p>
      <w:pPr>
        <w:tabs>
          <w:tab w:val="left" w:pos="2520"/>
        </w:tabs>
        <w:spacing w:line="360" w:lineRule="auto"/>
        <w:ind w:firstLine="520" w:firstLineChars="200"/>
        <w:rPr>
          <w:rFonts w:eastAsia="仿宋"/>
          <w:sz w:val="26"/>
          <w:szCs w:val="26"/>
        </w:rPr>
      </w:pPr>
      <w:r>
        <w:rPr>
          <w:rFonts w:eastAsia="仿宋"/>
          <w:sz w:val="26"/>
          <w:szCs w:val="26"/>
        </w:rPr>
        <w:t>机构地址：银川市兴庆区凤凰街民生中心1502号</w:t>
      </w:r>
    </w:p>
    <w:p>
      <w:pPr>
        <w:tabs>
          <w:tab w:val="left" w:pos="2520"/>
        </w:tabs>
        <w:spacing w:line="360" w:lineRule="auto"/>
        <w:ind w:firstLine="520" w:firstLineChars="200"/>
        <w:rPr>
          <w:rFonts w:eastAsia="仿宋"/>
          <w:sz w:val="26"/>
          <w:szCs w:val="26"/>
        </w:rPr>
      </w:pPr>
      <w:r>
        <w:rPr>
          <w:rFonts w:eastAsia="仿宋"/>
          <w:sz w:val="26"/>
          <w:szCs w:val="26"/>
        </w:rPr>
        <w:t>联系电话：</w:t>
      </w:r>
      <w:r>
        <w:rPr>
          <w:rFonts w:hint="eastAsia" w:eastAsia="仿宋"/>
          <w:sz w:val="26"/>
          <w:szCs w:val="26"/>
        </w:rPr>
        <w:t>13995377529</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60" w:name="_Toc38525657"/>
      <w:bookmarkStart w:id="61" w:name="_Toc46474429"/>
      <w:bookmarkStart w:id="62" w:name="_Toc43456710"/>
      <w:bookmarkStart w:id="63" w:name="_Toc34296045"/>
      <w:r>
        <w:rPr>
          <w:rFonts w:ascii="Times New Roman" w:hAnsi="Times New Roman" w:eastAsia="仿宋"/>
          <w:sz w:val="30"/>
          <w:szCs w:val="30"/>
        </w:rPr>
        <w:t>估价目的</w:t>
      </w:r>
      <w:bookmarkEnd w:id="33"/>
      <w:bookmarkEnd w:id="34"/>
      <w:bookmarkEnd w:id="35"/>
      <w:bookmarkEnd w:id="60"/>
      <w:bookmarkEnd w:id="61"/>
      <w:bookmarkEnd w:id="62"/>
      <w:bookmarkEnd w:id="63"/>
    </w:p>
    <w:p>
      <w:pPr>
        <w:tabs>
          <w:tab w:val="left" w:pos="2520"/>
        </w:tabs>
        <w:spacing w:line="360" w:lineRule="auto"/>
        <w:ind w:firstLine="520" w:firstLineChars="200"/>
        <w:rPr>
          <w:rFonts w:eastAsia="仿宋"/>
          <w:sz w:val="26"/>
          <w:szCs w:val="26"/>
        </w:rPr>
      </w:pPr>
      <w:r>
        <w:rPr>
          <w:rFonts w:eastAsia="仿宋"/>
          <w:sz w:val="26"/>
          <w:szCs w:val="26"/>
        </w:rPr>
        <w:t>为</w:t>
      </w:r>
      <w:r>
        <w:rPr>
          <w:rFonts w:hint="eastAsia" w:eastAsia="仿宋"/>
          <w:sz w:val="26"/>
          <w:szCs w:val="26"/>
        </w:rPr>
        <w:t>法院确定财产处置参考价提供依据而评估房地产市场价格。</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64" w:name="_Toc534210016"/>
      <w:bookmarkStart w:id="65" w:name="_Toc34296046"/>
      <w:bookmarkStart w:id="66" w:name="_Toc43456711"/>
      <w:bookmarkStart w:id="67" w:name="_Toc8295297"/>
      <w:bookmarkStart w:id="68" w:name="_Toc38525658"/>
      <w:bookmarkStart w:id="69" w:name="_Toc386010986"/>
      <w:bookmarkStart w:id="70" w:name="_Toc3323280"/>
      <w:bookmarkStart w:id="71" w:name="_Toc46474430"/>
      <w:r>
        <w:rPr>
          <w:rFonts w:ascii="Times New Roman" w:hAnsi="Times New Roman" w:eastAsia="仿宋"/>
          <w:sz w:val="30"/>
          <w:szCs w:val="30"/>
        </w:rPr>
        <w:t>估价对象</w:t>
      </w:r>
      <w:bookmarkEnd w:id="64"/>
      <w:bookmarkEnd w:id="65"/>
      <w:bookmarkEnd w:id="66"/>
      <w:bookmarkEnd w:id="67"/>
      <w:bookmarkEnd w:id="68"/>
      <w:bookmarkEnd w:id="69"/>
      <w:bookmarkEnd w:id="70"/>
      <w:bookmarkEnd w:id="71"/>
    </w:p>
    <w:p>
      <w:pPr>
        <w:spacing w:line="360" w:lineRule="auto"/>
        <w:ind w:firstLine="522" w:firstLineChars="200"/>
        <w:rPr>
          <w:rFonts w:eastAsia="仿宋"/>
          <w:b/>
          <w:sz w:val="26"/>
          <w:szCs w:val="26"/>
        </w:rPr>
      </w:pPr>
      <w:r>
        <w:rPr>
          <w:rFonts w:eastAsia="仿宋"/>
          <w:b/>
          <w:sz w:val="26"/>
          <w:szCs w:val="26"/>
        </w:rPr>
        <w:t>（一）估价对象财产范围</w:t>
      </w:r>
    </w:p>
    <w:p>
      <w:pPr>
        <w:tabs>
          <w:tab w:val="left" w:pos="2520"/>
        </w:tabs>
        <w:spacing w:line="360" w:lineRule="auto"/>
        <w:ind w:firstLine="520" w:firstLineChars="200"/>
        <w:rPr>
          <w:rFonts w:eastAsia="仿宋"/>
          <w:sz w:val="26"/>
          <w:szCs w:val="26"/>
        </w:rPr>
      </w:pPr>
      <w:r>
        <w:rPr>
          <w:rFonts w:eastAsia="仿宋"/>
          <w:sz w:val="26"/>
          <w:szCs w:val="26"/>
        </w:rPr>
        <w:t>估价对象为</w:t>
      </w:r>
      <w:r>
        <w:rPr>
          <w:rFonts w:hint="eastAsia" w:eastAsia="仿宋"/>
          <w:sz w:val="26"/>
          <w:szCs w:val="26"/>
        </w:rPr>
        <w:t>权属陈全贵、李会萍的</w:t>
      </w:r>
      <w:r>
        <w:rPr>
          <w:rFonts w:eastAsia="仿宋"/>
          <w:sz w:val="26"/>
          <w:szCs w:val="26"/>
        </w:rPr>
        <w:t>位于石嘴山市</w:t>
      </w:r>
      <w:r>
        <w:rPr>
          <w:rFonts w:hint="eastAsia" w:eastAsia="仿宋"/>
          <w:sz w:val="26"/>
          <w:szCs w:val="26"/>
        </w:rPr>
        <w:t>大武口区文明北路民乐小区24幢1单元501号</w:t>
      </w:r>
      <w:r>
        <w:rPr>
          <w:rFonts w:eastAsia="仿宋"/>
          <w:sz w:val="26"/>
          <w:szCs w:val="26"/>
        </w:rPr>
        <w:t>的住宅用途房地产，证载</w:t>
      </w:r>
      <w:r>
        <w:rPr>
          <w:rFonts w:hint="eastAsia" w:eastAsia="仿宋"/>
          <w:sz w:val="26"/>
          <w:szCs w:val="26"/>
        </w:rPr>
        <w:t>房屋</w:t>
      </w:r>
      <w:r>
        <w:rPr>
          <w:rFonts w:eastAsia="仿宋"/>
          <w:sz w:val="26"/>
          <w:szCs w:val="26"/>
        </w:rPr>
        <w:t>建筑面积</w:t>
      </w:r>
      <w:r>
        <w:rPr>
          <w:rFonts w:hint="eastAsia" w:eastAsia="仿宋"/>
          <w:sz w:val="26"/>
          <w:szCs w:val="26"/>
        </w:rPr>
        <w:t>70.52</w:t>
      </w:r>
      <w:r>
        <w:rPr>
          <w:rFonts w:eastAsia="仿宋"/>
          <w:sz w:val="26"/>
          <w:szCs w:val="26"/>
        </w:rPr>
        <w:t>平方米，</w:t>
      </w:r>
      <w:r>
        <w:rPr>
          <w:rFonts w:hint="eastAsia" w:eastAsia="仿宋"/>
          <w:sz w:val="26"/>
          <w:szCs w:val="26"/>
        </w:rPr>
        <w:t>地下室建筑面积20.38平方米，</w:t>
      </w:r>
      <w:r>
        <w:rPr>
          <w:rFonts w:eastAsia="仿宋"/>
          <w:sz w:val="26"/>
          <w:szCs w:val="26"/>
        </w:rPr>
        <w:t>本次评估包含房屋价值、</w:t>
      </w:r>
      <w:r>
        <w:rPr>
          <w:rFonts w:hint="eastAsia" w:eastAsia="仿宋"/>
          <w:sz w:val="26"/>
          <w:szCs w:val="26"/>
          <w:lang w:eastAsia="zh-CN"/>
        </w:rPr>
        <w:t>地下室价值、</w:t>
      </w:r>
      <w:r>
        <w:rPr>
          <w:rFonts w:hint="eastAsia" w:eastAsia="仿宋"/>
          <w:sz w:val="26"/>
          <w:szCs w:val="26"/>
        </w:rPr>
        <w:t>分摊土地使用权价值、</w:t>
      </w:r>
      <w:r>
        <w:rPr>
          <w:rFonts w:eastAsia="仿宋"/>
          <w:sz w:val="26"/>
          <w:szCs w:val="26"/>
        </w:rPr>
        <w:t>不可分离的设施设备及装修价值。</w:t>
      </w:r>
    </w:p>
    <w:p>
      <w:pPr>
        <w:spacing w:line="360" w:lineRule="auto"/>
        <w:ind w:firstLine="522" w:firstLineChars="200"/>
        <w:rPr>
          <w:rFonts w:eastAsia="仿宋"/>
          <w:b/>
          <w:color w:val="000000" w:themeColor="text1"/>
          <w:sz w:val="26"/>
          <w:szCs w:val="26"/>
        </w:rPr>
      </w:pPr>
      <w:r>
        <w:rPr>
          <w:rFonts w:eastAsia="仿宋"/>
          <w:b/>
          <w:color w:val="000000" w:themeColor="text1"/>
          <w:sz w:val="26"/>
          <w:szCs w:val="26"/>
        </w:rPr>
        <w:t>（二）</w:t>
      </w:r>
      <w:r>
        <w:rPr>
          <w:rFonts w:hint="eastAsia" w:eastAsia="仿宋"/>
          <w:b/>
          <w:color w:val="000000" w:themeColor="text1"/>
          <w:sz w:val="26"/>
          <w:szCs w:val="26"/>
        </w:rPr>
        <w:t>区位</w:t>
      </w:r>
      <w:r>
        <w:rPr>
          <w:rFonts w:eastAsia="仿宋"/>
          <w:b/>
          <w:color w:val="000000" w:themeColor="text1"/>
          <w:sz w:val="26"/>
          <w:szCs w:val="26"/>
        </w:rPr>
        <w:t>基本状况</w:t>
      </w:r>
    </w:p>
    <w:p>
      <w:pPr>
        <w:tabs>
          <w:tab w:val="left" w:pos="2520"/>
        </w:tabs>
        <w:spacing w:line="360" w:lineRule="auto"/>
        <w:ind w:firstLine="520" w:firstLineChars="200"/>
        <w:rPr>
          <w:rFonts w:eastAsia="仿宋"/>
          <w:sz w:val="26"/>
          <w:szCs w:val="26"/>
        </w:rPr>
      </w:pPr>
      <w:r>
        <w:rPr>
          <w:rFonts w:eastAsia="仿宋"/>
          <w:sz w:val="26"/>
          <w:szCs w:val="26"/>
        </w:rPr>
        <w:t>估价对象</w:t>
      </w:r>
      <w:r>
        <w:rPr>
          <w:rFonts w:hint="eastAsia" w:eastAsia="仿宋"/>
          <w:sz w:val="26"/>
          <w:szCs w:val="26"/>
        </w:rPr>
        <w:t>为</w:t>
      </w:r>
      <w:r>
        <w:rPr>
          <w:rFonts w:eastAsia="仿宋"/>
          <w:sz w:val="26"/>
          <w:szCs w:val="26"/>
        </w:rPr>
        <w:t>石嘴山市</w:t>
      </w:r>
      <w:r>
        <w:rPr>
          <w:rFonts w:hint="eastAsia" w:eastAsia="仿宋"/>
          <w:sz w:val="26"/>
          <w:szCs w:val="26"/>
        </w:rPr>
        <w:t>大武口区文明北路民乐小区24幢1单元501号</w:t>
      </w:r>
      <w:r>
        <w:rPr>
          <w:rFonts w:eastAsia="仿宋"/>
          <w:sz w:val="26"/>
          <w:szCs w:val="26"/>
        </w:rPr>
        <w:t>，</w:t>
      </w:r>
      <w:r>
        <w:rPr>
          <w:rFonts w:hint="eastAsia" w:eastAsia="仿宋"/>
          <w:sz w:val="26"/>
          <w:szCs w:val="26"/>
        </w:rPr>
        <w:t>距青山公园约0.5千米，</w:t>
      </w:r>
      <w:r>
        <w:rPr>
          <w:rFonts w:eastAsia="仿宋"/>
          <w:sz w:val="26"/>
          <w:szCs w:val="26"/>
        </w:rPr>
        <w:t>估价对象四至为东临</w:t>
      </w:r>
      <w:r>
        <w:rPr>
          <w:rFonts w:hint="eastAsia" w:eastAsia="仿宋"/>
          <w:sz w:val="26"/>
          <w:szCs w:val="26"/>
        </w:rPr>
        <w:t>人民路</w:t>
      </w:r>
      <w:r>
        <w:rPr>
          <w:rFonts w:eastAsia="仿宋"/>
          <w:sz w:val="26"/>
          <w:szCs w:val="26"/>
        </w:rPr>
        <w:t>，南临</w:t>
      </w:r>
      <w:r>
        <w:rPr>
          <w:rFonts w:hint="eastAsia" w:eastAsia="仿宋"/>
          <w:sz w:val="26"/>
          <w:szCs w:val="26"/>
        </w:rPr>
        <w:t>工人西街</w:t>
      </w:r>
      <w:r>
        <w:rPr>
          <w:rFonts w:eastAsia="仿宋"/>
          <w:sz w:val="26"/>
          <w:szCs w:val="26"/>
        </w:rPr>
        <w:t>，西临</w:t>
      </w:r>
      <w:r>
        <w:rPr>
          <w:rFonts w:hint="eastAsia" w:eastAsia="仿宋"/>
          <w:sz w:val="26"/>
          <w:szCs w:val="26"/>
        </w:rPr>
        <w:t>文明北路</w:t>
      </w:r>
      <w:r>
        <w:rPr>
          <w:rFonts w:eastAsia="仿宋"/>
          <w:sz w:val="26"/>
          <w:szCs w:val="26"/>
        </w:rPr>
        <w:t>，北临</w:t>
      </w:r>
      <w:r>
        <w:rPr>
          <w:rFonts w:hint="eastAsia" w:eastAsia="仿宋"/>
          <w:sz w:val="26"/>
          <w:szCs w:val="26"/>
        </w:rPr>
        <w:t>胜利西街</w:t>
      </w:r>
      <w:r>
        <w:rPr>
          <w:rFonts w:eastAsia="仿宋"/>
          <w:sz w:val="26"/>
          <w:szCs w:val="26"/>
        </w:rPr>
        <w:t>，周边基础设施及公共配套设施齐全。</w:t>
      </w:r>
    </w:p>
    <w:p>
      <w:pPr>
        <w:tabs>
          <w:tab w:val="left" w:pos="2520"/>
        </w:tabs>
        <w:spacing w:line="360" w:lineRule="auto"/>
        <w:ind w:firstLine="520" w:firstLineChars="200"/>
        <w:rPr>
          <w:rFonts w:eastAsia="仿宋"/>
          <w:sz w:val="26"/>
          <w:szCs w:val="26"/>
        </w:rPr>
      </w:pPr>
      <w:r>
        <w:rPr>
          <w:rFonts w:eastAsia="仿宋"/>
          <w:sz w:val="26"/>
          <w:szCs w:val="26"/>
        </w:rPr>
        <w:t>（1）交通状况：</w:t>
      </w:r>
      <w:r>
        <w:rPr>
          <w:rFonts w:eastAsia="仿宋"/>
          <w:color w:val="000000" w:themeColor="text1"/>
          <w:sz w:val="26"/>
          <w:szCs w:val="26"/>
        </w:rPr>
        <w:t>临</w:t>
      </w:r>
      <w:r>
        <w:rPr>
          <w:rFonts w:hint="eastAsia" w:eastAsia="仿宋"/>
          <w:sz w:val="26"/>
          <w:szCs w:val="26"/>
        </w:rPr>
        <w:t>文明北路、胜利西街</w:t>
      </w:r>
      <w:r>
        <w:rPr>
          <w:rFonts w:eastAsia="仿宋"/>
          <w:color w:val="000000" w:themeColor="text1"/>
          <w:sz w:val="26"/>
          <w:szCs w:val="26"/>
        </w:rPr>
        <w:t>，</w:t>
      </w:r>
      <w:r>
        <w:rPr>
          <w:rFonts w:eastAsia="仿宋"/>
          <w:sz w:val="26"/>
          <w:szCs w:val="26"/>
        </w:rPr>
        <w:t>车流量较好，附近有</w:t>
      </w:r>
      <w:r>
        <w:rPr>
          <w:rFonts w:hint="eastAsia" w:eastAsia="仿宋"/>
          <w:sz w:val="26"/>
          <w:szCs w:val="26"/>
        </w:rPr>
        <w:t>1</w:t>
      </w:r>
      <w:r>
        <w:rPr>
          <w:rFonts w:eastAsia="仿宋"/>
          <w:sz w:val="26"/>
          <w:szCs w:val="26"/>
        </w:rPr>
        <w:t>路、</w:t>
      </w:r>
      <w:r>
        <w:rPr>
          <w:rFonts w:hint="eastAsia" w:eastAsia="仿宋"/>
          <w:sz w:val="26"/>
          <w:szCs w:val="26"/>
        </w:rPr>
        <w:t>8</w:t>
      </w:r>
      <w:r>
        <w:rPr>
          <w:rFonts w:eastAsia="仿宋"/>
          <w:sz w:val="26"/>
          <w:szCs w:val="26"/>
        </w:rPr>
        <w:t>路、</w:t>
      </w:r>
      <w:r>
        <w:rPr>
          <w:rFonts w:hint="eastAsia" w:eastAsia="仿宋"/>
          <w:sz w:val="26"/>
          <w:szCs w:val="26"/>
        </w:rPr>
        <w:t>9</w:t>
      </w:r>
      <w:r>
        <w:rPr>
          <w:rFonts w:eastAsia="仿宋"/>
          <w:sz w:val="26"/>
          <w:szCs w:val="26"/>
        </w:rPr>
        <w:t>路等公交站点，交通出行状况较好。</w:t>
      </w:r>
    </w:p>
    <w:p>
      <w:pPr>
        <w:tabs>
          <w:tab w:val="left" w:pos="2520"/>
        </w:tabs>
        <w:spacing w:line="360" w:lineRule="auto"/>
        <w:ind w:firstLine="520" w:firstLineChars="200"/>
        <w:rPr>
          <w:rFonts w:eastAsia="仿宋"/>
          <w:sz w:val="26"/>
          <w:szCs w:val="26"/>
        </w:rPr>
      </w:pPr>
      <w:r>
        <w:rPr>
          <w:rFonts w:eastAsia="仿宋"/>
          <w:sz w:val="26"/>
          <w:szCs w:val="26"/>
        </w:rPr>
        <w:t>（2）公共配套设施：周边坐落有</w:t>
      </w:r>
      <w:r>
        <w:rPr>
          <w:rFonts w:hint="eastAsia" w:eastAsia="仿宋"/>
          <w:sz w:val="26"/>
          <w:szCs w:val="26"/>
        </w:rPr>
        <w:t>中行、工行、建行、农行、石嘴山银行、二医院、妇幼保健院、大武口汽车站</w:t>
      </w:r>
      <w:r>
        <w:rPr>
          <w:rFonts w:eastAsia="仿宋"/>
          <w:sz w:val="26"/>
          <w:szCs w:val="26"/>
        </w:rPr>
        <w:t>等公共服务设施。</w:t>
      </w:r>
    </w:p>
    <w:p>
      <w:pPr>
        <w:tabs>
          <w:tab w:val="left" w:pos="2520"/>
        </w:tabs>
        <w:spacing w:line="360" w:lineRule="auto"/>
        <w:ind w:firstLine="520" w:firstLineChars="200"/>
        <w:rPr>
          <w:rFonts w:eastAsia="仿宋"/>
          <w:sz w:val="26"/>
          <w:szCs w:val="26"/>
        </w:rPr>
      </w:pPr>
      <w:r>
        <w:rPr>
          <w:rFonts w:eastAsia="仿宋"/>
          <w:sz w:val="26"/>
          <w:szCs w:val="26"/>
        </w:rPr>
        <w:t>（3）文教机构：附近有</w:t>
      </w:r>
      <w:r>
        <w:rPr>
          <w:rFonts w:hint="eastAsia" w:eastAsia="仿宋"/>
          <w:sz w:val="26"/>
          <w:szCs w:val="26"/>
        </w:rPr>
        <w:t>石嘴山市二十一小、十三小、九中、六中、八中</w:t>
      </w:r>
      <w:r>
        <w:rPr>
          <w:rFonts w:eastAsia="仿宋"/>
          <w:sz w:val="26"/>
          <w:szCs w:val="26"/>
        </w:rPr>
        <w:t>等多所学校。</w:t>
      </w:r>
    </w:p>
    <w:p>
      <w:pPr>
        <w:tabs>
          <w:tab w:val="left" w:pos="2520"/>
        </w:tabs>
        <w:spacing w:line="360" w:lineRule="auto"/>
        <w:ind w:firstLine="520" w:firstLineChars="200"/>
        <w:rPr>
          <w:rFonts w:eastAsia="仿宋"/>
          <w:sz w:val="26"/>
          <w:szCs w:val="26"/>
        </w:rPr>
      </w:pPr>
      <w:r>
        <w:rPr>
          <w:rFonts w:eastAsia="仿宋"/>
          <w:sz w:val="26"/>
          <w:szCs w:val="26"/>
        </w:rPr>
        <w:t>（4）环境状况及物业管理：区域内无噪声及粉尘污染，城市规划该区域主要为商住混合区</w:t>
      </w:r>
      <w:r>
        <w:rPr>
          <w:rFonts w:hint="eastAsia" w:eastAsia="仿宋"/>
          <w:sz w:val="26"/>
          <w:szCs w:val="26"/>
        </w:rPr>
        <w:t>；小区内有景观设施，人文素质较高</w:t>
      </w:r>
      <w:r>
        <w:rPr>
          <w:rFonts w:eastAsia="仿宋"/>
          <w:sz w:val="26"/>
          <w:szCs w:val="26"/>
        </w:rPr>
        <w:t>，物业管理</w:t>
      </w:r>
      <w:r>
        <w:rPr>
          <w:rFonts w:hint="eastAsia" w:eastAsia="仿宋"/>
          <w:sz w:val="26"/>
          <w:szCs w:val="26"/>
        </w:rPr>
        <w:t>良</w:t>
      </w:r>
      <w:r>
        <w:rPr>
          <w:rFonts w:eastAsia="仿宋"/>
          <w:sz w:val="26"/>
          <w:szCs w:val="26"/>
        </w:rPr>
        <w:t>好。</w:t>
      </w:r>
    </w:p>
    <w:p>
      <w:pPr>
        <w:spacing w:line="360" w:lineRule="auto"/>
        <w:ind w:firstLine="522" w:firstLineChars="200"/>
        <w:rPr>
          <w:rFonts w:eastAsia="仿宋"/>
          <w:b/>
          <w:sz w:val="26"/>
          <w:szCs w:val="26"/>
        </w:rPr>
      </w:pPr>
      <w:r>
        <w:rPr>
          <w:rFonts w:eastAsia="仿宋"/>
          <w:b/>
          <w:sz w:val="26"/>
          <w:szCs w:val="26"/>
        </w:rPr>
        <w:t>（三）建筑物基本状况</w:t>
      </w:r>
    </w:p>
    <w:p>
      <w:pPr>
        <w:tabs>
          <w:tab w:val="left" w:pos="2520"/>
        </w:tabs>
        <w:spacing w:line="360" w:lineRule="auto"/>
        <w:ind w:firstLine="520" w:firstLineChars="200"/>
        <w:rPr>
          <w:rFonts w:eastAsia="仿宋"/>
          <w:sz w:val="26"/>
          <w:szCs w:val="26"/>
        </w:rPr>
      </w:pPr>
      <w:bookmarkStart w:id="72" w:name="_Toc3323281"/>
      <w:bookmarkStart w:id="73" w:name="_Toc386010988"/>
      <w:bookmarkStart w:id="74" w:name="_Toc8295298"/>
      <w:bookmarkStart w:id="75" w:name="_Toc534210017"/>
      <w:r>
        <w:rPr>
          <w:rFonts w:eastAsia="仿宋"/>
          <w:sz w:val="26"/>
          <w:szCs w:val="26"/>
        </w:rPr>
        <w:t>估价对象</w:t>
      </w:r>
      <w:r>
        <w:rPr>
          <w:rFonts w:hint="eastAsia" w:eastAsia="仿宋"/>
          <w:color w:val="000000" w:themeColor="text1"/>
          <w:sz w:val="26"/>
          <w:szCs w:val="26"/>
        </w:rPr>
        <w:t>建筑物</w:t>
      </w:r>
      <w:r>
        <w:rPr>
          <w:rFonts w:eastAsia="仿宋"/>
          <w:color w:val="000000" w:themeColor="text1"/>
          <w:sz w:val="26"/>
          <w:szCs w:val="26"/>
        </w:rPr>
        <w:t>为混合结构，东南-西北朝向，200</w:t>
      </w:r>
      <w:r>
        <w:rPr>
          <w:rFonts w:hint="eastAsia" w:eastAsia="仿宋"/>
          <w:color w:val="000000" w:themeColor="text1"/>
          <w:sz w:val="26"/>
          <w:szCs w:val="26"/>
        </w:rPr>
        <w:t>8</w:t>
      </w:r>
      <w:r>
        <w:rPr>
          <w:rFonts w:eastAsia="仿宋"/>
          <w:color w:val="000000" w:themeColor="text1"/>
          <w:sz w:val="26"/>
          <w:szCs w:val="26"/>
        </w:rPr>
        <w:t>年建成，总层数为</w:t>
      </w:r>
      <w:r>
        <w:rPr>
          <w:rFonts w:hint="eastAsia" w:eastAsia="仿宋"/>
          <w:color w:val="000000" w:themeColor="text1"/>
          <w:sz w:val="26"/>
          <w:szCs w:val="26"/>
        </w:rPr>
        <w:t>6</w:t>
      </w:r>
      <w:r>
        <w:rPr>
          <w:rFonts w:eastAsia="仿宋"/>
          <w:color w:val="000000" w:themeColor="text1"/>
          <w:sz w:val="26"/>
          <w:szCs w:val="26"/>
        </w:rPr>
        <w:t>层</w:t>
      </w:r>
      <w:r>
        <w:rPr>
          <w:rFonts w:hint="eastAsia" w:eastAsia="仿宋"/>
          <w:color w:val="000000" w:themeColor="text1"/>
          <w:sz w:val="26"/>
          <w:szCs w:val="26"/>
        </w:rPr>
        <w:t>（地上5层，地下1层）</w:t>
      </w:r>
      <w:r>
        <w:rPr>
          <w:rFonts w:eastAsia="仿宋"/>
          <w:sz w:val="26"/>
          <w:szCs w:val="26"/>
        </w:rPr>
        <w:t>，外</w:t>
      </w:r>
      <w:r>
        <w:rPr>
          <w:rFonts w:hint="eastAsia" w:eastAsia="仿宋"/>
          <w:sz w:val="26"/>
          <w:szCs w:val="26"/>
        </w:rPr>
        <w:t>墙刷涂料</w:t>
      </w:r>
      <w:r>
        <w:rPr>
          <w:rFonts w:eastAsia="仿宋"/>
          <w:sz w:val="26"/>
          <w:szCs w:val="26"/>
        </w:rPr>
        <w:t>，</w:t>
      </w:r>
      <w:r>
        <w:rPr>
          <w:rFonts w:hint="eastAsia" w:eastAsia="仿宋"/>
          <w:sz w:val="26"/>
          <w:szCs w:val="26"/>
        </w:rPr>
        <w:t>单元设计为一梯两户，</w:t>
      </w:r>
      <w:r>
        <w:rPr>
          <w:rFonts w:eastAsia="仿宋"/>
          <w:sz w:val="26"/>
          <w:szCs w:val="26"/>
        </w:rPr>
        <w:t>单元门安装防盗门</w:t>
      </w:r>
      <w:r>
        <w:rPr>
          <w:rFonts w:hint="eastAsia" w:eastAsia="仿宋"/>
          <w:sz w:val="26"/>
          <w:szCs w:val="26"/>
        </w:rPr>
        <w:t>；</w:t>
      </w:r>
      <w:r>
        <w:rPr>
          <w:rFonts w:eastAsia="仿宋"/>
          <w:sz w:val="26"/>
          <w:szCs w:val="26"/>
        </w:rPr>
        <w:t>估价对象</w:t>
      </w:r>
      <w:r>
        <w:rPr>
          <w:rFonts w:hint="eastAsia" w:eastAsia="仿宋"/>
          <w:sz w:val="26"/>
          <w:szCs w:val="26"/>
        </w:rPr>
        <w:t>住宅部分</w:t>
      </w:r>
      <w:r>
        <w:rPr>
          <w:rFonts w:eastAsia="仿宋"/>
          <w:sz w:val="26"/>
          <w:szCs w:val="26"/>
        </w:rPr>
        <w:t>所在层数为</w:t>
      </w:r>
      <w:r>
        <w:rPr>
          <w:rFonts w:hint="eastAsia" w:eastAsia="仿宋"/>
          <w:sz w:val="26"/>
          <w:szCs w:val="26"/>
        </w:rPr>
        <w:t>地上5</w:t>
      </w:r>
      <w:r>
        <w:rPr>
          <w:rFonts w:eastAsia="仿宋"/>
          <w:sz w:val="26"/>
          <w:szCs w:val="26"/>
        </w:rPr>
        <w:t>层，建筑面积为</w:t>
      </w:r>
      <w:r>
        <w:rPr>
          <w:rFonts w:hint="eastAsia" w:eastAsia="仿宋"/>
          <w:sz w:val="26"/>
          <w:szCs w:val="26"/>
        </w:rPr>
        <w:t>70.52</w:t>
      </w:r>
      <w:r>
        <w:rPr>
          <w:rFonts w:eastAsia="仿宋"/>
          <w:sz w:val="26"/>
          <w:szCs w:val="26"/>
        </w:rPr>
        <w:t>平方米，</w:t>
      </w:r>
      <w:r>
        <w:rPr>
          <w:rFonts w:hint="eastAsia" w:ascii="仿宋" w:hAnsi="仿宋" w:eastAsia="仿宋"/>
          <w:kern w:val="0"/>
          <w:sz w:val="28"/>
          <w:szCs w:val="28"/>
        </w:rPr>
        <w:t>由于房屋所有权人未配合现场查勘，估价人员无法进入估价对象室内进行查看；本次估价设定估价对象为二室一厅一卫一厨户型，室内装修为一般装修</w:t>
      </w:r>
      <w:r>
        <w:rPr>
          <w:rFonts w:hint="eastAsia" w:eastAsia="仿宋"/>
          <w:sz w:val="26"/>
          <w:szCs w:val="26"/>
        </w:rPr>
        <w:t>，且</w:t>
      </w:r>
      <w:r>
        <w:rPr>
          <w:rFonts w:eastAsia="仿宋"/>
          <w:sz w:val="26"/>
          <w:szCs w:val="26"/>
        </w:rPr>
        <w:t>室内水、电、暖、讯、气等配套设施齐全。</w:t>
      </w:r>
    </w:p>
    <w:p>
      <w:pPr>
        <w:tabs>
          <w:tab w:val="left" w:pos="2520"/>
        </w:tabs>
        <w:spacing w:line="360" w:lineRule="auto"/>
        <w:ind w:firstLine="520" w:firstLineChars="200"/>
        <w:rPr>
          <w:rFonts w:eastAsia="仿宋"/>
          <w:sz w:val="26"/>
          <w:szCs w:val="26"/>
        </w:rPr>
      </w:pPr>
      <w:r>
        <w:rPr>
          <w:rFonts w:hint="eastAsia" w:eastAsia="仿宋"/>
          <w:sz w:val="26"/>
          <w:szCs w:val="26"/>
        </w:rPr>
        <w:t>地下室位于建筑物地下1层，建筑面积20.38平方米，安装防盗门，未进入室内查看，设定室内为一室，设定装修为简单装修，室内仅通电。</w:t>
      </w:r>
    </w:p>
    <w:p>
      <w:pPr>
        <w:spacing w:line="360" w:lineRule="auto"/>
        <w:ind w:firstLine="522" w:firstLineChars="200"/>
        <w:rPr>
          <w:rFonts w:eastAsia="仿宋"/>
          <w:b/>
          <w:sz w:val="26"/>
          <w:szCs w:val="26"/>
        </w:rPr>
      </w:pPr>
      <w:r>
        <w:rPr>
          <w:rFonts w:eastAsia="仿宋"/>
          <w:b/>
          <w:sz w:val="26"/>
          <w:szCs w:val="26"/>
        </w:rPr>
        <w:t>（四）土地基本状况</w:t>
      </w:r>
    </w:p>
    <w:p>
      <w:pPr>
        <w:tabs>
          <w:tab w:val="left" w:pos="2520"/>
        </w:tabs>
        <w:spacing w:line="360" w:lineRule="auto"/>
        <w:ind w:firstLine="520" w:firstLineChars="200"/>
        <w:rPr>
          <w:rFonts w:eastAsia="仿宋"/>
          <w:sz w:val="26"/>
          <w:szCs w:val="26"/>
        </w:rPr>
      </w:pPr>
      <w:r>
        <w:rPr>
          <w:rFonts w:eastAsia="仿宋"/>
          <w:sz w:val="26"/>
          <w:szCs w:val="26"/>
        </w:rPr>
        <w:t>估价对象所在</w:t>
      </w:r>
      <w:r>
        <w:rPr>
          <w:rFonts w:hint="eastAsia" w:eastAsia="仿宋"/>
          <w:sz w:val="26"/>
          <w:szCs w:val="26"/>
        </w:rPr>
        <w:t>小区</w:t>
      </w:r>
      <w:r>
        <w:rPr>
          <w:rFonts w:eastAsia="仿宋"/>
          <w:sz w:val="26"/>
          <w:szCs w:val="26"/>
        </w:rPr>
        <w:t>宗地形状较规则，</w:t>
      </w:r>
      <w:r>
        <w:rPr>
          <w:rFonts w:hint="eastAsia" w:eastAsia="仿宋"/>
          <w:sz w:val="26"/>
          <w:szCs w:val="26"/>
        </w:rPr>
        <w:t>东临人民路，南临工人西街，西临文明北路，北临胜利西街，</w:t>
      </w:r>
      <w:r>
        <w:rPr>
          <w:rFonts w:eastAsia="仿宋"/>
          <w:sz w:val="26"/>
          <w:szCs w:val="26"/>
        </w:rPr>
        <w:t>地势平坦，工程地质条件较好，在利用上无地质、水文等不良自然条件限制及自然灾害的威胁，宗地外达到</w:t>
      </w:r>
      <w:r>
        <w:rPr>
          <w:rFonts w:hint="eastAsia" w:eastAsia="仿宋"/>
          <w:sz w:val="26"/>
          <w:szCs w:val="26"/>
        </w:rPr>
        <w:t>“七通”（通上水、通下水、通电、通暖、通讯、通路、通气）及宗地内</w:t>
      </w:r>
      <w:r>
        <w:rPr>
          <w:rFonts w:eastAsia="仿宋"/>
          <w:sz w:val="26"/>
          <w:szCs w:val="26"/>
        </w:rPr>
        <w:t>“七通一平”（通上水、通下水、通电、通暖、通讯、通路、通气及场地平整）。</w:t>
      </w:r>
    </w:p>
    <w:bookmarkEnd w:id="72"/>
    <w:bookmarkEnd w:id="73"/>
    <w:bookmarkEnd w:id="74"/>
    <w:bookmarkEnd w:id="75"/>
    <w:p>
      <w:pPr>
        <w:spacing w:line="360" w:lineRule="auto"/>
        <w:ind w:firstLine="522" w:firstLineChars="200"/>
        <w:rPr>
          <w:rFonts w:eastAsia="仿宋"/>
          <w:b/>
          <w:sz w:val="26"/>
          <w:szCs w:val="26"/>
        </w:rPr>
      </w:pPr>
      <w:bookmarkStart w:id="76" w:name="_Toc3323283"/>
      <w:bookmarkStart w:id="77" w:name="_Toc534210019"/>
      <w:bookmarkStart w:id="78" w:name="_Toc8295300"/>
      <w:bookmarkStart w:id="79" w:name="_Toc386010990"/>
      <w:r>
        <w:rPr>
          <w:rFonts w:eastAsia="仿宋"/>
          <w:b/>
          <w:sz w:val="26"/>
          <w:szCs w:val="26"/>
        </w:rPr>
        <w:t>（五）权益状况</w:t>
      </w:r>
    </w:p>
    <w:p>
      <w:pPr>
        <w:tabs>
          <w:tab w:val="left" w:pos="2520"/>
        </w:tabs>
        <w:spacing w:line="360" w:lineRule="auto"/>
        <w:ind w:firstLine="520" w:firstLineChars="200"/>
        <w:rPr>
          <w:rFonts w:eastAsia="仿宋"/>
          <w:sz w:val="26"/>
          <w:szCs w:val="26"/>
        </w:rPr>
      </w:pPr>
      <w:r>
        <w:rPr>
          <w:rFonts w:eastAsia="仿宋"/>
          <w:sz w:val="26"/>
          <w:szCs w:val="26"/>
        </w:rPr>
        <w:t>1、建设用地使用权状况</w:t>
      </w:r>
    </w:p>
    <w:p>
      <w:pPr>
        <w:tabs>
          <w:tab w:val="left" w:pos="2520"/>
        </w:tabs>
        <w:spacing w:line="360" w:lineRule="auto"/>
        <w:ind w:firstLine="520" w:firstLineChars="200"/>
        <w:rPr>
          <w:rFonts w:eastAsia="仿宋"/>
          <w:color w:val="000000" w:themeColor="text1"/>
          <w:sz w:val="26"/>
          <w:szCs w:val="26"/>
        </w:rPr>
      </w:pPr>
      <w:r>
        <w:rPr>
          <w:rFonts w:eastAsia="仿宋"/>
          <w:sz w:val="26"/>
          <w:szCs w:val="26"/>
        </w:rPr>
        <w:t>估价委托人未提供估价对象《</w:t>
      </w:r>
      <w:r>
        <w:rPr>
          <w:rFonts w:hint="eastAsia" w:eastAsia="仿宋"/>
          <w:sz w:val="26"/>
          <w:szCs w:val="26"/>
        </w:rPr>
        <w:t>不动产权证书</w:t>
      </w:r>
      <w:r>
        <w:rPr>
          <w:rFonts w:eastAsia="仿宋"/>
          <w:sz w:val="26"/>
          <w:szCs w:val="26"/>
        </w:rPr>
        <w:t>》，</w:t>
      </w:r>
      <w:r>
        <w:rPr>
          <w:rFonts w:hint="eastAsia" w:eastAsia="仿宋"/>
          <w:sz w:val="26"/>
          <w:szCs w:val="26"/>
        </w:rPr>
        <w:t>估价对象</w:t>
      </w:r>
      <w:r>
        <w:rPr>
          <w:rFonts w:eastAsia="仿宋"/>
          <w:sz w:val="26"/>
          <w:szCs w:val="26"/>
        </w:rPr>
        <w:t>分摊土地使用权</w:t>
      </w:r>
      <w:r>
        <w:rPr>
          <w:rFonts w:hint="eastAsia" w:eastAsia="仿宋"/>
          <w:sz w:val="26"/>
          <w:szCs w:val="26"/>
        </w:rPr>
        <w:t>相关信息</w:t>
      </w:r>
      <w:r>
        <w:rPr>
          <w:rFonts w:eastAsia="仿宋"/>
          <w:sz w:val="26"/>
          <w:szCs w:val="26"/>
        </w:rPr>
        <w:t>不明晰</w:t>
      </w:r>
      <w:r>
        <w:rPr>
          <w:rFonts w:hint="eastAsia" w:eastAsia="仿宋"/>
          <w:sz w:val="26"/>
          <w:szCs w:val="26"/>
        </w:rPr>
        <w:t>；本次估价设定估价对象分摊土地使用权性质为出让，用途为城镇住宅用地</w:t>
      </w:r>
      <w:r>
        <w:rPr>
          <w:rFonts w:hint="eastAsia" w:eastAsia="仿宋"/>
          <w:color w:val="000000" w:themeColor="text1"/>
          <w:sz w:val="26"/>
          <w:szCs w:val="26"/>
        </w:rPr>
        <w:t>。</w:t>
      </w:r>
    </w:p>
    <w:p>
      <w:pPr>
        <w:tabs>
          <w:tab w:val="left" w:pos="2520"/>
        </w:tabs>
        <w:spacing w:line="360" w:lineRule="auto"/>
        <w:ind w:firstLine="520" w:firstLineChars="200"/>
        <w:rPr>
          <w:rFonts w:eastAsia="仿宋"/>
          <w:sz w:val="26"/>
          <w:szCs w:val="26"/>
        </w:rPr>
      </w:pPr>
      <w:r>
        <w:rPr>
          <w:rFonts w:eastAsia="仿宋"/>
          <w:sz w:val="26"/>
          <w:szCs w:val="26"/>
        </w:rPr>
        <w:t>2、房屋所有权益状况</w:t>
      </w:r>
    </w:p>
    <w:p>
      <w:pPr>
        <w:tabs>
          <w:tab w:val="left" w:pos="2520"/>
        </w:tabs>
        <w:spacing w:line="360" w:lineRule="auto"/>
        <w:ind w:firstLine="520" w:firstLineChars="200"/>
        <w:rPr>
          <w:rFonts w:eastAsia="仿宋"/>
          <w:color w:val="000000" w:themeColor="text1"/>
          <w:sz w:val="26"/>
          <w:szCs w:val="26"/>
        </w:rPr>
      </w:pPr>
      <w:r>
        <w:rPr>
          <w:rFonts w:hint="eastAsia" w:eastAsia="仿宋_GB2312"/>
          <w:sz w:val="26"/>
          <w:szCs w:val="26"/>
        </w:rPr>
        <w:t>根据估价委托人提供的《不动产登记信息》（复印件），</w:t>
      </w:r>
      <w:r>
        <w:rPr>
          <w:rFonts w:eastAsia="仿宋"/>
          <w:color w:val="000000" w:themeColor="text1"/>
          <w:sz w:val="26"/>
          <w:szCs w:val="26"/>
        </w:rPr>
        <w:t>房屋所有权人为</w:t>
      </w:r>
      <w:r>
        <w:rPr>
          <w:rFonts w:hint="eastAsia" w:eastAsia="仿宋"/>
          <w:color w:val="000000" w:themeColor="text1"/>
          <w:sz w:val="26"/>
          <w:szCs w:val="26"/>
        </w:rPr>
        <w:t>陈全贵、李会萍，房屋坐落为大武口区文明北路民乐小区24幢1单元501号</w:t>
      </w:r>
      <w:r>
        <w:rPr>
          <w:rFonts w:eastAsia="仿宋"/>
          <w:color w:val="000000" w:themeColor="text1"/>
          <w:sz w:val="26"/>
          <w:szCs w:val="26"/>
        </w:rPr>
        <w:t>，</w:t>
      </w:r>
      <w:r>
        <w:rPr>
          <w:rFonts w:hint="eastAsia" w:eastAsia="仿宋"/>
          <w:color w:val="000000" w:themeColor="text1"/>
          <w:sz w:val="26"/>
          <w:szCs w:val="26"/>
        </w:rPr>
        <w:t>规划</w:t>
      </w:r>
      <w:r>
        <w:rPr>
          <w:rFonts w:eastAsia="仿宋"/>
          <w:color w:val="000000" w:themeColor="text1"/>
          <w:sz w:val="26"/>
          <w:szCs w:val="26"/>
        </w:rPr>
        <w:t>用途为住宅</w:t>
      </w:r>
      <w:r>
        <w:rPr>
          <w:rFonts w:hint="eastAsia" w:eastAsia="仿宋"/>
          <w:color w:val="000000" w:themeColor="text1"/>
          <w:sz w:val="26"/>
          <w:szCs w:val="26"/>
        </w:rPr>
        <w:t>，房屋建筑面积70.52平方米，地下室建筑面积20.38平方米；本次估价设定估价对象房屋性质为商品房。</w:t>
      </w:r>
    </w:p>
    <w:p>
      <w:pPr>
        <w:tabs>
          <w:tab w:val="left" w:pos="2520"/>
        </w:tabs>
        <w:spacing w:line="360" w:lineRule="auto"/>
        <w:ind w:firstLine="520" w:firstLineChars="200"/>
        <w:rPr>
          <w:rFonts w:eastAsia="仿宋"/>
          <w:sz w:val="26"/>
          <w:szCs w:val="26"/>
        </w:rPr>
      </w:pPr>
      <w:r>
        <w:rPr>
          <w:rFonts w:eastAsia="仿宋"/>
          <w:sz w:val="26"/>
          <w:szCs w:val="26"/>
        </w:rPr>
        <w:t>3、房屋他项权利状况及涉案情况</w:t>
      </w:r>
    </w:p>
    <w:p>
      <w:pPr>
        <w:tabs>
          <w:tab w:val="left" w:pos="2520"/>
        </w:tabs>
        <w:spacing w:line="360" w:lineRule="auto"/>
        <w:ind w:firstLine="520" w:firstLineChars="200"/>
        <w:rPr>
          <w:rFonts w:eastAsia="仿宋"/>
          <w:sz w:val="26"/>
          <w:szCs w:val="26"/>
        </w:rPr>
      </w:pPr>
      <w:r>
        <w:rPr>
          <w:rFonts w:eastAsia="仿宋"/>
          <w:sz w:val="26"/>
          <w:szCs w:val="26"/>
        </w:rPr>
        <w:t>（1）抵押、租赁及典当情况</w:t>
      </w:r>
    </w:p>
    <w:p>
      <w:pPr>
        <w:tabs>
          <w:tab w:val="left" w:pos="2520"/>
        </w:tabs>
        <w:spacing w:line="360" w:lineRule="auto"/>
        <w:ind w:firstLine="520" w:firstLineChars="200"/>
        <w:rPr>
          <w:rFonts w:eastAsia="仿宋"/>
          <w:sz w:val="26"/>
          <w:szCs w:val="26"/>
        </w:rPr>
      </w:pPr>
      <w:r>
        <w:rPr>
          <w:rFonts w:hint="eastAsia" w:eastAsia="仿宋"/>
          <w:sz w:val="26"/>
          <w:szCs w:val="26"/>
        </w:rPr>
        <w:t>①</w:t>
      </w:r>
      <w:r>
        <w:rPr>
          <w:rFonts w:eastAsia="仿宋"/>
          <w:sz w:val="26"/>
          <w:szCs w:val="26"/>
        </w:rPr>
        <w:t>抵押情况</w:t>
      </w:r>
    </w:p>
    <w:p>
      <w:pPr>
        <w:tabs>
          <w:tab w:val="left" w:pos="2520"/>
        </w:tabs>
        <w:spacing w:line="360" w:lineRule="auto"/>
        <w:ind w:firstLine="520" w:firstLineChars="200"/>
        <w:rPr>
          <w:rFonts w:eastAsia="仿宋"/>
          <w:sz w:val="26"/>
          <w:szCs w:val="26"/>
        </w:rPr>
      </w:pPr>
      <w:r>
        <w:rPr>
          <w:rFonts w:eastAsia="仿宋"/>
          <w:sz w:val="26"/>
          <w:szCs w:val="26"/>
        </w:rPr>
        <w:t>根据估价委托人提供的《不动产登记信息》</w:t>
      </w:r>
      <w:r>
        <w:rPr>
          <w:rFonts w:hint="eastAsia" w:eastAsia="仿宋"/>
          <w:sz w:val="26"/>
          <w:szCs w:val="26"/>
        </w:rPr>
        <w:t>（复印件）</w:t>
      </w:r>
      <w:r>
        <w:rPr>
          <w:rFonts w:eastAsia="仿宋"/>
          <w:sz w:val="26"/>
          <w:szCs w:val="26"/>
        </w:rPr>
        <w:t>显示，估价对象</w:t>
      </w:r>
      <w:r>
        <w:rPr>
          <w:rFonts w:hint="eastAsia" w:eastAsia="仿宋"/>
          <w:sz w:val="26"/>
          <w:szCs w:val="26"/>
        </w:rPr>
        <w:t>未</w:t>
      </w:r>
      <w:r>
        <w:rPr>
          <w:rFonts w:eastAsia="仿宋"/>
          <w:sz w:val="26"/>
          <w:szCs w:val="26"/>
        </w:rPr>
        <w:t>设定抵押权。</w:t>
      </w:r>
    </w:p>
    <w:p>
      <w:pPr>
        <w:tabs>
          <w:tab w:val="left" w:pos="2520"/>
        </w:tabs>
        <w:spacing w:line="360" w:lineRule="auto"/>
        <w:ind w:firstLine="520" w:firstLineChars="200"/>
        <w:rPr>
          <w:rFonts w:eastAsia="仿宋"/>
          <w:sz w:val="26"/>
          <w:szCs w:val="26"/>
        </w:rPr>
      </w:pPr>
      <w:r>
        <w:rPr>
          <w:rFonts w:hint="eastAsia" w:eastAsia="仿宋"/>
          <w:sz w:val="26"/>
          <w:szCs w:val="26"/>
        </w:rPr>
        <w:t>②</w:t>
      </w:r>
      <w:r>
        <w:rPr>
          <w:rFonts w:eastAsia="仿宋"/>
          <w:sz w:val="26"/>
          <w:szCs w:val="26"/>
        </w:rPr>
        <w:t>租赁情况</w:t>
      </w:r>
    </w:p>
    <w:p>
      <w:pPr>
        <w:tabs>
          <w:tab w:val="left" w:pos="2520"/>
        </w:tabs>
        <w:spacing w:line="360" w:lineRule="auto"/>
        <w:ind w:firstLine="520" w:firstLineChars="200"/>
        <w:rPr>
          <w:rFonts w:eastAsia="仿宋"/>
          <w:sz w:val="26"/>
          <w:szCs w:val="26"/>
        </w:rPr>
      </w:pPr>
      <w:r>
        <w:rPr>
          <w:rFonts w:eastAsia="仿宋"/>
          <w:sz w:val="26"/>
          <w:szCs w:val="26"/>
        </w:rPr>
        <w:t>估价对象无租赁情况。</w:t>
      </w:r>
    </w:p>
    <w:p>
      <w:pPr>
        <w:tabs>
          <w:tab w:val="left" w:pos="2520"/>
        </w:tabs>
        <w:spacing w:line="360" w:lineRule="auto"/>
        <w:ind w:firstLine="520" w:firstLineChars="200"/>
        <w:rPr>
          <w:rFonts w:eastAsia="仿宋"/>
          <w:sz w:val="26"/>
          <w:szCs w:val="26"/>
        </w:rPr>
      </w:pPr>
      <w:r>
        <w:rPr>
          <w:rFonts w:hint="eastAsia" w:eastAsia="仿宋"/>
          <w:sz w:val="26"/>
          <w:szCs w:val="26"/>
        </w:rPr>
        <w:t>③</w:t>
      </w:r>
      <w:r>
        <w:rPr>
          <w:rFonts w:eastAsia="仿宋"/>
          <w:sz w:val="26"/>
          <w:szCs w:val="26"/>
        </w:rPr>
        <w:t>典当情况</w:t>
      </w:r>
    </w:p>
    <w:p>
      <w:pPr>
        <w:tabs>
          <w:tab w:val="left" w:pos="2520"/>
        </w:tabs>
        <w:spacing w:line="360" w:lineRule="auto"/>
        <w:ind w:firstLine="520" w:firstLineChars="200"/>
        <w:rPr>
          <w:rFonts w:eastAsia="仿宋"/>
          <w:sz w:val="26"/>
          <w:szCs w:val="26"/>
        </w:rPr>
      </w:pPr>
      <w:r>
        <w:rPr>
          <w:rFonts w:eastAsia="仿宋"/>
          <w:sz w:val="26"/>
          <w:szCs w:val="26"/>
        </w:rPr>
        <w:t>估价对象无典当。</w:t>
      </w:r>
    </w:p>
    <w:p>
      <w:pPr>
        <w:tabs>
          <w:tab w:val="left" w:pos="2520"/>
        </w:tabs>
        <w:spacing w:line="360" w:lineRule="auto"/>
        <w:ind w:firstLine="520" w:firstLineChars="200"/>
        <w:rPr>
          <w:rFonts w:eastAsia="仿宋"/>
          <w:sz w:val="26"/>
          <w:szCs w:val="26"/>
        </w:rPr>
      </w:pPr>
      <w:r>
        <w:rPr>
          <w:rFonts w:eastAsia="仿宋"/>
          <w:sz w:val="26"/>
          <w:szCs w:val="26"/>
        </w:rPr>
        <w:t>（2）涉案情况</w:t>
      </w:r>
    </w:p>
    <w:p>
      <w:pPr>
        <w:tabs>
          <w:tab w:val="left" w:pos="2520"/>
        </w:tabs>
        <w:spacing w:line="360" w:lineRule="auto"/>
        <w:ind w:firstLine="520" w:firstLineChars="200"/>
        <w:jc w:val="both"/>
        <w:rPr>
          <w:rFonts w:eastAsia="仿宋"/>
          <w:color w:val="00B050"/>
          <w:sz w:val="26"/>
          <w:szCs w:val="26"/>
        </w:rPr>
      </w:pPr>
      <w:r>
        <w:rPr>
          <w:rFonts w:eastAsia="仿宋"/>
          <w:sz w:val="26"/>
          <w:szCs w:val="26"/>
        </w:rPr>
        <w:t>根据估价委托人提供的（</w:t>
      </w:r>
      <w:r>
        <w:rPr>
          <w:rFonts w:hint="eastAsia" w:eastAsia="仿宋"/>
          <w:sz w:val="26"/>
          <w:szCs w:val="26"/>
        </w:rPr>
        <w:t>2020</w:t>
      </w:r>
      <w:r>
        <w:rPr>
          <w:rFonts w:eastAsia="仿宋"/>
          <w:sz w:val="26"/>
          <w:szCs w:val="26"/>
        </w:rPr>
        <w:t>）宁</w:t>
      </w:r>
      <w:r>
        <w:rPr>
          <w:rFonts w:hint="eastAsia" w:eastAsia="仿宋"/>
          <w:sz w:val="26"/>
          <w:szCs w:val="26"/>
        </w:rPr>
        <w:t>0202</w:t>
      </w:r>
      <w:r>
        <w:rPr>
          <w:rFonts w:eastAsia="仿宋"/>
          <w:sz w:val="26"/>
          <w:szCs w:val="26"/>
        </w:rPr>
        <w:t>执</w:t>
      </w:r>
      <w:r>
        <w:rPr>
          <w:rFonts w:hint="eastAsia" w:eastAsia="仿宋"/>
          <w:sz w:val="26"/>
          <w:szCs w:val="26"/>
        </w:rPr>
        <w:t>354</w:t>
      </w:r>
      <w:r>
        <w:rPr>
          <w:rFonts w:eastAsia="仿宋"/>
          <w:sz w:val="26"/>
          <w:szCs w:val="26"/>
        </w:rPr>
        <w:t>号《石嘴山市</w:t>
      </w:r>
      <w:r>
        <w:rPr>
          <w:rFonts w:hint="eastAsia" w:eastAsia="仿宋"/>
          <w:sz w:val="26"/>
          <w:szCs w:val="26"/>
        </w:rPr>
        <w:t>大武口区人民法院价格评估</w:t>
      </w:r>
      <w:r>
        <w:rPr>
          <w:rFonts w:eastAsia="仿宋"/>
          <w:sz w:val="26"/>
          <w:szCs w:val="26"/>
        </w:rPr>
        <w:t>委托书》显示：</w:t>
      </w:r>
      <w:r>
        <w:rPr>
          <w:rFonts w:eastAsia="仿宋"/>
          <w:color w:val="000000" w:themeColor="text1"/>
          <w:sz w:val="26"/>
          <w:szCs w:val="26"/>
        </w:rPr>
        <w:t>估价对象涉及</w:t>
      </w:r>
      <w:bookmarkStart w:id="80" w:name="_Toc19107193"/>
      <w:bookmarkStart w:id="81" w:name="_Toc38525659"/>
      <w:bookmarkStart w:id="82" w:name="_Toc34296047"/>
      <w:r>
        <w:rPr>
          <w:rFonts w:eastAsia="仿宋"/>
          <w:color w:val="000000" w:themeColor="text1"/>
          <w:sz w:val="26"/>
          <w:szCs w:val="26"/>
        </w:rPr>
        <w:t>石嘴山市</w:t>
      </w:r>
      <w:r>
        <w:rPr>
          <w:rFonts w:hint="eastAsia" w:eastAsia="仿宋"/>
          <w:color w:val="000000" w:themeColor="text1"/>
          <w:sz w:val="26"/>
          <w:szCs w:val="26"/>
        </w:rPr>
        <w:t>大武口区人民法院判决执行的王建文与陈全贵、陈鹏飞借款合同纠纷</w:t>
      </w:r>
      <w:r>
        <w:rPr>
          <w:rFonts w:eastAsia="仿宋"/>
          <w:color w:val="000000" w:themeColor="text1"/>
          <w:sz w:val="26"/>
          <w:szCs w:val="26"/>
        </w:rPr>
        <w:t>一案</w:t>
      </w:r>
      <w:r>
        <w:rPr>
          <w:rFonts w:hint="eastAsia" w:eastAsia="仿宋"/>
          <w:color w:val="00B050"/>
          <w:sz w:val="26"/>
          <w:szCs w:val="26"/>
        </w:rPr>
        <w:t>。</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83" w:name="_Toc43456712"/>
      <w:bookmarkStart w:id="84" w:name="_Toc46474431"/>
      <w:r>
        <w:rPr>
          <w:rFonts w:ascii="Times New Roman" w:hAnsi="Times New Roman" w:eastAsia="仿宋"/>
          <w:sz w:val="30"/>
          <w:szCs w:val="30"/>
        </w:rPr>
        <w:t>价值时点</w:t>
      </w:r>
      <w:bookmarkEnd w:id="80"/>
      <w:bookmarkEnd w:id="81"/>
      <w:bookmarkEnd w:id="82"/>
      <w:bookmarkEnd w:id="83"/>
      <w:bookmarkEnd w:id="84"/>
    </w:p>
    <w:p>
      <w:pPr>
        <w:tabs>
          <w:tab w:val="left" w:pos="2520"/>
        </w:tabs>
        <w:spacing w:line="580" w:lineRule="exact"/>
        <w:ind w:firstLine="520" w:firstLineChars="200"/>
        <w:rPr>
          <w:rFonts w:eastAsia="仿宋"/>
          <w:sz w:val="26"/>
          <w:szCs w:val="26"/>
        </w:rPr>
      </w:pPr>
      <w:r>
        <w:rPr>
          <w:rFonts w:eastAsia="仿宋"/>
          <w:sz w:val="26"/>
          <w:szCs w:val="26"/>
        </w:rPr>
        <w:t>二〇二〇年</w:t>
      </w:r>
      <w:r>
        <w:rPr>
          <w:rFonts w:hint="eastAsia" w:eastAsia="仿宋"/>
          <w:sz w:val="26"/>
          <w:szCs w:val="26"/>
        </w:rPr>
        <w:t>七月十七日</w:t>
      </w:r>
      <w:r>
        <w:rPr>
          <w:rFonts w:eastAsia="仿宋"/>
          <w:sz w:val="26"/>
          <w:szCs w:val="26"/>
        </w:rPr>
        <w:t>（</w:t>
      </w:r>
      <w:r>
        <w:rPr>
          <w:rFonts w:hint="eastAsia" w:eastAsia="仿宋"/>
          <w:sz w:val="26"/>
          <w:szCs w:val="26"/>
        </w:rPr>
        <w:t>经估价委托人确认，以估价人员现场查看日期确定为价值时点</w:t>
      </w:r>
      <w:r>
        <w:rPr>
          <w:rFonts w:eastAsia="仿宋"/>
          <w:sz w:val="26"/>
          <w:szCs w:val="26"/>
        </w:rPr>
        <w:t>）。</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85" w:name="_Toc34296048"/>
      <w:bookmarkStart w:id="86" w:name="_Toc46474432"/>
      <w:bookmarkStart w:id="87" w:name="_Toc43456713"/>
      <w:bookmarkStart w:id="88" w:name="_Toc38525660"/>
      <w:bookmarkStart w:id="89" w:name="_Toc19107194"/>
      <w:r>
        <w:rPr>
          <w:rFonts w:ascii="Times New Roman" w:hAnsi="Times New Roman" w:eastAsia="仿宋"/>
          <w:sz w:val="30"/>
          <w:szCs w:val="30"/>
        </w:rPr>
        <w:t>价值类型</w:t>
      </w:r>
      <w:bookmarkEnd w:id="85"/>
      <w:bookmarkEnd w:id="86"/>
      <w:bookmarkEnd w:id="87"/>
      <w:bookmarkEnd w:id="88"/>
      <w:bookmarkEnd w:id="89"/>
    </w:p>
    <w:p>
      <w:pPr>
        <w:tabs>
          <w:tab w:val="left" w:pos="2520"/>
        </w:tabs>
        <w:spacing w:line="360" w:lineRule="auto"/>
        <w:ind w:firstLine="520" w:firstLineChars="200"/>
        <w:rPr>
          <w:rFonts w:eastAsia="仿宋"/>
          <w:sz w:val="26"/>
          <w:szCs w:val="26"/>
        </w:rPr>
      </w:pPr>
      <w:r>
        <w:rPr>
          <w:rFonts w:eastAsia="仿宋"/>
          <w:sz w:val="26"/>
          <w:szCs w:val="26"/>
        </w:rPr>
        <w:t>本次评估为估价对象在满足全部估价假设和限制条件及有关报告使用说明条件下于价值时点2020年</w:t>
      </w:r>
      <w:r>
        <w:rPr>
          <w:rFonts w:hint="eastAsia" w:eastAsia="仿宋"/>
          <w:sz w:val="26"/>
          <w:szCs w:val="26"/>
        </w:rPr>
        <w:t>7</w:t>
      </w:r>
      <w:r>
        <w:rPr>
          <w:rFonts w:eastAsia="仿宋"/>
          <w:sz w:val="26"/>
          <w:szCs w:val="26"/>
        </w:rPr>
        <w:t>月</w:t>
      </w:r>
      <w:r>
        <w:rPr>
          <w:rFonts w:hint="eastAsia" w:eastAsia="仿宋"/>
          <w:sz w:val="26"/>
          <w:szCs w:val="26"/>
        </w:rPr>
        <w:t>17</w:t>
      </w:r>
      <w:r>
        <w:rPr>
          <w:rFonts w:eastAsia="仿宋"/>
          <w:sz w:val="26"/>
          <w:szCs w:val="26"/>
        </w:rPr>
        <w:t>日并取得完全合法产权状态下根据本次估价目的要求所作出的公开市场价值。</w:t>
      </w:r>
    </w:p>
    <w:p>
      <w:pPr>
        <w:tabs>
          <w:tab w:val="left" w:pos="2520"/>
        </w:tabs>
        <w:spacing w:line="360" w:lineRule="auto"/>
        <w:ind w:firstLine="520" w:firstLineChars="200"/>
        <w:rPr>
          <w:rFonts w:eastAsia="仿宋"/>
          <w:sz w:val="26"/>
          <w:szCs w:val="26"/>
        </w:rPr>
      </w:pPr>
      <w:r>
        <w:rPr>
          <w:rFonts w:eastAsia="仿宋"/>
          <w:sz w:val="26"/>
          <w:szCs w:val="26"/>
        </w:rPr>
        <w:t>公开的市场价值，是指估价对象于估价时点在市场上出售并按以下条件可取的合理价格：</w:t>
      </w:r>
    </w:p>
    <w:p>
      <w:pPr>
        <w:tabs>
          <w:tab w:val="left" w:pos="2520"/>
        </w:tabs>
        <w:spacing w:line="360" w:lineRule="auto"/>
        <w:ind w:firstLine="520" w:firstLineChars="200"/>
        <w:rPr>
          <w:rFonts w:eastAsia="仿宋"/>
          <w:sz w:val="26"/>
          <w:szCs w:val="26"/>
        </w:rPr>
      </w:pPr>
      <w:r>
        <w:rPr>
          <w:rFonts w:hint="eastAsia" w:eastAsia="仿宋"/>
          <w:sz w:val="26"/>
          <w:szCs w:val="26"/>
        </w:rPr>
        <w:t>1、</w:t>
      </w:r>
      <w:r>
        <w:rPr>
          <w:rFonts w:eastAsia="仿宋"/>
          <w:sz w:val="26"/>
          <w:szCs w:val="26"/>
        </w:rPr>
        <w:t>转让双方不因任何特殊利益高或降低房地产真实价格；</w:t>
      </w:r>
    </w:p>
    <w:p>
      <w:pPr>
        <w:tabs>
          <w:tab w:val="left" w:pos="2520"/>
        </w:tabs>
        <w:spacing w:line="360" w:lineRule="auto"/>
        <w:ind w:firstLine="520" w:firstLineChars="200"/>
        <w:rPr>
          <w:rFonts w:eastAsia="仿宋"/>
          <w:sz w:val="26"/>
          <w:szCs w:val="26"/>
        </w:rPr>
      </w:pPr>
      <w:r>
        <w:rPr>
          <w:rFonts w:hint="eastAsia" w:eastAsia="仿宋"/>
          <w:sz w:val="26"/>
          <w:szCs w:val="26"/>
        </w:rPr>
        <w:t>2、</w:t>
      </w:r>
      <w:r>
        <w:rPr>
          <w:rFonts w:eastAsia="仿宋"/>
          <w:sz w:val="26"/>
          <w:szCs w:val="26"/>
        </w:rPr>
        <w:t>有一段合理交易时间；</w:t>
      </w:r>
    </w:p>
    <w:p>
      <w:pPr>
        <w:tabs>
          <w:tab w:val="left" w:pos="2520"/>
        </w:tabs>
        <w:spacing w:line="360" w:lineRule="auto"/>
        <w:ind w:firstLine="520" w:firstLineChars="200"/>
        <w:rPr>
          <w:rFonts w:eastAsia="仿宋"/>
          <w:sz w:val="26"/>
          <w:szCs w:val="26"/>
        </w:rPr>
      </w:pPr>
      <w:r>
        <w:rPr>
          <w:rFonts w:hint="eastAsia" w:eastAsia="仿宋"/>
          <w:sz w:val="26"/>
          <w:szCs w:val="26"/>
        </w:rPr>
        <w:t>3、</w:t>
      </w:r>
      <w:r>
        <w:rPr>
          <w:rFonts w:eastAsia="仿宋"/>
          <w:sz w:val="26"/>
          <w:szCs w:val="26"/>
        </w:rPr>
        <w:t>在此期间市场相对保持稳定；</w:t>
      </w:r>
    </w:p>
    <w:p>
      <w:pPr>
        <w:tabs>
          <w:tab w:val="left" w:pos="2520"/>
        </w:tabs>
        <w:spacing w:line="360" w:lineRule="auto"/>
        <w:ind w:firstLine="520" w:firstLineChars="200"/>
        <w:rPr>
          <w:rFonts w:eastAsia="仿宋"/>
          <w:sz w:val="26"/>
          <w:szCs w:val="26"/>
        </w:rPr>
      </w:pPr>
      <w:r>
        <w:rPr>
          <w:rFonts w:hint="eastAsia" w:eastAsia="仿宋"/>
          <w:sz w:val="26"/>
          <w:szCs w:val="26"/>
        </w:rPr>
        <w:t>4、</w:t>
      </w:r>
      <w:r>
        <w:rPr>
          <w:rFonts w:eastAsia="仿宋"/>
          <w:sz w:val="26"/>
          <w:szCs w:val="26"/>
        </w:rPr>
        <w:t>转让程序符合国家法律、法规。</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90" w:name="_Toc38525661"/>
      <w:bookmarkStart w:id="91" w:name="_Toc34296049"/>
      <w:bookmarkStart w:id="92" w:name="_Toc43456714"/>
      <w:bookmarkStart w:id="93" w:name="_Toc46474433"/>
      <w:r>
        <w:rPr>
          <w:rFonts w:ascii="Times New Roman" w:hAnsi="Times New Roman" w:eastAsia="仿宋"/>
          <w:sz w:val="30"/>
          <w:szCs w:val="30"/>
        </w:rPr>
        <w:t>估价原则</w:t>
      </w:r>
      <w:bookmarkEnd w:id="76"/>
      <w:bookmarkEnd w:id="77"/>
      <w:bookmarkEnd w:id="78"/>
      <w:bookmarkEnd w:id="90"/>
      <w:bookmarkEnd w:id="91"/>
      <w:bookmarkEnd w:id="92"/>
      <w:bookmarkEnd w:id="93"/>
    </w:p>
    <w:p>
      <w:pPr>
        <w:tabs>
          <w:tab w:val="left" w:pos="2520"/>
        </w:tabs>
        <w:spacing w:line="360" w:lineRule="auto"/>
        <w:ind w:firstLine="520" w:firstLineChars="200"/>
        <w:rPr>
          <w:rFonts w:eastAsia="仿宋"/>
          <w:sz w:val="26"/>
          <w:szCs w:val="26"/>
        </w:rPr>
      </w:pPr>
      <w:r>
        <w:rPr>
          <w:rFonts w:eastAsia="仿宋"/>
          <w:sz w:val="26"/>
          <w:szCs w:val="26"/>
        </w:rPr>
        <w:t>本次估价遵循了独立、客观、公正原则；合法原则；最高最佳利用原则；替代原则；价值时点原则。</w:t>
      </w:r>
    </w:p>
    <w:p>
      <w:pPr>
        <w:tabs>
          <w:tab w:val="left" w:pos="2520"/>
        </w:tabs>
        <w:spacing w:line="360" w:lineRule="auto"/>
        <w:ind w:firstLine="520" w:firstLineChars="200"/>
        <w:rPr>
          <w:rFonts w:eastAsia="仿宋"/>
          <w:sz w:val="26"/>
          <w:szCs w:val="26"/>
        </w:rPr>
      </w:pPr>
      <w:r>
        <w:rPr>
          <w:rFonts w:eastAsia="仿宋"/>
          <w:sz w:val="26"/>
          <w:szCs w:val="26"/>
        </w:rPr>
        <w:t>（一）独立、客观、公正原则：要求站在中立的立场上，实事求是、公平正直地评估出对各方估价利害关系人均是公平合理的价值或价格的原则。</w:t>
      </w:r>
    </w:p>
    <w:p>
      <w:pPr>
        <w:tabs>
          <w:tab w:val="left" w:pos="2520"/>
        </w:tabs>
        <w:spacing w:line="360" w:lineRule="auto"/>
        <w:ind w:firstLine="520" w:firstLineChars="200"/>
        <w:rPr>
          <w:rFonts w:eastAsia="仿宋"/>
          <w:sz w:val="26"/>
          <w:szCs w:val="26"/>
        </w:rPr>
      </w:pPr>
      <w:r>
        <w:rPr>
          <w:rFonts w:eastAsia="仿宋"/>
          <w:sz w:val="26"/>
          <w:szCs w:val="26"/>
        </w:rPr>
        <w:t>（二）合法原则：要求估价结果是在依法判定估价对象状况下的价值或价格的原则。</w:t>
      </w:r>
    </w:p>
    <w:p>
      <w:pPr>
        <w:tabs>
          <w:tab w:val="left" w:pos="2520"/>
        </w:tabs>
        <w:spacing w:line="360" w:lineRule="auto"/>
        <w:ind w:firstLine="520" w:firstLineChars="200"/>
        <w:rPr>
          <w:rFonts w:eastAsia="仿宋"/>
          <w:sz w:val="26"/>
          <w:szCs w:val="26"/>
        </w:rPr>
      </w:pPr>
      <w:r>
        <w:rPr>
          <w:rFonts w:eastAsia="仿宋"/>
          <w:sz w:val="26"/>
          <w:szCs w:val="26"/>
        </w:rPr>
        <w:t>（三）价值时点原则：要求估价结果是在根据估价目的确定的某一特定时间的价值或价格的原则。</w:t>
      </w:r>
    </w:p>
    <w:p>
      <w:pPr>
        <w:tabs>
          <w:tab w:val="left" w:pos="2520"/>
        </w:tabs>
        <w:spacing w:line="360" w:lineRule="auto"/>
        <w:ind w:firstLine="520" w:firstLineChars="200"/>
        <w:rPr>
          <w:rFonts w:eastAsia="仿宋"/>
          <w:sz w:val="26"/>
          <w:szCs w:val="26"/>
        </w:rPr>
      </w:pPr>
      <w:r>
        <w:rPr>
          <w:rFonts w:eastAsia="仿宋"/>
          <w:sz w:val="26"/>
          <w:szCs w:val="26"/>
        </w:rPr>
        <w:t>（四）替代原则：要求估价结果与估价对象的类似房地产在同等条件下的价值或价格偏差应在合理范围内的原则。</w:t>
      </w:r>
    </w:p>
    <w:p>
      <w:pPr>
        <w:tabs>
          <w:tab w:val="left" w:pos="2520"/>
        </w:tabs>
        <w:spacing w:line="360" w:lineRule="auto"/>
        <w:ind w:firstLine="520" w:firstLineChars="200"/>
        <w:rPr>
          <w:rFonts w:eastAsia="仿宋"/>
          <w:sz w:val="26"/>
          <w:szCs w:val="26"/>
        </w:rPr>
      </w:pPr>
      <w:r>
        <w:rPr>
          <w:rFonts w:eastAsia="仿宋"/>
          <w:sz w:val="26"/>
          <w:szCs w:val="26"/>
        </w:rPr>
        <w:t>（五）最高最佳利用原则：要求估价结果是在估价对象最高最佳利用状况下的价值或价格的原则；最高最佳利用：房地产在法律上允许、技术上可能、财务上可行并使价值最大的合理、可能的利用，包括最佳的用途、规模、档次等。</w:t>
      </w:r>
    </w:p>
    <w:p>
      <w:pPr>
        <w:pStyle w:val="3"/>
        <w:numPr>
          <w:ilvl w:val="0"/>
          <w:numId w:val="1"/>
        </w:numPr>
        <w:spacing w:before="60" w:after="60" w:line="360" w:lineRule="auto"/>
        <w:ind w:left="0" w:firstLine="602" w:firstLineChars="200"/>
        <w:rPr>
          <w:rFonts w:ascii="Times New Roman" w:hAnsi="Times New Roman" w:eastAsia="仿宋"/>
          <w:sz w:val="30"/>
          <w:szCs w:val="30"/>
        </w:rPr>
      </w:pPr>
      <w:bookmarkStart w:id="94" w:name="_Toc3323284"/>
      <w:bookmarkStart w:id="95" w:name="_Toc8295301"/>
      <w:bookmarkStart w:id="96" w:name="_Toc34296050"/>
      <w:bookmarkStart w:id="97" w:name="_Toc46474434"/>
      <w:bookmarkStart w:id="98" w:name="_Toc38525662"/>
      <w:bookmarkStart w:id="99" w:name="_Toc534210020"/>
      <w:bookmarkStart w:id="100" w:name="_Toc43456715"/>
      <w:r>
        <w:rPr>
          <w:rFonts w:ascii="Times New Roman" w:hAnsi="Times New Roman" w:eastAsia="仿宋"/>
          <w:sz w:val="30"/>
          <w:szCs w:val="30"/>
        </w:rPr>
        <w:t>估价依据</w:t>
      </w:r>
      <w:bookmarkEnd w:id="79"/>
      <w:bookmarkEnd w:id="94"/>
      <w:bookmarkEnd w:id="95"/>
      <w:bookmarkEnd w:id="96"/>
      <w:bookmarkEnd w:id="97"/>
      <w:bookmarkEnd w:id="98"/>
      <w:bookmarkEnd w:id="99"/>
      <w:bookmarkEnd w:id="100"/>
    </w:p>
    <w:p>
      <w:pPr>
        <w:tabs>
          <w:tab w:val="left" w:pos="2520"/>
        </w:tabs>
        <w:spacing w:line="360" w:lineRule="auto"/>
        <w:ind w:firstLine="520" w:firstLineChars="200"/>
        <w:rPr>
          <w:rFonts w:eastAsia="仿宋"/>
          <w:sz w:val="26"/>
          <w:szCs w:val="26"/>
        </w:rPr>
      </w:pPr>
      <w:r>
        <w:rPr>
          <w:rFonts w:eastAsia="仿宋"/>
          <w:sz w:val="26"/>
          <w:szCs w:val="26"/>
        </w:rPr>
        <w:t>（一）法律、法规及政策文件</w:t>
      </w:r>
    </w:p>
    <w:p>
      <w:pPr>
        <w:tabs>
          <w:tab w:val="left" w:pos="2520"/>
        </w:tabs>
        <w:spacing w:line="360" w:lineRule="auto"/>
        <w:ind w:firstLine="520" w:firstLineChars="200"/>
        <w:rPr>
          <w:rFonts w:eastAsia="仿宋"/>
          <w:sz w:val="26"/>
          <w:szCs w:val="26"/>
        </w:rPr>
      </w:pPr>
      <w:r>
        <w:rPr>
          <w:rFonts w:hint="eastAsia" w:eastAsia="仿宋"/>
          <w:sz w:val="26"/>
          <w:szCs w:val="26"/>
        </w:rPr>
        <w:t>1、《中华人民共和国物权法》（2007年中华人民共和国主席令第62号）；</w:t>
      </w:r>
    </w:p>
    <w:p>
      <w:pPr>
        <w:tabs>
          <w:tab w:val="left" w:pos="2520"/>
        </w:tabs>
        <w:spacing w:line="360" w:lineRule="auto"/>
        <w:ind w:firstLine="520" w:firstLineChars="200"/>
        <w:rPr>
          <w:rFonts w:eastAsia="仿宋"/>
          <w:sz w:val="26"/>
          <w:szCs w:val="26"/>
        </w:rPr>
      </w:pPr>
      <w:r>
        <w:rPr>
          <w:rFonts w:hint="eastAsia" w:eastAsia="仿宋"/>
          <w:sz w:val="26"/>
          <w:szCs w:val="26"/>
        </w:rPr>
        <w:t>2、《中华人民共和国城市房地产管理法》（2019年中华人民共和国主席令第32号）；</w:t>
      </w:r>
    </w:p>
    <w:p>
      <w:pPr>
        <w:tabs>
          <w:tab w:val="left" w:pos="2520"/>
        </w:tabs>
        <w:spacing w:line="360" w:lineRule="auto"/>
        <w:ind w:firstLine="520" w:firstLineChars="200"/>
        <w:rPr>
          <w:rFonts w:eastAsia="仿宋"/>
          <w:sz w:val="26"/>
          <w:szCs w:val="26"/>
        </w:rPr>
      </w:pPr>
      <w:r>
        <w:rPr>
          <w:rFonts w:hint="eastAsia" w:eastAsia="仿宋"/>
          <w:sz w:val="26"/>
          <w:szCs w:val="26"/>
        </w:rPr>
        <w:t>3、《中华人民共和国土地管理法》（十三届全国人大常委会第十二次会议表决通过）；</w:t>
      </w:r>
    </w:p>
    <w:p>
      <w:pPr>
        <w:tabs>
          <w:tab w:val="left" w:pos="2520"/>
        </w:tabs>
        <w:spacing w:line="360" w:lineRule="auto"/>
        <w:ind w:firstLine="520" w:firstLineChars="200"/>
        <w:rPr>
          <w:rFonts w:eastAsia="仿宋"/>
          <w:sz w:val="26"/>
          <w:szCs w:val="26"/>
        </w:rPr>
      </w:pPr>
      <w:r>
        <w:rPr>
          <w:rFonts w:hint="eastAsia" w:eastAsia="仿宋"/>
          <w:sz w:val="26"/>
          <w:szCs w:val="26"/>
        </w:rPr>
        <w:t>4、《城市房地产转让管理规定》（2001年中华人民共和国建设部第96号令）；</w:t>
      </w:r>
    </w:p>
    <w:p>
      <w:pPr>
        <w:tabs>
          <w:tab w:val="left" w:pos="2520"/>
        </w:tabs>
        <w:spacing w:line="360" w:lineRule="auto"/>
        <w:ind w:firstLine="520" w:firstLineChars="200"/>
        <w:rPr>
          <w:rFonts w:eastAsia="仿宋"/>
          <w:sz w:val="26"/>
          <w:szCs w:val="26"/>
        </w:rPr>
      </w:pPr>
      <w:r>
        <w:rPr>
          <w:rFonts w:hint="eastAsia" w:eastAsia="仿宋"/>
          <w:sz w:val="26"/>
          <w:szCs w:val="26"/>
        </w:rPr>
        <w:t>5、《司法鉴定人登记管理办法》（2005年中华人民共和国司法部第96号令）；</w:t>
      </w:r>
    </w:p>
    <w:p>
      <w:pPr>
        <w:tabs>
          <w:tab w:val="left" w:pos="2520"/>
        </w:tabs>
        <w:spacing w:line="360" w:lineRule="auto"/>
        <w:ind w:firstLine="520" w:firstLineChars="200"/>
        <w:rPr>
          <w:rFonts w:eastAsia="仿宋"/>
          <w:sz w:val="26"/>
          <w:szCs w:val="26"/>
        </w:rPr>
      </w:pPr>
      <w:r>
        <w:rPr>
          <w:rFonts w:hint="eastAsia" w:eastAsia="仿宋"/>
          <w:sz w:val="26"/>
          <w:szCs w:val="26"/>
        </w:rPr>
        <w:t>6、《司法鉴定机构登记管理办法》（2005年中华人民共和国司法部第95号令）；</w:t>
      </w:r>
    </w:p>
    <w:p>
      <w:pPr>
        <w:tabs>
          <w:tab w:val="left" w:pos="2520"/>
        </w:tabs>
        <w:spacing w:line="360" w:lineRule="auto"/>
        <w:ind w:firstLine="520" w:firstLineChars="200"/>
        <w:rPr>
          <w:rFonts w:eastAsia="仿宋"/>
          <w:sz w:val="26"/>
          <w:szCs w:val="26"/>
        </w:rPr>
      </w:pPr>
      <w:r>
        <w:rPr>
          <w:rFonts w:hint="eastAsia" w:eastAsia="仿宋"/>
          <w:sz w:val="26"/>
          <w:szCs w:val="26"/>
        </w:rPr>
        <w:t>7、《司法鉴定程序通则》（2016年中华人民共和国司法部第132号令）；</w:t>
      </w:r>
    </w:p>
    <w:p>
      <w:pPr>
        <w:tabs>
          <w:tab w:val="left" w:pos="2520"/>
        </w:tabs>
        <w:spacing w:line="360" w:lineRule="auto"/>
        <w:ind w:firstLine="520" w:firstLineChars="200"/>
        <w:rPr>
          <w:rFonts w:eastAsia="仿宋"/>
          <w:sz w:val="26"/>
          <w:szCs w:val="26"/>
        </w:rPr>
      </w:pPr>
      <w:r>
        <w:rPr>
          <w:rFonts w:hint="eastAsia" w:eastAsia="仿宋"/>
          <w:sz w:val="26"/>
          <w:szCs w:val="26"/>
        </w:rPr>
        <w:t>8、《司法鉴定执业活动投诉处理办法》（2019年中华人民共和国司法部第144号令)；</w:t>
      </w:r>
    </w:p>
    <w:p>
      <w:pPr>
        <w:tabs>
          <w:tab w:val="left" w:pos="2520"/>
        </w:tabs>
        <w:spacing w:line="360" w:lineRule="auto"/>
        <w:ind w:firstLine="520" w:firstLineChars="200"/>
        <w:rPr>
          <w:rFonts w:eastAsia="仿宋"/>
          <w:sz w:val="26"/>
          <w:szCs w:val="26"/>
        </w:rPr>
      </w:pPr>
      <w:r>
        <w:rPr>
          <w:rFonts w:hint="eastAsia" w:eastAsia="仿宋"/>
          <w:sz w:val="26"/>
          <w:szCs w:val="26"/>
        </w:rPr>
        <w:t>9、全国人民代表大会常务委员会关于司法鉴定管理问题的决定（2005年2月28日第十届全国人民代表大会常务委员会第十四次会议通过）；</w:t>
      </w:r>
    </w:p>
    <w:p>
      <w:pPr>
        <w:tabs>
          <w:tab w:val="left" w:pos="2520"/>
        </w:tabs>
        <w:spacing w:line="360" w:lineRule="auto"/>
        <w:ind w:firstLine="520" w:firstLineChars="200"/>
        <w:rPr>
          <w:rFonts w:eastAsia="仿宋"/>
          <w:sz w:val="26"/>
          <w:szCs w:val="26"/>
        </w:rPr>
      </w:pPr>
      <w:r>
        <w:rPr>
          <w:rFonts w:hint="eastAsia" w:eastAsia="仿宋"/>
          <w:sz w:val="26"/>
          <w:szCs w:val="26"/>
        </w:rPr>
        <w:t>10、《最高人民法院关于人民法院委托评估、拍卖和变卖工作的若干规定》（法释〔2011〕21号）；</w:t>
      </w:r>
    </w:p>
    <w:p>
      <w:pPr>
        <w:tabs>
          <w:tab w:val="left" w:pos="2520"/>
        </w:tabs>
        <w:spacing w:line="360" w:lineRule="auto"/>
        <w:ind w:firstLine="520" w:firstLineChars="200"/>
        <w:rPr>
          <w:rFonts w:eastAsia="仿宋"/>
          <w:sz w:val="26"/>
          <w:szCs w:val="26"/>
        </w:rPr>
      </w:pPr>
      <w:r>
        <w:rPr>
          <w:rFonts w:hint="eastAsia" w:eastAsia="仿宋"/>
          <w:sz w:val="26"/>
          <w:szCs w:val="26"/>
        </w:rPr>
        <w:t>11、《宁夏回族自治区司法鉴定管理条例》（2004年3月24日自治区第九届人民代表大会常务委员会第九次会议通过）；</w:t>
      </w:r>
    </w:p>
    <w:p>
      <w:pPr>
        <w:tabs>
          <w:tab w:val="left" w:pos="2520"/>
        </w:tabs>
        <w:spacing w:line="360" w:lineRule="auto"/>
        <w:ind w:firstLine="520" w:firstLineChars="200"/>
        <w:rPr>
          <w:rFonts w:eastAsia="仿宋"/>
          <w:sz w:val="26"/>
          <w:szCs w:val="26"/>
        </w:rPr>
      </w:pPr>
      <w:r>
        <w:rPr>
          <w:rFonts w:hint="eastAsia" w:eastAsia="仿宋"/>
          <w:sz w:val="26"/>
          <w:szCs w:val="26"/>
        </w:rPr>
        <w:t>12、《最高人民法院关于人民法院确定财产处置参考价若干问题的规定》（法释〔2018〕15号）；</w:t>
      </w:r>
    </w:p>
    <w:p>
      <w:pPr>
        <w:tabs>
          <w:tab w:val="left" w:pos="2520"/>
        </w:tabs>
        <w:spacing w:line="360" w:lineRule="auto"/>
        <w:ind w:firstLine="520" w:firstLineChars="200"/>
        <w:rPr>
          <w:rFonts w:eastAsia="仿宋"/>
          <w:sz w:val="26"/>
          <w:szCs w:val="26"/>
        </w:rPr>
      </w:pPr>
      <w:r>
        <w:rPr>
          <w:rFonts w:hint="eastAsia" w:eastAsia="仿宋"/>
          <w:sz w:val="26"/>
          <w:szCs w:val="26"/>
        </w:rPr>
        <w:t>13、国务院、建设部、国土资源部、司法部、最高人民法院及宁夏回族自治区有关部门颁布的其它法规政策文件。</w:t>
      </w:r>
    </w:p>
    <w:p>
      <w:pPr>
        <w:tabs>
          <w:tab w:val="left" w:pos="2520"/>
        </w:tabs>
        <w:spacing w:line="360" w:lineRule="auto"/>
        <w:ind w:firstLine="520" w:firstLineChars="200"/>
        <w:rPr>
          <w:rFonts w:eastAsia="仿宋"/>
          <w:sz w:val="26"/>
          <w:szCs w:val="26"/>
        </w:rPr>
      </w:pPr>
      <w:r>
        <w:rPr>
          <w:rFonts w:eastAsia="仿宋"/>
          <w:sz w:val="26"/>
          <w:szCs w:val="26"/>
        </w:rPr>
        <w:t>（二）技术标准、规程及规范</w:t>
      </w:r>
    </w:p>
    <w:p>
      <w:pPr>
        <w:tabs>
          <w:tab w:val="left" w:pos="2520"/>
        </w:tabs>
        <w:spacing w:line="360" w:lineRule="auto"/>
        <w:ind w:firstLine="520" w:firstLineChars="200"/>
        <w:rPr>
          <w:rFonts w:eastAsia="仿宋"/>
          <w:sz w:val="26"/>
          <w:szCs w:val="26"/>
        </w:rPr>
      </w:pPr>
      <w:r>
        <w:rPr>
          <w:rFonts w:eastAsia="仿宋"/>
          <w:sz w:val="26"/>
          <w:szCs w:val="26"/>
        </w:rPr>
        <w:t>1、中华人民共和国国家标准《房地产估价规范》GB/T</w:t>
      </w:r>
      <w:r>
        <w:rPr>
          <w:rFonts w:hint="eastAsia" w:eastAsia="仿宋"/>
          <w:sz w:val="26"/>
          <w:szCs w:val="26"/>
        </w:rPr>
        <w:t xml:space="preserve"> </w:t>
      </w:r>
      <w:r>
        <w:rPr>
          <w:rFonts w:eastAsia="仿宋"/>
          <w:sz w:val="26"/>
          <w:szCs w:val="26"/>
        </w:rPr>
        <w:t>50291-2015；</w:t>
      </w:r>
    </w:p>
    <w:p>
      <w:pPr>
        <w:tabs>
          <w:tab w:val="left" w:pos="2520"/>
        </w:tabs>
        <w:spacing w:line="360" w:lineRule="auto"/>
        <w:ind w:firstLine="520" w:firstLineChars="200"/>
        <w:rPr>
          <w:rFonts w:eastAsia="仿宋"/>
          <w:sz w:val="26"/>
          <w:szCs w:val="26"/>
        </w:rPr>
      </w:pPr>
      <w:r>
        <w:rPr>
          <w:rFonts w:eastAsia="仿宋"/>
          <w:sz w:val="26"/>
          <w:szCs w:val="26"/>
        </w:rPr>
        <w:t>2、中华人民共和国国家标准《房地产估价基本术语标准》GB/T</w:t>
      </w:r>
      <w:r>
        <w:rPr>
          <w:rFonts w:hint="eastAsia" w:eastAsia="仿宋"/>
          <w:sz w:val="26"/>
          <w:szCs w:val="26"/>
        </w:rPr>
        <w:t xml:space="preserve"> </w:t>
      </w:r>
      <w:r>
        <w:rPr>
          <w:rFonts w:eastAsia="仿宋"/>
          <w:sz w:val="26"/>
          <w:szCs w:val="26"/>
        </w:rPr>
        <w:t>50899-2013；</w:t>
      </w:r>
    </w:p>
    <w:p>
      <w:pPr>
        <w:tabs>
          <w:tab w:val="left" w:pos="2520"/>
        </w:tabs>
        <w:spacing w:line="360" w:lineRule="auto"/>
        <w:ind w:firstLine="520" w:firstLineChars="200"/>
        <w:rPr>
          <w:rFonts w:eastAsia="仿宋"/>
          <w:sz w:val="26"/>
          <w:szCs w:val="26"/>
        </w:rPr>
      </w:pPr>
      <w:r>
        <w:rPr>
          <w:rFonts w:eastAsia="仿宋"/>
          <w:sz w:val="26"/>
          <w:szCs w:val="26"/>
        </w:rPr>
        <w:t>3、《宁夏房地产估价报告评审标准》宁房协估字[2013]04号；</w:t>
      </w:r>
    </w:p>
    <w:p>
      <w:pPr>
        <w:tabs>
          <w:tab w:val="left" w:pos="2520"/>
        </w:tabs>
        <w:spacing w:line="360" w:lineRule="auto"/>
        <w:ind w:firstLine="520" w:firstLineChars="200"/>
        <w:rPr>
          <w:rFonts w:eastAsia="仿宋"/>
          <w:sz w:val="26"/>
          <w:szCs w:val="26"/>
        </w:rPr>
      </w:pPr>
      <w:r>
        <w:rPr>
          <w:rFonts w:eastAsia="仿宋"/>
          <w:sz w:val="26"/>
          <w:szCs w:val="26"/>
        </w:rPr>
        <w:t>4、《涉执房地产处置司法评估指导意见》。</w:t>
      </w:r>
    </w:p>
    <w:p>
      <w:pPr>
        <w:tabs>
          <w:tab w:val="left" w:pos="2520"/>
        </w:tabs>
        <w:spacing w:line="360" w:lineRule="auto"/>
        <w:ind w:firstLine="520" w:firstLineChars="200"/>
        <w:rPr>
          <w:rFonts w:eastAsia="仿宋"/>
          <w:sz w:val="26"/>
          <w:szCs w:val="26"/>
        </w:rPr>
      </w:pPr>
      <w:r>
        <w:rPr>
          <w:rFonts w:eastAsia="仿宋"/>
          <w:sz w:val="26"/>
          <w:szCs w:val="26"/>
        </w:rPr>
        <w:t>（三）估价委托人提供的资料</w:t>
      </w:r>
    </w:p>
    <w:p>
      <w:pPr>
        <w:tabs>
          <w:tab w:val="left" w:pos="2520"/>
        </w:tabs>
        <w:spacing w:line="360" w:lineRule="auto"/>
        <w:ind w:firstLine="520" w:firstLineChars="200"/>
        <w:rPr>
          <w:rFonts w:eastAsia="仿宋"/>
          <w:sz w:val="26"/>
          <w:szCs w:val="26"/>
        </w:rPr>
      </w:pPr>
      <w:r>
        <w:rPr>
          <w:rFonts w:eastAsia="仿宋"/>
          <w:sz w:val="26"/>
          <w:szCs w:val="26"/>
        </w:rPr>
        <w:t>1、《石嘴山市</w:t>
      </w:r>
      <w:r>
        <w:rPr>
          <w:rFonts w:hint="eastAsia" w:eastAsia="仿宋"/>
          <w:sz w:val="26"/>
          <w:szCs w:val="26"/>
        </w:rPr>
        <w:t>大武口区人民法院价格评估</w:t>
      </w:r>
      <w:r>
        <w:rPr>
          <w:rFonts w:eastAsia="仿宋"/>
          <w:sz w:val="26"/>
          <w:szCs w:val="26"/>
        </w:rPr>
        <w:t>委托书》（2</w:t>
      </w:r>
      <w:r>
        <w:rPr>
          <w:rFonts w:hint="eastAsia" w:eastAsia="仿宋"/>
          <w:sz w:val="26"/>
          <w:szCs w:val="26"/>
        </w:rPr>
        <w:t>020</w:t>
      </w:r>
      <w:r>
        <w:rPr>
          <w:rFonts w:eastAsia="仿宋"/>
          <w:sz w:val="26"/>
          <w:szCs w:val="26"/>
        </w:rPr>
        <w:t>）宁</w:t>
      </w:r>
      <w:r>
        <w:rPr>
          <w:rFonts w:hint="eastAsia" w:eastAsia="仿宋"/>
          <w:sz w:val="26"/>
          <w:szCs w:val="26"/>
        </w:rPr>
        <w:t>0202</w:t>
      </w:r>
      <w:r>
        <w:rPr>
          <w:rFonts w:eastAsia="仿宋"/>
          <w:sz w:val="26"/>
          <w:szCs w:val="26"/>
        </w:rPr>
        <w:t>执</w:t>
      </w:r>
      <w:r>
        <w:rPr>
          <w:rFonts w:hint="eastAsia" w:eastAsia="仿宋"/>
          <w:color w:val="000000" w:themeColor="text1"/>
          <w:sz w:val="26"/>
          <w:szCs w:val="26"/>
        </w:rPr>
        <w:t>354</w:t>
      </w:r>
      <w:r>
        <w:rPr>
          <w:rFonts w:eastAsia="仿宋"/>
          <w:sz w:val="26"/>
          <w:szCs w:val="26"/>
        </w:rPr>
        <w:t>号；</w:t>
      </w:r>
    </w:p>
    <w:p>
      <w:pPr>
        <w:tabs>
          <w:tab w:val="left" w:pos="2520"/>
        </w:tabs>
        <w:spacing w:line="360" w:lineRule="auto"/>
        <w:ind w:firstLine="520" w:firstLineChars="200"/>
        <w:rPr>
          <w:rFonts w:eastAsia="仿宋"/>
          <w:sz w:val="26"/>
          <w:szCs w:val="26"/>
        </w:rPr>
      </w:pPr>
      <w:r>
        <w:rPr>
          <w:rFonts w:hint="eastAsia" w:eastAsia="仿宋"/>
          <w:sz w:val="26"/>
          <w:szCs w:val="26"/>
        </w:rPr>
        <w:t>2</w:t>
      </w:r>
      <w:r>
        <w:rPr>
          <w:rFonts w:eastAsia="仿宋"/>
          <w:sz w:val="26"/>
          <w:szCs w:val="26"/>
        </w:rPr>
        <w:t>、《</w:t>
      </w:r>
      <w:r>
        <w:rPr>
          <w:rFonts w:eastAsia="仿宋_GB2312"/>
          <w:sz w:val="26"/>
          <w:szCs w:val="26"/>
        </w:rPr>
        <w:t>不动产登记信息</w:t>
      </w:r>
      <w:r>
        <w:rPr>
          <w:rFonts w:eastAsia="仿宋"/>
          <w:sz w:val="26"/>
          <w:szCs w:val="26"/>
        </w:rPr>
        <w:t>》复印件；</w:t>
      </w:r>
    </w:p>
    <w:p>
      <w:pPr>
        <w:tabs>
          <w:tab w:val="left" w:pos="2520"/>
        </w:tabs>
        <w:spacing w:line="360" w:lineRule="auto"/>
        <w:ind w:firstLine="520" w:firstLineChars="200"/>
        <w:rPr>
          <w:rFonts w:eastAsia="仿宋"/>
          <w:sz w:val="26"/>
          <w:szCs w:val="26"/>
        </w:rPr>
      </w:pPr>
      <w:r>
        <w:rPr>
          <w:rFonts w:hint="eastAsia" w:eastAsia="仿宋"/>
          <w:sz w:val="26"/>
          <w:szCs w:val="26"/>
        </w:rPr>
        <w:t>3</w:t>
      </w:r>
      <w:r>
        <w:rPr>
          <w:rFonts w:eastAsia="仿宋"/>
          <w:sz w:val="26"/>
          <w:szCs w:val="26"/>
        </w:rPr>
        <w:t>、委托人提供的其他资料（包括现场解说）。</w:t>
      </w:r>
    </w:p>
    <w:p>
      <w:pPr>
        <w:tabs>
          <w:tab w:val="left" w:pos="2520"/>
        </w:tabs>
        <w:spacing w:line="360" w:lineRule="auto"/>
        <w:ind w:firstLine="520" w:firstLineChars="200"/>
        <w:rPr>
          <w:rFonts w:eastAsia="仿宋"/>
          <w:sz w:val="26"/>
          <w:szCs w:val="26"/>
        </w:rPr>
      </w:pPr>
      <w:r>
        <w:rPr>
          <w:rFonts w:eastAsia="仿宋"/>
          <w:sz w:val="26"/>
          <w:szCs w:val="26"/>
        </w:rPr>
        <w:t>（四）估价机构和估价人员掌握和搜集的有关资料</w:t>
      </w:r>
    </w:p>
    <w:p>
      <w:pPr>
        <w:tabs>
          <w:tab w:val="left" w:pos="2520"/>
        </w:tabs>
        <w:spacing w:line="360" w:lineRule="auto"/>
        <w:ind w:firstLine="520" w:firstLineChars="200"/>
        <w:rPr>
          <w:rFonts w:eastAsia="仿宋"/>
          <w:sz w:val="26"/>
          <w:szCs w:val="26"/>
        </w:rPr>
      </w:pPr>
      <w:bookmarkStart w:id="101" w:name="_Toc386010991"/>
      <w:r>
        <w:rPr>
          <w:rFonts w:eastAsia="仿宋"/>
          <w:sz w:val="26"/>
          <w:szCs w:val="26"/>
        </w:rPr>
        <w:t>1、估价对象照片；</w:t>
      </w:r>
    </w:p>
    <w:p>
      <w:pPr>
        <w:tabs>
          <w:tab w:val="left" w:pos="2520"/>
        </w:tabs>
        <w:spacing w:line="360" w:lineRule="auto"/>
        <w:ind w:firstLine="520" w:firstLineChars="200"/>
        <w:rPr>
          <w:rFonts w:eastAsia="仿宋"/>
          <w:sz w:val="26"/>
          <w:szCs w:val="26"/>
        </w:rPr>
      </w:pPr>
      <w:r>
        <w:rPr>
          <w:rFonts w:eastAsia="仿宋"/>
          <w:sz w:val="26"/>
          <w:szCs w:val="26"/>
        </w:rPr>
        <w:t>2、实地查勘记录；</w:t>
      </w:r>
    </w:p>
    <w:p>
      <w:pPr>
        <w:tabs>
          <w:tab w:val="left" w:pos="2520"/>
        </w:tabs>
        <w:spacing w:line="360" w:lineRule="auto"/>
        <w:ind w:firstLine="520" w:firstLineChars="200"/>
        <w:rPr>
          <w:rFonts w:eastAsia="仿宋"/>
          <w:sz w:val="26"/>
          <w:szCs w:val="26"/>
        </w:rPr>
      </w:pPr>
      <w:r>
        <w:rPr>
          <w:rFonts w:eastAsia="仿宋"/>
          <w:sz w:val="26"/>
          <w:szCs w:val="26"/>
        </w:rPr>
        <w:t>3、可比实例相关资料；</w:t>
      </w:r>
    </w:p>
    <w:p>
      <w:pPr>
        <w:tabs>
          <w:tab w:val="left" w:pos="2520"/>
        </w:tabs>
        <w:spacing w:line="360" w:lineRule="auto"/>
        <w:ind w:firstLine="520" w:firstLineChars="200"/>
        <w:rPr>
          <w:rFonts w:eastAsia="仿宋"/>
          <w:sz w:val="26"/>
          <w:szCs w:val="26"/>
        </w:rPr>
      </w:pPr>
      <w:r>
        <w:rPr>
          <w:rFonts w:eastAsia="仿宋"/>
          <w:sz w:val="26"/>
          <w:szCs w:val="26"/>
        </w:rPr>
        <w:t>4、本估价公司掌握的有关资料及估价人员实地查看所搜集的有关资料。</w:t>
      </w:r>
    </w:p>
    <w:bookmarkEnd w:id="101"/>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102" w:name="_Toc38525663"/>
      <w:bookmarkStart w:id="103" w:name="_Toc43456716"/>
      <w:bookmarkStart w:id="104" w:name="_Toc8295302"/>
      <w:bookmarkStart w:id="105" w:name="_Toc3323285"/>
      <w:bookmarkStart w:id="106" w:name="_Toc386010992"/>
      <w:bookmarkStart w:id="107" w:name="_Toc34296051"/>
      <w:bookmarkStart w:id="108" w:name="_Toc46474435"/>
      <w:bookmarkStart w:id="109" w:name="_Toc534210021"/>
      <w:r>
        <w:rPr>
          <w:rFonts w:ascii="Times New Roman" w:hAnsi="Times New Roman" w:eastAsia="仿宋"/>
          <w:sz w:val="30"/>
          <w:szCs w:val="30"/>
        </w:rPr>
        <w:t>估价方法</w:t>
      </w:r>
      <w:bookmarkEnd w:id="102"/>
      <w:bookmarkEnd w:id="103"/>
      <w:bookmarkEnd w:id="104"/>
      <w:bookmarkEnd w:id="105"/>
      <w:bookmarkEnd w:id="106"/>
      <w:bookmarkEnd w:id="107"/>
      <w:bookmarkEnd w:id="108"/>
      <w:bookmarkEnd w:id="109"/>
    </w:p>
    <w:p>
      <w:pPr>
        <w:tabs>
          <w:tab w:val="left" w:pos="2520"/>
        </w:tabs>
        <w:spacing w:line="360" w:lineRule="auto"/>
        <w:ind w:firstLine="520" w:firstLineChars="200"/>
        <w:rPr>
          <w:rFonts w:eastAsia="仿宋"/>
          <w:sz w:val="26"/>
          <w:szCs w:val="26"/>
        </w:rPr>
      </w:pPr>
      <w:bookmarkStart w:id="110" w:name="_Toc386010993"/>
      <w:bookmarkStart w:id="111" w:name="_Toc3323286"/>
      <w:bookmarkStart w:id="112" w:name="_Toc534210022"/>
      <w:bookmarkStart w:id="113" w:name="_Toc34296052"/>
      <w:bookmarkStart w:id="114" w:name="_Toc8295303"/>
      <w:r>
        <w:rPr>
          <w:rFonts w:eastAsia="仿宋"/>
          <w:sz w:val="26"/>
          <w:szCs w:val="26"/>
        </w:rPr>
        <w:t>（一）估价方法定义</w:t>
      </w:r>
    </w:p>
    <w:p>
      <w:pPr>
        <w:tabs>
          <w:tab w:val="left" w:pos="2520"/>
        </w:tabs>
        <w:spacing w:line="360" w:lineRule="auto"/>
        <w:ind w:firstLine="520" w:firstLineChars="200"/>
        <w:rPr>
          <w:rFonts w:eastAsia="仿宋"/>
          <w:sz w:val="26"/>
          <w:szCs w:val="26"/>
        </w:rPr>
      </w:pPr>
      <w:r>
        <w:rPr>
          <w:rFonts w:eastAsia="仿宋"/>
          <w:sz w:val="26"/>
          <w:szCs w:val="26"/>
        </w:rPr>
        <w:t>房地产估价常用方法有市场比较法、收益法、成本法、假设开发法等，评估过程中应根据估价对象的实际情况选择适合的估价方法。</w:t>
      </w:r>
    </w:p>
    <w:p>
      <w:pPr>
        <w:tabs>
          <w:tab w:val="left" w:pos="2520"/>
        </w:tabs>
        <w:spacing w:line="360" w:lineRule="auto"/>
        <w:ind w:firstLine="520" w:firstLineChars="200"/>
        <w:rPr>
          <w:rFonts w:eastAsia="仿宋"/>
          <w:sz w:val="26"/>
          <w:szCs w:val="26"/>
        </w:rPr>
      </w:pPr>
      <w:r>
        <w:rPr>
          <w:rFonts w:eastAsia="仿宋"/>
          <w:sz w:val="26"/>
          <w:szCs w:val="26"/>
        </w:rPr>
        <w:t>1.市场比较法是指根据替代原则，将在同一市场供需圈内近期发生的、具有可比性的交易案例与估价对象的交易情况、期日、区域以及个别因素进行比较修正，得出估价对象在估价时点时的市场价值。</w:t>
      </w:r>
    </w:p>
    <w:p>
      <w:pPr>
        <w:tabs>
          <w:tab w:val="left" w:pos="2520"/>
        </w:tabs>
        <w:spacing w:line="360" w:lineRule="auto"/>
        <w:ind w:firstLine="520" w:firstLineChars="200"/>
        <w:rPr>
          <w:rFonts w:eastAsia="仿宋"/>
          <w:sz w:val="26"/>
          <w:szCs w:val="26"/>
        </w:rPr>
      </w:pPr>
      <w:r>
        <w:rPr>
          <w:rFonts w:eastAsia="仿宋"/>
          <w:sz w:val="26"/>
          <w:szCs w:val="26"/>
        </w:rPr>
        <w:t>2.所谓收益法，是指预计估价对象未来的正常净收益，选用适当的报率将其折现到估价时点后的累加，以此估算估价对象的客观合理价格或价值的方法。</w:t>
      </w:r>
    </w:p>
    <w:p>
      <w:pPr>
        <w:tabs>
          <w:tab w:val="left" w:pos="2520"/>
        </w:tabs>
        <w:spacing w:line="360" w:lineRule="auto"/>
        <w:ind w:firstLine="520" w:firstLineChars="200"/>
        <w:rPr>
          <w:rFonts w:eastAsia="仿宋"/>
          <w:sz w:val="26"/>
          <w:szCs w:val="26"/>
        </w:rPr>
      </w:pPr>
      <w:r>
        <w:rPr>
          <w:rFonts w:eastAsia="仿宋"/>
          <w:sz w:val="26"/>
          <w:szCs w:val="26"/>
        </w:rPr>
        <w:t>3.成本法以重建该房地产所需的各项费用之和为主要依据，再加上一定的利润、利息和应交纳的税费来确定估价对象价值的估价方法</w:t>
      </w:r>
      <w:r>
        <w:rPr>
          <w:rFonts w:hint="eastAsia" w:eastAsia="仿宋"/>
          <w:sz w:val="26"/>
          <w:szCs w:val="26"/>
        </w:rPr>
        <w:t>。</w:t>
      </w:r>
    </w:p>
    <w:p>
      <w:pPr>
        <w:tabs>
          <w:tab w:val="left" w:pos="2520"/>
        </w:tabs>
        <w:spacing w:line="360" w:lineRule="auto"/>
        <w:ind w:firstLine="520" w:firstLineChars="200"/>
        <w:rPr>
          <w:rFonts w:eastAsia="仿宋"/>
          <w:sz w:val="26"/>
          <w:szCs w:val="26"/>
        </w:rPr>
      </w:pPr>
      <w:r>
        <w:rPr>
          <w:rFonts w:eastAsia="仿宋"/>
          <w:sz w:val="26"/>
          <w:szCs w:val="26"/>
        </w:rPr>
        <w:t>4.假设开发法是指将估价对象所在的房地产未来预期的开发价值的现值扣除其未完工部分的现值后的余值作为估价对象现值的估价方法。该方法适用于对在建工程及待开发用地的估价。</w:t>
      </w:r>
    </w:p>
    <w:p>
      <w:pPr>
        <w:tabs>
          <w:tab w:val="left" w:pos="2520"/>
        </w:tabs>
        <w:spacing w:line="360" w:lineRule="auto"/>
        <w:ind w:firstLine="520" w:firstLineChars="200"/>
        <w:rPr>
          <w:rFonts w:eastAsia="仿宋"/>
          <w:sz w:val="26"/>
          <w:szCs w:val="26"/>
        </w:rPr>
      </w:pPr>
      <w:r>
        <w:rPr>
          <w:rFonts w:eastAsia="仿宋"/>
          <w:sz w:val="26"/>
          <w:szCs w:val="26"/>
        </w:rPr>
        <w:t>（二）估价方法选择</w:t>
      </w:r>
    </w:p>
    <w:p>
      <w:pPr>
        <w:tabs>
          <w:tab w:val="left" w:pos="2520"/>
        </w:tabs>
        <w:spacing w:line="360" w:lineRule="auto"/>
        <w:ind w:firstLine="520" w:firstLineChars="200"/>
        <w:rPr>
          <w:rFonts w:eastAsia="仿宋"/>
          <w:sz w:val="26"/>
          <w:szCs w:val="26"/>
        </w:rPr>
      </w:pPr>
      <w:r>
        <w:rPr>
          <w:rFonts w:eastAsia="仿宋"/>
          <w:sz w:val="26"/>
          <w:szCs w:val="26"/>
        </w:rPr>
        <w:t>估价对象所在区域房地产交易比较活跃，交易案例资料较多且容易收集，比较法是比较合适的方法；与估价对象处于同一供需圈内的类似房地产出租情况较多，客观租金较易获取，故本次评估也可采用收益法进行评估。</w:t>
      </w:r>
    </w:p>
    <w:p>
      <w:pPr>
        <w:tabs>
          <w:tab w:val="left" w:pos="2520"/>
        </w:tabs>
        <w:spacing w:line="360" w:lineRule="auto"/>
        <w:ind w:firstLine="520" w:firstLineChars="200"/>
        <w:rPr>
          <w:rFonts w:eastAsia="仿宋"/>
          <w:sz w:val="26"/>
          <w:szCs w:val="26"/>
        </w:rPr>
      </w:pPr>
      <w:r>
        <w:rPr>
          <w:rFonts w:eastAsia="仿宋"/>
          <w:sz w:val="26"/>
          <w:szCs w:val="26"/>
        </w:rPr>
        <w:t>综上所述，并根据估价对象现状和此次估价目的的要求，本次估价采用市场比较法及收益法进行评估。</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115" w:name="_Toc43456717"/>
      <w:bookmarkStart w:id="116" w:name="_Toc38525664"/>
      <w:bookmarkStart w:id="117" w:name="_Toc46474436"/>
      <w:r>
        <w:rPr>
          <w:rFonts w:ascii="Times New Roman" w:hAnsi="Times New Roman" w:eastAsia="仿宋"/>
          <w:sz w:val="30"/>
          <w:szCs w:val="30"/>
        </w:rPr>
        <w:t>估价结果</w:t>
      </w:r>
      <w:bookmarkEnd w:id="110"/>
      <w:bookmarkEnd w:id="111"/>
      <w:bookmarkEnd w:id="112"/>
      <w:bookmarkEnd w:id="113"/>
      <w:bookmarkEnd w:id="114"/>
      <w:bookmarkEnd w:id="115"/>
      <w:bookmarkEnd w:id="116"/>
      <w:bookmarkEnd w:id="117"/>
    </w:p>
    <w:p>
      <w:pPr>
        <w:autoSpaceDE w:val="0"/>
        <w:autoSpaceDN w:val="0"/>
        <w:adjustRightInd w:val="0"/>
        <w:spacing w:line="360" w:lineRule="auto"/>
        <w:ind w:firstLine="520" w:firstLineChars="200"/>
        <w:rPr>
          <w:rFonts w:eastAsia="仿宋"/>
          <w:sz w:val="26"/>
          <w:szCs w:val="26"/>
        </w:rPr>
      </w:pPr>
      <w:bookmarkStart w:id="118" w:name="_Toc3323287"/>
      <w:bookmarkStart w:id="119" w:name="_Toc534210023"/>
      <w:bookmarkStart w:id="120" w:name="_Toc8295304"/>
      <w:r>
        <w:rPr>
          <w:rFonts w:eastAsia="仿宋"/>
          <w:sz w:val="26"/>
          <w:szCs w:val="26"/>
        </w:rPr>
        <w:t>估价人员根据估价目的，遵循估价原则，按照估价工作程序，利用科学的评估方法，在认真分析现有资料的基础上，经过周密的准确的测算，并结合估价经验与对影响房地产价值因素的分析，确定估价对象在价值时点（二〇二〇年</w:t>
      </w:r>
      <w:r>
        <w:rPr>
          <w:rFonts w:hint="eastAsia" w:eastAsia="仿宋"/>
          <w:sz w:val="26"/>
          <w:szCs w:val="26"/>
        </w:rPr>
        <w:t>七月十七日</w:t>
      </w:r>
      <w:r>
        <w:rPr>
          <w:rFonts w:eastAsia="仿宋"/>
          <w:sz w:val="26"/>
          <w:szCs w:val="26"/>
        </w:rPr>
        <w:t>）的</w:t>
      </w:r>
      <w:r>
        <w:rPr>
          <w:rFonts w:hint="eastAsia" w:eastAsia="仿宋"/>
          <w:sz w:val="26"/>
          <w:szCs w:val="26"/>
        </w:rPr>
        <w:t>市场价格为</w:t>
      </w:r>
      <w:r>
        <w:rPr>
          <w:rFonts w:hint="eastAsia" w:eastAsia="仿宋"/>
          <w:sz w:val="28"/>
          <w:szCs w:val="28"/>
        </w:rPr>
        <w:t>：</w:t>
      </w:r>
      <w:r>
        <w:rPr>
          <w:rFonts w:eastAsia="仿宋"/>
          <w:b/>
          <w:sz w:val="28"/>
          <w:szCs w:val="28"/>
        </w:rPr>
        <w:t>￥</w:t>
      </w:r>
      <w:r>
        <w:rPr>
          <w:rFonts w:hint="eastAsia" w:eastAsia="仿宋"/>
          <w:b/>
          <w:sz w:val="28"/>
          <w:szCs w:val="28"/>
        </w:rPr>
        <w:t>142,802.0</w:t>
      </w:r>
      <w:r>
        <w:rPr>
          <w:rFonts w:eastAsia="仿宋"/>
          <w:b/>
          <w:sz w:val="28"/>
          <w:szCs w:val="28"/>
        </w:rPr>
        <w:t>元整，大写(人民币)：</w:t>
      </w:r>
      <w:r>
        <w:rPr>
          <w:rFonts w:hint="eastAsia" w:eastAsia="仿宋"/>
          <w:b/>
          <w:sz w:val="28"/>
          <w:szCs w:val="28"/>
        </w:rPr>
        <w:t>壹拾肆万贰仟捌佰零贰</w:t>
      </w:r>
      <w:r>
        <w:rPr>
          <w:rFonts w:eastAsia="仿宋"/>
          <w:b/>
          <w:sz w:val="28"/>
          <w:szCs w:val="28"/>
        </w:rPr>
        <w:t>元</w:t>
      </w:r>
      <w:r>
        <w:rPr>
          <w:rFonts w:eastAsia="仿宋"/>
          <w:b/>
          <w:bCs/>
          <w:kern w:val="0"/>
          <w:sz w:val="28"/>
          <w:szCs w:val="28"/>
          <w:lang w:val="zh-CN"/>
        </w:rPr>
        <w:t>整。</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121" w:name="_Toc46474437"/>
      <w:bookmarkStart w:id="122" w:name="_Toc34296053"/>
      <w:bookmarkStart w:id="123" w:name="_Toc38525665"/>
      <w:bookmarkStart w:id="124" w:name="_Toc43456718"/>
      <w:r>
        <w:rPr>
          <w:rFonts w:ascii="Times New Roman" w:hAnsi="Times New Roman" w:eastAsia="仿宋"/>
          <w:sz w:val="30"/>
          <w:szCs w:val="30"/>
        </w:rPr>
        <w:t>注册房地产估价师</w:t>
      </w:r>
      <w:bookmarkEnd w:id="118"/>
      <w:bookmarkEnd w:id="119"/>
      <w:bookmarkEnd w:id="120"/>
      <w:bookmarkEnd w:id="121"/>
      <w:bookmarkEnd w:id="122"/>
      <w:bookmarkEnd w:id="123"/>
      <w:bookmarkEnd w:id="124"/>
    </w:p>
    <w:tbl>
      <w:tblPr>
        <w:tblStyle w:val="26"/>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020"/>
        <w:gridCol w:w="366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74" w:type="dxa"/>
          </w:tcPr>
          <w:p>
            <w:pPr>
              <w:spacing w:line="500" w:lineRule="exact"/>
              <w:jc w:val="center"/>
              <w:rPr>
                <w:rFonts w:eastAsia="仿宋"/>
                <w:sz w:val="26"/>
                <w:szCs w:val="26"/>
              </w:rPr>
            </w:pPr>
            <w:bookmarkStart w:id="125" w:name="_Toc386010995"/>
            <w:r>
              <w:rPr>
                <w:rFonts w:eastAsia="仿宋"/>
                <w:sz w:val="26"/>
                <w:szCs w:val="26"/>
              </w:rPr>
              <w:t>姓名</w:t>
            </w:r>
          </w:p>
        </w:tc>
        <w:tc>
          <w:tcPr>
            <w:tcW w:w="2020" w:type="dxa"/>
          </w:tcPr>
          <w:p>
            <w:pPr>
              <w:spacing w:line="500" w:lineRule="exact"/>
              <w:jc w:val="center"/>
              <w:rPr>
                <w:rFonts w:eastAsia="仿宋"/>
                <w:sz w:val="26"/>
                <w:szCs w:val="26"/>
              </w:rPr>
            </w:pPr>
            <w:r>
              <w:rPr>
                <w:rFonts w:eastAsia="仿宋"/>
                <w:sz w:val="26"/>
                <w:szCs w:val="26"/>
              </w:rPr>
              <w:t>注册号</w:t>
            </w:r>
          </w:p>
        </w:tc>
        <w:tc>
          <w:tcPr>
            <w:tcW w:w="3661" w:type="dxa"/>
          </w:tcPr>
          <w:p>
            <w:pPr>
              <w:spacing w:line="500" w:lineRule="exact"/>
              <w:jc w:val="center"/>
              <w:rPr>
                <w:rFonts w:eastAsia="仿宋"/>
                <w:sz w:val="26"/>
                <w:szCs w:val="26"/>
              </w:rPr>
            </w:pPr>
            <w:r>
              <w:rPr>
                <w:rFonts w:eastAsia="仿宋"/>
                <w:sz w:val="26"/>
                <w:szCs w:val="26"/>
              </w:rPr>
              <w:t>签名</w:t>
            </w:r>
          </w:p>
        </w:tc>
        <w:tc>
          <w:tcPr>
            <w:tcW w:w="2311" w:type="dxa"/>
          </w:tcPr>
          <w:p>
            <w:pPr>
              <w:spacing w:line="500" w:lineRule="exact"/>
              <w:jc w:val="center"/>
              <w:rPr>
                <w:rFonts w:eastAsia="仿宋"/>
                <w:sz w:val="26"/>
                <w:szCs w:val="26"/>
              </w:rPr>
            </w:pPr>
            <w:r>
              <w:rPr>
                <w:rFonts w:eastAsia="仿宋"/>
                <w:sz w:val="26"/>
                <w:szCs w:val="2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674" w:type="dxa"/>
            <w:vAlign w:val="center"/>
          </w:tcPr>
          <w:p>
            <w:pPr>
              <w:spacing w:line="500" w:lineRule="exact"/>
              <w:jc w:val="center"/>
              <w:rPr>
                <w:rFonts w:eastAsia="仿宋"/>
                <w:sz w:val="28"/>
                <w:szCs w:val="28"/>
              </w:rPr>
            </w:pPr>
            <w:r>
              <w:rPr>
                <w:rFonts w:eastAsia="仿宋"/>
                <w:sz w:val="28"/>
                <w:szCs w:val="28"/>
              </w:rPr>
              <w:t>钟志强</w:t>
            </w:r>
          </w:p>
        </w:tc>
        <w:tc>
          <w:tcPr>
            <w:tcW w:w="2020" w:type="dxa"/>
            <w:vAlign w:val="center"/>
          </w:tcPr>
          <w:p>
            <w:pPr>
              <w:spacing w:line="500" w:lineRule="exact"/>
              <w:jc w:val="center"/>
              <w:rPr>
                <w:rFonts w:eastAsia="仿宋"/>
                <w:sz w:val="28"/>
                <w:szCs w:val="28"/>
              </w:rPr>
            </w:pPr>
            <w:r>
              <w:rPr>
                <w:rFonts w:eastAsia="仿宋"/>
                <w:sz w:val="28"/>
                <w:szCs w:val="28"/>
              </w:rPr>
              <w:t>6420110006</w:t>
            </w:r>
          </w:p>
        </w:tc>
        <w:tc>
          <w:tcPr>
            <w:tcW w:w="3661" w:type="dxa"/>
            <w:vAlign w:val="center"/>
          </w:tcPr>
          <w:p>
            <w:pPr>
              <w:spacing w:line="500" w:lineRule="exact"/>
              <w:rPr>
                <w:rFonts w:eastAsia="仿宋"/>
                <w:sz w:val="26"/>
                <w:szCs w:val="26"/>
              </w:rPr>
            </w:pPr>
          </w:p>
        </w:tc>
        <w:tc>
          <w:tcPr>
            <w:tcW w:w="2311" w:type="dxa"/>
            <w:vAlign w:val="center"/>
          </w:tcPr>
          <w:p>
            <w:pPr>
              <w:spacing w:line="500" w:lineRule="exact"/>
              <w:jc w:val="center"/>
              <w:rPr>
                <w:rFonts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674" w:type="dxa"/>
            <w:vAlign w:val="center"/>
          </w:tcPr>
          <w:p>
            <w:pPr>
              <w:spacing w:line="500" w:lineRule="exact"/>
              <w:jc w:val="center"/>
              <w:rPr>
                <w:rFonts w:eastAsia="仿宋"/>
                <w:sz w:val="26"/>
                <w:szCs w:val="26"/>
                <w:highlight w:val="yellow"/>
              </w:rPr>
            </w:pPr>
            <w:r>
              <w:rPr>
                <w:rFonts w:eastAsia="仿宋"/>
                <w:sz w:val="28"/>
                <w:szCs w:val="28"/>
              </w:rPr>
              <w:t>曹</w:t>
            </w:r>
            <w:r>
              <w:rPr>
                <w:rFonts w:hint="eastAsia" w:eastAsia="仿宋"/>
                <w:sz w:val="28"/>
                <w:szCs w:val="28"/>
              </w:rPr>
              <w:t xml:space="preserve">  </w:t>
            </w:r>
            <w:r>
              <w:rPr>
                <w:rFonts w:eastAsia="仿宋"/>
                <w:sz w:val="28"/>
                <w:szCs w:val="28"/>
              </w:rPr>
              <w:t>娟</w:t>
            </w:r>
          </w:p>
        </w:tc>
        <w:tc>
          <w:tcPr>
            <w:tcW w:w="2020" w:type="dxa"/>
            <w:vAlign w:val="center"/>
          </w:tcPr>
          <w:p>
            <w:pPr>
              <w:spacing w:line="500" w:lineRule="exact"/>
              <w:jc w:val="center"/>
              <w:rPr>
                <w:rFonts w:eastAsia="仿宋"/>
                <w:sz w:val="26"/>
                <w:szCs w:val="26"/>
                <w:highlight w:val="yellow"/>
              </w:rPr>
            </w:pPr>
            <w:r>
              <w:rPr>
                <w:rFonts w:eastAsia="仿宋"/>
                <w:sz w:val="28"/>
                <w:szCs w:val="28"/>
              </w:rPr>
              <w:t>1120070015</w:t>
            </w:r>
          </w:p>
        </w:tc>
        <w:tc>
          <w:tcPr>
            <w:tcW w:w="3661" w:type="dxa"/>
            <w:vAlign w:val="center"/>
          </w:tcPr>
          <w:p>
            <w:pPr>
              <w:spacing w:line="500" w:lineRule="exact"/>
              <w:rPr>
                <w:rFonts w:eastAsia="仿宋"/>
                <w:sz w:val="26"/>
                <w:szCs w:val="26"/>
              </w:rPr>
            </w:pPr>
          </w:p>
        </w:tc>
        <w:tc>
          <w:tcPr>
            <w:tcW w:w="2311" w:type="dxa"/>
            <w:vAlign w:val="center"/>
          </w:tcPr>
          <w:p>
            <w:pPr>
              <w:spacing w:line="500" w:lineRule="exact"/>
              <w:jc w:val="center"/>
              <w:rPr>
                <w:rFonts w:eastAsia="仿宋"/>
                <w:sz w:val="26"/>
                <w:szCs w:val="26"/>
              </w:rPr>
            </w:pPr>
          </w:p>
        </w:tc>
      </w:tr>
    </w:tbl>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126" w:name="_Toc3323288"/>
      <w:bookmarkStart w:id="127" w:name="_Toc43456719"/>
      <w:bookmarkStart w:id="128" w:name="_Toc34296054"/>
      <w:bookmarkStart w:id="129" w:name="_Toc8295305"/>
      <w:bookmarkStart w:id="130" w:name="_Toc38525666"/>
      <w:bookmarkStart w:id="131" w:name="_Toc534210024"/>
      <w:bookmarkStart w:id="132" w:name="_Toc46474438"/>
      <w:r>
        <w:rPr>
          <w:rFonts w:ascii="Times New Roman" w:hAnsi="Times New Roman" w:eastAsia="仿宋"/>
          <w:sz w:val="30"/>
          <w:szCs w:val="30"/>
        </w:rPr>
        <w:t>实地查勘期</w:t>
      </w:r>
      <w:bookmarkEnd w:id="126"/>
      <w:bookmarkEnd w:id="127"/>
      <w:bookmarkEnd w:id="128"/>
      <w:bookmarkEnd w:id="129"/>
      <w:bookmarkEnd w:id="130"/>
      <w:bookmarkEnd w:id="131"/>
      <w:bookmarkEnd w:id="132"/>
    </w:p>
    <w:p>
      <w:pPr>
        <w:tabs>
          <w:tab w:val="left" w:pos="1440"/>
        </w:tabs>
        <w:spacing w:line="360" w:lineRule="auto"/>
        <w:ind w:firstLine="520" w:firstLineChars="200"/>
        <w:rPr>
          <w:rFonts w:eastAsia="仿宋"/>
          <w:sz w:val="26"/>
          <w:szCs w:val="26"/>
        </w:rPr>
      </w:pPr>
      <w:r>
        <w:rPr>
          <w:rFonts w:eastAsia="仿宋"/>
          <w:sz w:val="26"/>
          <w:szCs w:val="26"/>
        </w:rPr>
        <w:t>二〇二〇年</w:t>
      </w:r>
      <w:r>
        <w:rPr>
          <w:rFonts w:hint="eastAsia" w:eastAsia="仿宋"/>
          <w:sz w:val="26"/>
          <w:szCs w:val="26"/>
        </w:rPr>
        <w:t>七月十七日</w:t>
      </w:r>
      <w:r>
        <w:rPr>
          <w:rFonts w:eastAsia="仿宋"/>
          <w:sz w:val="26"/>
          <w:szCs w:val="26"/>
        </w:rPr>
        <w:t>进场，并于当日完成工作。</w:t>
      </w:r>
    </w:p>
    <w:p>
      <w:pPr>
        <w:pStyle w:val="3"/>
        <w:numPr>
          <w:ilvl w:val="0"/>
          <w:numId w:val="1"/>
        </w:numPr>
        <w:spacing w:before="120" w:after="120" w:line="360" w:lineRule="auto"/>
        <w:ind w:left="0" w:firstLine="602" w:firstLineChars="200"/>
        <w:rPr>
          <w:rFonts w:ascii="Times New Roman" w:hAnsi="Times New Roman" w:eastAsia="仿宋"/>
          <w:sz w:val="30"/>
          <w:szCs w:val="30"/>
        </w:rPr>
      </w:pPr>
      <w:bookmarkStart w:id="133" w:name="_Toc534210025"/>
      <w:bookmarkStart w:id="134" w:name="_Toc34296055"/>
      <w:bookmarkStart w:id="135" w:name="_Toc3323289"/>
      <w:bookmarkStart w:id="136" w:name="_Toc8295306"/>
      <w:bookmarkStart w:id="137" w:name="_Toc43456720"/>
      <w:bookmarkStart w:id="138" w:name="_Toc46474439"/>
      <w:bookmarkStart w:id="139" w:name="_Toc38525667"/>
      <w:r>
        <w:rPr>
          <w:rFonts w:ascii="Times New Roman" w:hAnsi="Times New Roman" w:eastAsia="仿宋"/>
          <w:sz w:val="30"/>
          <w:szCs w:val="30"/>
        </w:rPr>
        <w:t>估价作业期</w:t>
      </w:r>
      <w:bookmarkEnd w:id="125"/>
      <w:bookmarkEnd w:id="133"/>
      <w:bookmarkEnd w:id="134"/>
      <w:bookmarkEnd w:id="135"/>
      <w:bookmarkEnd w:id="136"/>
      <w:bookmarkEnd w:id="137"/>
      <w:bookmarkEnd w:id="138"/>
      <w:bookmarkEnd w:id="139"/>
    </w:p>
    <w:p>
      <w:pPr>
        <w:tabs>
          <w:tab w:val="left" w:pos="1440"/>
        </w:tabs>
        <w:spacing w:line="360" w:lineRule="auto"/>
        <w:ind w:firstLine="520" w:firstLineChars="200"/>
        <w:rPr>
          <w:rFonts w:eastAsia="仿宋"/>
          <w:sz w:val="26"/>
          <w:szCs w:val="26"/>
        </w:rPr>
      </w:pPr>
      <w:r>
        <w:rPr>
          <w:rFonts w:eastAsia="仿宋"/>
          <w:sz w:val="26"/>
          <w:szCs w:val="26"/>
        </w:rPr>
        <w:t>从二〇二〇年</w:t>
      </w:r>
      <w:r>
        <w:rPr>
          <w:rFonts w:hint="eastAsia" w:eastAsia="仿宋"/>
          <w:sz w:val="26"/>
          <w:szCs w:val="26"/>
        </w:rPr>
        <w:t>七月十七日</w:t>
      </w:r>
      <w:r>
        <w:rPr>
          <w:rFonts w:eastAsia="仿宋"/>
          <w:sz w:val="26"/>
          <w:szCs w:val="26"/>
        </w:rPr>
        <w:t>起至二〇二〇年</w:t>
      </w:r>
      <w:r>
        <w:rPr>
          <w:rFonts w:hint="eastAsia" w:eastAsia="仿宋"/>
          <w:sz w:val="26"/>
          <w:szCs w:val="26"/>
        </w:rPr>
        <w:t>七月二十七日</w:t>
      </w:r>
      <w:r>
        <w:rPr>
          <w:rFonts w:eastAsia="仿宋"/>
          <w:sz w:val="26"/>
          <w:szCs w:val="26"/>
        </w:rPr>
        <w:t>止。</w:t>
      </w:r>
    </w:p>
    <w:p>
      <w:pPr>
        <w:tabs>
          <w:tab w:val="left" w:pos="1440"/>
        </w:tabs>
        <w:spacing w:line="520" w:lineRule="exact"/>
        <w:ind w:firstLine="520" w:firstLineChars="200"/>
        <w:rPr>
          <w:rFonts w:eastAsia="仿宋"/>
          <w:sz w:val="26"/>
          <w:szCs w:val="26"/>
        </w:rPr>
      </w:pPr>
    </w:p>
    <w:p>
      <w:pPr>
        <w:tabs>
          <w:tab w:val="left" w:pos="1440"/>
        </w:tabs>
        <w:spacing w:line="520" w:lineRule="exact"/>
        <w:ind w:firstLine="520" w:firstLineChars="200"/>
        <w:rPr>
          <w:rFonts w:eastAsia="仿宋"/>
          <w:sz w:val="26"/>
          <w:szCs w:val="26"/>
        </w:rPr>
      </w:pPr>
    </w:p>
    <w:p>
      <w:pPr>
        <w:spacing w:before="120" w:line="500" w:lineRule="exact"/>
        <w:ind w:right="600" w:firstLine="3380" w:firstLineChars="1300"/>
        <w:rPr>
          <w:rFonts w:eastAsia="仿宋"/>
          <w:sz w:val="26"/>
          <w:szCs w:val="26"/>
        </w:rPr>
      </w:pPr>
      <w:r>
        <w:rPr>
          <w:rFonts w:eastAsia="仿宋"/>
          <w:sz w:val="26"/>
          <w:szCs w:val="26"/>
        </w:rPr>
        <w:t>宁夏宇川房地产评估咨询事务所(有限公司)</w:t>
      </w:r>
    </w:p>
    <w:p>
      <w:pPr>
        <w:spacing w:before="120" w:line="500" w:lineRule="exact"/>
        <w:ind w:firstLine="520"/>
        <w:rPr>
          <w:rFonts w:eastAsia="仿宋"/>
          <w:sz w:val="26"/>
          <w:szCs w:val="26"/>
        </w:rPr>
      </w:pPr>
      <w:r>
        <w:rPr>
          <w:rFonts w:eastAsia="仿宋"/>
          <w:sz w:val="26"/>
          <w:szCs w:val="26"/>
        </w:rPr>
        <w:t xml:space="preserve">                              二〇二〇年</w:t>
      </w:r>
      <w:r>
        <w:rPr>
          <w:rFonts w:hint="eastAsia" w:eastAsia="仿宋"/>
          <w:sz w:val="26"/>
          <w:szCs w:val="26"/>
        </w:rPr>
        <w:t>七月二十七日</w:t>
      </w:r>
      <w:r>
        <w:rPr>
          <w:rFonts w:eastAsia="仿宋"/>
          <w:sz w:val="26"/>
          <w:szCs w:val="26"/>
        </w:rPr>
        <w:br w:type="page"/>
      </w:r>
    </w:p>
    <w:p>
      <w:pPr>
        <w:pStyle w:val="2"/>
        <w:spacing w:before="120" w:line="240" w:lineRule="auto"/>
        <w:ind w:right="206" w:rightChars="98"/>
        <w:rPr>
          <w:rFonts w:eastAsia="仿宋"/>
          <w:sz w:val="48"/>
          <w:szCs w:val="48"/>
        </w:rPr>
      </w:pPr>
      <w:bookmarkStart w:id="140" w:name="_Toc534210028"/>
      <w:bookmarkStart w:id="141" w:name="_Toc8295307"/>
      <w:bookmarkStart w:id="142" w:name="_Toc34296058"/>
      <w:bookmarkStart w:id="143" w:name="_Toc3323292"/>
    </w:p>
    <w:p>
      <w:pPr>
        <w:pStyle w:val="2"/>
        <w:spacing w:before="120" w:line="240" w:lineRule="auto"/>
        <w:ind w:left="-105" w:leftChars="-50" w:right="206" w:rightChars="98" w:firstLine="964"/>
        <w:jc w:val="center"/>
        <w:rPr>
          <w:rFonts w:eastAsia="仿宋"/>
          <w:sz w:val="48"/>
          <w:szCs w:val="48"/>
        </w:rPr>
      </w:pPr>
      <w:bookmarkStart w:id="144" w:name="_Toc46474440"/>
      <w:bookmarkStart w:id="145" w:name="_Toc38525668"/>
      <w:bookmarkStart w:id="146" w:name="_Toc43456721"/>
      <w:r>
        <w:rPr>
          <w:rFonts w:eastAsia="仿宋"/>
          <w:sz w:val="48"/>
          <w:szCs w:val="48"/>
        </w:rPr>
        <w:t>附   件</w:t>
      </w:r>
      <w:bookmarkEnd w:id="140"/>
      <w:bookmarkEnd w:id="141"/>
      <w:bookmarkEnd w:id="142"/>
      <w:bookmarkEnd w:id="143"/>
      <w:bookmarkEnd w:id="144"/>
      <w:bookmarkEnd w:id="145"/>
      <w:bookmarkEnd w:id="146"/>
      <w:r>
        <w:rPr>
          <w:rFonts w:eastAsia="仿宋"/>
          <w:sz w:val="48"/>
          <w:szCs w:val="48"/>
        </w:rPr>
        <w:t xml:space="preserve"> </w:t>
      </w:r>
    </w:p>
    <w:p>
      <w:pPr>
        <w:spacing w:before="120" w:line="480" w:lineRule="exact"/>
        <w:ind w:firstLine="520" w:firstLineChars="200"/>
        <w:rPr>
          <w:rFonts w:eastAsia="仿宋"/>
          <w:sz w:val="26"/>
          <w:szCs w:val="26"/>
        </w:rPr>
      </w:pP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估价对象的影像照片；</w:t>
      </w:r>
    </w:p>
    <w:p>
      <w:pPr>
        <w:numPr>
          <w:ilvl w:val="0"/>
          <w:numId w:val="2"/>
        </w:numPr>
        <w:autoSpaceDE w:val="0"/>
        <w:autoSpaceDN w:val="0"/>
        <w:adjustRightInd w:val="0"/>
        <w:snapToGrid w:val="0"/>
        <w:spacing w:before="120" w:line="560" w:lineRule="exact"/>
        <w:ind w:left="0" w:right="278" w:firstLine="522"/>
        <w:rPr>
          <w:rFonts w:eastAsia="仿宋"/>
          <w:kern w:val="0"/>
          <w:sz w:val="26"/>
          <w:szCs w:val="26"/>
        </w:rPr>
      </w:pPr>
      <w:r>
        <w:rPr>
          <w:rFonts w:eastAsia="仿宋"/>
          <w:kern w:val="0"/>
          <w:sz w:val="26"/>
          <w:szCs w:val="26"/>
        </w:rPr>
        <w:t>估价对象位置示意图；</w:t>
      </w:r>
    </w:p>
    <w:p>
      <w:pPr>
        <w:numPr>
          <w:ilvl w:val="0"/>
          <w:numId w:val="2"/>
        </w:numPr>
        <w:autoSpaceDE w:val="0"/>
        <w:autoSpaceDN w:val="0"/>
        <w:adjustRightInd w:val="0"/>
        <w:snapToGrid w:val="0"/>
        <w:spacing w:before="120" w:line="560" w:lineRule="exact"/>
        <w:ind w:left="0" w:firstLine="480"/>
        <w:rPr>
          <w:rFonts w:eastAsia="仿宋"/>
          <w:spacing w:val="-10"/>
          <w:kern w:val="0"/>
          <w:sz w:val="26"/>
          <w:szCs w:val="26"/>
        </w:rPr>
      </w:pPr>
      <w:r>
        <w:rPr>
          <w:rFonts w:eastAsia="仿宋"/>
          <w:spacing w:val="-10"/>
          <w:kern w:val="0"/>
          <w:sz w:val="26"/>
          <w:szCs w:val="26"/>
        </w:rPr>
        <w:t>估价委托人提供的</w:t>
      </w:r>
      <w:r>
        <w:rPr>
          <w:rFonts w:eastAsia="仿宋"/>
          <w:kern w:val="0"/>
          <w:sz w:val="26"/>
          <w:szCs w:val="26"/>
        </w:rPr>
        <w:t>《</w:t>
      </w:r>
      <w:r>
        <w:rPr>
          <w:rFonts w:eastAsia="仿宋_GB2312"/>
          <w:sz w:val="26"/>
          <w:szCs w:val="26"/>
        </w:rPr>
        <w:t>不动产登记信息</w:t>
      </w:r>
      <w:r>
        <w:rPr>
          <w:rFonts w:eastAsia="仿宋"/>
          <w:kern w:val="0"/>
          <w:sz w:val="26"/>
          <w:szCs w:val="26"/>
        </w:rPr>
        <w:t>》复印件；</w:t>
      </w:r>
    </w:p>
    <w:p>
      <w:pPr>
        <w:numPr>
          <w:ilvl w:val="0"/>
          <w:numId w:val="2"/>
        </w:numPr>
        <w:autoSpaceDE w:val="0"/>
        <w:autoSpaceDN w:val="0"/>
        <w:adjustRightInd w:val="0"/>
        <w:snapToGrid w:val="0"/>
        <w:spacing w:before="120" w:line="560" w:lineRule="exact"/>
        <w:ind w:left="0" w:firstLine="480"/>
        <w:rPr>
          <w:rFonts w:eastAsia="仿宋"/>
          <w:spacing w:val="-10"/>
          <w:kern w:val="0"/>
          <w:sz w:val="26"/>
          <w:szCs w:val="26"/>
        </w:rPr>
      </w:pPr>
      <w:r>
        <w:rPr>
          <w:rFonts w:eastAsia="仿宋"/>
          <w:spacing w:val="-10"/>
          <w:kern w:val="0"/>
          <w:sz w:val="26"/>
          <w:szCs w:val="26"/>
        </w:rPr>
        <w:t>估价委托人提供的</w:t>
      </w:r>
      <w:r>
        <w:rPr>
          <w:rFonts w:eastAsia="仿宋"/>
          <w:kern w:val="0"/>
          <w:sz w:val="26"/>
          <w:szCs w:val="26"/>
        </w:rPr>
        <w:t>石嘴山市</w:t>
      </w:r>
      <w:r>
        <w:rPr>
          <w:rFonts w:hint="eastAsia" w:eastAsia="仿宋"/>
          <w:kern w:val="0"/>
          <w:sz w:val="26"/>
          <w:szCs w:val="26"/>
        </w:rPr>
        <w:t>大武口区人民法院</w:t>
      </w:r>
      <w:r>
        <w:rPr>
          <w:rFonts w:eastAsia="仿宋"/>
          <w:kern w:val="0"/>
          <w:sz w:val="26"/>
          <w:szCs w:val="26"/>
        </w:rPr>
        <w:t>委托书复印件；</w:t>
      </w: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估价对象实地查勘情况</w:t>
      </w:r>
      <w:r>
        <w:rPr>
          <w:rFonts w:hint="eastAsia" w:eastAsia="仿宋"/>
          <w:color w:val="000000"/>
          <w:kern w:val="0"/>
          <w:sz w:val="26"/>
          <w:szCs w:val="26"/>
        </w:rPr>
        <w:t>；</w:t>
      </w: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专业帮助情况和相关专业意见</w:t>
      </w:r>
      <w:r>
        <w:rPr>
          <w:rFonts w:hint="eastAsia" w:eastAsia="仿宋"/>
          <w:color w:val="000000"/>
          <w:kern w:val="0"/>
          <w:sz w:val="26"/>
          <w:szCs w:val="26"/>
        </w:rPr>
        <w:t>；</w:t>
      </w: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注册房地产估价师注册证书复印件；</w:t>
      </w: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房地产估价机构营业执照复印件；</w:t>
      </w:r>
    </w:p>
    <w:p>
      <w:pPr>
        <w:numPr>
          <w:ilvl w:val="0"/>
          <w:numId w:val="2"/>
        </w:numPr>
        <w:autoSpaceDE w:val="0"/>
        <w:autoSpaceDN w:val="0"/>
        <w:adjustRightInd w:val="0"/>
        <w:snapToGrid w:val="0"/>
        <w:spacing w:before="120" w:line="560" w:lineRule="exact"/>
        <w:ind w:left="0" w:right="280" w:firstLine="520"/>
        <w:rPr>
          <w:rFonts w:eastAsia="仿宋"/>
          <w:color w:val="000000"/>
          <w:kern w:val="0"/>
          <w:sz w:val="26"/>
          <w:szCs w:val="26"/>
        </w:rPr>
      </w:pPr>
      <w:r>
        <w:rPr>
          <w:rFonts w:eastAsia="仿宋"/>
          <w:color w:val="000000"/>
          <w:kern w:val="0"/>
          <w:sz w:val="26"/>
          <w:szCs w:val="26"/>
        </w:rPr>
        <w:t>房地产评估机构资质证书复印件。</w:t>
      </w:r>
    </w:p>
    <w:p>
      <w:pPr>
        <w:spacing w:before="120" w:line="480" w:lineRule="exact"/>
        <w:ind w:firstLine="560"/>
        <w:rPr>
          <w:rFonts w:eastAsia="仿宋"/>
          <w:sz w:val="28"/>
        </w:rPr>
      </w:pPr>
    </w:p>
    <w:p>
      <w:pPr>
        <w:spacing w:before="120" w:line="480" w:lineRule="exact"/>
        <w:ind w:firstLine="560"/>
        <w:rPr>
          <w:rFonts w:eastAsia="仿宋"/>
          <w:sz w:val="28"/>
        </w:rPr>
      </w:pPr>
    </w:p>
    <w:p>
      <w:pPr>
        <w:spacing w:before="120" w:line="480" w:lineRule="exact"/>
        <w:ind w:firstLine="560"/>
        <w:rPr>
          <w:rFonts w:eastAsia="仿宋"/>
          <w:sz w:val="28"/>
        </w:rPr>
        <w:sectPr>
          <w:headerReference r:id="rId8" w:type="default"/>
          <w:footerReference r:id="rId9" w:type="default"/>
          <w:pgSz w:w="11906" w:h="16838"/>
          <w:pgMar w:top="1440" w:right="986" w:bottom="1440" w:left="1293" w:header="851" w:footer="992" w:gutter="284"/>
          <w:pgNumType w:start="1"/>
          <w:cols w:space="720" w:num="1"/>
          <w:docGrid w:linePitch="312" w:charSpace="0"/>
        </w:sectPr>
      </w:pPr>
      <w:bookmarkStart w:id="147" w:name="_GoBack"/>
      <w:bookmarkEnd w:id="147"/>
    </w:p>
    <w:p/>
    <w:sectPr>
      <w:headerReference r:id="rId10" w:type="default"/>
      <w:pgSz w:w="11906" w:h="16838"/>
      <w:pgMar w:top="1440" w:right="986" w:bottom="1440" w:left="1293"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before="120" w:line="200" w:lineRule="exact"/>
      <w:rPr>
        <w:sz w:val="18"/>
        <w:szCs w:val="18"/>
      </w:rPr>
    </w:pPr>
    <w:r>
      <w:rPr>
        <w:rFonts w:hint="eastAsia" w:hAnsi="宋体"/>
        <w:sz w:val="18"/>
        <w:szCs w:val="18"/>
      </w:rPr>
      <w:t>地址：银川市兴庆区凤凰北街民生中心1502室</w:t>
    </w:r>
    <w:r>
      <w:rPr>
        <w:rFonts w:hAnsi="宋体"/>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hAnsi="宋体"/>
        <w:sz w:val="18"/>
        <w:szCs w:val="18"/>
      </w:rPr>
      <w:t>联系方式：0951-6081805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spacing w:before="120"/>
      <w:ind w:firstLine="360"/>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before="120" w:line="200" w:lineRule="exact"/>
      <w:rPr>
        <w:sz w:val="18"/>
        <w:szCs w:val="18"/>
      </w:rPr>
    </w:pPr>
    <w:r>
      <w:rPr>
        <w:rFonts w:hint="eastAsia" w:hAnsi="宋体"/>
        <w:sz w:val="18"/>
        <w:szCs w:val="18"/>
      </w:rPr>
      <w:t>地址：银川市兴庆区凤凰北街民生中心1502室</w:t>
    </w:r>
    <w:r>
      <w:rPr>
        <w:rFonts w:hAnsi="宋体"/>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hAnsi="宋体"/>
        <w:sz w:val="18"/>
        <w:szCs w:val="18"/>
      </w:rPr>
      <w:t>联系方式：0951-6081805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before="120" w:line="200" w:lineRule="exact"/>
      <w:rPr>
        <w:sz w:val="18"/>
        <w:szCs w:val="18"/>
      </w:rPr>
    </w:pPr>
    <w:r>
      <w:rPr>
        <w:rFonts w:hint="eastAsia" w:hAnsi="宋体"/>
        <w:sz w:val="18"/>
        <w:szCs w:val="18"/>
      </w:rPr>
      <w:t>地址：银川市兴庆区凤凰北街民生中心1502室</w:t>
    </w:r>
    <w:r>
      <w:rPr>
        <w:rFonts w:hAnsi="宋体"/>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hAnsi="宋体"/>
        <w:sz w:val="18"/>
        <w:szCs w:val="18"/>
      </w:rPr>
      <w:t>联系方式：0951-6081805</w:t>
    </w:r>
  </w:p>
  <w:p>
    <w:pPr>
      <w:spacing w:before="120" w:line="200" w:lineRule="exact"/>
      <w:ind w:firstLine="360"/>
      <w:jc w:val="center"/>
      <w:rPr>
        <w:rFonts w:hAnsi="宋体"/>
        <w:sz w:val="18"/>
        <w:szCs w:val="18"/>
      </w:rPr>
    </w:pPr>
    <w:r>
      <w:rPr>
        <w:rFonts w:hint="eastAsia"/>
        <w:sz w:val="18"/>
        <w:szCs w:val="18"/>
      </w:rPr>
      <w:t>第</w:t>
    </w:r>
    <w:r>
      <w:rPr>
        <w:rStyle w:val="30"/>
        <w:sz w:val="18"/>
        <w:szCs w:val="18"/>
      </w:rPr>
      <w:fldChar w:fldCharType="begin"/>
    </w:r>
    <w:r>
      <w:rPr>
        <w:rStyle w:val="30"/>
        <w:sz w:val="18"/>
        <w:szCs w:val="18"/>
      </w:rPr>
      <w:instrText xml:space="preserve"> PAGE </w:instrText>
    </w:r>
    <w:r>
      <w:rPr>
        <w:rStyle w:val="30"/>
        <w:sz w:val="18"/>
        <w:szCs w:val="18"/>
      </w:rPr>
      <w:fldChar w:fldCharType="separate"/>
    </w:r>
    <w:r>
      <w:rPr>
        <w:rStyle w:val="30"/>
        <w:sz w:val="18"/>
        <w:szCs w:val="18"/>
      </w:rPr>
      <w:t>9</w:t>
    </w:r>
    <w:r>
      <w:rPr>
        <w:rStyle w:val="30"/>
        <w:sz w:val="18"/>
        <w:szCs w:val="18"/>
      </w:rPr>
      <w:fldChar w:fldCharType="end"/>
    </w:r>
    <w:r>
      <w:rPr>
        <w:rFonts w:hint="eastAsia"/>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spacing w:before="120"/>
      <w:jc w:val="both"/>
      <w:rPr>
        <w:rFonts w:ascii="Lucida Sans" w:hAnsi="Lucida Sans" w:eastAsia="方正舒体" w:cs="Arial"/>
        <w:sz w:val="15"/>
      </w:rPr>
    </w:pPr>
    <w:r>
      <w:rPr>
        <w:rFonts w:hint="eastAsia" w:eastAsia="方正舒体"/>
        <w:b/>
        <w:bCs/>
        <w:sz w:val="30"/>
        <w:u w:val="single"/>
      </w:rPr>
      <w:t>宇川</w:t>
    </w:r>
    <w:r>
      <w:rPr>
        <w:rFonts w:hint="eastAsia" w:eastAsia="方正舒体"/>
        <w:b/>
        <w:bCs/>
        <w:sz w:val="21"/>
        <w:u w:val="single"/>
      </w:rPr>
      <w:t>房地产估价报告</w:t>
    </w:r>
    <w:r>
      <w:rPr>
        <w:rFonts w:hint="eastAsia" w:ascii="Lucida Sans" w:hAnsi="Lucida Sans" w:eastAsia="方正舒体"/>
        <w:sz w:val="21"/>
      </w:rPr>
      <w:t xml:space="preserve">  </w:t>
    </w:r>
    <w:r>
      <w:rPr>
        <w:rFonts w:hint="eastAsia" w:ascii="Lucida Sans" w:hAnsi="Lucida Sans" w:eastAsia="方正舒体"/>
        <w:sz w:val="15"/>
      </w:rPr>
      <w:t xml:space="preserve">                  </w:t>
    </w:r>
    <w:r>
      <w:rPr>
        <w:rFonts w:hint="eastAsia" w:ascii="Lucida Sans" w:hAnsi="Lucida Sans" w:eastAsia="方正舒体"/>
        <w:i/>
        <w:iCs/>
        <w:sz w:val="15"/>
      </w:rPr>
      <w:t xml:space="preserve">      </w:t>
    </w:r>
    <w:r>
      <w:rPr>
        <w:rFonts w:hint="eastAsia" w:eastAsia="方正舒体"/>
        <w:i/>
        <w:iCs/>
      </w:rPr>
      <w:t>NINGXIA  YUCHUAN  REAL  ESTATE   APPRAISAL  CO.LTD</w:t>
    </w:r>
    <w:r>
      <w:rPr>
        <w:rFonts w:eastAsia="方正舒体"/>
        <w:sz w:val="1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spacing w:before="120"/>
      <w:jc w:val="both"/>
      <w:rPr>
        <w:rFonts w:ascii="Lucida Sans" w:hAnsi="Lucida Sans" w:eastAsia="方正舒体" w:cs="Arial"/>
        <w:sz w:val="15"/>
      </w:rPr>
    </w:pPr>
    <w:r>
      <w:rPr>
        <w:rFonts w:hint="eastAsia" w:eastAsia="方正舒体"/>
        <w:b/>
        <w:bCs/>
        <w:sz w:val="30"/>
      </w:rPr>
      <w:t>宇川</w:t>
    </w:r>
    <w:r>
      <w:rPr>
        <w:rFonts w:hint="eastAsia" w:eastAsia="方正舒体"/>
        <w:b/>
        <w:bCs/>
        <w:sz w:val="21"/>
      </w:rPr>
      <w:t>房地产估价报告</w:t>
    </w:r>
    <w:r>
      <w:rPr>
        <w:rFonts w:hint="eastAsia" w:ascii="Lucida Sans" w:hAnsi="Lucida Sans" w:eastAsia="方正舒体"/>
        <w:sz w:val="21"/>
      </w:rPr>
      <w:t xml:space="preserve">  </w:t>
    </w:r>
    <w:r>
      <w:rPr>
        <w:rFonts w:hint="eastAsia" w:ascii="Lucida Sans" w:hAnsi="Lucida Sans" w:eastAsia="方正舒体"/>
        <w:sz w:val="15"/>
      </w:rPr>
      <w:t xml:space="preserve">                      </w:t>
    </w:r>
    <w:r>
      <w:rPr>
        <w:rFonts w:hint="eastAsia" w:ascii="Lucida Sans" w:hAnsi="Lucida Sans" w:eastAsia="方正舒体"/>
        <w:i/>
        <w:iCs/>
        <w:sz w:val="15"/>
      </w:rPr>
      <w:t xml:space="preserve"> </w:t>
    </w:r>
    <w:r>
      <w:rPr>
        <w:rFonts w:hint="eastAsia" w:eastAsia="方正舒体"/>
        <w:i/>
        <w:iCs/>
      </w:rPr>
      <w:t>NINGXIA  YUCHUAN  REAL  ESTATE   APPRAISAL  CO.LTD</w:t>
    </w:r>
    <w:r>
      <w:rPr>
        <w:rFonts w:eastAsia="方正舒体"/>
        <w:sz w:val="15"/>
      </w:rPr>
      <w:tab/>
    </w:r>
    <w:r>
      <w:rPr>
        <w:rFonts w:hint="eastAsia" w:eastAsia="仿宋_GB2312"/>
        <w:b/>
        <w:sz w:val="10"/>
        <w:szCs w:val="21"/>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spacing w:before="120"/>
      <w:jc w:val="both"/>
      <w:rPr>
        <w:rFonts w:ascii="Lucida Sans" w:hAnsi="Lucida Sans" w:eastAsia="方正舒体" w:cs="Arial"/>
        <w:sz w:val="15"/>
      </w:rPr>
    </w:pPr>
    <w:r>
      <w:rPr>
        <w:rFonts w:hint="eastAsia" w:eastAsia="方正舒体"/>
        <w:b/>
        <w:bCs/>
        <w:sz w:val="30"/>
      </w:rPr>
      <w:t>宇川</w:t>
    </w:r>
    <w:r>
      <w:rPr>
        <w:rFonts w:hint="eastAsia" w:eastAsia="方正舒体"/>
        <w:b/>
        <w:bCs/>
        <w:sz w:val="21"/>
      </w:rPr>
      <w:t>房地产估价报告</w:t>
    </w:r>
    <w:r>
      <w:rPr>
        <w:rFonts w:hint="eastAsia" w:ascii="Lucida Sans" w:hAnsi="Lucida Sans" w:eastAsia="方正舒体"/>
        <w:sz w:val="21"/>
      </w:rPr>
      <w:t xml:space="preserve">  </w:t>
    </w:r>
    <w:r>
      <w:rPr>
        <w:rFonts w:hint="eastAsia" w:ascii="Lucida Sans" w:hAnsi="Lucida Sans" w:eastAsia="方正舒体"/>
        <w:sz w:val="15"/>
      </w:rPr>
      <w:t xml:space="preserve">                      </w:t>
    </w:r>
    <w:r>
      <w:rPr>
        <w:rFonts w:hint="eastAsia" w:ascii="Lucida Sans" w:hAnsi="Lucida Sans" w:eastAsia="方正舒体"/>
        <w:i/>
        <w:iCs/>
        <w:sz w:val="15"/>
      </w:rPr>
      <w:t xml:space="preserve"> </w:t>
    </w:r>
    <w:r>
      <w:rPr>
        <w:rFonts w:hint="eastAsia" w:eastAsia="方正舒体"/>
        <w:i/>
        <w:iCs/>
      </w:rPr>
      <w:t>NINGXIA  YUCHUAN  REAL  ESTATE   APPRAISAL  CO.LTD</w:t>
    </w:r>
    <w:r>
      <w:rPr>
        <w:rFonts w:eastAsia="方正舒体"/>
        <w:sz w:val="15"/>
      </w:rPr>
      <w:tab/>
    </w:r>
    <w:r>
      <w:rPr>
        <w:rFonts w:hint="eastAsia" w:eastAsia="仿宋_GB2312"/>
        <w:b/>
        <w:sz w:val="10"/>
        <w:szCs w:val="21"/>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spacing w:before="120"/>
      <w:jc w:val="both"/>
      <w:rPr>
        <w:rFonts w:ascii="Lucida Sans" w:hAnsi="Lucida Sans" w:eastAsia="方正舒体" w:cs="Arial"/>
        <w:sz w:val="15"/>
      </w:rPr>
    </w:pPr>
    <w:r>
      <w:rPr>
        <w:rFonts w:hint="eastAsia" w:eastAsia="方正舒体"/>
        <w:b/>
        <w:bCs/>
        <w:sz w:val="30"/>
      </w:rPr>
      <w:t>宇川</w:t>
    </w:r>
    <w:r>
      <w:rPr>
        <w:rFonts w:hint="eastAsia" w:eastAsia="方正舒体"/>
        <w:b/>
        <w:bCs/>
        <w:sz w:val="21"/>
      </w:rPr>
      <w:t>房地产估价报告</w:t>
    </w:r>
    <w:r>
      <w:rPr>
        <w:rFonts w:hint="eastAsia" w:ascii="Lucida Sans" w:hAnsi="Lucida Sans" w:eastAsia="方正舒体"/>
        <w:sz w:val="21"/>
      </w:rPr>
      <w:t xml:space="preserve">  </w:t>
    </w:r>
    <w:r>
      <w:rPr>
        <w:rFonts w:hint="eastAsia" w:ascii="Lucida Sans" w:hAnsi="Lucida Sans" w:eastAsia="方正舒体"/>
        <w:sz w:val="15"/>
      </w:rPr>
      <w:t xml:space="preserve">                       </w:t>
    </w:r>
    <w:r>
      <w:rPr>
        <w:rFonts w:hint="eastAsia" w:ascii="Lucida Sans" w:hAnsi="Lucida Sans" w:eastAsia="方正舒体"/>
        <w:i/>
        <w:iCs/>
        <w:sz w:val="15"/>
      </w:rPr>
      <w:t xml:space="preserve"> </w:t>
    </w:r>
    <w:r>
      <w:rPr>
        <w:rFonts w:hint="eastAsia" w:eastAsia="方正舒体"/>
        <w:i/>
        <w:iCs/>
      </w:rPr>
      <w:t>NINGXIA  YUCHUAN  REAL  ESTATE   APPRAISAL  CO.LTD</w:t>
    </w:r>
    <w:r>
      <w:rPr>
        <w:rFonts w:eastAsia="方正舒体"/>
        <w:sz w:val="15"/>
      </w:rPr>
      <w:tab/>
    </w:r>
    <w:r>
      <w:rPr>
        <w:rFonts w:hint="eastAsia" w:eastAsia="仿宋_GB2312"/>
        <w:b/>
        <w:sz w:val="10"/>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338A5"/>
    <w:multiLevelType w:val="multilevel"/>
    <w:tmpl w:val="4B7338A5"/>
    <w:lvl w:ilvl="0" w:tentative="0">
      <w:start w:val="1"/>
      <w:numFmt w:val="japaneseCounting"/>
      <w:lvlText w:val="（%1）"/>
      <w:lvlJc w:val="left"/>
      <w:pPr>
        <w:ind w:left="1290" w:hanging="864"/>
      </w:pPr>
      <w:rPr>
        <w:rFonts w:hint="default"/>
        <w:lang w:val="en-US"/>
      </w:rPr>
    </w:lvl>
    <w:lvl w:ilvl="1" w:tentative="0">
      <w:start w:val="1"/>
      <w:numFmt w:val="lowerLetter"/>
      <w:lvlText w:val="%2)"/>
      <w:lvlJc w:val="left"/>
      <w:pPr>
        <w:ind w:left="-4977" w:hanging="420"/>
      </w:pPr>
    </w:lvl>
    <w:lvl w:ilvl="2" w:tentative="0">
      <w:start w:val="1"/>
      <w:numFmt w:val="lowerRoman"/>
      <w:lvlText w:val="%3."/>
      <w:lvlJc w:val="right"/>
      <w:pPr>
        <w:ind w:left="-4557" w:hanging="420"/>
      </w:pPr>
    </w:lvl>
    <w:lvl w:ilvl="3" w:tentative="0">
      <w:start w:val="1"/>
      <w:numFmt w:val="decimal"/>
      <w:lvlText w:val="%4."/>
      <w:lvlJc w:val="left"/>
      <w:pPr>
        <w:ind w:left="-4137" w:hanging="420"/>
      </w:pPr>
    </w:lvl>
    <w:lvl w:ilvl="4" w:tentative="0">
      <w:start w:val="1"/>
      <w:numFmt w:val="lowerLetter"/>
      <w:lvlText w:val="%5)"/>
      <w:lvlJc w:val="left"/>
      <w:pPr>
        <w:ind w:left="-3717" w:hanging="420"/>
      </w:pPr>
    </w:lvl>
    <w:lvl w:ilvl="5" w:tentative="0">
      <w:start w:val="1"/>
      <w:numFmt w:val="lowerRoman"/>
      <w:lvlText w:val="%6."/>
      <w:lvlJc w:val="right"/>
      <w:pPr>
        <w:ind w:left="-3297" w:hanging="420"/>
      </w:pPr>
    </w:lvl>
    <w:lvl w:ilvl="6" w:tentative="0">
      <w:start w:val="1"/>
      <w:numFmt w:val="decimal"/>
      <w:lvlText w:val="%7."/>
      <w:lvlJc w:val="left"/>
      <w:pPr>
        <w:ind w:left="-2877" w:hanging="420"/>
      </w:pPr>
    </w:lvl>
    <w:lvl w:ilvl="7" w:tentative="0">
      <w:start w:val="1"/>
      <w:numFmt w:val="lowerLetter"/>
      <w:lvlText w:val="%8)"/>
      <w:lvlJc w:val="left"/>
      <w:pPr>
        <w:ind w:left="-2457" w:hanging="420"/>
      </w:pPr>
    </w:lvl>
    <w:lvl w:ilvl="8" w:tentative="0">
      <w:start w:val="1"/>
      <w:numFmt w:val="lowerRoman"/>
      <w:lvlText w:val="%9."/>
      <w:lvlJc w:val="right"/>
      <w:pPr>
        <w:ind w:left="-2037" w:hanging="420"/>
      </w:pPr>
    </w:lvl>
  </w:abstractNum>
  <w:abstractNum w:abstractNumId="1">
    <w:nsid w:val="65B51BE7"/>
    <w:multiLevelType w:val="multilevel"/>
    <w:tmpl w:val="65B51BE7"/>
    <w:lvl w:ilvl="0" w:tentative="0">
      <w:start w:val="1"/>
      <w:numFmt w:val="chineseCountingThousand"/>
      <w:suff w:val="space"/>
      <w:lvlText w:val="%1、"/>
      <w:lvlJc w:val="left"/>
      <w:pPr>
        <w:ind w:left="1571" w:hanging="720"/>
      </w:pPr>
      <w:rPr>
        <w:rFonts w:hint="default"/>
        <w:lang w:val="en-US"/>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41FC"/>
    <w:rsid w:val="0000038A"/>
    <w:rsid w:val="0000209B"/>
    <w:rsid w:val="00002A87"/>
    <w:rsid w:val="000044B4"/>
    <w:rsid w:val="0000491D"/>
    <w:rsid w:val="00006628"/>
    <w:rsid w:val="00007EFF"/>
    <w:rsid w:val="00011845"/>
    <w:rsid w:val="00013F1D"/>
    <w:rsid w:val="00014CB7"/>
    <w:rsid w:val="00015CDF"/>
    <w:rsid w:val="0001623F"/>
    <w:rsid w:val="000207B6"/>
    <w:rsid w:val="00020A63"/>
    <w:rsid w:val="000218EC"/>
    <w:rsid w:val="00022712"/>
    <w:rsid w:val="00024B40"/>
    <w:rsid w:val="00024ECA"/>
    <w:rsid w:val="00026401"/>
    <w:rsid w:val="0003007F"/>
    <w:rsid w:val="00034E83"/>
    <w:rsid w:val="00035572"/>
    <w:rsid w:val="00035786"/>
    <w:rsid w:val="00036D40"/>
    <w:rsid w:val="00043596"/>
    <w:rsid w:val="0004377B"/>
    <w:rsid w:val="00043958"/>
    <w:rsid w:val="00044481"/>
    <w:rsid w:val="00044D47"/>
    <w:rsid w:val="00044EF3"/>
    <w:rsid w:val="000455C9"/>
    <w:rsid w:val="000463E5"/>
    <w:rsid w:val="00046D99"/>
    <w:rsid w:val="00047CCE"/>
    <w:rsid w:val="00047DDD"/>
    <w:rsid w:val="00053C5C"/>
    <w:rsid w:val="000562C2"/>
    <w:rsid w:val="000571B6"/>
    <w:rsid w:val="0006022E"/>
    <w:rsid w:val="0006070D"/>
    <w:rsid w:val="000611CD"/>
    <w:rsid w:val="00062185"/>
    <w:rsid w:val="00063CC4"/>
    <w:rsid w:val="00064443"/>
    <w:rsid w:val="0006484B"/>
    <w:rsid w:val="00066912"/>
    <w:rsid w:val="00071380"/>
    <w:rsid w:val="00072682"/>
    <w:rsid w:val="00072F8A"/>
    <w:rsid w:val="00073B32"/>
    <w:rsid w:val="000746A2"/>
    <w:rsid w:val="00074AEB"/>
    <w:rsid w:val="0007528D"/>
    <w:rsid w:val="000756C3"/>
    <w:rsid w:val="0007642F"/>
    <w:rsid w:val="00076E01"/>
    <w:rsid w:val="00080927"/>
    <w:rsid w:val="00081321"/>
    <w:rsid w:val="000817B4"/>
    <w:rsid w:val="00081F50"/>
    <w:rsid w:val="00082E08"/>
    <w:rsid w:val="00085C2C"/>
    <w:rsid w:val="00085F91"/>
    <w:rsid w:val="00085FEC"/>
    <w:rsid w:val="000861BC"/>
    <w:rsid w:val="00087606"/>
    <w:rsid w:val="00087F3F"/>
    <w:rsid w:val="000903A6"/>
    <w:rsid w:val="00091D49"/>
    <w:rsid w:val="00093293"/>
    <w:rsid w:val="000934B0"/>
    <w:rsid w:val="00093CD2"/>
    <w:rsid w:val="00094718"/>
    <w:rsid w:val="000957B7"/>
    <w:rsid w:val="00096B9F"/>
    <w:rsid w:val="000975D4"/>
    <w:rsid w:val="000A0097"/>
    <w:rsid w:val="000A1793"/>
    <w:rsid w:val="000A2668"/>
    <w:rsid w:val="000A3D8A"/>
    <w:rsid w:val="000A5B36"/>
    <w:rsid w:val="000A660E"/>
    <w:rsid w:val="000A7046"/>
    <w:rsid w:val="000B1B74"/>
    <w:rsid w:val="000B2D16"/>
    <w:rsid w:val="000B3DD3"/>
    <w:rsid w:val="000B50DD"/>
    <w:rsid w:val="000C1871"/>
    <w:rsid w:val="000C1EF2"/>
    <w:rsid w:val="000C3310"/>
    <w:rsid w:val="000C36CC"/>
    <w:rsid w:val="000C506F"/>
    <w:rsid w:val="000C5119"/>
    <w:rsid w:val="000C5494"/>
    <w:rsid w:val="000C5AA3"/>
    <w:rsid w:val="000C63AF"/>
    <w:rsid w:val="000C64C0"/>
    <w:rsid w:val="000D15C4"/>
    <w:rsid w:val="000D34C0"/>
    <w:rsid w:val="000D4A2F"/>
    <w:rsid w:val="000D4F05"/>
    <w:rsid w:val="000D6D2A"/>
    <w:rsid w:val="000D7249"/>
    <w:rsid w:val="000D7520"/>
    <w:rsid w:val="000D7AD5"/>
    <w:rsid w:val="000E016B"/>
    <w:rsid w:val="000E14B4"/>
    <w:rsid w:val="000E1569"/>
    <w:rsid w:val="000E1C92"/>
    <w:rsid w:val="000E2A9D"/>
    <w:rsid w:val="000E483F"/>
    <w:rsid w:val="000E4A9A"/>
    <w:rsid w:val="000E549D"/>
    <w:rsid w:val="000E61A5"/>
    <w:rsid w:val="000F0DA3"/>
    <w:rsid w:val="000F2A1F"/>
    <w:rsid w:val="000F3946"/>
    <w:rsid w:val="000F44E2"/>
    <w:rsid w:val="000F6B9E"/>
    <w:rsid w:val="000F6C5F"/>
    <w:rsid w:val="000F74C1"/>
    <w:rsid w:val="00101AA7"/>
    <w:rsid w:val="00103055"/>
    <w:rsid w:val="001030A4"/>
    <w:rsid w:val="0010380F"/>
    <w:rsid w:val="00103EFC"/>
    <w:rsid w:val="00104081"/>
    <w:rsid w:val="00105C84"/>
    <w:rsid w:val="0010764F"/>
    <w:rsid w:val="001104EE"/>
    <w:rsid w:val="00110710"/>
    <w:rsid w:val="0011154E"/>
    <w:rsid w:val="00111A02"/>
    <w:rsid w:val="00112EEF"/>
    <w:rsid w:val="001138E3"/>
    <w:rsid w:val="00115F3A"/>
    <w:rsid w:val="001170B3"/>
    <w:rsid w:val="001200A6"/>
    <w:rsid w:val="00121389"/>
    <w:rsid w:val="0012429D"/>
    <w:rsid w:val="00124C58"/>
    <w:rsid w:val="00125293"/>
    <w:rsid w:val="00125A3B"/>
    <w:rsid w:val="00125CD2"/>
    <w:rsid w:val="0012635A"/>
    <w:rsid w:val="0012740C"/>
    <w:rsid w:val="00131CEB"/>
    <w:rsid w:val="00135E6B"/>
    <w:rsid w:val="0013666F"/>
    <w:rsid w:val="00136FCC"/>
    <w:rsid w:val="001421BB"/>
    <w:rsid w:val="00143B48"/>
    <w:rsid w:val="00147888"/>
    <w:rsid w:val="0015053C"/>
    <w:rsid w:val="001509A1"/>
    <w:rsid w:val="001517EC"/>
    <w:rsid w:val="00154CC6"/>
    <w:rsid w:val="001558D8"/>
    <w:rsid w:val="00155D22"/>
    <w:rsid w:val="00156C63"/>
    <w:rsid w:val="00157A72"/>
    <w:rsid w:val="00162E60"/>
    <w:rsid w:val="0016394B"/>
    <w:rsid w:val="001654DF"/>
    <w:rsid w:val="00166092"/>
    <w:rsid w:val="0016669E"/>
    <w:rsid w:val="0017051C"/>
    <w:rsid w:val="0017223D"/>
    <w:rsid w:val="001733A4"/>
    <w:rsid w:val="00177235"/>
    <w:rsid w:val="00180F6E"/>
    <w:rsid w:val="001818D1"/>
    <w:rsid w:val="001819B3"/>
    <w:rsid w:val="00181D32"/>
    <w:rsid w:val="001825DF"/>
    <w:rsid w:val="00182A63"/>
    <w:rsid w:val="001839B9"/>
    <w:rsid w:val="00183AF8"/>
    <w:rsid w:val="001860F3"/>
    <w:rsid w:val="0018641F"/>
    <w:rsid w:val="00190821"/>
    <w:rsid w:val="00191423"/>
    <w:rsid w:val="001922A9"/>
    <w:rsid w:val="00192820"/>
    <w:rsid w:val="00194684"/>
    <w:rsid w:val="00194A31"/>
    <w:rsid w:val="0019546D"/>
    <w:rsid w:val="001958C9"/>
    <w:rsid w:val="00195DAE"/>
    <w:rsid w:val="00197AEC"/>
    <w:rsid w:val="001A3340"/>
    <w:rsid w:val="001A377B"/>
    <w:rsid w:val="001A3880"/>
    <w:rsid w:val="001A457A"/>
    <w:rsid w:val="001A4B34"/>
    <w:rsid w:val="001A6C90"/>
    <w:rsid w:val="001A7E31"/>
    <w:rsid w:val="001B0052"/>
    <w:rsid w:val="001B1339"/>
    <w:rsid w:val="001B23E7"/>
    <w:rsid w:val="001B351C"/>
    <w:rsid w:val="001B37AA"/>
    <w:rsid w:val="001B597F"/>
    <w:rsid w:val="001B6700"/>
    <w:rsid w:val="001B7E4F"/>
    <w:rsid w:val="001C196B"/>
    <w:rsid w:val="001C1A1C"/>
    <w:rsid w:val="001C38FE"/>
    <w:rsid w:val="001C6819"/>
    <w:rsid w:val="001D2DB2"/>
    <w:rsid w:val="001D32B2"/>
    <w:rsid w:val="001E0F2F"/>
    <w:rsid w:val="001E3260"/>
    <w:rsid w:val="001E4441"/>
    <w:rsid w:val="001E558D"/>
    <w:rsid w:val="001E58DB"/>
    <w:rsid w:val="001E5F00"/>
    <w:rsid w:val="001E62FD"/>
    <w:rsid w:val="001E6724"/>
    <w:rsid w:val="001E6D7A"/>
    <w:rsid w:val="001F1643"/>
    <w:rsid w:val="001F3A65"/>
    <w:rsid w:val="001F62B0"/>
    <w:rsid w:val="001F7970"/>
    <w:rsid w:val="00201104"/>
    <w:rsid w:val="00202476"/>
    <w:rsid w:val="00203AA8"/>
    <w:rsid w:val="002042EE"/>
    <w:rsid w:val="00204368"/>
    <w:rsid w:val="00206220"/>
    <w:rsid w:val="0020629F"/>
    <w:rsid w:val="0020675A"/>
    <w:rsid w:val="00211087"/>
    <w:rsid w:val="00211825"/>
    <w:rsid w:val="00211A31"/>
    <w:rsid w:val="00211C90"/>
    <w:rsid w:val="00212542"/>
    <w:rsid w:val="00212B4E"/>
    <w:rsid w:val="00212FD6"/>
    <w:rsid w:val="0021620C"/>
    <w:rsid w:val="0022115D"/>
    <w:rsid w:val="0022121D"/>
    <w:rsid w:val="00222271"/>
    <w:rsid w:val="0022448C"/>
    <w:rsid w:val="00234608"/>
    <w:rsid w:val="00234DDF"/>
    <w:rsid w:val="002358F9"/>
    <w:rsid w:val="002363BC"/>
    <w:rsid w:val="00236B30"/>
    <w:rsid w:val="00237C7D"/>
    <w:rsid w:val="00245181"/>
    <w:rsid w:val="002451B5"/>
    <w:rsid w:val="002463E1"/>
    <w:rsid w:val="002466FA"/>
    <w:rsid w:val="002469E1"/>
    <w:rsid w:val="002506C0"/>
    <w:rsid w:val="00251360"/>
    <w:rsid w:val="00252736"/>
    <w:rsid w:val="00252B3E"/>
    <w:rsid w:val="00252F69"/>
    <w:rsid w:val="002537F6"/>
    <w:rsid w:val="00253CBE"/>
    <w:rsid w:val="002609B8"/>
    <w:rsid w:val="00261220"/>
    <w:rsid w:val="00261887"/>
    <w:rsid w:val="002621D1"/>
    <w:rsid w:val="00266677"/>
    <w:rsid w:val="002733CF"/>
    <w:rsid w:val="00273B1A"/>
    <w:rsid w:val="002741FC"/>
    <w:rsid w:val="0027532D"/>
    <w:rsid w:val="00276236"/>
    <w:rsid w:val="00277183"/>
    <w:rsid w:val="0027793B"/>
    <w:rsid w:val="002779E7"/>
    <w:rsid w:val="002802D4"/>
    <w:rsid w:val="002830B2"/>
    <w:rsid w:val="00283685"/>
    <w:rsid w:val="00290C5E"/>
    <w:rsid w:val="00291462"/>
    <w:rsid w:val="00294615"/>
    <w:rsid w:val="00296A54"/>
    <w:rsid w:val="002A0180"/>
    <w:rsid w:val="002A08AC"/>
    <w:rsid w:val="002A2DFD"/>
    <w:rsid w:val="002A53CB"/>
    <w:rsid w:val="002A5466"/>
    <w:rsid w:val="002B020A"/>
    <w:rsid w:val="002B249C"/>
    <w:rsid w:val="002B393F"/>
    <w:rsid w:val="002B3D1A"/>
    <w:rsid w:val="002B3E85"/>
    <w:rsid w:val="002B4D5D"/>
    <w:rsid w:val="002B565F"/>
    <w:rsid w:val="002B5F20"/>
    <w:rsid w:val="002C0397"/>
    <w:rsid w:val="002C2241"/>
    <w:rsid w:val="002C4531"/>
    <w:rsid w:val="002C61DD"/>
    <w:rsid w:val="002C6D4E"/>
    <w:rsid w:val="002D0C82"/>
    <w:rsid w:val="002D2164"/>
    <w:rsid w:val="002D2E17"/>
    <w:rsid w:val="002D2FED"/>
    <w:rsid w:val="002D38C0"/>
    <w:rsid w:val="002D460B"/>
    <w:rsid w:val="002D46D8"/>
    <w:rsid w:val="002D562F"/>
    <w:rsid w:val="002D59E2"/>
    <w:rsid w:val="002D6FF2"/>
    <w:rsid w:val="002D7DC7"/>
    <w:rsid w:val="002E2449"/>
    <w:rsid w:val="002E5316"/>
    <w:rsid w:val="002E5D99"/>
    <w:rsid w:val="002F2B93"/>
    <w:rsid w:val="002F58A1"/>
    <w:rsid w:val="00300476"/>
    <w:rsid w:val="0030215C"/>
    <w:rsid w:val="00302880"/>
    <w:rsid w:val="0030365E"/>
    <w:rsid w:val="00303E5B"/>
    <w:rsid w:val="00305536"/>
    <w:rsid w:val="00306626"/>
    <w:rsid w:val="00306A48"/>
    <w:rsid w:val="00306A77"/>
    <w:rsid w:val="00307DA4"/>
    <w:rsid w:val="00311D32"/>
    <w:rsid w:val="00316999"/>
    <w:rsid w:val="00316BF5"/>
    <w:rsid w:val="00317359"/>
    <w:rsid w:val="00317A43"/>
    <w:rsid w:val="0032013E"/>
    <w:rsid w:val="003202D4"/>
    <w:rsid w:val="003207F3"/>
    <w:rsid w:val="00320BF6"/>
    <w:rsid w:val="00324504"/>
    <w:rsid w:val="00324FE8"/>
    <w:rsid w:val="0032519F"/>
    <w:rsid w:val="00326190"/>
    <w:rsid w:val="00326212"/>
    <w:rsid w:val="00330982"/>
    <w:rsid w:val="00333249"/>
    <w:rsid w:val="00333B6E"/>
    <w:rsid w:val="00342E17"/>
    <w:rsid w:val="003439E9"/>
    <w:rsid w:val="00343A60"/>
    <w:rsid w:val="00344168"/>
    <w:rsid w:val="00344514"/>
    <w:rsid w:val="0034619D"/>
    <w:rsid w:val="00353D51"/>
    <w:rsid w:val="0035455C"/>
    <w:rsid w:val="00357242"/>
    <w:rsid w:val="003576E3"/>
    <w:rsid w:val="00360BFB"/>
    <w:rsid w:val="0036129D"/>
    <w:rsid w:val="00363653"/>
    <w:rsid w:val="00363A3D"/>
    <w:rsid w:val="00363AB1"/>
    <w:rsid w:val="003654FD"/>
    <w:rsid w:val="00370D3A"/>
    <w:rsid w:val="00370D84"/>
    <w:rsid w:val="00371831"/>
    <w:rsid w:val="0037184A"/>
    <w:rsid w:val="00373100"/>
    <w:rsid w:val="0037323F"/>
    <w:rsid w:val="0037423E"/>
    <w:rsid w:val="00375BD0"/>
    <w:rsid w:val="00375D9C"/>
    <w:rsid w:val="00380B5D"/>
    <w:rsid w:val="0038243F"/>
    <w:rsid w:val="00382520"/>
    <w:rsid w:val="003835A7"/>
    <w:rsid w:val="00383848"/>
    <w:rsid w:val="00384C01"/>
    <w:rsid w:val="00384E0C"/>
    <w:rsid w:val="00385900"/>
    <w:rsid w:val="00386683"/>
    <w:rsid w:val="003874AE"/>
    <w:rsid w:val="003916AA"/>
    <w:rsid w:val="003937ED"/>
    <w:rsid w:val="00395E6D"/>
    <w:rsid w:val="00396AE0"/>
    <w:rsid w:val="003973F2"/>
    <w:rsid w:val="003A19A0"/>
    <w:rsid w:val="003A28DB"/>
    <w:rsid w:val="003A3ECB"/>
    <w:rsid w:val="003A4128"/>
    <w:rsid w:val="003A5731"/>
    <w:rsid w:val="003A733F"/>
    <w:rsid w:val="003B0139"/>
    <w:rsid w:val="003B0169"/>
    <w:rsid w:val="003B2EE5"/>
    <w:rsid w:val="003B337C"/>
    <w:rsid w:val="003B42BF"/>
    <w:rsid w:val="003B48C6"/>
    <w:rsid w:val="003B5ABB"/>
    <w:rsid w:val="003B64ED"/>
    <w:rsid w:val="003C063C"/>
    <w:rsid w:val="003C0990"/>
    <w:rsid w:val="003C1459"/>
    <w:rsid w:val="003C357D"/>
    <w:rsid w:val="003C3737"/>
    <w:rsid w:val="003C473B"/>
    <w:rsid w:val="003C5B95"/>
    <w:rsid w:val="003C6362"/>
    <w:rsid w:val="003D1627"/>
    <w:rsid w:val="003E0242"/>
    <w:rsid w:val="003E153F"/>
    <w:rsid w:val="003E22E2"/>
    <w:rsid w:val="003E28E0"/>
    <w:rsid w:val="003E3165"/>
    <w:rsid w:val="003E46FE"/>
    <w:rsid w:val="003E7879"/>
    <w:rsid w:val="003F060C"/>
    <w:rsid w:val="003F495A"/>
    <w:rsid w:val="003F5424"/>
    <w:rsid w:val="003F5A78"/>
    <w:rsid w:val="003F6A69"/>
    <w:rsid w:val="004006EA"/>
    <w:rsid w:val="00400D39"/>
    <w:rsid w:val="00402699"/>
    <w:rsid w:val="004040BD"/>
    <w:rsid w:val="004041D0"/>
    <w:rsid w:val="004050C8"/>
    <w:rsid w:val="00411761"/>
    <w:rsid w:val="00415D97"/>
    <w:rsid w:val="0041788A"/>
    <w:rsid w:val="004209C0"/>
    <w:rsid w:val="00420A9E"/>
    <w:rsid w:val="00422AD5"/>
    <w:rsid w:val="00424D2F"/>
    <w:rsid w:val="00427B15"/>
    <w:rsid w:val="004316FC"/>
    <w:rsid w:val="00431CF5"/>
    <w:rsid w:val="00431E00"/>
    <w:rsid w:val="00431FBC"/>
    <w:rsid w:val="004329E4"/>
    <w:rsid w:val="00432AD8"/>
    <w:rsid w:val="00433654"/>
    <w:rsid w:val="004343BB"/>
    <w:rsid w:val="0043491C"/>
    <w:rsid w:val="0043661A"/>
    <w:rsid w:val="00436C04"/>
    <w:rsid w:val="004371BE"/>
    <w:rsid w:val="004371DA"/>
    <w:rsid w:val="004403D6"/>
    <w:rsid w:val="004410A4"/>
    <w:rsid w:val="00441878"/>
    <w:rsid w:val="00442FB6"/>
    <w:rsid w:val="00444224"/>
    <w:rsid w:val="00447142"/>
    <w:rsid w:val="004508F8"/>
    <w:rsid w:val="00451A75"/>
    <w:rsid w:val="00452861"/>
    <w:rsid w:val="00452AF1"/>
    <w:rsid w:val="00452FE5"/>
    <w:rsid w:val="0045500C"/>
    <w:rsid w:val="00455EDE"/>
    <w:rsid w:val="00456C97"/>
    <w:rsid w:val="004575FC"/>
    <w:rsid w:val="00457994"/>
    <w:rsid w:val="00457A73"/>
    <w:rsid w:val="004619AE"/>
    <w:rsid w:val="00462CB1"/>
    <w:rsid w:val="00464AA9"/>
    <w:rsid w:val="0046632A"/>
    <w:rsid w:val="004671BB"/>
    <w:rsid w:val="004702E2"/>
    <w:rsid w:val="00470CAA"/>
    <w:rsid w:val="00471338"/>
    <w:rsid w:val="00472403"/>
    <w:rsid w:val="00475416"/>
    <w:rsid w:val="00475C03"/>
    <w:rsid w:val="00477D99"/>
    <w:rsid w:val="0048100F"/>
    <w:rsid w:val="004824B2"/>
    <w:rsid w:val="00482B21"/>
    <w:rsid w:val="00485244"/>
    <w:rsid w:val="00485497"/>
    <w:rsid w:val="00486395"/>
    <w:rsid w:val="004874C3"/>
    <w:rsid w:val="0049172C"/>
    <w:rsid w:val="0049230E"/>
    <w:rsid w:val="00493448"/>
    <w:rsid w:val="00493F73"/>
    <w:rsid w:val="00493FF7"/>
    <w:rsid w:val="004944D8"/>
    <w:rsid w:val="004A087C"/>
    <w:rsid w:val="004A0E43"/>
    <w:rsid w:val="004A2522"/>
    <w:rsid w:val="004A31C4"/>
    <w:rsid w:val="004B0742"/>
    <w:rsid w:val="004B2F5C"/>
    <w:rsid w:val="004B4278"/>
    <w:rsid w:val="004B4390"/>
    <w:rsid w:val="004B54AA"/>
    <w:rsid w:val="004B62F3"/>
    <w:rsid w:val="004B7956"/>
    <w:rsid w:val="004C08F4"/>
    <w:rsid w:val="004C1191"/>
    <w:rsid w:val="004C173B"/>
    <w:rsid w:val="004C2FCD"/>
    <w:rsid w:val="004C4D0A"/>
    <w:rsid w:val="004C647D"/>
    <w:rsid w:val="004C7CB0"/>
    <w:rsid w:val="004D0E1A"/>
    <w:rsid w:val="004D12E9"/>
    <w:rsid w:val="004D1828"/>
    <w:rsid w:val="004D3FAC"/>
    <w:rsid w:val="004D48A4"/>
    <w:rsid w:val="004D4A33"/>
    <w:rsid w:val="004D5281"/>
    <w:rsid w:val="004D6692"/>
    <w:rsid w:val="004D74D7"/>
    <w:rsid w:val="004D7BC8"/>
    <w:rsid w:val="004E0DD3"/>
    <w:rsid w:val="004E2D44"/>
    <w:rsid w:val="004E413F"/>
    <w:rsid w:val="004E6A90"/>
    <w:rsid w:val="004F1C72"/>
    <w:rsid w:val="004F1F80"/>
    <w:rsid w:val="004F33D5"/>
    <w:rsid w:val="004F407B"/>
    <w:rsid w:val="004F470B"/>
    <w:rsid w:val="004F569F"/>
    <w:rsid w:val="004F6290"/>
    <w:rsid w:val="004F6353"/>
    <w:rsid w:val="004F7A3E"/>
    <w:rsid w:val="0050009B"/>
    <w:rsid w:val="00501E62"/>
    <w:rsid w:val="00502123"/>
    <w:rsid w:val="00503F81"/>
    <w:rsid w:val="00506091"/>
    <w:rsid w:val="00506313"/>
    <w:rsid w:val="00510D0B"/>
    <w:rsid w:val="00511316"/>
    <w:rsid w:val="00511853"/>
    <w:rsid w:val="0051266C"/>
    <w:rsid w:val="00512DB1"/>
    <w:rsid w:val="00513F52"/>
    <w:rsid w:val="00515133"/>
    <w:rsid w:val="005161AA"/>
    <w:rsid w:val="00516EF8"/>
    <w:rsid w:val="005206E2"/>
    <w:rsid w:val="005250EA"/>
    <w:rsid w:val="00531F8F"/>
    <w:rsid w:val="005349B0"/>
    <w:rsid w:val="00536012"/>
    <w:rsid w:val="00536254"/>
    <w:rsid w:val="005401A1"/>
    <w:rsid w:val="005406F9"/>
    <w:rsid w:val="00540B01"/>
    <w:rsid w:val="00540F2C"/>
    <w:rsid w:val="0054333B"/>
    <w:rsid w:val="00543746"/>
    <w:rsid w:val="00545E53"/>
    <w:rsid w:val="00547F4A"/>
    <w:rsid w:val="005503F9"/>
    <w:rsid w:val="005533DE"/>
    <w:rsid w:val="005537F0"/>
    <w:rsid w:val="005602DC"/>
    <w:rsid w:val="00560AC0"/>
    <w:rsid w:val="005618AE"/>
    <w:rsid w:val="00562398"/>
    <w:rsid w:val="00562F24"/>
    <w:rsid w:val="005633AD"/>
    <w:rsid w:val="00565990"/>
    <w:rsid w:val="00567979"/>
    <w:rsid w:val="0057094F"/>
    <w:rsid w:val="0057156C"/>
    <w:rsid w:val="00573074"/>
    <w:rsid w:val="00574813"/>
    <w:rsid w:val="00575CFC"/>
    <w:rsid w:val="0057643D"/>
    <w:rsid w:val="00576E08"/>
    <w:rsid w:val="00577086"/>
    <w:rsid w:val="005803BF"/>
    <w:rsid w:val="005817E8"/>
    <w:rsid w:val="00583D78"/>
    <w:rsid w:val="00583EB1"/>
    <w:rsid w:val="00584DF0"/>
    <w:rsid w:val="00584E41"/>
    <w:rsid w:val="00585A28"/>
    <w:rsid w:val="00590D24"/>
    <w:rsid w:val="00594CB8"/>
    <w:rsid w:val="00596D2C"/>
    <w:rsid w:val="005A07CF"/>
    <w:rsid w:val="005A264B"/>
    <w:rsid w:val="005A31B5"/>
    <w:rsid w:val="005A4F24"/>
    <w:rsid w:val="005A556A"/>
    <w:rsid w:val="005A6034"/>
    <w:rsid w:val="005A6992"/>
    <w:rsid w:val="005A6D1D"/>
    <w:rsid w:val="005B1832"/>
    <w:rsid w:val="005B34F9"/>
    <w:rsid w:val="005B3643"/>
    <w:rsid w:val="005B369C"/>
    <w:rsid w:val="005B3BF8"/>
    <w:rsid w:val="005B4FBB"/>
    <w:rsid w:val="005B51CA"/>
    <w:rsid w:val="005B6C92"/>
    <w:rsid w:val="005C25C3"/>
    <w:rsid w:val="005C586A"/>
    <w:rsid w:val="005C5D84"/>
    <w:rsid w:val="005C614A"/>
    <w:rsid w:val="005C66DA"/>
    <w:rsid w:val="005C6C84"/>
    <w:rsid w:val="005C7933"/>
    <w:rsid w:val="005C7BF9"/>
    <w:rsid w:val="005D1D77"/>
    <w:rsid w:val="005D2F40"/>
    <w:rsid w:val="005D4696"/>
    <w:rsid w:val="005D47BF"/>
    <w:rsid w:val="005E2ABB"/>
    <w:rsid w:val="005E3B21"/>
    <w:rsid w:val="005E4129"/>
    <w:rsid w:val="005E41BC"/>
    <w:rsid w:val="005E4BCD"/>
    <w:rsid w:val="005E4C3C"/>
    <w:rsid w:val="005E55D5"/>
    <w:rsid w:val="005E5940"/>
    <w:rsid w:val="005F19CD"/>
    <w:rsid w:val="005F3208"/>
    <w:rsid w:val="005F3F7E"/>
    <w:rsid w:val="005F403E"/>
    <w:rsid w:val="0060013B"/>
    <w:rsid w:val="00600220"/>
    <w:rsid w:val="006019CF"/>
    <w:rsid w:val="00601F89"/>
    <w:rsid w:val="006020CC"/>
    <w:rsid w:val="006032A6"/>
    <w:rsid w:val="00603A16"/>
    <w:rsid w:val="00604A00"/>
    <w:rsid w:val="00607CEB"/>
    <w:rsid w:val="006115D3"/>
    <w:rsid w:val="00611BF4"/>
    <w:rsid w:val="00612BB0"/>
    <w:rsid w:val="006142CE"/>
    <w:rsid w:val="00616029"/>
    <w:rsid w:val="00617475"/>
    <w:rsid w:val="00617F2D"/>
    <w:rsid w:val="006214EE"/>
    <w:rsid w:val="006216F7"/>
    <w:rsid w:val="00622FF0"/>
    <w:rsid w:val="00623086"/>
    <w:rsid w:val="00623EE2"/>
    <w:rsid w:val="00625AE0"/>
    <w:rsid w:val="006307C9"/>
    <w:rsid w:val="00630B53"/>
    <w:rsid w:val="00632FD8"/>
    <w:rsid w:val="00633387"/>
    <w:rsid w:val="0063351C"/>
    <w:rsid w:val="006338AC"/>
    <w:rsid w:val="00634327"/>
    <w:rsid w:val="00634CD3"/>
    <w:rsid w:val="006352B5"/>
    <w:rsid w:val="006354B8"/>
    <w:rsid w:val="00636219"/>
    <w:rsid w:val="0063657F"/>
    <w:rsid w:val="006406F7"/>
    <w:rsid w:val="00640E07"/>
    <w:rsid w:val="00641226"/>
    <w:rsid w:val="00642895"/>
    <w:rsid w:val="006429CB"/>
    <w:rsid w:val="006439CC"/>
    <w:rsid w:val="006449BA"/>
    <w:rsid w:val="00652644"/>
    <w:rsid w:val="00652BF8"/>
    <w:rsid w:val="00654D1C"/>
    <w:rsid w:val="0065511D"/>
    <w:rsid w:val="006553D4"/>
    <w:rsid w:val="0065631D"/>
    <w:rsid w:val="006567D9"/>
    <w:rsid w:val="00661110"/>
    <w:rsid w:val="00662883"/>
    <w:rsid w:val="00664244"/>
    <w:rsid w:val="006645BA"/>
    <w:rsid w:val="00664C41"/>
    <w:rsid w:val="0066746B"/>
    <w:rsid w:val="006712C4"/>
    <w:rsid w:val="00671B74"/>
    <w:rsid w:val="006724DF"/>
    <w:rsid w:val="006745F7"/>
    <w:rsid w:val="006746E0"/>
    <w:rsid w:val="00674E11"/>
    <w:rsid w:val="00675387"/>
    <w:rsid w:val="00676366"/>
    <w:rsid w:val="00676FCD"/>
    <w:rsid w:val="00680B7E"/>
    <w:rsid w:val="00680D59"/>
    <w:rsid w:val="006817EF"/>
    <w:rsid w:val="00681D4D"/>
    <w:rsid w:val="0068202A"/>
    <w:rsid w:val="00682780"/>
    <w:rsid w:val="00682E68"/>
    <w:rsid w:val="0068604B"/>
    <w:rsid w:val="0068751A"/>
    <w:rsid w:val="00690362"/>
    <w:rsid w:val="00690445"/>
    <w:rsid w:val="0069156A"/>
    <w:rsid w:val="00692848"/>
    <w:rsid w:val="006932F9"/>
    <w:rsid w:val="0069495B"/>
    <w:rsid w:val="006973C4"/>
    <w:rsid w:val="006A04AC"/>
    <w:rsid w:val="006A1255"/>
    <w:rsid w:val="006A15F8"/>
    <w:rsid w:val="006A18DD"/>
    <w:rsid w:val="006A1B70"/>
    <w:rsid w:val="006A239D"/>
    <w:rsid w:val="006A2682"/>
    <w:rsid w:val="006A28DB"/>
    <w:rsid w:val="006A2B50"/>
    <w:rsid w:val="006A6350"/>
    <w:rsid w:val="006A7275"/>
    <w:rsid w:val="006B0659"/>
    <w:rsid w:val="006B141B"/>
    <w:rsid w:val="006B21FC"/>
    <w:rsid w:val="006B2435"/>
    <w:rsid w:val="006B2ECF"/>
    <w:rsid w:val="006B35E5"/>
    <w:rsid w:val="006B68DE"/>
    <w:rsid w:val="006B72FE"/>
    <w:rsid w:val="006C15A5"/>
    <w:rsid w:val="006C1B40"/>
    <w:rsid w:val="006C656D"/>
    <w:rsid w:val="006C7B06"/>
    <w:rsid w:val="006D13B3"/>
    <w:rsid w:val="006D1BC6"/>
    <w:rsid w:val="006D3080"/>
    <w:rsid w:val="006D3195"/>
    <w:rsid w:val="006D4D96"/>
    <w:rsid w:val="006D7086"/>
    <w:rsid w:val="006D7CE3"/>
    <w:rsid w:val="006E2FEB"/>
    <w:rsid w:val="006E3474"/>
    <w:rsid w:val="006E666F"/>
    <w:rsid w:val="006E7617"/>
    <w:rsid w:val="006F0C59"/>
    <w:rsid w:val="006F0F37"/>
    <w:rsid w:val="006F1188"/>
    <w:rsid w:val="006F26D4"/>
    <w:rsid w:val="006F37CC"/>
    <w:rsid w:val="006F38C2"/>
    <w:rsid w:val="00701BB1"/>
    <w:rsid w:val="00704505"/>
    <w:rsid w:val="007049F1"/>
    <w:rsid w:val="007055F4"/>
    <w:rsid w:val="00706288"/>
    <w:rsid w:val="00710FC9"/>
    <w:rsid w:val="00711DB5"/>
    <w:rsid w:val="007149BE"/>
    <w:rsid w:val="00717E68"/>
    <w:rsid w:val="00720CE9"/>
    <w:rsid w:val="00723469"/>
    <w:rsid w:val="00724D4D"/>
    <w:rsid w:val="00726AFA"/>
    <w:rsid w:val="00726EC8"/>
    <w:rsid w:val="007270B5"/>
    <w:rsid w:val="00727D27"/>
    <w:rsid w:val="00731439"/>
    <w:rsid w:val="007317BC"/>
    <w:rsid w:val="0073188E"/>
    <w:rsid w:val="00732FD8"/>
    <w:rsid w:val="00733A45"/>
    <w:rsid w:val="007345A5"/>
    <w:rsid w:val="00735526"/>
    <w:rsid w:val="0073585C"/>
    <w:rsid w:val="007359A5"/>
    <w:rsid w:val="00740EC0"/>
    <w:rsid w:val="007410CB"/>
    <w:rsid w:val="00742493"/>
    <w:rsid w:val="00744C48"/>
    <w:rsid w:val="00744FD9"/>
    <w:rsid w:val="00747621"/>
    <w:rsid w:val="00750C48"/>
    <w:rsid w:val="00750F44"/>
    <w:rsid w:val="00751C87"/>
    <w:rsid w:val="0075232B"/>
    <w:rsid w:val="00753426"/>
    <w:rsid w:val="00753653"/>
    <w:rsid w:val="00753E12"/>
    <w:rsid w:val="0075460E"/>
    <w:rsid w:val="00755906"/>
    <w:rsid w:val="0075749A"/>
    <w:rsid w:val="0075755A"/>
    <w:rsid w:val="00757FC3"/>
    <w:rsid w:val="007610D1"/>
    <w:rsid w:val="00761CB4"/>
    <w:rsid w:val="007630F8"/>
    <w:rsid w:val="00763A28"/>
    <w:rsid w:val="00765F83"/>
    <w:rsid w:val="0077047C"/>
    <w:rsid w:val="0077235C"/>
    <w:rsid w:val="007743A4"/>
    <w:rsid w:val="0077466F"/>
    <w:rsid w:val="00774771"/>
    <w:rsid w:val="00775005"/>
    <w:rsid w:val="00781B39"/>
    <w:rsid w:val="00781ED9"/>
    <w:rsid w:val="00782917"/>
    <w:rsid w:val="00783871"/>
    <w:rsid w:val="00783B8F"/>
    <w:rsid w:val="00784811"/>
    <w:rsid w:val="00784883"/>
    <w:rsid w:val="007848D5"/>
    <w:rsid w:val="00784F14"/>
    <w:rsid w:val="0078500F"/>
    <w:rsid w:val="00786A4A"/>
    <w:rsid w:val="00792776"/>
    <w:rsid w:val="007953BB"/>
    <w:rsid w:val="007A0F99"/>
    <w:rsid w:val="007A1F4C"/>
    <w:rsid w:val="007A5AE3"/>
    <w:rsid w:val="007A69DB"/>
    <w:rsid w:val="007A6CD3"/>
    <w:rsid w:val="007A6DAD"/>
    <w:rsid w:val="007A7936"/>
    <w:rsid w:val="007B0FC0"/>
    <w:rsid w:val="007B2F1C"/>
    <w:rsid w:val="007B6043"/>
    <w:rsid w:val="007C0389"/>
    <w:rsid w:val="007C137C"/>
    <w:rsid w:val="007C1536"/>
    <w:rsid w:val="007C1791"/>
    <w:rsid w:val="007C2011"/>
    <w:rsid w:val="007C2DF2"/>
    <w:rsid w:val="007C3EDA"/>
    <w:rsid w:val="007C4924"/>
    <w:rsid w:val="007C4D1D"/>
    <w:rsid w:val="007C5FAA"/>
    <w:rsid w:val="007D07FE"/>
    <w:rsid w:val="007D1D5D"/>
    <w:rsid w:val="007D1F31"/>
    <w:rsid w:val="007D2525"/>
    <w:rsid w:val="007D284D"/>
    <w:rsid w:val="007D6304"/>
    <w:rsid w:val="007D64E1"/>
    <w:rsid w:val="007D7332"/>
    <w:rsid w:val="007D77D9"/>
    <w:rsid w:val="007D7F7B"/>
    <w:rsid w:val="007E0D30"/>
    <w:rsid w:val="007E2667"/>
    <w:rsid w:val="007E2DD1"/>
    <w:rsid w:val="007E4AC8"/>
    <w:rsid w:val="007E5549"/>
    <w:rsid w:val="007E5759"/>
    <w:rsid w:val="007E644E"/>
    <w:rsid w:val="007E6E01"/>
    <w:rsid w:val="007F097E"/>
    <w:rsid w:val="007F15CF"/>
    <w:rsid w:val="007F223C"/>
    <w:rsid w:val="007F2405"/>
    <w:rsid w:val="007F3A91"/>
    <w:rsid w:val="007F6199"/>
    <w:rsid w:val="007F628F"/>
    <w:rsid w:val="007F6C16"/>
    <w:rsid w:val="007F7B34"/>
    <w:rsid w:val="00800D44"/>
    <w:rsid w:val="0080125A"/>
    <w:rsid w:val="008017F4"/>
    <w:rsid w:val="00802101"/>
    <w:rsid w:val="00802DB4"/>
    <w:rsid w:val="008039C1"/>
    <w:rsid w:val="00804759"/>
    <w:rsid w:val="00805C6D"/>
    <w:rsid w:val="00806CB2"/>
    <w:rsid w:val="00807D33"/>
    <w:rsid w:val="00810CC8"/>
    <w:rsid w:val="00811249"/>
    <w:rsid w:val="008120A8"/>
    <w:rsid w:val="00813465"/>
    <w:rsid w:val="00815E3F"/>
    <w:rsid w:val="00816537"/>
    <w:rsid w:val="00816F55"/>
    <w:rsid w:val="00817455"/>
    <w:rsid w:val="00822C20"/>
    <w:rsid w:val="00822F8E"/>
    <w:rsid w:val="00823C7C"/>
    <w:rsid w:val="00827C40"/>
    <w:rsid w:val="00833888"/>
    <w:rsid w:val="00833CDA"/>
    <w:rsid w:val="00836086"/>
    <w:rsid w:val="00836286"/>
    <w:rsid w:val="0083635E"/>
    <w:rsid w:val="00840A9F"/>
    <w:rsid w:val="008410AD"/>
    <w:rsid w:val="00841F76"/>
    <w:rsid w:val="00842C81"/>
    <w:rsid w:val="008438DC"/>
    <w:rsid w:val="008454DB"/>
    <w:rsid w:val="00845E15"/>
    <w:rsid w:val="00846A9F"/>
    <w:rsid w:val="00850FED"/>
    <w:rsid w:val="008524A7"/>
    <w:rsid w:val="00852DC4"/>
    <w:rsid w:val="00853923"/>
    <w:rsid w:val="00854FCA"/>
    <w:rsid w:val="008553B5"/>
    <w:rsid w:val="00857E5A"/>
    <w:rsid w:val="00860341"/>
    <w:rsid w:val="008605FC"/>
    <w:rsid w:val="00861015"/>
    <w:rsid w:val="008613CE"/>
    <w:rsid w:val="008614E7"/>
    <w:rsid w:val="008617C9"/>
    <w:rsid w:val="00862248"/>
    <w:rsid w:val="008635DA"/>
    <w:rsid w:val="008653CE"/>
    <w:rsid w:val="0086587E"/>
    <w:rsid w:val="008705E6"/>
    <w:rsid w:val="00870D31"/>
    <w:rsid w:val="00871D68"/>
    <w:rsid w:val="00872AF0"/>
    <w:rsid w:val="00872AF6"/>
    <w:rsid w:val="0087300D"/>
    <w:rsid w:val="00875BAC"/>
    <w:rsid w:val="00876BE7"/>
    <w:rsid w:val="0087732B"/>
    <w:rsid w:val="0087794F"/>
    <w:rsid w:val="008806D4"/>
    <w:rsid w:val="00881FA4"/>
    <w:rsid w:val="0088245C"/>
    <w:rsid w:val="0088299B"/>
    <w:rsid w:val="00883B11"/>
    <w:rsid w:val="00884254"/>
    <w:rsid w:val="008865FF"/>
    <w:rsid w:val="00887557"/>
    <w:rsid w:val="0089098E"/>
    <w:rsid w:val="0089272B"/>
    <w:rsid w:val="008929D1"/>
    <w:rsid w:val="008936DB"/>
    <w:rsid w:val="00893DE8"/>
    <w:rsid w:val="00895066"/>
    <w:rsid w:val="0089508C"/>
    <w:rsid w:val="008A2598"/>
    <w:rsid w:val="008A4DC9"/>
    <w:rsid w:val="008A59C2"/>
    <w:rsid w:val="008A6B12"/>
    <w:rsid w:val="008A6F92"/>
    <w:rsid w:val="008B4B2A"/>
    <w:rsid w:val="008B540B"/>
    <w:rsid w:val="008B620D"/>
    <w:rsid w:val="008B7042"/>
    <w:rsid w:val="008B79B8"/>
    <w:rsid w:val="008C01CF"/>
    <w:rsid w:val="008C076D"/>
    <w:rsid w:val="008C1871"/>
    <w:rsid w:val="008C1A9C"/>
    <w:rsid w:val="008C2944"/>
    <w:rsid w:val="008C3BE4"/>
    <w:rsid w:val="008C4931"/>
    <w:rsid w:val="008C656D"/>
    <w:rsid w:val="008C6E90"/>
    <w:rsid w:val="008D08DD"/>
    <w:rsid w:val="008D0B28"/>
    <w:rsid w:val="008D1A92"/>
    <w:rsid w:val="008D2789"/>
    <w:rsid w:val="008D430B"/>
    <w:rsid w:val="008D5BBC"/>
    <w:rsid w:val="008D699C"/>
    <w:rsid w:val="008D6E33"/>
    <w:rsid w:val="008D71A2"/>
    <w:rsid w:val="008D7860"/>
    <w:rsid w:val="008E00E9"/>
    <w:rsid w:val="008E10D6"/>
    <w:rsid w:val="008E47B9"/>
    <w:rsid w:val="008E6A83"/>
    <w:rsid w:val="008E756A"/>
    <w:rsid w:val="008E7D7C"/>
    <w:rsid w:val="008F03AB"/>
    <w:rsid w:val="008F06D8"/>
    <w:rsid w:val="008F4C2A"/>
    <w:rsid w:val="0090118A"/>
    <w:rsid w:val="0090221D"/>
    <w:rsid w:val="00905745"/>
    <w:rsid w:val="00906646"/>
    <w:rsid w:val="00906925"/>
    <w:rsid w:val="009113ED"/>
    <w:rsid w:val="00913838"/>
    <w:rsid w:val="00914D55"/>
    <w:rsid w:val="00915402"/>
    <w:rsid w:val="0091702B"/>
    <w:rsid w:val="00920B42"/>
    <w:rsid w:val="00920E89"/>
    <w:rsid w:val="009237E5"/>
    <w:rsid w:val="009238B1"/>
    <w:rsid w:val="00924A86"/>
    <w:rsid w:val="00924E16"/>
    <w:rsid w:val="00927501"/>
    <w:rsid w:val="00930DF2"/>
    <w:rsid w:val="0093398C"/>
    <w:rsid w:val="00934C9F"/>
    <w:rsid w:val="00935AA0"/>
    <w:rsid w:val="00937264"/>
    <w:rsid w:val="00937277"/>
    <w:rsid w:val="0094292D"/>
    <w:rsid w:val="00945812"/>
    <w:rsid w:val="0094627A"/>
    <w:rsid w:val="0095605A"/>
    <w:rsid w:val="0095620E"/>
    <w:rsid w:val="0095687A"/>
    <w:rsid w:val="00956B14"/>
    <w:rsid w:val="009611A9"/>
    <w:rsid w:val="009615F0"/>
    <w:rsid w:val="0096290C"/>
    <w:rsid w:val="00964348"/>
    <w:rsid w:val="00965DEF"/>
    <w:rsid w:val="00965E32"/>
    <w:rsid w:val="00965F82"/>
    <w:rsid w:val="00966599"/>
    <w:rsid w:val="00967683"/>
    <w:rsid w:val="00970EB3"/>
    <w:rsid w:val="00972BF7"/>
    <w:rsid w:val="00974C87"/>
    <w:rsid w:val="00975CB2"/>
    <w:rsid w:val="009777E3"/>
    <w:rsid w:val="00980180"/>
    <w:rsid w:val="00981B58"/>
    <w:rsid w:val="00984BC9"/>
    <w:rsid w:val="009868B6"/>
    <w:rsid w:val="00986D41"/>
    <w:rsid w:val="009903E1"/>
    <w:rsid w:val="00990B48"/>
    <w:rsid w:val="00991A82"/>
    <w:rsid w:val="00991B33"/>
    <w:rsid w:val="009929FD"/>
    <w:rsid w:val="0099305F"/>
    <w:rsid w:val="00993535"/>
    <w:rsid w:val="009937BD"/>
    <w:rsid w:val="0099540D"/>
    <w:rsid w:val="009A3065"/>
    <w:rsid w:val="009A4D8D"/>
    <w:rsid w:val="009A739A"/>
    <w:rsid w:val="009A7A95"/>
    <w:rsid w:val="009B5F6B"/>
    <w:rsid w:val="009B7AD7"/>
    <w:rsid w:val="009C0B27"/>
    <w:rsid w:val="009C0ED7"/>
    <w:rsid w:val="009C2CE8"/>
    <w:rsid w:val="009C3755"/>
    <w:rsid w:val="009C563F"/>
    <w:rsid w:val="009C627C"/>
    <w:rsid w:val="009C7CE3"/>
    <w:rsid w:val="009D24A6"/>
    <w:rsid w:val="009D39DC"/>
    <w:rsid w:val="009D3C1E"/>
    <w:rsid w:val="009D438A"/>
    <w:rsid w:val="009D43F3"/>
    <w:rsid w:val="009D4D79"/>
    <w:rsid w:val="009D5799"/>
    <w:rsid w:val="009D5F5D"/>
    <w:rsid w:val="009D6555"/>
    <w:rsid w:val="009E1F62"/>
    <w:rsid w:val="009E2A4A"/>
    <w:rsid w:val="009E4AFA"/>
    <w:rsid w:val="009E695A"/>
    <w:rsid w:val="009E78F6"/>
    <w:rsid w:val="009F432C"/>
    <w:rsid w:val="009F68A6"/>
    <w:rsid w:val="00A0143C"/>
    <w:rsid w:val="00A01B26"/>
    <w:rsid w:val="00A03A5F"/>
    <w:rsid w:val="00A03D8B"/>
    <w:rsid w:val="00A03FCE"/>
    <w:rsid w:val="00A06079"/>
    <w:rsid w:val="00A10815"/>
    <w:rsid w:val="00A10B16"/>
    <w:rsid w:val="00A137B6"/>
    <w:rsid w:val="00A14009"/>
    <w:rsid w:val="00A14243"/>
    <w:rsid w:val="00A14A7B"/>
    <w:rsid w:val="00A156C8"/>
    <w:rsid w:val="00A15EB4"/>
    <w:rsid w:val="00A16407"/>
    <w:rsid w:val="00A17C46"/>
    <w:rsid w:val="00A22E02"/>
    <w:rsid w:val="00A23A7C"/>
    <w:rsid w:val="00A246CA"/>
    <w:rsid w:val="00A24FEC"/>
    <w:rsid w:val="00A268CA"/>
    <w:rsid w:val="00A26B84"/>
    <w:rsid w:val="00A307C1"/>
    <w:rsid w:val="00A31C17"/>
    <w:rsid w:val="00A31C3A"/>
    <w:rsid w:val="00A33BAD"/>
    <w:rsid w:val="00A34C34"/>
    <w:rsid w:val="00A36565"/>
    <w:rsid w:val="00A37176"/>
    <w:rsid w:val="00A406C0"/>
    <w:rsid w:val="00A40F3A"/>
    <w:rsid w:val="00A43627"/>
    <w:rsid w:val="00A46471"/>
    <w:rsid w:val="00A47DF2"/>
    <w:rsid w:val="00A503B1"/>
    <w:rsid w:val="00A50908"/>
    <w:rsid w:val="00A51130"/>
    <w:rsid w:val="00A51EF0"/>
    <w:rsid w:val="00A52095"/>
    <w:rsid w:val="00A54043"/>
    <w:rsid w:val="00A547F7"/>
    <w:rsid w:val="00A54859"/>
    <w:rsid w:val="00A54BAC"/>
    <w:rsid w:val="00A551B2"/>
    <w:rsid w:val="00A56930"/>
    <w:rsid w:val="00A56CC0"/>
    <w:rsid w:val="00A60C34"/>
    <w:rsid w:val="00A628C9"/>
    <w:rsid w:val="00A6473B"/>
    <w:rsid w:val="00A65280"/>
    <w:rsid w:val="00A65BA2"/>
    <w:rsid w:val="00A65BED"/>
    <w:rsid w:val="00A66899"/>
    <w:rsid w:val="00A67306"/>
    <w:rsid w:val="00A70E37"/>
    <w:rsid w:val="00A7227B"/>
    <w:rsid w:val="00A727C1"/>
    <w:rsid w:val="00A73B2C"/>
    <w:rsid w:val="00A80CAE"/>
    <w:rsid w:val="00A832CF"/>
    <w:rsid w:val="00A83723"/>
    <w:rsid w:val="00A87479"/>
    <w:rsid w:val="00A87FB8"/>
    <w:rsid w:val="00A915AC"/>
    <w:rsid w:val="00A91AB4"/>
    <w:rsid w:val="00A923F2"/>
    <w:rsid w:val="00A926D4"/>
    <w:rsid w:val="00A94645"/>
    <w:rsid w:val="00A9649A"/>
    <w:rsid w:val="00AA0E7D"/>
    <w:rsid w:val="00AA2595"/>
    <w:rsid w:val="00AA2695"/>
    <w:rsid w:val="00AB09E1"/>
    <w:rsid w:val="00AB14DE"/>
    <w:rsid w:val="00AB2EB0"/>
    <w:rsid w:val="00AB35DE"/>
    <w:rsid w:val="00AB460D"/>
    <w:rsid w:val="00AB7113"/>
    <w:rsid w:val="00AB7D7A"/>
    <w:rsid w:val="00AC079F"/>
    <w:rsid w:val="00AC2A05"/>
    <w:rsid w:val="00AC2C22"/>
    <w:rsid w:val="00AC2DA0"/>
    <w:rsid w:val="00AC311A"/>
    <w:rsid w:val="00AC4CA7"/>
    <w:rsid w:val="00AC62A6"/>
    <w:rsid w:val="00AD0184"/>
    <w:rsid w:val="00AD02F7"/>
    <w:rsid w:val="00AD41A1"/>
    <w:rsid w:val="00AD69C1"/>
    <w:rsid w:val="00AE11CE"/>
    <w:rsid w:val="00AE1FAC"/>
    <w:rsid w:val="00AE34EE"/>
    <w:rsid w:val="00AE40A7"/>
    <w:rsid w:val="00AE5762"/>
    <w:rsid w:val="00AE5BFD"/>
    <w:rsid w:val="00AE6E5E"/>
    <w:rsid w:val="00AE71CF"/>
    <w:rsid w:val="00AE7564"/>
    <w:rsid w:val="00AE7820"/>
    <w:rsid w:val="00AF050B"/>
    <w:rsid w:val="00AF0D6B"/>
    <w:rsid w:val="00AF2C32"/>
    <w:rsid w:val="00AF34A5"/>
    <w:rsid w:val="00AF4CA2"/>
    <w:rsid w:val="00AF4F6B"/>
    <w:rsid w:val="00AF5986"/>
    <w:rsid w:val="00AF6C0D"/>
    <w:rsid w:val="00AF712B"/>
    <w:rsid w:val="00AF71CB"/>
    <w:rsid w:val="00AF7707"/>
    <w:rsid w:val="00B0050E"/>
    <w:rsid w:val="00B00793"/>
    <w:rsid w:val="00B007BB"/>
    <w:rsid w:val="00B00954"/>
    <w:rsid w:val="00B01186"/>
    <w:rsid w:val="00B012EB"/>
    <w:rsid w:val="00B01587"/>
    <w:rsid w:val="00B01D2F"/>
    <w:rsid w:val="00B02F5D"/>
    <w:rsid w:val="00B03B35"/>
    <w:rsid w:val="00B03FB4"/>
    <w:rsid w:val="00B061B9"/>
    <w:rsid w:val="00B06DA5"/>
    <w:rsid w:val="00B10B73"/>
    <w:rsid w:val="00B10D67"/>
    <w:rsid w:val="00B158A5"/>
    <w:rsid w:val="00B24E2F"/>
    <w:rsid w:val="00B26956"/>
    <w:rsid w:val="00B307C9"/>
    <w:rsid w:val="00B31283"/>
    <w:rsid w:val="00B31A50"/>
    <w:rsid w:val="00B324F7"/>
    <w:rsid w:val="00B3284C"/>
    <w:rsid w:val="00B3485A"/>
    <w:rsid w:val="00B348EF"/>
    <w:rsid w:val="00B34D3A"/>
    <w:rsid w:val="00B35774"/>
    <w:rsid w:val="00B35C09"/>
    <w:rsid w:val="00B37E38"/>
    <w:rsid w:val="00B401D8"/>
    <w:rsid w:val="00B40542"/>
    <w:rsid w:val="00B44C1E"/>
    <w:rsid w:val="00B463B0"/>
    <w:rsid w:val="00B46EB7"/>
    <w:rsid w:val="00B524DC"/>
    <w:rsid w:val="00B55DB3"/>
    <w:rsid w:val="00B57E98"/>
    <w:rsid w:val="00B62ADE"/>
    <w:rsid w:val="00B63393"/>
    <w:rsid w:val="00B647A8"/>
    <w:rsid w:val="00B65873"/>
    <w:rsid w:val="00B67DD2"/>
    <w:rsid w:val="00B72762"/>
    <w:rsid w:val="00B76CEF"/>
    <w:rsid w:val="00B770C8"/>
    <w:rsid w:val="00B77455"/>
    <w:rsid w:val="00B77BE5"/>
    <w:rsid w:val="00B8168A"/>
    <w:rsid w:val="00B86DA4"/>
    <w:rsid w:val="00B87400"/>
    <w:rsid w:val="00B9010B"/>
    <w:rsid w:val="00B9018C"/>
    <w:rsid w:val="00B9143F"/>
    <w:rsid w:val="00B9146B"/>
    <w:rsid w:val="00B92802"/>
    <w:rsid w:val="00B94F0C"/>
    <w:rsid w:val="00B955FF"/>
    <w:rsid w:val="00B9577D"/>
    <w:rsid w:val="00B95FDF"/>
    <w:rsid w:val="00B971EF"/>
    <w:rsid w:val="00BA2881"/>
    <w:rsid w:val="00BA2EDE"/>
    <w:rsid w:val="00BA336A"/>
    <w:rsid w:val="00BA3CB1"/>
    <w:rsid w:val="00BA5894"/>
    <w:rsid w:val="00BA5C09"/>
    <w:rsid w:val="00BA6123"/>
    <w:rsid w:val="00BB101B"/>
    <w:rsid w:val="00BB2DB7"/>
    <w:rsid w:val="00BB38DE"/>
    <w:rsid w:val="00BB4415"/>
    <w:rsid w:val="00BB481A"/>
    <w:rsid w:val="00BB6C93"/>
    <w:rsid w:val="00BB6EC3"/>
    <w:rsid w:val="00BC1485"/>
    <w:rsid w:val="00BC1CB3"/>
    <w:rsid w:val="00BC330F"/>
    <w:rsid w:val="00BC384C"/>
    <w:rsid w:val="00BC6CC3"/>
    <w:rsid w:val="00BD58A6"/>
    <w:rsid w:val="00BD6DC3"/>
    <w:rsid w:val="00BE0290"/>
    <w:rsid w:val="00BE20B0"/>
    <w:rsid w:val="00BE3C7C"/>
    <w:rsid w:val="00BE3F20"/>
    <w:rsid w:val="00BE6D42"/>
    <w:rsid w:val="00BE7B14"/>
    <w:rsid w:val="00BF0496"/>
    <w:rsid w:val="00BF31EA"/>
    <w:rsid w:val="00BF32A1"/>
    <w:rsid w:val="00BF45BE"/>
    <w:rsid w:val="00BF4D13"/>
    <w:rsid w:val="00BF4D88"/>
    <w:rsid w:val="00BF5F4D"/>
    <w:rsid w:val="00BF748B"/>
    <w:rsid w:val="00C000B2"/>
    <w:rsid w:val="00C04F14"/>
    <w:rsid w:val="00C0514B"/>
    <w:rsid w:val="00C054F6"/>
    <w:rsid w:val="00C05E06"/>
    <w:rsid w:val="00C116CB"/>
    <w:rsid w:val="00C129A7"/>
    <w:rsid w:val="00C130C6"/>
    <w:rsid w:val="00C1327F"/>
    <w:rsid w:val="00C24795"/>
    <w:rsid w:val="00C255F8"/>
    <w:rsid w:val="00C25606"/>
    <w:rsid w:val="00C27F0B"/>
    <w:rsid w:val="00C301E0"/>
    <w:rsid w:val="00C307B1"/>
    <w:rsid w:val="00C321D7"/>
    <w:rsid w:val="00C37B47"/>
    <w:rsid w:val="00C47872"/>
    <w:rsid w:val="00C47B01"/>
    <w:rsid w:val="00C47ECB"/>
    <w:rsid w:val="00C500FD"/>
    <w:rsid w:val="00C504F0"/>
    <w:rsid w:val="00C5163E"/>
    <w:rsid w:val="00C51B04"/>
    <w:rsid w:val="00C51E5F"/>
    <w:rsid w:val="00C531BC"/>
    <w:rsid w:val="00C5382C"/>
    <w:rsid w:val="00C558C5"/>
    <w:rsid w:val="00C5766C"/>
    <w:rsid w:val="00C62FE0"/>
    <w:rsid w:val="00C6388F"/>
    <w:rsid w:val="00C6499F"/>
    <w:rsid w:val="00C64D19"/>
    <w:rsid w:val="00C6504A"/>
    <w:rsid w:val="00C6529C"/>
    <w:rsid w:val="00C7094C"/>
    <w:rsid w:val="00C73FD3"/>
    <w:rsid w:val="00C74FBD"/>
    <w:rsid w:val="00C7563E"/>
    <w:rsid w:val="00C76C04"/>
    <w:rsid w:val="00C7703E"/>
    <w:rsid w:val="00C7704F"/>
    <w:rsid w:val="00C7778C"/>
    <w:rsid w:val="00C81380"/>
    <w:rsid w:val="00C819DF"/>
    <w:rsid w:val="00C838C3"/>
    <w:rsid w:val="00C83E21"/>
    <w:rsid w:val="00C92245"/>
    <w:rsid w:val="00C965F5"/>
    <w:rsid w:val="00CA0328"/>
    <w:rsid w:val="00CA06D1"/>
    <w:rsid w:val="00CA0DAD"/>
    <w:rsid w:val="00CA331D"/>
    <w:rsid w:val="00CA37F1"/>
    <w:rsid w:val="00CA488C"/>
    <w:rsid w:val="00CA6109"/>
    <w:rsid w:val="00CA6767"/>
    <w:rsid w:val="00CA73BC"/>
    <w:rsid w:val="00CA7716"/>
    <w:rsid w:val="00CB0809"/>
    <w:rsid w:val="00CB10DA"/>
    <w:rsid w:val="00CB2D3E"/>
    <w:rsid w:val="00CB3EDA"/>
    <w:rsid w:val="00CB4F0D"/>
    <w:rsid w:val="00CB4FCA"/>
    <w:rsid w:val="00CB7A9F"/>
    <w:rsid w:val="00CC050E"/>
    <w:rsid w:val="00CC1637"/>
    <w:rsid w:val="00CC24F0"/>
    <w:rsid w:val="00CC4BD1"/>
    <w:rsid w:val="00CC4F7E"/>
    <w:rsid w:val="00CC5383"/>
    <w:rsid w:val="00CC53E4"/>
    <w:rsid w:val="00CC591B"/>
    <w:rsid w:val="00CC682A"/>
    <w:rsid w:val="00CC6D7D"/>
    <w:rsid w:val="00CC7CC0"/>
    <w:rsid w:val="00CD0B64"/>
    <w:rsid w:val="00CD444F"/>
    <w:rsid w:val="00CD7964"/>
    <w:rsid w:val="00CE2F78"/>
    <w:rsid w:val="00CE409A"/>
    <w:rsid w:val="00CE44BA"/>
    <w:rsid w:val="00CE4B92"/>
    <w:rsid w:val="00CE6C8A"/>
    <w:rsid w:val="00CE7BC7"/>
    <w:rsid w:val="00CE7CE4"/>
    <w:rsid w:val="00CF0DA8"/>
    <w:rsid w:val="00CF13AC"/>
    <w:rsid w:val="00CF18D6"/>
    <w:rsid w:val="00CF2EC4"/>
    <w:rsid w:val="00CF4076"/>
    <w:rsid w:val="00CF6725"/>
    <w:rsid w:val="00CF6EB4"/>
    <w:rsid w:val="00D039AD"/>
    <w:rsid w:val="00D05D72"/>
    <w:rsid w:val="00D11538"/>
    <w:rsid w:val="00D11A48"/>
    <w:rsid w:val="00D131FC"/>
    <w:rsid w:val="00D13F0C"/>
    <w:rsid w:val="00D151B4"/>
    <w:rsid w:val="00D16000"/>
    <w:rsid w:val="00D22EA2"/>
    <w:rsid w:val="00D25D2D"/>
    <w:rsid w:val="00D26761"/>
    <w:rsid w:val="00D27A16"/>
    <w:rsid w:val="00D30341"/>
    <w:rsid w:val="00D31720"/>
    <w:rsid w:val="00D343F6"/>
    <w:rsid w:val="00D36AFB"/>
    <w:rsid w:val="00D37069"/>
    <w:rsid w:val="00D401B2"/>
    <w:rsid w:val="00D44C7B"/>
    <w:rsid w:val="00D45D0F"/>
    <w:rsid w:val="00D45FB2"/>
    <w:rsid w:val="00D5155C"/>
    <w:rsid w:val="00D517F7"/>
    <w:rsid w:val="00D54475"/>
    <w:rsid w:val="00D5562F"/>
    <w:rsid w:val="00D5746A"/>
    <w:rsid w:val="00D602D0"/>
    <w:rsid w:val="00D614CE"/>
    <w:rsid w:val="00D61C41"/>
    <w:rsid w:val="00D63363"/>
    <w:rsid w:val="00D6338A"/>
    <w:rsid w:val="00D65EAF"/>
    <w:rsid w:val="00D66C12"/>
    <w:rsid w:val="00D672F5"/>
    <w:rsid w:val="00D72E57"/>
    <w:rsid w:val="00D73060"/>
    <w:rsid w:val="00D756B3"/>
    <w:rsid w:val="00D75E9F"/>
    <w:rsid w:val="00D7651C"/>
    <w:rsid w:val="00D77624"/>
    <w:rsid w:val="00D802B2"/>
    <w:rsid w:val="00D8094F"/>
    <w:rsid w:val="00D81091"/>
    <w:rsid w:val="00D82BB4"/>
    <w:rsid w:val="00D9431A"/>
    <w:rsid w:val="00D943F6"/>
    <w:rsid w:val="00D94817"/>
    <w:rsid w:val="00D96028"/>
    <w:rsid w:val="00D9659E"/>
    <w:rsid w:val="00D968D5"/>
    <w:rsid w:val="00D9765C"/>
    <w:rsid w:val="00DA1B71"/>
    <w:rsid w:val="00DA2EC7"/>
    <w:rsid w:val="00DA3A21"/>
    <w:rsid w:val="00DA3E25"/>
    <w:rsid w:val="00DA47A9"/>
    <w:rsid w:val="00DB08C6"/>
    <w:rsid w:val="00DB2F96"/>
    <w:rsid w:val="00DB304F"/>
    <w:rsid w:val="00DB571A"/>
    <w:rsid w:val="00DB5777"/>
    <w:rsid w:val="00DB7D4A"/>
    <w:rsid w:val="00DC0D69"/>
    <w:rsid w:val="00DC1FE7"/>
    <w:rsid w:val="00DC27FE"/>
    <w:rsid w:val="00DC45A9"/>
    <w:rsid w:val="00DC6959"/>
    <w:rsid w:val="00DC7B51"/>
    <w:rsid w:val="00DC7D83"/>
    <w:rsid w:val="00DD0407"/>
    <w:rsid w:val="00DD0CE3"/>
    <w:rsid w:val="00DD0D4D"/>
    <w:rsid w:val="00DD257D"/>
    <w:rsid w:val="00DD6385"/>
    <w:rsid w:val="00DE20F6"/>
    <w:rsid w:val="00DE60D0"/>
    <w:rsid w:val="00DE783B"/>
    <w:rsid w:val="00DE79C5"/>
    <w:rsid w:val="00DE7D94"/>
    <w:rsid w:val="00DF023E"/>
    <w:rsid w:val="00DF03C0"/>
    <w:rsid w:val="00DF1BA0"/>
    <w:rsid w:val="00DF6696"/>
    <w:rsid w:val="00E002D4"/>
    <w:rsid w:val="00E0397C"/>
    <w:rsid w:val="00E04013"/>
    <w:rsid w:val="00E054AB"/>
    <w:rsid w:val="00E13960"/>
    <w:rsid w:val="00E14BBD"/>
    <w:rsid w:val="00E15C33"/>
    <w:rsid w:val="00E15CD8"/>
    <w:rsid w:val="00E169E2"/>
    <w:rsid w:val="00E16C89"/>
    <w:rsid w:val="00E17204"/>
    <w:rsid w:val="00E17528"/>
    <w:rsid w:val="00E21310"/>
    <w:rsid w:val="00E23034"/>
    <w:rsid w:val="00E23BC6"/>
    <w:rsid w:val="00E23CDD"/>
    <w:rsid w:val="00E24C60"/>
    <w:rsid w:val="00E24FF4"/>
    <w:rsid w:val="00E25003"/>
    <w:rsid w:val="00E2570E"/>
    <w:rsid w:val="00E27CB0"/>
    <w:rsid w:val="00E3069A"/>
    <w:rsid w:val="00E32F1B"/>
    <w:rsid w:val="00E32FF5"/>
    <w:rsid w:val="00E34A15"/>
    <w:rsid w:val="00E353C6"/>
    <w:rsid w:val="00E3541F"/>
    <w:rsid w:val="00E36485"/>
    <w:rsid w:val="00E42CCD"/>
    <w:rsid w:val="00E43141"/>
    <w:rsid w:val="00E434EE"/>
    <w:rsid w:val="00E437CC"/>
    <w:rsid w:val="00E43FA6"/>
    <w:rsid w:val="00E46611"/>
    <w:rsid w:val="00E50FE1"/>
    <w:rsid w:val="00E517B5"/>
    <w:rsid w:val="00E5539B"/>
    <w:rsid w:val="00E56123"/>
    <w:rsid w:val="00E57C9A"/>
    <w:rsid w:val="00E613B8"/>
    <w:rsid w:val="00E61ED3"/>
    <w:rsid w:val="00E645CE"/>
    <w:rsid w:val="00E65CE4"/>
    <w:rsid w:val="00E7036F"/>
    <w:rsid w:val="00E71ABE"/>
    <w:rsid w:val="00E73B49"/>
    <w:rsid w:val="00E73F4D"/>
    <w:rsid w:val="00E74CAC"/>
    <w:rsid w:val="00E76F3B"/>
    <w:rsid w:val="00E80659"/>
    <w:rsid w:val="00E80CD7"/>
    <w:rsid w:val="00E81FBA"/>
    <w:rsid w:val="00E838E0"/>
    <w:rsid w:val="00E839EE"/>
    <w:rsid w:val="00E854DE"/>
    <w:rsid w:val="00E85800"/>
    <w:rsid w:val="00E85C34"/>
    <w:rsid w:val="00E90043"/>
    <w:rsid w:val="00E91D88"/>
    <w:rsid w:val="00E922C2"/>
    <w:rsid w:val="00E93F9B"/>
    <w:rsid w:val="00E9553E"/>
    <w:rsid w:val="00E961AF"/>
    <w:rsid w:val="00EA1649"/>
    <w:rsid w:val="00EA32F7"/>
    <w:rsid w:val="00EA3648"/>
    <w:rsid w:val="00EA5309"/>
    <w:rsid w:val="00EA546F"/>
    <w:rsid w:val="00EA5521"/>
    <w:rsid w:val="00EA5A13"/>
    <w:rsid w:val="00EB0BBC"/>
    <w:rsid w:val="00EB1D13"/>
    <w:rsid w:val="00EB24F8"/>
    <w:rsid w:val="00EB30A6"/>
    <w:rsid w:val="00EB36EC"/>
    <w:rsid w:val="00EB39ED"/>
    <w:rsid w:val="00EB44B6"/>
    <w:rsid w:val="00EB4853"/>
    <w:rsid w:val="00EB52F1"/>
    <w:rsid w:val="00EB7505"/>
    <w:rsid w:val="00EB7EA7"/>
    <w:rsid w:val="00EC0C02"/>
    <w:rsid w:val="00EC1026"/>
    <w:rsid w:val="00EC3182"/>
    <w:rsid w:val="00EC3896"/>
    <w:rsid w:val="00EC4C2B"/>
    <w:rsid w:val="00EC4E35"/>
    <w:rsid w:val="00EC653D"/>
    <w:rsid w:val="00EC6D78"/>
    <w:rsid w:val="00ED5358"/>
    <w:rsid w:val="00ED69DB"/>
    <w:rsid w:val="00ED6E25"/>
    <w:rsid w:val="00ED7BDD"/>
    <w:rsid w:val="00EE19E3"/>
    <w:rsid w:val="00EE1A15"/>
    <w:rsid w:val="00EE2497"/>
    <w:rsid w:val="00EE2A61"/>
    <w:rsid w:val="00EE4F32"/>
    <w:rsid w:val="00EE6A4D"/>
    <w:rsid w:val="00EE7B20"/>
    <w:rsid w:val="00EE7BD2"/>
    <w:rsid w:val="00EF02E0"/>
    <w:rsid w:val="00EF0EC3"/>
    <w:rsid w:val="00EF1A41"/>
    <w:rsid w:val="00EF3A2A"/>
    <w:rsid w:val="00EF4F84"/>
    <w:rsid w:val="00EF7B4D"/>
    <w:rsid w:val="00F00B65"/>
    <w:rsid w:val="00F013C6"/>
    <w:rsid w:val="00F01501"/>
    <w:rsid w:val="00F031BC"/>
    <w:rsid w:val="00F037E9"/>
    <w:rsid w:val="00F05707"/>
    <w:rsid w:val="00F05EF8"/>
    <w:rsid w:val="00F10EF1"/>
    <w:rsid w:val="00F11D45"/>
    <w:rsid w:val="00F120D2"/>
    <w:rsid w:val="00F12143"/>
    <w:rsid w:val="00F13596"/>
    <w:rsid w:val="00F1438E"/>
    <w:rsid w:val="00F1557C"/>
    <w:rsid w:val="00F15D16"/>
    <w:rsid w:val="00F15EC1"/>
    <w:rsid w:val="00F22C76"/>
    <w:rsid w:val="00F2357C"/>
    <w:rsid w:val="00F23ABE"/>
    <w:rsid w:val="00F23EEF"/>
    <w:rsid w:val="00F2448E"/>
    <w:rsid w:val="00F30773"/>
    <w:rsid w:val="00F336B8"/>
    <w:rsid w:val="00F3758E"/>
    <w:rsid w:val="00F37850"/>
    <w:rsid w:val="00F414E1"/>
    <w:rsid w:val="00F42157"/>
    <w:rsid w:val="00F42A8F"/>
    <w:rsid w:val="00F42C57"/>
    <w:rsid w:val="00F44CCA"/>
    <w:rsid w:val="00F462AB"/>
    <w:rsid w:val="00F468BD"/>
    <w:rsid w:val="00F46EE7"/>
    <w:rsid w:val="00F50C49"/>
    <w:rsid w:val="00F50E17"/>
    <w:rsid w:val="00F5100F"/>
    <w:rsid w:val="00F51895"/>
    <w:rsid w:val="00F523F7"/>
    <w:rsid w:val="00F52A98"/>
    <w:rsid w:val="00F53E4F"/>
    <w:rsid w:val="00F53E9D"/>
    <w:rsid w:val="00F54322"/>
    <w:rsid w:val="00F55C83"/>
    <w:rsid w:val="00F55E94"/>
    <w:rsid w:val="00F560F7"/>
    <w:rsid w:val="00F5674E"/>
    <w:rsid w:val="00F57590"/>
    <w:rsid w:val="00F57C0C"/>
    <w:rsid w:val="00F61DCC"/>
    <w:rsid w:val="00F70B40"/>
    <w:rsid w:val="00F75517"/>
    <w:rsid w:val="00F760C9"/>
    <w:rsid w:val="00F77229"/>
    <w:rsid w:val="00F7770C"/>
    <w:rsid w:val="00F81CA9"/>
    <w:rsid w:val="00F82019"/>
    <w:rsid w:val="00F84342"/>
    <w:rsid w:val="00F84AE6"/>
    <w:rsid w:val="00F86232"/>
    <w:rsid w:val="00F868C6"/>
    <w:rsid w:val="00F869CA"/>
    <w:rsid w:val="00F87BEC"/>
    <w:rsid w:val="00F90214"/>
    <w:rsid w:val="00F91E9C"/>
    <w:rsid w:val="00F92E65"/>
    <w:rsid w:val="00F939D9"/>
    <w:rsid w:val="00F9508F"/>
    <w:rsid w:val="00F96839"/>
    <w:rsid w:val="00F97766"/>
    <w:rsid w:val="00F97841"/>
    <w:rsid w:val="00FA08E8"/>
    <w:rsid w:val="00FA1E3C"/>
    <w:rsid w:val="00FA242A"/>
    <w:rsid w:val="00FA2FA1"/>
    <w:rsid w:val="00FA4628"/>
    <w:rsid w:val="00FA54DD"/>
    <w:rsid w:val="00FA593D"/>
    <w:rsid w:val="00FA5C28"/>
    <w:rsid w:val="00FA6A6F"/>
    <w:rsid w:val="00FA7B7D"/>
    <w:rsid w:val="00FB51AC"/>
    <w:rsid w:val="00FB5B6A"/>
    <w:rsid w:val="00FB5CA6"/>
    <w:rsid w:val="00FB69FB"/>
    <w:rsid w:val="00FC1D0B"/>
    <w:rsid w:val="00FC4024"/>
    <w:rsid w:val="00FC4C26"/>
    <w:rsid w:val="00FC64E9"/>
    <w:rsid w:val="00FD0609"/>
    <w:rsid w:val="00FD17CE"/>
    <w:rsid w:val="00FD2652"/>
    <w:rsid w:val="00FD4E86"/>
    <w:rsid w:val="00FD698D"/>
    <w:rsid w:val="00FE027B"/>
    <w:rsid w:val="00FE09B2"/>
    <w:rsid w:val="00FE0A85"/>
    <w:rsid w:val="00FE1C46"/>
    <w:rsid w:val="00FE1CBD"/>
    <w:rsid w:val="00FE4B2B"/>
    <w:rsid w:val="00FE4B68"/>
    <w:rsid w:val="00FE623A"/>
    <w:rsid w:val="00FF09D7"/>
    <w:rsid w:val="00FF1A83"/>
    <w:rsid w:val="00FF2CD4"/>
    <w:rsid w:val="00FF2D1D"/>
    <w:rsid w:val="00FF31B8"/>
    <w:rsid w:val="00FF38D3"/>
    <w:rsid w:val="00FF5CF5"/>
    <w:rsid w:val="00FF63B1"/>
    <w:rsid w:val="00FF64D5"/>
    <w:rsid w:val="00FF65D6"/>
    <w:rsid w:val="05314542"/>
    <w:rsid w:val="071811A6"/>
    <w:rsid w:val="0A0A6566"/>
    <w:rsid w:val="0A500B7C"/>
    <w:rsid w:val="0B4E2D52"/>
    <w:rsid w:val="0FD31229"/>
    <w:rsid w:val="12784719"/>
    <w:rsid w:val="1454121B"/>
    <w:rsid w:val="14831495"/>
    <w:rsid w:val="18BE17A3"/>
    <w:rsid w:val="1B6C2C3F"/>
    <w:rsid w:val="1C6339C0"/>
    <w:rsid w:val="1D1655EE"/>
    <w:rsid w:val="20CC5D9C"/>
    <w:rsid w:val="212D02D4"/>
    <w:rsid w:val="24F808D8"/>
    <w:rsid w:val="25AE55CE"/>
    <w:rsid w:val="270604C5"/>
    <w:rsid w:val="290B6D18"/>
    <w:rsid w:val="2ACA7D45"/>
    <w:rsid w:val="2ACE3F0B"/>
    <w:rsid w:val="2ADA3733"/>
    <w:rsid w:val="2FAC2331"/>
    <w:rsid w:val="33305380"/>
    <w:rsid w:val="34921D17"/>
    <w:rsid w:val="35440746"/>
    <w:rsid w:val="35D5630B"/>
    <w:rsid w:val="37425FB8"/>
    <w:rsid w:val="38922434"/>
    <w:rsid w:val="3BBC57D4"/>
    <w:rsid w:val="3D65798D"/>
    <w:rsid w:val="3D9A0E36"/>
    <w:rsid w:val="3F907C0F"/>
    <w:rsid w:val="4009690C"/>
    <w:rsid w:val="400E5733"/>
    <w:rsid w:val="40496AC2"/>
    <w:rsid w:val="427A72B5"/>
    <w:rsid w:val="43267088"/>
    <w:rsid w:val="43E2641E"/>
    <w:rsid w:val="457C5E6C"/>
    <w:rsid w:val="469660F0"/>
    <w:rsid w:val="46F7204B"/>
    <w:rsid w:val="473E770A"/>
    <w:rsid w:val="496D6234"/>
    <w:rsid w:val="49E47EB9"/>
    <w:rsid w:val="4C105C2E"/>
    <w:rsid w:val="4DE45720"/>
    <w:rsid w:val="4E287BB6"/>
    <w:rsid w:val="53261B7E"/>
    <w:rsid w:val="54564748"/>
    <w:rsid w:val="551D2E59"/>
    <w:rsid w:val="56B86022"/>
    <w:rsid w:val="56C96524"/>
    <w:rsid w:val="5754504A"/>
    <w:rsid w:val="577763D8"/>
    <w:rsid w:val="58585FB8"/>
    <w:rsid w:val="5A031682"/>
    <w:rsid w:val="5BBF3B5D"/>
    <w:rsid w:val="5C390354"/>
    <w:rsid w:val="60DE1CF1"/>
    <w:rsid w:val="61786E37"/>
    <w:rsid w:val="61BA7F67"/>
    <w:rsid w:val="6287226A"/>
    <w:rsid w:val="6B6F195B"/>
    <w:rsid w:val="6F1B0A2A"/>
    <w:rsid w:val="71264448"/>
    <w:rsid w:val="717606BC"/>
    <w:rsid w:val="72405EA5"/>
    <w:rsid w:val="727F350C"/>
    <w:rsid w:val="756C05CF"/>
    <w:rsid w:val="79D32D55"/>
    <w:rsid w:val="7A164789"/>
    <w:rsid w:val="7A653605"/>
    <w:rsid w:val="7B3A0191"/>
    <w:rsid w:val="7C850B0F"/>
    <w:rsid w:val="7E2925E3"/>
    <w:rsid w:val="7E63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qFormat="1" w:unhideWhenUsed="0"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6"/>
    <w:qFormat/>
    <w:uiPriority w:val="99"/>
    <w:pPr>
      <w:keepNext/>
      <w:keepLines/>
      <w:spacing w:before="260" w:after="260" w:line="416" w:lineRule="auto"/>
      <w:outlineLvl w:val="2"/>
    </w:pPr>
    <w:rPr>
      <w:b/>
      <w:bCs/>
      <w:sz w:val="32"/>
      <w:szCs w:val="32"/>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ind w:left="1260"/>
    </w:pPr>
    <w:rPr>
      <w:rFonts w:asciiTheme="minorHAnsi" w:hAnsiTheme="minorHAnsi"/>
      <w:sz w:val="18"/>
      <w:szCs w:val="18"/>
    </w:rPr>
  </w:style>
  <w:style w:type="paragraph" w:styleId="6">
    <w:name w:val="Normal Indent"/>
    <w:basedOn w:val="1"/>
    <w:qFormat/>
    <w:uiPriority w:val="99"/>
    <w:pPr>
      <w:snapToGrid w:val="0"/>
      <w:spacing w:line="360" w:lineRule="auto"/>
      <w:ind w:firstLine="567"/>
    </w:pPr>
    <w:rPr>
      <w:sz w:val="28"/>
      <w:szCs w:val="20"/>
    </w:rPr>
  </w:style>
  <w:style w:type="paragraph" w:styleId="7">
    <w:name w:val="Document Map"/>
    <w:basedOn w:val="1"/>
    <w:link w:val="37"/>
    <w:qFormat/>
    <w:uiPriority w:val="99"/>
    <w:rPr>
      <w:rFonts w:ascii="宋体"/>
      <w:sz w:val="18"/>
      <w:szCs w:val="18"/>
    </w:rPr>
  </w:style>
  <w:style w:type="paragraph" w:styleId="8">
    <w:name w:val="annotation text"/>
    <w:basedOn w:val="1"/>
    <w:link w:val="38"/>
    <w:semiHidden/>
    <w:qFormat/>
    <w:uiPriority w:val="99"/>
  </w:style>
  <w:style w:type="paragraph" w:styleId="9">
    <w:name w:val="Salutation"/>
    <w:basedOn w:val="1"/>
    <w:next w:val="1"/>
    <w:link w:val="39"/>
    <w:qFormat/>
    <w:uiPriority w:val="99"/>
    <w:rPr>
      <w:kern w:val="0"/>
      <w:sz w:val="28"/>
      <w:szCs w:val="20"/>
    </w:rPr>
  </w:style>
  <w:style w:type="paragraph" w:styleId="10">
    <w:name w:val="toc 5"/>
    <w:basedOn w:val="1"/>
    <w:next w:val="1"/>
    <w:qFormat/>
    <w:uiPriority w:val="0"/>
    <w:pPr>
      <w:ind w:left="840"/>
    </w:pPr>
    <w:rPr>
      <w:rFonts w:asciiTheme="minorHAnsi" w:hAnsiTheme="minorHAnsi"/>
      <w:sz w:val="18"/>
      <w:szCs w:val="18"/>
    </w:rPr>
  </w:style>
  <w:style w:type="paragraph" w:styleId="11">
    <w:name w:val="toc 3"/>
    <w:basedOn w:val="1"/>
    <w:next w:val="1"/>
    <w:qFormat/>
    <w:uiPriority w:val="0"/>
    <w:pPr>
      <w:ind w:left="420"/>
    </w:pPr>
    <w:rPr>
      <w:rFonts w:asciiTheme="minorHAnsi" w:hAnsiTheme="minorHAnsi"/>
      <w:i/>
      <w:iCs/>
      <w:sz w:val="20"/>
      <w:szCs w:val="20"/>
    </w:rPr>
  </w:style>
  <w:style w:type="paragraph" w:styleId="12">
    <w:name w:val="Plain Text"/>
    <w:basedOn w:val="1"/>
    <w:link w:val="40"/>
    <w:qFormat/>
    <w:uiPriority w:val="99"/>
    <w:pPr>
      <w:autoSpaceDE w:val="0"/>
      <w:autoSpaceDN w:val="0"/>
      <w:adjustRightInd w:val="0"/>
      <w:spacing w:line="312" w:lineRule="atLeast"/>
      <w:textAlignment w:val="baseline"/>
    </w:pPr>
    <w:rPr>
      <w:rFonts w:ascii="Courier New" w:hAnsi="Courier New"/>
      <w:kern w:val="0"/>
      <w:szCs w:val="20"/>
    </w:rPr>
  </w:style>
  <w:style w:type="paragraph" w:styleId="13">
    <w:name w:val="toc 8"/>
    <w:basedOn w:val="1"/>
    <w:next w:val="1"/>
    <w:qFormat/>
    <w:uiPriority w:val="0"/>
    <w:pPr>
      <w:ind w:left="1470"/>
    </w:pPr>
    <w:rPr>
      <w:rFonts w:asciiTheme="minorHAnsi" w:hAnsiTheme="minorHAnsi"/>
      <w:sz w:val="18"/>
      <w:szCs w:val="18"/>
    </w:rPr>
  </w:style>
  <w:style w:type="paragraph" w:styleId="14">
    <w:name w:val="Date"/>
    <w:basedOn w:val="1"/>
    <w:next w:val="1"/>
    <w:link w:val="41"/>
    <w:qFormat/>
    <w:uiPriority w:val="99"/>
    <w:pPr>
      <w:ind w:left="100" w:leftChars="2500"/>
    </w:pPr>
  </w:style>
  <w:style w:type="paragraph" w:styleId="15">
    <w:name w:val="Balloon Text"/>
    <w:basedOn w:val="1"/>
    <w:link w:val="42"/>
    <w:qFormat/>
    <w:uiPriority w:val="0"/>
    <w:rPr>
      <w:sz w:val="18"/>
      <w:szCs w:val="18"/>
    </w:rPr>
  </w:style>
  <w:style w:type="paragraph" w:styleId="16">
    <w:name w:val="footer"/>
    <w:basedOn w:val="1"/>
    <w:link w:val="43"/>
    <w:qFormat/>
    <w:uiPriority w:val="99"/>
    <w:pPr>
      <w:tabs>
        <w:tab w:val="center" w:pos="4153"/>
        <w:tab w:val="right" w:pos="8306"/>
      </w:tabs>
      <w:snapToGrid w:val="0"/>
    </w:pPr>
    <w:rPr>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pPr>
    <w:rPr>
      <w:rFonts w:asciiTheme="minorHAnsi" w:hAnsiTheme="minorHAnsi"/>
      <w:b/>
      <w:bCs/>
      <w:caps/>
      <w:sz w:val="20"/>
      <w:szCs w:val="20"/>
    </w:rPr>
  </w:style>
  <w:style w:type="paragraph" w:styleId="19">
    <w:name w:val="toc 4"/>
    <w:basedOn w:val="1"/>
    <w:next w:val="1"/>
    <w:qFormat/>
    <w:uiPriority w:val="0"/>
    <w:pPr>
      <w:ind w:left="630"/>
    </w:pPr>
    <w:rPr>
      <w:rFonts w:asciiTheme="minorHAnsi" w:hAnsiTheme="minorHAnsi"/>
      <w:sz w:val="18"/>
      <w:szCs w:val="18"/>
    </w:rPr>
  </w:style>
  <w:style w:type="paragraph" w:styleId="20">
    <w:name w:val="toc 6"/>
    <w:basedOn w:val="1"/>
    <w:next w:val="1"/>
    <w:qFormat/>
    <w:uiPriority w:val="0"/>
    <w:pPr>
      <w:ind w:left="1050"/>
    </w:pPr>
    <w:rPr>
      <w:rFonts w:asciiTheme="minorHAnsi" w:hAnsiTheme="minorHAnsi"/>
      <w:sz w:val="18"/>
      <w:szCs w:val="18"/>
    </w:rPr>
  </w:style>
  <w:style w:type="paragraph" w:styleId="21">
    <w:name w:val="Body Text Indent 3"/>
    <w:basedOn w:val="1"/>
    <w:link w:val="45"/>
    <w:qFormat/>
    <w:uiPriority w:val="0"/>
    <w:pPr>
      <w:spacing w:line="500" w:lineRule="exact"/>
      <w:ind w:firstLine="560" w:firstLineChars="200"/>
    </w:pPr>
    <w:rPr>
      <w:rFonts w:eastAsia="楷体_GB2312"/>
      <w:sz w:val="28"/>
    </w:rPr>
  </w:style>
  <w:style w:type="paragraph" w:styleId="22">
    <w:name w:val="toc 2"/>
    <w:basedOn w:val="1"/>
    <w:next w:val="1"/>
    <w:qFormat/>
    <w:uiPriority w:val="39"/>
    <w:pPr>
      <w:ind w:left="210"/>
    </w:pPr>
    <w:rPr>
      <w:rFonts w:asciiTheme="minorHAnsi" w:hAnsiTheme="minorHAnsi"/>
      <w:smallCaps/>
      <w:sz w:val="20"/>
      <w:szCs w:val="20"/>
    </w:rPr>
  </w:style>
  <w:style w:type="paragraph" w:styleId="23">
    <w:name w:val="toc 9"/>
    <w:basedOn w:val="1"/>
    <w:next w:val="1"/>
    <w:qFormat/>
    <w:uiPriority w:val="0"/>
    <w:pPr>
      <w:ind w:left="1680"/>
    </w:pPr>
    <w:rPr>
      <w:rFonts w:asciiTheme="minorHAnsi" w:hAnsiTheme="minorHAnsi"/>
      <w:sz w:val="18"/>
      <w:szCs w:val="18"/>
    </w:rPr>
  </w:style>
  <w:style w:type="paragraph" w:styleId="24">
    <w:name w:val="Normal (Web)"/>
    <w:basedOn w:val="1"/>
    <w:qFormat/>
    <w:uiPriority w:val="99"/>
    <w:pPr>
      <w:spacing w:before="100" w:beforeAutospacing="1" w:after="100" w:afterAutospacing="1"/>
    </w:pPr>
    <w:rPr>
      <w:rFonts w:ascii="宋体" w:hAnsi="宋体" w:cs="宋体"/>
      <w:kern w:val="0"/>
      <w:sz w:val="24"/>
    </w:rPr>
  </w:style>
  <w:style w:type="paragraph" w:styleId="25">
    <w:name w:val="annotation subject"/>
    <w:basedOn w:val="8"/>
    <w:next w:val="8"/>
    <w:link w:val="46"/>
    <w:semiHidden/>
    <w:qFormat/>
    <w:uiPriority w:val="99"/>
    <w:rPr>
      <w:b/>
      <w:bCs/>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99"/>
    <w:rPr>
      <w:rFonts w:cs="Times New Roman"/>
      <w:b/>
    </w:rPr>
  </w:style>
  <w:style w:type="character" w:styleId="30">
    <w:name w:val="page number"/>
    <w:basedOn w:val="28"/>
    <w:qFormat/>
    <w:uiPriority w:val="0"/>
    <w:rPr>
      <w:rFonts w:cs="Times New Roman"/>
    </w:rPr>
  </w:style>
  <w:style w:type="character" w:styleId="31">
    <w:name w:val="line number"/>
    <w:basedOn w:val="28"/>
    <w:qFormat/>
    <w:uiPriority w:val="99"/>
    <w:rPr>
      <w:rFonts w:cs="Times New Roman"/>
    </w:rPr>
  </w:style>
  <w:style w:type="character" w:styleId="32">
    <w:name w:val="Hyperlink"/>
    <w:basedOn w:val="28"/>
    <w:qFormat/>
    <w:uiPriority w:val="99"/>
    <w:rPr>
      <w:rFonts w:cs="Times New Roman"/>
      <w:color w:val="0000FF"/>
      <w:u w:val="single"/>
    </w:rPr>
  </w:style>
  <w:style w:type="character" w:styleId="33">
    <w:name w:val="annotation reference"/>
    <w:basedOn w:val="28"/>
    <w:semiHidden/>
    <w:qFormat/>
    <w:uiPriority w:val="99"/>
    <w:rPr>
      <w:rFonts w:cs="Times New Roman"/>
      <w:sz w:val="21"/>
    </w:rPr>
  </w:style>
  <w:style w:type="character" w:customStyle="1" w:styleId="34">
    <w:name w:val="标题 1 Char"/>
    <w:basedOn w:val="28"/>
    <w:link w:val="2"/>
    <w:qFormat/>
    <w:uiPriority w:val="0"/>
    <w:rPr>
      <w:b/>
      <w:bCs/>
      <w:kern w:val="44"/>
      <w:sz w:val="44"/>
      <w:szCs w:val="44"/>
    </w:rPr>
  </w:style>
  <w:style w:type="character" w:customStyle="1" w:styleId="35">
    <w:name w:val="标题 2 Char"/>
    <w:basedOn w:val="28"/>
    <w:link w:val="3"/>
    <w:qFormat/>
    <w:uiPriority w:val="0"/>
    <w:rPr>
      <w:rFonts w:ascii="Arial" w:hAnsi="Arial" w:eastAsia="黑体"/>
      <w:b/>
      <w:bCs/>
      <w:sz w:val="32"/>
      <w:szCs w:val="32"/>
    </w:rPr>
  </w:style>
  <w:style w:type="character" w:customStyle="1" w:styleId="36">
    <w:name w:val="标题 3 Char"/>
    <w:basedOn w:val="28"/>
    <w:link w:val="4"/>
    <w:semiHidden/>
    <w:qFormat/>
    <w:uiPriority w:val="9"/>
    <w:rPr>
      <w:b/>
      <w:bCs/>
      <w:sz w:val="32"/>
      <w:szCs w:val="32"/>
    </w:rPr>
  </w:style>
  <w:style w:type="character" w:customStyle="1" w:styleId="37">
    <w:name w:val="文档结构图 Char"/>
    <w:link w:val="7"/>
    <w:qFormat/>
    <w:locked/>
    <w:uiPriority w:val="99"/>
    <w:rPr>
      <w:rFonts w:ascii="宋体"/>
      <w:kern w:val="2"/>
      <w:sz w:val="18"/>
    </w:rPr>
  </w:style>
  <w:style w:type="character" w:customStyle="1" w:styleId="38">
    <w:name w:val="批注文字 Char"/>
    <w:basedOn w:val="28"/>
    <w:link w:val="8"/>
    <w:semiHidden/>
    <w:qFormat/>
    <w:uiPriority w:val="99"/>
    <w:rPr>
      <w:szCs w:val="24"/>
    </w:rPr>
  </w:style>
  <w:style w:type="character" w:customStyle="1" w:styleId="39">
    <w:name w:val="称呼 Char"/>
    <w:basedOn w:val="28"/>
    <w:link w:val="9"/>
    <w:semiHidden/>
    <w:qFormat/>
    <w:uiPriority w:val="99"/>
    <w:rPr>
      <w:szCs w:val="24"/>
    </w:rPr>
  </w:style>
  <w:style w:type="character" w:customStyle="1" w:styleId="40">
    <w:name w:val="纯文本 Char"/>
    <w:basedOn w:val="28"/>
    <w:link w:val="12"/>
    <w:semiHidden/>
    <w:qFormat/>
    <w:uiPriority w:val="99"/>
    <w:rPr>
      <w:rFonts w:ascii="宋体" w:hAnsi="Courier New" w:cs="Courier New"/>
      <w:szCs w:val="21"/>
    </w:rPr>
  </w:style>
  <w:style w:type="character" w:customStyle="1" w:styleId="41">
    <w:name w:val="日期 Char"/>
    <w:basedOn w:val="28"/>
    <w:link w:val="14"/>
    <w:semiHidden/>
    <w:qFormat/>
    <w:uiPriority w:val="99"/>
    <w:rPr>
      <w:szCs w:val="24"/>
    </w:rPr>
  </w:style>
  <w:style w:type="character" w:customStyle="1" w:styleId="42">
    <w:name w:val="批注框文本 Char"/>
    <w:basedOn w:val="28"/>
    <w:link w:val="15"/>
    <w:semiHidden/>
    <w:qFormat/>
    <w:uiPriority w:val="99"/>
  </w:style>
  <w:style w:type="character" w:customStyle="1" w:styleId="43">
    <w:name w:val="页脚 Char"/>
    <w:basedOn w:val="28"/>
    <w:link w:val="16"/>
    <w:qFormat/>
    <w:uiPriority w:val="99"/>
    <w:rPr>
      <w:sz w:val="18"/>
      <w:szCs w:val="18"/>
    </w:rPr>
  </w:style>
  <w:style w:type="character" w:customStyle="1" w:styleId="44">
    <w:name w:val="页眉 Char"/>
    <w:link w:val="17"/>
    <w:qFormat/>
    <w:locked/>
    <w:uiPriority w:val="99"/>
    <w:rPr>
      <w:kern w:val="2"/>
      <w:sz w:val="18"/>
    </w:rPr>
  </w:style>
  <w:style w:type="character" w:customStyle="1" w:styleId="45">
    <w:name w:val="正文文本缩进 3 Char"/>
    <w:link w:val="21"/>
    <w:qFormat/>
    <w:locked/>
    <w:uiPriority w:val="99"/>
    <w:rPr>
      <w:rFonts w:eastAsia="楷体_GB2312"/>
      <w:kern w:val="2"/>
      <w:sz w:val="24"/>
    </w:rPr>
  </w:style>
  <w:style w:type="character" w:customStyle="1" w:styleId="46">
    <w:name w:val="批注主题 Char"/>
    <w:basedOn w:val="38"/>
    <w:link w:val="25"/>
    <w:semiHidden/>
    <w:qFormat/>
    <w:uiPriority w:val="99"/>
    <w:rPr>
      <w:b/>
      <w:bCs/>
      <w:szCs w:val="24"/>
    </w:rPr>
  </w:style>
  <w:style w:type="character" w:customStyle="1" w:styleId="47">
    <w:name w:val="Header Char1"/>
    <w:basedOn w:val="28"/>
    <w:semiHidden/>
    <w:qFormat/>
    <w:uiPriority w:val="99"/>
    <w:rPr>
      <w:sz w:val="18"/>
      <w:szCs w:val="18"/>
    </w:rPr>
  </w:style>
  <w:style w:type="character" w:customStyle="1" w:styleId="48">
    <w:name w:val="style2"/>
    <w:basedOn w:val="28"/>
    <w:qFormat/>
    <w:uiPriority w:val="99"/>
    <w:rPr>
      <w:rFonts w:cs="Times New Roman"/>
    </w:rPr>
  </w:style>
  <w:style w:type="character" w:customStyle="1" w:styleId="49">
    <w:name w:val="报告正文 Char1"/>
    <w:link w:val="50"/>
    <w:qFormat/>
    <w:locked/>
    <w:uiPriority w:val="99"/>
    <w:rPr>
      <w:rFonts w:ascii="华文细黑" w:eastAsia="华文细黑"/>
      <w:kern w:val="2"/>
      <w:sz w:val="22"/>
      <w:lang w:val="en-US" w:eastAsia="zh-CN"/>
    </w:rPr>
  </w:style>
  <w:style w:type="paragraph" w:customStyle="1" w:styleId="50">
    <w:name w:val="报告正文"/>
    <w:basedOn w:val="1"/>
    <w:link w:val="49"/>
    <w:qFormat/>
    <w:uiPriority w:val="99"/>
    <w:pPr>
      <w:adjustRightInd w:val="0"/>
      <w:snapToGrid w:val="0"/>
      <w:spacing w:line="336" w:lineRule="auto"/>
      <w:ind w:left="2603"/>
    </w:pPr>
    <w:rPr>
      <w:rFonts w:ascii="华文细黑" w:eastAsia="华文细黑" w:cs="宋体"/>
      <w:sz w:val="22"/>
      <w:szCs w:val="20"/>
    </w:rPr>
  </w:style>
  <w:style w:type="character" w:customStyle="1" w:styleId="51">
    <w:name w:val="Document Map Char1"/>
    <w:basedOn w:val="28"/>
    <w:semiHidden/>
    <w:qFormat/>
    <w:uiPriority w:val="99"/>
    <w:rPr>
      <w:sz w:val="0"/>
      <w:szCs w:val="0"/>
    </w:rPr>
  </w:style>
  <w:style w:type="character" w:customStyle="1" w:styleId="52">
    <w:name w:val="无间隔 Char"/>
    <w:link w:val="53"/>
    <w:qFormat/>
    <w:locked/>
    <w:uiPriority w:val="99"/>
    <w:rPr>
      <w:rFonts w:ascii="Calibri" w:hAnsi="Calibri"/>
      <w:sz w:val="22"/>
      <w:lang w:val="en-US" w:eastAsia="zh-CN"/>
    </w:rPr>
  </w:style>
  <w:style w:type="paragraph" w:styleId="53">
    <w:name w:val="No Spacing"/>
    <w:link w:val="52"/>
    <w:qFormat/>
    <w:uiPriority w:val="99"/>
    <w:rPr>
      <w:rFonts w:ascii="Calibri" w:hAnsi="Calibri" w:eastAsia="宋体" w:cs="Times New Roman"/>
      <w:sz w:val="22"/>
      <w:szCs w:val="22"/>
      <w:lang w:val="en-US" w:eastAsia="zh-CN" w:bidi="ar-SA"/>
    </w:rPr>
  </w:style>
  <w:style w:type="character" w:customStyle="1" w:styleId="54">
    <w:name w:val="样式 (中文) 仿宋_GB2312 四号"/>
    <w:qFormat/>
    <w:uiPriority w:val="99"/>
    <w:rPr>
      <w:rFonts w:eastAsia="仿宋_GB2312"/>
      <w:sz w:val="28"/>
    </w:rPr>
  </w:style>
  <w:style w:type="character" w:customStyle="1" w:styleId="55">
    <w:name w:val="报告正文 Char Char Char Char"/>
    <w:link w:val="56"/>
    <w:qFormat/>
    <w:locked/>
    <w:uiPriority w:val="99"/>
    <w:rPr>
      <w:rFonts w:ascii="华文细黑" w:eastAsia="华文细黑"/>
      <w:kern w:val="2"/>
      <w:sz w:val="22"/>
      <w:lang w:val="en-US" w:eastAsia="zh-CN"/>
    </w:rPr>
  </w:style>
  <w:style w:type="paragraph" w:customStyle="1" w:styleId="56">
    <w:name w:val="报告正文 Char Char Char"/>
    <w:basedOn w:val="1"/>
    <w:link w:val="55"/>
    <w:qFormat/>
    <w:uiPriority w:val="99"/>
    <w:pPr>
      <w:adjustRightInd w:val="0"/>
      <w:snapToGrid w:val="0"/>
      <w:spacing w:line="336" w:lineRule="auto"/>
      <w:ind w:left="2603"/>
    </w:pPr>
    <w:rPr>
      <w:rFonts w:ascii="华文细黑" w:eastAsia="华文细黑" w:cs="宋体"/>
      <w:sz w:val="22"/>
      <w:szCs w:val="20"/>
    </w:rPr>
  </w:style>
  <w:style w:type="paragraph" w:customStyle="1" w:styleId="57">
    <w:name w:val="TOC 标题1"/>
    <w:basedOn w:val="2"/>
    <w:next w:val="1"/>
    <w:qFormat/>
    <w:uiPriority w:val="99"/>
    <w:pPr>
      <w:spacing w:before="480" w:after="0" w:line="276" w:lineRule="auto"/>
      <w:outlineLvl w:val="9"/>
    </w:pPr>
    <w:rPr>
      <w:rFonts w:ascii="Cambria" w:hAnsi="Cambria"/>
      <w:color w:val="365F91"/>
      <w:kern w:val="0"/>
      <w:sz w:val="28"/>
      <w:szCs w:val="28"/>
    </w:rPr>
  </w:style>
  <w:style w:type="paragraph" w:customStyle="1" w:styleId="5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9">
    <w:name w:val="Char"/>
    <w:basedOn w:val="1"/>
    <w:qFormat/>
    <w:uiPriority w:val="99"/>
    <w:pPr>
      <w:spacing w:after="160" w:line="240" w:lineRule="exact"/>
    </w:pPr>
    <w:rPr>
      <w:rFonts w:ascii="Verdana" w:hAnsi="Verdana"/>
      <w:kern w:val="0"/>
      <w:sz w:val="20"/>
      <w:szCs w:val="20"/>
      <w:lang w:eastAsia="en-US"/>
    </w:rPr>
  </w:style>
  <w:style w:type="paragraph" w:customStyle="1" w:styleId="60">
    <w:name w:val="表格内文字"/>
    <w:basedOn w:val="1"/>
    <w:qFormat/>
    <w:uiPriority w:val="99"/>
    <w:pPr>
      <w:adjustRightInd w:val="0"/>
      <w:snapToGrid w:val="0"/>
      <w:textAlignment w:val="bottom"/>
    </w:pPr>
    <w:rPr>
      <w:rFonts w:ascii="华文细黑" w:eastAsia="华文细黑"/>
      <w:sz w:val="20"/>
      <w:szCs w:val="18"/>
    </w:rPr>
  </w:style>
  <w:style w:type="character" w:customStyle="1" w:styleId="61">
    <w:name w:val="Body Text Indent 3 Char1"/>
    <w:basedOn w:val="28"/>
    <w:semiHidden/>
    <w:qFormat/>
    <w:uiPriority w:val="99"/>
    <w:rPr>
      <w:sz w:val="16"/>
      <w:szCs w:val="16"/>
    </w:rPr>
  </w:style>
  <w:style w:type="character" w:customStyle="1" w:styleId="62">
    <w:name w:val="font41"/>
    <w:qFormat/>
    <w:uiPriority w:val="99"/>
    <w:rPr>
      <w:rFonts w:ascii="仿宋_GB2312" w:eastAsia="仿宋_GB2312"/>
      <w:color w:val="000000"/>
      <w:sz w:val="20"/>
      <w:u w:val="none"/>
      <w:vertAlign w:val="superscript"/>
    </w:rPr>
  </w:style>
  <w:style w:type="character" w:customStyle="1" w:styleId="63">
    <w:name w:val="font31"/>
    <w:qFormat/>
    <w:uiPriority w:val="99"/>
    <w:rPr>
      <w:rFonts w:ascii="仿宋_GB2312" w:eastAsia="仿宋_GB2312"/>
      <w:color w:val="000000"/>
      <w:sz w:val="20"/>
      <w:u w:val="none"/>
    </w:rPr>
  </w:style>
  <w:style w:type="character" w:customStyle="1" w:styleId="64">
    <w:name w:val="font01"/>
    <w:qFormat/>
    <w:uiPriority w:val="0"/>
    <w:rPr>
      <w:rFonts w:ascii="Times New Roman" w:hAnsi="Times New Roman"/>
      <w:b/>
      <w:color w:val="000000"/>
      <w:sz w:val="22"/>
      <w:u w:val="none"/>
    </w:rPr>
  </w:style>
  <w:style w:type="paragraph" w:styleId="65">
    <w:name w:val="List Paragraph"/>
    <w:basedOn w:val="1"/>
    <w:unhideWhenUsed/>
    <w:qFormat/>
    <w:uiPriority w:val="99"/>
    <w:pPr>
      <w:ind w:firstLine="420" w:firstLineChars="200"/>
    </w:pPr>
  </w:style>
  <w:style w:type="character" w:customStyle="1" w:styleId="66">
    <w:name w:val="font21"/>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CADA2-09F7-401F-93C7-E62EFC27F08F}">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41</Pages>
  <Words>4462</Words>
  <Characters>25434</Characters>
  <Lines>211</Lines>
  <Paragraphs>59</Paragraphs>
  <TotalTime>37</TotalTime>
  <ScaleCrop>false</ScaleCrop>
  <LinksUpToDate>false</LinksUpToDate>
  <CharactersWithSpaces>29837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微软用户</dc:creator>
  <cp:lastModifiedBy>Administrator</cp:lastModifiedBy>
  <cp:lastPrinted>2020-07-29T07:16:00Z</cp:lastPrinted>
  <dcterms:modified xsi:type="dcterms:W3CDTF">2020-08-03T02:01:49Z</dcterms:modified>
  <dc:subject>中证（连云港）估字（2013）第095号</dc:subject>
  <dc:title>房地产抵押估价报告</dc:title>
  <cp:revision>1478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