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widowControl w:val="0"/>
        <w:spacing w:line="693" w:lineRule="atLeast"/>
        <w:ind w:firstLine="880" w:firstLineChars="0"/>
        <w:jc w:val="left"/>
        <w:rPr>
          <w:rFonts w:hint="eastAsia" w:ascii="黑体" w:hAnsi="黑体" w:eastAsia="黑体"/>
          <w:sz w:val="44"/>
        </w:rPr>
      </w:pPr>
      <w:r>
        <w:rPr>
          <w:rFonts w:hint="eastAsia" w:ascii="黑体" w:hAnsi="黑体" w:eastAsia="黑体"/>
          <w:sz w:val="44"/>
        </w:rPr>
        <w:t xml:space="preserve">    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估价报告编号：冀沧宝宇估字[2020]018号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估价项目名称：任丘市中华瑞鑫生活小区11-6-901房地产市场价值评估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估价委托人：任丘市人民法院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注册房地产估价师：张东强（注册号1319970048）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于红心（注册号1319960016）</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估价报告出具日期：2020年1月22日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一、致估价委托人函</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0" w:firstLineChars="0"/>
        <w:rPr>
          <w:rFonts w:hint="eastAsia" w:ascii="仿宋_GB2312" w:hAnsi="仿宋_GB2312" w:eastAsia="仿宋_GB2312"/>
          <w:sz w:val="30"/>
        </w:rPr>
      </w:pPr>
      <w:r>
        <w:rPr>
          <w:rFonts w:hint="eastAsia" w:ascii="仿宋_GB2312" w:hAnsi="仿宋_GB2312" w:eastAsia="仿宋_GB2312"/>
          <w:sz w:val="30"/>
        </w:rPr>
        <w:t>任丘市人民法院：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崔利利所有位于任丘市中华瑞鑫生活小区11-6-901，建筑面积为130.34平方米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2019年12月17日为价值时点的价值进行了评估。估价目的：为委托方确定拍卖保留价提供参考依据。估价人员遵循估价原则，按照估价程序，通过选用比较法进行科学的测算和对影响房地产价值因素的综合客观分析，综合确定估价结果：估价对象在价值时点的市场价值为人民币</w:t>
      </w:r>
      <w:r>
        <w:rPr>
          <w:rFonts w:hint="eastAsia" w:ascii="仿宋_GB2312" w:hAnsi="仿宋_GB2312" w:eastAsia="仿宋_GB2312"/>
          <w:b/>
          <w:sz w:val="30"/>
        </w:rPr>
        <w:t>131.89</w:t>
      </w:r>
      <w:r>
        <w:rPr>
          <w:rFonts w:hint="eastAsia" w:ascii="仿宋_GB2312" w:hAnsi="仿宋_GB2312" w:eastAsia="仿宋_GB2312"/>
          <w:sz w:val="30"/>
        </w:rPr>
        <w:t>万元，大写人民币：</w:t>
      </w:r>
      <w:r>
        <w:rPr>
          <w:rFonts w:hint="eastAsia" w:ascii="仿宋_GB2312" w:hAnsi="仿宋_GB2312" w:eastAsia="仿宋_GB2312"/>
          <w:b/>
          <w:sz w:val="30"/>
        </w:rPr>
        <w:t>壹佰叁拾壹万捌仟玖佰元整</w:t>
      </w:r>
      <w:r>
        <w:rPr>
          <w:rFonts w:hint="eastAsia" w:ascii="仿宋_GB2312" w:hAnsi="仿宋_GB2312" w:eastAsia="仿宋_GB2312"/>
          <w:sz w:val="30"/>
        </w:rPr>
        <w:t>，单价：10119元/m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沧州市宝宇房地产评估有限公司</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法定代表人：   </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2020年1月22日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二、估价师声明……………………………………………4</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三、估价假设和限制条件…………………………………5</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四、估价结果报告…………………………………………7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（二）估价机构……………………………………………7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（七）估价原则……………………………………………8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（八）估价依据……………………………………………9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（十）估价结果……………………………………………11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（十一）注册房地产估价师………………………………11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（十二）估价协助人员……………………………………11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（十三）实地查勘期………………………………………11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（十四）估价作业期………………………………………11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五、附件……………………………………………………12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（四）“证明”复印件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（七）房地产价格评估机构营业执照复印件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二、估价师声明</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2、本估价报告中的分析、意见和结论是我们自己公正的专业分析、意见和结论，但受到本估价报告中已说明的假设和限制条件的限制。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5、我们依照中华人民共和国国家标准《房地产估价规范》、《房地产估价基本术语标准》进行分析，形成意见和结论，撰写本估价报告。</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三、估价的假设和限制条件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2、我们对估价委托人提供的资料进行了审慎检查，但未予以核实，在无理由怀疑其合法性、真实性、准确性和完整性的情况下，假定估价委托人提供的资料合法、真实、准确、完整。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（二）未定事项假设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3、本次估价由于一方当事人原因，无法进入估价对象内部进行实地勘查，对估价对象的外部状况和区位状况进行了实地查勘，估价对象的内部状况，假设为可满足正常的生活需求。</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（三）背离事实假设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（四）不相一致假设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无。</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（五）依据不足假设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无。</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（六）估价报告使用限制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4、当事人对评估报告有异议的，可在收到报告五日内，以书面形式向人民法院提出。</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四、估价结果报告</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1.估价委托人：任丘市人民法院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2.住所：任丘市京开中道17号增1号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3.法人代表：</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4.联 系 人：李俊峰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5.联系电话：0317-2222730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估价对象为崔利利位于任丘市中华瑞鑫生活小区11-6-901，建筑面积：130.34平方米房地产。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2、估价对象基本状况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估价对象位于任丘市中华瑞鑫生活小区11-6-901，委托方提供的“证明”记载：崔利利位于中华瑞鑫生活小区11-6-901，面积：130.34平方米，此房屋在担保公司有抵押，期限：2013.04.10-2043.04.09，共同抵押人：张梦蝶。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地形规则，地势平坦，开发程度达到宗地红线内外“七通”及场地平整。</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4、建筑物基本状况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钢混结构，2013年建成，所在第9层，共12层，室外墙面涂料，铝合金外窗，防盗门；公共通道地面瓷砖，墙面涂料，天花涂料；楼梯间地面水泥，墙面涂料，天花涂料；水电、消防、通讯等设施完好、维护状况较好。</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(五)价值时点</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2019年12月17日。</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(六)价值类型</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(七)估价原则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(1)“证明”复印件；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mc:AlternateContent>
          <mc:Choice Requires="wps">
            <w:drawing>
              <wp:anchor distT="0" distB="0" distL="114300" distR="114300" simplePos="0" relativeHeight="251658240" behindDoc="0" locked="0" layoutInCell="1" allowOverlap="1">
                <wp:simplePos x="0" y="0"/>
                <wp:positionH relativeFrom="page">
                  <wp:posOffset>1292225</wp:posOffset>
                </wp:positionH>
                <wp:positionV relativeFrom="page">
                  <wp:posOffset>5932170</wp:posOffset>
                </wp:positionV>
                <wp:extent cx="5072380" cy="849630"/>
                <wp:effectExtent l="4445" t="4445" r="15875" b="9525"/>
                <wp:wrapSquare wrapText="largest"/>
                <wp:docPr id="1" name="文本框 2"/>
                <wp:cNvGraphicFramePr/>
                <a:graphic xmlns:a="http://schemas.openxmlformats.org/drawingml/2006/main">
                  <a:graphicData uri="http://schemas.microsoft.com/office/word/2010/wordprocessingShape">
                    <wps:wsp>
                      <wps:cNvSpPr txBox="1"/>
                      <wps:spPr>
                        <a:xfrm>
                          <a:off x="0" y="0"/>
                          <a:ext cx="5072380" cy="849630"/>
                        </a:xfrm>
                        <a:prstGeom prst="rect">
                          <a:avLst/>
                        </a:prstGeom>
                        <a:noFill/>
                        <a:ln w="9525" cap="flat" cmpd="sng">
                          <a:solidFill>
                            <a:srgbClr val="000000"/>
                          </a:solidFill>
                          <a:prstDash val="solid"/>
                          <a:miter/>
                          <a:headEnd type="none" w="med" len="med"/>
                          <a:tailEnd type="none" w="med" len="med"/>
                        </a:ln>
                      </wps:spPr>
                      <wps:txbx>
                        <w:txbxContent>
                          <w:tbl>
                            <w:tblPr>
                              <w:tblStyle w:val="11"/>
                              <w:tblpPr w:vertAnchor="page" w:horzAnchor="page" w:tblpX="2035" w:tblpY="9342"/>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58"/>
                              <w:gridCol w:w="2670"/>
                              <w:gridCol w:w="26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47" w:hRule="exact"/>
                              </w:trPr>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注册号</w:t>
                                  </w:r>
                                </w:p>
                              </w:tc>
                              <w:tc>
                                <w:tcPr>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47" w:hRule="exact"/>
                              </w:trPr>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张东强</w:t>
                                  </w:r>
                                </w:p>
                              </w:tc>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1319970048</w:t>
                                  </w:r>
                                </w:p>
                              </w:tc>
                              <w:tc>
                                <w:tcPr>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42" w:hRule="exact"/>
                              </w:trPr>
                              <w:tc>
                                <w:tcPr>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于红心</w:t>
                                  </w:r>
                                </w:p>
                              </w:tc>
                              <w:tc>
                                <w:tcPr>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1319960016</w:t>
                                  </w:r>
                                </w:p>
                              </w:tc>
                              <w:tc>
                                <w:tcPr>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rPr>
                                <w:rFonts w:ascii="Times New Roman" w:hAnsi="Times New Roman" w:eastAsia="仿宋_GB2312"/>
                                <w:b w:val="0"/>
                                <w:i w:val="0"/>
                                <w:strike w:val="0"/>
                                <w:color w:val="000000"/>
                                <w:spacing w:val="0"/>
                                <w:w w:val="100"/>
                                <w:sz w:val="24"/>
                              </w:rPr>
                            </w:pPr>
                          </w:p>
                        </w:txbxContent>
                      </wps:txbx>
                      <wps:bodyPr wrap="square" lIns="0" tIns="0" rIns="0" bIns="0" upright="1"/>
                    </wps:wsp>
                  </a:graphicData>
                </a:graphic>
              </wp:anchor>
            </w:drawing>
          </mc:Choice>
          <mc:Fallback>
            <w:pict>
              <v:shape id="文本框 2" o:spid="_x0000_s1026" o:spt="202" type="#_x0000_t202" style="position:absolute;left:0pt;margin-left:101.75pt;margin-top:467.1pt;height:66.9pt;width:399.4pt;mso-position-horizontal-relative:page;mso-position-vertical-relative:page;mso-wrap-distance-bottom:0pt;mso-wrap-distance-left:9pt;mso-wrap-distance-right:9pt;mso-wrap-distance-top:0pt;z-index:251658240;mso-width-relative:page;mso-height-relative:page;" filled="f" stroked="t" coordsize="21600,21600" o:gfxdata="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qyQ2wAAAA0BAAAPAAAAAAAAAAEAIAAAACIAAABk&#10;cnMvZG93bnJldi54bWxQSwECFAAUAAAACACHTuJAPKOM+QMCAADxAwAADgAAAAAAAAABACAAAAAq&#10;AQAAZHJzL2Uyb0RvYy54bWxQSwUGAAAAAAYABgBZAQAAnwUAAAAA&#10;">
                <v:fill on="f" focussize="0,0"/>
                <v:stroke color="#000000" joinstyle="miter"/>
                <v:imagedata o:title=""/>
                <o:lock v:ext="edit" aspectratio="f"/>
                <v:textbox inset="0mm,0mm,0mm,0mm">
                  <w:txbxContent>
                    <w:tbl>
                      <w:tblPr>
                        <w:tblStyle w:val="11"/>
                        <w:tblpPr w:vertAnchor="page" w:horzAnchor="page" w:tblpX="2035" w:tblpY="9342"/>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58"/>
                        <w:gridCol w:w="2670"/>
                        <w:gridCol w:w="26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47" w:hRule="exact"/>
                        </w:trPr>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注册号</w:t>
                            </w:r>
                          </w:p>
                        </w:tc>
                        <w:tc>
                          <w:tcPr>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47" w:hRule="exact"/>
                        </w:trPr>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张东强</w:t>
                            </w:r>
                          </w:p>
                        </w:tc>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1319970048</w:t>
                            </w:r>
                          </w:p>
                        </w:tc>
                        <w:tc>
                          <w:tcPr>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42" w:hRule="exact"/>
                        </w:trPr>
                        <w:tc>
                          <w:tcPr>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于红心</w:t>
                            </w:r>
                          </w:p>
                        </w:tc>
                        <w:tc>
                          <w:tcPr>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1319960016</w:t>
                            </w:r>
                          </w:p>
                        </w:tc>
                        <w:tc>
                          <w:tcPr>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rPr>
                          <w:rFonts w:ascii="Times New Roman" w:hAnsi="Times New Roman" w:eastAsia="仿宋_GB2312"/>
                          <w:b w:val="0"/>
                          <w:i w:val="0"/>
                          <w:strike w:val="0"/>
                          <w:color w:val="000000"/>
                          <w:spacing w:val="0"/>
                          <w:w w:val="100"/>
                          <w:sz w:val="24"/>
                        </w:rPr>
                      </w:pPr>
                    </w:p>
                  </w:txbxContent>
                </v:textbox>
                <w10:wrap type="square" side="largest"/>
              </v:shape>
            </w:pict>
          </mc:Fallback>
        </mc:AlternateContent>
      </w:r>
      <w:r>
        <w:rPr>
          <w:rFonts w:hint="eastAsia" w:ascii="仿宋_GB2312" w:hAnsi="仿宋_GB2312" w:eastAsia="仿宋_GB2312"/>
          <w:sz w:val="30"/>
        </w:rPr>
        <mc:AlternateContent>
          <mc:Choice Requires="wps">
            <w:drawing>
              <wp:anchor distT="0" distB="0" distL="114300" distR="114300" simplePos="0" relativeHeight="251659264" behindDoc="0" locked="0" layoutInCell="1" allowOverlap="1">
                <wp:simplePos x="0" y="0"/>
                <wp:positionH relativeFrom="page">
                  <wp:posOffset>1249045</wp:posOffset>
                </wp:positionH>
                <wp:positionV relativeFrom="page">
                  <wp:posOffset>7260590</wp:posOffset>
                </wp:positionV>
                <wp:extent cx="5115560" cy="540385"/>
                <wp:effectExtent l="4445" t="4445" r="10795" b="13970"/>
                <wp:wrapSquare wrapText="largest"/>
                <wp:docPr id="2" name="文本框 3"/>
                <wp:cNvGraphicFramePr/>
                <a:graphic xmlns:a="http://schemas.openxmlformats.org/drawingml/2006/main">
                  <a:graphicData uri="http://schemas.microsoft.com/office/word/2010/wordprocessingShape">
                    <wps:wsp>
                      <wps:cNvSpPr txBox="1"/>
                      <wps:spPr>
                        <a:xfrm>
                          <a:off x="0" y="0"/>
                          <a:ext cx="5115560" cy="540385"/>
                        </a:xfrm>
                        <a:prstGeom prst="rect">
                          <a:avLst/>
                        </a:prstGeom>
                        <a:noFill/>
                        <a:ln w="9525" cap="flat" cmpd="sng">
                          <a:solidFill>
                            <a:srgbClr val="000000"/>
                          </a:solidFill>
                          <a:prstDash val="solid"/>
                          <a:miter/>
                          <a:headEnd type="none" w="med" len="med"/>
                          <a:tailEnd type="none" w="med" len="med"/>
                        </a:ln>
                      </wps:spPr>
                      <wps:txbx>
                        <w:txbxContent>
                          <w:tbl>
                            <w:tblPr>
                              <w:tblStyle w:val="11"/>
                              <w:tblpPr w:vertAnchor="page" w:horzAnchor="page" w:tblpX="1967" w:tblpY="11434"/>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92"/>
                              <w:gridCol w:w="2681"/>
                              <w:gridCol w:w="268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25" w:hRule="exact"/>
                              </w:trPr>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相关资格或职称</w:t>
                                  </w:r>
                                </w:p>
                              </w:tc>
                              <w:tc>
                                <w:tcPr>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25" w:hRule="exact"/>
                              </w:trPr>
                              <w:tc>
                                <w:tcPr>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张益平</w:t>
                                  </w:r>
                                </w:p>
                              </w:tc>
                              <w:tc>
                                <w:tcPr>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c>
                                <w:tcPr>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rPr>
                                <w:rFonts w:ascii="Times New Roman" w:hAnsi="Times New Roman" w:eastAsia="仿宋_GB2312"/>
                                <w:b w:val="0"/>
                                <w:i w:val="0"/>
                                <w:strike w:val="0"/>
                                <w:color w:val="000000"/>
                                <w:spacing w:val="0"/>
                                <w:w w:val="100"/>
                                <w:sz w:val="24"/>
                              </w:rPr>
                            </w:pPr>
                          </w:p>
                        </w:txbxContent>
                      </wps:txbx>
                      <wps:bodyPr wrap="square" lIns="0" tIns="0" rIns="0" bIns="0" upright="1"/>
                    </wps:wsp>
                  </a:graphicData>
                </a:graphic>
              </wp:anchor>
            </w:drawing>
          </mc:Choice>
          <mc:Fallback>
            <w:pict>
              <v:shape id="文本框 3" o:spid="_x0000_s1026" o:spt="202" type="#_x0000_t202" style="position:absolute;left:0pt;margin-left:98.35pt;margin-top:571.7pt;height:42.55pt;width:402.8pt;mso-position-horizontal-relative:page;mso-position-vertical-relative:page;mso-wrap-distance-bottom:0pt;mso-wrap-distance-left:9pt;mso-wrap-distance-right:9pt;mso-wrap-distance-top:0pt;z-index:251659264;mso-width-relative:page;mso-height-relative:page;" filled="f" stroked="t" coordsize="21600,21600" o:gfxdata="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&#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53/Rr3AAAAA4BAAAPAAAAAAAAAAEAIAAAACIAAABk&#10;cnMvZG93bnJldi54bWxQSwECFAAUAAAACACHTuJANW3XzAICAADxAwAADgAAAAAAAAABACAAAAAr&#10;AQAAZHJzL2Uyb0RvYy54bWxQSwUGAAAAAAYABgBZAQAAnwUAAAAA&#10;">
                <v:fill on="f" focussize="0,0"/>
                <v:stroke color="#000000" joinstyle="miter"/>
                <v:imagedata o:title=""/>
                <o:lock v:ext="edit" aspectratio="f"/>
                <v:textbox inset="0mm,0mm,0mm,0mm">
                  <w:txbxContent>
                    <w:tbl>
                      <w:tblPr>
                        <w:tblStyle w:val="11"/>
                        <w:tblpPr w:vertAnchor="page" w:horzAnchor="page" w:tblpX="1967" w:tblpY="11434"/>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92"/>
                        <w:gridCol w:w="2681"/>
                        <w:gridCol w:w="268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25" w:hRule="exact"/>
                        </w:trPr>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相关资格或职称</w:t>
                            </w:r>
                          </w:p>
                        </w:tc>
                        <w:tc>
                          <w:tcPr>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25" w:hRule="exact"/>
                        </w:trPr>
                        <w:tc>
                          <w:tcPr>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张益平</w:t>
                            </w:r>
                          </w:p>
                        </w:tc>
                        <w:tc>
                          <w:tcPr>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c>
                          <w:tcPr>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rPr>
                          <w:rFonts w:ascii="Times New Roman" w:hAnsi="Times New Roman" w:eastAsia="仿宋_GB2312"/>
                          <w:b w:val="0"/>
                          <w:i w:val="0"/>
                          <w:strike w:val="0"/>
                          <w:color w:val="000000"/>
                          <w:spacing w:val="0"/>
                          <w:w w:val="100"/>
                          <w:sz w:val="24"/>
                        </w:rPr>
                      </w:pPr>
                    </w:p>
                  </w:txbxContent>
                </v:textbox>
                <w10:wrap type="square" side="largest"/>
              </v:shape>
            </w:pict>
          </mc:Fallback>
        </mc:AlternateContent>
      </w:r>
      <w:r>
        <w:rPr>
          <w:rFonts w:hint="eastAsia" w:ascii="仿宋_GB2312" w:hAnsi="仿宋_GB2312" w:eastAsia="仿宋_GB2312"/>
          <w:sz w:val="30"/>
        </w:rPr>
        <w:t>(2)委托方提供的其它资料。</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成本法：求取估价对象在价值时点的重置价格或重建价格，扣除折旧，以此估算估价对象的客观合理价格或价值的方法。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深入细致地分析了项目的特点和实际状况，并研究了委托方提供的及所掌握的资料，在实地勘察和调研的基础上认为，待估房地产用途为住宅，由于估价对象租赁收益率较低，租金未达到商品租金，故不宜选用收益法。近几年任丘市房地产市场发展很快，从成本角度已较难反映出估价对象的客观市场价值，故不宜选用成本法。假设开发法适用于待开发房地产，估价对象已建成投入，不属于待开发房地产，故不宜选用假设开发法。待估房地产在任丘市房地产市场交易案例较多，估价对象周边住宅的出售案例较多，综合以上分析为使估价结果更具科学性、准确性、客观性、本报告确定选用比较法进行评估。</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估价人员根据估价目的，遵循估价原则，采用科学的估价方法，在认真分析所掌握资料与影响估价对象价值诸因素的基础上，综合确定：</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估价对象在价值时点的市场价值为人民币</w:t>
      </w:r>
      <w:r>
        <w:rPr>
          <w:rFonts w:hint="eastAsia" w:ascii="仿宋_GB2312" w:hAnsi="仿宋_GB2312" w:eastAsia="仿宋_GB2312"/>
          <w:b/>
          <w:sz w:val="30"/>
        </w:rPr>
        <w:t>131.89</w:t>
      </w:r>
      <w:r>
        <w:rPr>
          <w:rFonts w:hint="eastAsia" w:ascii="仿宋_GB2312" w:hAnsi="仿宋_GB2312" w:eastAsia="仿宋_GB2312"/>
          <w:sz w:val="30"/>
        </w:rPr>
        <w:t>万元，大写人民币：</w:t>
      </w:r>
      <w:r>
        <w:rPr>
          <w:rFonts w:hint="eastAsia" w:ascii="仿宋_GB2312" w:hAnsi="仿宋_GB2312" w:eastAsia="仿宋_GB2312"/>
          <w:b/>
          <w:sz w:val="30"/>
        </w:rPr>
        <w:t>壹佰叁拾壹万捌仟玖佰元整</w:t>
      </w:r>
      <w:r>
        <w:rPr>
          <w:rFonts w:hint="eastAsia" w:ascii="仿宋_GB2312" w:hAnsi="仿宋_GB2312" w:eastAsia="仿宋_GB2312"/>
          <w:sz w:val="30"/>
        </w:rPr>
        <w:t>，单价：10119元/m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（十一）注册房地产估价师</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（十二）估价协助人员</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（十三）实地查勘期</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2019年12月17日</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(十四)估价作业期</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2019年12月17日——2020年1月22日</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五、附件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（四）“证明”复印件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（七）房地产价格评估机构营业执照复印件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jc w:val="left"/>
        <w:rPr>
          <w:rFonts w:hint="eastAsia" w:ascii="黑体" w:hAnsi="黑体" w:eastAsia="黑体"/>
          <w:sz w:val="30"/>
        </w:rPr>
      </w:pP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6" name="文本框 4"/>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4"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JEJp&#10;db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CMB8a2oAEAACMDAAAOAAAAAAAA&#10;AAEAIAAAACMBAABkcnMvZTJvRG9jLnhtbFBLBQYAAAAABgAGAFkBAAA1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5" name="文本框 3"/>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3"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EgD/NQA&#10;AAAEAQAADwAAAAAAAAABACAAAAAiAAAAZHJzL2Rvd25yZXYueG1sUEsBAhQAFAAAAAgAh07iQH0q&#10;4ImxAQAAOwMAAA4AAAAAAAAAAQAgAAAAIwEAAGRycy9lMm9Eb2MueG1sUEsFBgAAAAAGAAYAWQEA&#10;AEYFA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BLEZIqoAEAACIDAAAOAAAAAAAA&#10;AAEAIAAAACMBAABkcnMvZTJvRG9jLnhtbFBLBQYAAAAABgAGAFkBAAA1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4"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BPUmLK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8"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H0WiKEBAAAiAwAADgAA&#10;AAAAAAABACAAAAAmAQAAZHJzL2Uyb0RvYy54bWxQSwUGAAAAAAYABgBZAQAAOQ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KfqIya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7"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CRZi9cAAAAFAQAADwAAAAAA&#10;AAABACAAAAAiAAAAZHJzL2Rvd25yZXYueG1sUEsBAhQAFAAAAAgAh07iQDIZ7TOiAQAAIgMAAA4A&#10;AAAAAAAAAQAgAAAAJgEAAGRycy9lMm9Eb2MueG1sUEsFBgAAAAAGAAYAWQEAADoFA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EC36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2">
    <w:name w:val="Default Paragraph Font"/>
    <w:uiPriority w:val="0"/>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toc 1"/>
    <w:basedOn w:val="1"/>
    <w:next w:val="1"/>
    <w:uiPriority w:val="0"/>
    <w:pPr>
      <w:spacing w:after="104" w:afterLines="0" w:line="0" w:lineRule="atLeast"/>
      <w:jc w:val="left"/>
    </w:pPr>
  </w:style>
  <w:style w:type="paragraph" w:styleId="7">
    <w:name w:val="toc 4"/>
    <w:basedOn w:val="1"/>
    <w:next w:val="1"/>
    <w:uiPriority w:val="0"/>
    <w:pPr>
      <w:spacing w:line="306" w:lineRule="auto"/>
      <w:ind w:left="419" w:leftChars="0" w:firstLine="629" w:firstLineChars="0"/>
    </w:pPr>
  </w:style>
  <w:style w:type="paragraph" w:styleId="8">
    <w:name w:val="toc 2"/>
    <w:basedOn w:val="1"/>
    <w:next w:val="1"/>
    <w:uiPriority w:val="0"/>
    <w:pPr>
      <w:spacing w:line="306" w:lineRule="auto"/>
      <w:ind w:left="419" w:leftChars="0"/>
    </w:pPr>
  </w:style>
  <w:style w:type="paragraph" w:styleId="9">
    <w:name w:val="Title"/>
    <w:basedOn w:val="1"/>
    <w:next w:val="10"/>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0">
    <w:name w:val="文章附标题"/>
    <w:basedOn w:val="1"/>
    <w:next w:val="2"/>
    <w:uiPriority w:val="0"/>
    <w:pPr>
      <w:spacing w:before="104" w:beforeLines="0" w:after="104" w:afterLines="0" w:line="0" w:lineRule="atLeast"/>
      <w:ind w:firstLine="0" w:firstLineChars="0"/>
      <w:jc w:val="center"/>
    </w:pPr>
    <w:rPr>
      <w:sz w:val="36"/>
    </w:rPr>
  </w:style>
  <w:style w:type="paragraph" w:customStyle="1" w:styleId="13">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4">
    <w:name w:val="WPS Plain"/>
    <w:uiPriority w:val="0"/>
  </w:style>
  <w:style w:type="character" w:customStyle="1" w:styleId="15">
    <w:name w:val="链接"/>
    <w:basedOn w:val="12"/>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2020-06-28T08:24:07Z</dcterms:created>
  <dc:creator>Lenovo</dc:creator>
  <cp:lastModifiedBy>Lenovo</cp:lastModifiedBy>
  <dcterms:modified xsi:type="dcterms:W3CDTF">2020-06-28T08:24:31Z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