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782"/>
        <w:rPr>
          <w:rFonts w:ascii="Times New Roman"/>
          <w:sz w:val="20"/>
        </w:rPr>
      </w:pPr>
      <w:r>
        <w:rPr>
          <w:rFonts w:ascii="Times New Roman"/>
          <w:sz w:val="20"/>
        </w:rPr>
        <w:pict>
          <v:group id="_x0000_s1026" o:spid="_x0000_s1026" o:spt="203" style="height:47.35pt;width:486.5pt;" coordsize="9730,947">
            <o:lock v:ext="edit"/>
            <v:line id="_x0000_s1027" o:spid="_x0000_s1027" o:spt="20" style="position:absolute;left:0;top:345;height:0;width:9696;" stroked="t" coordsize="21600,21600">
              <v:path arrowok="t"/>
              <v:fill focussize="0,0"/>
              <v:stroke weight="2.16pt" color="#A64231"/>
              <v:imagedata o:title=""/>
              <o:lock v:ext="edit"/>
            </v:line>
            <v:shape id="_x0000_s1028" o:spid="_x0000_s1028" o:spt="75" alt="LOG" type="#_x0000_t75" style="position:absolute;left:5897;top:0;height:947;width:3833;" filled="f" stroked="f" coordsize="21600,21600">
              <v:path/>
              <v:fill on="f" focussize="0,0"/>
              <v:stroke on="f"/>
              <v:imagedata r:id="rId12" o:title=""/>
              <o:lock v:ext="edit" aspectratio="t"/>
            </v:shape>
            <w10:wrap type="none"/>
            <w10:anchorlock/>
          </v:group>
        </w:pict>
      </w:r>
    </w:p>
    <w:p>
      <w:pPr>
        <w:spacing w:before="26"/>
        <w:ind w:left="6650" w:right="0" w:firstLine="0"/>
        <w:jc w:val="left"/>
        <w:rPr>
          <w:sz w:val="21"/>
        </w:rPr>
      </w:pPr>
      <w:r>
        <w:rPr>
          <w:sz w:val="21"/>
        </w:rPr>
        <w:t>报告编号：昆云房鉴字[2020]第 06014 号</w:t>
      </w: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spacing w:before="9"/>
        <w:rPr>
          <w:sz w:val="28"/>
        </w:rPr>
      </w:pPr>
      <w:r>
        <w:pict>
          <v:group id="_x0000_s1029" o:spid="_x0000_s1029" o:spt="203" style="position:absolute;left:0pt;margin-left:61.45pt;margin-top:23.3pt;height:293.8pt;width:468.45pt;mso-position-horizontal-relative:page;mso-wrap-distance-bottom:0pt;mso-wrap-distance-top:0pt;z-index:-251656192;mso-width-relative:page;mso-height-relative:page;" coordorigin="1229,467" coordsize="9369,5876">
            <o:lock v:ext="edit"/>
            <v:shape id="_x0000_s1030" o:spid="_x0000_s1030" o:spt="75" type="#_x0000_t75" style="position:absolute;left:5464;top:466;height:3021;width:5134;" filled="f" stroked="f" coordsize="21600,21600">
              <v:path/>
              <v:fill on="f" focussize="0,0"/>
              <v:stroke on="f"/>
              <v:imagedata r:id="rId13" o:title=""/>
              <o:lock v:ext="edit" aspectratio="t"/>
            </v:shape>
            <v:shape id="_x0000_s1031" o:spid="_x0000_s1031" o:spt="75" type="#_x0000_t75" style="position:absolute;left:1368;top:3267;height:3075;width:8168;" filled="f" stroked="f" coordsize="21600,21600">
              <v:path/>
              <v:fill on="f" focussize="0,0"/>
              <v:stroke on="f"/>
              <v:imagedata r:id="rId14" o:title=""/>
              <o:lock v:ext="edit" aspectratio="t"/>
            </v:shape>
            <v:shape id="_x0000_s1032" o:spid="_x0000_s1032" o:spt="75" type="#_x0000_t75" style="position:absolute;left:1229;top:3267;height:3075;width:8168;" filled="f" stroked="f" coordsize="21600,21600">
              <v:path/>
              <v:fill on="f" focussize="0,0"/>
              <v:stroke on="f"/>
              <v:imagedata r:id="rId15" o:title=""/>
              <o:lock v:ext="edit" aspectratio="t"/>
            </v:shape>
            <v:shape id="_x0000_s1033" o:spid="_x0000_s1033" o:spt="75" type="#_x0000_t75" style="position:absolute;left:9015;top:3389;height:2818;width:1430;" filled="f" stroked="f" coordsize="21600,21600">
              <v:path/>
              <v:fill on="f" focussize="0,0"/>
              <v:stroke on="f"/>
              <v:imagedata r:id="rId16" o:title=""/>
              <o:lock v:ext="edit" aspectratio="t"/>
            </v:shape>
            <v:shape id="_x0000_s1034" o:spid="_x0000_s1034" o:spt="75" type="#_x0000_t75" style="position:absolute;left:1600;top:2701;height:570;width:3705;" filled="f" stroked="f" coordsize="21600,21600">
              <v:path/>
              <v:fill on="f" focussize="0,0"/>
              <v:stroke on="f"/>
              <v:imagedata r:id="rId17" o:title=""/>
              <o:lock v:ext="edit" aspectratio="t"/>
            </v:shape>
            <v:shape id="_x0000_s1035" o:spid="_x0000_s1035" o:spt="75" type="#_x0000_t75" style="position:absolute;left:1560;top:2661;height:570;width:1571;" filled="f" stroked="f" coordsize="21600,21600">
              <v:path/>
              <v:fill on="f" focussize="0,0"/>
              <v:stroke on="f"/>
              <v:imagedata r:id="rId18" o:title=""/>
              <o:lock v:ext="edit" aspectratio="t"/>
            </v:shape>
            <v:shape id="_x0000_s1036" o:spid="_x0000_s1036" o:spt="75" type="#_x0000_t75" style="position:absolute;left:3155;top:2663;height:565;width:2110;" filled="f" stroked="f" coordsize="21600,21600">
              <v:path/>
              <v:fill on="f" focussize="0,0"/>
              <v:stroke on="f"/>
              <v:imagedata r:id="rId19" o:title=""/>
              <o:lock v:ext="edit" aspectratio="t"/>
            </v:shape>
            <v:shape id="_x0000_s1037" o:spid="_x0000_s1037" o:spt="202" type="#_x0000_t202" style="position:absolute;left:1229;top:466;height:5876;width:9369;" filled="f" stroked="f" coordsize="21600,21600">
              <v:path/>
              <v:fill on="f" focussize="0,0"/>
              <v:stroke on="f" joinstyle="miter"/>
              <v:imagedata o:title=""/>
              <o:lock v:ext="edit"/>
              <v:textbox inset="0mm,0mm,0mm,0mm">
                <w:txbxContent>
                  <w:p>
                    <w:pPr>
                      <w:spacing w:before="0" w:line="240" w:lineRule="auto"/>
                      <w:rPr>
                        <w:sz w:val="48"/>
                      </w:rPr>
                    </w:pPr>
                  </w:p>
                  <w:p>
                    <w:pPr>
                      <w:spacing w:before="0" w:line="240" w:lineRule="auto"/>
                      <w:rPr>
                        <w:sz w:val="48"/>
                      </w:rPr>
                    </w:pPr>
                  </w:p>
                  <w:p>
                    <w:pPr>
                      <w:spacing w:before="0" w:line="240" w:lineRule="auto"/>
                      <w:rPr>
                        <w:sz w:val="48"/>
                      </w:rPr>
                    </w:pPr>
                  </w:p>
                  <w:p>
                    <w:pPr>
                      <w:spacing w:before="13" w:line="240" w:lineRule="auto"/>
                      <w:rPr>
                        <w:sz w:val="70"/>
                      </w:rPr>
                    </w:pPr>
                  </w:p>
                  <w:p>
                    <w:pPr>
                      <w:spacing w:before="1"/>
                      <w:ind w:left="715" w:right="0" w:firstLine="0"/>
                      <w:jc w:val="left"/>
                      <w:rPr>
                        <w:rFonts w:hint="eastAsia" w:ascii="微软雅黑" w:hAnsi="微软雅黑" w:eastAsia="微软雅黑"/>
                        <w:b/>
                        <w:sz w:val="36"/>
                      </w:rPr>
                    </w:pPr>
                    <w:r>
                      <w:rPr>
                        <w:rFonts w:hint="eastAsia" w:ascii="微软雅黑" w:hAnsi="微软雅黑" w:eastAsia="微软雅黑"/>
                        <w:b/>
                        <w:color w:val="FFFFFF"/>
                        <w:sz w:val="36"/>
                      </w:rPr>
                      <w:t>中国·云南·云县</w:t>
                    </w:r>
                  </w:p>
                  <w:p>
                    <w:pPr>
                      <w:spacing w:before="75"/>
                      <w:ind w:left="715" w:right="0" w:firstLine="0"/>
                      <w:jc w:val="left"/>
                      <w:rPr>
                        <w:rFonts w:hint="eastAsia" w:ascii="微软雅黑" w:eastAsia="微软雅黑"/>
                        <w:b/>
                        <w:sz w:val="32"/>
                      </w:rPr>
                    </w:pPr>
                    <w:r>
                      <w:rPr>
                        <w:rFonts w:hint="eastAsia" w:ascii="微软雅黑" w:eastAsia="微软雅黑"/>
                        <w:b/>
                        <w:color w:val="FFFFFF"/>
                        <w:sz w:val="32"/>
                      </w:rPr>
                      <w:t>云县爱华镇三江半岛（三期）时代广场半岛 4 幢</w:t>
                    </w:r>
                  </w:p>
                  <w:p>
                    <w:pPr>
                      <w:spacing w:before="73"/>
                      <w:ind w:left="714" w:right="0" w:firstLine="0"/>
                      <w:jc w:val="left"/>
                      <w:rPr>
                        <w:rFonts w:hint="eastAsia" w:ascii="微软雅黑" w:eastAsia="微软雅黑"/>
                        <w:b/>
                        <w:sz w:val="32"/>
                      </w:rPr>
                    </w:pPr>
                    <w:r>
                      <w:rPr>
                        <w:rFonts w:hint="eastAsia" w:ascii="微软雅黑" w:eastAsia="微软雅黑"/>
                        <w:b/>
                        <w:color w:val="FFFFFF"/>
                        <w:sz w:val="32"/>
                      </w:rPr>
                      <w:t>1-404 室房地产市场价值评估</w:t>
                    </w:r>
                  </w:p>
                </w:txbxContent>
              </v:textbox>
            </v:shape>
            <w10:wrap type="topAndBottom"/>
          </v:group>
        </w:pict>
      </w:r>
    </w:p>
    <w:p>
      <w:pPr>
        <w:pStyle w:val="4"/>
        <w:rPr>
          <w:sz w:val="20"/>
        </w:rPr>
      </w:pPr>
    </w:p>
    <w:p>
      <w:pPr>
        <w:pStyle w:val="4"/>
        <w:rPr>
          <w:sz w:val="20"/>
        </w:rPr>
      </w:pPr>
    </w:p>
    <w:p>
      <w:pPr>
        <w:pStyle w:val="4"/>
        <w:spacing w:before="7"/>
        <w:rPr>
          <w:sz w:val="20"/>
        </w:rPr>
      </w:pPr>
    </w:p>
    <w:p>
      <w:pPr>
        <w:spacing w:before="38"/>
        <w:ind w:left="832" w:right="0" w:firstLine="0"/>
        <w:jc w:val="left"/>
        <w:rPr>
          <w:rFonts w:hint="eastAsia" w:ascii="微软雅黑" w:eastAsia="微软雅黑"/>
          <w:sz w:val="24"/>
        </w:rPr>
      </w:pPr>
      <w:r>
        <w:rPr>
          <w:rFonts w:hint="eastAsia" w:ascii="微软雅黑" w:eastAsia="微软雅黑"/>
          <w:sz w:val="24"/>
        </w:rPr>
        <w:t>昆明云润房地产土地资产评估有限公司</w:t>
      </w:r>
    </w:p>
    <w:p>
      <w:pPr>
        <w:pStyle w:val="4"/>
        <w:spacing w:before="16"/>
        <w:rPr>
          <w:rFonts w:ascii="微软雅黑"/>
          <w:sz w:val="16"/>
        </w:rPr>
      </w:pPr>
    </w:p>
    <w:p>
      <w:pPr>
        <w:spacing w:before="0"/>
        <w:ind w:left="832" w:right="0" w:firstLine="0"/>
        <w:jc w:val="left"/>
        <w:rPr>
          <w:sz w:val="24"/>
        </w:rPr>
      </w:pPr>
      <w:r>
        <w:rPr>
          <w:sz w:val="24"/>
        </w:rPr>
        <w:t>2020 年 06 月 15 日</w:t>
      </w:r>
    </w:p>
    <w:p>
      <w:pPr>
        <w:pStyle w:val="4"/>
        <w:spacing w:before="10"/>
        <w:rPr>
          <w:sz w:val="12"/>
        </w:rPr>
      </w:pPr>
      <w:r>
        <w:drawing>
          <wp:anchor distT="0" distB="0" distL="0" distR="0" simplePos="0" relativeHeight="1024" behindDoc="0" locked="0" layoutInCell="1" allowOverlap="1">
            <wp:simplePos x="0" y="0"/>
            <wp:positionH relativeFrom="page">
              <wp:posOffset>719455</wp:posOffset>
            </wp:positionH>
            <wp:positionV relativeFrom="paragraph">
              <wp:posOffset>144780</wp:posOffset>
            </wp:positionV>
            <wp:extent cx="6221730" cy="1035685"/>
            <wp:effectExtent l="0" t="0" r="0" b="0"/>
            <wp:wrapTopAndBottom/>
            <wp:docPr id="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9.png"/>
                    <pic:cNvPicPr>
                      <a:picLocks noChangeAspect="1"/>
                    </pic:cNvPicPr>
                  </pic:nvPicPr>
                  <pic:blipFill>
                    <a:blip r:embed="rId20" cstate="print"/>
                    <a:stretch>
                      <a:fillRect/>
                    </a:stretch>
                  </pic:blipFill>
                  <pic:spPr>
                    <a:xfrm>
                      <a:off x="0" y="0"/>
                      <a:ext cx="6221538" cy="1035843"/>
                    </a:xfrm>
                    <a:prstGeom prst="rect">
                      <a:avLst/>
                    </a:prstGeom>
                  </pic:spPr>
                </pic:pic>
              </a:graphicData>
            </a:graphic>
          </wp:anchor>
        </w:drawing>
      </w:r>
    </w:p>
    <w:p>
      <w:pPr>
        <w:pStyle w:val="4"/>
        <w:rPr>
          <w:sz w:val="20"/>
        </w:rPr>
      </w:pPr>
    </w:p>
    <w:p>
      <w:pPr>
        <w:pStyle w:val="4"/>
        <w:rPr>
          <w:sz w:val="20"/>
        </w:rPr>
      </w:pPr>
    </w:p>
    <w:p>
      <w:pPr>
        <w:pStyle w:val="4"/>
        <w:spacing w:before="1"/>
        <w:rPr>
          <w:sz w:val="28"/>
        </w:rPr>
      </w:pPr>
      <w:r>
        <w:pict>
          <v:group id="_x0000_s1038" o:spid="_x0000_s1038" o:spt="203" style="position:absolute;left:0pt;margin-left:51.9pt;margin-top:22.9pt;height:17.5pt;width:487.5pt;mso-position-horizontal-relative:page;mso-wrap-distance-bottom:0pt;mso-wrap-distance-top:0pt;z-index:-251652096;mso-width-relative:page;mso-height-relative:page;" coordorigin="1039,459" coordsize="9750,350">
            <o:lock v:ext="edit"/>
            <v:line id="_x0000_s1039" o:spid="_x0000_s1039" o:spt="20" style="position:absolute;left:2266;top:478;height:0;width:8503;" stroked="t" coordsize="21600,21600">
              <v:path arrowok="t"/>
              <v:fill focussize="0,0"/>
              <v:stroke weight="1.2pt" color="#A64231"/>
              <v:imagedata o:title=""/>
              <o:lock v:ext="edit"/>
            </v:line>
            <v:shape id="_x0000_s1040" o:spid="_x0000_s1040" o:spt="75" type="#_x0000_t75" style="position:absolute;left:1039;top:458;height:331;width:1191;" filled="f" stroked="f" coordsize="21600,21600">
              <v:path/>
              <v:fill on="f" focussize="0,0"/>
              <v:stroke on="f"/>
              <v:imagedata r:id="rId21" o:title=""/>
              <o:lock v:ext="edit" aspectratio="t"/>
            </v:shape>
            <v:shape id="_x0000_s1041" o:spid="_x0000_s1041" o:spt="202" type="#_x0000_t202" style="position:absolute;left:2265;top:533;height:275;width:2353;" filled="f" stroked="f" coordsize="21600,21600">
              <v:path/>
              <v:fill on="f" focussize="0,0"/>
              <v:stroke on="f" joinstyle="miter"/>
              <v:imagedata o:title=""/>
              <o:lock v:ext="edit"/>
              <v:textbox inset="0mm,0mm,0mm,0mm">
                <w:txbxContent>
                  <w:p>
                    <w:pPr>
                      <w:spacing w:before="0" w:line="274" w:lineRule="exact"/>
                      <w:ind w:left="0" w:right="0" w:firstLine="0"/>
                      <w:jc w:val="left"/>
                      <w:rPr>
                        <w:sz w:val="20"/>
                      </w:rPr>
                    </w:pPr>
                    <w:r>
                      <w:rPr>
                        <w:spacing w:val="-1"/>
                        <w:sz w:val="20"/>
                      </w:rPr>
                      <w:t>联系电话：</w:t>
                    </w:r>
                    <w:r>
                      <w:rPr>
                        <w:spacing w:val="-5"/>
                        <w:sz w:val="20"/>
                      </w:rPr>
                      <w:t>0871-64570700</w:t>
                    </w:r>
                  </w:p>
                </w:txbxContent>
              </v:textbox>
            </v:shape>
            <v:shape id="_x0000_s1042" o:spid="_x0000_s1042" o:spt="202" type="#_x0000_t202" style="position:absolute;left:8284;top:533;height:275;width:2504;" filled="f" stroked="f" coordsize="21600,21600">
              <v:path/>
              <v:fill on="f" focussize="0,0"/>
              <v:stroke on="f" joinstyle="miter"/>
              <v:imagedata o:title=""/>
              <o:lock v:ext="edit"/>
              <v:textbox inset="0mm,0mm,0mm,0mm">
                <w:txbxContent>
                  <w:p>
                    <w:pPr>
                      <w:spacing w:before="0" w:line="274" w:lineRule="exact"/>
                      <w:ind w:left="0" w:right="0" w:firstLine="0"/>
                      <w:jc w:val="left"/>
                      <w:rPr>
                        <w:sz w:val="20"/>
                      </w:rPr>
                    </w:pPr>
                    <w:r>
                      <w:rPr>
                        <w:spacing w:val="-2"/>
                        <w:sz w:val="20"/>
                      </w:rPr>
                      <w:t>邮箱：</w:t>
                    </w:r>
                    <w:r>
                      <w:fldChar w:fldCharType="begin"/>
                    </w:r>
                    <w:r>
                      <w:instrText xml:space="preserve"> HYPERLINK "mailto:371354491@qq.com" \h </w:instrText>
                    </w:r>
                    <w:r>
                      <w:fldChar w:fldCharType="separate"/>
                    </w:r>
                    <w:r>
                      <w:rPr>
                        <w:spacing w:val="-4"/>
                        <w:sz w:val="20"/>
                      </w:rPr>
                      <w:t>371354491@qq.com</w:t>
                    </w:r>
                    <w:r>
                      <w:rPr>
                        <w:spacing w:val="-4"/>
                        <w:sz w:val="20"/>
                      </w:rPr>
                      <w:fldChar w:fldCharType="end"/>
                    </w:r>
                  </w:p>
                </w:txbxContent>
              </v:textbox>
            </v:shape>
            <w10:wrap type="topAndBottom"/>
          </v:group>
        </w:pict>
      </w:r>
    </w:p>
    <w:p>
      <w:pPr>
        <w:spacing w:after="0"/>
        <w:rPr>
          <w:sz w:val="28"/>
        </w:rPr>
        <w:sectPr>
          <w:type w:val="continuous"/>
          <w:pgSz w:w="11910" w:h="16840"/>
          <w:pgMar w:top="1240" w:right="180" w:bottom="280" w:left="300" w:header="720" w:footer="720" w:gutter="0"/>
        </w:sectPr>
      </w:pPr>
    </w:p>
    <w:p>
      <w:pPr>
        <w:pStyle w:val="4"/>
        <w:ind w:left="4690"/>
        <w:rPr>
          <w:sz w:val="20"/>
        </w:rPr>
      </w:pPr>
      <w:r>
        <w:rPr>
          <w:sz w:val="20"/>
        </w:rPr>
        <w:drawing>
          <wp:inline distT="0" distB="0" distL="0" distR="0">
            <wp:extent cx="1228725" cy="1064895"/>
            <wp:effectExtent l="0" t="0" r="0" b="0"/>
            <wp:docPr id="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1.jpeg"/>
                    <pic:cNvPicPr>
                      <a:picLocks noChangeAspect="1"/>
                    </pic:cNvPicPr>
                  </pic:nvPicPr>
                  <pic:blipFill>
                    <a:blip r:embed="rId22" cstate="print"/>
                    <a:stretch>
                      <a:fillRect/>
                    </a:stretch>
                  </pic:blipFill>
                  <pic:spPr>
                    <a:xfrm>
                      <a:off x="0" y="0"/>
                      <a:ext cx="1228989" cy="1064895"/>
                    </a:xfrm>
                    <a:prstGeom prst="rect">
                      <a:avLst/>
                    </a:prstGeom>
                  </pic:spPr>
                </pic:pic>
              </a:graphicData>
            </a:graphic>
          </wp:inline>
        </w:drawing>
      </w:r>
    </w:p>
    <w:p>
      <w:pPr>
        <w:pStyle w:val="4"/>
        <w:rPr>
          <w:sz w:val="20"/>
        </w:rPr>
      </w:pPr>
    </w:p>
    <w:p>
      <w:pPr>
        <w:pStyle w:val="4"/>
        <w:spacing w:before="2"/>
      </w:pPr>
    </w:p>
    <w:p>
      <w:pPr>
        <w:spacing w:before="27"/>
        <w:ind w:left="972" w:right="0" w:firstLine="0"/>
        <w:jc w:val="left"/>
        <w:rPr>
          <w:rFonts w:hint="eastAsia" w:ascii="隶书" w:eastAsia="隶书"/>
          <w:sz w:val="52"/>
        </w:rPr>
      </w:pPr>
      <w:r>
        <w:rPr>
          <w:rFonts w:hint="eastAsia" w:ascii="隶书" w:eastAsia="隶书"/>
          <w:sz w:val="52"/>
        </w:rPr>
        <w:t>涉 执 房 地 产 处 置 司 法 评 估 报 告</w:t>
      </w:r>
    </w:p>
    <w:p>
      <w:pPr>
        <w:spacing w:before="327"/>
        <w:ind w:left="0" w:right="192" w:firstLine="0"/>
        <w:jc w:val="center"/>
        <w:rPr>
          <w:rFonts w:hint="eastAsia" w:ascii="微软雅黑" w:eastAsia="微软雅黑"/>
          <w:sz w:val="24"/>
        </w:rPr>
      </w:pPr>
      <w:r>
        <w:rPr>
          <w:rFonts w:hint="eastAsia" w:ascii="微软雅黑" w:eastAsia="微软雅黑"/>
          <w:sz w:val="24"/>
        </w:rPr>
        <w:t>昆 云 房 鉴 字 [ 2 02 0] 第 0 60 14 号</w:t>
      </w:r>
    </w:p>
    <w:p>
      <w:pPr>
        <w:pStyle w:val="4"/>
        <w:spacing w:line="118" w:lineRule="exact"/>
        <w:ind w:left="776"/>
        <w:rPr>
          <w:rFonts w:ascii="微软雅黑"/>
          <w:sz w:val="11"/>
        </w:rPr>
      </w:pPr>
      <w:r>
        <w:rPr>
          <w:rFonts w:ascii="微软雅黑"/>
          <w:position w:val="-1"/>
          <w:sz w:val="11"/>
        </w:rPr>
        <w:pict>
          <v:group id="_x0000_s1043" o:spid="_x0000_s1043" o:spt="203" style="height:5.9pt;width:484.7pt;" coordsize="9694,118">
            <o:lock v:ext="edit"/>
            <v:line id="_x0000_s1044" o:spid="_x0000_s1044" o:spt="20" style="position:absolute;left:0;top:103;height:0;width:9694;" stroked="t" coordsize="21600,21600">
              <v:path arrowok="t"/>
              <v:fill focussize="0,0"/>
              <v:stroke weight="1.44pt" color="#A64231"/>
              <v:imagedata o:title=""/>
              <o:lock v:ext="edit"/>
            </v:line>
            <v:line id="_x0000_s1045" o:spid="_x0000_s1045" o:spt="20" style="position:absolute;left:0;top:30;height:0;width:9694;" stroked="t" coordsize="21600,21600">
              <v:path arrowok="t"/>
              <v:fill focussize="0,0"/>
              <v:stroke weight="3pt" color="#A64231"/>
              <v:imagedata o:title=""/>
              <o:lock v:ext="edit"/>
            </v:line>
            <w10:wrap type="none"/>
            <w10:anchorlock/>
          </v:group>
        </w:pict>
      </w:r>
    </w:p>
    <w:p>
      <w:pPr>
        <w:pStyle w:val="4"/>
        <w:spacing w:before="4"/>
        <w:rPr>
          <w:rFonts w:ascii="微软雅黑"/>
          <w:sz w:val="8"/>
        </w:rPr>
      </w:pPr>
    </w:p>
    <w:p>
      <w:pPr>
        <w:pStyle w:val="4"/>
        <w:tabs>
          <w:tab w:val="left" w:pos="1468"/>
          <w:tab w:val="left" w:pos="2100"/>
          <w:tab w:val="left" w:pos="2733"/>
        </w:tabs>
        <w:spacing w:before="84" w:line="338" w:lineRule="auto"/>
        <w:ind w:left="3098" w:right="950" w:hanging="2264"/>
      </w:pPr>
      <w:r>
        <w:rPr>
          <w:rFonts w:hint="eastAsia" w:ascii="方正姚体" w:eastAsia="方正姚体"/>
        </w:rPr>
        <w:t>项</w:t>
      </w:r>
      <w:r>
        <w:rPr>
          <w:rFonts w:hint="eastAsia" w:ascii="方正姚体" w:eastAsia="方正姚体"/>
        </w:rPr>
        <w:tab/>
      </w:r>
      <w:r>
        <w:rPr>
          <w:rFonts w:hint="eastAsia" w:ascii="方正姚体" w:eastAsia="方正姚体"/>
        </w:rPr>
        <w:t>目</w:t>
      </w:r>
      <w:r>
        <w:rPr>
          <w:rFonts w:hint="eastAsia" w:ascii="方正姚体" w:eastAsia="方正姚体"/>
        </w:rPr>
        <w:tab/>
      </w:r>
      <w:r>
        <w:rPr>
          <w:rFonts w:hint="eastAsia" w:ascii="方正姚体" w:eastAsia="方正姚体"/>
        </w:rPr>
        <w:t>名</w:t>
      </w:r>
      <w:r>
        <w:rPr>
          <w:rFonts w:hint="eastAsia" w:ascii="方正姚体" w:eastAsia="方正姚体"/>
        </w:rPr>
        <w:tab/>
      </w:r>
      <w:r>
        <w:rPr>
          <w:rFonts w:hint="eastAsia" w:ascii="方正姚体" w:eastAsia="方正姚体"/>
          <w:spacing w:val="4"/>
        </w:rPr>
        <w:t>称</w:t>
      </w:r>
      <w:r>
        <w:rPr>
          <w:rFonts w:hint="eastAsia" w:ascii="方正姚体" w:eastAsia="方正姚体"/>
          <w:spacing w:val="-32"/>
        </w:rPr>
        <w:t>：</w:t>
      </w:r>
      <w:r>
        <w:t>对云县爱华镇三江半</w:t>
      </w:r>
      <w:r>
        <w:rPr>
          <w:spacing w:val="-29"/>
        </w:rPr>
        <w:t>岛</w:t>
      </w:r>
      <w:r>
        <w:t>（三期</w:t>
      </w:r>
      <w:r>
        <w:rPr>
          <w:spacing w:val="-29"/>
        </w:rPr>
        <w:t>）</w:t>
      </w:r>
      <w:r>
        <w:t>时代广场半岛</w:t>
      </w:r>
      <w:r>
        <w:rPr>
          <w:spacing w:val="-4"/>
        </w:rPr>
        <w:t xml:space="preserve"> </w:t>
      </w:r>
      <w:r>
        <w:t>4</w:t>
      </w:r>
      <w:r>
        <w:rPr>
          <w:spacing w:val="-2"/>
        </w:rPr>
        <w:t xml:space="preserve"> </w:t>
      </w:r>
      <w:r>
        <w:t>幢</w:t>
      </w:r>
      <w:r>
        <w:rPr>
          <w:spacing w:val="-3"/>
        </w:rPr>
        <w:t xml:space="preserve"> </w:t>
      </w:r>
      <w:r>
        <w:t>1-404 室房地产市场价值评估</w:t>
      </w:r>
    </w:p>
    <w:p>
      <w:pPr>
        <w:pStyle w:val="4"/>
        <w:rPr>
          <w:sz w:val="36"/>
        </w:rPr>
      </w:pPr>
    </w:p>
    <w:p>
      <w:pPr>
        <w:pStyle w:val="4"/>
        <w:spacing w:before="14"/>
        <w:rPr>
          <w:sz w:val="38"/>
        </w:rPr>
      </w:pPr>
    </w:p>
    <w:p>
      <w:pPr>
        <w:pStyle w:val="4"/>
        <w:tabs>
          <w:tab w:val="left" w:pos="1795"/>
          <w:tab w:val="left" w:pos="2755"/>
        </w:tabs>
        <w:ind w:left="835"/>
      </w:pPr>
      <w:r>
        <w:rPr>
          <w:rFonts w:hint="eastAsia" w:ascii="方正姚体" w:eastAsia="方正姚体"/>
        </w:rPr>
        <w:t>委</w:t>
      </w:r>
      <w:r>
        <w:rPr>
          <w:rFonts w:hint="eastAsia" w:ascii="方正姚体" w:eastAsia="方正姚体"/>
        </w:rPr>
        <w:tab/>
      </w:r>
      <w:r>
        <w:rPr>
          <w:rFonts w:hint="eastAsia" w:ascii="方正姚体" w:eastAsia="方正姚体"/>
        </w:rPr>
        <w:t>托</w:t>
      </w:r>
      <w:r>
        <w:rPr>
          <w:rFonts w:hint="eastAsia" w:ascii="方正姚体" w:eastAsia="方正姚体"/>
        </w:rPr>
        <w:tab/>
      </w:r>
      <w:r>
        <w:rPr>
          <w:rFonts w:hint="eastAsia" w:ascii="方正姚体" w:eastAsia="方正姚体"/>
        </w:rPr>
        <w:t>方：</w:t>
      </w:r>
      <w:r>
        <w:t>云南省云县人民法院</w:t>
      </w:r>
    </w:p>
    <w:p>
      <w:pPr>
        <w:pStyle w:val="4"/>
        <w:rPr>
          <w:sz w:val="36"/>
        </w:rPr>
      </w:pPr>
    </w:p>
    <w:p>
      <w:pPr>
        <w:pStyle w:val="4"/>
        <w:spacing w:before="8"/>
        <w:rPr>
          <w:sz w:val="49"/>
        </w:rPr>
      </w:pPr>
    </w:p>
    <w:p>
      <w:pPr>
        <w:pStyle w:val="4"/>
        <w:tabs>
          <w:tab w:val="left" w:pos="1495"/>
          <w:tab w:val="left" w:pos="2155"/>
          <w:tab w:val="left" w:pos="2813"/>
        </w:tabs>
        <w:ind w:left="835"/>
      </w:pPr>
      <w:r>
        <w:rPr>
          <w:rFonts w:hint="eastAsia" w:ascii="方正姚体" w:eastAsia="方正姚体"/>
        </w:rPr>
        <w:t>评</w:t>
      </w:r>
      <w:r>
        <w:rPr>
          <w:rFonts w:hint="eastAsia" w:ascii="方正姚体" w:eastAsia="方正姚体"/>
        </w:rPr>
        <w:tab/>
      </w:r>
      <w:r>
        <w:rPr>
          <w:rFonts w:hint="eastAsia" w:ascii="方正姚体" w:eastAsia="方正姚体"/>
        </w:rPr>
        <w:t>估</w:t>
      </w:r>
      <w:r>
        <w:rPr>
          <w:rFonts w:hint="eastAsia" w:ascii="方正姚体" w:eastAsia="方正姚体"/>
        </w:rPr>
        <w:tab/>
      </w:r>
      <w:r>
        <w:rPr>
          <w:rFonts w:hint="eastAsia" w:ascii="方正姚体" w:eastAsia="方正姚体"/>
        </w:rPr>
        <w:t>机</w:t>
      </w:r>
      <w:r>
        <w:rPr>
          <w:rFonts w:hint="eastAsia" w:ascii="方正姚体" w:eastAsia="方正姚体"/>
        </w:rPr>
        <w:tab/>
      </w:r>
      <w:r>
        <w:rPr>
          <w:rFonts w:hint="eastAsia" w:ascii="方正姚体" w:eastAsia="方正姚体"/>
        </w:rPr>
        <w:t>构：</w:t>
      </w:r>
      <w:r>
        <w:t>昆明云润房地产土地资产评估有限公司</w:t>
      </w:r>
    </w:p>
    <w:p>
      <w:pPr>
        <w:pStyle w:val="4"/>
        <w:rPr>
          <w:sz w:val="36"/>
        </w:rPr>
      </w:pPr>
    </w:p>
    <w:p>
      <w:pPr>
        <w:pStyle w:val="4"/>
        <w:spacing w:before="10"/>
        <w:rPr>
          <w:sz w:val="49"/>
        </w:rPr>
      </w:pPr>
    </w:p>
    <w:p>
      <w:pPr>
        <w:pStyle w:val="4"/>
        <w:tabs>
          <w:tab w:val="left" w:pos="4615"/>
        </w:tabs>
        <w:ind w:left="835"/>
      </w:pPr>
      <w:r>
        <w:rPr>
          <w:rFonts w:hint="eastAsia" w:ascii="方正姚体" w:eastAsia="方正姚体"/>
          <w:spacing w:val="24"/>
        </w:rPr>
        <w:t>注册</w:t>
      </w:r>
      <w:r>
        <w:rPr>
          <w:rFonts w:hint="eastAsia" w:ascii="方正姚体" w:eastAsia="方正姚体"/>
          <w:spacing w:val="21"/>
        </w:rPr>
        <w:t>房</w:t>
      </w:r>
      <w:r>
        <w:rPr>
          <w:rFonts w:hint="eastAsia" w:ascii="方正姚体" w:eastAsia="方正姚体"/>
          <w:spacing w:val="24"/>
        </w:rPr>
        <w:t>地</w:t>
      </w:r>
      <w:r>
        <w:rPr>
          <w:rFonts w:hint="eastAsia" w:ascii="方正姚体" w:eastAsia="方正姚体"/>
          <w:spacing w:val="21"/>
        </w:rPr>
        <w:t>产</w:t>
      </w:r>
      <w:r>
        <w:rPr>
          <w:rFonts w:hint="eastAsia" w:ascii="方正姚体" w:eastAsia="方正姚体"/>
          <w:spacing w:val="24"/>
        </w:rPr>
        <w:t>估</w:t>
      </w:r>
      <w:r>
        <w:rPr>
          <w:rFonts w:hint="eastAsia" w:ascii="方正姚体" w:eastAsia="方正姚体"/>
          <w:spacing w:val="23"/>
        </w:rPr>
        <w:t>价</w:t>
      </w:r>
      <w:r>
        <w:rPr>
          <w:rFonts w:hint="eastAsia" w:ascii="方正姚体" w:eastAsia="方正姚体"/>
        </w:rPr>
        <w:t>师：</w:t>
      </w:r>
      <w:r>
        <w:t>王志萍</w:t>
      </w:r>
      <w:r>
        <w:tab/>
      </w:r>
      <w:r>
        <w:rPr>
          <w:w w:val="95"/>
        </w:rPr>
        <w:t>证书编号：5320040040</w:t>
      </w:r>
    </w:p>
    <w:p>
      <w:pPr>
        <w:pStyle w:val="4"/>
        <w:spacing w:before="10"/>
        <w:rPr>
          <w:sz w:val="47"/>
        </w:rPr>
      </w:pPr>
    </w:p>
    <w:p>
      <w:pPr>
        <w:pStyle w:val="4"/>
        <w:tabs>
          <w:tab w:val="left" w:pos="1228"/>
        </w:tabs>
        <w:ind w:right="682"/>
        <w:jc w:val="center"/>
      </w:pPr>
      <w:r>
        <w:t>翟悦清</w:t>
      </w:r>
      <w:r>
        <w:tab/>
      </w:r>
      <w:r>
        <w:rPr>
          <w:w w:val="95"/>
        </w:rPr>
        <w:t>证书编号：5320170052</w:t>
      </w:r>
    </w:p>
    <w:p>
      <w:pPr>
        <w:pStyle w:val="4"/>
        <w:spacing w:before="9"/>
        <w:rPr>
          <w:sz w:val="48"/>
        </w:rPr>
      </w:pPr>
    </w:p>
    <w:p>
      <w:pPr>
        <w:pStyle w:val="4"/>
        <w:ind w:left="834"/>
      </w:pPr>
      <w:r>
        <w:rPr>
          <w:rFonts w:hint="eastAsia" w:ascii="方正姚体" w:hAnsi="方正姚体" w:eastAsia="方正姚体"/>
        </w:rPr>
        <w:t>估价报告出具日期：</w:t>
      </w:r>
      <w:r>
        <w:t>二○二○年六月十五日</w:t>
      </w:r>
    </w:p>
    <w:p>
      <w:pPr>
        <w:pStyle w:val="4"/>
        <w:rPr>
          <w:sz w:val="20"/>
        </w:rPr>
      </w:pPr>
    </w:p>
    <w:p>
      <w:pPr>
        <w:pStyle w:val="4"/>
        <w:rPr>
          <w:sz w:val="20"/>
        </w:rPr>
      </w:pPr>
    </w:p>
    <w:p>
      <w:pPr>
        <w:pStyle w:val="4"/>
        <w:rPr>
          <w:sz w:val="20"/>
        </w:rPr>
      </w:pPr>
    </w:p>
    <w:p>
      <w:pPr>
        <w:pStyle w:val="4"/>
        <w:rPr>
          <w:sz w:val="20"/>
        </w:rPr>
      </w:pPr>
    </w:p>
    <w:p>
      <w:pPr>
        <w:pStyle w:val="4"/>
        <w:spacing w:before="10"/>
        <w:rPr>
          <w:sz w:val="17"/>
        </w:rPr>
      </w:pPr>
      <w:r>
        <w:pict>
          <v:group id="_x0000_s1046" o:spid="_x0000_s1046" o:spt="203" style="position:absolute;left:0pt;margin-left:51.95pt;margin-top:15.15pt;height:17.5pt;width:487.6pt;mso-position-horizontal-relative:page;mso-wrap-distance-bottom:0pt;mso-wrap-distance-top:0pt;z-index:-251648000;mso-width-relative:page;mso-height-relative:page;" coordorigin="1040,303" coordsize="9752,350">
            <o:lock v:ext="edit"/>
            <v:line id="_x0000_s1047" o:spid="_x0000_s1047" o:spt="20" style="position:absolute;left:2268;top:321;height:0;width:8503;" stroked="t" coordsize="21600,21600">
              <v:path arrowok="t"/>
              <v:fill focussize="0,0"/>
              <v:stroke weight="1.2pt" color="#A64231"/>
              <v:imagedata o:title=""/>
              <o:lock v:ext="edit"/>
            </v:line>
            <v:shape id="_x0000_s1048" o:spid="_x0000_s1048" o:spt="75" type="#_x0000_t75" style="position:absolute;left:1040;top:303;height:331;width:1191;" filled="f" stroked="f" coordsize="21600,21600">
              <v:path/>
              <v:fill on="f" focussize="0,0"/>
              <v:stroke on="f"/>
              <v:imagedata r:id="rId21" o:title=""/>
              <o:lock v:ext="edit" aspectratio="t"/>
            </v:shape>
            <v:shape id="_x0000_s1049" o:spid="_x0000_s1049" o:spt="202" type="#_x0000_t202" style="position:absolute;left:2268;top:378;height:275;width:2354;" filled="f" stroked="f" coordsize="21600,21600">
              <v:path/>
              <v:fill on="f" focussize="0,0"/>
              <v:stroke on="f" joinstyle="miter"/>
              <v:imagedata o:title=""/>
              <o:lock v:ext="edit"/>
              <v:textbox inset="0mm,0mm,0mm,0mm">
                <w:txbxContent>
                  <w:p>
                    <w:pPr>
                      <w:spacing w:before="0" w:line="274" w:lineRule="exact"/>
                      <w:ind w:left="0" w:right="0" w:firstLine="0"/>
                      <w:jc w:val="left"/>
                      <w:rPr>
                        <w:sz w:val="20"/>
                      </w:rPr>
                    </w:pPr>
                    <w:r>
                      <w:rPr>
                        <w:spacing w:val="-1"/>
                        <w:sz w:val="20"/>
                      </w:rPr>
                      <w:t>联系电话：</w:t>
                    </w:r>
                    <w:r>
                      <w:rPr>
                        <w:spacing w:val="-5"/>
                        <w:sz w:val="20"/>
                      </w:rPr>
                      <w:t>0871-64570700</w:t>
                    </w:r>
                  </w:p>
                </w:txbxContent>
              </v:textbox>
            </v:shape>
            <v:shape id="_x0000_s1050" o:spid="_x0000_s1050" o:spt="202" type="#_x0000_t202" style="position:absolute;left:8287;top:378;height:275;width:2504;" filled="f" stroked="f" coordsize="21600,21600">
              <v:path/>
              <v:fill on="f" focussize="0,0"/>
              <v:stroke on="f" joinstyle="miter"/>
              <v:imagedata o:title=""/>
              <o:lock v:ext="edit"/>
              <v:textbox inset="0mm,0mm,0mm,0mm">
                <w:txbxContent>
                  <w:p>
                    <w:pPr>
                      <w:spacing w:before="0" w:line="274" w:lineRule="exact"/>
                      <w:ind w:left="0" w:right="0" w:firstLine="0"/>
                      <w:jc w:val="left"/>
                      <w:rPr>
                        <w:sz w:val="20"/>
                      </w:rPr>
                    </w:pPr>
                    <w:r>
                      <w:rPr>
                        <w:spacing w:val="-2"/>
                        <w:sz w:val="20"/>
                      </w:rPr>
                      <w:t>邮箱：</w:t>
                    </w:r>
                    <w:r>
                      <w:fldChar w:fldCharType="begin"/>
                    </w:r>
                    <w:r>
                      <w:instrText xml:space="preserve"> HYPERLINK "mailto:371354491@qq.com" \h </w:instrText>
                    </w:r>
                    <w:r>
                      <w:fldChar w:fldCharType="separate"/>
                    </w:r>
                    <w:r>
                      <w:rPr>
                        <w:spacing w:val="-4"/>
                        <w:sz w:val="20"/>
                      </w:rPr>
                      <w:t>371354491@qq.com</w:t>
                    </w:r>
                    <w:r>
                      <w:rPr>
                        <w:spacing w:val="-4"/>
                        <w:sz w:val="20"/>
                      </w:rPr>
                      <w:fldChar w:fldCharType="end"/>
                    </w:r>
                  </w:p>
                </w:txbxContent>
              </v:textbox>
            </v:shape>
            <w10:wrap type="topAndBottom"/>
          </v:group>
        </w:pict>
      </w:r>
    </w:p>
    <w:p>
      <w:pPr>
        <w:spacing w:after="0"/>
        <w:rPr>
          <w:sz w:val="17"/>
        </w:rPr>
        <w:sectPr>
          <w:pgSz w:w="11910" w:h="16840"/>
          <w:pgMar w:top="1560" w:right="180" w:bottom="280" w:left="300" w:header="720" w:footer="720" w:gutter="0"/>
        </w:sectPr>
      </w:pPr>
    </w:p>
    <w:p>
      <w:pPr>
        <w:pStyle w:val="4"/>
        <w:rPr>
          <w:sz w:val="2"/>
        </w:rPr>
      </w:pPr>
    </w:p>
    <w:p>
      <w:pPr>
        <w:pStyle w:val="4"/>
        <w:spacing w:line="189" w:lineRule="exact"/>
        <w:ind w:left="-315"/>
        <w:rPr>
          <w:sz w:val="18"/>
        </w:rPr>
      </w:pPr>
      <w:r>
        <w:rPr>
          <w:position w:val="-3"/>
          <w:sz w:val="18"/>
        </w:rPr>
        <w:pict>
          <v:group id="_x0000_s1051" o:spid="_x0000_s1051" o:spt="203" style="height:9.4pt;width:540.15pt;" coordsize="10803,188">
            <o:lock v:ext="edit"/>
            <v:line id="_x0000_s1052" o:spid="_x0000_s1052" o:spt="20" style="position:absolute;left:0;top:14;height:0;width:10802;" stroked="t" coordsize="21600,21600">
              <v:path arrowok="t"/>
              <v:fill focussize="0,0"/>
              <v:stroke weight="1.44pt" color="#A64231"/>
              <v:imagedata o:title=""/>
              <o:lock v:ext="edit"/>
            </v:line>
            <v:line id="_x0000_s1053" o:spid="_x0000_s1053" o:spt="20" style="position:absolute;left:883;top:174;height:0;width:8815;" stroked="t" coordsize="21600,21600">
              <v:path arrowok="t"/>
              <v:fill focussize="0,0"/>
              <v:stroke weight="1.41433070866142pt" color="#C00000"/>
              <v:imagedata o:title=""/>
              <o:lock v:ext="edit"/>
            </v:line>
            <v:line id="_x0000_s1054" o:spid="_x0000_s1054" o:spt="20" style="position:absolute;left:855;top:80;height:0;width:8815;" stroked="t" coordsize="21600,21600">
              <v:path arrowok="t"/>
              <v:fill focussize="0,0"/>
              <v:stroke weight="7.9pt" color="#A64231"/>
              <v:imagedata o:title=""/>
              <o:lock v:ext="edit"/>
            </v:line>
            <w10:wrap type="none"/>
            <w10:anchorlock/>
          </v:group>
        </w:pict>
      </w:r>
    </w:p>
    <w:p>
      <w:pPr>
        <w:spacing w:before="70" w:after="2"/>
        <w:ind w:left="1118" w:right="0" w:firstLine="0"/>
        <w:jc w:val="left"/>
        <w:rPr>
          <w:b/>
          <w:sz w:val="36"/>
        </w:rPr>
      </w:pPr>
      <w:r>
        <w:rPr>
          <w:b/>
          <w:color w:val="622322"/>
          <w:sz w:val="36"/>
        </w:rPr>
        <w:t>致估价委托人函</w:t>
      </w:r>
    </w:p>
    <w:p>
      <w:pPr>
        <w:pStyle w:val="4"/>
        <w:spacing w:line="118" w:lineRule="exact"/>
        <w:ind w:left="1059"/>
        <w:rPr>
          <w:sz w:val="11"/>
        </w:rPr>
      </w:pPr>
      <w:r>
        <w:rPr>
          <w:position w:val="-1"/>
          <w:sz w:val="11"/>
        </w:rPr>
        <w:pict>
          <v:group id="_x0000_s1055" o:spid="_x0000_s1055" o:spt="203" style="height:5.9pt;width:470.65pt;" coordsize="9413,118">
            <o:lock v:ext="edit"/>
            <v:line id="_x0000_s1056" o:spid="_x0000_s1056" o:spt="20" style="position:absolute;left:0;top:103;height:0;width:9413;" stroked="t" coordsize="21600,21600">
              <v:path arrowok="t"/>
              <v:fill focussize="0,0"/>
              <v:stroke weight="1.44pt" color="#622322"/>
              <v:imagedata o:title=""/>
              <o:lock v:ext="edit"/>
            </v:line>
            <v:line id="_x0000_s1057" o:spid="_x0000_s1057" o:spt="20" style="position:absolute;left:0;top:30;height:0;width:9413;" stroked="t" coordsize="21600,21600">
              <v:path arrowok="t"/>
              <v:fill focussize="0,0"/>
              <v:stroke weight="3pt" color="#622322"/>
              <v:imagedata o:title=""/>
              <o:lock v:ext="edit"/>
            </v:line>
            <w10:wrap type="none"/>
            <w10:anchorlock/>
          </v:group>
        </w:pict>
      </w:r>
    </w:p>
    <w:p>
      <w:pPr>
        <w:spacing w:before="110"/>
        <w:ind w:left="1118" w:right="0" w:firstLine="0"/>
        <w:jc w:val="left"/>
        <w:rPr>
          <w:sz w:val="26"/>
        </w:rPr>
      </w:pPr>
      <w:r>
        <w:rPr>
          <w:b/>
          <w:sz w:val="26"/>
        </w:rPr>
        <w:t>云南省云县人民法院</w:t>
      </w:r>
      <w:r>
        <w:rPr>
          <w:sz w:val="26"/>
        </w:rPr>
        <w:t>：</w:t>
      </w:r>
    </w:p>
    <w:p>
      <w:pPr>
        <w:pStyle w:val="4"/>
        <w:spacing w:before="158" w:line="338" w:lineRule="auto"/>
        <w:ind w:left="1117" w:right="951"/>
      </w:pPr>
      <w:r>
        <w:rPr>
          <w:w w:val="99"/>
        </w:rPr>
        <w:t>昆明云润房地产土地资产评估有限公司</w:t>
      </w:r>
      <w:r>
        <w:rPr>
          <w:spacing w:val="2"/>
          <w:w w:val="99"/>
        </w:rPr>
        <w:t>（</w:t>
      </w:r>
      <w:r>
        <w:rPr>
          <w:spacing w:val="-17"/>
          <w:w w:val="99"/>
        </w:rPr>
        <w:t>下简称“我公司”</w:t>
      </w:r>
      <w:r>
        <w:rPr>
          <w:spacing w:val="2"/>
          <w:w w:val="99"/>
        </w:rPr>
        <w:t>）</w:t>
      </w:r>
      <w:r>
        <w:rPr>
          <w:w w:val="99"/>
        </w:rPr>
        <w:t>接受贵院的委托[委托</w:t>
      </w:r>
      <w:r>
        <w:rPr>
          <w:spacing w:val="-3"/>
        </w:rPr>
        <w:t>书编号：</w:t>
      </w:r>
      <w:r>
        <w:rPr>
          <w:spacing w:val="-9"/>
        </w:rPr>
        <w:t>（2019）</w:t>
      </w:r>
      <w:r>
        <w:rPr>
          <w:spacing w:val="-2"/>
        </w:rPr>
        <w:t xml:space="preserve">云 </w:t>
      </w:r>
      <w:r>
        <w:t>0922</w:t>
      </w:r>
      <w:r>
        <w:rPr>
          <w:spacing w:val="-4"/>
        </w:rPr>
        <w:t xml:space="preserve"> 执 </w:t>
      </w:r>
      <w:r>
        <w:t>632</w:t>
      </w:r>
      <w:r>
        <w:rPr>
          <w:spacing w:val="-6"/>
        </w:rPr>
        <w:t xml:space="preserve"> 号]，对云县爱华镇三江半岛</w:t>
      </w:r>
      <w:r>
        <w:t>（三期</w:t>
      </w:r>
      <w:r>
        <w:rPr>
          <w:spacing w:val="-20"/>
        </w:rPr>
        <w:t>）</w:t>
      </w:r>
      <w:r>
        <w:t>时代广场半</w:t>
      </w:r>
    </w:p>
    <w:p>
      <w:pPr>
        <w:pStyle w:val="4"/>
        <w:spacing w:line="387" w:lineRule="exact"/>
        <w:ind w:left="1117"/>
      </w:pPr>
      <w:r>
        <w:rPr>
          <w:spacing w:val="6"/>
        </w:rPr>
        <w:t xml:space="preserve">岛 </w:t>
      </w:r>
      <w:r>
        <w:t>4</w:t>
      </w:r>
      <w:r>
        <w:rPr>
          <w:spacing w:val="8"/>
        </w:rPr>
        <w:t xml:space="preserve"> 幢 </w:t>
      </w:r>
      <w:r>
        <w:t>1-404 室房地产进行市场价值评估。估价对象是：建筑面积为 104.76</w:t>
      </w:r>
      <w:r>
        <w:rPr>
          <w:spacing w:val="4"/>
        </w:rPr>
        <w:t xml:space="preserve"> 平方</w:t>
      </w:r>
    </w:p>
    <w:p>
      <w:pPr>
        <w:pStyle w:val="4"/>
        <w:spacing w:before="159" w:line="338" w:lineRule="auto"/>
        <w:ind w:left="1118" w:right="951"/>
        <w:jc w:val="both"/>
      </w:pPr>
      <w:r>
        <w:t>米的房屋所有权和所分摊的国有建设用地在剩余土地使用年期 57.56 年内的土地使用权、室内装饰装修、与房地产不可分割的、满足其使用功能的供水、供电、排水等相关配套设施。不包含室内可移动的家具、电器、软装等动产以及可能存在的债权债务、欠付的管理费、水电费等。估价目的是：为人民法院确定财产处置参考价提供参考依据而对估价对象的市场价值进行评估。价值时点是：2020 年 06 月 04 日。</w:t>
      </w:r>
    </w:p>
    <w:p>
      <w:pPr>
        <w:pStyle w:val="4"/>
        <w:spacing w:line="338" w:lineRule="auto"/>
        <w:ind w:left="1118" w:right="953" w:hanging="1"/>
      </w:pPr>
      <w:r>
        <w:t>我们经过市场调查和实地查勘，依据相关法规，遵循独立、客观、公正、合法的原</w:t>
      </w:r>
      <w:r>
        <w:rPr>
          <w:w w:val="95"/>
        </w:rPr>
        <w:t>则，选用</w:t>
      </w:r>
      <w:r>
        <w:rPr>
          <w:b/>
          <w:w w:val="95"/>
        </w:rPr>
        <w:t>比较法</w:t>
      </w:r>
      <w:r>
        <w:rPr>
          <w:w w:val="95"/>
        </w:rPr>
        <w:t>进行了分析、测算和判断，确定估价对象在价值时点的市场价值为</w:t>
      </w:r>
    </w:p>
    <w:p>
      <w:pPr>
        <w:spacing w:before="0" w:line="399" w:lineRule="exact"/>
        <w:ind w:left="1118" w:right="0" w:firstLine="0"/>
        <w:jc w:val="left"/>
        <w:rPr>
          <w:sz w:val="26"/>
        </w:rPr>
      </w:pPr>
      <w:r>
        <w:rPr>
          <w:rFonts w:hint="eastAsia" w:ascii="等线" w:hAnsi="等线" w:eastAsia="等线"/>
          <w:b/>
          <w:sz w:val="26"/>
        </w:rPr>
        <w:t xml:space="preserve">¥ </w:t>
      </w:r>
      <w:r>
        <w:rPr>
          <w:b/>
          <w:sz w:val="26"/>
        </w:rPr>
        <w:t>44.63 万元（金额大写：人民币 肆拾肆万陆仟叁佰圆整）</w:t>
      </w:r>
      <w:r>
        <w:rPr>
          <w:sz w:val="26"/>
        </w:rPr>
        <w:t>。详见下表：</w:t>
      </w:r>
    </w:p>
    <w:p>
      <w:pPr>
        <w:spacing w:before="146"/>
        <w:ind w:left="4742" w:right="0" w:firstLine="0"/>
        <w:jc w:val="left"/>
        <w:rPr>
          <w:b/>
          <w:sz w:val="22"/>
        </w:rPr>
      </w:pPr>
      <w:r>
        <w:rPr>
          <w:b/>
          <w:sz w:val="22"/>
        </w:rPr>
        <w:t>估价结果一览表</w:t>
      </w:r>
    </w:p>
    <w:p>
      <w:pPr>
        <w:pStyle w:val="4"/>
        <w:spacing w:before="10"/>
        <w:rPr>
          <w:b/>
          <w:sz w:val="15"/>
        </w:rPr>
      </w:pPr>
    </w:p>
    <w:tbl>
      <w:tblPr>
        <w:tblStyle w:val="7"/>
        <w:tblW w:w="0" w:type="auto"/>
        <w:tblInd w:w="291" w:type="dxa"/>
        <w:tblBorders>
          <w:top w:val="double" w:color="2F5395" w:sz="2" w:space="0"/>
          <w:left w:val="double" w:color="2F5395" w:sz="2" w:space="0"/>
          <w:bottom w:val="double" w:color="2F5395" w:sz="2" w:space="0"/>
          <w:right w:val="double" w:color="2F5395" w:sz="2" w:space="0"/>
          <w:insideH w:val="double" w:color="2F5395" w:sz="2" w:space="0"/>
          <w:insideV w:val="double" w:color="2F5395" w:sz="2" w:space="0"/>
        </w:tblBorders>
        <w:tblLayout w:type="fixed"/>
        <w:tblCellMar>
          <w:top w:w="0" w:type="dxa"/>
          <w:left w:w="0" w:type="dxa"/>
          <w:bottom w:w="0" w:type="dxa"/>
          <w:right w:w="0" w:type="dxa"/>
        </w:tblCellMar>
      </w:tblPr>
      <w:tblGrid>
        <w:gridCol w:w="566"/>
        <w:gridCol w:w="1545"/>
        <w:gridCol w:w="1142"/>
        <w:gridCol w:w="686"/>
        <w:gridCol w:w="789"/>
        <w:gridCol w:w="676"/>
        <w:gridCol w:w="777"/>
        <w:gridCol w:w="455"/>
        <w:gridCol w:w="887"/>
        <w:gridCol w:w="1117"/>
        <w:gridCol w:w="1134"/>
        <w:gridCol w:w="1004"/>
      </w:tblGrid>
      <w:tr>
        <w:tblPrEx>
          <w:tblBorders>
            <w:top w:val="double" w:color="2F5395" w:sz="2" w:space="0"/>
            <w:left w:val="double" w:color="2F5395" w:sz="2" w:space="0"/>
            <w:bottom w:val="double" w:color="2F5395" w:sz="2" w:space="0"/>
            <w:right w:val="double" w:color="2F5395" w:sz="2" w:space="0"/>
            <w:insideH w:val="double" w:color="2F5395" w:sz="2" w:space="0"/>
            <w:insideV w:val="double" w:color="2F5395" w:sz="2" w:space="0"/>
          </w:tblBorders>
          <w:tblCellMar>
            <w:top w:w="0" w:type="dxa"/>
            <w:left w:w="0" w:type="dxa"/>
            <w:bottom w:w="0" w:type="dxa"/>
            <w:right w:w="0" w:type="dxa"/>
          </w:tblCellMar>
        </w:tblPrEx>
        <w:trPr>
          <w:trHeight w:val="618" w:hRule="atLeast"/>
        </w:trPr>
        <w:tc>
          <w:tcPr>
            <w:tcW w:w="566" w:type="dxa"/>
            <w:tcBorders>
              <w:bottom w:val="single" w:color="2F5395" w:sz="4" w:space="0"/>
              <w:right w:val="single" w:color="2F5395" w:sz="4" w:space="0"/>
            </w:tcBorders>
            <w:shd w:val="clear" w:color="auto" w:fill="933634"/>
          </w:tcPr>
          <w:p>
            <w:pPr>
              <w:pStyle w:val="11"/>
              <w:spacing w:line="309" w:lineRule="exact"/>
              <w:ind w:left="155"/>
              <w:jc w:val="left"/>
              <w:rPr>
                <w:b/>
                <w:sz w:val="22"/>
              </w:rPr>
            </w:pPr>
            <w:r>
              <w:rPr>
                <w:b/>
                <w:color w:val="FFFFFF"/>
                <w:w w:val="100"/>
                <w:sz w:val="22"/>
              </w:rPr>
              <w:t>序</w:t>
            </w:r>
          </w:p>
          <w:p>
            <w:pPr>
              <w:pStyle w:val="11"/>
              <w:spacing w:line="289" w:lineRule="exact"/>
              <w:ind w:left="155"/>
              <w:jc w:val="left"/>
              <w:rPr>
                <w:b/>
                <w:sz w:val="22"/>
              </w:rPr>
            </w:pPr>
            <w:r>
              <w:rPr>
                <w:b/>
                <w:color w:val="FFFFFF"/>
                <w:w w:val="100"/>
                <w:sz w:val="22"/>
              </w:rPr>
              <w:t>号</w:t>
            </w:r>
          </w:p>
        </w:tc>
        <w:tc>
          <w:tcPr>
            <w:tcW w:w="1545" w:type="dxa"/>
            <w:tcBorders>
              <w:left w:val="single" w:color="2F5395" w:sz="4" w:space="0"/>
              <w:bottom w:val="single" w:color="2F5395" w:sz="4" w:space="0"/>
              <w:right w:val="single" w:color="2F5395" w:sz="4" w:space="0"/>
            </w:tcBorders>
            <w:shd w:val="clear" w:color="auto" w:fill="933634"/>
          </w:tcPr>
          <w:p>
            <w:pPr>
              <w:pStyle w:val="11"/>
              <w:spacing w:before="145"/>
              <w:ind w:left="532" w:right="521"/>
              <w:rPr>
                <w:b/>
                <w:sz w:val="22"/>
              </w:rPr>
            </w:pPr>
            <w:r>
              <w:rPr>
                <w:b/>
                <w:color w:val="FFFFFF"/>
                <w:sz w:val="22"/>
              </w:rPr>
              <w:t>坐落</w:t>
            </w:r>
          </w:p>
        </w:tc>
        <w:tc>
          <w:tcPr>
            <w:tcW w:w="1142" w:type="dxa"/>
            <w:tcBorders>
              <w:left w:val="single" w:color="2F5395" w:sz="4" w:space="0"/>
              <w:bottom w:val="single" w:color="2F5395" w:sz="4" w:space="0"/>
              <w:right w:val="single" w:color="2F5395" w:sz="4" w:space="0"/>
            </w:tcBorders>
            <w:shd w:val="clear" w:color="auto" w:fill="933634"/>
          </w:tcPr>
          <w:p>
            <w:pPr>
              <w:pStyle w:val="11"/>
              <w:spacing w:line="309" w:lineRule="exact"/>
              <w:ind w:left="132"/>
              <w:jc w:val="left"/>
              <w:rPr>
                <w:b/>
                <w:sz w:val="22"/>
              </w:rPr>
            </w:pPr>
            <w:r>
              <w:rPr>
                <w:b/>
                <w:color w:val="FFFFFF"/>
                <w:sz w:val="22"/>
              </w:rPr>
              <w:t>不动产登</w:t>
            </w:r>
          </w:p>
          <w:p>
            <w:pPr>
              <w:pStyle w:val="11"/>
              <w:spacing w:line="289" w:lineRule="exact"/>
              <w:ind w:left="243"/>
              <w:jc w:val="left"/>
              <w:rPr>
                <w:b/>
                <w:sz w:val="22"/>
              </w:rPr>
            </w:pPr>
            <w:r>
              <w:rPr>
                <w:b/>
                <w:color w:val="FFFFFF"/>
                <w:sz w:val="22"/>
              </w:rPr>
              <w:t>记证号</w:t>
            </w:r>
          </w:p>
        </w:tc>
        <w:tc>
          <w:tcPr>
            <w:tcW w:w="686" w:type="dxa"/>
            <w:tcBorders>
              <w:left w:val="single" w:color="2F5395" w:sz="4" w:space="0"/>
              <w:bottom w:val="single" w:color="2F5395" w:sz="4" w:space="0"/>
              <w:right w:val="single" w:color="2F5395" w:sz="4" w:space="0"/>
            </w:tcBorders>
            <w:shd w:val="clear" w:color="auto" w:fill="933634"/>
          </w:tcPr>
          <w:p>
            <w:pPr>
              <w:pStyle w:val="11"/>
              <w:spacing w:line="309" w:lineRule="exact"/>
              <w:ind w:left="126"/>
              <w:jc w:val="left"/>
              <w:rPr>
                <w:b/>
                <w:sz w:val="22"/>
              </w:rPr>
            </w:pPr>
            <w:r>
              <w:rPr>
                <w:b/>
                <w:color w:val="FFFFFF"/>
                <w:sz w:val="22"/>
              </w:rPr>
              <w:t>权利</w:t>
            </w:r>
          </w:p>
          <w:p>
            <w:pPr>
              <w:pStyle w:val="11"/>
              <w:spacing w:line="289" w:lineRule="exact"/>
              <w:ind w:left="236"/>
              <w:jc w:val="left"/>
              <w:rPr>
                <w:b/>
                <w:sz w:val="22"/>
              </w:rPr>
            </w:pPr>
            <w:r>
              <w:rPr>
                <w:b/>
                <w:color w:val="FFFFFF"/>
                <w:w w:val="100"/>
                <w:sz w:val="22"/>
              </w:rPr>
              <w:t>人</w:t>
            </w:r>
          </w:p>
        </w:tc>
        <w:tc>
          <w:tcPr>
            <w:tcW w:w="789" w:type="dxa"/>
            <w:tcBorders>
              <w:left w:val="single" w:color="2F5395" w:sz="4" w:space="0"/>
              <w:bottom w:val="single" w:color="2F5395" w:sz="4" w:space="0"/>
              <w:right w:val="single" w:color="2F5395" w:sz="4" w:space="0"/>
            </w:tcBorders>
            <w:shd w:val="clear" w:color="auto" w:fill="933634"/>
          </w:tcPr>
          <w:p>
            <w:pPr>
              <w:pStyle w:val="11"/>
              <w:spacing w:line="309" w:lineRule="exact"/>
              <w:ind w:left="157" w:right="141"/>
              <w:rPr>
                <w:b/>
                <w:sz w:val="22"/>
              </w:rPr>
            </w:pPr>
            <w:r>
              <w:rPr>
                <w:b/>
                <w:color w:val="FFFFFF"/>
                <w:sz w:val="22"/>
              </w:rPr>
              <w:t>共有</w:t>
            </w:r>
          </w:p>
          <w:p>
            <w:pPr>
              <w:pStyle w:val="11"/>
              <w:spacing w:line="289" w:lineRule="exact"/>
              <w:ind w:left="16"/>
              <w:rPr>
                <w:b/>
                <w:sz w:val="22"/>
              </w:rPr>
            </w:pPr>
            <w:r>
              <w:rPr>
                <w:b/>
                <w:color w:val="FFFFFF"/>
                <w:w w:val="100"/>
                <w:sz w:val="22"/>
              </w:rPr>
              <w:t>人</w:t>
            </w:r>
          </w:p>
        </w:tc>
        <w:tc>
          <w:tcPr>
            <w:tcW w:w="676" w:type="dxa"/>
            <w:tcBorders>
              <w:left w:val="single" w:color="2F5395" w:sz="4" w:space="0"/>
              <w:bottom w:val="single" w:color="2F5395" w:sz="4" w:space="0"/>
              <w:right w:val="single" w:color="2F5395" w:sz="4" w:space="0"/>
            </w:tcBorders>
            <w:shd w:val="clear" w:color="auto" w:fill="933634"/>
          </w:tcPr>
          <w:p>
            <w:pPr>
              <w:pStyle w:val="11"/>
              <w:spacing w:before="145"/>
              <w:ind w:left="88" w:right="73"/>
              <w:rPr>
                <w:b/>
                <w:sz w:val="22"/>
              </w:rPr>
            </w:pPr>
            <w:r>
              <w:rPr>
                <w:b/>
                <w:color w:val="FFFFFF"/>
                <w:sz w:val="22"/>
              </w:rPr>
              <w:t>楼层</w:t>
            </w:r>
          </w:p>
        </w:tc>
        <w:tc>
          <w:tcPr>
            <w:tcW w:w="777" w:type="dxa"/>
            <w:tcBorders>
              <w:left w:val="single" w:color="2F5395" w:sz="4" w:space="0"/>
              <w:bottom w:val="single" w:color="2F5395" w:sz="4" w:space="0"/>
              <w:right w:val="single" w:color="2F5395" w:sz="4" w:space="0"/>
            </w:tcBorders>
            <w:shd w:val="clear" w:color="auto" w:fill="933634"/>
          </w:tcPr>
          <w:p>
            <w:pPr>
              <w:pStyle w:val="11"/>
              <w:spacing w:before="145"/>
              <w:ind w:left="153" w:right="132"/>
              <w:rPr>
                <w:b/>
                <w:sz w:val="22"/>
              </w:rPr>
            </w:pPr>
            <w:r>
              <w:rPr>
                <w:b/>
                <w:color w:val="FFFFFF"/>
                <w:sz w:val="22"/>
              </w:rPr>
              <w:t>用途</w:t>
            </w:r>
          </w:p>
        </w:tc>
        <w:tc>
          <w:tcPr>
            <w:tcW w:w="455" w:type="dxa"/>
            <w:tcBorders>
              <w:left w:val="single" w:color="2F5395" w:sz="4" w:space="0"/>
              <w:bottom w:val="single" w:color="2F5395" w:sz="4" w:space="0"/>
              <w:right w:val="single" w:color="2F5395" w:sz="4" w:space="0"/>
            </w:tcBorders>
            <w:shd w:val="clear" w:color="auto" w:fill="933634"/>
          </w:tcPr>
          <w:p>
            <w:pPr>
              <w:pStyle w:val="11"/>
              <w:spacing w:line="309" w:lineRule="exact"/>
              <w:ind w:left="123"/>
              <w:jc w:val="left"/>
              <w:rPr>
                <w:b/>
                <w:sz w:val="22"/>
              </w:rPr>
            </w:pPr>
            <w:r>
              <w:rPr>
                <w:b/>
                <w:color w:val="FFFFFF"/>
                <w:w w:val="100"/>
                <w:sz w:val="22"/>
              </w:rPr>
              <w:t>朝</w:t>
            </w:r>
          </w:p>
          <w:p>
            <w:pPr>
              <w:pStyle w:val="11"/>
              <w:spacing w:line="289" w:lineRule="exact"/>
              <w:ind w:left="123"/>
              <w:jc w:val="left"/>
              <w:rPr>
                <w:b/>
                <w:sz w:val="22"/>
              </w:rPr>
            </w:pPr>
            <w:r>
              <w:rPr>
                <w:b/>
                <w:color w:val="FFFFFF"/>
                <w:w w:val="100"/>
                <w:sz w:val="22"/>
              </w:rPr>
              <w:t>向</w:t>
            </w:r>
          </w:p>
        </w:tc>
        <w:tc>
          <w:tcPr>
            <w:tcW w:w="887" w:type="dxa"/>
            <w:tcBorders>
              <w:left w:val="single" w:color="2F5395" w:sz="4" w:space="0"/>
              <w:bottom w:val="single" w:color="2F5395" w:sz="4" w:space="0"/>
              <w:right w:val="single" w:color="2F5395" w:sz="4" w:space="0"/>
            </w:tcBorders>
            <w:shd w:val="clear" w:color="auto" w:fill="933634"/>
          </w:tcPr>
          <w:p>
            <w:pPr>
              <w:pStyle w:val="11"/>
              <w:spacing w:line="309" w:lineRule="exact"/>
              <w:ind w:left="117"/>
              <w:jc w:val="left"/>
              <w:rPr>
                <w:b/>
                <w:sz w:val="22"/>
              </w:rPr>
            </w:pPr>
            <w:r>
              <w:rPr>
                <w:b/>
                <w:color w:val="FFFFFF"/>
                <w:sz w:val="22"/>
              </w:rPr>
              <w:t>建筑面</w:t>
            </w:r>
          </w:p>
          <w:p>
            <w:pPr>
              <w:pStyle w:val="11"/>
              <w:spacing w:line="289" w:lineRule="exact"/>
              <w:ind w:left="112" w:right="-29"/>
              <w:jc w:val="left"/>
              <w:rPr>
                <w:b/>
                <w:sz w:val="22"/>
              </w:rPr>
            </w:pPr>
            <w:r>
              <w:rPr>
                <w:b/>
                <w:color w:val="FFFFFF"/>
                <w:spacing w:val="-99"/>
                <w:sz w:val="22"/>
              </w:rPr>
              <w:t>积</w:t>
            </w:r>
            <w:r>
              <w:rPr>
                <w:b/>
                <w:color w:val="FFFFFF"/>
                <w:sz w:val="22"/>
              </w:rPr>
              <w:t>（㎡</w:t>
            </w:r>
            <w:r>
              <w:rPr>
                <w:b/>
                <w:color w:val="FFFFFF"/>
                <w:spacing w:val="-11"/>
                <w:sz w:val="22"/>
              </w:rPr>
              <w:t>）</w:t>
            </w:r>
          </w:p>
        </w:tc>
        <w:tc>
          <w:tcPr>
            <w:tcW w:w="1117" w:type="dxa"/>
            <w:tcBorders>
              <w:left w:val="single" w:color="2F5395" w:sz="4" w:space="0"/>
              <w:bottom w:val="single" w:color="2F5395" w:sz="4" w:space="0"/>
              <w:right w:val="single" w:color="2F5395" w:sz="4" w:space="0"/>
            </w:tcBorders>
            <w:shd w:val="clear" w:color="auto" w:fill="933634"/>
          </w:tcPr>
          <w:p>
            <w:pPr>
              <w:pStyle w:val="11"/>
              <w:spacing w:line="309" w:lineRule="exact"/>
              <w:ind w:left="123"/>
              <w:jc w:val="left"/>
              <w:rPr>
                <w:b/>
                <w:sz w:val="22"/>
              </w:rPr>
            </w:pPr>
            <w:r>
              <w:rPr>
                <w:b/>
                <w:color w:val="FFFFFF"/>
                <w:sz w:val="22"/>
              </w:rPr>
              <w:t>土地分摊</w:t>
            </w:r>
          </w:p>
          <w:p>
            <w:pPr>
              <w:pStyle w:val="11"/>
              <w:spacing w:line="289" w:lineRule="exact"/>
              <w:ind w:left="113" w:right="-29"/>
              <w:jc w:val="left"/>
              <w:rPr>
                <w:b/>
                <w:sz w:val="22"/>
              </w:rPr>
            </w:pPr>
            <w:r>
              <w:rPr>
                <w:b/>
                <w:color w:val="FFFFFF"/>
                <w:spacing w:val="-45"/>
                <w:sz w:val="22"/>
              </w:rPr>
              <w:t>面积</w:t>
            </w:r>
            <w:r>
              <w:rPr>
                <w:b/>
                <w:color w:val="FFFFFF"/>
                <w:sz w:val="22"/>
              </w:rPr>
              <w:t>（㎡</w:t>
            </w:r>
            <w:r>
              <w:rPr>
                <w:b/>
                <w:color w:val="FFFFFF"/>
                <w:spacing w:val="-12"/>
                <w:sz w:val="22"/>
              </w:rPr>
              <w:t>）</w:t>
            </w:r>
          </w:p>
        </w:tc>
        <w:tc>
          <w:tcPr>
            <w:tcW w:w="1134" w:type="dxa"/>
            <w:tcBorders>
              <w:left w:val="single" w:color="2F5395" w:sz="4" w:space="0"/>
              <w:bottom w:val="single" w:color="2F5395" w:sz="4" w:space="0"/>
              <w:right w:val="single" w:color="2F5395" w:sz="4" w:space="0"/>
            </w:tcBorders>
            <w:shd w:val="clear" w:color="auto" w:fill="933634"/>
          </w:tcPr>
          <w:p>
            <w:pPr>
              <w:pStyle w:val="11"/>
              <w:spacing w:line="309" w:lineRule="exact"/>
              <w:ind w:left="35" w:right="8"/>
              <w:rPr>
                <w:b/>
                <w:sz w:val="22"/>
              </w:rPr>
            </w:pPr>
            <w:r>
              <w:rPr>
                <w:b/>
                <w:color w:val="FFFFFF"/>
                <w:sz w:val="22"/>
              </w:rPr>
              <w:t>单价</w:t>
            </w:r>
          </w:p>
          <w:p>
            <w:pPr>
              <w:pStyle w:val="11"/>
              <w:spacing w:line="289" w:lineRule="exact"/>
              <w:ind w:left="98" w:right="8"/>
              <w:rPr>
                <w:b/>
                <w:sz w:val="22"/>
              </w:rPr>
            </w:pPr>
            <w:r>
              <w:rPr>
                <w:b/>
                <w:color w:val="FFFFFF"/>
                <w:sz w:val="22"/>
              </w:rPr>
              <w:t>（元/㎡）</w:t>
            </w:r>
          </w:p>
        </w:tc>
        <w:tc>
          <w:tcPr>
            <w:tcW w:w="1004" w:type="dxa"/>
            <w:tcBorders>
              <w:left w:val="single" w:color="2F5395" w:sz="4" w:space="0"/>
              <w:bottom w:val="single" w:color="2F5395" w:sz="4" w:space="0"/>
              <w:right w:val="single" w:color="2F5395" w:sz="4" w:space="0"/>
            </w:tcBorders>
            <w:shd w:val="clear" w:color="auto" w:fill="933634"/>
          </w:tcPr>
          <w:p>
            <w:pPr>
              <w:pStyle w:val="11"/>
              <w:spacing w:line="309" w:lineRule="exact"/>
              <w:ind w:left="52" w:right="20"/>
              <w:rPr>
                <w:b/>
                <w:sz w:val="22"/>
              </w:rPr>
            </w:pPr>
            <w:r>
              <w:rPr>
                <w:b/>
                <w:color w:val="FFFFFF"/>
                <w:sz w:val="22"/>
              </w:rPr>
              <w:t>总价（万</w:t>
            </w:r>
          </w:p>
          <w:p>
            <w:pPr>
              <w:pStyle w:val="11"/>
              <w:spacing w:line="289" w:lineRule="exact"/>
              <w:ind w:left="50" w:right="20"/>
              <w:rPr>
                <w:b/>
                <w:sz w:val="22"/>
              </w:rPr>
            </w:pPr>
            <w:r>
              <w:rPr>
                <w:b/>
                <w:color w:val="FFFFFF"/>
                <w:sz w:val="22"/>
              </w:rPr>
              <w:t>元）</w:t>
            </w:r>
          </w:p>
        </w:tc>
      </w:tr>
      <w:tr>
        <w:tblPrEx>
          <w:tblBorders>
            <w:top w:val="double" w:color="2F5395" w:sz="2" w:space="0"/>
            <w:left w:val="double" w:color="2F5395" w:sz="2" w:space="0"/>
            <w:bottom w:val="double" w:color="2F5395" w:sz="2" w:space="0"/>
            <w:right w:val="double" w:color="2F5395" w:sz="2" w:space="0"/>
            <w:insideH w:val="double" w:color="2F5395" w:sz="2" w:space="0"/>
            <w:insideV w:val="double" w:color="2F5395" w:sz="2" w:space="0"/>
          </w:tblBorders>
          <w:tblCellMar>
            <w:top w:w="0" w:type="dxa"/>
            <w:left w:w="0" w:type="dxa"/>
            <w:bottom w:w="0" w:type="dxa"/>
            <w:right w:w="0" w:type="dxa"/>
          </w:tblCellMar>
        </w:tblPrEx>
        <w:trPr>
          <w:trHeight w:val="1542" w:hRule="atLeast"/>
        </w:trPr>
        <w:tc>
          <w:tcPr>
            <w:tcW w:w="566" w:type="dxa"/>
            <w:tcBorders>
              <w:top w:val="single" w:color="2F5395" w:sz="4" w:space="0"/>
              <w:bottom w:val="single" w:color="2F5395" w:sz="4" w:space="0"/>
              <w:right w:val="single" w:color="2F5395" w:sz="4" w:space="0"/>
            </w:tcBorders>
            <w:shd w:val="clear" w:color="auto" w:fill="FFFFCC"/>
          </w:tcPr>
          <w:p>
            <w:pPr>
              <w:pStyle w:val="11"/>
              <w:spacing w:before="9"/>
              <w:jc w:val="left"/>
              <w:rPr>
                <w:b/>
                <w:sz w:val="40"/>
              </w:rPr>
            </w:pPr>
          </w:p>
          <w:p>
            <w:pPr>
              <w:pStyle w:val="11"/>
              <w:ind w:right="3"/>
              <w:rPr>
                <w:sz w:val="22"/>
              </w:rPr>
            </w:pPr>
            <w:r>
              <w:rPr>
                <w:w w:val="100"/>
                <w:sz w:val="22"/>
              </w:rPr>
              <w:t>1</w:t>
            </w:r>
          </w:p>
        </w:tc>
        <w:tc>
          <w:tcPr>
            <w:tcW w:w="1545" w:type="dxa"/>
            <w:tcBorders>
              <w:top w:val="single" w:color="2F5395" w:sz="4" w:space="0"/>
              <w:left w:val="single" w:color="2F5395" w:sz="4" w:space="0"/>
              <w:bottom w:val="single" w:color="2F5395" w:sz="4" w:space="0"/>
              <w:right w:val="single" w:color="2F5395" w:sz="4" w:space="0"/>
            </w:tcBorders>
            <w:shd w:val="clear" w:color="auto" w:fill="FFFFCC"/>
          </w:tcPr>
          <w:p>
            <w:pPr>
              <w:pStyle w:val="11"/>
              <w:spacing w:before="158" w:line="225" w:lineRule="auto"/>
              <w:ind w:left="110" w:right="-29" w:firstLine="2"/>
              <w:jc w:val="left"/>
              <w:rPr>
                <w:sz w:val="22"/>
              </w:rPr>
            </w:pPr>
            <w:r>
              <w:rPr>
                <w:spacing w:val="-1"/>
                <w:sz w:val="22"/>
              </w:rPr>
              <w:t>云县爱华镇三</w:t>
            </w:r>
            <w:r>
              <w:rPr>
                <w:spacing w:val="-36"/>
                <w:sz w:val="22"/>
              </w:rPr>
              <w:t>江半岛</w:t>
            </w:r>
            <w:r>
              <w:rPr>
                <w:sz w:val="22"/>
              </w:rPr>
              <w:t>（</w:t>
            </w:r>
            <w:r>
              <w:rPr>
                <w:spacing w:val="-2"/>
                <w:sz w:val="22"/>
              </w:rPr>
              <w:t>三期</w:t>
            </w:r>
            <w:r>
              <w:rPr>
                <w:sz w:val="22"/>
              </w:rPr>
              <w:t xml:space="preserve">） </w:t>
            </w:r>
            <w:r>
              <w:rPr>
                <w:spacing w:val="-1"/>
                <w:sz w:val="22"/>
              </w:rPr>
              <w:t>时代广场半岛 4 幢 1-404 室</w:t>
            </w:r>
          </w:p>
        </w:tc>
        <w:tc>
          <w:tcPr>
            <w:tcW w:w="1142" w:type="dxa"/>
            <w:tcBorders>
              <w:top w:val="single" w:color="2F5395" w:sz="4" w:space="0"/>
              <w:left w:val="single" w:color="2F5395" w:sz="4" w:space="0"/>
              <w:bottom w:val="single" w:color="2F5395" w:sz="4" w:space="0"/>
              <w:right w:val="single" w:color="2F5395" w:sz="4" w:space="0"/>
            </w:tcBorders>
            <w:shd w:val="clear" w:color="auto" w:fill="FFFFCC"/>
          </w:tcPr>
          <w:p>
            <w:pPr>
              <w:pStyle w:val="11"/>
              <w:spacing w:before="4" w:line="225" w:lineRule="auto"/>
              <w:ind w:left="132" w:right="-29" w:hanging="24"/>
              <w:jc w:val="left"/>
              <w:rPr>
                <w:sz w:val="22"/>
              </w:rPr>
            </w:pPr>
            <w:r>
              <w:rPr>
                <w:spacing w:val="-111"/>
                <w:sz w:val="22"/>
              </w:rPr>
              <w:t>滇</w:t>
            </w:r>
            <w:r>
              <w:rPr>
                <w:sz w:val="22"/>
              </w:rPr>
              <w:t>（2017） 云县不动产权第0002458</w:t>
            </w:r>
          </w:p>
          <w:p>
            <w:pPr>
              <w:pStyle w:val="11"/>
              <w:spacing w:line="281" w:lineRule="exact"/>
              <w:ind w:left="461"/>
              <w:jc w:val="left"/>
              <w:rPr>
                <w:sz w:val="22"/>
              </w:rPr>
            </w:pPr>
            <w:r>
              <w:rPr>
                <w:w w:val="100"/>
                <w:sz w:val="22"/>
              </w:rPr>
              <w:t>号</w:t>
            </w:r>
          </w:p>
        </w:tc>
        <w:tc>
          <w:tcPr>
            <w:tcW w:w="686" w:type="dxa"/>
            <w:tcBorders>
              <w:top w:val="single" w:color="2F5395" w:sz="4" w:space="0"/>
              <w:left w:val="single" w:color="2F5395" w:sz="4" w:space="0"/>
              <w:bottom w:val="single" w:color="2F5395" w:sz="4" w:space="0"/>
              <w:right w:val="single" w:color="2F5395" w:sz="4" w:space="0"/>
            </w:tcBorders>
            <w:shd w:val="clear" w:color="auto" w:fill="FFFFCC"/>
          </w:tcPr>
          <w:p>
            <w:pPr>
              <w:pStyle w:val="11"/>
              <w:spacing w:before="6"/>
              <w:jc w:val="left"/>
              <w:rPr>
                <w:b/>
                <w:sz w:val="31"/>
              </w:rPr>
            </w:pPr>
          </w:p>
          <w:p>
            <w:pPr>
              <w:pStyle w:val="11"/>
              <w:spacing w:line="223" w:lineRule="auto"/>
              <w:ind w:left="236" w:right="106" w:hanging="111"/>
              <w:jc w:val="left"/>
              <w:rPr>
                <w:sz w:val="22"/>
              </w:rPr>
            </w:pPr>
            <w:r>
              <w:rPr>
                <w:sz w:val="22"/>
              </w:rPr>
              <w:t>王晓丽</w:t>
            </w:r>
          </w:p>
        </w:tc>
        <w:tc>
          <w:tcPr>
            <w:tcW w:w="789" w:type="dxa"/>
            <w:tcBorders>
              <w:top w:val="single" w:color="2F5395" w:sz="4" w:space="0"/>
              <w:left w:val="single" w:color="2F5395" w:sz="4" w:space="0"/>
              <w:bottom w:val="single" w:color="2F5395" w:sz="4" w:space="0"/>
              <w:right w:val="single" w:color="2F5395" w:sz="4" w:space="0"/>
            </w:tcBorders>
            <w:shd w:val="clear" w:color="auto" w:fill="FFFFCC"/>
          </w:tcPr>
          <w:p>
            <w:pPr>
              <w:pStyle w:val="11"/>
              <w:spacing w:before="6"/>
              <w:jc w:val="left"/>
              <w:rPr>
                <w:b/>
                <w:sz w:val="31"/>
              </w:rPr>
            </w:pPr>
          </w:p>
          <w:p>
            <w:pPr>
              <w:pStyle w:val="11"/>
              <w:spacing w:line="223" w:lineRule="auto"/>
              <w:ind w:left="287" w:right="158" w:hanging="111"/>
              <w:jc w:val="left"/>
              <w:rPr>
                <w:sz w:val="22"/>
              </w:rPr>
            </w:pPr>
            <w:r>
              <w:rPr>
                <w:sz w:val="22"/>
              </w:rPr>
              <w:t>杨应新</w:t>
            </w:r>
          </w:p>
        </w:tc>
        <w:tc>
          <w:tcPr>
            <w:tcW w:w="676" w:type="dxa"/>
            <w:tcBorders>
              <w:top w:val="single" w:color="2F5395" w:sz="4" w:space="0"/>
              <w:left w:val="single" w:color="2F5395" w:sz="4" w:space="0"/>
              <w:bottom w:val="single" w:color="2F5395" w:sz="4" w:space="0"/>
              <w:right w:val="single" w:color="2F5395" w:sz="4" w:space="0"/>
            </w:tcBorders>
            <w:shd w:val="clear" w:color="auto" w:fill="FFFFCC"/>
          </w:tcPr>
          <w:p>
            <w:pPr>
              <w:pStyle w:val="11"/>
              <w:spacing w:before="9"/>
              <w:jc w:val="left"/>
              <w:rPr>
                <w:b/>
                <w:sz w:val="40"/>
              </w:rPr>
            </w:pPr>
          </w:p>
          <w:p>
            <w:pPr>
              <w:pStyle w:val="11"/>
              <w:ind w:left="90" w:right="73"/>
              <w:rPr>
                <w:sz w:val="22"/>
              </w:rPr>
            </w:pPr>
            <w:r>
              <w:rPr>
                <w:sz w:val="22"/>
              </w:rPr>
              <w:t>4/17</w:t>
            </w:r>
          </w:p>
        </w:tc>
        <w:tc>
          <w:tcPr>
            <w:tcW w:w="777" w:type="dxa"/>
            <w:tcBorders>
              <w:top w:val="single" w:color="2F5395" w:sz="4" w:space="0"/>
              <w:left w:val="single" w:color="2F5395" w:sz="4" w:space="0"/>
              <w:bottom w:val="single" w:color="2F5395" w:sz="4" w:space="0"/>
              <w:right w:val="single" w:color="2F5395" w:sz="4" w:space="0"/>
            </w:tcBorders>
            <w:shd w:val="clear" w:color="auto" w:fill="FFFFCC"/>
          </w:tcPr>
          <w:p>
            <w:pPr>
              <w:pStyle w:val="11"/>
              <w:spacing w:before="6"/>
              <w:jc w:val="left"/>
              <w:rPr>
                <w:b/>
                <w:sz w:val="31"/>
              </w:rPr>
            </w:pPr>
          </w:p>
          <w:p>
            <w:pPr>
              <w:pStyle w:val="11"/>
              <w:spacing w:line="223" w:lineRule="auto"/>
              <w:ind w:left="173" w:right="151"/>
              <w:jc w:val="left"/>
              <w:rPr>
                <w:sz w:val="22"/>
              </w:rPr>
            </w:pPr>
            <w:r>
              <w:rPr>
                <w:sz w:val="22"/>
              </w:rPr>
              <w:t>成套住宅</w:t>
            </w:r>
          </w:p>
        </w:tc>
        <w:tc>
          <w:tcPr>
            <w:tcW w:w="455" w:type="dxa"/>
            <w:tcBorders>
              <w:top w:val="single" w:color="2F5395" w:sz="4" w:space="0"/>
              <w:left w:val="single" w:color="2F5395" w:sz="4" w:space="0"/>
              <w:bottom w:val="single" w:color="2F5395" w:sz="4" w:space="0"/>
              <w:right w:val="single" w:color="2F5395" w:sz="4" w:space="0"/>
            </w:tcBorders>
            <w:shd w:val="clear" w:color="auto" w:fill="FFFFCC"/>
          </w:tcPr>
          <w:p>
            <w:pPr>
              <w:pStyle w:val="11"/>
              <w:spacing w:before="9"/>
              <w:jc w:val="left"/>
              <w:rPr>
                <w:b/>
                <w:sz w:val="40"/>
              </w:rPr>
            </w:pPr>
          </w:p>
          <w:p>
            <w:pPr>
              <w:pStyle w:val="11"/>
              <w:ind w:right="98"/>
              <w:jc w:val="right"/>
              <w:rPr>
                <w:sz w:val="22"/>
              </w:rPr>
            </w:pPr>
            <w:r>
              <w:rPr>
                <w:w w:val="100"/>
                <w:sz w:val="22"/>
              </w:rPr>
              <w:t>北</w:t>
            </w:r>
          </w:p>
        </w:tc>
        <w:tc>
          <w:tcPr>
            <w:tcW w:w="887" w:type="dxa"/>
            <w:tcBorders>
              <w:top w:val="single" w:color="2F5395" w:sz="4" w:space="0"/>
              <w:left w:val="single" w:color="2F5395" w:sz="4" w:space="0"/>
              <w:bottom w:val="single" w:color="2F5395" w:sz="4" w:space="0"/>
              <w:right w:val="single" w:color="2F5395" w:sz="4" w:space="0"/>
            </w:tcBorders>
            <w:shd w:val="clear" w:color="auto" w:fill="FFFFCC"/>
          </w:tcPr>
          <w:p>
            <w:pPr>
              <w:pStyle w:val="11"/>
              <w:spacing w:before="9"/>
              <w:jc w:val="left"/>
              <w:rPr>
                <w:b/>
                <w:sz w:val="40"/>
              </w:rPr>
            </w:pPr>
          </w:p>
          <w:p>
            <w:pPr>
              <w:pStyle w:val="11"/>
              <w:ind w:left="85" w:right="66"/>
              <w:rPr>
                <w:sz w:val="22"/>
              </w:rPr>
            </w:pPr>
            <w:r>
              <w:rPr>
                <w:sz w:val="22"/>
              </w:rPr>
              <w:t>104.76</w:t>
            </w:r>
          </w:p>
        </w:tc>
        <w:tc>
          <w:tcPr>
            <w:tcW w:w="1117" w:type="dxa"/>
            <w:tcBorders>
              <w:top w:val="single" w:color="2F5395" w:sz="4" w:space="0"/>
              <w:left w:val="single" w:color="2F5395" w:sz="4" w:space="0"/>
              <w:bottom w:val="single" w:color="2F5395" w:sz="4" w:space="0"/>
              <w:right w:val="single" w:color="2F5395" w:sz="4" w:space="0"/>
            </w:tcBorders>
            <w:shd w:val="clear" w:color="auto" w:fill="FFFFCC"/>
          </w:tcPr>
          <w:p>
            <w:pPr>
              <w:pStyle w:val="11"/>
              <w:spacing w:before="9"/>
              <w:jc w:val="left"/>
              <w:rPr>
                <w:b/>
                <w:sz w:val="40"/>
              </w:rPr>
            </w:pPr>
          </w:p>
          <w:p>
            <w:pPr>
              <w:pStyle w:val="11"/>
              <w:ind w:left="270" w:right="248"/>
              <w:rPr>
                <w:sz w:val="22"/>
              </w:rPr>
            </w:pPr>
            <w:r>
              <w:rPr>
                <w:sz w:val="22"/>
              </w:rPr>
              <w:t>12.53</w:t>
            </w:r>
          </w:p>
        </w:tc>
        <w:tc>
          <w:tcPr>
            <w:tcW w:w="1134" w:type="dxa"/>
            <w:tcBorders>
              <w:top w:val="single" w:color="2F5395" w:sz="4" w:space="0"/>
              <w:left w:val="single" w:color="2F5395" w:sz="4" w:space="0"/>
              <w:bottom w:val="single" w:color="2F5395" w:sz="4" w:space="0"/>
              <w:right w:val="single" w:color="2F5395" w:sz="4" w:space="0"/>
            </w:tcBorders>
            <w:shd w:val="clear" w:color="auto" w:fill="FFFFCC"/>
          </w:tcPr>
          <w:p>
            <w:pPr>
              <w:pStyle w:val="11"/>
              <w:spacing w:before="9"/>
              <w:jc w:val="left"/>
              <w:rPr>
                <w:b/>
                <w:sz w:val="40"/>
              </w:rPr>
            </w:pPr>
          </w:p>
          <w:p>
            <w:pPr>
              <w:pStyle w:val="11"/>
              <w:ind w:left="35" w:right="8"/>
              <w:rPr>
                <w:sz w:val="22"/>
              </w:rPr>
            </w:pPr>
            <w:r>
              <w:rPr>
                <w:sz w:val="22"/>
              </w:rPr>
              <w:t>4,260</w:t>
            </w:r>
          </w:p>
        </w:tc>
        <w:tc>
          <w:tcPr>
            <w:tcW w:w="1004" w:type="dxa"/>
            <w:tcBorders>
              <w:top w:val="single" w:color="2F5395" w:sz="4" w:space="0"/>
              <w:left w:val="single" w:color="2F5395" w:sz="4" w:space="0"/>
              <w:bottom w:val="single" w:color="2F5395" w:sz="4" w:space="0"/>
              <w:right w:val="single" w:color="2F5395" w:sz="4" w:space="0"/>
            </w:tcBorders>
            <w:shd w:val="clear" w:color="auto" w:fill="FFFFCC"/>
          </w:tcPr>
          <w:p>
            <w:pPr>
              <w:pStyle w:val="11"/>
              <w:spacing w:before="9"/>
              <w:jc w:val="left"/>
              <w:rPr>
                <w:b/>
                <w:sz w:val="40"/>
              </w:rPr>
            </w:pPr>
          </w:p>
          <w:p>
            <w:pPr>
              <w:pStyle w:val="11"/>
              <w:ind w:left="50" w:right="20"/>
              <w:rPr>
                <w:sz w:val="22"/>
              </w:rPr>
            </w:pPr>
            <w:r>
              <w:rPr>
                <w:sz w:val="22"/>
              </w:rPr>
              <w:t>44.63</w:t>
            </w:r>
          </w:p>
        </w:tc>
      </w:tr>
      <w:tr>
        <w:tblPrEx>
          <w:tblBorders>
            <w:top w:val="double" w:color="2F5395" w:sz="2" w:space="0"/>
            <w:left w:val="double" w:color="2F5395" w:sz="2" w:space="0"/>
            <w:bottom w:val="double" w:color="2F5395" w:sz="2" w:space="0"/>
            <w:right w:val="double" w:color="2F5395" w:sz="2" w:space="0"/>
            <w:insideH w:val="double" w:color="2F5395" w:sz="2" w:space="0"/>
            <w:insideV w:val="double" w:color="2F5395" w:sz="2" w:space="0"/>
          </w:tblBorders>
          <w:tblCellMar>
            <w:top w:w="0" w:type="dxa"/>
            <w:left w:w="0" w:type="dxa"/>
            <w:bottom w:w="0" w:type="dxa"/>
            <w:right w:w="0" w:type="dxa"/>
          </w:tblCellMar>
        </w:tblPrEx>
        <w:trPr>
          <w:trHeight w:val="309" w:hRule="atLeast"/>
        </w:trPr>
        <w:tc>
          <w:tcPr>
            <w:tcW w:w="2111" w:type="dxa"/>
            <w:gridSpan w:val="2"/>
            <w:tcBorders>
              <w:top w:val="single" w:color="2F5395" w:sz="4" w:space="0"/>
              <w:bottom w:val="single" w:color="2F5395" w:sz="4" w:space="0"/>
              <w:right w:val="single" w:color="2F5395" w:sz="4" w:space="0"/>
            </w:tcBorders>
            <w:shd w:val="clear" w:color="auto" w:fill="933634"/>
          </w:tcPr>
          <w:p>
            <w:pPr>
              <w:pStyle w:val="11"/>
              <w:spacing w:line="289" w:lineRule="exact"/>
              <w:ind w:left="799" w:right="803"/>
              <w:rPr>
                <w:b/>
                <w:sz w:val="22"/>
              </w:rPr>
            </w:pPr>
            <w:r>
              <w:rPr>
                <w:b/>
                <w:color w:val="FFFFFF"/>
                <w:sz w:val="22"/>
              </w:rPr>
              <w:t>合计</w:t>
            </w:r>
          </w:p>
        </w:tc>
        <w:tc>
          <w:tcPr>
            <w:tcW w:w="1142" w:type="dxa"/>
            <w:tcBorders>
              <w:top w:val="single" w:color="2F5395" w:sz="4" w:space="0"/>
              <w:left w:val="single" w:color="2F5395" w:sz="4" w:space="0"/>
              <w:bottom w:val="single" w:color="2F5395" w:sz="4" w:space="0"/>
              <w:right w:val="single" w:color="2F5395" w:sz="4" w:space="0"/>
            </w:tcBorders>
            <w:shd w:val="clear" w:color="auto" w:fill="933634"/>
          </w:tcPr>
          <w:p>
            <w:pPr>
              <w:pStyle w:val="11"/>
              <w:spacing w:line="289" w:lineRule="exact"/>
              <w:ind w:left="12"/>
              <w:rPr>
                <w:b/>
                <w:sz w:val="22"/>
              </w:rPr>
            </w:pPr>
            <w:r>
              <w:rPr>
                <w:b/>
                <w:color w:val="FFFFFF"/>
                <w:w w:val="100"/>
                <w:sz w:val="22"/>
              </w:rPr>
              <w:t>—</w:t>
            </w:r>
          </w:p>
        </w:tc>
        <w:tc>
          <w:tcPr>
            <w:tcW w:w="686" w:type="dxa"/>
            <w:tcBorders>
              <w:top w:val="single" w:color="2F5395" w:sz="4" w:space="0"/>
              <w:left w:val="single" w:color="2F5395" w:sz="4" w:space="0"/>
              <w:bottom w:val="single" w:color="2F5395" w:sz="4" w:space="0"/>
              <w:right w:val="single" w:color="2F5395" w:sz="4" w:space="0"/>
            </w:tcBorders>
            <w:shd w:val="clear" w:color="auto" w:fill="933634"/>
          </w:tcPr>
          <w:p>
            <w:pPr>
              <w:pStyle w:val="11"/>
              <w:spacing w:line="289" w:lineRule="exact"/>
              <w:ind w:left="236"/>
              <w:jc w:val="left"/>
              <w:rPr>
                <w:b/>
                <w:sz w:val="22"/>
              </w:rPr>
            </w:pPr>
            <w:r>
              <w:rPr>
                <w:b/>
                <w:color w:val="FFFFFF"/>
                <w:w w:val="100"/>
                <w:sz w:val="22"/>
              </w:rPr>
              <w:t>—</w:t>
            </w:r>
          </w:p>
        </w:tc>
        <w:tc>
          <w:tcPr>
            <w:tcW w:w="789" w:type="dxa"/>
            <w:tcBorders>
              <w:top w:val="single" w:color="2F5395" w:sz="4" w:space="0"/>
              <w:left w:val="single" w:color="2F5395" w:sz="4" w:space="0"/>
              <w:bottom w:val="single" w:color="2F5395" w:sz="4" w:space="0"/>
              <w:right w:val="single" w:color="2F5395" w:sz="4" w:space="0"/>
            </w:tcBorders>
            <w:shd w:val="clear" w:color="auto" w:fill="933634"/>
          </w:tcPr>
          <w:p>
            <w:pPr>
              <w:pStyle w:val="11"/>
              <w:jc w:val="left"/>
              <w:rPr>
                <w:rFonts w:ascii="Times New Roman"/>
                <w:sz w:val="22"/>
              </w:rPr>
            </w:pPr>
          </w:p>
        </w:tc>
        <w:tc>
          <w:tcPr>
            <w:tcW w:w="676" w:type="dxa"/>
            <w:tcBorders>
              <w:top w:val="single" w:color="2F5395" w:sz="4" w:space="0"/>
              <w:left w:val="single" w:color="2F5395" w:sz="4" w:space="0"/>
              <w:bottom w:val="single" w:color="2F5395" w:sz="4" w:space="0"/>
              <w:right w:val="single" w:color="2F5395" w:sz="4" w:space="0"/>
            </w:tcBorders>
            <w:shd w:val="clear" w:color="auto" w:fill="933634"/>
          </w:tcPr>
          <w:p>
            <w:pPr>
              <w:pStyle w:val="11"/>
              <w:spacing w:line="289" w:lineRule="exact"/>
              <w:ind w:left="15"/>
              <w:rPr>
                <w:b/>
                <w:sz w:val="22"/>
              </w:rPr>
            </w:pPr>
            <w:r>
              <w:rPr>
                <w:b/>
                <w:color w:val="FFFFFF"/>
                <w:w w:val="100"/>
                <w:sz w:val="22"/>
              </w:rPr>
              <w:t>—</w:t>
            </w:r>
          </w:p>
        </w:tc>
        <w:tc>
          <w:tcPr>
            <w:tcW w:w="777" w:type="dxa"/>
            <w:tcBorders>
              <w:top w:val="single" w:color="2F5395" w:sz="4" w:space="0"/>
              <w:left w:val="single" w:color="2F5395" w:sz="4" w:space="0"/>
              <w:bottom w:val="single" w:color="2F5395" w:sz="4" w:space="0"/>
              <w:right w:val="single" w:color="2F5395" w:sz="4" w:space="0"/>
            </w:tcBorders>
            <w:shd w:val="clear" w:color="auto" w:fill="933634"/>
          </w:tcPr>
          <w:p>
            <w:pPr>
              <w:pStyle w:val="11"/>
              <w:spacing w:line="289" w:lineRule="exact"/>
              <w:ind w:left="21"/>
              <w:rPr>
                <w:b/>
                <w:sz w:val="22"/>
              </w:rPr>
            </w:pPr>
            <w:r>
              <w:rPr>
                <w:b/>
                <w:color w:val="FFFFFF"/>
                <w:w w:val="100"/>
                <w:sz w:val="22"/>
              </w:rPr>
              <w:t>—</w:t>
            </w:r>
          </w:p>
        </w:tc>
        <w:tc>
          <w:tcPr>
            <w:tcW w:w="455" w:type="dxa"/>
            <w:tcBorders>
              <w:top w:val="single" w:color="2F5395" w:sz="4" w:space="0"/>
              <w:left w:val="single" w:color="2F5395" w:sz="4" w:space="0"/>
              <w:bottom w:val="single" w:color="2F5395" w:sz="4" w:space="0"/>
              <w:right w:val="single" w:color="2F5395" w:sz="4" w:space="0"/>
            </w:tcBorders>
            <w:shd w:val="clear" w:color="auto" w:fill="933634"/>
          </w:tcPr>
          <w:p>
            <w:pPr>
              <w:pStyle w:val="11"/>
              <w:spacing w:line="289" w:lineRule="exact"/>
              <w:ind w:right="98"/>
              <w:jc w:val="right"/>
              <w:rPr>
                <w:b/>
                <w:sz w:val="22"/>
              </w:rPr>
            </w:pPr>
            <w:r>
              <w:rPr>
                <w:b/>
                <w:color w:val="FFFFFF"/>
                <w:w w:val="100"/>
                <w:sz w:val="22"/>
              </w:rPr>
              <w:t>—</w:t>
            </w:r>
          </w:p>
        </w:tc>
        <w:tc>
          <w:tcPr>
            <w:tcW w:w="887" w:type="dxa"/>
            <w:tcBorders>
              <w:top w:val="single" w:color="2F5395" w:sz="4" w:space="0"/>
              <w:left w:val="single" w:color="2F5395" w:sz="4" w:space="0"/>
              <w:bottom w:val="single" w:color="2F5395" w:sz="4" w:space="0"/>
              <w:right w:val="single" w:color="2F5395" w:sz="4" w:space="0"/>
            </w:tcBorders>
            <w:shd w:val="clear" w:color="auto" w:fill="933634"/>
          </w:tcPr>
          <w:p>
            <w:pPr>
              <w:pStyle w:val="11"/>
              <w:spacing w:line="289" w:lineRule="exact"/>
              <w:ind w:left="88" w:right="66"/>
              <w:rPr>
                <w:b/>
                <w:sz w:val="22"/>
              </w:rPr>
            </w:pPr>
            <w:r>
              <w:rPr>
                <w:b/>
                <w:color w:val="FFFFFF"/>
                <w:sz w:val="22"/>
              </w:rPr>
              <w:t>104.76</w:t>
            </w:r>
          </w:p>
        </w:tc>
        <w:tc>
          <w:tcPr>
            <w:tcW w:w="1117" w:type="dxa"/>
            <w:tcBorders>
              <w:top w:val="single" w:color="2F5395" w:sz="4" w:space="0"/>
              <w:left w:val="single" w:color="2F5395" w:sz="4" w:space="0"/>
              <w:bottom w:val="single" w:color="2F5395" w:sz="4" w:space="0"/>
              <w:right w:val="single" w:color="2F5395" w:sz="4" w:space="0"/>
            </w:tcBorders>
            <w:shd w:val="clear" w:color="auto" w:fill="933634"/>
          </w:tcPr>
          <w:p>
            <w:pPr>
              <w:pStyle w:val="11"/>
              <w:spacing w:line="289" w:lineRule="exact"/>
              <w:ind w:left="22"/>
              <w:rPr>
                <w:b/>
                <w:sz w:val="22"/>
              </w:rPr>
            </w:pPr>
            <w:r>
              <w:rPr>
                <w:b/>
                <w:color w:val="FFFFFF"/>
                <w:w w:val="100"/>
                <w:sz w:val="22"/>
              </w:rPr>
              <w:t>—</w:t>
            </w:r>
          </w:p>
        </w:tc>
        <w:tc>
          <w:tcPr>
            <w:tcW w:w="1134" w:type="dxa"/>
            <w:tcBorders>
              <w:top w:val="single" w:color="2F5395" w:sz="4" w:space="0"/>
              <w:left w:val="single" w:color="2F5395" w:sz="4" w:space="0"/>
              <w:bottom w:val="single" w:color="2F5395" w:sz="4" w:space="0"/>
              <w:right w:val="single" w:color="2F5395" w:sz="4" w:space="0"/>
            </w:tcBorders>
            <w:shd w:val="clear" w:color="auto" w:fill="933634"/>
          </w:tcPr>
          <w:p>
            <w:pPr>
              <w:pStyle w:val="11"/>
              <w:spacing w:line="289" w:lineRule="exact"/>
              <w:ind w:left="27"/>
              <w:rPr>
                <w:b/>
                <w:sz w:val="22"/>
              </w:rPr>
            </w:pPr>
            <w:r>
              <w:rPr>
                <w:b/>
                <w:color w:val="FFFFFF"/>
                <w:w w:val="100"/>
                <w:sz w:val="22"/>
              </w:rPr>
              <w:t>—</w:t>
            </w:r>
          </w:p>
        </w:tc>
        <w:tc>
          <w:tcPr>
            <w:tcW w:w="1004" w:type="dxa"/>
            <w:tcBorders>
              <w:top w:val="single" w:color="2F5395" w:sz="4" w:space="0"/>
              <w:left w:val="single" w:color="2F5395" w:sz="4" w:space="0"/>
              <w:bottom w:val="single" w:color="2F5395" w:sz="4" w:space="0"/>
              <w:right w:val="single" w:color="2F5395" w:sz="4" w:space="0"/>
            </w:tcBorders>
            <w:shd w:val="clear" w:color="auto" w:fill="933634"/>
          </w:tcPr>
          <w:p>
            <w:pPr>
              <w:pStyle w:val="11"/>
              <w:spacing w:line="289" w:lineRule="exact"/>
              <w:ind w:left="50" w:right="20"/>
              <w:rPr>
                <w:b/>
                <w:sz w:val="22"/>
              </w:rPr>
            </w:pPr>
            <w:r>
              <w:rPr>
                <w:b/>
                <w:color w:val="FFFFFF"/>
                <w:sz w:val="22"/>
              </w:rPr>
              <w:t>44.63</w:t>
            </w:r>
          </w:p>
        </w:tc>
      </w:tr>
      <w:tr>
        <w:tblPrEx>
          <w:tblBorders>
            <w:top w:val="double" w:color="2F5395" w:sz="2" w:space="0"/>
            <w:left w:val="double" w:color="2F5395" w:sz="2" w:space="0"/>
            <w:bottom w:val="double" w:color="2F5395" w:sz="2" w:space="0"/>
            <w:right w:val="double" w:color="2F5395" w:sz="2" w:space="0"/>
            <w:insideH w:val="double" w:color="2F5395" w:sz="2" w:space="0"/>
            <w:insideV w:val="double" w:color="2F5395" w:sz="2" w:space="0"/>
          </w:tblBorders>
          <w:tblCellMar>
            <w:top w:w="0" w:type="dxa"/>
            <w:left w:w="0" w:type="dxa"/>
            <w:bottom w:w="0" w:type="dxa"/>
            <w:right w:w="0" w:type="dxa"/>
          </w:tblCellMar>
        </w:tblPrEx>
        <w:trPr>
          <w:trHeight w:val="318" w:hRule="atLeast"/>
        </w:trPr>
        <w:tc>
          <w:tcPr>
            <w:tcW w:w="2111" w:type="dxa"/>
            <w:gridSpan w:val="2"/>
            <w:vMerge w:val="restart"/>
            <w:tcBorders>
              <w:top w:val="single" w:color="2F5395" w:sz="4" w:space="0"/>
              <w:right w:val="single" w:color="2F5395" w:sz="4" w:space="0"/>
            </w:tcBorders>
            <w:shd w:val="clear" w:color="auto" w:fill="933634"/>
          </w:tcPr>
          <w:p>
            <w:pPr>
              <w:pStyle w:val="11"/>
              <w:spacing w:before="180"/>
              <w:ind w:left="435"/>
              <w:jc w:val="left"/>
              <w:rPr>
                <w:b/>
                <w:sz w:val="24"/>
              </w:rPr>
            </w:pPr>
            <w:r>
              <w:rPr>
                <w:b/>
                <w:color w:val="FFFFFF"/>
                <w:sz w:val="24"/>
              </w:rPr>
              <w:t>评估价值：</w:t>
            </w:r>
          </w:p>
        </w:tc>
        <w:tc>
          <w:tcPr>
            <w:tcW w:w="8667" w:type="dxa"/>
            <w:gridSpan w:val="10"/>
            <w:tcBorders>
              <w:top w:val="single" w:color="2F5395" w:sz="4" w:space="0"/>
              <w:left w:val="single" w:color="2F5395" w:sz="4" w:space="0"/>
              <w:bottom w:val="single" w:color="2F5395" w:sz="4" w:space="0"/>
              <w:right w:val="single" w:color="2F5395" w:sz="4" w:space="0"/>
            </w:tcBorders>
            <w:shd w:val="clear" w:color="auto" w:fill="933634"/>
          </w:tcPr>
          <w:p>
            <w:pPr>
              <w:pStyle w:val="11"/>
              <w:spacing w:line="298" w:lineRule="exact"/>
              <w:ind w:left="2127" w:right="2102"/>
              <w:rPr>
                <w:b/>
                <w:sz w:val="24"/>
              </w:rPr>
            </w:pPr>
            <w:r>
              <w:rPr>
                <w:b/>
                <w:color w:val="FFFFFF"/>
                <w:sz w:val="24"/>
              </w:rPr>
              <w:t>RMB: 44.63 万元（取整至百元位）</w:t>
            </w:r>
          </w:p>
        </w:tc>
      </w:tr>
      <w:tr>
        <w:tblPrEx>
          <w:tblBorders>
            <w:top w:val="double" w:color="2F5395" w:sz="2" w:space="0"/>
            <w:left w:val="double" w:color="2F5395" w:sz="2" w:space="0"/>
            <w:bottom w:val="double" w:color="2F5395" w:sz="2" w:space="0"/>
            <w:right w:val="double" w:color="2F5395" w:sz="2" w:space="0"/>
            <w:insideH w:val="double" w:color="2F5395" w:sz="2" w:space="0"/>
            <w:insideV w:val="double" w:color="2F5395" w:sz="2" w:space="0"/>
          </w:tblBorders>
          <w:tblCellMar>
            <w:top w:w="0" w:type="dxa"/>
            <w:left w:w="0" w:type="dxa"/>
            <w:bottom w:w="0" w:type="dxa"/>
            <w:right w:w="0" w:type="dxa"/>
          </w:tblCellMar>
        </w:tblPrEx>
        <w:trPr>
          <w:trHeight w:val="353" w:hRule="atLeast"/>
        </w:trPr>
        <w:tc>
          <w:tcPr>
            <w:tcW w:w="2111" w:type="dxa"/>
            <w:gridSpan w:val="2"/>
            <w:vMerge w:val="continue"/>
            <w:tcBorders>
              <w:top w:val="nil"/>
              <w:right w:val="single" w:color="2F5395" w:sz="4" w:space="0"/>
            </w:tcBorders>
            <w:shd w:val="clear" w:color="auto" w:fill="933634"/>
          </w:tcPr>
          <w:p>
            <w:pPr>
              <w:rPr>
                <w:sz w:val="2"/>
                <w:szCs w:val="2"/>
              </w:rPr>
            </w:pPr>
          </w:p>
        </w:tc>
        <w:tc>
          <w:tcPr>
            <w:tcW w:w="8667" w:type="dxa"/>
            <w:gridSpan w:val="10"/>
            <w:tcBorders>
              <w:top w:val="single" w:color="2F5395" w:sz="4" w:space="0"/>
              <w:left w:val="single" w:color="2F5395" w:sz="4" w:space="0"/>
              <w:right w:val="single" w:color="2F5395" w:sz="4" w:space="0"/>
            </w:tcBorders>
            <w:shd w:val="clear" w:color="auto" w:fill="933634"/>
          </w:tcPr>
          <w:p>
            <w:pPr>
              <w:pStyle w:val="11"/>
              <w:spacing w:before="6" w:line="327" w:lineRule="exact"/>
              <w:ind w:left="2129" w:right="2102"/>
              <w:rPr>
                <w:b/>
                <w:sz w:val="24"/>
              </w:rPr>
            </w:pPr>
            <w:r>
              <w:rPr>
                <w:b/>
                <w:color w:val="FFFFFF"/>
                <w:sz w:val="24"/>
              </w:rPr>
              <w:t>金额大写：人民币 肆拾肆万陆仟叁佰圆整</w:t>
            </w:r>
          </w:p>
        </w:tc>
      </w:tr>
    </w:tbl>
    <w:p>
      <w:pPr>
        <w:pStyle w:val="4"/>
        <w:spacing w:line="20" w:lineRule="exact"/>
        <w:ind w:left="11056"/>
        <w:rPr>
          <w:sz w:val="2"/>
        </w:rPr>
      </w:pPr>
      <w:r>
        <w:rPr>
          <w:sz w:val="2"/>
        </w:rPr>
        <w:pict>
          <v:group id="_x0000_s1058" o:spid="_x0000_s1058" o:spt="203" style="height:0.75pt;width:2.2pt;" coordsize="44,15">
            <o:lock v:ext="edit"/>
            <v:rect id="_x0000_s1059" o:spid="_x0000_s1059" o:spt="1" style="position:absolute;left:0;top:0;height:15;width:44;" fillcolor="#2F5395" filled="t" stroked="f" coordsize="21600,21600">
              <v:path/>
              <v:fill on="t" focussize="0,0"/>
              <v:stroke on="f"/>
              <v:imagedata o:title=""/>
              <o:lock v:ext="edit"/>
            </v:rect>
            <v:rect id="_x0000_s1060" o:spid="_x0000_s1060" o:spt="1" style="position:absolute;left:2;top:0;height:15;width:10;" fillcolor="#2F5395" filled="t" stroked="f" coordsize="21600,21600">
              <v:path/>
              <v:fill on="t" focussize="0,0"/>
              <v:stroke on="f"/>
              <v:imagedata o:title=""/>
              <o:lock v:ext="edit"/>
            </v:rect>
            <w10:wrap type="none"/>
            <w10:anchorlock/>
          </v:group>
        </w:pict>
      </w:r>
    </w:p>
    <w:p>
      <w:pPr>
        <w:spacing w:before="240"/>
        <w:ind w:left="1118" w:right="0" w:firstLine="0"/>
        <w:jc w:val="left"/>
        <w:rPr>
          <w:b/>
          <w:i/>
          <w:sz w:val="27"/>
        </w:rPr>
      </w:pPr>
      <w:r>
        <w:rPr>
          <w:b/>
          <w:i/>
          <w:sz w:val="27"/>
          <w:u w:val="single"/>
        </w:rPr>
        <w:t>特别提示：</w:t>
      </w:r>
    </w:p>
    <w:p>
      <w:pPr>
        <w:pStyle w:val="10"/>
        <w:numPr>
          <w:ilvl w:val="0"/>
          <w:numId w:val="1"/>
        </w:numPr>
        <w:tabs>
          <w:tab w:val="left" w:pos="1392"/>
        </w:tabs>
        <w:spacing w:before="155" w:after="0" w:line="338" w:lineRule="auto"/>
        <w:ind w:left="1478" w:right="955" w:hanging="360"/>
        <w:jc w:val="left"/>
        <w:rPr>
          <w:sz w:val="26"/>
        </w:rPr>
      </w:pPr>
      <w:r>
        <w:rPr>
          <w:spacing w:val="-3"/>
          <w:sz w:val="26"/>
        </w:rPr>
        <w:t>建筑物估价结果为建筑面积单价，单价取整至元位，总价取整至百元位，币种为人民币。</w:t>
      </w:r>
    </w:p>
    <w:p>
      <w:pPr>
        <w:pStyle w:val="10"/>
        <w:numPr>
          <w:ilvl w:val="0"/>
          <w:numId w:val="1"/>
        </w:numPr>
        <w:tabs>
          <w:tab w:val="left" w:pos="1392"/>
        </w:tabs>
        <w:spacing w:before="0" w:after="0" w:line="387" w:lineRule="exact"/>
        <w:ind w:left="1391" w:right="0" w:hanging="274"/>
        <w:jc w:val="left"/>
        <w:rPr>
          <w:sz w:val="26"/>
        </w:rPr>
      </w:pPr>
      <w:r>
        <w:rPr>
          <w:spacing w:val="-2"/>
          <w:sz w:val="26"/>
        </w:rPr>
        <w:t>本次估价未考虑估价对象可能存在的欠缴水、电、物业费等费用对其市场价值的</w:t>
      </w:r>
    </w:p>
    <w:p>
      <w:pPr>
        <w:spacing w:after="0" w:line="387" w:lineRule="exact"/>
        <w:jc w:val="left"/>
        <w:rPr>
          <w:sz w:val="26"/>
        </w:rPr>
        <w:sectPr>
          <w:headerReference r:id="rId3" w:type="default"/>
          <w:footerReference r:id="rId4" w:type="default"/>
          <w:pgSz w:w="11910" w:h="16840"/>
          <w:pgMar w:top="1100" w:right="180" w:bottom="960" w:left="300" w:header="845" w:footer="761" w:gutter="0"/>
          <w:pgNumType w:start="1"/>
        </w:sectPr>
      </w:pPr>
    </w:p>
    <w:p>
      <w:pPr>
        <w:pStyle w:val="4"/>
        <w:rPr>
          <w:sz w:val="2"/>
        </w:rPr>
      </w:pPr>
    </w:p>
    <w:p>
      <w:pPr>
        <w:pStyle w:val="4"/>
        <w:spacing w:line="189" w:lineRule="exact"/>
        <w:ind w:left="-315"/>
        <w:rPr>
          <w:sz w:val="18"/>
        </w:rPr>
      </w:pPr>
      <w:r>
        <w:rPr>
          <w:position w:val="-3"/>
          <w:sz w:val="18"/>
        </w:rPr>
        <w:pict>
          <v:group id="_x0000_s1061" o:spid="_x0000_s1061" o:spt="203" style="height:9.4pt;width:540.15pt;" coordsize="10803,188">
            <o:lock v:ext="edit"/>
            <v:line id="_x0000_s1062" o:spid="_x0000_s1062" o:spt="20" style="position:absolute;left:0;top:14;height:0;width:10802;" stroked="t" coordsize="21600,21600">
              <v:path arrowok="t"/>
              <v:fill focussize="0,0"/>
              <v:stroke weight="1.44pt" color="#A64231"/>
              <v:imagedata o:title=""/>
              <o:lock v:ext="edit"/>
            </v:line>
            <v:line id="_x0000_s1063" o:spid="_x0000_s1063" o:spt="20" style="position:absolute;left:883;top:174;height:0;width:8815;" stroked="t" coordsize="21600,21600">
              <v:path arrowok="t"/>
              <v:fill focussize="0,0"/>
              <v:stroke weight="1.41433070866142pt" color="#C00000"/>
              <v:imagedata o:title=""/>
              <o:lock v:ext="edit"/>
            </v:line>
            <v:line id="_x0000_s1064" o:spid="_x0000_s1064" o:spt="20" style="position:absolute;left:855;top:80;height:0;width:8815;" stroked="t" coordsize="21600,21600">
              <v:path arrowok="t"/>
              <v:fill focussize="0,0"/>
              <v:stroke weight="7.9pt" color="#A64231"/>
              <v:imagedata o:title=""/>
              <o:lock v:ext="edit"/>
            </v:line>
            <w10:wrap type="none"/>
            <w10:anchorlock/>
          </v:group>
        </w:pict>
      </w:r>
    </w:p>
    <w:p>
      <w:pPr>
        <w:pStyle w:val="4"/>
        <w:spacing w:before="73"/>
        <w:ind w:left="1401"/>
      </w:pPr>
      <w:r>
        <w:t>影响；</w:t>
      </w:r>
    </w:p>
    <w:p>
      <w:pPr>
        <w:pStyle w:val="10"/>
        <w:numPr>
          <w:ilvl w:val="0"/>
          <w:numId w:val="1"/>
        </w:numPr>
        <w:tabs>
          <w:tab w:val="left" w:pos="1392"/>
        </w:tabs>
        <w:spacing w:before="158" w:after="0" w:line="338" w:lineRule="auto"/>
        <w:ind w:left="1401" w:right="951" w:hanging="284"/>
        <w:jc w:val="both"/>
        <w:rPr>
          <w:sz w:val="26"/>
        </w:rPr>
      </w:pPr>
      <w:r>
        <w:rPr>
          <w:spacing w:val="-2"/>
          <w:sz w:val="26"/>
        </w:rPr>
        <w:t>本次估价结果包括了估价对象房地产的瑕疵对其价值的影响，但不包括估价对象</w:t>
      </w:r>
      <w:r>
        <w:rPr>
          <w:sz w:val="26"/>
        </w:rPr>
        <w:t>可能存在的租赁权、用益物权、担保物权和其他优先受偿权。</w:t>
      </w:r>
    </w:p>
    <w:p>
      <w:pPr>
        <w:pStyle w:val="10"/>
        <w:numPr>
          <w:ilvl w:val="0"/>
          <w:numId w:val="1"/>
        </w:numPr>
        <w:tabs>
          <w:tab w:val="left" w:pos="1392"/>
        </w:tabs>
        <w:spacing w:before="0" w:after="0" w:line="338" w:lineRule="auto"/>
        <w:ind w:left="1401" w:right="951" w:hanging="283"/>
        <w:jc w:val="both"/>
        <w:rPr>
          <w:sz w:val="26"/>
        </w:rPr>
      </w:pPr>
      <w:r>
        <w:rPr>
          <w:spacing w:val="-6"/>
          <w:sz w:val="26"/>
        </w:rPr>
        <w:t>依照《房地产估价规范</w:t>
      </w:r>
      <w:r>
        <w:rPr>
          <w:spacing w:val="-159"/>
          <w:sz w:val="26"/>
        </w:rPr>
        <w:t>》</w:t>
      </w:r>
      <w:r>
        <w:rPr>
          <w:sz w:val="26"/>
        </w:rPr>
        <w:t>（GB/T</w:t>
      </w:r>
      <w:r>
        <w:rPr>
          <w:spacing w:val="-7"/>
          <w:sz w:val="26"/>
        </w:rPr>
        <w:t xml:space="preserve"> </w:t>
      </w:r>
      <w:r>
        <w:rPr>
          <w:spacing w:val="-3"/>
          <w:sz w:val="26"/>
        </w:rPr>
        <w:t>50291-2015）相关规定并结合估价目的，本次估价未考虑抵押、查封等特殊权益限制状况对估价结果的影响。</w:t>
      </w:r>
    </w:p>
    <w:p>
      <w:pPr>
        <w:pStyle w:val="10"/>
        <w:numPr>
          <w:ilvl w:val="0"/>
          <w:numId w:val="1"/>
        </w:numPr>
        <w:tabs>
          <w:tab w:val="left" w:pos="1392"/>
        </w:tabs>
        <w:spacing w:before="0" w:after="0" w:line="338" w:lineRule="auto"/>
        <w:ind w:left="1401" w:right="948" w:hanging="284"/>
        <w:jc w:val="both"/>
        <w:rPr>
          <w:sz w:val="26"/>
        </w:rPr>
      </w:pPr>
      <w:r>
        <w:rPr>
          <w:spacing w:val="6"/>
          <w:w w:val="95"/>
          <w:sz w:val="26"/>
        </w:rPr>
        <w:t xml:space="preserve">本次估价结果系在满足本估价报告所列的全部假设和估价师声明的条件下做出    的，请估价报告使用者使用本估价报告前，认真阅读本估价报告的“估价师声   </w:t>
      </w:r>
      <w:r>
        <w:rPr>
          <w:sz w:val="26"/>
        </w:rPr>
        <w:t>明”、“估价的假设和估价报告使用的限制条件”，以免使用不当造成损失！</w:t>
      </w:r>
    </w:p>
    <w:p>
      <w:pPr>
        <w:pStyle w:val="10"/>
        <w:numPr>
          <w:ilvl w:val="0"/>
          <w:numId w:val="1"/>
        </w:numPr>
        <w:tabs>
          <w:tab w:val="left" w:pos="1392"/>
        </w:tabs>
        <w:spacing w:before="0" w:after="0" w:line="386" w:lineRule="exact"/>
        <w:ind w:left="1391" w:right="0" w:hanging="274"/>
        <w:jc w:val="both"/>
        <w:rPr>
          <w:sz w:val="26"/>
        </w:rPr>
      </w:pPr>
      <w:r>
        <w:rPr>
          <w:sz w:val="26"/>
        </w:rPr>
        <w:t>估价对象的特点</w:t>
      </w:r>
    </w:p>
    <w:p>
      <w:pPr>
        <w:pStyle w:val="10"/>
        <w:numPr>
          <w:ilvl w:val="0"/>
          <w:numId w:val="2"/>
        </w:numPr>
        <w:tabs>
          <w:tab w:val="left" w:pos="1392"/>
        </w:tabs>
        <w:spacing w:before="155" w:after="0" w:line="338" w:lineRule="auto"/>
        <w:ind w:left="1403" w:right="934" w:hanging="286"/>
        <w:jc w:val="both"/>
        <w:rPr>
          <w:rFonts w:hint="eastAsia" w:ascii="楷体" w:hAnsi="楷体" w:eastAsia="楷体"/>
          <w:color w:val="0D0D0D"/>
          <w:sz w:val="24"/>
        </w:rPr>
      </w:pPr>
      <w:r>
        <w:rPr>
          <w:b/>
          <w:color w:val="0D0D0D"/>
          <w:sz w:val="26"/>
        </w:rPr>
        <w:t>强制处分：</w:t>
      </w:r>
      <w:r>
        <w:rPr>
          <w:color w:val="0D0D0D"/>
          <w:spacing w:val="-1"/>
          <w:sz w:val="26"/>
        </w:rPr>
        <w:t xml:space="preserve">标的物的处分属于强制性的司法行为，原产权人没有权利讨价还价， </w:t>
      </w:r>
      <w:r>
        <w:rPr>
          <w:color w:val="0D0D0D"/>
          <w:spacing w:val="-2"/>
          <w:sz w:val="26"/>
        </w:rPr>
        <w:t>处分行为也一定要在规定的时间内完成，如果处分不成，通常由法院主持处分标的物折价抵偿债务。</w:t>
      </w:r>
    </w:p>
    <w:p>
      <w:pPr>
        <w:pStyle w:val="10"/>
        <w:numPr>
          <w:ilvl w:val="0"/>
          <w:numId w:val="2"/>
        </w:numPr>
        <w:tabs>
          <w:tab w:val="left" w:pos="1392"/>
        </w:tabs>
        <w:spacing w:before="0" w:after="0" w:line="338" w:lineRule="auto"/>
        <w:ind w:left="1403" w:right="821" w:hanging="286"/>
        <w:jc w:val="left"/>
        <w:rPr>
          <w:rFonts w:hint="eastAsia" w:ascii="楷体" w:hAnsi="楷体" w:eastAsia="楷体"/>
          <w:sz w:val="24"/>
        </w:rPr>
      </w:pPr>
      <w:r>
        <w:rPr>
          <w:b/>
          <w:color w:val="0D0D0D"/>
          <w:spacing w:val="-1"/>
          <w:sz w:val="26"/>
        </w:rPr>
        <w:t>快速变现：</w:t>
      </w:r>
      <w:r>
        <w:rPr>
          <w:spacing w:val="-2"/>
          <w:sz w:val="26"/>
        </w:rPr>
        <w:t>由于交易方式的特点，买受人</w:t>
      </w:r>
      <w:r>
        <w:rPr>
          <w:sz w:val="26"/>
        </w:rPr>
        <w:t>（购得标的物的竞买人</w:t>
      </w:r>
      <w:r>
        <w:rPr>
          <w:spacing w:val="-5"/>
          <w:sz w:val="26"/>
        </w:rPr>
        <w:t>）</w:t>
      </w:r>
      <w:r>
        <w:rPr>
          <w:sz w:val="26"/>
        </w:rPr>
        <w:t>在较短的时间</w:t>
      </w:r>
      <w:r>
        <w:rPr>
          <w:spacing w:val="-14"/>
          <w:sz w:val="26"/>
        </w:rPr>
        <w:t xml:space="preserve">内决定购买，没有充分的考虑时间，也没有足够的时间对处分标的物作充分了解， </w:t>
      </w:r>
      <w:r>
        <w:rPr>
          <w:spacing w:val="-2"/>
          <w:sz w:val="26"/>
        </w:rPr>
        <w:t>特别是需在短时间内支付全部款项，承担的风险较大，因此其价格一般较正常交</w:t>
      </w:r>
      <w:r>
        <w:rPr>
          <w:spacing w:val="-6"/>
          <w:sz w:val="26"/>
        </w:rPr>
        <w:t>易低。但由于房地产不可移动的特性决定了没有两宗相同的房地产，每一宗房地</w:t>
      </w:r>
      <w:r>
        <w:rPr>
          <w:spacing w:val="-8"/>
          <w:sz w:val="26"/>
        </w:rPr>
        <w:t>产的快速变现的能力是不同的，这主要取决于房地产的实物形态及其体现的市场流动性（包括通用性、独立使用性或可分割转让性、体量、区位和开发程度等） 和类似房地产的市场状况（包括市场发育程度和市场景气程度等</w:t>
      </w:r>
      <w:r>
        <w:rPr>
          <w:spacing w:val="-130"/>
          <w:sz w:val="26"/>
        </w:rPr>
        <w:t>）。</w:t>
      </w:r>
    </w:p>
    <w:p>
      <w:pPr>
        <w:pStyle w:val="4"/>
        <w:spacing w:line="338" w:lineRule="auto"/>
        <w:ind w:left="1118" w:right="952"/>
        <w:jc w:val="both"/>
      </w:pPr>
      <w:r>
        <w:t>估价对象所在区域内房地产业市场交易平台成熟，但多为传统的中介或开发商销售形式，根据有关规定，司法拍卖处置资产现已在网络平台上进行，由于网络司法拍卖刚刚兴起，当地消费者对这种新的交易形式还比较陌生，市场认知度不高，再加之消费者本身的文化程度及消费观念的限制，对估价对象的变现能力会产生一定的影响。</w:t>
      </w:r>
    </w:p>
    <w:p>
      <w:pPr>
        <w:pStyle w:val="10"/>
        <w:numPr>
          <w:ilvl w:val="0"/>
          <w:numId w:val="2"/>
        </w:numPr>
        <w:tabs>
          <w:tab w:val="left" w:pos="1392"/>
        </w:tabs>
        <w:spacing w:before="0" w:after="0" w:line="338" w:lineRule="auto"/>
        <w:ind w:left="1403" w:right="950" w:hanging="286"/>
        <w:jc w:val="left"/>
        <w:rPr>
          <w:rFonts w:hint="eastAsia" w:ascii="楷体" w:hAnsi="楷体" w:eastAsia="楷体"/>
          <w:sz w:val="24"/>
        </w:rPr>
      </w:pPr>
      <w:r>
        <w:rPr>
          <w:b/>
          <w:color w:val="0D0D0D"/>
          <w:spacing w:val="-1"/>
          <w:w w:val="95"/>
          <w:sz w:val="26"/>
        </w:rPr>
        <w:t>消费者心理因素：</w:t>
      </w:r>
      <w:r>
        <w:rPr>
          <w:spacing w:val="-1"/>
          <w:w w:val="95"/>
          <w:sz w:val="26"/>
        </w:rPr>
        <w:t xml:space="preserve">购买者由于消费心理的影响，在购买前已先期认为处分被拍卖    </w:t>
      </w:r>
      <w:r>
        <w:rPr>
          <w:spacing w:val="-1"/>
          <w:sz w:val="26"/>
        </w:rPr>
        <w:t>的标的物价格会低于正常市场价格，使得处分标的物的价格较低。</w:t>
      </w:r>
    </w:p>
    <w:p>
      <w:pPr>
        <w:spacing w:after="0" w:line="338" w:lineRule="auto"/>
        <w:jc w:val="left"/>
        <w:rPr>
          <w:rFonts w:hint="eastAsia" w:ascii="楷体" w:hAnsi="楷体" w:eastAsia="楷体"/>
          <w:sz w:val="24"/>
        </w:rPr>
        <w:sectPr>
          <w:pgSz w:w="11910" w:h="16840"/>
          <w:pgMar w:top="1100" w:right="180" w:bottom="960" w:left="300" w:header="845" w:footer="761" w:gutter="0"/>
        </w:sectPr>
      </w:pPr>
    </w:p>
    <w:p>
      <w:pPr>
        <w:pStyle w:val="4"/>
        <w:rPr>
          <w:sz w:val="2"/>
        </w:rPr>
      </w:pPr>
    </w:p>
    <w:p>
      <w:pPr>
        <w:pStyle w:val="4"/>
        <w:spacing w:line="189" w:lineRule="exact"/>
        <w:ind w:left="-315"/>
        <w:rPr>
          <w:sz w:val="18"/>
        </w:rPr>
      </w:pPr>
      <w:r>
        <w:rPr>
          <w:position w:val="-3"/>
          <w:sz w:val="18"/>
        </w:rPr>
        <w:pict>
          <v:group id="_x0000_s1065" o:spid="_x0000_s1065" o:spt="203" style="height:9.4pt;width:540.15pt;" coordsize="10803,188">
            <o:lock v:ext="edit"/>
            <v:line id="_x0000_s1066" o:spid="_x0000_s1066" o:spt="20" style="position:absolute;left:0;top:14;height:0;width:10802;" stroked="t" coordsize="21600,21600">
              <v:path arrowok="t"/>
              <v:fill focussize="0,0"/>
              <v:stroke weight="1.44pt" color="#A64231"/>
              <v:imagedata o:title=""/>
              <o:lock v:ext="edit"/>
            </v:line>
            <v:line id="_x0000_s1067" o:spid="_x0000_s1067" o:spt="20" style="position:absolute;left:883;top:174;height:0;width:8815;" stroked="t" coordsize="21600,21600">
              <v:path arrowok="t"/>
              <v:fill focussize="0,0"/>
              <v:stroke weight="1.41433070866142pt" color="#C00000"/>
              <v:imagedata o:title=""/>
              <o:lock v:ext="edit"/>
            </v:line>
            <v:line id="_x0000_s1068" o:spid="_x0000_s1068" o:spt="20" style="position:absolute;left:855;top:80;height:0;width:8815;" stroked="t" coordsize="21600,21600">
              <v:path arrowok="t"/>
              <v:fill focussize="0,0"/>
              <v:stroke weight="7.9pt" color="#A64231"/>
              <v:imagedata o:title=""/>
              <o:lock v:ext="edit"/>
            </v:line>
            <w10:wrap type="none"/>
            <w10:anchorlock/>
          </v:group>
        </w:pict>
      </w:r>
    </w:p>
    <w:p>
      <w:pPr>
        <w:pStyle w:val="10"/>
        <w:numPr>
          <w:ilvl w:val="0"/>
          <w:numId w:val="2"/>
        </w:numPr>
        <w:tabs>
          <w:tab w:val="left" w:pos="1392"/>
        </w:tabs>
        <w:spacing w:before="73" w:after="0" w:line="338" w:lineRule="auto"/>
        <w:ind w:left="1404" w:right="953" w:hanging="286"/>
        <w:jc w:val="left"/>
        <w:rPr>
          <w:rFonts w:hint="eastAsia" w:ascii="楷体" w:hAnsi="楷体" w:eastAsia="楷体"/>
          <w:sz w:val="24"/>
        </w:rPr>
      </w:pPr>
      <w:r>
        <w:rPr>
          <w:b/>
          <w:color w:val="0D0D0D"/>
          <w:spacing w:val="-2"/>
          <w:sz w:val="26"/>
        </w:rPr>
        <w:t>购买者的额外支出：</w:t>
      </w:r>
      <w:r>
        <w:rPr>
          <w:spacing w:val="-2"/>
          <w:sz w:val="26"/>
        </w:rPr>
        <w:t>由于竞买标的物可能产生拍卖及其相关费用，成为购买者之</w:t>
      </w:r>
      <w:r>
        <w:rPr>
          <w:sz w:val="26"/>
        </w:rPr>
        <w:t>额外的成本，使之希望得到较低的价格，以弥补该支出。</w:t>
      </w:r>
    </w:p>
    <w:p>
      <w:pPr>
        <w:pStyle w:val="10"/>
        <w:numPr>
          <w:ilvl w:val="0"/>
          <w:numId w:val="1"/>
        </w:numPr>
        <w:tabs>
          <w:tab w:val="left" w:pos="1392"/>
        </w:tabs>
        <w:spacing w:before="0" w:after="0" w:line="338" w:lineRule="auto"/>
        <w:ind w:left="1400" w:right="951" w:hanging="283"/>
        <w:jc w:val="left"/>
        <w:rPr>
          <w:sz w:val="26"/>
        </w:rPr>
      </w:pPr>
      <w:r>
        <w:rPr>
          <w:sz w:val="26"/>
        </w:rPr>
        <w:t>房地产估价报告使用期限为壹年，自 2020 年 06 月 15 日至 2021 年 06 月 14 日止。</w:t>
      </w:r>
    </w:p>
    <w:p>
      <w:pPr>
        <w:pStyle w:val="4"/>
        <w:spacing w:before="9"/>
        <w:rPr>
          <w:sz w:val="42"/>
        </w:rPr>
      </w:pPr>
    </w:p>
    <w:p>
      <w:pPr>
        <w:spacing w:before="0"/>
        <w:ind w:left="1303" w:right="0" w:firstLine="0"/>
        <w:jc w:val="left"/>
        <w:rPr>
          <w:b/>
          <w:sz w:val="26"/>
        </w:rPr>
      </w:pPr>
      <w:r>
        <w:rPr>
          <w:b/>
          <w:sz w:val="26"/>
        </w:rPr>
        <w:t>特致此函！</w:t>
      </w:r>
    </w:p>
    <w:p>
      <w:pPr>
        <w:pStyle w:val="4"/>
        <w:rPr>
          <w:b/>
          <w:sz w:val="36"/>
        </w:rPr>
      </w:pPr>
    </w:p>
    <w:p>
      <w:pPr>
        <w:pStyle w:val="4"/>
        <w:spacing w:before="6"/>
        <w:rPr>
          <w:b/>
          <w:sz w:val="36"/>
        </w:rPr>
      </w:pPr>
    </w:p>
    <w:p>
      <w:pPr>
        <w:pStyle w:val="4"/>
        <w:spacing w:line="676" w:lineRule="auto"/>
        <w:ind w:left="6530" w:right="1332" w:hanging="857"/>
      </w:pPr>
      <w:r>
        <w:t>昆明云润房地产土地资产评估有限公司法定代表人：</w:t>
      </w:r>
    </w:p>
    <w:p>
      <w:pPr>
        <w:pStyle w:val="4"/>
        <w:spacing w:line="385" w:lineRule="exact"/>
        <w:ind w:left="6323"/>
      </w:pPr>
      <w:r>
        <w:t>二○二○年六月十五日</w:t>
      </w:r>
    </w:p>
    <w:p>
      <w:pPr>
        <w:spacing w:after="0" w:line="385" w:lineRule="exact"/>
        <w:sectPr>
          <w:pgSz w:w="11910" w:h="16840"/>
          <w:pgMar w:top="1100" w:right="180" w:bottom="960" w:left="300" w:header="845" w:footer="761" w:gutter="0"/>
        </w:sectPr>
      </w:pPr>
    </w:p>
    <w:p>
      <w:pPr>
        <w:pStyle w:val="4"/>
        <w:rPr>
          <w:sz w:val="2"/>
        </w:rPr>
      </w:pPr>
      <w:r>
        <w:pict>
          <v:group id="_x0000_s1069" o:spid="_x0000_s1069" o:spt="203" style="position:absolute;left:0pt;margin-left:37.85pt;margin-top:788.45pt;height:16.55pt;width:500.8pt;mso-position-horizontal-relative:page;mso-position-vertical-relative:page;z-index:-253737984;mso-width-relative:page;mso-height-relative:page;" coordorigin="758,15770" coordsize="10016,331">
            <o:lock v:ext="edit"/>
            <v:line id="_x0000_s1070" o:spid="_x0000_s1070" o:spt="20" style="position:absolute;left:852;top:15814;height:0;width:9922;" stroked="t" coordsize="21600,21600">
              <v:path arrowok="t"/>
              <v:fill focussize="0,0"/>
              <v:stroke weight="1.2pt" color="#A64231"/>
              <v:imagedata o:title=""/>
              <o:lock v:ext="edit"/>
            </v:line>
            <v:shape id="_x0000_s1071" o:spid="_x0000_s1071" o:spt="75" type="#_x0000_t75" style="position:absolute;left:758;top:15770;height:331;width:1224;" filled="f" stroked="f" coordsize="21600,21600">
              <v:path/>
              <v:fill on="f" focussize="0,0"/>
              <v:stroke on="f"/>
              <v:imagedata r:id="rId23" o:title=""/>
              <o:lock v:ext="edit" aspectratio="t"/>
            </v:shape>
          </v:group>
        </w:pict>
      </w:r>
    </w:p>
    <w:p>
      <w:pPr>
        <w:pStyle w:val="4"/>
        <w:spacing w:line="189" w:lineRule="exact"/>
        <w:ind w:left="508"/>
        <w:rPr>
          <w:sz w:val="18"/>
        </w:rPr>
      </w:pPr>
      <w:r>
        <w:rPr>
          <w:position w:val="-3"/>
          <w:sz w:val="18"/>
        </w:rPr>
        <w:pict>
          <v:group id="_x0000_s1072" o:spid="_x0000_s1072" o:spt="203" style="height:9.4pt;width:500.5pt;" coordsize="10010,188">
            <o:lock v:ext="edit"/>
            <v:line id="_x0000_s1073" o:spid="_x0000_s1073" o:spt="20" style="position:absolute;left:0;top:14;height:0;width:9977;" stroked="t" coordsize="21600,21600">
              <v:path arrowok="t"/>
              <v:fill focussize="0,0"/>
              <v:stroke weight="1.44pt" color="#A64231"/>
              <v:imagedata o:title=""/>
              <o:lock v:ext="edit"/>
            </v:line>
            <v:line id="_x0000_s1074" o:spid="_x0000_s1074" o:spt="20" style="position:absolute;left:1194;top:174;height:0;width:8815;" stroked="t" coordsize="21600,21600">
              <v:path arrowok="t"/>
              <v:fill focussize="0,0"/>
              <v:stroke weight="1.41433070866142pt" color="#C00000"/>
              <v:imagedata o:title=""/>
              <o:lock v:ext="edit"/>
            </v:line>
            <v:line id="_x0000_s1075" o:spid="_x0000_s1075" o:spt="20" style="position:absolute;left:1166;top:80;height:0;width:8815;" stroked="t" coordsize="21600,21600">
              <v:path arrowok="t"/>
              <v:fill focussize="0,0"/>
              <v:stroke weight="7.9pt" color="#A64231"/>
              <v:imagedata o:title=""/>
              <o:lock v:ext="edit"/>
            </v:line>
            <w10:wrap type="none"/>
            <w10:anchorlock/>
          </v:group>
        </w:pict>
      </w:r>
    </w:p>
    <w:p>
      <w:pPr>
        <w:tabs>
          <w:tab w:val="left" w:pos="760"/>
        </w:tabs>
        <w:spacing w:before="66"/>
        <w:ind w:left="0" w:right="953" w:firstLine="0"/>
        <w:jc w:val="right"/>
        <w:rPr>
          <w:b/>
          <w:sz w:val="44"/>
        </w:rPr>
      </w:pPr>
      <w:r>
        <w:pict>
          <v:group id="_x0000_s1076" o:spid="_x0000_s1076" o:spt="203" style="position:absolute;left:0pt;margin-left:97.8pt;margin-top:36.15pt;height:5.9pt;width:442.2pt;mso-position-horizontal-relative:page;z-index:251676672;mso-width-relative:page;mso-height-relative:page;" coordorigin="1956,723" coordsize="8844,118">
            <o:lock v:ext="edit"/>
            <v:line id="_x0000_s1077" o:spid="_x0000_s1077" o:spt="20" style="position:absolute;left:1956;top:826;height:0;width:8844;" stroked="t" coordsize="21600,21600">
              <v:path arrowok="t"/>
              <v:fill focussize="0,0"/>
              <v:stroke weight="1.44pt" color="#A64231"/>
              <v:imagedata o:title=""/>
              <o:lock v:ext="edit"/>
            </v:line>
            <v:line id="_x0000_s1078" o:spid="_x0000_s1078" o:spt="20" style="position:absolute;left:1956;top:753;height:0;width:8844;" stroked="t" coordsize="21600,21600">
              <v:path arrowok="t"/>
              <v:fill focussize="0,0"/>
              <v:stroke weight="3pt" color="#A64231"/>
              <v:imagedata o:title=""/>
              <o:lock v:ext="edit"/>
            </v:line>
          </v:group>
        </w:pict>
      </w:r>
      <w:bookmarkStart w:id="0" w:name="目录"/>
      <w:bookmarkEnd w:id="0"/>
      <w:r>
        <w:rPr>
          <w:b/>
          <w:color w:val="A64231"/>
          <w:sz w:val="44"/>
        </w:rPr>
        <w:t>目</w:t>
      </w:r>
      <w:r>
        <w:rPr>
          <w:b/>
          <w:color w:val="A64231"/>
          <w:sz w:val="44"/>
        </w:rPr>
        <w:tab/>
      </w:r>
      <w:r>
        <w:rPr>
          <w:b/>
          <w:color w:val="A64231"/>
          <w:w w:val="95"/>
          <w:sz w:val="44"/>
        </w:rPr>
        <w:t>录</w:t>
      </w:r>
    </w:p>
    <w:sdt>
      <w:sdtPr>
        <w:id w:val="0"/>
        <w:docPartObj>
          <w:docPartGallery w:val="Table of Contents"/>
          <w:docPartUnique/>
        </w:docPartObj>
      </w:sdtPr>
      <w:sdtContent>
        <w:p>
          <w:pPr>
            <w:pStyle w:val="5"/>
            <w:tabs>
              <w:tab w:val="right" w:leader="dot" w:pos="10461"/>
            </w:tabs>
            <w:spacing w:before="227"/>
          </w:pPr>
          <w:r>
            <w:fldChar w:fldCharType="begin"/>
          </w:r>
          <w:r>
            <w:instrText xml:space="preserve"> HYPERLINK \l "_bookmark0" </w:instrText>
          </w:r>
          <w:r>
            <w:fldChar w:fldCharType="separate"/>
          </w:r>
          <w:r>
            <w:t>第一部分</w:t>
          </w:r>
          <w:r>
            <w:rPr>
              <w:spacing w:val="64"/>
            </w:rPr>
            <w:t xml:space="preserve"> </w:t>
          </w:r>
          <w:r>
            <w:t>估价师声明</w:t>
          </w:r>
          <w:r>
            <w:tab/>
          </w:r>
          <w:r>
            <w:t>1</w:t>
          </w:r>
          <w:r>
            <w:fldChar w:fldCharType="end"/>
          </w:r>
        </w:p>
        <w:p>
          <w:pPr>
            <w:pStyle w:val="5"/>
            <w:tabs>
              <w:tab w:val="right" w:leader="dot" w:pos="10461"/>
            </w:tabs>
            <w:spacing w:before="94"/>
          </w:pPr>
          <w:r>
            <w:fldChar w:fldCharType="begin"/>
          </w:r>
          <w:r>
            <w:instrText xml:space="preserve"> HYPERLINK \l "_bookmark1" </w:instrText>
          </w:r>
          <w:r>
            <w:fldChar w:fldCharType="separate"/>
          </w:r>
          <w:r>
            <w:t>第二部分</w:t>
          </w:r>
          <w:r>
            <w:rPr>
              <w:spacing w:val="64"/>
            </w:rPr>
            <w:t xml:space="preserve"> </w:t>
          </w:r>
          <w:r>
            <w:t>估价的假设和报告使用限制条件</w:t>
          </w:r>
          <w:r>
            <w:tab/>
          </w:r>
          <w:r>
            <w:t>2</w:t>
          </w:r>
          <w:r>
            <w:fldChar w:fldCharType="end"/>
          </w:r>
        </w:p>
        <w:p>
          <w:pPr>
            <w:pStyle w:val="6"/>
            <w:tabs>
              <w:tab w:val="left" w:pos="2524"/>
              <w:tab w:val="right" w:leader="dot" w:pos="10473"/>
            </w:tabs>
            <w:spacing w:before="98" w:line="319" w:lineRule="exact"/>
          </w:pPr>
          <w:r>
            <w:fldChar w:fldCharType="begin"/>
          </w:r>
          <w:r>
            <w:instrText xml:space="preserve"> HYPERLINK \l "_bookmark2" </w:instrText>
          </w:r>
          <w:r>
            <w:fldChar w:fldCharType="separate"/>
          </w:r>
          <w:r>
            <w:t>一.</w:t>
          </w:r>
          <w:r>
            <w:tab/>
          </w:r>
          <w:r>
            <w:t>估价结</w:t>
          </w:r>
          <w:r>
            <w:rPr>
              <w:spacing w:val="-3"/>
            </w:rPr>
            <w:t>果</w:t>
          </w:r>
          <w:r>
            <w:t>成立</w:t>
          </w:r>
          <w:r>
            <w:rPr>
              <w:spacing w:val="-3"/>
            </w:rPr>
            <w:t>的</w:t>
          </w:r>
          <w:r>
            <w:t>假设</w:t>
          </w:r>
          <w:r>
            <w:rPr>
              <w:spacing w:val="-3"/>
            </w:rPr>
            <w:t>前</w:t>
          </w:r>
          <w:r>
            <w:t>提</w:t>
          </w:r>
          <w:r>
            <w:tab/>
          </w:r>
          <w:r>
            <w:t>2</w:t>
          </w:r>
          <w:r>
            <w:fldChar w:fldCharType="end"/>
          </w:r>
        </w:p>
        <w:p>
          <w:pPr>
            <w:pStyle w:val="6"/>
            <w:tabs>
              <w:tab w:val="left" w:pos="2524"/>
              <w:tab w:val="right" w:leader="dot" w:pos="10473"/>
            </w:tabs>
          </w:pPr>
          <w:r>
            <w:fldChar w:fldCharType="begin"/>
          </w:r>
          <w:r>
            <w:instrText xml:space="preserve"> HYPERLINK \l "_bookmark3" </w:instrText>
          </w:r>
          <w:r>
            <w:fldChar w:fldCharType="separate"/>
          </w:r>
          <w:r>
            <w:t>二.</w:t>
          </w:r>
          <w:r>
            <w:tab/>
          </w:r>
          <w:r>
            <w:t>报告使</w:t>
          </w:r>
          <w:r>
            <w:rPr>
              <w:spacing w:val="-3"/>
            </w:rPr>
            <w:t>用</w:t>
          </w:r>
          <w:r>
            <w:t>限制</w:t>
          </w:r>
          <w:r>
            <w:rPr>
              <w:spacing w:val="-3"/>
            </w:rPr>
            <w:t>条</w:t>
          </w:r>
          <w:r>
            <w:t>件</w:t>
          </w:r>
          <w:r>
            <w:tab/>
          </w:r>
          <w:r>
            <w:t>4</w:t>
          </w:r>
          <w:r>
            <w:fldChar w:fldCharType="end"/>
          </w:r>
        </w:p>
        <w:p>
          <w:pPr>
            <w:pStyle w:val="6"/>
            <w:tabs>
              <w:tab w:val="left" w:pos="2524"/>
              <w:tab w:val="right" w:leader="dot" w:pos="10473"/>
            </w:tabs>
            <w:spacing w:line="318" w:lineRule="exact"/>
          </w:pPr>
          <w:r>
            <w:fldChar w:fldCharType="begin"/>
          </w:r>
          <w:r>
            <w:instrText xml:space="preserve"> HYPERLINK \l "_bookmark4" </w:instrText>
          </w:r>
          <w:r>
            <w:fldChar w:fldCharType="separate"/>
          </w:r>
          <w:r>
            <w:t>三.</w:t>
          </w:r>
          <w:r>
            <w:tab/>
          </w:r>
          <w:r>
            <w:t>特别事</w:t>
          </w:r>
          <w:r>
            <w:rPr>
              <w:spacing w:val="-3"/>
            </w:rPr>
            <w:t>项</w:t>
          </w:r>
          <w:r>
            <w:t>说明</w:t>
          </w:r>
          <w:r>
            <w:tab/>
          </w:r>
          <w:r>
            <w:t>5</w:t>
          </w:r>
          <w:r>
            <w:fldChar w:fldCharType="end"/>
          </w:r>
        </w:p>
        <w:p>
          <w:pPr>
            <w:pStyle w:val="5"/>
            <w:tabs>
              <w:tab w:val="right" w:leader="dot" w:pos="10461"/>
            </w:tabs>
          </w:pPr>
          <w:r>
            <w:fldChar w:fldCharType="begin"/>
          </w:r>
          <w:r>
            <w:instrText xml:space="preserve"> HYPERLINK \l "_bookmark5" </w:instrText>
          </w:r>
          <w:r>
            <w:fldChar w:fldCharType="separate"/>
          </w:r>
          <w:r>
            <w:t>第三部分</w:t>
          </w:r>
          <w:r>
            <w:rPr>
              <w:spacing w:val="64"/>
            </w:rPr>
            <w:t xml:space="preserve"> </w:t>
          </w:r>
          <w:r>
            <w:t>估价工作程序</w:t>
          </w:r>
          <w:r>
            <w:tab/>
          </w:r>
          <w:r>
            <w:t>7</w:t>
          </w:r>
          <w:r>
            <w:fldChar w:fldCharType="end"/>
          </w:r>
        </w:p>
        <w:p>
          <w:pPr>
            <w:pStyle w:val="6"/>
            <w:tabs>
              <w:tab w:val="left" w:pos="2524"/>
              <w:tab w:val="right" w:leader="dot" w:pos="10473"/>
            </w:tabs>
            <w:spacing w:before="98" w:line="319" w:lineRule="exact"/>
          </w:pPr>
          <w:r>
            <w:fldChar w:fldCharType="begin"/>
          </w:r>
          <w:r>
            <w:instrText xml:space="preserve"> HYPERLINK \l "_bookmark6" </w:instrText>
          </w:r>
          <w:r>
            <w:fldChar w:fldCharType="separate"/>
          </w:r>
          <w:r>
            <w:t>一.</w:t>
          </w:r>
          <w:r>
            <w:tab/>
          </w:r>
          <w:r>
            <w:t>估价准</w:t>
          </w:r>
          <w:r>
            <w:rPr>
              <w:spacing w:val="-3"/>
            </w:rPr>
            <w:t>备</w:t>
          </w:r>
          <w:r>
            <w:t>阶段</w:t>
          </w:r>
          <w:r>
            <w:tab/>
          </w:r>
          <w:r>
            <w:t>7</w:t>
          </w:r>
          <w:r>
            <w:fldChar w:fldCharType="end"/>
          </w:r>
        </w:p>
        <w:p>
          <w:pPr>
            <w:pStyle w:val="6"/>
            <w:tabs>
              <w:tab w:val="left" w:pos="2524"/>
              <w:tab w:val="right" w:leader="dot" w:pos="10473"/>
            </w:tabs>
          </w:pPr>
          <w:r>
            <w:fldChar w:fldCharType="begin"/>
          </w:r>
          <w:r>
            <w:instrText xml:space="preserve"> HYPERLINK \l "_bookmark7" </w:instrText>
          </w:r>
          <w:r>
            <w:fldChar w:fldCharType="separate"/>
          </w:r>
          <w:r>
            <w:t>二.</w:t>
          </w:r>
          <w:r>
            <w:tab/>
          </w:r>
          <w:r>
            <w:t>收集资</w:t>
          </w:r>
          <w:r>
            <w:rPr>
              <w:spacing w:val="-3"/>
            </w:rPr>
            <w:t>料</w:t>
          </w:r>
          <w:r>
            <w:t>阶段</w:t>
          </w:r>
          <w:r>
            <w:tab/>
          </w:r>
          <w:r>
            <w:t>7</w:t>
          </w:r>
          <w:r>
            <w:fldChar w:fldCharType="end"/>
          </w:r>
        </w:p>
        <w:p>
          <w:pPr>
            <w:pStyle w:val="6"/>
            <w:tabs>
              <w:tab w:val="left" w:pos="2524"/>
              <w:tab w:val="right" w:leader="dot" w:pos="10473"/>
            </w:tabs>
          </w:pPr>
          <w:r>
            <w:fldChar w:fldCharType="begin"/>
          </w:r>
          <w:r>
            <w:instrText xml:space="preserve"> HYPERLINK \l "_bookmark8" </w:instrText>
          </w:r>
          <w:r>
            <w:fldChar w:fldCharType="separate"/>
          </w:r>
          <w:r>
            <w:t>三.</w:t>
          </w:r>
          <w:r>
            <w:tab/>
          </w:r>
          <w:r>
            <w:t>价值测</w:t>
          </w:r>
          <w:r>
            <w:rPr>
              <w:spacing w:val="-3"/>
            </w:rPr>
            <w:t>算</w:t>
          </w:r>
          <w:r>
            <w:t>及汇</w:t>
          </w:r>
          <w:r>
            <w:rPr>
              <w:spacing w:val="-3"/>
            </w:rPr>
            <w:t>总</w:t>
          </w:r>
          <w:r>
            <w:t>阶段</w:t>
          </w:r>
          <w:r>
            <w:tab/>
          </w:r>
          <w:r>
            <w:t>7</w:t>
          </w:r>
          <w:r>
            <w:fldChar w:fldCharType="end"/>
          </w:r>
        </w:p>
        <w:p>
          <w:pPr>
            <w:pStyle w:val="6"/>
            <w:tabs>
              <w:tab w:val="left" w:pos="2524"/>
              <w:tab w:val="right" w:leader="dot" w:pos="10473"/>
            </w:tabs>
            <w:spacing w:line="319" w:lineRule="exact"/>
          </w:pPr>
          <w:r>
            <w:fldChar w:fldCharType="begin"/>
          </w:r>
          <w:r>
            <w:instrText xml:space="preserve"> HYPERLINK \l "_bookmark9" </w:instrText>
          </w:r>
          <w:r>
            <w:fldChar w:fldCharType="separate"/>
          </w:r>
          <w:r>
            <w:t>四.</w:t>
          </w:r>
          <w:r>
            <w:tab/>
          </w:r>
          <w:r>
            <w:t>提交报</w:t>
          </w:r>
          <w:r>
            <w:rPr>
              <w:spacing w:val="-3"/>
            </w:rPr>
            <w:t>告</w:t>
          </w:r>
          <w:r>
            <w:t>阶段</w:t>
          </w:r>
          <w:r>
            <w:tab/>
          </w:r>
          <w:r>
            <w:t>7</w:t>
          </w:r>
          <w:r>
            <w:fldChar w:fldCharType="end"/>
          </w:r>
        </w:p>
        <w:p>
          <w:pPr>
            <w:pStyle w:val="5"/>
            <w:tabs>
              <w:tab w:val="right" w:leader="dot" w:pos="10461"/>
            </w:tabs>
          </w:pPr>
          <w:r>
            <w:fldChar w:fldCharType="begin"/>
          </w:r>
          <w:r>
            <w:instrText xml:space="preserve"> HYPERLINK \l "_bookmark10" </w:instrText>
          </w:r>
          <w:r>
            <w:fldChar w:fldCharType="separate"/>
          </w:r>
          <w:r>
            <w:t>第四部分</w:t>
          </w:r>
          <w:r>
            <w:rPr>
              <w:spacing w:val="64"/>
            </w:rPr>
            <w:t xml:space="preserve"> </w:t>
          </w:r>
          <w:r>
            <w:t>估价结果报告</w:t>
          </w:r>
          <w:r>
            <w:tab/>
          </w:r>
          <w:r>
            <w:t>8</w:t>
          </w:r>
          <w:r>
            <w:fldChar w:fldCharType="end"/>
          </w:r>
        </w:p>
        <w:p>
          <w:pPr>
            <w:pStyle w:val="6"/>
            <w:tabs>
              <w:tab w:val="left" w:pos="2524"/>
              <w:tab w:val="right" w:leader="dot" w:pos="10473"/>
            </w:tabs>
            <w:spacing w:before="96" w:line="319" w:lineRule="exact"/>
          </w:pPr>
          <w:r>
            <w:fldChar w:fldCharType="begin"/>
          </w:r>
          <w:r>
            <w:instrText xml:space="preserve"> HYPERLINK \l "_bookmark11" </w:instrText>
          </w:r>
          <w:r>
            <w:fldChar w:fldCharType="separate"/>
          </w:r>
          <w:r>
            <w:t>一.</w:t>
          </w:r>
          <w:r>
            <w:tab/>
          </w:r>
          <w:r>
            <w:t>委托方</w:t>
          </w:r>
          <w:r>
            <w:rPr>
              <w:spacing w:val="-3"/>
            </w:rPr>
            <w:t>及</w:t>
          </w:r>
          <w:r>
            <w:t>其他</w:t>
          </w:r>
          <w:r>
            <w:rPr>
              <w:spacing w:val="-3"/>
            </w:rPr>
            <w:t>估</w:t>
          </w:r>
          <w:r>
            <w:t>价报</w:t>
          </w:r>
          <w:r>
            <w:rPr>
              <w:spacing w:val="-3"/>
            </w:rPr>
            <w:t>告使</w:t>
          </w:r>
          <w:r>
            <w:t>用者</w:t>
          </w:r>
          <w:r>
            <w:tab/>
          </w:r>
          <w:r>
            <w:t>8</w:t>
          </w:r>
          <w:r>
            <w:fldChar w:fldCharType="end"/>
          </w:r>
        </w:p>
        <w:p>
          <w:pPr>
            <w:pStyle w:val="6"/>
            <w:tabs>
              <w:tab w:val="left" w:pos="2524"/>
              <w:tab w:val="right" w:leader="dot" w:pos="10473"/>
            </w:tabs>
            <w:spacing w:line="310" w:lineRule="exact"/>
          </w:pPr>
          <w:r>
            <w:fldChar w:fldCharType="begin"/>
          </w:r>
          <w:r>
            <w:instrText xml:space="preserve"> HYPERLINK \l "_bookmark12" </w:instrText>
          </w:r>
          <w:r>
            <w:fldChar w:fldCharType="separate"/>
          </w:r>
          <w:r>
            <w:t>二.</w:t>
          </w:r>
          <w:r>
            <w:tab/>
          </w:r>
          <w:r>
            <w:t>评估机构</w:t>
          </w:r>
          <w:r>
            <w:tab/>
          </w:r>
          <w:r>
            <w:t>8</w:t>
          </w:r>
          <w:r>
            <w:fldChar w:fldCharType="end"/>
          </w:r>
        </w:p>
        <w:p>
          <w:pPr>
            <w:pStyle w:val="6"/>
            <w:tabs>
              <w:tab w:val="left" w:pos="2524"/>
              <w:tab w:val="right" w:leader="dot" w:pos="10473"/>
            </w:tabs>
          </w:pPr>
          <w:r>
            <w:fldChar w:fldCharType="begin"/>
          </w:r>
          <w:r>
            <w:instrText xml:space="preserve"> HYPERLINK \l "_bookmark13" </w:instrText>
          </w:r>
          <w:r>
            <w:fldChar w:fldCharType="separate"/>
          </w:r>
          <w:r>
            <w:t>三.</w:t>
          </w:r>
          <w:r>
            <w:tab/>
          </w:r>
          <w:r>
            <w:t>估价目的</w:t>
          </w:r>
          <w:r>
            <w:tab/>
          </w:r>
          <w:r>
            <w:t>8</w:t>
          </w:r>
          <w:r>
            <w:fldChar w:fldCharType="end"/>
          </w:r>
        </w:p>
        <w:p>
          <w:pPr>
            <w:pStyle w:val="6"/>
            <w:tabs>
              <w:tab w:val="left" w:pos="2524"/>
              <w:tab w:val="right" w:leader="dot" w:pos="10473"/>
            </w:tabs>
          </w:pPr>
          <w:r>
            <w:fldChar w:fldCharType="begin"/>
          </w:r>
          <w:r>
            <w:instrText xml:space="preserve"> HYPERLINK \l "_bookmark14" </w:instrText>
          </w:r>
          <w:r>
            <w:fldChar w:fldCharType="separate"/>
          </w:r>
          <w:r>
            <w:t>四.</w:t>
          </w:r>
          <w:r>
            <w:tab/>
          </w:r>
          <w:r>
            <w:t>估价对象</w:t>
          </w:r>
          <w:r>
            <w:tab/>
          </w:r>
          <w:r>
            <w:t>8</w:t>
          </w:r>
          <w:r>
            <w:fldChar w:fldCharType="end"/>
          </w:r>
        </w:p>
        <w:p>
          <w:pPr>
            <w:pStyle w:val="6"/>
            <w:tabs>
              <w:tab w:val="left" w:pos="2524"/>
              <w:tab w:val="right" w:leader="dot" w:pos="10473"/>
            </w:tabs>
          </w:pPr>
          <w:r>
            <w:fldChar w:fldCharType="begin"/>
          </w:r>
          <w:r>
            <w:instrText xml:space="preserve"> HYPERLINK \l "_bookmark15" </w:instrText>
          </w:r>
          <w:r>
            <w:fldChar w:fldCharType="separate"/>
          </w:r>
          <w:r>
            <w:t>五.</w:t>
          </w:r>
          <w:r>
            <w:tab/>
          </w:r>
          <w:r>
            <w:t>价值时点</w:t>
          </w:r>
          <w:r>
            <w:tab/>
          </w:r>
          <w:r>
            <w:t>12</w:t>
          </w:r>
          <w:r>
            <w:fldChar w:fldCharType="end"/>
          </w:r>
        </w:p>
        <w:p>
          <w:pPr>
            <w:pStyle w:val="6"/>
            <w:tabs>
              <w:tab w:val="left" w:pos="2524"/>
              <w:tab w:val="right" w:leader="dot" w:pos="10473"/>
            </w:tabs>
          </w:pPr>
          <w:r>
            <w:fldChar w:fldCharType="begin"/>
          </w:r>
          <w:r>
            <w:instrText xml:space="preserve"> HYPERLINK \l "_bookmark16" </w:instrText>
          </w:r>
          <w:r>
            <w:fldChar w:fldCharType="separate"/>
          </w:r>
          <w:r>
            <w:t>六.</w:t>
          </w:r>
          <w:r>
            <w:tab/>
          </w:r>
          <w:r>
            <w:t>价值类型</w:t>
          </w:r>
          <w:r>
            <w:tab/>
          </w:r>
          <w:r>
            <w:t>12</w:t>
          </w:r>
          <w:r>
            <w:fldChar w:fldCharType="end"/>
          </w:r>
        </w:p>
        <w:p>
          <w:pPr>
            <w:pStyle w:val="6"/>
            <w:tabs>
              <w:tab w:val="left" w:pos="2524"/>
              <w:tab w:val="right" w:leader="dot" w:pos="10473"/>
            </w:tabs>
            <w:spacing w:line="310" w:lineRule="exact"/>
          </w:pPr>
          <w:r>
            <w:fldChar w:fldCharType="begin"/>
          </w:r>
          <w:r>
            <w:instrText xml:space="preserve"> HYPERLINK \l "_bookmark17" </w:instrText>
          </w:r>
          <w:r>
            <w:fldChar w:fldCharType="separate"/>
          </w:r>
          <w:r>
            <w:t>七.</w:t>
          </w:r>
          <w:r>
            <w:tab/>
          </w:r>
          <w:r>
            <w:t>估价原则</w:t>
          </w:r>
          <w:r>
            <w:tab/>
          </w:r>
          <w:r>
            <w:t>13</w:t>
          </w:r>
          <w:r>
            <w:fldChar w:fldCharType="end"/>
          </w:r>
        </w:p>
        <w:p>
          <w:pPr>
            <w:pStyle w:val="6"/>
            <w:tabs>
              <w:tab w:val="left" w:pos="2524"/>
              <w:tab w:val="right" w:leader="dot" w:pos="10473"/>
            </w:tabs>
          </w:pPr>
          <w:r>
            <w:fldChar w:fldCharType="begin"/>
          </w:r>
          <w:r>
            <w:instrText xml:space="preserve"> HYPERLINK \l "_bookmark18" </w:instrText>
          </w:r>
          <w:r>
            <w:fldChar w:fldCharType="separate"/>
          </w:r>
          <w:r>
            <w:t>八.</w:t>
          </w:r>
          <w:r>
            <w:tab/>
          </w:r>
          <w:r>
            <w:t>估价依据</w:t>
          </w:r>
          <w:r>
            <w:tab/>
          </w:r>
          <w:r>
            <w:t>14</w:t>
          </w:r>
          <w:r>
            <w:fldChar w:fldCharType="end"/>
          </w:r>
        </w:p>
        <w:p>
          <w:pPr>
            <w:pStyle w:val="6"/>
            <w:tabs>
              <w:tab w:val="left" w:pos="2524"/>
              <w:tab w:val="right" w:leader="dot" w:pos="10473"/>
            </w:tabs>
          </w:pPr>
          <w:r>
            <w:fldChar w:fldCharType="begin"/>
          </w:r>
          <w:r>
            <w:instrText xml:space="preserve"> HYPERLINK \l "_bookmark19" </w:instrText>
          </w:r>
          <w:r>
            <w:fldChar w:fldCharType="separate"/>
          </w:r>
          <w:r>
            <w:t>九.</w:t>
          </w:r>
          <w:r>
            <w:tab/>
          </w:r>
          <w:r>
            <w:t>估价方法</w:t>
          </w:r>
          <w:r>
            <w:tab/>
          </w:r>
          <w:r>
            <w:t>16</w:t>
          </w:r>
          <w:r>
            <w:fldChar w:fldCharType="end"/>
          </w:r>
        </w:p>
        <w:p>
          <w:pPr>
            <w:pStyle w:val="6"/>
            <w:tabs>
              <w:tab w:val="left" w:pos="2524"/>
              <w:tab w:val="right" w:leader="dot" w:pos="10473"/>
            </w:tabs>
          </w:pPr>
          <w:r>
            <w:fldChar w:fldCharType="begin"/>
          </w:r>
          <w:r>
            <w:instrText xml:space="preserve"> HYPERLINK \l "_bookmark20" </w:instrText>
          </w:r>
          <w:r>
            <w:fldChar w:fldCharType="separate"/>
          </w:r>
          <w:r>
            <w:t>十.</w:t>
          </w:r>
          <w:r>
            <w:tab/>
          </w:r>
          <w:r>
            <w:t>估价结果</w:t>
          </w:r>
          <w:r>
            <w:tab/>
          </w:r>
          <w:r>
            <w:t>18</w:t>
          </w:r>
          <w:r>
            <w:fldChar w:fldCharType="end"/>
          </w:r>
        </w:p>
        <w:p>
          <w:pPr>
            <w:pStyle w:val="6"/>
            <w:tabs>
              <w:tab w:val="left" w:pos="2735"/>
              <w:tab w:val="right" w:leader="dot" w:pos="10473"/>
            </w:tabs>
          </w:pPr>
          <w:r>
            <w:fldChar w:fldCharType="begin"/>
          </w:r>
          <w:r>
            <w:instrText xml:space="preserve"> HYPERLINK \l "_bookmark21" </w:instrText>
          </w:r>
          <w:r>
            <w:fldChar w:fldCharType="separate"/>
          </w:r>
          <w:r>
            <w:t>十一.</w:t>
          </w:r>
          <w:r>
            <w:tab/>
          </w:r>
          <w:r>
            <w:t>注册房</w:t>
          </w:r>
          <w:r>
            <w:rPr>
              <w:spacing w:val="-3"/>
            </w:rPr>
            <w:t>地</w:t>
          </w:r>
          <w:r>
            <w:t>产估</w:t>
          </w:r>
          <w:r>
            <w:rPr>
              <w:spacing w:val="-3"/>
            </w:rPr>
            <w:t>价</w:t>
          </w:r>
          <w:r>
            <w:t>师</w:t>
          </w:r>
          <w:r>
            <w:tab/>
          </w:r>
          <w:r>
            <w:t>20</w:t>
          </w:r>
          <w:r>
            <w:fldChar w:fldCharType="end"/>
          </w:r>
        </w:p>
        <w:p>
          <w:pPr>
            <w:pStyle w:val="6"/>
            <w:tabs>
              <w:tab w:val="left" w:pos="2735"/>
              <w:tab w:val="right" w:leader="dot" w:pos="10473"/>
            </w:tabs>
            <w:spacing w:line="310" w:lineRule="exact"/>
          </w:pPr>
          <w:r>
            <w:fldChar w:fldCharType="begin"/>
          </w:r>
          <w:r>
            <w:instrText xml:space="preserve"> HYPERLINK \l "_bookmark22" </w:instrText>
          </w:r>
          <w:r>
            <w:fldChar w:fldCharType="separate"/>
          </w:r>
          <w:r>
            <w:t>十二.</w:t>
          </w:r>
          <w:r>
            <w:tab/>
          </w:r>
          <w:r>
            <w:t>实地查</w:t>
          </w:r>
          <w:r>
            <w:rPr>
              <w:spacing w:val="-3"/>
            </w:rPr>
            <w:t>勘期</w:t>
          </w:r>
          <w:r>
            <w:rPr>
              <w:spacing w:val="-3"/>
            </w:rPr>
            <w:tab/>
          </w:r>
          <w:r>
            <w:t>20</w:t>
          </w:r>
          <w:r>
            <w:fldChar w:fldCharType="end"/>
          </w:r>
        </w:p>
        <w:p>
          <w:pPr>
            <w:pStyle w:val="6"/>
            <w:tabs>
              <w:tab w:val="left" w:pos="2735"/>
              <w:tab w:val="right" w:leader="dot" w:pos="10473"/>
            </w:tabs>
          </w:pPr>
          <w:r>
            <w:fldChar w:fldCharType="begin"/>
          </w:r>
          <w:r>
            <w:instrText xml:space="preserve"> HYPERLINK \l "_bookmark23" </w:instrText>
          </w:r>
          <w:r>
            <w:fldChar w:fldCharType="separate"/>
          </w:r>
          <w:r>
            <w:t>十三.</w:t>
          </w:r>
          <w:r>
            <w:tab/>
          </w:r>
          <w:r>
            <w:t>估价作</w:t>
          </w:r>
          <w:r>
            <w:rPr>
              <w:spacing w:val="-3"/>
            </w:rPr>
            <w:t>业</w:t>
          </w:r>
          <w:r>
            <w:t>期</w:t>
          </w:r>
          <w:r>
            <w:tab/>
          </w:r>
          <w:r>
            <w:t>20</w:t>
          </w:r>
          <w:r>
            <w:fldChar w:fldCharType="end"/>
          </w:r>
        </w:p>
        <w:p>
          <w:pPr>
            <w:pStyle w:val="6"/>
            <w:tabs>
              <w:tab w:val="left" w:pos="2735"/>
              <w:tab w:val="right" w:leader="dot" w:pos="10473"/>
            </w:tabs>
            <w:spacing w:line="318" w:lineRule="exact"/>
          </w:pPr>
          <w:r>
            <w:fldChar w:fldCharType="begin"/>
          </w:r>
          <w:r>
            <w:instrText xml:space="preserve"> HYPERLINK \l "_bookmark24" </w:instrText>
          </w:r>
          <w:r>
            <w:fldChar w:fldCharType="separate"/>
          </w:r>
          <w:r>
            <w:t>十四.</w:t>
          </w:r>
          <w:r>
            <w:tab/>
          </w:r>
          <w:r>
            <w:t>估价报</w:t>
          </w:r>
          <w:r>
            <w:rPr>
              <w:spacing w:val="-3"/>
            </w:rPr>
            <w:t>告</w:t>
          </w:r>
          <w:r>
            <w:t>使用</w:t>
          </w:r>
          <w:r>
            <w:rPr>
              <w:spacing w:val="-3"/>
            </w:rPr>
            <w:t>期</w:t>
          </w:r>
          <w:r>
            <w:t>限</w:t>
          </w:r>
          <w:r>
            <w:tab/>
          </w:r>
          <w:r>
            <w:t>20</w:t>
          </w:r>
          <w:r>
            <w:fldChar w:fldCharType="end"/>
          </w:r>
        </w:p>
        <w:p>
          <w:pPr>
            <w:pStyle w:val="5"/>
            <w:tabs>
              <w:tab w:val="right" w:leader="dot" w:pos="10461"/>
            </w:tabs>
            <w:spacing w:before="98"/>
          </w:pPr>
          <w:r>
            <w:fldChar w:fldCharType="begin"/>
          </w:r>
          <w:r>
            <w:instrText xml:space="preserve"> HYPERLINK \l "_bookmark25" </w:instrText>
          </w:r>
          <w:r>
            <w:fldChar w:fldCharType="separate"/>
          </w:r>
          <w:r>
            <w:t>第五部分</w:t>
          </w:r>
          <w:r>
            <w:rPr>
              <w:spacing w:val="64"/>
            </w:rPr>
            <w:t xml:space="preserve"> </w:t>
          </w:r>
          <w:r>
            <w:t xml:space="preserve">附 </w:t>
          </w:r>
          <w:r>
            <w:rPr>
              <w:spacing w:val="1"/>
            </w:rPr>
            <w:t xml:space="preserve"> </w:t>
          </w:r>
          <w:r>
            <w:t>件</w:t>
          </w:r>
          <w:r>
            <w:tab/>
          </w:r>
          <w:r>
            <w:t>21</w:t>
          </w:r>
          <w:r>
            <w:fldChar w:fldCharType="end"/>
          </w:r>
        </w:p>
        <w:p>
          <w:pPr>
            <w:pStyle w:val="6"/>
            <w:tabs>
              <w:tab w:val="right" w:leader="dot" w:pos="10473"/>
            </w:tabs>
            <w:spacing w:before="98" w:line="318" w:lineRule="exact"/>
          </w:pPr>
          <w:r>
            <w:fldChar w:fldCharType="begin"/>
          </w:r>
          <w:r>
            <w:instrText xml:space="preserve"> HYPERLINK \l "_bookmark26" </w:instrText>
          </w:r>
          <w:r>
            <w:fldChar w:fldCharType="separate"/>
          </w:r>
          <w:r>
            <w:t>估价行</w:t>
          </w:r>
          <w:r>
            <w:rPr>
              <w:spacing w:val="-3"/>
            </w:rPr>
            <w:t>为</w:t>
          </w:r>
          <w:r>
            <w:t>依据</w:t>
          </w:r>
          <w:r>
            <w:rPr>
              <w:spacing w:val="-3"/>
            </w:rPr>
            <w:t>影</w:t>
          </w:r>
          <w:r>
            <w:t>印件</w:t>
          </w:r>
          <w:r>
            <w:tab/>
          </w:r>
          <w:r>
            <w:t>22</w:t>
          </w:r>
          <w:r>
            <w:fldChar w:fldCharType="end"/>
          </w:r>
        </w:p>
        <w:p>
          <w:pPr>
            <w:pStyle w:val="6"/>
            <w:tabs>
              <w:tab w:val="right" w:leader="dot" w:pos="10473"/>
            </w:tabs>
          </w:pPr>
          <w:r>
            <w:fldChar w:fldCharType="begin"/>
          </w:r>
          <w:r>
            <w:instrText xml:space="preserve"> HYPERLINK \l "_bookmark27" </w:instrText>
          </w:r>
          <w:r>
            <w:fldChar w:fldCharType="separate"/>
          </w:r>
          <w:r>
            <w:t>估价对</w:t>
          </w:r>
          <w:r>
            <w:rPr>
              <w:spacing w:val="-3"/>
            </w:rPr>
            <w:t>象</w:t>
          </w:r>
          <w:r>
            <w:t>相关</w:t>
          </w:r>
          <w:r>
            <w:rPr>
              <w:spacing w:val="-3"/>
            </w:rPr>
            <w:t>产</w:t>
          </w:r>
          <w:r>
            <w:t>权证</w:t>
          </w:r>
          <w:r>
            <w:rPr>
              <w:spacing w:val="-3"/>
            </w:rPr>
            <w:t>明影</w:t>
          </w:r>
          <w:r>
            <w:t>印件</w:t>
          </w:r>
          <w:r>
            <w:tab/>
          </w:r>
          <w:r>
            <w:t>23</w:t>
          </w:r>
          <w:r>
            <w:fldChar w:fldCharType="end"/>
          </w:r>
        </w:p>
        <w:p>
          <w:pPr>
            <w:pStyle w:val="6"/>
            <w:tabs>
              <w:tab w:val="right" w:leader="dot" w:pos="10473"/>
            </w:tabs>
            <w:spacing w:line="310" w:lineRule="exact"/>
          </w:pPr>
          <w:r>
            <w:fldChar w:fldCharType="begin"/>
          </w:r>
          <w:r>
            <w:instrText xml:space="preserve"> HYPERLINK \l "_bookmark28" </w:instrText>
          </w:r>
          <w:r>
            <w:fldChar w:fldCharType="separate"/>
          </w:r>
          <w:r>
            <w:t>估价对</w:t>
          </w:r>
          <w:r>
            <w:rPr>
              <w:spacing w:val="-3"/>
            </w:rPr>
            <w:t>象</w:t>
          </w:r>
          <w:r>
            <w:t>实地</w:t>
          </w:r>
          <w:r>
            <w:rPr>
              <w:spacing w:val="-3"/>
            </w:rPr>
            <w:t>查</w:t>
          </w:r>
          <w:r>
            <w:t>看情</w:t>
          </w:r>
          <w:r>
            <w:rPr>
              <w:spacing w:val="-3"/>
            </w:rPr>
            <w:t>况及</w:t>
          </w:r>
          <w:r>
            <w:t>相关照片</w:t>
          </w:r>
          <w:r>
            <w:tab/>
          </w:r>
          <w:r>
            <w:t>26</w:t>
          </w:r>
          <w:r>
            <w:fldChar w:fldCharType="end"/>
          </w:r>
        </w:p>
        <w:p>
          <w:pPr>
            <w:pStyle w:val="6"/>
            <w:tabs>
              <w:tab w:val="right" w:leader="dot" w:pos="10473"/>
            </w:tabs>
          </w:pPr>
          <w:r>
            <w:fldChar w:fldCharType="begin"/>
          </w:r>
          <w:r>
            <w:instrText xml:space="preserve"> HYPERLINK \l "_bookmark29" </w:instrText>
          </w:r>
          <w:r>
            <w:fldChar w:fldCharType="separate"/>
          </w:r>
          <w:r>
            <w:t>估价对</w:t>
          </w:r>
          <w:r>
            <w:rPr>
              <w:spacing w:val="-3"/>
            </w:rPr>
            <w:t>象</w:t>
          </w:r>
          <w:r>
            <w:t>位置</w:t>
          </w:r>
          <w:r>
            <w:rPr>
              <w:spacing w:val="-3"/>
            </w:rPr>
            <w:t>示</w:t>
          </w:r>
          <w:r>
            <w:t>意图</w:t>
          </w:r>
          <w:r>
            <w:tab/>
          </w:r>
          <w:r>
            <w:t>27</w:t>
          </w:r>
          <w:r>
            <w:fldChar w:fldCharType="end"/>
          </w:r>
        </w:p>
        <w:p>
          <w:pPr>
            <w:pStyle w:val="6"/>
            <w:tabs>
              <w:tab w:val="right" w:leader="dot" w:pos="10473"/>
            </w:tabs>
          </w:pPr>
          <w:r>
            <w:fldChar w:fldCharType="begin"/>
          </w:r>
          <w:r>
            <w:instrText xml:space="preserve"> HYPERLINK \l "_bookmark30" </w:instrText>
          </w:r>
          <w:r>
            <w:fldChar w:fldCharType="separate"/>
          </w:r>
          <w:r>
            <w:t>评估机</w:t>
          </w:r>
          <w:r>
            <w:rPr>
              <w:spacing w:val="-3"/>
            </w:rPr>
            <w:t>构</w:t>
          </w:r>
          <w:r>
            <w:t>相关</w:t>
          </w:r>
          <w:r>
            <w:rPr>
              <w:spacing w:val="-3"/>
            </w:rPr>
            <w:t>证</w:t>
          </w:r>
          <w:r>
            <w:t>照影</w:t>
          </w:r>
          <w:r>
            <w:rPr>
              <w:spacing w:val="-3"/>
            </w:rPr>
            <w:t>印</w:t>
          </w:r>
          <w:r>
            <w:t>件</w:t>
          </w:r>
          <w:r>
            <w:tab/>
          </w:r>
          <w:r>
            <w:t>28</w:t>
          </w:r>
          <w:r>
            <w:fldChar w:fldCharType="end"/>
          </w:r>
        </w:p>
        <w:p>
          <w:pPr>
            <w:pStyle w:val="6"/>
            <w:tabs>
              <w:tab w:val="right" w:leader="dot" w:pos="10473"/>
            </w:tabs>
            <w:spacing w:line="310" w:lineRule="exact"/>
          </w:pPr>
          <w:r>
            <w:fldChar w:fldCharType="begin"/>
          </w:r>
          <w:r>
            <w:instrText xml:space="preserve"> HYPERLINK \l "_bookmark31" </w:instrText>
          </w:r>
          <w:r>
            <w:fldChar w:fldCharType="separate"/>
          </w:r>
          <w:r>
            <w:t>注册房</w:t>
          </w:r>
          <w:r>
            <w:rPr>
              <w:spacing w:val="-3"/>
            </w:rPr>
            <w:t>地</w:t>
          </w:r>
          <w:r>
            <w:t>产估</w:t>
          </w:r>
          <w:r>
            <w:rPr>
              <w:spacing w:val="-3"/>
            </w:rPr>
            <w:t>价</w:t>
          </w:r>
          <w:r>
            <w:t>师注</w:t>
          </w:r>
          <w:r>
            <w:rPr>
              <w:spacing w:val="-3"/>
            </w:rPr>
            <w:t>册证</w:t>
          </w:r>
          <w:r>
            <w:t>影印件</w:t>
          </w:r>
          <w:r>
            <w:tab/>
          </w:r>
          <w:r>
            <w:t>32</w:t>
          </w:r>
          <w:r>
            <w:fldChar w:fldCharType="end"/>
          </w:r>
        </w:p>
        <w:p>
          <w:pPr>
            <w:pStyle w:val="6"/>
            <w:tabs>
              <w:tab w:val="right" w:leader="dot" w:pos="10473"/>
            </w:tabs>
            <w:spacing w:line="319" w:lineRule="exact"/>
          </w:pPr>
          <w:r>
            <w:fldChar w:fldCharType="begin"/>
          </w:r>
          <w:r>
            <w:instrText xml:space="preserve"> HYPERLINK \l "_bookmark32" </w:instrText>
          </w:r>
          <w:r>
            <w:fldChar w:fldCharType="separate"/>
          </w:r>
          <w:r>
            <w:t>资产评</w:t>
          </w:r>
          <w:r>
            <w:rPr>
              <w:spacing w:val="-3"/>
            </w:rPr>
            <w:t>估</w:t>
          </w:r>
          <w:r>
            <w:t>师职</w:t>
          </w:r>
          <w:r>
            <w:rPr>
              <w:spacing w:val="-3"/>
            </w:rPr>
            <w:t>业</w:t>
          </w:r>
          <w:r>
            <w:t>资格</w:t>
          </w:r>
          <w:r>
            <w:rPr>
              <w:spacing w:val="-3"/>
            </w:rPr>
            <w:t>证书</w:t>
          </w:r>
          <w:r>
            <w:t>登记卡</w:t>
          </w:r>
          <w:r>
            <w:rPr>
              <w:spacing w:val="-3"/>
            </w:rPr>
            <w:t>影</w:t>
          </w:r>
          <w:r>
            <w:t>印件</w:t>
          </w:r>
          <w:r>
            <w:tab/>
          </w:r>
          <w:r>
            <w:t>33</w:t>
          </w:r>
          <w:r>
            <w:fldChar w:fldCharType="end"/>
          </w:r>
        </w:p>
      </w:sdtContent>
    </w:sdt>
    <w:p>
      <w:pPr>
        <w:spacing w:after="0" w:line="319" w:lineRule="exact"/>
        <w:sectPr>
          <w:footerReference r:id="rId5" w:type="default"/>
          <w:pgSz w:w="11910" w:h="16840"/>
          <w:pgMar w:top="1100" w:right="180" w:bottom="960" w:left="300" w:header="845" w:footer="769" w:gutter="0"/>
        </w:sectPr>
      </w:pPr>
    </w:p>
    <w:p>
      <w:pPr>
        <w:pStyle w:val="4"/>
        <w:rPr>
          <w:sz w:val="2"/>
        </w:rPr>
      </w:pPr>
    </w:p>
    <w:p>
      <w:pPr>
        <w:pStyle w:val="4"/>
        <w:spacing w:line="192" w:lineRule="exact"/>
        <w:ind w:left="513"/>
        <w:rPr>
          <w:sz w:val="19"/>
        </w:rPr>
      </w:pPr>
      <w:r>
        <w:rPr>
          <w:position w:val="-3"/>
          <w:sz w:val="19"/>
        </w:rPr>
        <w:pict>
          <v:group id="_x0000_s1079" o:spid="_x0000_s1079" o:spt="203" style="height:9.6pt;width:503.35pt;" coordsize="10067,192">
            <o:lock v:ext="edit"/>
            <v:line id="_x0000_s1080" o:spid="_x0000_s1080" o:spt="20" style="position:absolute;left:0;top:13;height:0;width:1083;" stroked="t" coordsize="21600,21600">
              <v:path arrowok="t"/>
              <v:fill focussize="0,0"/>
              <v:stroke weight="0.96pt" color="#585858"/>
              <v:imagedata o:title=""/>
              <o:lock v:ext="edit"/>
            </v:line>
            <v:line id="_x0000_s1081" o:spid="_x0000_s1081" o:spt="20" style="position:absolute;left:1111;top:177;height:0;width:8955;" stroked="t" coordsize="21600,21600">
              <v:path arrowok="t"/>
              <v:fill focussize="0,0"/>
              <v:stroke weight="1.41433070866142pt" color="#585858"/>
              <v:imagedata o:title=""/>
              <o:lock v:ext="edit"/>
            </v:line>
            <v:line id="_x0000_s1082" o:spid="_x0000_s1082" o:spt="20" style="position:absolute;left:1162;top:79;height:5;width:8797;" stroked="t" coordsize="21600,21600">
              <v:path arrowok="t"/>
              <v:fill focussize="0,0"/>
              <v:stroke weight="7.9pt" color="#585858"/>
              <v:imagedata o:title=""/>
              <o:lock v:ext="edit"/>
            </v:line>
            <w10:wrap type="none"/>
            <w10:anchorlock/>
          </v:group>
        </w:pict>
      </w:r>
    </w:p>
    <w:p>
      <w:pPr>
        <w:pStyle w:val="2"/>
      </w:pPr>
      <w:bookmarkStart w:id="1" w:name="_bookmark0"/>
      <w:bookmarkEnd w:id="1"/>
      <w:bookmarkStart w:id="2" w:name="第一部分 估价师声明"/>
      <w:bookmarkEnd w:id="2"/>
      <w:r>
        <w:rPr>
          <w:color w:val="A64231"/>
        </w:rPr>
        <w:t>第一部分 估价师声明</w:t>
      </w:r>
    </w:p>
    <w:p>
      <w:pPr>
        <w:pStyle w:val="4"/>
        <w:spacing w:line="118" w:lineRule="exact"/>
        <w:ind w:left="1626"/>
        <w:rPr>
          <w:sz w:val="11"/>
        </w:rPr>
      </w:pPr>
      <w:r>
        <w:rPr>
          <w:position w:val="-1"/>
          <w:sz w:val="11"/>
        </w:rPr>
        <w:pict>
          <v:group id="_x0000_s1083" o:spid="_x0000_s1083" o:spt="203" style="height:5.9pt;width:442.2pt;" coordsize="8844,118">
            <o:lock v:ext="edit"/>
            <v:line id="_x0000_s1084" o:spid="_x0000_s1084" o:spt="20" style="position:absolute;left:0;top:103;height:0;width:8844;" stroked="t" coordsize="21600,21600">
              <v:path arrowok="t"/>
              <v:fill focussize="0,0"/>
              <v:stroke weight="1.44pt" color="#A64231"/>
              <v:imagedata o:title=""/>
              <o:lock v:ext="edit"/>
            </v:line>
            <v:line id="_x0000_s1085" o:spid="_x0000_s1085" o:spt="20" style="position:absolute;left:0;top:30;height:0;width:8844;" stroked="t" coordsize="21600,21600">
              <v:path arrowok="t"/>
              <v:fill focussize="0,0"/>
              <v:stroke weight="3pt" color="#A64231"/>
              <v:imagedata o:title=""/>
              <o:lock v:ext="edit"/>
            </v:line>
            <w10:wrap type="none"/>
            <w10:anchorlock/>
          </v:group>
        </w:pict>
      </w:r>
    </w:p>
    <w:p>
      <w:pPr>
        <w:spacing w:before="0"/>
        <w:ind w:left="1684" w:right="0" w:firstLine="0"/>
        <w:jc w:val="left"/>
        <w:rPr>
          <w:sz w:val="26"/>
        </w:rPr>
      </w:pPr>
      <w:r>
        <w:rPr>
          <w:b/>
          <w:sz w:val="26"/>
          <w:u w:val="single"/>
        </w:rPr>
        <w:t>我们根据自己的专业知识和职业道德，在此郑重声明</w:t>
      </w:r>
      <w:r>
        <w:rPr>
          <w:sz w:val="26"/>
          <w:u w:val="single"/>
        </w:rPr>
        <w:t>:</w:t>
      </w:r>
    </w:p>
    <w:p>
      <w:pPr>
        <w:pStyle w:val="10"/>
        <w:numPr>
          <w:ilvl w:val="1"/>
          <w:numId w:val="1"/>
        </w:numPr>
        <w:tabs>
          <w:tab w:val="left" w:pos="1685"/>
        </w:tabs>
        <w:spacing w:before="159" w:after="0" w:line="338" w:lineRule="auto"/>
        <w:ind w:left="1685" w:right="952" w:hanging="284"/>
        <w:jc w:val="both"/>
        <w:rPr>
          <w:sz w:val="25"/>
        </w:rPr>
      </w:pPr>
      <w:r>
        <w:rPr>
          <w:sz w:val="25"/>
        </w:rPr>
        <w:t>我们在估价报告中对事实的说明是真实和准确的，没有虚假记载、误导性陈述和重大遗漏。所有参加估价的注册房地产估价师均承诺和保证具有良好的估价职业道德，具备良好的专业胜任能力，勤勉尽责地完成估价任务。</w:t>
      </w:r>
    </w:p>
    <w:p>
      <w:pPr>
        <w:pStyle w:val="10"/>
        <w:numPr>
          <w:ilvl w:val="1"/>
          <w:numId w:val="1"/>
        </w:numPr>
        <w:tabs>
          <w:tab w:val="left" w:pos="1686"/>
        </w:tabs>
        <w:spacing w:before="0" w:after="0" w:line="338" w:lineRule="auto"/>
        <w:ind w:left="1685" w:right="952" w:hanging="284"/>
        <w:jc w:val="both"/>
        <w:rPr>
          <w:sz w:val="25"/>
        </w:rPr>
      </w:pPr>
      <w:r>
        <w:rPr>
          <w:sz w:val="25"/>
        </w:rPr>
        <w:t>估价报告中的分析、意见和结论是我们独立、客观、公正的专业分析、意见和结论，但受到本估价报告中已说明的估价假设和报告使用限制条件的限制。</w:t>
      </w:r>
    </w:p>
    <w:p>
      <w:pPr>
        <w:pStyle w:val="10"/>
        <w:numPr>
          <w:ilvl w:val="1"/>
          <w:numId w:val="1"/>
        </w:numPr>
        <w:tabs>
          <w:tab w:val="left" w:pos="1686"/>
        </w:tabs>
        <w:spacing w:before="0" w:after="0" w:line="338" w:lineRule="auto"/>
        <w:ind w:left="1686" w:right="951" w:hanging="284"/>
        <w:jc w:val="both"/>
        <w:rPr>
          <w:sz w:val="25"/>
        </w:rPr>
      </w:pPr>
      <w:r>
        <w:rPr>
          <w:sz w:val="25"/>
        </w:rPr>
        <w:t>我们与报告中的估价对象没有现实或潜在的利益，与委托方及估价利害关系人没有利害关系，也对估价对象、委托方及估价利害关系人没有偏见。</w:t>
      </w:r>
    </w:p>
    <w:p>
      <w:pPr>
        <w:pStyle w:val="10"/>
        <w:numPr>
          <w:ilvl w:val="1"/>
          <w:numId w:val="1"/>
        </w:numPr>
        <w:tabs>
          <w:tab w:val="left" w:pos="1687"/>
        </w:tabs>
        <w:spacing w:before="0" w:after="0" w:line="338" w:lineRule="auto"/>
        <w:ind w:left="1686" w:right="953" w:hanging="284"/>
        <w:jc w:val="both"/>
        <w:rPr>
          <w:sz w:val="25"/>
        </w:rPr>
      </w:pPr>
      <w:r>
        <w:rPr>
          <w:spacing w:val="-22"/>
          <w:sz w:val="25"/>
        </w:rPr>
        <w:t>我们依照《中华人民共和国资产评估法》、《房地产估价规范》、《房地产估价基本术语标准》等相关法律、法规进行分析并形成意见和结论后撰写本报告。</w:t>
      </w:r>
    </w:p>
    <w:p>
      <w:pPr>
        <w:pStyle w:val="10"/>
        <w:numPr>
          <w:ilvl w:val="1"/>
          <w:numId w:val="1"/>
        </w:numPr>
        <w:tabs>
          <w:tab w:val="left" w:pos="1688"/>
        </w:tabs>
        <w:spacing w:before="0" w:after="0" w:line="338" w:lineRule="auto"/>
        <w:ind w:left="1687" w:right="950" w:hanging="284"/>
        <w:jc w:val="both"/>
        <w:rPr>
          <w:sz w:val="25"/>
        </w:rPr>
      </w:pPr>
      <w:r>
        <w:rPr>
          <w:sz w:val="25"/>
        </w:rPr>
        <w:t xml:space="preserve">本次参与项目的估价师王志萍、翟悦清、黄弘毅以及估价助理李智等人于 2020 </w:t>
      </w:r>
      <w:r>
        <w:rPr>
          <w:spacing w:val="-2"/>
          <w:sz w:val="25"/>
        </w:rPr>
        <w:t xml:space="preserve">年 </w:t>
      </w:r>
      <w:r>
        <w:rPr>
          <w:sz w:val="25"/>
        </w:rPr>
        <w:t>06</w:t>
      </w:r>
      <w:r>
        <w:rPr>
          <w:spacing w:val="-2"/>
          <w:sz w:val="25"/>
        </w:rPr>
        <w:t xml:space="preserve"> 月 </w:t>
      </w:r>
      <w:r>
        <w:rPr>
          <w:sz w:val="25"/>
        </w:rPr>
        <w:t>04</w:t>
      </w:r>
      <w:r>
        <w:rPr>
          <w:spacing w:val="-3"/>
          <w:sz w:val="25"/>
        </w:rPr>
        <w:t xml:space="preserve"> 日对本报告中的估价对象进行了实地查勘并对其现状进行了记录。但</w:t>
      </w:r>
      <w:r>
        <w:rPr>
          <w:sz w:val="25"/>
        </w:rPr>
        <w:t>我们对估价对象的现场查勘仅限于其外观和使用状况，对被遮盖、未暴露及难以接触到的部分，依据委托方提供的资料进行评估。除非另有协议，我们不承担对估价对象建筑结构质量进行调查的责任。</w:t>
      </w:r>
    </w:p>
    <w:p>
      <w:pPr>
        <w:pStyle w:val="10"/>
        <w:numPr>
          <w:ilvl w:val="1"/>
          <w:numId w:val="1"/>
        </w:numPr>
        <w:tabs>
          <w:tab w:val="left" w:pos="1688"/>
        </w:tabs>
        <w:spacing w:before="0" w:after="0" w:line="338" w:lineRule="auto"/>
        <w:ind w:left="1687" w:right="949" w:hanging="284"/>
        <w:jc w:val="both"/>
        <w:rPr>
          <w:sz w:val="25"/>
        </w:rPr>
      </w:pPr>
      <w:r>
        <w:rPr>
          <w:sz w:val="25"/>
        </w:rPr>
        <w:t>本报告所依据的由委托人提供的有关资料，其真实性、合法性和完整性由委托方负责。</w:t>
      </w:r>
    </w:p>
    <w:p>
      <w:pPr>
        <w:pStyle w:val="10"/>
        <w:numPr>
          <w:ilvl w:val="1"/>
          <w:numId w:val="1"/>
        </w:numPr>
        <w:tabs>
          <w:tab w:val="left" w:pos="1689"/>
        </w:tabs>
        <w:spacing w:before="0" w:after="0" w:line="373" w:lineRule="exact"/>
        <w:ind w:left="1688" w:right="0" w:hanging="285"/>
        <w:jc w:val="both"/>
        <w:rPr>
          <w:sz w:val="25"/>
        </w:rPr>
      </w:pPr>
      <w:r>
        <w:rPr>
          <w:sz w:val="25"/>
        </w:rPr>
        <w:t>没有除我公司以外的人对本估价报告提供重要专业帮助。</w:t>
      </w:r>
    </w:p>
    <w:p>
      <w:pPr>
        <w:pStyle w:val="4"/>
        <w:spacing w:before="1"/>
        <w:rPr>
          <w:sz w:val="10"/>
        </w:rPr>
      </w:pPr>
    </w:p>
    <w:tbl>
      <w:tblPr>
        <w:tblStyle w:val="7"/>
        <w:tblW w:w="0" w:type="auto"/>
        <w:tblInd w:w="140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190"/>
        <w:gridCol w:w="3190"/>
        <w:gridCol w:w="27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 w:hRule="atLeast"/>
        </w:trPr>
        <w:tc>
          <w:tcPr>
            <w:tcW w:w="6380" w:type="dxa"/>
            <w:gridSpan w:val="2"/>
            <w:tcBorders>
              <w:bottom w:val="double" w:color="C00000" w:sz="0" w:space="0"/>
              <w:right w:val="double" w:color="C00000" w:sz="0" w:space="0"/>
            </w:tcBorders>
            <w:shd w:val="clear" w:color="auto" w:fill="A64231"/>
          </w:tcPr>
          <w:p>
            <w:pPr>
              <w:pStyle w:val="11"/>
              <w:spacing w:line="306" w:lineRule="exact"/>
              <w:ind w:left="2165" w:right="2237"/>
              <w:rPr>
                <w:b/>
                <w:sz w:val="24"/>
              </w:rPr>
            </w:pPr>
            <w:r>
              <w:rPr>
                <w:b/>
                <w:color w:val="FFFFFF"/>
                <w:sz w:val="24"/>
              </w:rPr>
              <w:t>注册房地产估价师</w:t>
            </w:r>
          </w:p>
        </w:tc>
        <w:tc>
          <w:tcPr>
            <w:tcW w:w="2799" w:type="dxa"/>
            <w:tcBorders>
              <w:left w:val="double" w:color="C00000" w:sz="0" w:space="0"/>
              <w:bottom w:val="double" w:color="C00000" w:sz="0" w:space="0"/>
            </w:tcBorders>
            <w:shd w:val="clear" w:color="auto" w:fill="A64231"/>
          </w:tcPr>
          <w:p>
            <w:pPr>
              <w:pStyle w:val="11"/>
              <w:spacing w:line="306" w:lineRule="exact"/>
              <w:ind w:left="841" w:right="942"/>
              <w:rPr>
                <w:b/>
                <w:sz w:val="24"/>
              </w:rPr>
            </w:pPr>
            <w:r>
              <w:rPr>
                <w:b/>
                <w:color w:val="FFFFFF"/>
                <w:sz w:val="24"/>
              </w:rPr>
              <w:t>估价助理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3" w:hRule="atLeast"/>
        </w:trPr>
        <w:tc>
          <w:tcPr>
            <w:tcW w:w="3190" w:type="dxa"/>
            <w:tcBorders>
              <w:top w:val="double" w:color="C00000" w:sz="0" w:space="0"/>
              <w:right w:val="single" w:color="C00000" w:sz="4" w:space="0"/>
            </w:tcBorders>
            <w:shd w:val="clear" w:color="auto" w:fill="FFFFCC"/>
          </w:tcPr>
          <w:p>
            <w:pPr>
              <w:pStyle w:val="11"/>
              <w:spacing w:line="347" w:lineRule="exact"/>
              <w:ind w:left="385" w:right="467"/>
              <w:rPr>
                <w:sz w:val="24"/>
              </w:rPr>
            </w:pPr>
            <w:r>
              <w:rPr>
                <w:sz w:val="24"/>
              </w:rPr>
              <w:t>王志萍</w:t>
            </w:r>
          </w:p>
          <w:p>
            <w:pPr>
              <w:pStyle w:val="11"/>
              <w:spacing w:line="316" w:lineRule="exact"/>
              <w:ind w:left="385" w:right="469"/>
              <w:rPr>
                <w:sz w:val="24"/>
              </w:rPr>
            </w:pPr>
            <w:r>
              <w:rPr>
                <w:sz w:val="24"/>
              </w:rPr>
              <w:t>注册号：5320040040</w:t>
            </w:r>
          </w:p>
        </w:tc>
        <w:tc>
          <w:tcPr>
            <w:tcW w:w="3190" w:type="dxa"/>
            <w:tcBorders>
              <w:top w:val="double" w:color="C00000" w:sz="0" w:space="0"/>
              <w:left w:val="single" w:color="C00000" w:sz="4" w:space="0"/>
              <w:right w:val="single" w:color="000000" w:sz="4" w:space="0"/>
            </w:tcBorders>
            <w:shd w:val="clear" w:color="auto" w:fill="FFFFCC"/>
          </w:tcPr>
          <w:p>
            <w:pPr>
              <w:pStyle w:val="11"/>
              <w:spacing w:line="347" w:lineRule="exact"/>
              <w:ind w:left="380" w:right="469"/>
              <w:rPr>
                <w:sz w:val="24"/>
              </w:rPr>
            </w:pPr>
            <w:r>
              <w:rPr>
                <w:sz w:val="24"/>
              </w:rPr>
              <w:t>翟悦清</w:t>
            </w:r>
          </w:p>
          <w:p>
            <w:pPr>
              <w:pStyle w:val="11"/>
              <w:spacing w:line="316" w:lineRule="exact"/>
              <w:ind w:left="380" w:right="470"/>
              <w:rPr>
                <w:sz w:val="24"/>
              </w:rPr>
            </w:pPr>
            <w:r>
              <w:rPr>
                <w:sz w:val="24"/>
              </w:rPr>
              <w:t>注册号：5320170052</w:t>
            </w:r>
          </w:p>
        </w:tc>
        <w:tc>
          <w:tcPr>
            <w:tcW w:w="2799" w:type="dxa"/>
            <w:tcBorders>
              <w:top w:val="double" w:color="C00000" w:sz="0" w:space="0"/>
              <w:left w:val="single" w:color="000000" w:sz="4" w:space="0"/>
            </w:tcBorders>
            <w:shd w:val="clear" w:color="auto" w:fill="FFFFCC"/>
          </w:tcPr>
          <w:p>
            <w:pPr>
              <w:pStyle w:val="11"/>
              <w:jc w:val="left"/>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trPr>
        <w:tc>
          <w:tcPr>
            <w:tcW w:w="6380" w:type="dxa"/>
            <w:gridSpan w:val="2"/>
            <w:tcBorders>
              <w:right w:val="single" w:color="000000" w:sz="4" w:space="0"/>
            </w:tcBorders>
            <w:shd w:val="clear" w:color="auto" w:fill="A64231"/>
          </w:tcPr>
          <w:p>
            <w:pPr>
              <w:pStyle w:val="11"/>
              <w:tabs>
                <w:tab w:val="left" w:pos="895"/>
              </w:tabs>
              <w:spacing w:line="318" w:lineRule="exact"/>
              <w:ind w:right="82"/>
              <w:rPr>
                <w:b/>
                <w:sz w:val="24"/>
              </w:rPr>
            </w:pPr>
            <w:r>
              <w:rPr>
                <w:b/>
                <w:color w:val="FFFFFF"/>
                <w:sz w:val="24"/>
              </w:rPr>
              <w:t>签</w:t>
            </w:r>
            <w:r>
              <w:rPr>
                <w:b/>
                <w:color w:val="FFFFFF"/>
                <w:sz w:val="24"/>
              </w:rPr>
              <w:tab/>
            </w:r>
            <w:r>
              <w:rPr>
                <w:b/>
                <w:color w:val="FFFFFF"/>
                <w:sz w:val="24"/>
              </w:rPr>
              <w:t>章</w:t>
            </w:r>
          </w:p>
        </w:tc>
        <w:tc>
          <w:tcPr>
            <w:tcW w:w="2799" w:type="dxa"/>
            <w:tcBorders>
              <w:left w:val="single" w:color="000000" w:sz="4" w:space="0"/>
            </w:tcBorders>
            <w:shd w:val="clear" w:color="auto" w:fill="A64231"/>
          </w:tcPr>
          <w:p>
            <w:pPr>
              <w:pStyle w:val="11"/>
              <w:spacing w:line="318" w:lineRule="exact"/>
              <w:ind w:left="197" w:right="292"/>
              <w:rPr>
                <w:b/>
                <w:sz w:val="24"/>
              </w:rPr>
            </w:pPr>
            <w:r>
              <w:rPr>
                <w:b/>
                <w:color w:val="FFFFFF"/>
                <w:sz w:val="24"/>
              </w:rPr>
              <w:t>资产评估师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33" w:hRule="atLeast"/>
        </w:trPr>
        <w:tc>
          <w:tcPr>
            <w:tcW w:w="3190" w:type="dxa"/>
            <w:tcBorders>
              <w:right w:val="single" w:color="C00000" w:sz="4" w:space="0"/>
            </w:tcBorders>
            <w:shd w:val="clear" w:color="auto" w:fill="FFFFCC"/>
          </w:tcPr>
          <w:p>
            <w:pPr>
              <w:pStyle w:val="11"/>
              <w:jc w:val="left"/>
              <w:rPr>
                <w:rFonts w:ascii="Times New Roman"/>
                <w:sz w:val="24"/>
              </w:rPr>
            </w:pPr>
          </w:p>
        </w:tc>
        <w:tc>
          <w:tcPr>
            <w:tcW w:w="3190" w:type="dxa"/>
            <w:tcBorders>
              <w:left w:val="single" w:color="C00000" w:sz="4" w:space="0"/>
              <w:right w:val="single" w:color="000000" w:sz="4" w:space="0"/>
            </w:tcBorders>
            <w:shd w:val="clear" w:color="auto" w:fill="FFFFCC"/>
          </w:tcPr>
          <w:p>
            <w:pPr>
              <w:pStyle w:val="11"/>
              <w:jc w:val="left"/>
              <w:rPr>
                <w:rFonts w:ascii="Times New Roman"/>
                <w:sz w:val="24"/>
              </w:rPr>
            </w:pPr>
          </w:p>
        </w:tc>
        <w:tc>
          <w:tcPr>
            <w:tcW w:w="2799" w:type="dxa"/>
            <w:tcBorders>
              <w:left w:val="single" w:color="000000" w:sz="4" w:space="0"/>
            </w:tcBorders>
            <w:shd w:val="clear" w:color="auto" w:fill="FFFFCC"/>
          </w:tcPr>
          <w:p>
            <w:pPr>
              <w:pStyle w:val="11"/>
              <w:spacing w:line="336" w:lineRule="exact"/>
              <w:ind w:left="197" w:right="288"/>
              <w:rPr>
                <w:sz w:val="24"/>
              </w:rPr>
            </w:pPr>
            <w:r>
              <w:rPr>
                <w:sz w:val="24"/>
              </w:rPr>
              <w:t>黄弘毅</w:t>
            </w:r>
          </w:p>
          <w:p>
            <w:pPr>
              <w:pStyle w:val="11"/>
              <w:spacing w:line="347" w:lineRule="exact"/>
              <w:ind w:left="197" w:right="292"/>
              <w:rPr>
                <w:sz w:val="24"/>
              </w:rPr>
            </w:pPr>
            <w:r>
              <w:rPr>
                <w:sz w:val="24"/>
              </w:rPr>
              <w:t>证书编号：53000077</w:t>
            </w:r>
          </w:p>
        </w:tc>
      </w:tr>
    </w:tbl>
    <w:p>
      <w:pPr>
        <w:pStyle w:val="4"/>
        <w:ind w:left="6396"/>
      </w:pPr>
      <w:r>
        <w:t>签名日期：二○二○年六月十五日</w:t>
      </w:r>
    </w:p>
    <w:p>
      <w:pPr>
        <w:spacing w:after="0"/>
        <w:sectPr>
          <w:footerReference r:id="rId6" w:type="default"/>
          <w:pgSz w:w="11910" w:h="16840"/>
          <w:pgMar w:top="1100" w:right="180" w:bottom="1060" w:left="300" w:header="845" w:footer="877" w:gutter="0"/>
          <w:pgNumType w:start="1"/>
        </w:sectPr>
      </w:pPr>
    </w:p>
    <w:p>
      <w:pPr>
        <w:pStyle w:val="4"/>
        <w:rPr>
          <w:sz w:val="2"/>
        </w:rPr>
      </w:pPr>
    </w:p>
    <w:p>
      <w:pPr>
        <w:pStyle w:val="4"/>
        <w:spacing w:line="192" w:lineRule="exact"/>
        <w:ind w:left="513"/>
        <w:rPr>
          <w:sz w:val="19"/>
        </w:rPr>
      </w:pPr>
      <w:r>
        <w:rPr>
          <w:position w:val="-3"/>
          <w:sz w:val="19"/>
        </w:rPr>
        <w:pict>
          <v:group id="_x0000_s1086" o:spid="_x0000_s1086" o:spt="203" style="height:9.6pt;width:503.35pt;" coordsize="10067,192">
            <o:lock v:ext="edit"/>
            <v:line id="_x0000_s1087" o:spid="_x0000_s1087" o:spt="20" style="position:absolute;left:0;top:13;height:0;width:1083;" stroked="t" coordsize="21600,21600">
              <v:path arrowok="t"/>
              <v:fill focussize="0,0"/>
              <v:stroke weight="0.96pt" color="#585858"/>
              <v:imagedata o:title=""/>
              <o:lock v:ext="edit"/>
            </v:line>
            <v:line id="_x0000_s1088" o:spid="_x0000_s1088" o:spt="20" style="position:absolute;left:1111;top:177;height:0;width:8955;" stroked="t" coordsize="21600,21600">
              <v:path arrowok="t"/>
              <v:fill focussize="0,0"/>
              <v:stroke weight="1.41433070866142pt" color="#585858"/>
              <v:imagedata o:title=""/>
              <o:lock v:ext="edit"/>
            </v:line>
            <v:line id="_x0000_s1089" o:spid="_x0000_s1089" o:spt="20" style="position:absolute;left:1162;top:79;height:5;width:8797;" stroked="t" coordsize="21600,21600">
              <v:path arrowok="t"/>
              <v:fill focussize="0,0"/>
              <v:stroke weight="7.9pt" color="#585858"/>
              <v:imagedata o:title=""/>
              <o:lock v:ext="edit"/>
            </v:line>
            <w10:wrap type="none"/>
            <w10:anchorlock/>
          </v:group>
        </w:pict>
      </w:r>
    </w:p>
    <w:p>
      <w:pPr>
        <w:pStyle w:val="2"/>
        <w:jc w:val="both"/>
      </w:pPr>
      <w:bookmarkStart w:id="3" w:name="_bookmark1"/>
      <w:bookmarkEnd w:id="3"/>
      <w:bookmarkStart w:id="4" w:name="第二部分 估价的假设和报告使用限制条件"/>
      <w:bookmarkEnd w:id="4"/>
      <w:r>
        <w:rPr>
          <w:color w:val="A64231"/>
        </w:rPr>
        <w:t>第二部分 估价的假设和报告使用限制条件</w:t>
      </w:r>
    </w:p>
    <w:p>
      <w:pPr>
        <w:pStyle w:val="4"/>
        <w:spacing w:line="118" w:lineRule="exact"/>
        <w:ind w:left="1626"/>
        <w:rPr>
          <w:sz w:val="11"/>
        </w:rPr>
      </w:pPr>
      <w:r>
        <w:rPr>
          <w:position w:val="-1"/>
          <w:sz w:val="11"/>
        </w:rPr>
        <w:pict>
          <v:group id="_x0000_s1090" o:spid="_x0000_s1090" o:spt="203" style="height:5.9pt;width:442.2pt;" coordsize="8844,118">
            <o:lock v:ext="edit"/>
            <v:line id="_x0000_s1091" o:spid="_x0000_s1091" o:spt="20" style="position:absolute;left:0;top:103;height:0;width:8844;" stroked="t" coordsize="21600,21600">
              <v:path arrowok="t"/>
              <v:fill focussize="0,0"/>
              <v:stroke weight="1.44pt" color="#A64231"/>
              <v:imagedata o:title=""/>
              <o:lock v:ext="edit"/>
            </v:line>
            <v:line id="_x0000_s1092" o:spid="_x0000_s1092" o:spt="20" style="position:absolute;left:0;top:30;height:0;width:8844;" stroked="t" coordsize="21600,21600">
              <v:path arrowok="t"/>
              <v:fill focussize="0,0"/>
              <v:stroke weight="3pt" color="#A64231"/>
              <v:imagedata o:title=""/>
              <o:lock v:ext="edit"/>
            </v:line>
            <w10:wrap type="none"/>
            <w10:anchorlock/>
          </v:group>
        </w:pict>
      </w:r>
    </w:p>
    <w:p>
      <w:pPr>
        <w:pStyle w:val="3"/>
        <w:ind w:left="1257"/>
      </w:pPr>
      <w:r>
        <w:t>一. 估价结果成立的假设前提</w:t>
      </w:r>
    </w:p>
    <w:p>
      <w:pPr>
        <w:pStyle w:val="10"/>
        <w:numPr>
          <w:ilvl w:val="0"/>
          <w:numId w:val="3"/>
        </w:numPr>
        <w:tabs>
          <w:tab w:val="left" w:pos="1685"/>
        </w:tabs>
        <w:spacing w:before="171" w:after="0" w:line="240" w:lineRule="auto"/>
        <w:ind w:left="1684" w:right="0" w:hanging="284"/>
        <w:jc w:val="both"/>
        <w:rPr>
          <w:b/>
          <w:sz w:val="26"/>
        </w:rPr>
      </w:pPr>
      <w:bookmarkStart w:id="5" w:name="1. 一般假设"/>
      <w:bookmarkEnd w:id="5"/>
      <w:r>
        <w:rPr>
          <w:b/>
          <w:color w:val="0D0D0D"/>
          <w:sz w:val="26"/>
        </w:rPr>
        <w:t>一般假设</w:t>
      </w:r>
    </w:p>
    <w:p>
      <w:pPr>
        <w:pStyle w:val="10"/>
        <w:numPr>
          <w:ilvl w:val="0"/>
          <w:numId w:val="4"/>
        </w:numPr>
        <w:tabs>
          <w:tab w:val="left" w:pos="1685"/>
        </w:tabs>
        <w:spacing w:before="159" w:after="0" w:line="338" w:lineRule="auto"/>
        <w:ind w:left="1665" w:right="955" w:hanging="260"/>
        <w:jc w:val="both"/>
        <w:rPr>
          <w:sz w:val="26"/>
        </w:rPr>
      </w:pPr>
      <w:r>
        <w:rPr>
          <w:color w:val="0D0D0D"/>
          <w:spacing w:val="-4"/>
          <w:sz w:val="26"/>
        </w:rPr>
        <w:t>本次估价以价值时点的房地产市场为公开、平等、自愿的交易市场，主要房地产法规和政策稳定、宏观调控基本稳健且具有连续性、市场供应关系和市场结</w:t>
      </w:r>
      <w:r>
        <w:rPr>
          <w:color w:val="0D0D0D"/>
          <w:sz w:val="26"/>
        </w:rPr>
        <w:t>构保持稳定为估价假设前提。</w:t>
      </w:r>
    </w:p>
    <w:p>
      <w:pPr>
        <w:pStyle w:val="10"/>
        <w:numPr>
          <w:ilvl w:val="0"/>
          <w:numId w:val="4"/>
        </w:numPr>
        <w:tabs>
          <w:tab w:val="left" w:pos="1686"/>
        </w:tabs>
        <w:spacing w:before="0" w:after="0" w:line="338" w:lineRule="auto"/>
        <w:ind w:left="1665" w:right="945" w:hanging="259"/>
        <w:jc w:val="both"/>
        <w:rPr>
          <w:sz w:val="26"/>
        </w:rPr>
      </w:pPr>
      <w:r>
        <w:rPr>
          <w:color w:val="0D0D0D"/>
          <w:spacing w:val="-4"/>
          <w:sz w:val="26"/>
        </w:rPr>
        <w:t>本次估价以估价对象系权利人合法取得、产权明晰、手续齐全且已按国家和地</w:t>
      </w:r>
      <w:r>
        <w:rPr>
          <w:color w:val="0D0D0D"/>
          <w:spacing w:val="-7"/>
          <w:sz w:val="26"/>
        </w:rPr>
        <w:t>方法律、法规缴纳完毕各种税费，具有完整房屋和土地产权；权利人对估价对</w:t>
      </w:r>
      <w:r>
        <w:rPr>
          <w:color w:val="0D0D0D"/>
          <w:spacing w:val="-10"/>
          <w:sz w:val="26"/>
        </w:rPr>
        <w:t>象拥有合法的占有权、使用权、收益权和处置权；估价对象可以在公开市场上自由转让、抵押等处分；在价值时点未发生任何形式的产权转移行为；在售卖</w:t>
      </w:r>
      <w:r>
        <w:rPr>
          <w:color w:val="0D0D0D"/>
          <w:spacing w:val="7"/>
          <w:w w:val="95"/>
          <w:sz w:val="26"/>
        </w:rPr>
        <w:t xml:space="preserve">时不存在附带优先购买权以及其他可能影响正常交易价格的权利约束和特殊   </w:t>
      </w:r>
      <w:r>
        <w:rPr>
          <w:color w:val="0D0D0D"/>
          <w:sz w:val="26"/>
        </w:rPr>
        <w:t>条款为估价假设前提。</w:t>
      </w:r>
    </w:p>
    <w:p>
      <w:pPr>
        <w:pStyle w:val="10"/>
        <w:numPr>
          <w:ilvl w:val="0"/>
          <w:numId w:val="4"/>
        </w:numPr>
        <w:tabs>
          <w:tab w:val="left" w:pos="1685"/>
        </w:tabs>
        <w:spacing w:before="0" w:after="0" w:line="338" w:lineRule="auto"/>
        <w:ind w:left="1665" w:right="956" w:hanging="259"/>
        <w:jc w:val="left"/>
        <w:rPr>
          <w:sz w:val="26"/>
        </w:rPr>
      </w:pPr>
      <w:r>
        <w:rPr>
          <w:color w:val="0D0D0D"/>
          <w:spacing w:val="-5"/>
          <w:sz w:val="26"/>
        </w:rPr>
        <w:t>估价对象为所在建筑物的一部分，估价结果以估价对象可享有合理分摊的公共</w:t>
      </w:r>
      <w:r>
        <w:rPr>
          <w:color w:val="0D0D0D"/>
          <w:sz w:val="26"/>
        </w:rPr>
        <w:t>配套设施、水、电、气、讯、停车、道路等使用权益为估价假设前提。</w:t>
      </w:r>
    </w:p>
    <w:p>
      <w:pPr>
        <w:pStyle w:val="10"/>
        <w:numPr>
          <w:ilvl w:val="0"/>
          <w:numId w:val="4"/>
        </w:numPr>
        <w:tabs>
          <w:tab w:val="left" w:pos="1684"/>
        </w:tabs>
        <w:spacing w:before="0" w:after="0" w:line="338" w:lineRule="auto"/>
        <w:ind w:left="1664" w:right="956" w:hanging="260"/>
        <w:jc w:val="left"/>
        <w:rPr>
          <w:sz w:val="26"/>
        </w:rPr>
      </w:pPr>
      <w:r>
        <w:rPr>
          <w:color w:val="0D0D0D"/>
          <w:spacing w:val="-4"/>
          <w:sz w:val="26"/>
        </w:rPr>
        <w:t>本次估价未考虑估价对象可能存在的欠缴水、电、气、物业费等费用对其市场</w:t>
      </w:r>
      <w:r>
        <w:rPr>
          <w:color w:val="0D0D0D"/>
          <w:sz w:val="26"/>
        </w:rPr>
        <w:t>价值的影响。</w:t>
      </w:r>
    </w:p>
    <w:p>
      <w:pPr>
        <w:pStyle w:val="10"/>
        <w:numPr>
          <w:ilvl w:val="0"/>
          <w:numId w:val="4"/>
        </w:numPr>
        <w:tabs>
          <w:tab w:val="left" w:pos="1684"/>
        </w:tabs>
        <w:spacing w:before="0" w:after="0" w:line="338" w:lineRule="auto"/>
        <w:ind w:left="1664" w:right="956" w:hanging="260"/>
        <w:jc w:val="both"/>
        <w:rPr>
          <w:sz w:val="26"/>
        </w:rPr>
      </w:pPr>
      <w:r>
        <w:rPr>
          <w:color w:val="0D0D0D"/>
          <w:spacing w:val="-3"/>
          <w:sz w:val="26"/>
        </w:rPr>
        <w:t>本次估价以买卖双方的交易目的都是追逐自身最大经济利益、在适当的期间完</w:t>
      </w:r>
      <w:r>
        <w:rPr>
          <w:color w:val="0D0D0D"/>
          <w:spacing w:val="-6"/>
          <w:sz w:val="26"/>
        </w:rPr>
        <w:t>成交易、交易期间物业价值将保持稳定、对交易对象具有必要的专业知识且不</w:t>
      </w:r>
      <w:r>
        <w:rPr>
          <w:color w:val="0D0D0D"/>
          <w:sz w:val="26"/>
        </w:rPr>
        <w:t>考虑特殊买家的附加出价为估价假设前提。</w:t>
      </w:r>
    </w:p>
    <w:p>
      <w:pPr>
        <w:pStyle w:val="10"/>
        <w:numPr>
          <w:ilvl w:val="0"/>
          <w:numId w:val="4"/>
        </w:numPr>
        <w:tabs>
          <w:tab w:val="left" w:pos="1684"/>
        </w:tabs>
        <w:spacing w:before="0" w:after="0" w:line="338" w:lineRule="auto"/>
        <w:ind w:left="1664" w:right="956" w:hanging="260"/>
        <w:jc w:val="left"/>
        <w:rPr>
          <w:sz w:val="26"/>
        </w:rPr>
      </w:pPr>
      <w:r>
        <w:rPr>
          <w:color w:val="0D0D0D"/>
          <w:spacing w:val="-5"/>
          <w:sz w:val="26"/>
        </w:rPr>
        <w:t>本次估价以不考虑除已披露事项外，可能与估价对象产权人有关的债权及债务</w:t>
      </w:r>
      <w:r>
        <w:rPr>
          <w:color w:val="0D0D0D"/>
          <w:sz w:val="26"/>
        </w:rPr>
        <w:t>情况对估价结果的影响为估价假设前提。</w:t>
      </w:r>
    </w:p>
    <w:p>
      <w:pPr>
        <w:pStyle w:val="10"/>
        <w:numPr>
          <w:ilvl w:val="0"/>
          <w:numId w:val="4"/>
        </w:numPr>
        <w:tabs>
          <w:tab w:val="left" w:pos="1684"/>
        </w:tabs>
        <w:spacing w:before="0" w:after="0" w:line="338" w:lineRule="auto"/>
        <w:ind w:left="1664" w:right="949" w:hanging="259"/>
        <w:jc w:val="both"/>
        <w:rPr>
          <w:sz w:val="26"/>
        </w:rPr>
      </w:pPr>
      <w:r>
        <w:rPr>
          <w:color w:val="0D0D0D"/>
          <w:spacing w:val="6"/>
          <w:w w:val="95"/>
          <w:sz w:val="26"/>
        </w:rPr>
        <w:t xml:space="preserve">估价工作小组已在能力范围内核实了委托方或估价利害关系人指认的物业位   </w:t>
      </w:r>
      <w:r>
        <w:rPr>
          <w:color w:val="0D0D0D"/>
          <w:spacing w:val="-5"/>
          <w:sz w:val="26"/>
        </w:rPr>
        <w:t>置和界址，但不排除委托方或估价利害关系人误指的可能，报告以查勘现场勘验准确、估价对象的实物、权益状况与价值时点时一致为估价假设前提。</w:t>
      </w:r>
    </w:p>
    <w:p>
      <w:pPr>
        <w:pStyle w:val="10"/>
        <w:numPr>
          <w:ilvl w:val="0"/>
          <w:numId w:val="4"/>
        </w:numPr>
        <w:tabs>
          <w:tab w:val="left" w:pos="1684"/>
        </w:tabs>
        <w:spacing w:before="0" w:after="0" w:line="338" w:lineRule="auto"/>
        <w:ind w:left="1664" w:right="956" w:hanging="259"/>
        <w:jc w:val="left"/>
        <w:rPr>
          <w:sz w:val="26"/>
        </w:rPr>
      </w:pPr>
      <w:r>
        <w:rPr>
          <w:color w:val="0D0D0D"/>
          <w:spacing w:val="-4"/>
          <w:sz w:val="26"/>
        </w:rPr>
        <w:t>我公司估价人员对估价对象进行了实地查勘，但仅限于估价对象的外观和使用</w:t>
      </w:r>
      <w:r>
        <w:rPr>
          <w:color w:val="0D0D0D"/>
          <w:spacing w:val="-7"/>
          <w:w w:val="95"/>
          <w:sz w:val="26"/>
        </w:rPr>
        <w:t>状况、内部布局、装修及设备情况，并未对估价对象做建筑物基础、房地产结</w:t>
      </w:r>
    </w:p>
    <w:p>
      <w:pPr>
        <w:spacing w:after="0" w:line="338" w:lineRule="auto"/>
        <w:jc w:val="left"/>
        <w:rPr>
          <w:sz w:val="26"/>
        </w:rPr>
        <w:sectPr>
          <w:pgSz w:w="11910" w:h="16840"/>
          <w:pgMar w:top="1100" w:right="180" w:bottom="1060" w:left="300" w:header="845" w:footer="877" w:gutter="0"/>
        </w:sectPr>
      </w:pPr>
    </w:p>
    <w:p>
      <w:pPr>
        <w:pStyle w:val="4"/>
        <w:rPr>
          <w:sz w:val="2"/>
        </w:rPr>
      </w:pPr>
    </w:p>
    <w:p>
      <w:pPr>
        <w:pStyle w:val="4"/>
        <w:spacing w:line="192" w:lineRule="exact"/>
        <w:ind w:left="513"/>
        <w:rPr>
          <w:sz w:val="19"/>
        </w:rPr>
      </w:pPr>
      <w:r>
        <w:rPr>
          <w:position w:val="-3"/>
          <w:sz w:val="19"/>
        </w:rPr>
        <w:pict>
          <v:group id="_x0000_s1093" o:spid="_x0000_s1093" o:spt="203" style="height:9.6pt;width:503.35pt;" coordsize="10067,192">
            <o:lock v:ext="edit"/>
            <v:line id="_x0000_s1094" o:spid="_x0000_s1094" o:spt="20" style="position:absolute;left:0;top:13;height:0;width:1083;" stroked="t" coordsize="21600,21600">
              <v:path arrowok="t"/>
              <v:fill focussize="0,0"/>
              <v:stroke weight="0.96pt" color="#585858"/>
              <v:imagedata o:title=""/>
              <o:lock v:ext="edit"/>
            </v:line>
            <v:line id="_x0000_s1095" o:spid="_x0000_s1095" o:spt="20" style="position:absolute;left:1111;top:177;height:0;width:8955;" stroked="t" coordsize="21600,21600">
              <v:path arrowok="t"/>
              <v:fill focussize="0,0"/>
              <v:stroke weight="1.41433070866142pt" color="#585858"/>
              <v:imagedata o:title=""/>
              <o:lock v:ext="edit"/>
            </v:line>
            <v:line id="_x0000_s1096" o:spid="_x0000_s1096" o:spt="20" style="position:absolute;left:1162;top:79;height:5;width:8797;" stroked="t" coordsize="21600,21600">
              <v:path arrowok="t"/>
              <v:fill focussize="0,0"/>
              <v:stroke weight="7.9pt" color="#585858"/>
              <v:imagedata o:title=""/>
              <o:lock v:ext="edit"/>
            </v:line>
            <w10:wrap type="none"/>
            <w10:anchorlock/>
          </v:group>
        </w:pict>
      </w:r>
    </w:p>
    <w:p>
      <w:pPr>
        <w:pStyle w:val="4"/>
        <w:spacing w:before="60" w:line="338" w:lineRule="auto"/>
        <w:ind w:left="1665" w:right="921"/>
        <w:jc w:val="both"/>
      </w:pPr>
      <w:r>
        <w:rPr>
          <w:color w:val="0D0D0D"/>
        </w:rPr>
        <w:t>构上的勘测和实验，因此无法确认其内部有无缺损、是否存在结构性损坏。对其他被遮盖、未暴露及难以接触到的部分也未做检测。故本报告以估价对象无建筑物基础、房地产结构等方面的重大质量问题，符合国家有关技术、质量、验收规范，且符合国家有关安全使用标准为估价假设前提。</w:t>
      </w:r>
    </w:p>
    <w:p>
      <w:pPr>
        <w:pStyle w:val="10"/>
        <w:numPr>
          <w:ilvl w:val="0"/>
          <w:numId w:val="4"/>
        </w:numPr>
        <w:tabs>
          <w:tab w:val="left" w:pos="1685"/>
        </w:tabs>
        <w:spacing w:before="0" w:after="0" w:line="338" w:lineRule="auto"/>
        <w:ind w:left="1665" w:right="955" w:hanging="259"/>
        <w:jc w:val="left"/>
        <w:rPr>
          <w:sz w:val="26"/>
        </w:rPr>
      </w:pPr>
      <w:r>
        <w:rPr>
          <w:spacing w:val="-3"/>
          <w:sz w:val="26"/>
        </w:rPr>
        <w:t>本次估价结果包括了估价对象房地产的瑕疵对其价值的影响，但不包括估价对</w:t>
      </w:r>
      <w:r>
        <w:rPr>
          <w:sz w:val="26"/>
        </w:rPr>
        <w:t>象可能存在的租赁权、用益物权、担保物权和其他优先受偿权。</w:t>
      </w:r>
    </w:p>
    <w:p>
      <w:pPr>
        <w:pStyle w:val="10"/>
        <w:numPr>
          <w:ilvl w:val="0"/>
          <w:numId w:val="4"/>
        </w:numPr>
        <w:tabs>
          <w:tab w:val="left" w:pos="1654"/>
        </w:tabs>
        <w:spacing w:before="0" w:after="0" w:line="338" w:lineRule="auto"/>
        <w:ind w:left="1652" w:right="943" w:hanging="396"/>
        <w:jc w:val="both"/>
        <w:rPr>
          <w:sz w:val="26"/>
        </w:rPr>
      </w:pPr>
      <w:r>
        <w:rPr>
          <w:color w:val="0D0D0D"/>
          <w:spacing w:val="-2"/>
          <w:sz w:val="26"/>
        </w:rPr>
        <w:t>鉴于估价人员的专业范围限制，我们未对估价对象所在地块的水文地质状况进</w:t>
      </w:r>
      <w:r>
        <w:rPr>
          <w:color w:val="0D0D0D"/>
          <w:spacing w:val="-5"/>
          <w:sz w:val="26"/>
        </w:rPr>
        <w:t>行研究，也未观察到估价对象存在有害物质，在无理由怀疑估价对象存在隐患</w:t>
      </w:r>
      <w:r>
        <w:rPr>
          <w:color w:val="0D0D0D"/>
          <w:spacing w:val="-7"/>
          <w:sz w:val="26"/>
        </w:rPr>
        <w:t>且无响应的专业机构进行鉴定、检测的情况下，我们以该地块的水文及地质状</w:t>
      </w:r>
      <w:r>
        <w:rPr>
          <w:color w:val="0D0D0D"/>
          <w:spacing w:val="7"/>
          <w:w w:val="95"/>
          <w:sz w:val="26"/>
        </w:rPr>
        <w:t xml:space="preserve">况为该地区的一般状况且不存在任何可能影响房地产价值的有害物质为估价 </w:t>
      </w:r>
      <w:r>
        <w:rPr>
          <w:color w:val="0D0D0D"/>
          <w:spacing w:val="79"/>
          <w:w w:val="95"/>
          <w:sz w:val="26"/>
        </w:rPr>
        <w:t xml:space="preserve"> </w:t>
      </w:r>
      <w:r>
        <w:rPr>
          <w:color w:val="0D0D0D"/>
          <w:sz w:val="26"/>
        </w:rPr>
        <w:t>假设前提。</w:t>
      </w:r>
    </w:p>
    <w:p>
      <w:pPr>
        <w:pStyle w:val="10"/>
        <w:numPr>
          <w:ilvl w:val="0"/>
          <w:numId w:val="4"/>
        </w:numPr>
        <w:tabs>
          <w:tab w:val="left" w:pos="1685"/>
        </w:tabs>
        <w:spacing w:before="0" w:after="0" w:line="338" w:lineRule="auto"/>
        <w:ind w:left="1653" w:right="956" w:hanging="397"/>
        <w:jc w:val="both"/>
        <w:rPr>
          <w:sz w:val="26"/>
        </w:rPr>
      </w:pPr>
      <w:r>
        <w:rPr>
          <w:color w:val="0D0D0D"/>
          <w:spacing w:val="-3"/>
          <w:sz w:val="26"/>
        </w:rPr>
        <w:t>报告所得结论以其所引用的信息及观点均认为来自可靠资料，是正确和可信的</w:t>
      </w:r>
      <w:r>
        <w:rPr>
          <w:color w:val="0D0D0D"/>
          <w:sz w:val="26"/>
        </w:rPr>
        <w:t>为估价假设前提。</w:t>
      </w:r>
    </w:p>
    <w:p>
      <w:pPr>
        <w:pStyle w:val="10"/>
        <w:numPr>
          <w:ilvl w:val="0"/>
          <w:numId w:val="3"/>
        </w:numPr>
        <w:tabs>
          <w:tab w:val="left" w:pos="1685"/>
        </w:tabs>
        <w:spacing w:before="0" w:after="0" w:line="387" w:lineRule="exact"/>
        <w:ind w:left="1684" w:right="0" w:hanging="284"/>
        <w:jc w:val="both"/>
        <w:rPr>
          <w:b/>
          <w:sz w:val="26"/>
        </w:rPr>
      </w:pPr>
      <w:bookmarkStart w:id="6" w:name="2. 未定事项假设"/>
      <w:bookmarkEnd w:id="6"/>
      <w:r>
        <w:rPr>
          <w:b/>
          <w:color w:val="0D0D0D"/>
          <w:sz w:val="26"/>
        </w:rPr>
        <w:t>未定事项假设</w:t>
      </w:r>
    </w:p>
    <w:p>
      <w:pPr>
        <w:pStyle w:val="10"/>
        <w:numPr>
          <w:ilvl w:val="0"/>
          <w:numId w:val="5"/>
        </w:numPr>
        <w:tabs>
          <w:tab w:val="left" w:pos="1685"/>
        </w:tabs>
        <w:spacing w:before="149" w:after="0" w:line="338" w:lineRule="auto"/>
        <w:ind w:left="1684" w:right="955" w:hanging="284"/>
        <w:jc w:val="both"/>
        <w:rPr>
          <w:sz w:val="26"/>
        </w:rPr>
      </w:pPr>
      <w:r>
        <w:rPr>
          <w:spacing w:val="-6"/>
          <w:sz w:val="26"/>
        </w:rPr>
        <w:t>估价人员在现场勘查时，申请执行人和委托方均未请专业测绘人员对房地产的</w:t>
      </w:r>
      <w:r>
        <w:rPr>
          <w:spacing w:val="-5"/>
          <w:sz w:val="26"/>
        </w:rPr>
        <w:t>建筑面积进行现场测量，本次评估以估价对象的房屋建筑面积与《不动产登记</w:t>
      </w:r>
      <w:r>
        <w:rPr>
          <w:sz w:val="26"/>
        </w:rPr>
        <w:t>信息查询结果证明》中记载的建筑面积相同为评估假设前提。</w:t>
      </w:r>
    </w:p>
    <w:p>
      <w:pPr>
        <w:pStyle w:val="10"/>
        <w:numPr>
          <w:ilvl w:val="0"/>
          <w:numId w:val="5"/>
        </w:numPr>
        <w:tabs>
          <w:tab w:val="left" w:pos="1685"/>
        </w:tabs>
        <w:spacing w:before="0" w:after="0" w:line="338" w:lineRule="auto"/>
        <w:ind w:left="1684" w:right="946" w:hanging="284"/>
        <w:jc w:val="both"/>
        <w:rPr>
          <w:sz w:val="26"/>
        </w:rPr>
      </w:pPr>
      <w:r>
        <w:rPr>
          <w:spacing w:val="-2"/>
          <w:sz w:val="26"/>
        </w:rPr>
        <w:t>委托方提供的估价对象相关权属证明并未记载估价对象的建成年代，本次估价</w:t>
      </w:r>
      <w:r>
        <w:rPr>
          <w:spacing w:val="7"/>
          <w:w w:val="95"/>
          <w:sz w:val="26"/>
        </w:rPr>
        <w:t xml:space="preserve">以建筑物的实际建成年代与估价人员现场调查所获取的建成年代相符为评估   </w:t>
      </w:r>
      <w:r>
        <w:rPr>
          <w:sz w:val="26"/>
        </w:rPr>
        <w:t>假设前提。</w:t>
      </w:r>
    </w:p>
    <w:p>
      <w:pPr>
        <w:pStyle w:val="10"/>
        <w:numPr>
          <w:ilvl w:val="0"/>
          <w:numId w:val="5"/>
        </w:numPr>
        <w:tabs>
          <w:tab w:val="left" w:pos="1686"/>
        </w:tabs>
        <w:spacing w:before="0" w:after="0" w:line="338" w:lineRule="auto"/>
        <w:ind w:left="1685" w:right="955" w:hanging="284"/>
        <w:jc w:val="both"/>
        <w:rPr>
          <w:sz w:val="26"/>
        </w:rPr>
      </w:pPr>
      <w:r>
        <w:rPr>
          <w:spacing w:val="-3"/>
          <w:sz w:val="26"/>
        </w:rPr>
        <w:t>本报告出具的估价结果中房地产的价值包含了国有土地使用权出让金。若至价</w:t>
      </w:r>
      <w:r>
        <w:rPr>
          <w:spacing w:val="-7"/>
          <w:sz w:val="26"/>
        </w:rPr>
        <w:t>值时点止，评估对象尚存在任何有关评估对象的应缴未缴税额，应按照规定缴</w:t>
      </w:r>
      <w:r>
        <w:rPr>
          <w:sz w:val="26"/>
        </w:rPr>
        <w:t>纳或从评估值中响应扣减。</w:t>
      </w:r>
    </w:p>
    <w:p>
      <w:pPr>
        <w:pStyle w:val="10"/>
        <w:numPr>
          <w:ilvl w:val="0"/>
          <w:numId w:val="3"/>
        </w:numPr>
        <w:tabs>
          <w:tab w:val="left" w:pos="1685"/>
        </w:tabs>
        <w:spacing w:before="0" w:after="0" w:line="386" w:lineRule="exact"/>
        <w:ind w:left="1684" w:right="0" w:hanging="284"/>
        <w:jc w:val="both"/>
        <w:rPr>
          <w:b/>
          <w:sz w:val="26"/>
        </w:rPr>
      </w:pPr>
      <w:bookmarkStart w:id="7" w:name="3. 背离事实假设"/>
      <w:bookmarkEnd w:id="7"/>
      <w:r>
        <w:rPr>
          <w:b/>
          <w:color w:val="0D0D0D"/>
          <w:sz w:val="26"/>
        </w:rPr>
        <w:t>背离事实假设</w:t>
      </w:r>
    </w:p>
    <w:p>
      <w:pPr>
        <w:pStyle w:val="4"/>
        <w:spacing w:before="153" w:line="338" w:lineRule="auto"/>
        <w:ind w:left="1684" w:right="825" w:hanging="284"/>
        <w:jc w:val="both"/>
      </w:pPr>
      <w:r>
        <w:rPr>
          <w:color w:val="0D0D0D"/>
        </w:rPr>
        <w:t xml:space="preserve">1) </w:t>
      </w:r>
      <w:r>
        <w:rPr>
          <w:spacing w:val="7"/>
        </w:rPr>
        <w:t>因本次估价目的是为人民法院确定财产处置参考价提供参考依据而对估价对</w:t>
      </w:r>
      <w:r>
        <w:rPr>
          <w:spacing w:val="-14"/>
        </w:rPr>
        <w:t>象的市场价值进行评估。结合估价目的，本次估价结果以标的物具有完全产权，</w:t>
      </w:r>
    </w:p>
    <w:p>
      <w:pPr>
        <w:spacing w:after="0" w:line="338" w:lineRule="auto"/>
        <w:jc w:val="both"/>
        <w:sectPr>
          <w:pgSz w:w="11910" w:h="16840"/>
          <w:pgMar w:top="1100" w:right="180" w:bottom="1060" w:left="300" w:header="845" w:footer="877" w:gutter="0"/>
        </w:sectPr>
      </w:pPr>
    </w:p>
    <w:p>
      <w:pPr>
        <w:pStyle w:val="4"/>
        <w:rPr>
          <w:sz w:val="2"/>
        </w:rPr>
      </w:pPr>
    </w:p>
    <w:p>
      <w:pPr>
        <w:pStyle w:val="4"/>
        <w:spacing w:line="192" w:lineRule="exact"/>
        <w:ind w:left="513"/>
        <w:rPr>
          <w:sz w:val="19"/>
        </w:rPr>
      </w:pPr>
      <w:r>
        <w:rPr>
          <w:position w:val="-3"/>
          <w:sz w:val="19"/>
        </w:rPr>
        <w:pict>
          <v:group id="_x0000_s1097" o:spid="_x0000_s1097" o:spt="203" style="height:9.6pt;width:503.35pt;" coordsize="10067,192">
            <o:lock v:ext="edit"/>
            <v:line id="_x0000_s1098" o:spid="_x0000_s1098" o:spt="20" style="position:absolute;left:0;top:13;height:0;width:1083;" stroked="t" coordsize="21600,21600">
              <v:path arrowok="t"/>
              <v:fill focussize="0,0"/>
              <v:stroke weight="0.96pt" color="#585858"/>
              <v:imagedata o:title=""/>
              <o:lock v:ext="edit"/>
            </v:line>
            <v:line id="_x0000_s1099" o:spid="_x0000_s1099" o:spt="20" style="position:absolute;left:1111;top:177;height:0;width:8955;" stroked="t" coordsize="21600,21600">
              <v:path arrowok="t"/>
              <v:fill focussize="0,0"/>
              <v:stroke weight="1.41433070866142pt" color="#585858"/>
              <v:imagedata o:title=""/>
              <o:lock v:ext="edit"/>
            </v:line>
            <v:line id="_x0000_s1100" o:spid="_x0000_s1100" o:spt="20" style="position:absolute;left:1162;top:79;height:5;width:8797;" stroked="t" coordsize="21600,21600">
              <v:path arrowok="t"/>
              <v:fill focussize="0,0"/>
              <v:stroke weight="7.9pt" color="#585858"/>
              <v:imagedata o:title=""/>
              <o:lock v:ext="edit"/>
            </v:line>
            <w10:wrap type="none"/>
            <w10:anchorlock/>
          </v:group>
        </w:pict>
      </w:r>
    </w:p>
    <w:p>
      <w:pPr>
        <w:pStyle w:val="4"/>
        <w:spacing w:before="60" w:line="338" w:lineRule="auto"/>
        <w:ind w:left="1684" w:right="955"/>
        <w:jc w:val="both"/>
      </w:pPr>
      <w:r>
        <w:rPr>
          <w:spacing w:val="-4"/>
        </w:rPr>
        <w:t>不考虑标的物在价值时点已设定的他项权利、其所有权人已承担的债务、或有</w:t>
      </w:r>
      <w:r>
        <w:rPr>
          <w:spacing w:val="-3"/>
        </w:rPr>
        <w:t>债务及经营决策失误或市场运作失当对估价结果的影响及其它有关风险、不可</w:t>
      </w:r>
      <w:r>
        <w:t>预见因素及不可抗力因素对估价结果的影响为评估假设前提。</w:t>
      </w:r>
    </w:p>
    <w:p>
      <w:pPr>
        <w:pStyle w:val="10"/>
        <w:numPr>
          <w:ilvl w:val="0"/>
          <w:numId w:val="3"/>
        </w:numPr>
        <w:tabs>
          <w:tab w:val="left" w:pos="1685"/>
        </w:tabs>
        <w:spacing w:before="0" w:after="0" w:line="386" w:lineRule="exact"/>
        <w:ind w:left="1684" w:right="0" w:hanging="284"/>
        <w:jc w:val="left"/>
        <w:rPr>
          <w:b/>
          <w:sz w:val="26"/>
        </w:rPr>
      </w:pPr>
      <w:bookmarkStart w:id="8" w:name="4. 不相一致假设"/>
      <w:bookmarkEnd w:id="8"/>
      <w:r>
        <w:rPr>
          <w:b/>
          <w:color w:val="0D0D0D"/>
          <w:sz w:val="26"/>
        </w:rPr>
        <w:t>不相一致假设</w:t>
      </w:r>
    </w:p>
    <w:p>
      <w:pPr>
        <w:pStyle w:val="4"/>
        <w:spacing w:before="159"/>
        <w:ind w:left="1401"/>
      </w:pPr>
      <w:r>
        <w:rPr>
          <w:color w:val="0D0D0D"/>
        </w:rPr>
        <w:t xml:space="preserve">1) </w:t>
      </w:r>
      <w:r>
        <w:t>本次估价的估价对象不存在不相一致事项，故本报告无不相一致假设。</w:t>
      </w:r>
    </w:p>
    <w:p>
      <w:pPr>
        <w:pStyle w:val="10"/>
        <w:numPr>
          <w:ilvl w:val="0"/>
          <w:numId w:val="3"/>
        </w:numPr>
        <w:tabs>
          <w:tab w:val="left" w:pos="1685"/>
        </w:tabs>
        <w:spacing w:before="158" w:after="0" w:line="240" w:lineRule="auto"/>
        <w:ind w:left="1684" w:right="0" w:hanging="284"/>
        <w:jc w:val="left"/>
        <w:rPr>
          <w:b/>
          <w:sz w:val="26"/>
        </w:rPr>
      </w:pPr>
      <w:bookmarkStart w:id="9" w:name="5. 依据不足假设"/>
      <w:bookmarkEnd w:id="9"/>
      <w:r>
        <w:rPr>
          <w:b/>
          <w:color w:val="0D0D0D"/>
          <w:sz w:val="26"/>
        </w:rPr>
        <w:t>依据不足假设</w:t>
      </w:r>
    </w:p>
    <w:p>
      <w:pPr>
        <w:pStyle w:val="4"/>
        <w:spacing w:before="159"/>
        <w:ind w:left="1401"/>
      </w:pPr>
      <w:r>
        <w:rPr>
          <w:color w:val="0D0D0D"/>
        </w:rPr>
        <w:t xml:space="preserve">1) </w:t>
      </w:r>
      <w:r>
        <w:t>本次估价的估价对象不存在依据不足事项，故本报告无依据不足假设。</w:t>
      </w:r>
    </w:p>
    <w:p>
      <w:pPr>
        <w:pStyle w:val="3"/>
        <w:spacing w:before="158"/>
        <w:ind w:left="1260"/>
        <w:jc w:val="left"/>
      </w:pPr>
      <w:r>
        <w:t>二. 报告使用限制条件</w:t>
      </w:r>
    </w:p>
    <w:p>
      <w:pPr>
        <w:pStyle w:val="10"/>
        <w:numPr>
          <w:ilvl w:val="0"/>
          <w:numId w:val="6"/>
        </w:numPr>
        <w:tabs>
          <w:tab w:val="left" w:pos="1661"/>
        </w:tabs>
        <w:spacing w:before="170" w:after="0" w:line="338" w:lineRule="auto"/>
        <w:ind w:left="1659" w:right="923" w:hanging="331"/>
        <w:jc w:val="both"/>
        <w:rPr>
          <w:sz w:val="26"/>
        </w:rPr>
      </w:pPr>
      <w:r>
        <w:rPr>
          <w:color w:val="0D0D0D"/>
          <w:spacing w:val="-2"/>
          <w:sz w:val="26"/>
        </w:rPr>
        <w:t>本报告仅为委托方特定的目的提供参考依据，只能用于报告中载明的估价目的</w:t>
      </w:r>
      <w:r>
        <w:rPr>
          <w:color w:val="0D0D0D"/>
          <w:spacing w:val="-6"/>
          <w:sz w:val="26"/>
        </w:rPr>
        <w:t>和用途，不作其他估价目的之用。如果估价条件或目的发生变化，估价报告所</w:t>
      </w:r>
      <w:r>
        <w:rPr>
          <w:color w:val="0D0D0D"/>
          <w:spacing w:val="-8"/>
          <w:sz w:val="26"/>
        </w:rPr>
        <w:t>得出的估价结果需做相应调整。本报告是反映估价对象在本次估价目的下于价</w:t>
      </w:r>
      <w:r>
        <w:rPr>
          <w:color w:val="0D0D0D"/>
          <w:spacing w:val="-9"/>
          <w:sz w:val="26"/>
        </w:rPr>
        <w:t xml:space="preserve">值时点的市场价值，仅为估价委托方提供房地产在价值时点的市场价值参考， </w:t>
      </w:r>
      <w:r>
        <w:rPr>
          <w:color w:val="0D0D0D"/>
          <w:sz w:val="26"/>
        </w:rPr>
        <w:t>不得用于其他目的和用途，用于其他用途本报告估价结论无效。</w:t>
      </w:r>
    </w:p>
    <w:p>
      <w:pPr>
        <w:pStyle w:val="10"/>
        <w:numPr>
          <w:ilvl w:val="0"/>
          <w:numId w:val="6"/>
        </w:numPr>
        <w:tabs>
          <w:tab w:val="left" w:pos="1660"/>
        </w:tabs>
        <w:spacing w:before="0" w:after="0" w:line="338" w:lineRule="auto"/>
        <w:ind w:left="1659" w:right="949" w:hanging="331"/>
        <w:jc w:val="both"/>
        <w:rPr>
          <w:sz w:val="26"/>
        </w:rPr>
      </w:pPr>
      <w:r>
        <w:rPr>
          <w:color w:val="0D0D0D"/>
          <w:spacing w:val="-2"/>
          <w:sz w:val="26"/>
        </w:rPr>
        <w:t>未经我公司书面同意并审阅相关内容，本报告的全部或任何一部分均不得向委</w:t>
      </w:r>
      <w:r>
        <w:rPr>
          <w:color w:val="0D0D0D"/>
          <w:spacing w:val="-8"/>
          <w:sz w:val="26"/>
        </w:rPr>
        <w:t>托方、相关当事人、报告审查部门之外的单位和个人提供，也不得被摘抄、引</w:t>
      </w:r>
      <w:r>
        <w:rPr>
          <w:color w:val="0D0D0D"/>
          <w:spacing w:val="-3"/>
          <w:sz w:val="26"/>
        </w:rPr>
        <w:t>用或披露于公开媒体，法律、法规规定以及相关当事方另有约定的除外。委托</w:t>
      </w:r>
      <w:r>
        <w:rPr>
          <w:color w:val="0D0D0D"/>
          <w:spacing w:val="7"/>
          <w:w w:val="95"/>
          <w:sz w:val="26"/>
        </w:rPr>
        <w:t xml:space="preserve">人或其他相关当事人未按法律、法规规定和报告载明的适用范围使用本报告   </w:t>
      </w:r>
      <w:r>
        <w:rPr>
          <w:color w:val="0D0D0D"/>
          <w:sz w:val="26"/>
        </w:rPr>
        <w:t>的，我公司及估价人员不承担责任。</w:t>
      </w:r>
    </w:p>
    <w:p>
      <w:pPr>
        <w:pStyle w:val="10"/>
        <w:numPr>
          <w:ilvl w:val="0"/>
          <w:numId w:val="6"/>
        </w:numPr>
        <w:tabs>
          <w:tab w:val="left" w:pos="1660"/>
        </w:tabs>
        <w:spacing w:before="0" w:after="0" w:line="338" w:lineRule="auto"/>
        <w:ind w:left="1659" w:right="957" w:hanging="331"/>
        <w:jc w:val="both"/>
        <w:rPr>
          <w:sz w:val="26"/>
        </w:rPr>
      </w:pPr>
      <w:r>
        <w:rPr>
          <w:color w:val="0D0D0D"/>
          <w:spacing w:val="-3"/>
          <w:sz w:val="26"/>
        </w:rPr>
        <w:t>本报告出具的估价结果是为委托方提供的专业性估价意见，报告的使用人应当</w:t>
      </w:r>
      <w:r>
        <w:rPr>
          <w:color w:val="0D0D0D"/>
          <w:spacing w:val="-4"/>
          <w:sz w:val="26"/>
        </w:rPr>
        <w:t>正确理解该意见。估价结果所采用的价值类型为市场价值，但不等同于估价对象可实现的价格，估价结果本身也并无强制执行的效力，故估价师仅对结论本身符合规范要求负责，不对房地产定价决策负责，估价结果不应当被认为是对</w:t>
      </w:r>
      <w:r>
        <w:rPr>
          <w:color w:val="0D0D0D"/>
          <w:sz w:val="26"/>
        </w:rPr>
        <w:t>估价对象可实现价格的保证。</w:t>
      </w:r>
    </w:p>
    <w:p>
      <w:pPr>
        <w:pStyle w:val="10"/>
        <w:numPr>
          <w:ilvl w:val="0"/>
          <w:numId w:val="6"/>
        </w:numPr>
        <w:tabs>
          <w:tab w:val="left" w:pos="1659"/>
        </w:tabs>
        <w:spacing w:before="0" w:after="0" w:line="338" w:lineRule="auto"/>
        <w:ind w:left="1658" w:right="825" w:hanging="331"/>
        <w:jc w:val="left"/>
        <w:rPr>
          <w:sz w:val="26"/>
        </w:rPr>
      </w:pPr>
      <w:r>
        <w:rPr>
          <w:color w:val="0D0D0D"/>
          <w:spacing w:val="-2"/>
          <w:sz w:val="26"/>
        </w:rPr>
        <w:t>本报告估价结果为估价对象估价范围内的市场价值，包含估价对象建筑物所有</w:t>
      </w:r>
      <w:r>
        <w:rPr>
          <w:color w:val="0D0D0D"/>
          <w:spacing w:val="-15"/>
          <w:sz w:val="26"/>
        </w:rPr>
        <w:t>权价值、分摊的土地使用权价值、装修以及维护房屋正常使用的设施设备价值。</w:t>
      </w:r>
      <w:r>
        <w:rPr>
          <w:color w:val="0D0D0D"/>
          <w:spacing w:val="-2"/>
          <w:sz w:val="26"/>
        </w:rPr>
        <w:t>估价对象若分割转让或与其他房地产合并转让，估价结果应作相应调整或重新</w:t>
      </w:r>
    </w:p>
    <w:p>
      <w:pPr>
        <w:spacing w:after="0" w:line="338" w:lineRule="auto"/>
        <w:jc w:val="left"/>
        <w:rPr>
          <w:sz w:val="26"/>
        </w:rPr>
        <w:sectPr>
          <w:pgSz w:w="11910" w:h="16840"/>
          <w:pgMar w:top="1100" w:right="180" w:bottom="1060" w:left="300" w:header="845" w:footer="877" w:gutter="0"/>
        </w:sectPr>
      </w:pPr>
    </w:p>
    <w:p>
      <w:pPr>
        <w:pStyle w:val="4"/>
        <w:rPr>
          <w:sz w:val="2"/>
        </w:rPr>
      </w:pPr>
    </w:p>
    <w:p>
      <w:pPr>
        <w:pStyle w:val="4"/>
        <w:spacing w:line="192" w:lineRule="exact"/>
        <w:ind w:left="513"/>
        <w:rPr>
          <w:sz w:val="19"/>
        </w:rPr>
      </w:pPr>
      <w:r>
        <w:rPr>
          <w:position w:val="-3"/>
          <w:sz w:val="19"/>
        </w:rPr>
        <w:pict>
          <v:group id="_x0000_s1101" o:spid="_x0000_s1101" o:spt="203" style="height:9.6pt;width:503.35pt;" coordsize="10067,192">
            <o:lock v:ext="edit"/>
            <v:line id="_x0000_s1102" o:spid="_x0000_s1102" o:spt="20" style="position:absolute;left:0;top:13;height:0;width:1083;" stroked="t" coordsize="21600,21600">
              <v:path arrowok="t"/>
              <v:fill focussize="0,0"/>
              <v:stroke weight="0.96pt" color="#585858"/>
              <v:imagedata o:title=""/>
              <o:lock v:ext="edit"/>
            </v:line>
            <v:line id="_x0000_s1103" o:spid="_x0000_s1103" o:spt="20" style="position:absolute;left:1111;top:177;height:0;width:8955;" stroked="t" coordsize="21600,21600">
              <v:path arrowok="t"/>
              <v:fill focussize="0,0"/>
              <v:stroke weight="1.41433070866142pt" color="#585858"/>
              <v:imagedata o:title=""/>
              <o:lock v:ext="edit"/>
            </v:line>
            <v:line id="_x0000_s1104" o:spid="_x0000_s1104" o:spt="20" style="position:absolute;left:1162;top:79;height:5;width:8797;" stroked="t" coordsize="21600,21600">
              <v:path arrowok="t"/>
              <v:fill focussize="0,0"/>
              <v:stroke weight="7.9pt" color="#585858"/>
              <v:imagedata o:title=""/>
              <o:lock v:ext="edit"/>
            </v:line>
            <w10:wrap type="none"/>
            <w10:anchorlock/>
          </v:group>
        </w:pict>
      </w:r>
    </w:p>
    <w:p>
      <w:pPr>
        <w:pStyle w:val="4"/>
        <w:spacing w:before="60"/>
        <w:ind w:left="1660"/>
      </w:pPr>
      <w:r>
        <w:rPr>
          <w:color w:val="0D0D0D"/>
        </w:rPr>
        <w:t>估价。</w:t>
      </w:r>
    </w:p>
    <w:p>
      <w:pPr>
        <w:pStyle w:val="10"/>
        <w:numPr>
          <w:ilvl w:val="0"/>
          <w:numId w:val="6"/>
        </w:numPr>
        <w:tabs>
          <w:tab w:val="left" w:pos="1661"/>
        </w:tabs>
        <w:spacing w:before="159" w:after="0" w:line="338" w:lineRule="auto"/>
        <w:ind w:left="1660" w:right="953" w:hanging="331"/>
        <w:jc w:val="both"/>
        <w:rPr>
          <w:sz w:val="26"/>
        </w:rPr>
      </w:pPr>
      <w:r>
        <w:rPr>
          <w:color w:val="0D0D0D"/>
          <w:spacing w:val="-4"/>
          <w:sz w:val="26"/>
        </w:rPr>
        <w:t>本报告中所展示的地图、平面图及证件等仅是为形象直观地分析形成结论，不</w:t>
      </w:r>
      <w:r>
        <w:rPr>
          <w:color w:val="0D0D0D"/>
          <w:spacing w:val="-3"/>
          <w:sz w:val="26"/>
        </w:rPr>
        <w:t>能作为测量成果以用作他用，也不能与报告分开单独使用。本报告不可作为任何形式的产权证明文件。</w:t>
      </w:r>
    </w:p>
    <w:p>
      <w:pPr>
        <w:pStyle w:val="10"/>
        <w:numPr>
          <w:ilvl w:val="0"/>
          <w:numId w:val="6"/>
        </w:numPr>
        <w:tabs>
          <w:tab w:val="left" w:pos="1661"/>
        </w:tabs>
        <w:spacing w:before="0" w:after="0" w:line="338" w:lineRule="auto"/>
        <w:ind w:left="1660" w:right="956" w:hanging="331"/>
        <w:jc w:val="both"/>
        <w:rPr>
          <w:sz w:val="26"/>
        </w:rPr>
      </w:pPr>
      <w:r>
        <w:rPr>
          <w:color w:val="0D0D0D"/>
          <w:spacing w:val="-5"/>
          <w:sz w:val="26"/>
        </w:rPr>
        <w:t>本估价结果系根据估价目的、估价原则、估价依据、估价方法、估价程序得出</w:t>
      </w:r>
      <w:r>
        <w:rPr>
          <w:color w:val="0D0D0D"/>
          <w:sz w:val="26"/>
        </w:rPr>
        <w:t>的，其估价结果只有在上述目的、原则、依据存在的条件下成立。</w:t>
      </w:r>
    </w:p>
    <w:p>
      <w:pPr>
        <w:pStyle w:val="10"/>
        <w:numPr>
          <w:ilvl w:val="0"/>
          <w:numId w:val="6"/>
        </w:numPr>
        <w:tabs>
          <w:tab w:val="left" w:pos="1661"/>
        </w:tabs>
        <w:spacing w:before="0" w:after="0" w:line="338" w:lineRule="auto"/>
        <w:ind w:left="1658" w:right="950" w:hanging="330"/>
        <w:jc w:val="both"/>
        <w:rPr>
          <w:sz w:val="26"/>
        </w:rPr>
      </w:pPr>
      <w:r>
        <w:rPr>
          <w:color w:val="0D0D0D"/>
          <w:spacing w:val="-3"/>
          <w:sz w:val="26"/>
        </w:rPr>
        <w:t>本报告由“致估价委托方函”、“估价师声明”、“估价假设和报告使用限制</w:t>
      </w:r>
      <w:r>
        <w:rPr>
          <w:color w:val="0D0D0D"/>
          <w:spacing w:val="-6"/>
          <w:sz w:val="26"/>
        </w:rPr>
        <w:t>条件”、“估价结果报告”和“附件”构成完整的估价报告。必须经参与本项</w:t>
      </w:r>
      <w:r>
        <w:rPr>
          <w:color w:val="0D0D0D"/>
          <w:spacing w:val="7"/>
          <w:w w:val="95"/>
          <w:sz w:val="26"/>
        </w:rPr>
        <w:t xml:space="preserve">目的注册房地产估价师签章并加盖机构公章且在报告使用的有效期内完整使   </w:t>
      </w:r>
      <w:r>
        <w:rPr>
          <w:color w:val="0D0D0D"/>
          <w:spacing w:val="-4"/>
          <w:sz w:val="26"/>
        </w:rPr>
        <w:t>用方为有效。报告使用人应全面阅读本报告全文，不得拆分使用。因拆分使用</w:t>
      </w:r>
      <w:r>
        <w:rPr>
          <w:color w:val="0D0D0D"/>
          <w:spacing w:val="-5"/>
          <w:sz w:val="26"/>
        </w:rPr>
        <w:t>本报告中部分内容给委托人或他人造成任何不利影响和导致可能的损失，我公司和注册房地产估价师不承担任何责任。</w:t>
      </w:r>
    </w:p>
    <w:p>
      <w:pPr>
        <w:pStyle w:val="10"/>
        <w:numPr>
          <w:ilvl w:val="0"/>
          <w:numId w:val="6"/>
        </w:numPr>
        <w:tabs>
          <w:tab w:val="left" w:pos="1659"/>
        </w:tabs>
        <w:spacing w:before="0" w:after="0" w:line="383" w:lineRule="exact"/>
        <w:ind w:left="1658" w:right="0" w:hanging="332"/>
        <w:jc w:val="both"/>
        <w:rPr>
          <w:sz w:val="26"/>
        </w:rPr>
      </w:pPr>
      <w:r>
        <w:rPr>
          <w:color w:val="0D0D0D"/>
          <w:spacing w:val="-2"/>
          <w:sz w:val="26"/>
        </w:rPr>
        <w:t>本报告出具的估价结果使用有效期限为壹年，即自</w:t>
      </w:r>
      <w:r>
        <w:rPr>
          <w:sz w:val="26"/>
        </w:rPr>
        <w:t>二○二○年六月十五日</w:t>
      </w:r>
      <w:r>
        <w:rPr>
          <w:color w:val="0D0D0D"/>
          <w:sz w:val="26"/>
        </w:rPr>
        <w:t>至</w:t>
      </w:r>
      <w:r>
        <w:rPr>
          <w:sz w:val="26"/>
        </w:rPr>
        <w:t>二</w:t>
      </w:r>
    </w:p>
    <w:p>
      <w:pPr>
        <w:pStyle w:val="4"/>
        <w:spacing w:before="154" w:line="338" w:lineRule="auto"/>
        <w:ind w:left="1658" w:right="955"/>
        <w:jc w:val="both"/>
      </w:pPr>
      <w:r>
        <w:t>○二一年六月十四日</w:t>
      </w:r>
      <w:r>
        <w:rPr>
          <w:color w:val="0D0D0D"/>
          <w:spacing w:val="-4"/>
        </w:rPr>
        <w:t>内使用方为有效。本报告有效期内若国家政策、经济环境</w:t>
      </w:r>
      <w:r>
        <w:rPr>
          <w:color w:val="0D0D0D"/>
          <w:spacing w:val="-2"/>
        </w:rPr>
        <w:t>及物业本身的物理状况等因素和本报告假设前提条件发生重大变动，且这些变</w:t>
      </w:r>
      <w:r>
        <w:rPr>
          <w:color w:val="0D0D0D"/>
        </w:rPr>
        <w:t>动会对估价结果产生重大影响时，本估价结果无效，应重新委托估价。</w:t>
      </w:r>
    </w:p>
    <w:p>
      <w:pPr>
        <w:pStyle w:val="10"/>
        <w:numPr>
          <w:ilvl w:val="0"/>
          <w:numId w:val="6"/>
        </w:numPr>
        <w:tabs>
          <w:tab w:val="left" w:pos="1659"/>
        </w:tabs>
        <w:spacing w:before="0" w:after="0" w:line="386" w:lineRule="exact"/>
        <w:ind w:left="1658" w:right="0" w:hanging="332"/>
        <w:jc w:val="both"/>
        <w:rPr>
          <w:sz w:val="26"/>
        </w:rPr>
      </w:pPr>
      <w:r>
        <w:rPr>
          <w:color w:val="0D0D0D"/>
          <w:sz w:val="26"/>
        </w:rPr>
        <w:t>本报告使用的货币单位为人民币。</w:t>
      </w:r>
    </w:p>
    <w:p>
      <w:pPr>
        <w:pStyle w:val="3"/>
        <w:spacing w:before="279"/>
        <w:ind w:left="1260"/>
      </w:pPr>
      <w:r>
        <w:t>三. 特别事项说明</w:t>
      </w:r>
    </w:p>
    <w:p>
      <w:pPr>
        <w:spacing w:before="169" w:line="338" w:lineRule="auto"/>
        <w:ind w:left="1684" w:right="953" w:firstLine="0"/>
        <w:jc w:val="both"/>
        <w:rPr>
          <w:b/>
          <w:sz w:val="26"/>
        </w:rPr>
      </w:pPr>
      <w:r>
        <w:rPr>
          <w:b/>
          <w:color w:val="0D0D0D"/>
          <w:w w:val="95"/>
          <w:sz w:val="26"/>
        </w:rPr>
        <w:t xml:space="preserve">本特别事项说明是指估价人员在估价过程中已发现可能影响估价结果但非本   </w:t>
      </w:r>
      <w:r>
        <w:rPr>
          <w:b/>
          <w:color w:val="0D0D0D"/>
          <w:sz w:val="26"/>
        </w:rPr>
        <w:t>项目估价人员水平和能力所及的有关事项，以及我公司估价人员认为须特别说明的事项。本估价报告使用者应充分考虑其对估价结果产生的影响。</w:t>
      </w:r>
    </w:p>
    <w:p>
      <w:pPr>
        <w:pStyle w:val="10"/>
        <w:numPr>
          <w:ilvl w:val="0"/>
          <w:numId w:val="7"/>
        </w:numPr>
        <w:tabs>
          <w:tab w:val="left" w:pos="1685"/>
        </w:tabs>
        <w:spacing w:before="0" w:after="0" w:line="336" w:lineRule="auto"/>
        <w:ind w:left="1684" w:right="903" w:hanging="283"/>
        <w:jc w:val="both"/>
        <w:rPr>
          <w:sz w:val="26"/>
        </w:rPr>
      </w:pPr>
      <w:r>
        <w:rPr>
          <w:color w:val="0D0D0D"/>
          <w:spacing w:val="-2"/>
          <w:sz w:val="26"/>
        </w:rPr>
        <w:t>估价人员和评估机构的法律责任是对本报告所述估价目的下遵守相关法律、法</w:t>
      </w:r>
      <w:r>
        <w:rPr>
          <w:color w:val="0D0D0D"/>
          <w:spacing w:val="-7"/>
          <w:sz w:val="26"/>
        </w:rPr>
        <w:t>规和估价准则，对估价对象价值进行估算并发表专业意见，并不涉及到估价人</w:t>
      </w:r>
      <w:r>
        <w:rPr>
          <w:color w:val="0D0D0D"/>
          <w:spacing w:val="-9"/>
          <w:sz w:val="26"/>
        </w:rPr>
        <w:t>员和估价机构对该项估价目的所对应的经济行为做出任何判断。我公司和估价</w:t>
      </w:r>
      <w:r>
        <w:rPr>
          <w:color w:val="0D0D0D"/>
          <w:spacing w:val="-10"/>
          <w:sz w:val="26"/>
        </w:rPr>
        <w:t xml:space="preserve">人员对估价对象的法律权属状况给予了必要的关注，并对查验情况予以披露， </w:t>
      </w:r>
      <w:r>
        <w:rPr>
          <w:color w:val="0D0D0D"/>
          <w:spacing w:val="-3"/>
          <w:sz w:val="26"/>
        </w:rPr>
        <w:t>但不对法律权属作任何形式的保证，估价工作很大程度上，依赖于委托人及估</w:t>
      </w:r>
    </w:p>
    <w:p>
      <w:pPr>
        <w:spacing w:after="0" w:line="336" w:lineRule="auto"/>
        <w:jc w:val="both"/>
        <w:rPr>
          <w:sz w:val="26"/>
        </w:rPr>
        <w:sectPr>
          <w:pgSz w:w="11910" w:h="16840"/>
          <w:pgMar w:top="1100" w:right="180" w:bottom="1060" w:left="300" w:header="845" w:footer="877" w:gutter="0"/>
        </w:sectPr>
      </w:pPr>
    </w:p>
    <w:p>
      <w:pPr>
        <w:pStyle w:val="4"/>
        <w:rPr>
          <w:sz w:val="2"/>
        </w:rPr>
      </w:pPr>
    </w:p>
    <w:p>
      <w:pPr>
        <w:pStyle w:val="4"/>
        <w:spacing w:line="192" w:lineRule="exact"/>
        <w:ind w:left="513"/>
        <w:rPr>
          <w:sz w:val="19"/>
        </w:rPr>
      </w:pPr>
      <w:r>
        <w:rPr>
          <w:position w:val="-3"/>
          <w:sz w:val="19"/>
        </w:rPr>
        <w:pict>
          <v:group id="_x0000_s1105" o:spid="_x0000_s1105" o:spt="203" style="height:9.6pt;width:503.35pt;" coordsize="10067,192">
            <o:lock v:ext="edit"/>
            <v:line id="_x0000_s1106" o:spid="_x0000_s1106" o:spt="20" style="position:absolute;left:0;top:13;height:0;width:1083;" stroked="t" coordsize="21600,21600">
              <v:path arrowok="t"/>
              <v:fill focussize="0,0"/>
              <v:stroke weight="0.96pt" color="#585858"/>
              <v:imagedata o:title=""/>
              <o:lock v:ext="edit"/>
            </v:line>
            <v:line id="_x0000_s1107" o:spid="_x0000_s1107" o:spt="20" style="position:absolute;left:1111;top:177;height:0;width:8955;" stroked="t" coordsize="21600,21600">
              <v:path arrowok="t"/>
              <v:fill focussize="0,0"/>
              <v:stroke weight="1.41433070866142pt" color="#585858"/>
              <v:imagedata o:title=""/>
              <o:lock v:ext="edit"/>
            </v:line>
            <v:line id="_x0000_s1108" o:spid="_x0000_s1108" o:spt="20" style="position:absolute;left:1162;top:79;height:5;width:8797;" stroked="t" coordsize="21600,21600">
              <v:path arrowok="t"/>
              <v:fill focussize="0,0"/>
              <v:stroke weight="7.9pt" color="#585858"/>
              <v:imagedata o:title=""/>
              <o:lock v:ext="edit"/>
            </v:line>
            <w10:wrap type="none"/>
            <w10:anchorlock/>
          </v:group>
        </w:pict>
      </w:r>
    </w:p>
    <w:p>
      <w:pPr>
        <w:pStyle w:val="4"/>
        <w:spacing w:before="60" w:line="338" w:lineRule="auto"/>
        <w:ind w:left="1684" w:right="955"/>
        <w:jc w:val="both"/>
      </w:pPr>
      <w:r>
        <w:rPr>
          <w:color w:val="0D0D0D"/>
          <w:spacing w:val="-5"/>
        </w:rPr>
        <w:t>价利害当事人提供的有关资料。因此，估价工作是以委托方及估价利害当事人</w:t>
      </w:r>
      <w:r>
        <w:rPr>
          <w:color w:val="0D0D0D"/>
          <w:spacing w:val="-6"/>
        </w:rPr>
        <w:t>提供的必要资料真实、合法和完整为前提，恰当使用估价报告是委托方和相关当事方的责任，我公司不承担验证估价对象法律权属资料的真实性、合法性和</w:t>
      </w:r>
      <w:r>
        <w:rPr>
          <w:color w:val="0D0D0D"/>
        </w:rPr>
        <w:t>完整性的责任。</w:t>
      </w:r>
    </w:p>
    <w:p>
      <w:pPr>
        <w:pStyle w:val="10"/>
        <w:numPr>
          <w:ilvl w:val="0"/>
          <w:numId w:val="7"/>
        </w:numPr>
        <w:tabs>
          <w:tab w:val="left" w:pos="1661"/>
        </w:tabs>
        <w:spacing w:before="0" w:after="0" w:line="333" w:lineRule="auto"/>
        <w:ind w:left="1661" w:right="924" w:hanging="332"/>
        <w:jc w:val="both"/>
        <w:rPr>
          <w:sz w:val="26"/>
        </w:rPr>
      </w:pPr>
      <w:r>
        <w:rPr>
          <w:color w:val="0D0D0D"/>
          <w:spacing w:val="-2"/>
          <w:sz w:val="26"/>
        </w:rPr>
        <w:t>估价结果是反映估价对象在本报告目的下的市场价值参考，估价时没有考虑国</w:t>
      </w:r>
      <w:r>
        <w:rPr>
          <w:color w:val="0D0D0D"/>
          <w:spacing w:val="-5"/>
          <w:sz w:val="26"/>
        </w:rPr>
        <w:t>家宏观经济政策发生变化、市场供应关系变化、市场结构转变、遇有自然力和</w:t>
      </w:r>
      <w:r>
        <w:rPr>
          <w:color w:val="0D0D0D"/>
          <w:spacing w:val="-7"/>
          <w:sz w:val="26"/>
        </w:rPr>
        <w:t>其他不可抗力等因素对房地产价值的影响，也没有考虑估价对象将来可能承担</w:t>
      </w:r>
      <w:r>
        <w:rPr>
          <w:color w:val="0D0D0D"/>
          <w:spacing w:val="-8"/>
          <w:sz w:val="26"/>
        </w:rPr>
        <w:t>违约责任的事宜，以及特殊交易方式下的特殊交易价格等对评估价值的影响。</w:t>
      </w:r>
      <w:r>
        <w:rPr>
          <w:color w:val="0D0D0D"/>
          <w:sz w:val="26"/>
        </w:rPr>
        <w:t>当上述条件发生变化时，估价结果一般亦会发生变化。</w:t>
      </w:r>
    </w:p>
    <w:p>
      <w:pPr>
        <w:pStyle w:val="10"/>
        <w:numPr>
          <w:ilvl w:val="0"/>
          <w:numId w:val="7"/>
        </w:numPr>
        <w:tabs>
          <w:tab w:val="left" w:pos="1661"/>
        </w:tabs>
        <w:spacing w:before="9" w:after="0" w:line="331" w:lineRule="auto"/>
        <w:ind w:left="1661" w:right="941" w:hanging="332"/>
        <w:jc w:val="both"/>
        <w:rPr>
          <w:sz w:val="26"/>
        </w:rPr>
      </w:pPr>
      <w:r>
        <w:rPr>
          <w:color w:val="0D0D0D"/>
          <w:spacing w:val="11"/>
          <w:w w:val="95"/>
          <w:sz w:val="26"/>
        </w:rPr>
        <w:t>本次估价结果的测算过程均体现在《房地产估价技术报告》[</w:t>
      </w:r>
      <w:r>
        <w:rPr>
          <w:spacing w:val="11"/>
          <w:w w:val="95"/>
          <w:sz w:val="26"/>
        </w:rPr>
        <w:t>昆云房鉴技字</w:t>
      </w:r>
      <w:r>
        <w:rPr>
          <w:sz w:val="26"/>
        </w:rPr>
        <w:t>[2020]</w:t>
      </w:r>
      <w:r>
        <w:rPr>
          <w:spacing w:val="20"/>
          <w:sz w:val="26"/>
        </w:rPr>
        <w:t xml:space="preserve">第 </w:t>
      </w:r>
      <w:r>
        <w:rPr>
          <w:sz w:val="26"/>
        </w:rPr>
        <w:t>06014</w:t>
      </w:r>
      <w:r>
        <w:rPr>
          <w:spacing w:val="20"/>
          <w:sz w:val="26"/>
        </w:rPr>
        <w:t xml:space="preserve"> 号</w:t>
      </w:r>
      <w:r>
        <w:rPr>
          <w:color w:val="0D0D0D"/>
          <w:sz w:val="26"/>
        </w:rPr>
        <w:t>]，由评估机构存档保留，供有关部门单位查阅，若估价委托合同中未予以特别说明，不向委托方及相关当事人提供。</w:t>
      </w:r>
    </w:p>
    <w:p>
      <w:pPr>
        <w:pStyle w:val="10"/>
        <w:numPr>
          <w:ilvl w:val="0"/>
          <w:numId w:val="7"/>
        </w:numPr>
        <w:tabs>
          <w:tab w:val="left" w:pos="1661"/>
        </w:tabs>
        <w:spacing w:before="13" w:after="0" w:line="240" w:lineRule="auto"/>
        <w:ind w:left="1660" w:right="0" w:hanging="332"/>
        <w:jc w:val="both"/>
        <w:rPr>
          <w:sz w:val="26"/>
        </w:rPr>
      </w:pPr>
      <w:r>
        <w:rPr>
          <w:color w:val="0D0D0D"/>
          <w:sz w:val="26"/>
        </w:rPr>
        <w:t>本估价报告含若干附件，与估价报告正文具同等效力，不可分割对待。</w:t>
      </w:r>
    </w:p>
    <w:p>
      <w:pPr>
        <w:pStyle w:val="10"/>
        <w:numPr>
          <w:ilvl w:val="0"/>
          <w:numId w:val="7"/>
        </w:numPr>
        <w:tabs>
          <w:tab w:val="left" w:pos="1661"/>
        </w:tabs>
        <w:spacing w:before="147" w:after="0" w:line="331" w:lineRule="auto"/>
        <w:ind w:left="1660" w:right="953" w:hanging="331"/>
        <w:jc w:val="both"/>
        <w:rPr>
          <w:sz w:val="26"/>
        </w:rPr>
      </w:pPr>
      <w:r>
        <w:rPr>
          <w:color w:val="0D0D0D"/>
          <w:spacing w:val="-3"/>
          <w:sz w:val="26"/>
        </w:rPr>
        <w:t>如发现本估价报告文字或数字因校对或其他类似原因出现差错，请及时通知我</w:t>
      </w:r>
      <w:r>
        <w:rPr>
          <w:color w:val="0D0D0D"/>
          <w:spacing w:val="-6"/>
          <w:sz w:val="26"/>
        </w:rPr>
        <w:t>公司更正；如估价报告使用者明知正常失误而不及时通知更正并恶意使用错误</w:t>
      </w:r>
      <w:r>
        <w:rPr>
          <w:color w:val="0D0D0D"/>
          <w:sz w:val="26"/>
        </w:rPr>
        <w:t>的结论造成的影响和损失，我公司及估价人员不承担责任。</w:t>
      </w:r>
    </w:p>
    <w:p>
      <w:pPr>
        <w:pStyle w:val="10"/>
        <w:numPr>
          <w:ilvl w:val="0"/>
          <w:numId w:val="7"/>
        </w:numPr>
        <w:tabs>
          <w:tab w:val="left" w:pos="1661"/>
        </w:tabs>
        <w:spacing w:before="13" w:after="0" w:line="326" w:lineRule="auto"/>
        <w:ind w:left="1660" w:right="955" w:hanging="332"/>
        <w:jc w:val="both"/>
        <w:rPr>
          <w:sz w:val="26"/>
        </w:rPr>
      </w:pPr>
      <w:r>
        <w:rPr>
          <w:color w:val="0D0D0D"/>
          <w:spacing w:val="-3"/>
          <w:sz w:val="26"/>
        </w:rPr>
        <w:t>本估价报告的最终解释权归我公司所有，其他任何单位和个人的意见均不能代</w:t>
      </w:r>
      <w:r>
        <w:rPr>
          <w:color w:val="0D0D0D"/>
          <w:sz w:val="26"/>
        </w:rPr>
        <w:t>表我公司对本项目的鉴定意见。</w:t>
      </w:r>
    </w:p>
    <w:p>
      <w:pPr>
        <w:spacing w:after="0" w:line="326" w:lineRule="auto"/>
        <w:jc w:val="both"/>
        <w:rPr>
          <w:sz w:val="26"/>
        </w:rPr>
        <w:sectPr>
          <w:pgSz w:w="11910" w:h="16840"/>
          <w:pgMar w:top="1100" w:right="180" w:bottom="1060" w:left="300" w:header="845" w:footer="877" w:gutter="0"/>
        </w:sectPr>
      </w:pPr>
    </w:p>
    <w:p>
      <w:pPr>
        <w:pStyle w:val="4"/>
        <w:rPr>
          <w:sz w:val="2"/>
        </w:rPr>
      </w:pPr>
    </w:p>
    <w:p>
      <w:pPr>
        <w:pStyle w:val="4"/>
        <w:spacing w:line="192" w:lineRule="exact"/>
        <w:ind w:left="513"/>
        <w:rPr>
          <w:sz w:val="19"/>
        </w:rPr>
      </w:pPr>
      <w:r>
        <w:rPr>
          <w:position w:val="-3"/>
          <w:sz w:val="19"/>
        </w:rPr>
        <w:pict>
          <v:group id="_x0000_s1109" o:spid="_x0000_s1109" o:spt="203" style="height:9.6pt;width:503.35pt;" coordsize="10067,192">
            <o:lock v:ext="edit"/>
            <v:line id="_x0000_s1110" o:spid="_x0000_s1110" o:spt="20" style="position:absolute;left:0;top:13;height:0;width:1083;" stroked="t" coordsize="21600,21600">
              <v:path arrowok="t"/>
              <v:fill focussize="0,0"/>
              <v:stroke weight="0.96pt" color="#585858"/>
              <v:imagedata o:title=""/>
              <o:lock v:ext="edit"/>
            </v:line>
            <v:line id="_x0000_s1111" o:spid="_x0000_s1111" o:spt="20" style="position:absolute;left:1111;top:177;height:0;width:8955;" stroked="t" coordsize="21600,21600">
              <v:path arrowok="t"/>
              <v:fill focussize="0,0"/>
              <v:stroke weight="1.41433070866142pt" color="#585858"/>
              <v:imagedata o:title=""/>
              <o:lock v:ext="edit"/>
            </v:line>
            <v:line id="_x0000_s1112" o:spid="_x0000_s1112" o:spt="20" style="position:absolute;left:1162;top:79;height:5;width:8797;" stroked="t" coordsize="21600,21600">
              <v:path arrowok="t"/>
              <v:fill focussize="0,0"/>
              <v:stroke weight="7.9pt" color="#585858"/>
              <v:imagedata o:title=""/>
              <o:lock v:ext="edit"/>
            </v:line>
            <w10:wrap type="none"/>
            <w10:anchorlock/>
          </v:group>
        </w:pict>
      </w:r>
    </w:p>
    <w:p>
      <w:pPr>
        <w:pStyle w:val="2"/>
        <w:jc w:val="both"/>
      </w:pPr>
      <w:bookmarkStart w:id="10" w:name="第三部分 估价工作程序"/>
      <w:bookmarkEnd w:id="10"/>
      <w:bookmarkStart w:id="11" w:name="_bookmark5"/>
      <w:bookmarkEnd w:id="11"/>
      <w:r>
        <w:rPr>
          <w:color w:val="A64231"/>
        </w:rPr>
        <w:t>第三部分 估价工作程序</w:t>
      </w:r>
    </w:p>
    <w:p>
      <w:pPr>
        <w:pStyle w:val="4"/>
        <w:spacing w:line="118" w:lineRule="exact"/>
        <w:ind w:left="1626"/>
        <w:rPr>
          <w:sz w:val="11"/>
        </w:rPr>
      </w:pPr>
      <w:r>
        <w:rPr>
          <w:position w:val="-1"/>
          <w:sz w:val="11"/>
        </w:rPr>
        <w:pict>
          <v:group id="_x0000_s1113" o:spid="_x0000_s1113" o:spt="203" style="height:5.9pt;width:442.2pt;" coordsize="8844,118">
            <o:lock v:ext="edit"/>
            <v:line id="_x0000_s1114" o:spid="_x0000_s1114" o:spt="20" style="position:absolute;left:0;top:103;height:0;width:8844;" stroked="t" coordsize="21600,21600">
              <v:path arrowok="t"/>
              <v:fill focussize="0,0"/>
              <v:stroke weight="1.44pt" color="#A64231"/>
              <v:imagedata o:title=""/>
              <o:lock v:ext="edit"/>
            </v:line>
            <v:line id="_x0000_s1115" o:spid="_x0000_s1115" o:spt="20" style="position:absolute;left:0;top:30;height:0;width:8844;" stroked="t" coordsize="21600,21600">
              <v:path arrowok="t"/>
              <v:fill focussize="0,0"/>
              <v:stroke weight="3pt" color="#A64231"/>
              <v:imagedata o:title=""/>
              <o:lock v:ext="edit"/>
            </v:line>
            <w10:wrap type="none"/>
            <w10:anchorlock/>
          </v:group>
        </w:pict>
      </w:r>
    </w:p>
    <w:p>
      <w:pPr>
        <w:pStyle w:val="3"/>
      </w:pPr>
      <w:r>
        <w:t>一. 估价准备阶段</w:t>
      </w:r>
    </w:p>
    <w:p>
      <w:pPr>
        <w:pStyle w:val="10"/>
        <w:numPr>
          <w:ilvl w:val="0"/>
          <w:numId w:val="8"/>
        </w:numPr>
        <w:tabs>
          <w:tab w:val="left" w:pos="1685"/>
        </w:tabs>
        <w:spacing w:before="171" w:after="0" w:line="338" w:lineRule="auto"/>
        <w:ind w:left="1684" w:right="902" w:hanging="283"/>
        <w:jc w:val="both"/>
        <w:rPr>
          <w:sz w:val="26"/>
        </w:rPr>
      </w:pPr>
      <w:bookmarkStart w:id="12" w:name="1. 明确估价业务基本事项、接受委托：根据《最高人民法院关于人民法院工作若干问题"/>
      <w:bookmarkEnd w:id="12"/>
      <w:bookmarkStart w:id="13" w:name="1. 明确估价业务基本事项、接受委托：根据《最高人民法院关于人民法院工作若干问题"/>
      <w:bookmarkEnd w:id="13"/>
      <w:r>
        <w:rPr>
          <w:b/>
          <w:color w:val="0D0D0D"/>
          <w:spacing w:val="-2"/>
          <w:sz w:val="26"/>
        </w:rPr>
        <w:t>明确估价业务基本事项、接受委托</w:t>
      </w:r>
      <w:r>
        <w:rPr>
          <w:color w:val="0D0D0D"/>
          <w:spacing w:val="-20"/>
          <w:sz w:val="26"/>
        </w:rPr>
        <w:t>：</w:t>
      </w:r>
      <w:r>
        <w:rPr>
          <w:spacing w:val="-5"/>
          <w:sz w:val="26"/>
        </w:rPr>
        <w:t>根据《最高人民法院关于人民法院工作若</w:t>
      </w:r>
      <w:r>
        <w:rPr>
          <w:spacing w:val="-3"/>
          <w:sz w:val="26"/>
        </w:rPr>
        <w:t>干问题的规定</w:t>
      </w:r>
      <w:r>
        <w:rPr>
          <w:spacing w:val="4"/>
          <w:sz w:val="26"/>
        </w:rPr>
        <w:t>（</w:t>
      </w:r>
      <w:r>
        <w:rPr>
          <w:spacing w:val="2"/>
          <w:sz w:val="26"/>
        </w:rPr>
        <w:t>试行</w:t>
      </w:r>
      <w:r>
        <w:rPr>
          <w:spacing w:val="-128"/>
          <w:sz w:val="26"/>
        </w:rPr>
        <w:t>）</w:t>
      </w:r>
      <w:r>
        <w:rPr>
          <w:sz w:val="26"/>
        </w:rPr>
        <w:t>》第四十七条和《最高人民法院关于法院民事执行中拍</w:t>
      </w:r>
      <w:r>
        <w:rPr>
          <w:spacing w:val="-1"/>
          <w:sz w:val="26"/>
        </w:rPr>
        <w:t xml:space="preserve">卖、变卖财产的规定》第四条以及《云南省司法鉴定管理条例》中相关规定， 云南省云县人民法院于 </w:t>
      </w:r>
      <w:r>
        <w:rPr>
          <w:sz w:val="26"/>
        </w:rPr>
        <w:t>2020</w:t>
      </w:r>
      <w:r>
        <w:rPr>
          <w:spacing w:val="-3"/>
          <w:sz w:val="26"/>
        </w:rPr>
        <w:t xml:space="preserve"> 年 </w:t>
      </w:r>
      <w:r>
        <w:rPr>
          <w:sz w:val="26"/>
        </w:rPr>
        <w:t>06</w:t>
      </w:r>
      <w:r>
        <w:rPr>
          <w:spacing w:val="-1"/>
          <w:sz w:val="26"/>
        </w:rPr>
        <w:t xml:space="preserve"> 月 </w:t>
      </w:r>
      <w:r>
        <w:rPr>
          <w:sz w:val="26"/>
        </w:rPr>
        <w:t>04</w:t>
      </w:r>
      <w:r>
        <w:rPr>
          <w:spacing w:val="-13"/>
          <w:sz w:val="26"/>
        </w:rPr>
        <w:t xml:space="preserve"> 日出具《司法评估委托书》[委托书编</w:t>
      </w:r>
      <w:r>
        <w:rPr>
          <w:spacing w:val="-78"/>
          <w:w w:val="99"/>
          <w:sz w:val="26"/>
        </w:rPr>
        <w:t>号：</w:t>
      </w:r>
      <w:r>
        <w:rPr>
          <w:w w:val="99"/>
          <w:sz w:val="26"/>
        </w:rPr>
        <w:t>（2019</w:t>
      </w:r>
      <w:r>
        <w:rPr>
          <w:spacing w:val="-12"/>
          <w:w w:val="99"/>
          <w:sz w:val="26"/>
        </w:rPr>
        <w:t>）</w:t>
      </w:r>
      <w:r>
        <w:rPr>
          <w:w w:val="99"/>
          <w:sz w:val="26"/>
        </w:rPr>
        <w:t>云</w:t>
      </w:r>
      <w:r>
        <w:rPr>
          <w:spacing w:val="-1"/>
          <w:sz w:val="26"/>
        </w:rPr>
        <w:t xml:space="preserve"> </w:t>
      </w:r>
      <w:r>
        <w:rPr>
          <w:w w:val="99"/>
          <w:sz w:val="26"/>
        </w:rPr>
        <w:t>0922</w:t>
      </w:r>
      <w:r>
        <w:rPr>
          <w:spacing w:val="2"/>
          <w:sz w:val="26"/>
        </w:rPr>
        <w:t xml:space="preserve"> </w:t>
      </w:r>
      <w:r>
        <w:rPr>
          <w:w w:val="99"/>
          <w:sz w:val="26"/>
        </w:rPr>
        <w:t>执</w:t>
      </w:r>
      <w:r>
        <w:rPr>
          <w:spacing w:val="-1"/>
          <w:sz w:val="26"/>
        </w:rPr>
        <w:t xml:space="preserve"> </w:t>
      </w:r>
      <w:r>
        <w:rPr>
          <w:w w:val="99"/>
          <w:sz w:val="26"/>
        </w:rPr>
        <w:t>632</w:t>
      </w:r>
      <w:r>
        <w:rPr>
          <w:sz w:val="26"/>
        </w:rPr>
        <w:t xml:space="preserve"> </w:t>
      </w:r>
      <w:r>
        <w:rPr>
          <w:spacing w:val="-1"/>
          <w:w w:val="99"/>
          <w:sz w:val="26"/>
        </w:rPr>
        <w:t xml:space="preserve">号]委托我公司承担该项司法鉴定业务。我公司于 </w:t>
      </w:r>
      <w:r>
        <w:rPr>
          <w:spacing w:val="-1"/>
          <w:sz w:val="26"/>
        </w:rPr>
        <w:t>2020</w:t>
      </w:r>
      <w:r>
        <w:rPr>
          <w:spacing w:val="3"/>
          <w:sz w:val="26"/>
        </w:rPr>
        <w:t xml:space="preserve"> 年 </w:t>
      </w:r>
      <w:r>
        <w:rPr>
          <w:sz w:val="26"/>
        </w:rPr>
        <w:t>06</w:t>
      </w:r>
      <w:r>
        <w:rPr>
          <w:spacing w:val="3"/>
          <w:sz w:val="26"/>
        </w:rPr>
        <w:t xml:space="preserve"> 月 </w:t>
      </w:r>
      <w:r>
        <w:rPr>
          <w:sz w:val="26"/>
        </w:rPr>
        <w:t>04 日接受委托后，与承办法官取得了联系并就案件相关事宜进行了充分的沟通；经通知，被执行人到达现场配合参与现勘。</w:t>
      </w:r>
    </w:p>
    <w:p>
      <w:pPr>
        <w:pStyle w:val="10"/>
        <w:numPr>
          <w:ilvl w:val="0"/>
          <w:numId w:val="8"/>
        </w:numPr>
        <w:tabs>
          <w:tab w:val="left" w:pos="1685"/>
        </w:tabs>
        <w:spacing w:before="0" w:after="0" w:line="338" w:lineRule="auto"/>
        <w:ind w:left="1684" w:right="953" w:hanging="284"/>
        <w:jc w:val="both"/>
        <w:rPr>
          <w:sz w:val="26"/>
        </w:rPr>
      </w:pPr>
      <w:bookmarkStart w:id="14" w:name="2. 编制评估计划：根据估价业务的性质和复杂程度制定相应的评估计划，对估价工作进"/>
      <w:bookmarkEnd w:id="14"/>
      <w:bookmarkStart w:id="15" w:name="2. 编制评估计划：根据估价业务的性质和复杂程度制定相应的评估计划，对估价工作进"/>
      <w:bookmarkEnd w:id="15"/>
      <w:r>
        <w:rPr>
          <w:b/>
          <w:sz w:val="26"/>
        </w:rPr>
        <w:t>编制评估计划</w:t>
      </w:r>
      <w:r>
        <w:rPr>
          <w:spacing w:val="-7"/>
          <w:sz w:val="26"/>
        </w:rPr>
        <w:t>：根据估价业务的性质和复杂程度制定相应的评估计划，对估价</w:t>
      </w:r>
      <w:r>
        <w:rPr>
          <w:spacing w:val="-10"/>
          <w:sz w:val="26"/>
        </w:rPr>
        <w:t>工作进度、人员安排、费用预算、是否需要聘请专家协助等估价业务全过程进</w:t>
      </w:r>
      <w:r>
        <w:rPr>
          <w:spacing w:val="-7"/>
          <w:sz w:val="26"/>
        </w:rPr>
        <w:t>行了合理安排。同时，与委托人就评估计划的要点和重要环节进行沟通，协商</w:t>
      </w:r>
      <w:r>
        <w:rPr>
          <w:sz w:val="26"/>
        </w:rPr>
        <w:t>计划的实施。</w:t>
      </w:r>
    </w:p>
    <w:p>
      <w:pPr>
        <w:pStyle w:val="3"/>
        <w:spacing w:line="415" w:lineRule="exact"/>
      </w:pPr>
      <w:r>
        <w:t>二. 收集资料阶段</w:t>
      </w:r>
    </w:p>
    <w:p>
      <w:pPr>
        <w:pStyle w:val="4"/>
        <w:spacing w:before="164" w:line="338" w:lineRule="auto"/>
        <w:ind w:left="1684" w:right="903"/>
      </w:pPr>
      <w:r>
        <w:t>估价工作小组于 2020 年 06 月 04 日进入现场，主要工作有：①对估价对象的外观和使用状况、内部布局、装修及设备情况进行详细勘察并记录影像资料；</w:t>
      </w:r>
    </w:p>
    <w:p>
      <w:pPr>
        <w:pStyle w:val="4"/>
        <w:spacing w:line="387" w:lineRule="exact"/>
        <w:ind w:left="1684"/>
      </w:pPr>
      <w:r>
        <w:t>②通过市场调研，收集价格信息；③查阅估价对象产权等资料。</w:t>
      </w:r>
    </w:p>
    <w:p>
      <w:pPr>
        <w:pStyle w:val="3"/>
        <w:spacing w:before="158"/>
        <w:jc w:val="left"/>
      </w:pPr>
      <w:r>
        <w:t>三. 价值测算及汇总阶段</w:t>
      </w:r>
    </w:p>
    <w:p>
      <w:pPr>
        <w:pStyle w:val="10"/>
        <w:numPr>
          <w:ilvl w:val="0"/>
          <w:numId w:val="9"/>
        </w:numPr>
        <w:tabs>
          <w:tab w:val="left" w:pos="1685"/>
        </w:tabs>
        <w:spacing w:before="172" w:after="0" w:line="240" w:lineRule="auto"/>
        <w:ind w:left="1684" w:right="0" w:hanging="284"/>
        <w:jc w:val="left"/>
        <w:rPr>
          <w:sz w:val="26"/>
        </w:rPr>
      </w:pPr>
      <w:r>
        <w:rPr>
          <w:sz w:val="26"/>
        </w:rPr>
        <w:t>根据估价对象的实际状况和特点，确定具体的估价方法。</w:t>
      </w:r>
    </w:p>
    <w:p>
      <w:pPr>
        <w:pStyle w:val="10"/>
        <w:numPr>
          <w:ilvl w:val="0"/>
          <w:numId w:val="9"/>
        </w:numPr>
        <w:tabs>
          <w:tab w:val="left" w:pos="1685"/>
        </w:tabs>
        <w:spacing w:before="159" w:after="0" w:line="240" w:lineRule="auto"/>
        <w:ind w:left="1684" w:right="0" w:hanging="284"/>
        <w:jc w:val="left"/>
        <w:rPr>
          <w:sz w:val="26"/>
        </w:rPr>
      </w:pPr>
      <w:r>
        <w:rPr>
          <w:sz w:val="26"/>
        </w:rPr>
        <w:t>对估价对象进行计算机数据处理，做出估价，并初步测算出估价结果。</w:t>
      </w:r>
    </w:p>
    <w:p>
      <w:pPr>
        <w:pStyle w:val="10"/>
        <w:numPr>
          <w:ilvl w:val="0"/>
          <w:numId w:val="9"/>
        </w:numPr>
        <w:tabs>
          <w:tab w:val="left" w:pos="1685"/>
        </w:tabs>
        <w:spacing w:before="158" w:after="0" w:line="338" w:lineRule="auto"/>
        <w:ind w:left="1684" w:right="826" w:hanging="283"/>
        <w:jc w:val="left"/>
        <w:rPr>
          <w:sz w:val="26"/>
        </w:rPr>
      </w:pPr>
      <w:r>
        <w:rPr>
          <w:spacing w:val="-8"/>
          <w:sz w:val="26"/>
        </w:rPr>
        <w:t>根据专业估价工作小组对估价对象的初步结论进行汇总分析，检查有无错、漏、</w:t>
      </w:r>
      <w:r>
        <w:rPr>
          <w:sz w:val="26"/>
        </w:rPr>
        <w:t>重评的情况，从而进行必要的调整、修改和完善，形成估价报告初稿。</w:t>
      </w:r>
    </w:p>
    <w:p>
      <w:pPr>
        <w:pStyle w:val="3"/>
        <w:spacing w:line="417" w:lineRule="exact"/>
        <w:jc w:val="left"/>
      </w:pPr>
      <w:r>
        <w:t>四. 提交报告阶段</w:t>
      </w:r>
    </w:p>
    <w:p>
      <w:pPr>
        <w:pStyle w:val="4"/>
        <w:spacing w:before="169" w:line="338" w:lineRule="auto"/>
        <w:ind w:left="1684" w:right="903"/>
      </w:pPr>
      <w:r>
        <w:t>在上述工作基础上，起草房地产估价报告，根据机构内部报告三级复核制度和程序，审慎地对报告的内容进行修改、校对，最后出具正式房地产估价报告。</w:t>
      </w:r>
    </w:p>
    <w:p>
      <w:pPr>
        <w:spacing w:after="0" w:line="338" w:lineRule="auto"/>
        <w:sectPr>
          <w:pgSz w:w="11910" w:h="16840"/>
          <w:pgMar w:top="1100" w:right="180" w:bottom="1060" w:left="300" w:header="845" w:footer="877" w:gutter="0"/>
        </w:sectPr>
      </w:pPr>
    </w:p>
    <w:p>
      <w:pPr>
        <w:pStyle w:val="4"/>
        <w:rPr>
          <w:sz w:val="2"/>
        </w:rPr>
      </w:pPr>
    </w:p>
    <w:p>
      <w:pPr>
        <w:pStyle w:val="4"/>
        <w:spacing w:line="192" w:lineRule="exact"/>
        <w:ind w:left="513"/>
        <w:rPr>
          <w:sz w:val="19"/>
        </w:rPr>
      </w:pPr>
      <w:r>
        <w:rPr>
          <w:position w:val="-3"/>
          <w:sz w:val="19"/>
        </w:rPr>
        <w:pict>
          <v:group id="_x0000_s1116" o:spid="_x0000_s1116" o:spt="203" style="height:9.6pt;width:503.35pt;" coordsize="10067,192">
            <o:lock v:ext="edit"/>
            <v:line id="_x0000_s1117" o:spid="_x0000_s1117" o:spt="20" style="position:absolute;left:0;top:13;height:0;width:1083;" stroked="t" coordsize="21600,21600">
              <v:path arrowok="t"/>
              <v:fill focussize="0,0"/>
              <v:stroke weight="0.96pt" color="#585858"/>
              <v:imagedata o:title=""/>
              <o:lock v:ext="edit"/>
            </v:line>
            <v:line id="_x0000_s1118" o:spid="_x0000_s1118" o:spt="20" style="position:absolute;left:1111;top:177;height:0;width:8955;" stroked="t" coordsize="21600,21600">
              <v:path arrowok="t"/>
              <v:fill focussize="0,0"/>
              <v:stroke weight="1.41433070866142pt" color="#585858"/>
              <v:imagedata o:title=""/>
              <o:lock v:ext="edit"/>
            </v:line>
            <v:line id="_x0000_s1119" o:spid="_x0000_s1119" o:spt="20" style="position:absolute;left:1162;top:79;height:5;width:8797;" stroked="t" coordsize="21600,21600">
              <v:path arrowok="t"/>
              <v:fill focussize="0,0"/>
              <v:stroke weight="7.9pt" color="#585858"/>
              <v:imagedata o:title=""/>
              <o:lock v:ext="edit"/>
            </v:line>
            <w10:wrap type="none"/>
            <w10:anchorlock/>
          </v:group>
        </w:pict>
      </w:r>
    </w:p>
    <w:p>
      <w:pPr>
        <w:pStyle w:val="2"/>
        <w:jc w:val="both"/>
      </w:pPr>
      <w:bookmarkStart w:id="16" w:name="第四部分 估价结果报告"/>
      <w:bookmarkEnd w:id="16"/>
      <w:r>
        <w:rPr>
          <w:color w:val="A64231"/>
        </w:rPr>
        <w:t>第四部分 估价结果报告</w:t>
      </w:r>
    </w:p>
    <w:p>
      <w:pPr>
        <w:pStyle w:val="4"/>
        <w:spacing w:line="118" w:lineRule="exact"/>
        <w:ind w:left="1626"/>
        <w:rPr>
          <w:sz w:val="11"/>
        </w:rPr>
      </w:pPr>
      <w:r>
        <w:rPr>
          <w:position w:val="-1"/>
          <w:sz w:val="11"/>
        </w:rPr>
        <w:pict>
          <v:group id="_x0000_s1120" o:spid="_x0000_s1120" o:spt="203" style="height:5.9pt;width:442.2pt;" coordsize="8844,118">
            <o:lock v:ext="edit"/>
            <v:line id="_x0000_s1121" o:spid="_x0000_s1121" o:spt="20" style="position:absolute;left:0;top:103;height:0;width:8844;" stroked="t" coordsize="21600,21600">
              <v:path arrowok="t"/>
              <v:fill focussize="0,0"/>
              <v:stroke weight="1.44pt" color="#A64231"/>
              <v:imagedata o:title=""/>
              <o:lock v:ext="edit"/>
            </v:line>
            <v:line id="_x0000_s1122" o:spid="_x0000_s1122" o:spt="20" style="position:absolute;left:0;top:30;height:0;width:8844;" stroked="t" coordsize="21600,21600">
              <v:path arrowok="t"/>
              <v:fill focussize="0,0"/>
              <v:stroke weight="3pt" color="#A64231"/>
              <v:imagedata o:title=""/>
              <o:lock v:ext="edit"/>
            </v:line>
            <w10:wrap type="none"/>
            <w10:anchorlock/>
          </v:group>
        </w:pict>
      </w:r>
    </w:p>
    <w:p>
      <w:pPr>
        <w:pStyle w:val="3"/>
      </w:pPr>
      <w:r>
        <w:t>一. 委托方及其他估价报告使用者</w:t>
      </w:r>
    </w:p>
    <w:p>
      <w:pPr>
        <w:pStyle w:val="10"/>
        <w:numPr>
          <w:ilvl w:val="1"/>
          <w:numId w:val="8"/>
        </w:numPr>
        <w:tabs>
          <w:tab w:val="left" w:pos="1685"/>
        </w:tabs>
        <w:spacing w:before="171" w:after="0" w:line="240" w:lineRule="auto"/>
        <w:ind w:left="1684" w:right="0" w:hanging="142"/>
        <w:jc w:val="both"/>
        <w:rPr>
          <w:rFonts w:ascii="Arial" w:hAnsi="Arial" w:eastAsia="Arial"/>
          <w:color w:val="0D0D0D"/>
          <w:sz w:val="26"/>
        </w:rPr>
      </w:pPr>
      <w:r>
        <w:rPr>
          <w:rFonts w:hint="eastAsia" w:ascii="隶书" w:hAnsi="隶书" w:eastAsia="隶书"/>
          <w:sz w:val="26"/>
        </w:rPr>
        <w:t>委托方：</w:t>
      </w:r>
      <w:r>
        <w:rPr>
          <w:sz w:val="26"/>
        </w:rPr>
        <w:t>云南省云县人民法院</w:t>
      </w:r>
    </w:p>
    <w:p>
      <w:pPr>
        <w:pStyle w:val="10"/>
        <w:numPr>
          <w:ilvl w:val="1"/>
          <w:numId w:val="8"/>
        </w:numPr>
        <w:tabs>
          <w:tab w:val="left" w:pos="1685"/>
        </w:tabs>
        <w:spacing w:before="159" w:after="0" w:line="338" w:lineRule="auto"/>
        <w:ind w:left="1683" w:right="903" w:hanging="141"/>
        <w:jc w:val="both"/>
        <w:rPr>
          <w:rFonts w:ascii="Arial" w:hAnsi="Arial" w:eastAsia="Arial"/>
          <w:sz w:val="26"/>
        </w:rPr>
      </w:pPr>
      <w:r>
        <w:rPr>
          <w:rFonts w:hint="eastAsia" w:ascii="隶书" w:hAnsi="隶书" w:eastAsia="隶书"/>
          <w:sz w:val="26"/>
        </w:rPr>
        <w:t>其他估价报告使用者：</w:t>
      </w:r>
      <w:r>
        <w:rPr>
          <w:color w:val="0D0D0D"/>
          <w:spacing w:val="-1"/>
          <w:sz w:val="26"/>
        </w:rPr>
        <w:t xml:space="preserve">于本次估价的特定目的，估价报告使用人除委托方外， </w:t>
      </w:r>
      <w:r>
        <w:rPr>
          <w:color w:val="0D0D0D"/>
          <w:spacing w:val="-3"/>
          <w:sz w:val="26"/>
        </w:rPr>
        <w:t>还有本次估价行为及估价目所涉及的相关当事方。除国家法律、法规另有规定</w:t>
      </w:r>
      <w:r>
        <w:rPr>
          <w:color w:val="0D0D0D"/>
          <w:spacing w:val="-8"/>
          <w:sz w:val="26"/>
        </w:rPr>
        <w:t>外，任何未经本评估机构确认的机构或个人不能由于得到本估价报告而成为估价报告的使用人。</w:t>
      </w:r>
    </w:p>
    <w:p>
      <w:pPr>
        <w:pStyle w:val="3"/>
        <w:spacing w:line="415" w:lineRule="exact"/>
      </w:pPr>
      <w:r>
        <w:t>二. 评估机构</w:t>
      </w:r>
    </w:p>
    <w:p>
      <w:pPr>
        <w:pStyle w:val="10"/>
        <w:numPr>
          <w:ilvl w:val="1"/>
          <w:numId w:val="8"/>
        </w:numPr>
        <w:tabs>
          <w:tab w:val="left" w:pos="1685"/>
        </w:tabs>
        <w:spacing w:before="169" w:after="0" w:line="240" w:lineRule="auto"/>
        <w:ind w:left="1684" w:right="0" w:hanging="142"/>
        <w:jc w:val="both"/>
        <w:rPr>
          <w:rFonts w:ascii="Arial" w:hAnsi="Arial" w:eastAsia="Arial"/>
          <w:sz w:val="26"/>
        </w:rPr>
      </w:pPr>
      <w:r>
        <w:rPr>
          <w:rFonts w:hint="eastAsia" w:ascii="隶书" w:hAnsi="隶书" w:eastAsia="隶书"/>
          <w:spacing w:val="24"/>
          <w:sz w:val="26"/>
        </w:rPr>
        <w:t>名 称：</w:t>
      </w:r>
      <w:r>
        <w:rPr>
          <w:color w:val="0D0D0D"/>
          <w:sz w:val="26"/>
        </w:rPr>
        <w:t>昆明云润房地产土地资产评估有限公司</w:t>
      </w:r>
    </w:p>
    <w:p>
      <w:pPr>
        <w:pStyle w:val="10"/>
        <w:numPr>
          <w:ilvl w:val="1"/>
          <w:numId w:val="8"/>
        </w:numPr>
        <w:tabs>
          <w:tab w:val="left" w:pos="1685"/>
        </w:tabs>
        <w:spacing w:before="159" w:after="0" w:line="338" w:lineRule="auto"/>
        <w:ind w:left="3386" w:right="953" w:hanging="1843"/>
        <w:jc w:val="both"/>
        <w:rPr>
          <w:rFonts w:ascii="Arial" w:hAnsi="Arial" w:eastAsia="Arial"/>
          <w:color w:val="0D0D0D"/>
          <w:sz w:val="26"/>
        </w:rPr>
      </w:pPr>
      <w:r>
        <w:rPr>
          <w:rFonts w:hint="eastAsia" w:ascii="隶书" w:hAnsi="隶书" w:eastAsia="隶书"/>
          <w:spacing w:val="10"/>
          <w:sz w:val="26"/>
        </w:rPr>
        <w:t>住    所：</w:t>
      </w:r>
      <w:r>
        <w:rPr>
          <w:color w:val="0D0D0D"/>
          <w:spacing w:val="-1"/>
          <w:sz w:val="26"/>
        </w:rPr>
        <w:t xml:space="preserve">昆明市白云路与穿金路交叉口金尚俊园三期 </w:t>
      </w:r>
      <w:r>
        <w:rPr>
          <w:color w:val="0D0D0D"/>
          <w:sz w:val="26"/>
        </w:rPr>
        <w:t>1</w:t>
      </w:r>
      <w:r>
        <w:rPr>
          <w:color w:val="0D0D0D"/>
          <w:spacing w:val="-9"/>
          <w:sz w:val="26"/>
        </w:rPr>
        <w:t xml:space="preserve"> 幢</w:t>
      </w:r>
      <w:r>
        <w:rPr>
          <w:color w:val="0D0D0D"/>
          <w:sz w:val="26"/>
        </w:rPr>
        <w:t>（金尚壹号</w:t>
      </w:r>
      <w:r>
        <w:rPr>
          <w:color w:val="0D0D0D"/>
          <w:spacing w:val="-15"/>
          <w:sz w:val="26"/>
        </w:rPr>
        <w:t xml:space="preserve">）9 </w:t>
      </w:r>
      <w:r>
        <w:rPr>
          <w:color w:val="0D0D0D"/>
          <w:sz w:val="26"/>
        </w:rPr>
        <w:t>层 901</w:t>
      </w:r>
      <w:r>
        <w:rPr>
          <w:color w:val="0D0D0D"/>
          <w:spacing w:val="-1"/>
          <w:sz w:val="26"/>
        </w:rPr>
        <w:t xml:space="preserve"> 号</w:t>
      </w:r>
    </w:p>
    <w:p>
      <w:pPr>
        <w:pStyle w:val="10"/>
        <w:numPr>
          <w:ilvl w:val="1"/>
          <w:numId w:val="8"/>
        </w:numPr>
        <w:tabs>
          <w:tab w:val="left" w:pos="1685"/>
        </w:tabs>
        <w:spacing w:before="0" w:after="0" w:line="387" w:lineRule="exact"/>
        <w:ind w:left="1684" w:right="0" w:hanging="142"/>
        <w:jc w:val="both"/>
        <w:rPr>
          <w:rFonts w:ascii="Arial" w:hAnsi="Arial" w:eastAsia="Arial"/>
          <w:sz w:val="26"/>
        </w:rPr>
      </w:pPr>
      <w:r>
        <w:rPr>
          <w:rFonts w:hint="eastAsia" w:ascii="隶书" w:hAnsi="隶书" w:eastAsia="隶书"/>
          <w:spacing w:val="-1"/>
          <w:sz w:val="26"/>
        </w:rPr>
        <w:t xml:space="preserve">法定代表人： </w:t>
      </w:r>
      <w:r>
        <w:rPr>
          <w:color w:val="0D0D0D"/>
          <w:sz w:val="26"/>
        </w:rPr>
        <w:t>王志萍</w:t>
      </w:r>
    </w:p>
    <w:p>
      <w:pPr>
        <w:pStyle w:val="10"/>
        <w:numPr>
          <w:ilvl w:val="1"/>
          <w:numId w:val="8"/>
        </w:numPr>
        <w:tabs>
          <w:tab w:val="left" w:pos="1685"/>
        </w:tabs>
        <w:spacing w:before="158" w:after="0" w:line="240" w:lineRule="auto"/>
        <w:ind w:left="1684" w:right="0" w:hanging="142"/>
        <w:jc w:val="both"/>
        <w:rPr>
          <w:rFonts w:ascii="Arial" w:hAnsi="Arial" w:eastAsia="Arial"/>
          <w:sz w:val="26"/>
        </w:rPr>
      </w:pPr>
      <w:r>
        <w:rPr>
          <w:rFonts w:hint="eastAsia" w:ascii="隶书" w:hAnsi="隶书" w:eastAsia="隶书"/>
          <w:spacing w:val="-6"/>
          <w:sz w:val="26"/>
        </w:rPr>
        <w:t>证 书 编 号：</w:t>
      </w:r>
      <w:r>
        <w:rPr>
          <w:spacing w:val="-1"/>
          <w:sz w:val="26"/>
        </w:rPr>
        <w:t xml:space="preserve">云建房证估字第 </w:t>
      </w:r>
      <w:r>
        <w:rPr>
          <w:sz w:val="26"/>
        </w:rPr>
        <w:t>127 号</w:t>
      </w:r>
    </w:p>
    <w:p>
      <w:pPr>
        <w:pStyle w:val="10"/>
        <w:numPr>
          <w:ilvl w:val="1"/>
          <w:numId w:val="8"/>
        </w:numPr>
        <w:tabs>
          <w:tab w:val="left" w:pos="1685"/>
        </w:tabs>
        <w:spacing w:before="159" w:after="0" w:line="240" w:lineRule="auto"/>
        <w:ind w:left="1684" w:right="0" w:hanging="142"/>
        <w:jc w:val="both"/>
        <w:rPr>
          <w:rFonts w:ascii="Arial" w:hAnsi="Arial" w:eastAsia="Arial"/>
          <w:sz w:val="26"/>
        </w:rPr>
      </w:pPr>
      <w:r>
        <w:rPr>
          <w:rFonts w:hint="eastAsia" w:ascii="隶书" w:hAnsi="隶书" w:eastAsia="隶书"/>
          <w:spacing w:val="-6"/>
          <w:sz w:val="26"/>
        </w:rPr>
        <w:t>资 质 等 级：</w:t>
      </w:r>
      <w:r>
        <w:rPr>
          <w:color w:val="0D0D0D"/>
          <w:sz w:val="26"/>
        </w:rPr>
        <w:t>贰级</w:t>
      </w:r>
    </w:p>
    <w:p>
      <w:pPr>
        <w:pStyle w:val="10"/>
        <w:numPr>
          <w:ilvl w:val="1"/>
          <w:numId w:val="8"/>
        </w:numPr>
        <w:tabs>
          <w:tab w:val="left" w:pos="1685"/>
        </w:tabs>
        <w:spacing w:before="158" w:after="0" w:line="240" w:lineRule="auto"/>
        <w:ind w:left="1684" w:right="0" w:hanging="143"/>
        <w:jc w:val="left"/>
        <w:rPr>
          <w:rFonts w:ascii="Arial" w:hAnsi="Arial" w:eastAsia="Arial"/>
          <w:sz w:val="26"/>
        </w:rPr>
      </w:pPr>
      <w:r>
        <w:rPr>
          <w:rFonts w:hint="eastAsia" w:ascii="隶书" w:hAnsi="隶书" w:eastAsia="隶书"/>
          <w:spacing w:val="10"/>
          <w:w w:val="90"/>
          <w:sz w:val="26"/>
        </w:rPr>
        <w:t>统一社会信用代码：</w:t>
      </w:r>
      <w:r>
        <w:rPr>
          <w:w w:val="90"/>
          <w:sz w:val="26"/>
        </w:rPr>
        <w:t>91530100797248758P</w:t>
      </w:r>
    </w:p>
    <w:p>
      <w:pPr>
        <w:pStyle w:val="10"/>
        <w:numPr>
          <w:ilvl w:val="1"/>
          <w:numId w:val="8"/>
        </w:numPr>
        <w:tabs>
          <w:tab w:val="left" w:pos="1685"/>
        </w:tabs>
        <w:spacing w:before="159" w:after="0" w:line="240" w:lineRule="auto"/>
        <w:ind w:left="1684" w:right="0" w:hanging="142"/>
        <w:jc w:val="left"/>
        <w:rPr>
          <w:rFonts w:ascii="Arial" w:hAnsi="Arial" w:eastAsia="Arial"/>
          <w:sz w:val="26"/>
        </w:rPr>
      </w:pPr>
      <w:r>
        <w:rPr>
          <w:rFonts w:hint="eastAsia" w:ascii="隶书" w:hAnsi="隶书" w:eastAsia="隶书"/>
          <w:spacing w:val="-6"/>
          <w:sz w:val="26"/>
        </w:rPr>
        <w:t>联 系 电 话：</w:t>
      </w:r>
      <w:r>
        <w:rPr>
          <w:sz w:val="26"/>
        </w:rPr>
        <w:t>0871-64570700</w:t>
      </w:r>
    </w:p>
    <w:p>
      <w:pPr>
        <w:pStyle w:val="3"/>
        <w:spacing w:before="158"/>
        <w:jc w:val="left"/>
      </w:pPr>
      <w:r>
        <w:t>三. 估价目的</w:t>
      </w:r>
    </w:p>
    <w:p>
      <w:pPr>
        <w:pStyle w:val="4"/>
        <w:spacing w:before="172" w:line="338" w:lineRule="auto"/>
        <w:ind w:left="1684" w:right="902"/>
      </w:pPr>
      <w:r>
        <w:t>为人民法院确定财产处置参考价提供参考依据而对估价对象的市场价值进行评估。</w:t>
      </w:r>
    </w:p>
    <w:p>
      <w:pPr>
        <w:pStyle w:val="3"/>
        <w:spacing w:line="417" w:lineRule="exact"/>
        <w:jc w:val="left"/>
      </w:pPr>
      <w:r>
        <w:t>四. 估价对象</w:t>
      </w:r>
    </w:p>
    <w:p>
      <w:pPr>
        <w:pStyle w:val="10"/>
        <w:numPr>
          <w:ilvl w:val="0"/>
          <w:numId w:val="10"/>
        </w:numPr>
        <w:tabs>
          <w:tab w:val="left" w:pos="1685"/>
        </w:tabs>
        <w:spacing w:before="170" w:after="0" w:line="240" w:lineRule="auto"/>
        <w:ind w:left="1684" w:right="0" w:hanging="284"/>
        <w:jc w:val="left"/>
        <w:rPr>
          <w:b/>
          <w:sz w:val="26"/>
        </w:rPr>
      </w:pPr>
      <w:bookmarkStart w:id="17" w:name="1. 估价范围"/>
      <w:bookmarkEnd w:id="17"/>
      <w:r>
        <w:rPr>
          <w:b/>
          <w:color w:val="0D0D0D"/>
          <w:sz w:val="26"/>
        </w:rPr>
        <w:t>估价范围</w:t>
      </w:r>
    </w:p>
    <w:p>
      <w:pPr>
        <w:pStyle w:val="4"/>
        <w:spacing w:before="158" w:line="338" w:lineRule="auto"/>
        <w:ind w:left="1684" w:right="947"/>
        <w:jc w:val="both"/>
      </w:pPr>
      <w:r>
        <w:rPr>
          <w:spacing w:val="6"/>
          <w:w w:val="95"/>
        </w:rPr>
        <w:t xml:space="preserve">根据委托方提供的估价对象相关产权信息并结合估价人员的现场查勘和委托   </w:t>
      </w:r>
      <w:r>
        <w:rPr>
          <w:spacing w:val="-4"/>
        </w:rPr>
        <w:t>方的要求，纳入估价范围的估价对象为云县爱华镇三江半岛</w:t>
      </w:r>
      <w:r>
        <w:t>（三期</w:t>
      </w:r>
      <w:r>
        <w:rPr>
          <w:spacing w:val="-17"/>
        </w:rPr>
        <w:t>）</w:t>
      </w:r>
      <w:r>
        <w:t>时代广场</w:t>
      </w:r>
      <w:r>
        <w:rPr>
          <w:spacing w:val="1"/>
        </w:rPr>
        <w:t xml:space="preserve">半岛 </w:t>
      </w:r>
      <w:r>
        <w:t>4</w:t>
      </w:r>
      <w:r>
        <w:rPr>
          <w:spacing w:val="3"/>
        </w:rPr>
        <w:t xml:space="preserve"> 幢 </w:t>
      </w:r>
      <w:r>
        <w:t>1-404 室房地产，包含建筑面积为 104.76 平方米的房屋所有权和所</w:t>
      </w:r>
    </w:p>
    <w:p>
      <w:pPr>
        <w:pStyle w:val="4"/>
        <w:spacing w:line="386" w:lineRule="exact"/>
        <w:ind w:left="1684"/>
      </w:pPr>
      <w:r>
        <w:rPr>
          <w:spacing w:val="-1"/>
        </w:rPr>
        <w:t xml:space="preserve">分摊的国有建设用地在剩余土地使用年期 </w:t>
      </w:r>
      <w:r>
        <w:t>57.56</w:t>
      </w:r>
      <w:r>
        <w:rPr>
          <w:spacing w:val="-7"/>
        </w:rPr>
        <w:t xml:space="preserve"> 年内的土地使用权、室内装饰</w:t>
      </w:r>
    </w:p>
    <w:p>
      <w:pPr>
        <w:pStyle w:val="4"/>
        <w:spacing w:before="159"/>
        <w:ind w:left="1684"/>
      </w:pPr>
      <w:r>
        <w:rPr>
          <w:spacing w:val="-7"/>
          <w:w w:val="95"/>
        </w:rPr>
        <w:t>装修、与房地产不可分割的、满足其使用功能的供水、供电、排水等相关配套</w:t>
      </w:r>
    </w:p>
    <w:p>
      <w:pPr>
        <w:spacing w:after="0"/>
        <w:sectPr>
          <w:pgSz w:w="11910" w:h="16840"/>
          <w:pgMar w:top="1100" w:right="180" w:bottom="1060" w:left="300" w:header="845" w:footer="877" w:gutter="0"/>
        </w:sectPr>
      </w:pPr>
    </w:p>
    <w:p>
      <w:pPr>
        <w:pStyle w:val="4"/>
        <w:rPr>
          <w:sz w:val="2"/>
        </w:rPr>
      </w:pPr>
    </w:p>
    <w:p>
      <w:pPr>
        <w:pStyle w:val="4"/>
        <w:spacing w:line="192" w:lineRule="exact"/>
        <w:ind w:left="513"/>
        <w:rPr>
          <w:sz w:val="19"/>
        </w:rPr>
      </w:pPr>
      <w:r>
        <w:rPr>
          <w:position w:val="-3"/>
          <w:sz w:val="19"/>
        </w:rPr>
        <w:pict>
          <v:group id="_x0000_s1123" o:spid="_x0000_s1123" o:spt="203" style="height:9.6pt;width:503.35pt;" coordsize="10067,192">
            <o:lock v:ext="edit"/>
            <v:line id="_x0000_s1124" o:spid="_x0000_s1124" o:spt="20" style="position:absolute;left:0;top:13;height:0;width:1083;" stroked="t" coordsize="21600,21600">
              <v:path arrowok="t"/>
              <v:fill focussize="0,0"/>
              <v:stroke weight="0.96pt" color="#585858"/>
              <v:imagedata o:title=""/>
              <o:lock v:ext="edit"/>
            </v:line>
            <v:line id="_x0000_s1125" o:spid="_x0000_s1125" o:spt="20" style="position:absolute;left:1111;top:177;height:0;width:8955;" stroked="t" coordsize="21600,21600">
              <v:path arrowok="t"/>
              <v:fill focussize="0,0"/>
              <v:stroke weight="1.41433070866142pt" color="#585858"/>
              <v:imagedata o:title=""/>
              <o:lock v:ext="edit"/>
            </v:line>
            <v:line id="_x0000_s1126" o:spid="_x0000_s1126" o:spt="20" style="position:absolute;left:1162;top:79;height:5;width:8797;" stroked="t" coordsize="21600,21600">
              <v:path arrowok="t"/>
              <v:fill focussize="0,0"/>
              <v:stroke weight="7.9pt" color="#585858"/>
              <v:imagedata o:title=""/>
              <o:lock v:ext="edit"/>
            </v:line>
            <w10:wrap type="none"/>
            <w10:anchorlock/>
          </v:group>
        </w:pict>
      </w:r>
    </w:p>
    <w:p>
      <w:pPr>
        <w:pStyle w:val="4"/>
        <w:spacing w:before="60" w:line="338" w:lineRule="auto"/>
        <w:ind w:left="1684" w:right="823"/>
      </w:pPr>
      <w:r>
        <w:rPr>
          <w:spacing w:val="-15"/>
        </w:rPr>
        <w:t>设施。不包含室内可移动的家具、电器、软装等动产以及可能存在的债权债务、</w:t>
      </w:r>
      <w:r>
        <w:t>欠付的管理费、水电费等。</w:t>
      </w:r>
    </w:p>
    <w:p>
      <w:pPr>
        <w:pStyle w:val="10"/>
        <w:numPr>
          <w:ilvl w:val="0"/>
          <w:numId w:val="10"/>
        </w:numPr>
        <w:tabs>
          <w:tab w:val="left" w:pos="1685"/>
        </w:tabs>
        <w:spacing w:before="0" w:after="0" w:line="387" w:lineRule="exact"/>
        <w:ind w:left="1684" w:right="0" w:hanging="284"/>
        <w:jc w:val="left"/>
        <w:rPr>
          <w:b/>
          <w:sz w:val="26"/>
        </w:rPr>
      </w:pPr>
      <w:bookmarkStart w:id="18" w:name="2. 估价对象权益状况描述"/>
      <w:bookmarkEnd w:id="18"/>
      <w:r>
        <w:rPr>
          <w:b/>
          <w:color w:val="0D0D0D"/>
          <w:sz w:val="26"/>
        </w:rPr>
        <w:t>估价对象权益状况描述</w:t>
      </w:r>
    </w:p>
    <w:p>
      <w:pPr>
        <w:pStyle w:val="10"/>
        <w:numPr>
          <w:ilvl w:val="0"/>
          <w:numId w:val="11"/>
        </w:numPr>
        <w:tabs>
          <w:tab w:val="left" w:pos="1685"/>
        </w:tabs>
        <w:spacing w:before="159" w:after="0" w:line="240" w:lineRule="auto"/>
        <w:ind w:left="1684" w:right="0" w:hanging="284"/>
        <w:jc w:val="left"/>
        <w:rPr>
          <w:b/>
          <w:sz w:val="26"/>
        </w:rPr>
      </w:pPr>
      <w:r>
        <w:rPr>
          <w:b/>
          <w:color w:val="0D0D0D"/>
          <w:sz w:val="26"/>
        </w:rPr>
        <w:t>土地权益状况</w:t>
      </w:r>
    </w:p>
    <w:p>
      <w:pPr>
        <w:spacing w:before="173" w:after="15"/>
        <w:ind w:left="4641" w:right="0" w:firstLine="0"/>
        <w:jc w:val="left"/>
        <w:rPr>
          <w:rFonts w:hint="eastAsia" w:ascii="黑体" w:eastAsia="黑体"/>
          <w:b/>
          <w:sz w:val="22"/>
        </w:rPr>
      </w:pPr>
      <w:r>
        <w:rPr>
          <w:rFonts w:hint="eastAsia" w:ascii="黑体" w:eastAsia="黑体"/>
          <w:b/>
          <w:sz w:val="22"/>
        </w:rPr>
        <w:t>估价对象土地登记状况信息表</w:t>
      </w:r>
    </w:p>
    <w:tbl>
      <w:tblPr>
        <w:tblStyle w:val="7"/>
        <w:tblW w:w="0" w:type="auto"/>
        <w:tblInd w:w="1830" w:type="dxa"/>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
      <w:tblGrid>
        <w:gridCol w:w="2374"/>
        <w:gridCol w:w="6168"/>
      </w:tblGrid>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279" w:hRule="atLeast"/>
        </w:trPr>
        <w:tc>
          <w:tcPr>
            <w:tcW w:w="2374" w:type="dxa"/>
            <w:tcBorders>
              <w:bottom w:val="single" w:color="000000" w:sz="4" w:space="0"/>
              <w:right w:val="single" w:color="000000" w:sz="4" w:space="0"/>
            </w:tcBorders>
            <w:shd w:val="clear" w:color="auto" w:fill="933634"/>
          </w:tcPr>
          <w:p>
            <w:pPr>
              <w:pStyle w:val="11"/>
              <w:spacing w:line="260" w:lineRule="exact"/>
              <w:ind w:left="249" w:right="250"/>
              <w:rPr>
                <w:b/>
                <w:sz w:val="20"/>
              </w:rPr>
            </w:pPr>
            <w:r>
              <w:rPr>
                <w:b/>
                <w:color w:val="FFFFFF"/>
                <w:sz w:val="20"/>
              </w:rPr>
              <w:t>土地坐落</w:t>
            </w:r>
          </w:p>
        </w:tc>
        <w:tc>
          <w:tcPr>
            <w:tcW w:w="6168" w:type="dxa"/>
            <w:tcBorders>
              <w:left w:val="single" w:color="000000" w:sz="4" w:space="0"/>
              <w:bottom w:val="single" w:color="000000" w:sz="4" w:space="0"/>
            </w:tcBorders>
            <w:shd w:val="clear" w:color="auto" w:fill="FFFFCC"/>
          </w:tcPr>
          <w:p>
            <w:pPr>
              <w:pStyle w:val="11"/>
              <w:spacing w:line="260" w:lineRule="exact"/>
              <w:ind w:left="555" w:right="524"/>
              <w:rPr>
                <w:sz w:val="20"/>
              </w:rPr>
            </w:pPr>
            <w:r>
              <w:rPr>
                <w:sz w:val="20"/>
              </w:rPr>
              <w:t>云县爱华镇三江半岛（三期）时代广场半岛 4 幢 1-404 室</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434" w:hRule="atLeast"/>
        </w:trPr>
        <w:tc>
          <w:tcPr>
            <w:tcW w:w="2374" w:type="dxa"/>
            <w:tcBorders>
              <w:top w:val="single" w:color="000000" w:sz="4" w:space="0"/>
              <w:bottom w:val="single" w:color="000000" w:sz="4" w:space="0"/>
              <w:right w:val="single" w:color="000000" w:sz="4" w:space="0"/>
            </w:tcBorders>
            <w:shd w:val="clear" w:color="auto" w:fill="933634"/>
          </w:tcPr>
          <w:p>
            <w:pPr>
              <w:pStyle w:val="11"/>
              <w:spacing w:before="67"/>
              <w:ind w:left="249" w:right="252"/>
              <w:rPr>
                <w:b/>
                <w:sz w:val="20"/>
              </w:rPr>
            </w:pPr>
            <w:r>
              <w:rPr>
                <w:b/>
                <w:color w:val="FFFFFF"/>
                <w:sz w:val="20"/>
              </w:rPr>
              <w:t>不动产登记证号</w:t>
            </w:r>
          </w:p>
        </w:tc>
        <w:tc>
          <w:tcPr>
            <w:tcW w:w="6168" w:type="dxa"/>
            <w:tcBorders>
              <w:top w:val="single" w:color="000000" w:sz="4" w:space="0"/>
              <w:left w:val="single" w:color="000000" w:sz="4" w:space="0"/>
              <w:bottom w:val="single" w:color="000000" w:sz="4" w:space="0"/>
            </w:tcBorders>
            <w:shd w:val="clear" w:color="auto" w:fill="FFFFCC"/>
          </w:tcPr>
          <w:p>
            <w:pPr>
              <w:pStyle w:val="11"/>
              <w:spacing w:before="67"/>
              <w:ind w:left="550" w:right="524"/>
              <w:rPr>
                <w:sz w:val="20"/>
              </w:rPr>
            </w:pPr>
            <w:r>
              <w:rPr>
                <w:sz w:val="20"/>
              </w:rPr>
              <w:t>滇（2017）云县不动产权第 0002458 号</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357" w:hRule="atLeast"/>
        </w:trPr>
        <w:tc>
          <w:tcPr>
            <w:tcW w:w="2374" w:type="dxa"/>
            <w:tcBorders>
              <w:top w:val="single" w:color="000000" w:sz="4" w:space="0"/>
              <w:bottom w:val="single" w:color="000000" w:sz="4" w:space="0"/>
              <w:right w:val="single" w:color="000000" w:sz="4" w:space="0"/>
            </w:tcBorders>
            <w:shd w:val="clear" w:color="auto" w:fill="933634"/>
          </w:tcPr>
          <w:p>
            <w:pPr>
              <w:pStyle w:val="11"/>
              <w:spacing w:before="28"/>
              <w:ind w:left="249" w:right="255"/>
              <w:rPr>
                <w:b/>
                <w:sz w:val="20"/>
              </w:rPr>
            </w:pPr>
            <w:r>
              <w:rPr>
                <w:b/>
                <w:color w:val="FFFFFF"/>
                <w:sz w:val="20"/>
              </w:rPr>
              <w:t>土地所有权</w:t>
            </w:r>
          </w:p>
        </w:tc>
        <w:tc>
          <w:tcPr>
            <w:tcW w:w="6168" w:type="dxa"/>
            <w:tcBorders>
              <w:top w:val="single" w:color="000000" w:sz="4" w:space="0"/>
              <w:left w:val="single" w:color="000000" w:sz="4" w:space="0"/>
              <w:bottom w:val="single" w:color="000000" w:sz="4" w:space="0"/>
            </w:tcBorders>
            <w:shd w:val="clear" w:color="auto" w:fill="FFFFCC"/>
          </w:tcPr>
          <w:p>
            <w:pPr>
              <w:pStyle w:val="11"/>
              <w:spacing w:before="28"/>
              <w:ind w:left="550" w:right="524"/>
              <w:rPr>
                <w:sz w:val="20"/>
              </w:rPr>
            </w:pPr>
            <w:r>
              <w:rPr>
                <w:sz w:val="20"/>
              </w:rPr>
              <w:t>国有</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280" w:hRule="atLeast"/>
        </w:trPr>
        <w:tc>
          <w:tcPr>
            <w:tcW w:w="2374" w:type="dxa"/>
            <w:tcBorders>
              <w:top w:val="single" w:color="000000" w:sz="4" w:space="0"/>
              <w:bottom w:val="single" w:color="000000" w:sz="4" w:space="0"/>
              <w:right w:val="single" w:color="000000" w:sz="4" w:space="0"/>
            </w:tcBorders>
            <w:shd w:val="clear" w:color="auto" w:fill="933634"/>
          </w:tcPr>
          <w:p>
            <w:pPr>
              <w:pStyle w:val="11"/>
              <w:spacing w:line="260" w:lineRule="exact"/>
              <w:ind w:left="249" w:right="252"/>
              <w:rPr>
                <w:b/>
                <w:sz w:val="20"/>
              </w:rPr>
            </w:pPr>
            <w:r>
              <w:rPr>
                <w:b/>
                <w:color w:val="FFFFFF"/>
                <w:sz w:val="20"/>
              </w:rPr>
              <w:t>不动产权利人</w:t>
            </w:r>
          </w:p>
        </w:tc>
        <w:tc>
          <w:tcPr>
            <w:tcW w:w="6168" w:type="dxa"/>
            <w:tcBorders>
              <w:top w:val="single" w:color="000000" w:sz="4" w:space="0"/>
              <w:left w:val="single" w:color="000000" w:sz="4" w:space="0"/>
              <w:bottom w:val="single" w:color="000000" w:sz="4" w:space="0"/>
            </w:tcBorders>
            <w:shd w:val="clear" w:color="auto" w:fill="FFFFCC"/>
          </w:tcPr>
          <w:p>
            <w:pPr>
              <w:pStyle w:val="11"/>
              <w:spacing w:line="260" w:lineRule="exact"/>
              <w:ind w:left="552" w:right="524"/>
              <w:rPr>
                <w:sz w:val="20"/>
              </w:rPr>
            </w:pPr>
            <w:r>
              <w:rPr>
                <w:sz w:val="20"/>
              </w:rPr>
              <w:t>王晓丽</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280" w:hRule="atLeast"/>
        </w:trPr>
        <w:tc>
          <w:tcPr>
            <w:tcW w:w="2374" w:type="dxa"/>
            <w:tcBorders>
              <w:top w:val="single" w:color="000000" w:sz="4" w:space="0"/>
              <w:bottom w:val="single" w:color="000000" w:sz="4" w:space="0"/>
              <w:right w:val="single" w:color="000000" w:sz="4" w:space="0"/>
            </w:tcBorders>
            <w:shd w:val="clear" w:color="auto" w:fill="933634"/>
          </w:tcPr>
          <w:p>
            <w:pPr>
              <w:pStyle w:val="11"/>
              <w:spacing w:line="260" w:lineRule="exact"/>
              <w:ind w:left="249" w:right="252"/>
              <w:rPr>
                <w:b/>
                <w:sz w:val="20"/>
              </w:rPr>
            </w:pPr>
            <w:r>
              <w:rPr>
                <w:b/>
                <w:color w:val="FFFFFF"/>
                <w:sz w:val="20"/>
              </w:rPr>
              <w:t>分宗面积（㎡）</w:t>
            </w:r>
          </w:p>
        </w:tc>
        <w:tc>
          <w:tcPr>
            <w:tcW w:w="6168" w:type="dxa"/>
            <w:tcBorders>
              <w:top w:val="single" w:color="000000" w:sz="4" w:space="0"/>
              <w:left w:val="single" w:color="000000" w:sz="4" w:space="0"/>
              <w:bottom w:val="single" w:color="000000" w:sz="4" w:space="0"/>
            </w:tcBorders>
            <w:shd w:val="clear" w:color="auto" w:fill="FFFFCC"/>
          </w:tcPr>
          <w:p>
            <w:pPr>
              <w:pStyle w:val="11"/>
              <w:spacing w:line="260" w:lineRule="exact"/>
              <w:ind w:left="550" w:right="524"/>
              <w:rPr>
                <w:sz w:val="20"/>
              </w:rPr>
            </w:pPr>
            <w:r>
              <w:rPr>
                <w:sz w:val="20"/>
              </w:rPr>
              <w:t>——</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280" w:hRule="atLeast"/>
        </w:trPr>
        <w:tc>
          <w:tcPr>
            <w:tcW w:w="2374" w:type="dxa"/>
            <w:tcBorders>
              <w:top w:val="single" w:color="000000" w:sz="4" w:space="0"/>
              <w:bottom w:val="single" w:color="000000" w:sz="4" w:space="0"/>
              <w:right w:val="single" w:color="000000" w:sz="4" w:space="0"/>
            </w:tcBorders>
            <w:shd w:val="clear" w:color="auto" w:fill="933634"/>
          </w:tcPr>
          <w:p>
            <w:pPr>
              <w:pStyle w:val="11"/>
              <w:spacing w:line="260" w:lineRule="exact"/>
              <w:ind w:left="249" w:right="255"/>
              <w:rPr>
                <w:b/>
                <w:sz w:val="20"/>
              </w:rPr>
            </w:pPr>
            <w:r>
              <w:rPr>
                <w:b/>
                <w:color w:val="FFFFFF"/>
                <w:sz w:val="20"/>
              </w:rPr>
              <w:t>土地分摊面积（㎡）</w:t>
            </w:r>
          </w:p>
        </w:tc>
        <w:tc>
          <w:tcPr>
            <w:tcW w:w="6168" w:type="dxa"/>
            <w:tcBorders>
              <w:top w:val="single" w:color="000000" w:sz="4" w:space="0"/>
              <w:left w:val="single" w:color="000000" w:sz="4" w:space="0"/>
              <w:bottom w:val="single" w:color="000000" w:sz="4" w:space="0"/>
            </w:tcBorders>
            <w:shd w:val="clear" w:color="auto" w:fill="FFFFCC"/>
          </w:tcPr>
          <w:p>
            <w:pPr>
              <w:pStyle w:val="11"/>
              <w:spacing w:line="260" w:lineRule="exact"/>
              <w:ind w:left="552" w:right="524"/>
              <w:rPr>
                <w:sz w:val="20"/>
              </w:rPr>
            </w:pPr>
            <w:r>
              <w:rPr>
                <w:sz w:val="20"/>
              </w:rPr>
              <w:t>12.53</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282" w:hRule="atLeast"/>
        </w:trPr>
        <w:tc>
          <w:tcPr>
            <w:tcW w:w="2374" w:type="dxa"/>
            <w:tcBorders>
              <w:top w:val="single" w:color="000000" w:sz="4" w:space="0"/>
              <w:bottom w:val="single" w:color="000000" w:sz="4" w:space="0"/>
              <w:right w:val="single" w:color="000000" w:sz="4" w:space="0"/>
            </w:tcBorders>
            <w:shd w:val="clear" w:color="auto" w:fill="933634"/>
          </w:tcPr>
          <w:p>
            <w:pPr>
              <w:pStyle w:val="11"/>
              <w:spacing w:line="263" w:lineRule="exact"/>
              <w:ind w:left="249" w:right="250"/>
              <w:rPr>
                <w:b/>
                <w:sz w:val="20"/>
              </w:rPr>
            </w:pPr>
            <w:r>
              <w:rPr>
                <w:b/>
                <w:color w:val="FFFFFF"/>
                <w:sz w:val="20"/>
              </w:rPr>
              <w:t>土地用途</w:t>
            </w:r>
          </w:p>
        </w:tc>
        <w:tc>
          <w:tcPr>
            <w:tcW w:w="6168" w:type="dxa"/>
            <w:tcBorders>
              <w:top w:val="single" w:color="000000" w:sz="4" w:space="0"/>
              <w:left w:val="single" w:color="000000" w:sz="4" w:space="0"/>
              <w:bottom w:val="single" w:color="000000" w:sz="4" w:space="0"/>
            </w:tcBorders>
            <w:shd w:val="clear" w:color="auto" w:fill="FFFFCC"/>
          </w:tcPr>
          <w:p>
            <w:pPr>
              <w:pStyle w:val="11"/>
              <w:spacing w:line="263" w:lineRule="exact"/>
              <w:ind w:left="550" w:right="524"/>
              <w:rPr>
                <w:sz w:val="20"/>
              </w:rPr>
            </w:pPr>
            <w:r>
              <w:rPr>
                <w:sz w:val="20"/>
              </w:rPr>
              <w:t>——</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280" w:hRule="atLeast"/>
        </w:trPr>
        <w:tc>
          <w:tcPr>
            <w:tcW w:w="2374" w:type="dxa"/>
            <w:tcBorders>
              <w:top w:val="single" w:color="000000" w:sz="4" w:space="0"/>
              <w:bottom w:val="single" w:color="000000" w:sz="4" w:space="0"/>
              <w:right w:val="single" w:color="000000" w:sz="4" w:space="0"/>
            </w:tcBorders>
            <w:shd w:val="clear" w:color="auto" w:fill="933634"/>
          </w:tcPr>
          <w:p>
            <w:pPr>
              <w:pStyle w:val="11"/>
              <w:spacing w:line="260" w:lineRule="exact"/>
              <w:ind w:left="249" w:right="255"/>
              <w:rPr>
                <w:b/>
                <w:sz w:val="20"/>
              </w:rPr>
            </w:pPr>
            <w:r>
              <w:rPr>
                <w:b/>
                <w:color w:val="FFFFFF"/>
                <w:sz w:val="20"/>
              </w:rPr>
              <w:t>使用权类型</w:t>
            </w:r>
          </w:p>
        </w:tc>
        <w:tc>
          <w:tcPr>
            <w:tcW w:w="6168" w:type="dxa"/>
            <w:tcBorders>
              <w:top w:val="single" w:color="000000" w:sz="4" w:space="0"/>
              <w:left w:val="single" w:color="000000" w:sz="4" w:space="0"/>
              <w:bottom w:val="single" w:color="000000" w:sz="4" w:space="0"/>
            </w:tcBorders>
            <w:shd w:val="clear" w:color="auto" w:fill="FFFFCC"/>
          </w:tcPr>
          <w:p>
            <w:pPr>
              <w:pStyle w:val="11"/>
              <w:spacing w:line="260" w:lineRule="exact"/>
              <w:ind w:left="550" w:right="524"/>
              <w:rPr>
                <w:sz w:val="20"/>
              </w:rPr>
            </w:pPr>
            <w:r>
              <w:rPr>
                <w:sz w:val="20"/>
              </w:rPr>
              <w:t>出让</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280" w:hRule="atLeast"/>
        </w:trPr>
        <w:tc>
          <w:tcPr>
            <w:tcW w:w="2374" w:type="dxa"/>
            <w:tcBorders>
              <w:top w:val="single" w:color="000000" w:sz="4" w:space="0"/>
              <w:bottom w:val="single" w:color="000000" w:sz="4" w:space="0"/>
              <w:right w:val="single" w:color="000000" w:sz="4" w:space="0"/>
            </w:tcBorders>
            <w:shd w:val="clear" w:color="auto" w:fill="933634"/>
          </w:tcPr>
          <w:p>
            <w:pPr>
              <w:pStyle w:val="11"/>
              <w:spacing w:line="260" w:lineRule="exact"/>
              <w:ind w:left="249" w:right="252"/>
              <w:rPr>
                <w:b/>
                <w:sz w:val="20"/>
              </w:rPr>
            </w:pPr>
            <w:r>
              <w:rPr>
                <w:b/>
                <w:color w:val="FFFFFF"/>
                <w:sz w:val="20"/>
              </w:rPr>
              <w:t>使用权终止日期</w:t>
            </w:r>
          </w:p>
        </w:tc>
        <w:tc>
          <w:tcPr>
            <w:tcW w:w="6168" w:type="dxa"/>
            <w:tcBorders>
              <w:top w:val="single" w:color="000000" w:sz="4" w:space="0"/>
              <w:left w:val="single" w:color="000000" w:sz="4" w:space="0"/>
              <w:bottom w:val="single" w:color="000000" w:sz="4" w:space="0"/>
            </w:tcBorders>
            <w:shd w:val="clear" w:color="auto" w:fill="FFFFCC"/>
          </w:tcPr>
          <w:p>
            <w:pPr>
              <w:pStyle w:val="11"/>
              <w:spacing w:line="260" w:lineRule="exact"/>
              <w:ind w:left="552" w:right="524"/>
              <w:rPr>
                <w:sz w:val="20"/>
              </w:rPr>
            </w:pPr>
            <w:r>
              <w:rPr>
                <w:sz w:val="20"/>
              </w:rPr>
              <w:t>2077 年 12 月 10 日</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280" w:hRule="atLeast"/>
        </w:trPr>
        <w:tc>
          <w:tcPr>
            <w:tcW w:w="2374" w:type="dxa"/>
            <w:tcBorders>
              <w:top w:val="single" w:color="000000" w:sz="4" w:space="0"/>
              <w:bottom w:val="single" w:color="000000" w:sz="4" w:space="0"/>
              <w:right w:val="single" w:color="000000" w:sz="4" w:space="0"/>
            </w:tcBorders>
            <w:shd w:val="clear" w:color="auto" w:fill="933634"/>
          </w:tcPr>
          <w:p>
            <w:pPr>
              <w:pStyle w:val="11"/>
              <w:spacing w:line="260" w:lineRule="exact"/>
              <w:ind w:left="249" w:right="252"/>
              <w:rPr>
                <w:b/>
                <w:sz w:val="20"/>
              </w:rPr>
            </w:pPr>
            <w:r>
              <w:rPr>
                <w:b/>
                <w:color w:val="FFFFFF"/>
                <w:sz w:val="20"/>
              </w:rPr>
              <w:t>产权登记日期</w:t>
            </w:r>
          </w:p>
        </w:tc>
        <w:tc>
          <w:tcPr>
            <w:tcW w:w="6168" w:type="dxa"/>
            <w:tcBorders>
              <w:top w:val="single" w:color="000000" w:sz="4" w:space="0"/>
              <w:left w:val="single" w:color="000000" w:sz="4" w:space="0"/>
              <w:bottom w:val="single" w:color="000000" w:sz="4" w:space="0"/>
            </w:tcBorders>
            <w:shd w:val="clear" w:color="auto" w:fill="FFFFCC"/>
          </w:tcPr>
          <w:p>
            <w:pPr>
              <w:pStyle w:val="11"/>
              <w:spacing w:line="260" w:lineRule="exact"/>
              <w:ind w:left="552" w:right="524"/>
              <w:rPr>
                <w:sz w:val="20"/>
              </w:rPr>
            </w:pPr>
            <w:r>
              <w:rPr>
                <w:sz w:val="20"/>
              </w:rPr>
              <w:t>2017 年 12 月 04 日</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433" w:hRule="atLeast"/>
        </w:trPr>
        <w:tc>
          <w:tcPr>
            <w:tcW w:w="2374" w:type="dxa"/>
            <w:tcBorders>
              <w:top w:val="single" w:color="000000" w:sz="4" w:space="0"/>
              <w:right w:val="single" w:color="000000" w:sz="4" w:space="0"/>
            </w:tcBorders>
            <w:shd w:val="clear" w:color="auto" w:fill="933634"/>
          </w:tcPr>
          <w:p>
            <w:pPr>
              <w:pStyle w:val="11"/>
              <w:spacing w:before="67"/>
              <w:ind w:left="249" w:right="252"/>
              <w:rPr>
                <w:b/>
                <w:sz w:val="20"/>
              </w:rPr>
            </w:pPr>
            <w:r>
              <w:rPr>
                <w:b/>
                <w:color w:val="FFFFFF"/>
                <w:sz w:val="20"/>
              </w:rPr>
              <w:t>备注</w:t>
            </w:r>
          </w:p>
        </w:tc>
        <w:tc>
          <w:tcPr>
            <w:tcW w:w="6168" w:type="dxa"/>
            <w:tcBorders>
              <w:top w:val="single" w:color="000000" w:sz="4" w:space="0"/>
              <w:left w:val="single" w:color="000000" w:sz="4" w:space="0"/>
            </w:tcBorders>
            <w:shd w:val="clear" w:color="auto" w:fill="FFFFCC"/>
          </w:tcPr>
          <w:p>
            <w:pPr>
              <w:pStyle w:val="11"/>
              <w:spacing w:before="67"/>
              <w:ind w:left="550" w:right="524"/>
              <w:rPr>
                <w:sz w:val="20"/>
              </w:rPr>
            </w:pPr>
            <w:r>
              <w:rPr>
                <w:sz w:val="20"/>
              </w:rPr>
              <w:t>——</w:t>
            </w:r>
          </w:p>
        </w:tc>
      </w:tr>
    </w:tbl>
    <w:p>
      <w:pPr>
        <w:pStyle w:val="4"/>
        <w:spacing w:before="6"/>
        <w:rPr>
          <w:rFonts w:ascii="黑体"/>
          <w:b/>
          <w:sz w:val="28"/>
        </w:rPr>
      </w:pPr>
    </w:p>
    <w:p>
      <w:pPr>
        <w:pStyle w:val="10"/>
        <w:numPr>
          <w:ilvl w:val="0"/>
          <w:numId w:val="11"/>
        </w:numPr>
        <w:tabs>
          <w:tab w:val="left" w:pos="1685"/>
        </w:tabs>
        <w:spacing w:before="0" w:after="0" w:line="240" w:lineRule="auto"/>
        <w:ind w:left="1684" w:right="0" w:hanging="284"/>
        <w:jc w:val="left"/>
        <w:rPr>
          <w:b/>
          <w:sz w:val="26"/>
        </w:rPr>
      </w:pPr>
      <w:r>
        <w:rPr>
          <w:b/>
          <w:color w:val="0D0D0D"/>
          <w:sz w:val="26"/>
        </w:rPr>
        <w:t>房屋权益状况</w:t>
      </w:r>
    </w:p>
    <w:p>
      <w:pPr>
        <w:spacing w:before="173"/>
        <w:ind w:left="4632" w:right="0" w:firstLine="0"/>
        <w:jc w:val="left"/>
        <w:rPr>
          <w:rFonts w:hint="eastAsia" w:ascii="黑体" w:eastAsia="黑体"/>
          <w:b/>
          <w:sz w:val="22"/>
        </w:rPr>
      </w:pPr>
      <w:r>
        <w:rPr>
          <w:rFonts w:hint="eastAsia" w:ascii="黑体" w:eastAsia="黑体"/>
          <w:b/>
          <w:sz w:val="22"/>
        </w:rPr>
        <w:t>估价对象房屋状况登记状况信息表</w:t>
      </w:r>
    </w:p>
    <w:tbl>
      <w:tblPr>
        <w:tblStyle w:val="7"/>
        <w:tblW w:w="0" w:type="auto"/>
        <w:tblInd w:w="17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08"/>
        <w:gridCol w:w="56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3108" w:type="dxa"/>
            <w:tcBorders>
              <w:left w:val="double" w:color="000000" w:sz="2" w:space="0"/>
            </w:tcBorders>
            <w:shd w:val="clear" w:color="auto" w:fill="933634"/>
          </w:tcPr>
          <w:p>
            <w:pPr>
              <w:pStyle w:val="11"/>
              <w:spacing w:before="60"/>
              <w:ind w:left="818" w:right="819"/>
              <w:rPr>
                <w:b/>
                <w:sz w:val="20"/>
              </w:rPr>
            </w:pPr>
            <w:r>
              <w:rPr>
                <w:b/>
                <w:color w:val="FFFFFF"/>
                <w:sz w:val="20"/>
              </w:rPr>
              <w:t>房屋坐落</w:t>
            </w:r>
          </w:p>
        </w:tc>
        <w:tc>
          <w:tcPr>
            <w:tcW w:w="5616" w:type="dxa"/>
            <w:tcBorders>
              <w:right w:val="double" w:color="000000" w:sz="2" w:space="0"/>
            </w:tcBorders>
            <w:shd w:val="clear" w:color="auto" w:fill="FFFFCC"/>
          </w:tcPr>
          <w:p>
            <w:pPr>
              <w:pStyle w:val="11"/>
              <w:spacing w:before="60"/>
              <w:ind w:left="279" w:right="248"/>
              <w:rPr>
                <w:sz w:val="20"/>
              </w:rPr>
            </w:pPr>
            <w:r>
              <w:rPr>
                <w:sz w:val="20"/>
              </w:rPr>
              <w:t>云县爱华镇三江半岛（三期）时代广场半岛 4 幢 1-404 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3108" w:type="dxa"/>
            <w:tcBorders>
              <w:left w:val="double" w:color="000000" w:sz="2" w:space="0"/>
            </w:tcBorders>
            <w:shd w:val="clear" w:color="auto" w:fill="933634"/>
          </w:tcPr>
          <w:p>
            <w:pPr>
              <w:pStyle w:val="11"/>
              <w:spacing w:before="7" w:line="287" w:lineRule="exact"/>
              <w:ind w:left="818" w:right="821"/>
              <w:rPr>
                <w:b/>
                <w:sz w:val="20"/>
              </w:rPr>
            </w:pPr>
            <w:r>
              <w:rPr>
                <w:b/>
                <w:color w:val="FFFFFF"/>
                <w:sz w:val="20"/>
              </w:rPr>
              <w:t>不动产登记证号</w:t>
            </w:r>
          </w:p>
        </w:tc>
        <w:tc>
          <w:tcPr>
            <w:tcW w:w="5616" w:type="dxa"/>
            <w:tcBorders>
              <w:right w:val="double" w:color="000000" w:sz="2" w:space="0"/>
            </w:tcBorders>
            <w:shd w:val="clear" w:color="auto" w:fill="FFFFCC"/>
          </w:tcPr>
          <w:p>
            <w:pPr>
              <w:pStyle w:val="11"/>
              <w:spacing w:before="7" w:line="287" w:lineRule="exact"/>
              <w:ind w:left="275" w:right="248"/>
              <w:rPr>
                <w:sz w:val="20"/>
              </w:rPr>
            </w:pPr>
            <w:r>
              <w:rPr>
                <w:sz w:val="20"/>
              </w:rPr>
              <w:t>滇（2017）云县不动产权第 0002458 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3108" w:type="dxa"/>
            <w:tcBorders>
              <w:left w:val="double" w:color="000000" w:sz="2" w:space="0"/>
            </w:tcBorders>
            <w:shd w:val="clear" w:color="auto" w:fill="933634"/>
          </w:tcPr>
          <w:p>
            <w:pPr>
              <w:pStyle w:val="11"/>
              <w:spacing w:before="7" w:line="287" w:lineRule="exact"/>
              <w:ind w:left="818" w:right="818"/>
              <w:rPr>
                <w:b/>
                <w:sz w:val="20"/>
              </w:rPr>
            </w:pPr>
            <w:r>
              <w:rPr>
                <w:b/>
                <w:color w:val="FFFFFF"/>
                <w:sz w:val="20"/>
              </w:rPr>
              <w:t>不动产权利人</w:t>
            </w:r>
          </w:p>
        </w:tc>
        <w:tc>
          <w:tcPr>
            <w:tcW w:w="5616" w:type="dxa"/>
            <w:tcBorders>
              <w:right w:val="double" w:color="000000" w:sz="2" w:space="0"/>
            </w:tcBorders>
            <w:shd w:val="clear" w:color="auto" w:fill="FFFFCC"/>
          </w:tcPr>
          <w:p>
            <w:pPr>
              <w:pStyle w:val="11"/>
              <w:spacing w:before="7" w:line="287" w:lineRule="exact"/>
              <w:ind w:left="277" w:right="248"/>
              <w:rPr>
                <w:sz w:val="20"/>
              </w:rPr>
            </w:pPr>
            <w:r>
              <w:rPr>
                <w:sz w:val="20"/>
              </w:rPr>
              <w:t>王晓丽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3108" w:type="dxa"/>
            <w:tcBorders>
              <w:left w:val="double" w:color="000000" w:sz="2" w:space="0"/>
            </w:tcBorders>
            <w:shd w:val="clear" w:color="auto" w:fill="933634"/>
          </w:tcPr>
          <w:p>
            <w:pPr>
              <w:pStyle w:val="11"/>
              <w:spacing w:before="4" w:line="287" w:lineRule="exact"/>
              <w:ind w:left="818" w:right="821"/>
              <w:rPr>
                <w:b/>
                <w:sz w:val="20"/>
              </w:rPr>
            </w:pPr>
            <w:r>
              <w:rPr>
                <w:b/>
                <w:color w:val="FFFFFF"/>
                <w:sz w:val="20"/>
              </w:rPr>
              <w:t>建筑面积（㎡）</w:t>
            </w:r>
          </w:p>
        </w:tc>
        <w:tc>
          <w:tcPr>
            <w:tcW w:w="5616" w:type="dxa"/>
            <w:tcBorders>
              <w:right w:val="double" w:color="000000" w:sz="2" w:space="0"/>
            </w:tcBorders>
            <w:shd w:val="clear" w:color="auto" w:fill="FFFFCC"/>
          </w:tcPr>
          <w:p>
            <w:pPr>
              <w:pStyle w:val="11"/>
              <w:spacing w:before="4" w:line="287" w:lineRule="exact"/>
              <w:ind w:left="277" w:right="248"/>
              <w:rPr>
                <w:sz w:val="20"/>
              </w:rPr>
            </w:pPr>
            <w:r>
              <w:rPr>
                <w:sz w:val="20"/>
              </w:rPr>
              <w:t>104.76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3108" w:type="dxa"/>
            <w:tcBorders>
              <w:left w:val="double" w:color="000000" w:sz="2" w:space="0"/>
            </w:tcBorders>
            <w:shd w:val="clear" w:color="auto" w:fill="933634"/>
          </w:tcPr>
          <w:p>
            <w:pPr>
              <w:pStyle w:val="11"/>
              <w:spacing w:before="7" w:line="287" w:lineRule="exact"/>
              <w:ind w:left="818" w:right="821"/>
              <w:rPr>
                <w:b/>
                <w:sz w:val="20"/>
              </w:rPr>
            </w:pPr>
            <w:r>
              <w:rPr>
                <w:b/>
                <w:color w:val="FFFFFF"/>
                <w:sz w:val="20"/>
              </w:rPr>
              <w:t>套内面积（㎡）</w:t>
            </w:r>
          </w:p>
        </w:tc>
        <w:tc>
          <w:tcPr>
            <w:tcW w:w="5616" w:type="dxa"/>
            <w:tcBorders>
              <w:right w:val="double" w:color="000000" w:sz="2" w:space="0"/>
            </w:tcBorders>
            <w:shd w:val="clear" w:color="auto" w:fill="FFFFCC"/>
          </w:tcPr>
          <w:p>
            <w:pPr>
              <w:pStyle w:val="11"/>
              <w:spacing w:before="7" w:line="287" w:lineRule="exact"/>
              <w:ind w:left="275" w:right="248"/>
              <w:rPr>
                <w:sz w:val="20"/>
              </w:rPr>
            </w:pPr>
            <w:r>
              <w:rPr>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3108" w:type="dxa"/>
            <w:tcBorders>
              <w:left w:val="double" w:color="000000" w:sz="2" w:space="0"/>
            </w:tcBorders>
            <w:shd w:val="clear" w:color="auto" w:fill="933634"/>
          </w:tcPr>
          <w:p>
            <w:pPr>
              <w:pStyle w:val="11"/>
              <w:spacing w:before="7" w:line="284" w:lineRule="exact"/>
              <w:ind w:left="818" w:right="819"/>
              <w:rPr>
                <w:b/>
                <w:sz w:val="20"/>
              </w:rPr>
            </w:pPr>
            <w:r>
              <w:rPr>
                <w:b/>
                <w:color w:val="FFFFFF"/>
                <w:sz w:val="20"/>
              </w:rPr>
              <w:t>房屋用途</w:t>
            </w:r>
          </w:p>
        </w:tc>
        <w:tc>
          <w:tcPr>
            <w:tcW w:w="5616" w:type="dxa"/>
            <w:tcBorders>
              <w:right w:val="double" w:color="000000" w:sz="2" w:space="0"/>
            </w:tcBorders>
            <w:shd w:val="clear" w:color="auto" w:fill="FFFFCC"/>
          </w:tcPr>
          <w:p>
            <w:pPr>
              <w:pStyle w:val="11"/>
              <w:spacing w:before="7" w:line="284" w:lineRule="exact"/>
              <w:ind w:left="275" w:right="248"/>
              <w:rPr>
                <w:sz w:val="20"/>
              </w:rPr>
            </w:pPr>
            <w:r>
              <w:rPr>
                <w:sz w:val="20"/>
              </w:rPr>
              <w:t>成套住宅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3108" w:type="dxa"/>
            <w:tcBorders>
              <w:left w:val="double" w:color="000000" w:sz="2" w:space="0"/>
            </w:tcBorders>
            <w:shd w:val="clear" w:color="auto" w:fill="933634"/>
          </w:tcPr>
          <w:p>
            <w:pPr>
              <w:pStyle w:val="11"/>
              <w:spacing w:before="7" w:line="287" w:lineRule="exact"/>
              <w:ind w:left="818" w:right="819"/>
              <w:rPr>
                <w:b/>
                <w:sz w:val="20"/>
              </w:rPr>
            </w:pPr>
            <w:r>
              <w:rPr>
                <w:b/>
                <w:color w:val="FFFFFF"/>
                <w:sz w:val="20"/>
              </w:rPr>
              <w:t>建筑结构</w:t>
            </w:r>
          </w:p>
        </w:tc>
        <w:tc>
          <w:tcPr>
            <w:tcW w:w="5616" w:type="dxa"/>
            <w:shd w:val="clear" w:color="auto" w:fill="FFFFCC"/>
          </w:tcPr>
          <w:p>
            <w:pPr>
              <w:pStyle w:val="11"/>
              <w:spacing w:before="7" w:line="287" w:lineRule="exact"/>
              <w:ind w:left="2387" w:right="2378"/>
              <w:rPr>
                <w:sz w:val="20"/>
              </w:rPr>
            </w:pPr>
            <w:r>
              <w:rPr>
                <w:sz w:val="20"/>
              </w:rPr>
              <w:t>钢混结构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3108" w:type="dxa"/>
            <w:tcBorders>
              <w:left w:val="double" w:color="000000" w:sz="2" w:space="0"/>
            </w:tcBorders>
            <w:shd w:val="clear" w:color="auto" w:fill="933634"/>
          </w:tcPr>
          <w:p>
            <w:pPr>
              <w:pStyle w:val="11"/>
              <w:spacing w:before="7" w:line="287" w:lineRule="exact"/>
              <w:ind w:left="818" w:right="819"/>
              <w:rPr>
                <w:b/>
                <w:sz w:val="20"/>
              </w:rPr>
            </w:pPr>
            <w:r>
              <w:rPr>
                <w:b/>
                <w:color w:val="FFFFFF"/>
                <w:sz w:val="20"/>
              </w:rPr>
              <w:t>所在层数/总层</w:t>
            </w:r>
          </w:p>
        </w:tc>
        <w:tc>
          <w:tcPr>
            <w:tcW w:w="5616" w:type="dxa"/>
            <w:tcBorders>
              <w:right w:val="double" w:color="000000" w:sz="2" w:space="0"/>
            </w:tcBorders>
            <w:shd w:val="clear" w:color="auto" w:fill="FFFFCC"/>
          </w:tcPr>
          <w:p>
            <w:pPr>
              <w:pStyle w:val="11"/>
              <w:spacing w:before="7" w:line="287" w:lineRule="exact"/>
              <w:ind w:left="274" w:right="248"/>
              <w:rPr>
                <w:sz w:val="20"/>
              </w:rPr>
            </w:pPr>
            <w:r>
              <w:rPr>
                <w:sz w:val="20"/>
              </w:rPr>
              <w:t>4/17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3108" w:type="dxa"/>
            <w:tcBorders>
              <w:left w:val="double" w:color="000000" w:sz="2" w:space="0"/>
            </w:tcBorders>
            <w:shd w:val="clear" w:color="auto" w:fill="933634"/>
          </w:tcPr>
          <w:p>
            <w:pPr>
              <w:pStyle w:val="11"/>
              <w:spacing w:before="5" w:line="287" w:lineRule="exact"/>
              <w:ind w:left="818" w:right="819"/>
              <w:rPr>
                <w:b/>
                <w:sz w:val="20"/>
              </w:rPr>
            </w:pPr>
            <w:r>
              <w:rPr>
                <w:b/>
                <w:color w:val="FFFFFF"/>
                <w:sz w:val="20"/>
              </w:rPr>
              <w:t>建成年代</w:t>
            </w:r>
          </w:p>
        </w:tc>
        <w:tc>
          <w:tcPr>
            <w:tcW w:w="5616" w:type="dxa"/>
            <w:tcBorders>
              <w:right w:val="double" w:color="000000" w:sz="2" w:space="0"/>
            </w:tcBorders>
            <w:shd w:val="clear" w:color="auto" w:fill="FFFFCC"/>
          </w:tcPr>
          <w:p>
            <w:pPr>
              <w:pStyle w:val="11"/>
              <w:spacing w:before="5" w:line="287" w:lineRule="exact"/>
              <w:ind w:left="275" w:right="248"/>
              <w:rPr>
                <w:sz w:val="20"/>
              </w:rPr>
            </w:pPr>
            <w:r>
              <w:rPr>
                <w:sz w:val="20"/>
              </w:rPr>
              <w:t>约 2012 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3108" w:type="dxa"/>
            <w:tcBorders>
              <w:left w:val="double" w:color="000000" w:sz="2" w:space="0"/>
            </w:tcBorders>
            <w:shd w:val="clear" w:color="auto" w:fill="933634"/>
          </w:tcPr>
          <w:p>
            <w:pPr>
              <w:pStyle w:val="11"/>
              <w:spacing w:before="7" w:line="287" w:lineRule="exact"/>
              <w:ind w:left="818" w:right="818"/>
              <w:rPr>
                <w:b/>
                <w:sz w:val="20"/>
              </w:rPr>
            </w:pPr>
            <w:r>
              <w:rPr>
                <w:b/>
                <w:color w:val="FFFFFF"/>
                <w:sz w:val="20"/>
              </w:rPr>
              <w:t>产权登记日期</w:t>
            </w:r>
          </w:p>
        </w:tc>
        <w:tc>
          <w:tcPr>
            <w:tcW w:w="5616" w:type="dxa"/>
            <w:tcBorders>
              <w:right w:val="double" w:color="000000" w:sz="2" w:space="0"/>
            </w:tcBorders>
            <w:shd w:val="clear" w:color="auto" w:fill="FFFFCC"/>
          </w:tcPr>
          <w:p>
            <w:pPr>
              <w:pStyle w:val="11"/>
              <w:spacing w:before="7" w:line="287" w:lineRule="exact"/>
              <w:ind w:left="275" w:right="248"/>
              <w:rPr>
                <w:sz w:val="20"/>
              </w:rPr>
            </w:pPr>
            <w:r>
              <w:rPr>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trPr>
        <w:tc>
          <w:tcPr>
            <w:tcW w:w="3108" w:type="dxa"/>
            <w:tcBorders>
              <w:left w:val="double" w:color="000000" w:sz="2" w:space="0"/>
              <w:bottom w:val="double" w:color="000000" w:sz="2" w:space="0"/>
            </w:tcBorders>
            <w:shd w:val="clear" w:color="auto" w:fill="933634"/>
          </w:tcPr>
          <w:p>
            <w:pPr>
              <w:pStyle w:val="11"/>
              <w:spacing w:line="262" w:lineRule="exact"/>
              <w:ind w:left="818" w:right="818"/>
              <w:rPr>
                <w:b/>
                <w:sz w:val="20"/>
              </w:rPr>
            </w:pPr>
            <w:r>
              <w:rPr>
                <w:b/>
                <w:color w:val="FFFFFF"/>
                <w:sz w:val="20"/>
              </w:rPr>
              <w:t>备注</w:t>
            </w:r>
          </w:p>
        </w:tc>
        <w:tc>
          <w:tcPr>
            <w:tcW w:w="5616" w:type="dxa"/>
            <w:tcBorders>
              <w:bottom w:val="double" w:color="000000" w:sz="2" w:space="0"/>
              <w:right w:val="double" w:color="000000" w:sz="2" w:space="0"/>
            </w:tcBorders>
            <w:shd w:val="clear" w:color="auto" w:fill="FFFFCC"/>
          </w:tcPr>
          <w:p>
            <w:pPr>
              <w:pStyle w:val="11"/>
              <w:spacing w:line="262" w:lineRule="exact"/>
              <w:ind w:left="275" w:right="248"/>
              <w:rPr>
                <w:sz w:val="20"/>
              </w:rPr>
            </w:pPr>
            <w:r>
              <w:rPr>
                <w:sz w:val="20"/>
              </w:rPr>
              <w:t>——</w:t>
            </w:r>
          </w:p>
        </w:tc>
      </w:tr>
    </w:tbl>
    <w:p>
      <w:pPr>
        <w:pStyle w:val="4"/>
        <w:spacing w:before="12"/>
        <w:rPr>
          <w:rFonts w:ascii="黑体"/>
          <w:b/>
          <w:sz w:val="18"/>
        </w:rPr>
      </w:pPr>
    </w:p>
    <w:p>
      <w:pPr>
        <w:pStyle w:val="10"/>
        <w:numPr>
          <w:ilvl w:val="0"/>
          <w:numId w:val="11"/>
        </w:numPr>
        <w:tabs>
          <w:tab w:val="left" w:pos="1685"/>
        </w:tabs>
        <w:spacing w:before="0" w:after="0" w:line="240" w:lineRule="auto"/>
        <w:ind w:left="1684" w:right="0" w:hanging="284"/>
        <w:jc w:val="left"/>
        <w:rPr>
          <w:b/>
          <w:sz w:val="26"/>
        </w:rPr>
      </w:pPr>
      <w:r>
        <w:rPr>
          <w:b/>
          <w:color w:val="0D0D0D"/>
          <w:sz w:val="26"/>
        </w:rPr>
        <w:t>共有情况</w:t>
      </w:r>
    </w:p>
    <w:p>
      <w:pPr>
        <w:pStyle w:val="4"/>
        <w:spacing w:before="158" w:line="338" w:lineRule="auto"/>
        <w:ind w:left="1684" w:right="890"/>
      </w:pPr>
      <w:r>
        <w:t>根据委托方提供的权属证明文件及相关当事人介绍，估价对象为权利人王晓丽杨应新共同共有。</w:t>
      </w:r>
    </w:p>
    <w:p>
      <w:pPr>
        <w:pStyle w:val="10"/>
        <w:numPr>
          <w:ilvl w:val="0"/>
          <w:numId w:val="11"/>
        </w:numPr>
        <w:tabs>
          <w:tab w:val="left" w:pos="1685"/>
        </w:tabs>
        <w:spacing w:before="0" w:after="0" w:line="387" w:lineRule="exact"/>
        <w:ind w:left="1684" w:right="0" w:hanging="284"/>
        <w:jc w:val="left"/>
        <w:rPr>
          <w:b/>
          <w:sz w:val="26"/>
        </w:rPr>
      </w:pPr>
      <w:r>
        <w:rPr>
          <w:b/>
          <w:color w:val="0D0D0D"/>
          <w:sz w:val="26"/>
        </w:rPr>
        <w:t>其他权益状况</w:t>
      </w:r>
    </w:p>
    <w:p>
      <w:pPr>
        <w:pStyle w:val="10"/>
        <w:numPr>
          <w:ilvl w:val="1"/>
          <w:numId w:val="11"/>
        </w:numPr>
        <w:tabs>
          <w:tab w:val="left" w:pos="1952"/>
        </w:tabs>
        <w:spacing w:before="174" w:after="0" w:line="240" w:lineRule="auto"/>
        <w:ind w:left="1951" w:right="0" w:hanging="268"/>
        <w:jc w:val="left"/>
        <w:rPr>
          <w:rFonts w:hint="eastAsia" w:ascii="楷体" w:hAnsi="楷体" w:eastAsia="楷体"/>
          <w:b/>
          <w:sz w:val="26"/>
        </w:rPr>
      </w:pPr>
      <w:r>
        <w:rPr>
          <w:rFonts w:hint="eastAsia" w:ascii="楷体" w:hAnsi="楷体" w:eastAsia="楷体"/>
          <w:b/>
          <w:color w:val="0D0D0D"/>
          <w:sz w:val="26"/>
        </w:rPr>
        <w:t>租赁权</w:t>
      </w:r>
    </w:p>
    <w:p>
      <w:pPr>
        <w:spacing w:after="0" w:line="240" w:lineRule="auto"/>
        <w:jc w:val="left"/>
        <w:rPr>
          <w:rFonts w:hint="eastAsia" w:ascii="楷体" w:hAnsi="楷体" w:eastAsia="楷体"/>
          <w:sz w:val="26"/>
        </w:rPr>
        <w:sectPr>
          <w:pgSz w:w="11910" w:h="16840"/>
          <w:pgMar w:top="1100" w:right="180" w:bottom="1060" w:left="300" w:header="845" w:footer="877" w:gutter="0"/>
        </w:sectPr>
      </w:pPr>
    </w:p>
    <w:p>
      <w:pPr>
        <w:pStyle w:val="4"/>
        <w:rPr>
          <w:rFonts w:ascii="楷体"/>
          <w:b/>
          <w:sz w:val="2"/>
        </w:rPr>
      </w:pPr>
    </w:p>
    <w:p>
      <w:pPr>
        <w:pStyle w:val="4"/>
        <w:spacing w:line="192" w:lineRule="exact"/>
        <w:ind w:left="513"/>
        <w:rPr>
          <w:rFonts w:ascii="楷体"/>
          <w:sz w:val="19"/>
        </w:rPr>
      </w:pPr>
      <w:r>
        <w:rPr>
          <w:rFonts w:ascii="楷体"/>
          <w:position w:val="-3"/>
          <w:sz w:val="19"/>
        </w:rPr>
        <w:pict>
          <v:group id="_x0000_s1127" o:spid="_x0000_s1127" o:spt="203" style="height:9.6pt;width:503.35pt;" coordsize="10067,192">
            <o:lock v:ext="edit"/>
            <v:line id="_x0000_s1128" o:spid="_x0000_s1128" o:spt="20" style="position:absolute;left:0;top:13;height:0;width:1083;" stroked="t" coordsize="21600,21600">
              <v:path arrowok="t"/>
              <v:fill focussize="0,0"/>
              <v:stroke weight="0.96pt" color="#585858"/>
              <v:imagedata o:title=""/>
              <o:lock v:ext="edit"/>
            </v:line>
            <v:line id="_x0000_s1129" o:spid="_x0000_s1129" o:spt="20" style="position:absolute;left:1111;top:177;height:0;width:8955;" stroked="t" coordsize="21600,21600">
              <v:path arrowok="t"/>
              <v:fill focussize="0,0"/>
              <v:stroke weight="1.41433070866142pt" color="#585858"/>
              <v:imagedata o:title=""/>
              <o:lock v:ext="edit"/>
            </v:line>
            <v:line id="_x0000_s1130" o:spid="_x0000_s1130" o:spt="20" style="position:absolute;left:1162;top:79;height:5;width:8797;" stroked="t" coordsize="21600,21600">
              <v:path arrowok="t"/>
              <v:fill focussize="0,0"/>
              <v:stroke weight="7.9pt" color="#585858"/>
              <v:imagedata o:title=""/>
              <o:lock v:ext="edit"/>
            </v:line>
            <w10:wrap type="none"/>
            <w10:anchorlock/>
          </v:group>
        </w:pict>
      </w:r>
    </w:p>
    <w:p>
      <w:pPr>
        <w:pStyle w:val="4"/>
        <w:spacing w:before="64"/>
        <w:ind w:left="1684"/>
      </w:pPr>
      <w:r>
        <w:t>现场勘验时未发现租赁权。</w:t>
      </w:r>
    </w:p>
    <w:p>
      <w:pPr>
        <w:pStyle w:val="10"/>
        <w:numPr>
          <w:ilvl w:val="1"/>
          <w:numId w:val="11"/>
        </w:numPr>
        <w:tabs>
          <w:tab w:val="left" w:pos="1952"/>
        </w:tabs>
        <w:spacing w:before="175" w:after="0" w:line="240" w:lineRule="auto"/>
        <w:ind w:left="1951" w:right="0" w:hanging="268"/>
        <w:jc w:val="left"/>
        <w:rPr>
          <w:rFonts w:hint="eastAsia" w:ascii="楷体" w:hAnsi="楷体" w:eastAsia="楷体"/>
          <w:b/>
          <w:sz w:val="26"/>
        </w:rPr>
      </w:pPr>
      <w:r>
        <w:rPr>
          <w:rFonts w:hint="eastAsia" w:ascii="楷体" w:hAnsi="楷体" w:eastAsia="楷体"/>
          <w:b/>
          <w:color w:val="0D0D0D"/>
          <w:sz w:val="26"/>
        </w:rPr>
        <w:t>抵押权</w:t>
      </w:r>
    </w:p>
    <w:p>
      <w:pPr>
        <w:pStyle w:val="4"/>
        <w:spacing w:before="157" w:line="338" w:lineRule="auto"/>
        <w:ind w:left="1684" w:right="954" w:firstLine="129"/>
      </w:pPr>
      <w:r>
        <w:t>根据《协助查询复函》记载，估价对象均已设定抵押权，抵押权人云南云县农村商业银行股份有限公司新建路支行。</w:t>
      </w:r>
    </w:p>
    <w:p>
      <w:pPr>
        <w:pStyle w:val="10"/>
        <w:numPr>
          <w:ilvl w:val="1"/>
          <w:numId w:val="11"/>
        </w:numPr>
        <w:tabs>
          <w:tab w:val="left" w:pos="1952"/>
        </w:tabs>
        <w:spacing w:before="12" w:after="0" w:line="240" w:lineRule="auto"/>
        <w:ind w:left="1951" w:right="0" w:hanging="268"/>
        <w:jc w:val="left"/>
        <w:rPr>
          <w:rFonts w:hint="eastAsia" w:ascii="楷体" w:hAnsi="楷体" w:eastAsia="楷体"/>
          <w:b/>
          <w:sz w:val="26"/>
        </w:rPr>
      </w:pPr>
      <w:r>
        <w:rPr>
          <w:rFonts w:hint="eastAsia" w:ascii="楷体" w:hAnsi="楷体" w:eastAsia="楷体"/>
          <w:b/>
          <w:color w:val="0D0D0D"/>
          <w:sz w:val="26"/>
        </w:rPr>
        <w:t>查封情况</w:t>
      </w:r>
    </w:p>
    <w:p>
      <w:pPr>
        <w:pStyle w:val="4"/>
        <w:spacing w:before="157"/>
        <w:ind w:left="1684"/>
      </w:pPr>
      <w:r>
        <w:t>根据委托方介绍，估价对象现已被查封，查封单位为云县人民法院。</w:t>
      </w:r>
    </w:p>
    <w:p>
      <w:pPr>
        <w:pStyle w:val="10"/>
        <w:numPr>
          <w:ilvl w:val="1"/>
          <w:numId w:val="11"/>
        </w:numPr>
        <w:tabs>
          <w:tab w:val="left" w:pos="1952"/>
        </w:tabs>
        <w:spacing w:before="175" w:after="0" w:line="240" w:lineRule="auto"/>
        <w:ind w:left="1951" w:right="0" w:hanging="268"/>
        <w:jc w:val="left"/>
        <w:rPr>
          <w:rFonts w:hint="eastAsia" w:ascii="楷体" w:hAnsi="楷体" w:eastAsia="楷体"/>
          <w:b/>
          <w:sz w:val="26"/>
        </w:rPr>
      </w:pPr>
      <w:r>
        <w:rPr>
          <w:rFonts w:hint="eastAsia" w:ascii="楷体" w:hAnsi="楷体" w:eastAsia="楷体"/>
          <w:b/>
          <w:color w:val="0D0D0D"/>
          <w:sz w:val="26"/>
        </w:rPr>
        <w:t>费用拖欠情况</w:t>
      </w:r>
    </w:p>
    <w:p>
      <w:pPr>
        <w:pStyle w:val="4"/>
        <w:spacing w:before="157" w:line="338" w:lineRule="auto"/>
        <w:ind w:left="1684" w:right="890"/>
      </w:pPr>
      <w:r>
        <w:t>估价专业人员尽职调查，估价对象并未有水、电、物业等相关管理费用拖欠情况，该情况仅作为参考，不做他用，请报告使用人以实际调查为准。</w:t>
      </w:r>
    </w:p>
    <w:p>
      <w:pPr>
        <w:pStyle w:val="10"/>
        <w:numPr>
          <w:ilvl w:val="1"/>
          <w:numId w:val="11"/>
        </w:numPr>
        <w:tabs>
          <w:tab w:val="left" w:pos="1952"/>
        </w:tabs>
        <w:spacing w:before="14" w:after="0" w:line="240" w:lineRule="auto"/>
        <w:ind w:left="1951" w:right="0" w:hanging="268"/>
        <w:jc w:val="left"/>
        <w:rPr>
          <w:rFonts w:hint="eastAsia" w:ascii="楷体" w:hAnsi="楷体" w:eastAsia="楷体"/>
          <w:b/>
          <w:sz w:val="26"/>
        </w:rPr>
      </w:pPr>
      <w:r>
        <w:rPr>
          <w:rFonts w:hint="eastAsia" w:ascii="楷体" w:hAnsi="楷体" w:eastAsia="楷体"/>
          <w:b/>
          <w:color w:val="0D0D0D"/>
          <w:sz w:val="26"/>
        </w:rPr>
        <w:t>其他权益状况</w:t>
      </w:r>
    </w:p>
    <w:p>
      <w:pPr>
        <w:pStyle w:val="4"/>
        <w:spacing w:before="158" w:line="338" w:lineRule="auto"/>
        <w:ind w:left="1684" w:right="890"/>
      </w:pPr>
      <w:r>
        <w:t>除上述权益状况外，估价人员未了解到估价对象设置如地役权、典权等其他他项权利。</w:t>
      </w:r>
    </w:p>
    <w:p>
      <w:pPr>
        <w:pStyle w:val="10"/>
        <w:numPr>
          <w:ilvl w:val="0"/>
          <w:numId w:val="10"/>
        </w:numPr>
        <w:tabs>
          <w:tab w:val="left" w:pos="1685"/>
        </w:tabs>
        <w:spacing w:before="0" w:after="0" w:line="387" w:lineRule="exact"/>
        <w:ind w:left="1684" w:right="0" w:hanging="284"/>
        <w:jc w:val="left"/>
        <w:rPr>
          <w:b/>
          <w:sz w:val="26"/>
        </w:rPr>
      </w:pPr>
      <w:bookmarkStart w:id="19" w:name="3. 估价对象实物状况"/>
      <w:bookmarkEnd w:id="19"/>
      <w:r>
        <w:rPr>
          <w:b/>
          <w:color w:val="0D0D0D"/>
          <w:sz w:val="26"/>
        </w:rPr>
        <w:t>估价对象实物状况</w:t>
      </w:r>
    </w:p>
    <w:p>
      <w:pPr>
        <w:pStyle w:val="10"/>
        <w:numPr>
          <w:ilvl w:val="0"/>
          <w:numId w:val="12"/>
        </w:numPr>
        <w:tabs>
          <w:tab w:val="left" w:pos="1685"/>
        </w:tabs>
        <w:spacing w:before="158" w:after="0" w:line="240" w:lineRule="auto"/>
        <w:ind w:left="1684" w:right="0" w:hanging="284"/>
        <w:jc w:val="left"/>
        <w:rPr>
          <w:b/>
          <w:sz w:val="26"/>
        </w:rPr>
      </w:pPr>
      <w:r>
        <w:rPr>
          <w:b/>
          <w:sz w:val="26"/>
        </w:rPr>
        <w:t>土地实物状况</w:t>
      </w:r>
    </w:p>
    <w:p>
      <w:pPr>
        <w:pStyle w:val="4"/>
        <w:spacing w:before="159" w:line="338" w:lineRule="auto"/>
        <w:ind w:left="1684" w:right="905"/>
        <w:jc w:val="both"/>
      </w:pPr>
      <w:r>
        <w:rPr>
          <w:spacing w:val="-3"/>
        </w:rPr>
        <w:t>估价对象土地权属性质为国有建设用地使用权，土地使用权性质为出让，位于</w:t>
      </w:r>
      <w:r>
        <w:rPr>
          <w:spacing w:val="-5"/>
        </w:rPr>
        <w:t>云县爱华镇三江半岛</w:t>
      </w:r>
      <w:r>
        <w:t>（三期</w:t>
      </w:r>
      <w:r>
        <w:rPr>
          <w:spacing w:val="-20"/>
        </w:rPr>
        <w:t>）</w:t>
      </w:r>
      <w:r>
        <w:rPr>
          <w:spacing w:val="-1"/>
        </w:rPr>
        <w:t xml:space="preserve">时代广场半岛 </w:t>
      </w:r>
      <w:r>
        <w:t>4</w:t>
      </w:r>
      <w:r>
        <w:rPr>
          <w:spacing w:val="-3"/>
        </w:rPr>
        <w:t xml:space="preserve"> 幢 </w:t>
      </w:r>
      <w:r>
        <w:t>1-404</w:t>
      </w:r>
      <w:r>
        <w:rPr>
          <w:spacing w:val="-7"/>
        </w:rPr>
        <w:t xml:space="preserve"> 室，土地四至为：东面</w:t>
      </w:r>
      <w:r>
        <w:rPr>
          <w:spacing w:val="-10"/>
        </w:rPr>
        <w:t>临三江大道，西面接云州路，南面为星云大道，北面邻滨河东路。估价对象分</w:t>
      </w:r>
      <w:r>
        <w:rPr>
          <w:spacing w:val="-7"/>
        </w:rPr>
        <w:t xml:space="preserve">摊的土地使用权面积共计 </w:t>
      </w:r>
      <w:r>
        <w:t>12.53 平方米；土地的使用权终止日期为 截止价值</w:t>
      </w:r>
      <w:r>
        <w:rPr>
          <w:spacing w:val="-1"/>
        </w:rPr>
        <w:t xml:space="preserve">时点，剩余土地使用权使用期限为 </w:t>
      </w:r>
      <w:r>
        <w:t>57.56</w:t>
      </w:r>
      <w:r>
        <w:rPr>
          <w:spacing w:val="-3"/>
        </w:rPr>
        <w:t xml:space="preserve"> 年。土地开发程度为宗地外“五通”</w:t>
      </w:r>
    </w:p>
    <w:p>
      <w:pPr>
        <w:pStyle w:val="4"/>
        <w:spacing w:line="338" w:lineRule="auto"/>
        <w:ind w:left="1685" w:right="825"/>
      </w:pPr>
      <w:r>
        <w:t>（</w:t>
      </w:r>
      <w:r>
        <w:rPr>
          <w:spacing w:val="-4"/>
        </w:rPr>
        <w:t>通上水、通下水、通电、通讯、通路），宗地内“五通一平”</w:t>
      </w:r>
      <w:r>
        <w:rPr>
          <w:spacing w:val="-5"/>
        </w:rPr>
        <w:t>（</w:t>
      </w:r>
      <w:r>
        <w:rPr>
          <w:spacing w:val="-1"/>
        </w:rPr>
        <w:t>通上水、通</w:t>
      </w:r>
      <w:r>
        <w:rPr>
          <w:spacing w:val="-11"/>
        </w:rPr>
        <w:t>下水、通电、通讯、通路、场地平整</w:t>
      </w:r>
      <w:r>
        <w:rPr>
          <w:spacing w:val="-27"/>
        </w:rPr>
        <w:t>）</w:t>
      </w:r>
      <w:r>
        <w:rPr>
          <w:spacing w:val="-8"/>
        </w:rPr>
        <w:t xml:space="preserve">及绿化配套、道路硬化。宗地形状规则， </w:t>
      </w:r>
      <w:r>
        <w:rPr>
          <w:spacing w:val="-6"/>
        </w:rPr>
        <w:t>地势平坦，查勘日未见不良地质构造及地质灾害，宗地内已建有建筑物并投入使用，使用状况良好。</w:t>
      </w:r>
    </w:p>
    <w:p>
      <w:pPr>
        <w:pStyle w:val="10"/>
        <w:numPr>
          <w:ilvl w:val="0"/>
          <w:numId w:val="12"/>
        </w:numPr>
        <w:tabs>
          <w:tab w:val="left" w:pos="1685"/>
        </w:tabs>
        <w:spacing w:before="0" w:after="0" w:line="385" w:lineRule="exact"/>
        <w:ind w:left="1684" w:right="0" w:hanging="284"/>
        <w:jc w:val="left"/>
        <w:rPr>
          <w:b/>
          <w:sz w:val="26"/>
        </w:rPr>
      </w:pPr>
      <w:r>
        <w:rPr>
          <w:b/>
          <w:sz w:val="26"/>
        </w:rPr>
        <w:t>建筑物实物状况</w:t>
      </w:r>
    </w:p>
    <w:p>
      <w:pPr>
        <w:pStyle w:val="10"/>
        <w:numPr>
          <w:ilvl w:val="1"/>
          <w:numId w:val="12"/>
        </w:numPr>
        <w:tabs>
          <w:tab w:val="left" w:pos="1952"/>
        </w:tabs>
        <w:spacing w:before="169" w:after="0" w:line="240" w:lineRule="auto"/>
        <w:ind w:left="1951" w:right="0" w:hanging="268"/>
        <w:jc w:val="left"/>
        <w:rPr>
          <w:rFonts w:hint="eastAsia" w:ascii="楷体" w:hAnsi="楷体" w:eastAsia="楷体"/>
          <w:b/>
          <w:sz w:val="26"/>
        </w:rPr>
      </w:pPr>
      <w:r>
        <w:rPr>
          <w:rFonts w:hint="eastAsia" w:ascii="楷体" w:hAnsi="楷体" w:eastAsia="楷体"/>
          <w:b/>
          <w:color w:val="0D0D0D"/>
          <w:sz w:val="26"/>
        </w:rPr>
        <w:t>基本状况</w:t>
      </w:r>
    </w:p>
    <w:p>
      <w:pPr>
        <w:pStyle w:val="4"/>
        <w:spacing w:before="155"/>
        <w:ind w:left="1684"/>
      </w:pPr>
      <w:r>
        <w:t>估价对象位于云县爱华镇三江半岛（三期）时代广场半岛 4 幢 1-404 室，该小</w:t>
      </w:r>
    </w:p>
    <w:p>
      <w:pPr>
        <w:spacing w:after="0"/>
        <w:sectPr>
          <w:pgSz w:w="11910" w:h="16840"/>
          <w:pgMar w:top="1100" w:right="180" w:bottom="1060" w:left="300" w:header="845" w:footer="877" w:gutter="0"/>
        </w:sectPr>
      </w:pPr>
    </w:p>
    <w:p>
      <w:pPr>
        <w:pStyle w:val="4"/>
        <w:rPr>
          <w:sz w:val="2"/>
        </w:rPr>
      </w:pPr>
    </w:p>
    <w:p>
      <w:pPr>
        <w:pStyle w:val="4"/>
        <w:spacing w:line="192" w:lineRule="exact"/>
        <w:ind w:left="513"/>
        <w:rPr>
          <w:sz w:val="19"/>
        </w:rPr>
      </w:pPr>
      <w:r>
        <w:rPr>
          <w:position w:val="-3"/>
          <w:sz w:val="19"/>
        </w:rPr>
        <w:pict>
          <v:group id="_x0000_s1131" o:spid="_x0000_s1131" o:spt="203" style="height:9.6pt;width:503.35pt;" coordsize="10067,192">
            <o:lock v:ext="edit"/>
            <v:line id="_x0000_s1132" o:spid="_x0000_s1132" o:spt="20" style="position:absolute;left:0;top:13;height:0;width:1083;" stroked="t" coordsize="21600,21600">
              <v:path arrowok="t"/>
              <v:fill focussize="0,0"/>
              <v:stroke weight="0.96pt" color="#585858"/>
              <v:imagedata o:title=""/>
              <o:lock v:ext="edit"/>
            </v:line>
            <v:line id="_x0000_s1133" o:spid="_x0000_s1133" o:spt="20" style="position:absolute;left:1111;top:177;height:0;width:8955;" stroked="t" coordsize="21600,21600">
              <v:path arrowok="t"/>
              <v:fill focussize="0,0"/>
              <v:stroke weight="1.41433070866142pt" color="#585858"/>
              <v:imagedata o:title=""/>
              <o:lock v:ext="edit"/>
            </v:line>
            <v:line id="_x0000_s1134" o:spid="_x0000_s1134" o:spt="20" style="position:absolute;left:1162;top:79;height:5;width:8797;" stroked="t" coordsize="21600,21600">
              <v:path arrowok="t"/>
              <v:fill focussize="0,0"/>
              <v:stroke weight="7.9pt" color="#585858"/>
              <v:imagedata o:title=""/>
              <o:lock v:ext="edit"/>
            </v:line>
            <w10:wrap type="none"/>
            <w10:anchorlock/>
          </v:group>
        </w:pict>
      </w:r>
    </w:p>
    <w:p>
      <w:pPr>
        <w:pStyle w:val="4"/>
        <w:spacing w:before="60" w:line="338" w:lineRule="auto"/>
        <w:ind w:left="1684" w:right="955"/>
      </w:pPr>
      <w:r>
        <w:rPr>
          <w:spacing w:val="-5"/>
        </w:rPr>
        <w:t>区由多栋多层住宅组成，小区内车位配比适中，停车较方便。估价对象所在楼</w:t>
      </w:r>
      <w:r>
        <w:t>幢位于小区内部，建成于 2012</w:t>
      </w:r>
      <w:r>
        <w:rPr>
          <w:spacing w:val="-1"/>
        </w:rPr>
        <w:t xml:space="preserve"> 年，建筑物维护保养良好，综合成新率约为九</w:t>
      </w:r>
    </w:p>
    <w:p>
      <w:pPr>
        <w:pStyle w:val="4"/>
        <w:spacing w:line="387" w:lineRule="exact"/>
        <w:ind w:left="1685"/>
      </w:pPr>
      <w:r>
        <w:rPr>
          <w:spacing w:val="2"/>
        </w:rPr>
        <w:t xml:space="preserve">成新；是一幢总楼层为 </w:t>
      </w:r>
      <w:r>
        <w:t>17</w:t>
      </w:r>
      <w:r>
        <w:rPr>
          <w:spacing w:val="1"/>
        </w:rPr>
        <w:t xml:space="preserve"> 层的钢混结构建筑，估价对象位于楼幢的地上第 </w:t>
      </w:r>
      <w:r>
        <w:t>4</w:t>
      </w:r>
    </w:p>
    <w:p>
      <w:pPr>
        <w:pStyle w:val="4"/>
        <w:spacing w:before="159"/>
        <w:ind w:left="1685"/>
      </w:pPr>
      <w:r>
        <w:rPr>
          <w:spacing w:val="7"/>
          <w:w w:val="95"/>
        </w:rPr>
        <w:t>层，与证载楼层一致；该楼幢为底商住宅楼。估价对象朝北向，室内层高约</w:t>
      </w:r>
    </w:p>
    <w:p>
      <w:pPr>
        <w:pStyle w:val="4"/>
        <w:spacing w:before="158" w:line="338" w:lineRule="auto"/>
        <w:ind w:left="1685" w:right="955"/>
      </w:pPr>
      <w:r>
        <w:t>2.5 米，为三室两厅一厨一卫两阳台，室内使用维护状况良好，目前由被执行人使用。</w:t>
      </w:r>
    </w:p>
    <w:p>
      <w:pPr>
        <w:pStyle w:val="10"/>
        <w:numPr>
          <w:ilvl w:val="1"/>
          <w:numId w:val="12"/>
        </w:numPr>
        <w:tabs>
          <w:tab w:val="left" w:pos="1952"/>
        </w:tabs>
        <w:spacing w:before="14" w:after="0" w:line="240" w:lineRule="auto"/>
        <w:ind w:left="1951" w:right="0" w:hanging="267"/>
        <w:jc w:val="left"/>
        <w:rPr>
          <w:rFonts w:hint="eastAsia" w:ascii="楷体" w:hAnsi="楷体" w:eastAsia="楷体"/>
          <w:b/>
          <w:sz w:val="26"/>
        </w:rPr>
      </w:pPr>
      <w:r>
        <w:rPr>
          <w:rFonts w:hint="eastAsia" w:ascii="楷体" w:hAnsi="楷体" w:eastAsia="楷体"/>
          <w:b/>
          <w:color w:val="0D0D0D"/>
          <w:sz w:val="26"/>
        </w:rPr>
        <w:t>设施设备状况</w:t>
      </w:r>
    </w:p>
    <w:p>
      <w:pPr>
        <w:pStyle w:val="4"/>
        <w:spacing w:before="155" w:line="338" w:lineRule="auto"/>
        <w:ind w:left="1684" w:right="898"/>
      </w:pPr>
      <w:r>
        <w:t>具备供水、排水、供电、通讯、宽带接口、消防设施等相关配套，能满足生活的需要。</w:t>
      </w:r>
    </w:p>
    <w:p>
      <w:pPr>
        <w:pStyle w:val="10"/>
        <w:numPr>
          <w:ilvl w:val="1"/>
          <w:numId w:val="12"/>
        </w:numPr>
        <w:tabs>
          <w:tab w:val="left" w:pos="1952"/>
        </w:tabs>
        <w:spacing w:before="14" w:after="0" w:line="240" w:lineRule="auto"/>
        <w:ind w:left="1951" w:right="0" w:hanging="268"/>
        <w:jc w:val="left"/>
        <w:rPr>
          <w:rFonts w:hint="eastAsia" w:ascii="楷体" w:hAnsi="楷体" w:eastAsia="楷体"/>
          <w:b/>
          <w:sz w:val="26"/>
        </w:rPr>
      </w:pPr>
      <w:r>
        <w:rPr>
          <w:rFonts w:hint="eastAsia" w:ascii="楷体" w:hAnsi="楷体" w:eastAsia="楷体"/>
          <w:b/>
          <w:color w:val="0D0D0D"/>
          <w:sz w:val="26"/>
        </w:rPr>
        <w:t>装修状况</w:t>
      </w:r>
    </w:p>
    <w:p>
      <w:pPr>
        <w:pStyle w:val="4"/>
        <w:spacing w:before="158" w:line="338" w:lineRule="auto"/>
        <w:ind w:left="1684" w:right="823"/>
      </w:pPr>
      <w:r>
        <w:rPr>
          <w:spacing w:val="-12"/>
        </w:rPr>
        <w:t xml:space="preserve">估价对象住宅所在建筑外墙刷漆，安装可视对讲系统防盗门；入户安装防盗门， </w:t>
      </w:r>
      <w:r>
        <w:rPr>
          <w:spacing w:val="-4"/>
        </w:rPr>
        <w:t>客厅室地面铺地砖，墙面为电视背景墙及贴墙纸，顶面为石膏顶；餐厅室地面</w:t>
      </w:r>
      <w:r>
        <w:rPr>
          <w:spacing w:val="-8"/>
        </w:rPr>
        <w:t>铺地砖，墙面贴墙纸，顶面为石膏顶；卧室地面铺木地板，墙面贴墙纸，顶面</w:t>
      </w:r>
      <w:r>
        <w:rPr>
          <w:spacing w:val="-12"/>
        </w:rPr>
        <w:t>为石膏线条乳胶漆顶；卫生间地面铺地砖，墙面墙砖满贴，顶面为扣板顶；厨</w:t>
      </w:r>
      <w:r>
        <w:rPr>
          <w:spacing w:val="-13"/>
        </w:rPr>
        <w:t>房地面铺地砖，墙面墙砖满贴，顶面为扣板顶；生活阳台地面铺地砖，墙面墙</w:t>
      </w:r>
      <w:r>
        <w:rPr>
          <w:spacing w:val="-10"/>
        </w:rPr>
        <w:t>砖满贴，顶面刷乳胶漆，已封闭；客厅阳台地面铺地砖，墙面墙砖满贴，顶为石膏顶，已封闭。</w:t>
      </w:r>
    </w:p>
    <w:p>
      <w:pPr>
        <w:pStyle w:val="10"/>
        <w:numPr>
          <w:ilvl w:val="0"/>
          <w:numId w:val="10"/>
        </w:numPr>
        <w:tabs>
          <w:tab w:val="left" w:pos="1685"/>
        </w:tabs>
        <w:spacing w:before="0" w:after="0" w:line="383" w:lineRule="exact"/>
        <w:ind w:left="1684" w:right="0" w:hanging="284"/>
        <w:jc w:val="left"/>
        <w:rPr>
          <w:b/>
          <w:sz w:val="26"/>
        </w:rPr>
      </w:pPr>
      <w:bookmarkStart w:id="20" w:name="4. 估价对象区位状况"/>
      <w:bookmarkEnd w:id="20"/>
      <w:r>
        <w:rPr>
          <w:b/>
          <w:color w:val="0D0D0D"/>
          <w:sz w:val="26"/>
        </w:rPr>
        <w:t>估价对象区位状况</w:t>
      </w:r>
    </w:p>
    <w:p>
      <w:pPr>
        <w:pStyle w:val="10"/>
        <w:numPr>
          <w:ilvl w:val="0"/>
          <w:numId w:val="13"/>
        </w:numPr>
        <w:tabs>
          <w:tab w:val="left" w:pos="1685"/>
        </w:tabs>
        <w:spacing w:before="158" w:after="0" w:line="240" w:lineRule="auto"/>
        <w:ind w:left="1684" w:right="0" w:hanging="284"/>
        <w:jc w:val="left"/>
        <w:rPr>
          <w:b/>
          <w:sz w:val="26"/>
        </w:rPr>
      </w:pPr>
      <w:r>
        <w:rPr>
          <w:b/>
          <w:color w:val="0D0D0D"/>
          <w:sz w:val="26"/>
        </w:rPr>
        <w:t>区域位置状况</w:t>
      </w:r>
    </w:p>
    <w:p>
      <w:pPr>
        <w:pStyle w:val="4"/>
        <w:spacing w:before="159" w:line="338" w:lineRule="auto"/>
        <w:ind w:left="1684" w:right="823"/>
      </w:pPr>
      <w:r>
        <w:rPr>
          <w:spacing w:val="-8"/>
        </w:rPr>
        <w:t xml:space="preserve">云县，云南省临沧市辖县，位于云南省的西南地区及大理、普洱、临沧 </w:t>
      </w:r>
      <w:r>
        <w:t>3</w:t>
      </w:r>
      <w:r>
        <w:rPr>
          <w:spacing w:val="-1"/>
        </w:rPr>
        <w:t xml:space="preserve"> 个州</w:t>
      </w:r>
      <w:r>
        <w:rPr>
          <w:spacing w:val="-15"/>
        </w:rPr>
        <w:t xml:space="preserve">市的交界处；属山区半山区县，属低纬高原亚热带季风气候和暖温带季风气候； </w:t>
      </w:r>
      <w:r>
        <w:rPr>
          <w:spacing w:val="-1"/>
        </w:rPr>
        <w:t xml:space="preserve">总面积 </w:t>
      </w:r>
      <w:r>
        <w:t>3760</w:t>
      </w:r>
      <w:r>
        <w:rPr>
          <w:spacing w:val="-1"/>
        </w:rPr>
        <w:t xml:space="preserve"> 平方千米，辖 </w:t>
      </w:r>
      <w:r>
        <w:t>7 个镇、5 个乡；2018</w:t>
      </w:r>
      <w:r>
        <w:rPr>
          <w:spacing w:val="-2"/>
        </w:rPr>
        <w:t xml:space="preserve"> 年常住人口 </w:t>
      </w:r>
      <w:r>
        <w:t>466700</w:t>
      </w:r>
      <w:r>
        <w:rPr>
          <w:spacing w:val="-1"/>
        </w:rPr>
        <w:t xml:space="preserve"> 人。</w:t>
      </w:r>
    </w:p>
    <w:p>
      <w:pPr>
        <w:pStyle w:val="4"/>
        <w:spacing w:line="338" w:lineRule="auto"/>
        <w:ind w:left="1684" w:right="823"/>
        <w:jc w:val="both"/>
      </w:pPr>
      <w:r>
        <w:t>云县是临沧地区的交通要道和云南省广大腹地交往的北大门，澜沧江、高山、</w:t>
      </w:r>
      <w:r>
        <w:rPr>
          <w:spacing w:val="-6"/>
        </w:rPr>
        <w:t>河谷、热坝形成了特别的立体气候和自然风光，境内有大雪山、大丙山原始森</w:t>
      </w:r>
      <w:r>
        <w:rPr>
          <w:spacing w:val="-15"/>
        </w:rPr>
        <w:t>林、拿戈河、温竹河、拿鱼河、河谷温泉等；还有西汉铜鼓、铜矛、元明陶器、</w:t>
      </w:r>
      <w:r>
        <w:rPr>
          <w:spacing w:val="-18"/>
        </w:rPr>
        <w:t>茂兰长安桥、县城文笔塔、古老清真寺、雄伟的大武庙等文物古迹和人文景观。</w:t>
      </w:r>
    </w:p>
    <w:p>
      <w:pPr>
        <w:spacing w:after="0" w:line="338" w:lineRule="auto"/>
        <w:jc w:val="both"/>
        <w:sectPr>
          <w:pgSz w:w="11910" w:h="16840"/>
          <w:pgMar w:top="1100" w:right="180" w:bottom="1060" w:left="300" w:header="845" w:footer="877" w:gutter="0"/>
        </w:sectPr>
      </w:pPr>
    </w:p>
    <w:p>
      <w:pPr>
        <w:pStyle w:val="4"/>
        <w:rPr>
          <w:sz w:val="2"/>
        </w:rPr>
      </w:pPr>
    </w:p>
    <w:p>
      <w:pPr>
        <w:pStyle w:val="4"/>
        <w:spacing w:line="192" w:lineRule="exact"/>
        <w:ind w:left="513"/>
        <w:rPr>
          <w:sz w:val="19"/>
        </w:rPr>
      </w:pPr>
      <w:r>
        <w:rPr>
          <w:position w:val="-3"/>
          <w:sz w:val="19"/>
        </w:rPr>
        <w:pict>
          <v:group id="_x0000_s1135" o:spid="_x0000_s1135" o:spt="203" style="height:9.6pt;width:503.35pt;" coordsize="10067,192">
            <o:lock v:ext="edit"/>
            <v:line id="_x0000_s1136" o:spid="_x0000_s1136" o:spt="20" style="position:absolute;left:0;top:13;height:0;width:1083;" stroked="t" coordsize="21600,21600">
              <v:path arrowok="t"/>
              <v:fill focussize="0,0"/>
              <v:stroke weight="0.96pt" color="#585858"/>
              <v:imagedata o:title=""/>
              <o:lock v:ext="edit"/>
            </v:line>
            <v:line id="_x0000_s1137" o:spid="_x0000_s1137" o:spt="20" style="position:absolute;left:1111;top:177;height:0;width:8955;" stroked="t" coordsize="21600,21600">
              <v:path arrowok="t"/>
              <v:fill focussize="0,0"/>
              <v:stroke weight="1.41433070866142pt" color="#585858"/>
              <v:imagedata o:title=""/>
              <o:lock v:ext="edit"/>
            </v:line>
            <v:line id="_x0000_s1138" o:spid="_x0000_s1138" o:spt="20" style="position:absolute;left:1162;top:79;height:5;width:8797;" stroked="t" coordsize="21600,21600">
              <v:path arrowok="t"/>
              <v:fill focussize="0,0"/>
              <v:stroke weight="7.9pt" color="#585858"/>
              <v:imagedata o:title=""/>
              <o:lock v:ext="edit"/>
            </v:line>
            <w10:wrap type="none"/>
            <w10:anchorlock/>
          </v:group>
        </w:pict>
      </w:r>
    </w:p>
    <w:p>
      <w:pPr>
        <w:pStyle w:val="4"/>
        <w:spacing w:before="60" w:line="338" w:lineRule="auto"/>
        <w:ind w:left="1684" w:right="955"/>
        <w:jc w:val="both"/>
      </w:pPr>
      <w:r>
        <w:t>2018</w:t>
      </w:r>
      <w:r>
        <w:rPr>
          <w:spacing w:val="-3"/>
        </w:rPr>
        <w:t xml:space="preserve"> 年 </w:t>
      </w:r>
      <w:r>
        <w:t>9</w:t>
      </w:r>
      <w:r>
        <w:rPr>
          <w:spacing w:val="-2"/>
        </w:rPr>
        <w:t xml:space="preserve"> 月 </w:t>
      </w:r>
      <w:r>
        <w:t>29</w:t>
      </w:r>
      <w:r>
        <w:rPr>
          <w:spacing w:val="-10"/>
        </w:rPr>
        <w:t xml:space="preserve"> 日，经云南省委、省政府研究，云县已达到贫困县退出有关指标，符合贫困县退出条件，批准退出贫困县。</w:t>
      </w:r>
    </w:p>
    <w:p>
      <w:pPr>
        <w:pStyle w:val="4"/>
        <w:spacing w:line="338" w:lineRule="auto"/>
        <w:ind w:left="1684" w:right="953"/>
        <w:jc w:val="both"/>
      </w:pPr>
      <w:r>
        <w:t>2018</w:t>
      </w:r>
      <w:r>
        <w:rPr>
          <w:spacing w:val="-6"/>
        </w:rPr>
        <w:t xml:space="preserve"> 年，云县实现地区生产总值</w:t>
      </w:r>
      <w:r>
        <w:t>（GDP）105.21</w:t>
      </w:r>
      <w:r>
        <w:rPr>
          <w:spacing w:val="-5"/>
        </w:rPr>
        <w:t xml:space="preserve"> 亿元，按可比价计算，同比增长 </w:t>
      </w:r>
      <w:r>
        <w:t>9.6</w:t>
      </w:r>
      <w:r>
        <w:rPr>
          <w:spacing w:val="-1"/>
        </w:rPr>
        <w:t xml:space="preserve">%；第一产业实现增加值 </w:t>
      </w:r>
      <w:r>
        <w:t>32.19</w:t>
      </w:r>
      <w:r>
        <w:rPr>
          <w:spacing w:val="-4"/>
        </w:rPr>
        <w:t xml:space="preserve"> 亿元，同比增长 </w:t>
      </w:r>
      <w:r>
        <w:t>6.1%；第二产业实现</w:t>
      </w:r>
      <w:r>
        <w:rPr>
          <w:spacing w:val="-2"/>
        </w:rPr>
        <w:t xml:space="preserve">增加值 </w:t>
      </w:r>
      <w:r>
        <w:t>36.67</w:t>
      </w:r>
      <w:r>
        <w:rPr>
          <w:spacing w:val="-5"/>
        </w:rPr>
        <w:t xml:space="preserve"> 亿元，同比增长 </w:t>
      </w:r>
      <w:r>
        <w:t>10.9%</w:t>
      </w:r>
      <w:r>
        <w:rPr>
          <w:spacing w:val="-1"/>
        </w:rPr>
        <w:t xml:space="preserve">；第三产业实现增加值 </w:t>
      </w:r>
      <w:r>
        <w:t>36.37</w:t>
      </w:r>
      <w:r>
        <w:rPr>
          <w:spacing w:val="-5"/>
        </w:rPr>
        <w:t xml:space="preserve"> 亿元，同比</w:t>
      </w:r>
      <w:r>
        <w:rPr>
          <w:spacing w:val="-4"/>
        </w:rPr>
        <w:t xml:space="preserve">增长 </w:t>
      </w:r>
      <w:r>
        <w:t>11.2%。</w:t>
      </w:r>
    </w:p>
    <w:p>
      <w:pPr>
        <w:pStyle w:val="10"/>
        <w:numPr>
          <w:ilvl w:val="0"/>
          <w:numId w:val="13"/>
        </w:numPr>
        <w:tabs>
          <w:tab w:val="left" w:pos="1685"/>
        </w:tabs>
        <w:spacing w:before="0" w:after="0" w:line="385" w:lineRule="exact"/>
        <w:ind w:left="1684" w:right="0" w:hanging="284"/>
        <w:jc w:val="both"/>
        <w:rPr>
          <w:b/>
          <w:sz w:val="26"/>
        </w:rPr>
      </w:pPr>
      <w:r>
        <w:rPr>
          <w:b/>
          <w:color w:val="0D0D0D"/>
          <w:sz w:val="26"/>
        </w:rPr>
        <w:t>交通状况</w:t>
      </w:r>
    </w:p>
    <w:p>
      <w:pPr>
        <w:pStyle w:val="4"/>
        <w:spacing w:before="157" w:line="338" w:lineRule="auto"/>
        <w:ind w:left="1684" w:right="953"/>
        <w:jc w:val="both"/>
      </w:pPr>
      <w:r>
        <w:t>祥临高等级公路、214 国道和省道羊耿线、云保线贯穿县境。2014</w:t>
      </w:r>
      <w:r>
        <w:rPr>
          <w:spacing w:val="9"/>
        </w:rPr>
        <w:t xml:space="preserve"> 年，云凤</w:t>
      </w:r>
      <w:r>
        <w:rPr>
          <w:spacing w:val="2"/>
        </w:rPr>
        <w:t>一级公路</w:t>
      </w:r>
      <w:r>
        <w:t>（云县至凤庆</w:t>
      </w:r>
      <w:r>
        <w:rPr>
          <w:spacing w:val="-17"/>
        </w:rPr>
        <w:t>）</w:t>
      </w:r>
      <w:r>
        <w:rPr>
          <w:spacing w:val="-4"/>
        </w:rPr>
        <w:t>部分路段已完成；在建设规划中的有云县至临沧的高</w:t>
      </w:r>
      <w:r>
        <w:t>速公路（云县至临沧）、祥临铁路（祥云至临沧）。</w:t>
      </w:r>
    </w:p>
    <w:p>
      <w:pPr>
        <w:pStyle w:val="10"/>
        <w:numPr>
          <w:ilvl w:val="0"/>
          <w:numId w:val="13"/>
        </w:numPr>
        <w:tabs>
          <w:tab w:val="left" w:pos="1685"/>
        </w:tabs>
        <w:spacing w:before="0" w:after="0" w:line="386" w:lineRule="exact"/>
        <w:ind w:left="1684" w:right="0" w:hanging="284"/>
        <w:jc w:val="both"/>
        <w:rPr>
          <w:b/>
          <w:sz w:val="26"/>
        </w:rPr>
      </w:pPr>
      <w:r>
        <w:rPr>
          <w:b/>
          <w:color w:val="0D0D0D"/>
          <w:sz w:val="26"/>
        </w:rPr>
        <w:t>环境状况</w:t>
      </w:r>
    </w:p>
    <w:p>
      <w:pPr>
        <w:pStyle w:val="4"/>
        <w:spacing w:before="158" w:line="338" w:lineRule="auto"/>
        <w:ind w:left="1684" w:right="889"/>
      </w:pPr>
      <w:r>
        <w:t>评估对象区域地理位置良好、公共交通便捷、生活服务及教育设施完善、环境良好，适宜居住。</w:t>
      </w:r>
    </w:p>
    <w:p>
      <w:pPr>
        <w:pStyle w:val="10"/>
        <w:numPr>
          <w:ilvl w:val="0"/>
          <w:numId w:val="13"/>
        </w:numPr>
        <w:tabs>
          <w:tab w:val="left" w:pos="1685"/>
        </w:tabs>
        <w:spacing w:before="0" w:after="0" w:line="387" w:lineRule="exact"/>
        <w:ind w:left="1684" w:right="0" w:hanging="284"/>
        <w:jc w:val="left"/>
        <w:rPr>
          <w:b/>
          <w:sz w:val="26"/>
        </w:rPr>
      </w:pPr>
      <w:r>
        <w:rPr>
          <w:b/>
          <w:color w:val="0D0D0D"/>
          <w:sz w:val="26"/>
        </w:rPr>
        <w:t>外部配套设施</w:t>
      </w:r>
    </w:p>
    <w:p>
      <w:pPr>
        <w:pStyle w:val="4"/>
        <w:spacing w:before="159"/>
        <w:ind w:left="1684"/>
      </w:pPr>
      <w:r>
        <w:t>估价对象区域内公共配套设施较齐全，内有：</w:t>
      </w:r>
    </w:p>
    <w:p>
      <w:pPr>
        <w:pStyle w:val="4"/>
        <w:spacing w:before="158"/>
        <w:ind w:left="1684"/>
      </w:pPr>
      <w:r>
        <w:t>银行网点：中国农业银行、中国邮政储蓄银行等；</w:t>
      </w:r>
    </w:p>
    <w:p>
      <w:pPr>
        <w:pStyle w:val="4"/>
        <w:spacing w:before="159" w:line="338" w:lineRule="auto"/>
        <w:ind w:left="1684" w:right="3242"/>
      </w:pPr>
      <w:r>
        <w:t xml:space="preserve">医院：敬康医院、云县人民医院、云县妇幼保健院等； </w:t>
      </w:r>
      <w:r>
        <w:rPr>
          <w:spacing w:val="-1"/>
        </w:rPr>
        <w:t>学校：云县民族中学、云县第一中学、云县爱华完小等；</w:t>
      </w:r>
    </w:p>
    <w:p>
      <w:pPr>
        <w:pStyle w:val="4"/>
        <w:spacing w:line="338" w:lineRule="auto"/>
        <w:ind w:left="1684" w:right="890"/>
      </w:pPr>
      <w:r>
        <w:t>区域内基础设施较完善，具备供水、排水、供电、通讯等配套设施，能满足生产和生活的需要。</w:t>
      </w:r>
    </w:p>
    <w:p>
      <w:pPr>
        <w:spacing w:before="116"/>
        <w:ind w:left="1264" w:right="0" w:firstLine="0"/>
        <w:jc w:val="left"/>
        <w:rPr>
          <w:b/>
          <w:sz w:val="26"/>
        </w:rPr>
      </w:pPr>
      <w:r>
        <w:rPr>
          <w:b/>
          <w:sz w:val="26"/>
        </w:rPr>
        <w:t>五. 价值时点</w:t>
      </w:r>
    </w:p>
    <w:p>
      <w:pPr>
        <w:pStyle w:val="4"/>
        <w:spacing w:before="159" w:line="338" w:lineRule="auto"/>
        <w:ind w:left="1684" w:right="900"/>
      </w:pPr>
      <w:r>
        <w:t>本次估价确定 2020 年 06 月 04 日为本报告的价值时点，此价值时点是估价对象实地查勘之日</w:t>
      </w:r>
      <w:r>
        <w:rPr>
          <w:color w:val="0D0D0D"/>
        </w:rPr>
        <w:t>。</w:t>
      </w:r>
    </w:p>
    <w:p>
      <w:pPr>
        <w:spacing w:before="0" w:line="387" w:lineRule="exact"/>
        <w:ind w:left="1264" w:right="0" w:firstLine="0"/>
        <w:jc w:val="left"/>
        <w:rPr>
          <w:b/>
          <w:sz w:val="26"/>
        </w:rPr>
      </w:pPr>
      <w:r>
        <w:rPr>
          <w:b/>
          <w:sz w:val="26"/>
        </w:rPr>
        <w:t>六. 价值类型</w:t>
      </w:r>
    </w:p>
    <w:p>
      <w:pPr>
        <w:pStyle w:val="10"/>
        <w:numPr>
          <w:ilvl w:val="0"/>
          <w:numId w:val="14"/>
        </w:numPr>
        <w:tabs>
          <w:tab w:val="left" w:pos="1685"/>
        </w:tabs>
        <w:spacing w:before="158" w:after="0" w:line="240" w:lineRule="auto"/>
        <w:ind w:left="1684" w:right="0" w:hanging="279"/>
        <w:jc w:val="left"/>
        <w:rPr>
          <w:b/>
          <w:sz w:val="26"/>
        </w:rPr>
      </w:pPr>
      <w:bookmarkStart w:id="21" w:name="1. 价值定义"/>
      <w:bookmarkEnd w:id="21"/>
      <w:r>
        <w:rPr>
          <w:b/>
          <w:color w:val="0D0D0D"/>
          <w:sz w:val="26"/>
        </w:rPr>
        <w:t>价值定义</w:t>
      </w:r>
    </w:p>
    <w:p>
      <w:pPr>
        <w:pStyle w:val="4"/>
        <w:spacing w:before="159"/>
        <w:ind w:left="1684"/>
      </w:pPr>
      <w:r>
        <w:rPr>
          <w:color w:val="0D0D0D"/>
        </w:rPr>
        <w:t>市场价值，是指估价对象经适当营销后，由熟悉情况、谨慎行事且不受强迫的</w:t>
      </w:r>
    </w:p>
    <w:p>
      <w:pPr>
        <w:spacing w:after="0"/>
        <w:sectPr>
          <w:pgSz w:w="11910" w:h="16840"/>
          <w:pgMar w:top="1100" w:right="180" w:bottom="1060" w:left="300" w:header="845" w:footer="877" w:gutter="0"/>
        </w:sectPr>
      </w:pPr>
    </w:p>
    <w:p>
      <w:pPr>
        <w:pStyle w:val="4"/>
        <w:rPr>
          <w:sz w:val="2"/>
        </w:rPr>
      </w:pPr>
    </w:p>
    <w:p>
      <w:pPr>
        <w:pStyle w:val="4"/>
        <w:spacing w:line="192" w:lineRule="exact"/>
        <w:ind w:left="513"/>
        <w:rPr>
          <w:sz w:val="19"/>
        </w:rPr>
      </w:pPr>
      <w:r>
        <w:rPr>
          <w:position w:val="-3"/>
          <w:sz w:val="19"/>
        </w:rPr>
        <w:pict>
          <v:group id="_x0000_s1139" o:spid="_x0000_s1139" o:spt="203" style="height:9.6pt;width:503.35pt;" coordsize="10067,192">
            <o:lock v:ext="edit"/>
            <v:line id="_x0000_s1140" o:spid="_x0000_s1140" o:spt="20" style="position:absolute;left:0;top:13;height:0;width:1083;" stroked="t" coordsize="21600,21600">
              <v:path arrowok="t"/>
              <v:fill focussize="0,0"/>
              <v:stroke weight="0.96pt" color="#585858"/>
              <v:imagedata o:title=""/>
              <o:lock v:ext="edit"/>
            </v:line>
            <v:line id="_x0000_s1141" o:spid="_x0000_s1141" o:spt="20" style="position:absolute;left:1111;top:177;height:0;width:8955;" stroked="t" coordsize="21600,21600">
              <v:path arrowok="t"/>
              <v:fill focussize="0,0"/>
              <v:stroke weight="1.41433070866142pt" color="#585858"/>
              <v:imagedata o:title=""/>
              <o:lock v:ext="edit"/>
            </v:line>
            <v:line id="_x0000_s1142" o:spid="_x0000_s1142" o:spt="20" style="position:absolute;left:1162;top:79;height:5;width:8797;" stroked="t" coordsize="21600,21600">
              <v:path arrowok="t"/>
              <v:fill focussize="0,0"/>
              <v:stroke weight="7.9pt" color="#585858"/>
              <v:imagedata o:title=""/>
              <o:lock v:ext="edit"/>
            </v:line>
            <w10:wrap type="none"/>
            <w10:anchorlock/>
          </v:group>
        </w:pict>
      </w:r>
    </w:p>
    <w:p>
      <w:pPr>
        <w:pStyle w:val="4"/>
        <w:spacing w:before="60"/>
        <w:ind w:left="1684"/>
      </w:pPr>
      <w:r>
        <w:rPr>
          <w:color w:val="0D0D0D"/>
        </w:rPr>
        <w:t>交易双方，以公平交易方式在价值时点自愿进行交易的金额。</w:t>
      </w:r>
    </w:p>
    <w:p>
      <w:pPr>
        <w:pStyle w:val="10"/>
        <w:numPr>
          <w:ilvl w:val="0"/>
          <w:numId w:val="14"/>
        </w:numPr>
        <w:tabs>
          <w:tab w:val="left" w:pos="1685"/>
        </w:tabs>
        <w:spacing w:before="159" w:after="0" w:line="240" w:lineRule="auto"/>
        <w:ind w:left="1684" w:right="0" w:hanging="279"/>
        <w:jc w:val="left"/>
        <w:rPr>
          <w:b/>
          <w:sz w:val="26"/>
        </w:rPr>
      </w:pPr>
      <w:bookmarkStart w:id="22" w:name="2. 价值内涵"/>
      <w:bookmarkEnd w:id="22"/>
      <w:r>
        <w:rPr>
          <w:b/>
          <w:color w:val="0D0D0D"/>
          <w:sz w:val="26"/>
        </w:rPr>
        <w:t>价值内涵</w:t>
      </w:r>
    </w:p>
    <w:p>
      <w:pPr>
        <w:pStyle w:val="4"/>
        <w:spacing w:before="158" w:line="338" w:lineRule="auto"/>
        <w:ind w:left="1684" w:right="823"/>
      </w:pPr>
      <w:r>
        <w:rPr>
          <w:color w:val="0D0D0D"/>
          <w:spacing w:val="-3"/>
        </w:rPr>
        <w:t>本次估价结果为估价对象在价值时点的市场价值。其内涵是在满足“估价假设</w:t>
      </w:r>
      <w:r>
        <w:rPr>
          <w:color w:val="0D0D0D"/>
          <w:spacing w:val="-6"/>
        </w:rPr>
        <w:t>前提和报告使用限制条件”的情况，以价值时点的现状用途下交易双方各自依</w:t>
      </w:r>
      <w:r>
        <w:rPr>
          <w:color w:val="0D0D0D"/>
          <w:spacing w:val="-10"/>
        </w:rPr>
        <w:t>法承担应缴纳的税费，用人民币为计价单位的包含建筑物所有权价值、分摊的</w:t>
      </w:r>
      <w:r>
        <w:rPr>
          <w:color w:val="0D0D0D"/>
          <w:spacing w:val="-18"/>
        </w:rPr>
        <w:t>土地使用权价值、装饰装修以及与房地产不可分割的、满足其使用功能的供水、</w:t>
      </w:r>
      <w:r>
        <w:rPr>
          <w:color w:val="0D0D0D"/>
          <w:spacing w:val="-7"/>
        </w:rPr>
        <w:t>供电、排水等相关配套设施价值，不包括室内可移动的家具家电以及其他可移动的设施设备的价值。</w:t>
      </w:r>
    </w:p>
    <w:p>
      <w:pPr>
        <w:spacing w:before="0" w:line="383" w:lineRule="exact"/>
        <w:ind w:left="1264" w:right="0" w:firstLine="0"/>
        <w:jc w:val="left"/>
        <w:rPr>
          <w:b/>
          <w:sz w:val="26"/>
        </w:rPr>
      </w:pPr>
      <w:r>
        <w:rPr>
          <w:b/>
          <w:sz w:val="26"/>
        </w:rPr>
        <w:t>七. 估价原则</w:t>
      </w:r>
    </w:p>
    <w:p>
      <w:pPr>
        <w:pStyle w:val="4"/>
        <w:spacing w:before="159" w:line="338" w:lineRule="auto"/>
        <w:ind w:left="1684" w:right="902"/>
        <w:jc w:val="both"/>
      </w:pPr>
      <w:r>
        <w:rPr>
          <w:color w:val="0D0D0D"/>
          <w:spacing w:val="-1"/>
        </w:rPr>
        <w:t>本次估价遵循独立、客观、公正的基本原则，合法原则、最高最佳利用原则、价值时点原则、替代原则等技术性原则，结合估价目的对估价对象进行估价。</w:t>
      </w:r>
      <w:r>
        <w:rPr>
          <w:color w:val="0D0D0D"/>
          <w:spacing w:val="-6"/>
        </w:rPr>
        <w:t>在估价过程中，以国家有关法律、法规为依据，坚持真实性、科学性、公平性</w:t>
      </w:r>
      <w:r>
        <w:rPr>
          <w:color w:val="0D0D0D"/>
          <w:spacing w:val="-10"/>
        </w:rPr>
        <w:t>和可行性原则，做到估价过程合理，估价方法科学，估价结果准确，严格保守在估价过程中可能知悉的当事人的商业秘密。</w:t>
      </w:r>
    </w:p>
    <w:p>
      <w:pPr>
        <w:pStyle w:val="10"/>
        <w:numPr>
          <w:ilvl w:val="0"/>
          <w:numId w:val="15"/>
        </w:numPr>
        <w:tabs>
          <w:tab w:val="left" w:pos="1685"/>
        </w:tabs>
        <w:spacing w:before="0" w:after="0" w:line="384" w:lineRule="exact"/>
        <w:ind w:left="1684" w:right="0" w:hanging="284"/>
        <w:jc w:val="both"/>
        <w:rPr>
          <w:b/>
          <w:sz w:val="26"/>
        </w:rPr>
      </w:pPr>
      <w:bookmarkStart w:id="23" w:name="1. 独立、客观、公正原则"/>
      <w:bookmarkEnd w:id="23"/>
      <w:r>
        <w:rPr>
          <w:b/>
          <w:color w:val="0D0D0D"/>
          <w:sz w:val="26"/>
        </w:rPr>
        <w:t>独立、客观、公正原则</w:t>
      </w:r>
    </w:p>
    <w:p>
      <w:pPr>
        <w:spacing w:before="158" w:line="338" w:lineRule="auto"/>
        <w:ind w:left="1684" w:right="953" w:firstLine="0"/>
        <w:jc w:val="left"/>
        <w:rPr>
          <w:b/>
          <w:sz w:val="26"/>
        </w:rPr>
      </w:pPr>
      <w:r>
        <w:rPr>
          <w:b/>
          <w:color w:val="0D0D0D"/>
          <w:spacing w:val="-4"/>
          <w:w w:val="95"/>
          <w:sz w:val="26"/>
        </w:rPr>
        <w:t xml:space="preserve">要求估价人员及评估机构是站在中立的立场上，实事求是、公平正直地测算出    </w:t>
      </w:r>
      <w:r>
        <w:rPr>
          <w:b/>
          <w:color w:val="0D0D0D"/>
          <w:spacing w:val="-4"/>
          <w:sz w:val="26"/>
        </w:rPr>
        <w:t>对各方利害关系人均是公平合理的价值或价格的原则。</w:t>
      </w:r>
    </w:p>
    <w:p>
      <w:pPr>
        <w:pStyle w:val="10"/>
        <w:numPr>
          <w:ilvl w:val="0"/>
          <w:numId w:val="16"/>
        </w:numPr>
        <w:tabs>
          <w:tab w:val="left" w:pos="1668"/>
        </w:tabs>
        <w:spacing w:before="118" w:after="0" w:line="338" w:lineRule="auto"/>
        <w:ind w:left="1684" w:right="953" w:hanging="284"/>
        <w:jc w:val="both"/>
        <w:rPr>
          <w:sz w:val="26"/>
        </w:rPr>
      </w:pPr>
      <w:r>
        <w:rPr>
          <w:b/>
          <w:color w:val="0D0D0D"/>
          <w:spacing w:val="-6"/>
          <w:sz w:val="26"/>
        </w:rPr>
        <w:t>独立：</w:t>
      </w:r>
      <w:r>
        <w:rPr>
          <w:color w:val="0D0D0D"/>
          <w:spacing w:val="-2"/>
          <w:sz w:val="26"/>
        </w:rPr>
        <w:t>估价人员和评估机构与委托方及利害关系人没有利害关系，在估价过程</w:t>
      </w:r>
      <w:r>
        <w:rPr>
          <w:color w:val="0D0D0D"/>
          <w:spacing w:val="-4"/>
          <w:sz w:val="26"/>
        </w:rPr>
        <w:t>中不受包括委托方在内的任何单位和个人的影响，凭自己的专业知识、实践经</w:t>
      </w:r>
      <w:r>
        <w:rPr>
          <w:color w:val="0D0D0D"/>
          <w:sz w:val="26"/>
        </w:rPr>
        <w:t>验和职业道德进行估值；</w:t>
      </w:r>
    </w:p>
    <w:p>
      <w:pPr>
        <w:pStyle w:val="10"/>
        <w:numPr>
          <w:ilvl w:val="0"/>
          <w:numId w:val="16"/>
        </w:numPr>
        <w:tabs>
          <w:tab w:val="left" w:pos="1668"/>
        </w:tabs>
        <w:spacing w:before="0" w:after="0" w:line="338" w:lineRule="auto"/>
        <w:ind w:left="1684" w:right="955" w:hanging="284"/>
        <w:jc w:val="both"/>
        <w:rPr>
          <w:sz w:val="26"/>
        </w:rPr>
      </w:pPr>
      <w:r>
        <w:rPr>
          <w:b/>
          <w:color w:val="0D0D0D"/>
          <w:spacing w:val="-4"/>
          <w:sz w:val="26"/>
        </w:rPr>
        <w:t>客观：</w:t>
      </w:r>
      <w:r>
        <w:rPr>
          <w:color w:val="0D0D0D"/>
          <w:spacing w:val="-3"/>
          <w:sz w:val="26"/>
        </w:rPr>
        <w:t>估价人员和评估机构在估价过程中不带着自己的情感、好恶和偏见，按</w:t>
      </w:r>
      <w:r>
        <w:rPr>
          <w:color w:val="0D0D0D"/>
          <w:sz w:val="26"/>
        </w:rPr>
        <w:t>照事物的本来面目、实事求是地进行估值；</w:t>
      </w:r>
    </w:p>
    <w:p>
      <w:pPr>
        <w:pStyle w:val="10"/>
        <w:numPr>
          <w:ilvl w:val="0"/>
          <w:numId w:val="16"/>
        </w:numPr>
        <w:tabs>
          <w:tab w:val="left" w:pos="1668"/>
        </w:tabs>
        <w:spacing w:before="0" w:after="0" w:line="338" w:lineRule="auto"/>
        <w:ind w:left="1684" w:right="970" w:hanging="284"/>
        <w:jc w:val="both"/>
        <w:rPr>
          <w:sz w:val="26"/>
        </w:rPr>
      </w:pPr>
      <w:r>
        <w:rPr>
          <w:b/>
          <w:color w:val="0D0D0D"/>
          <w:spacing w:val="-6"/>
          <w:sz w:val="26"/>
        </w:rPr>
        <w:t>公正：</w:t>
      </w:r>
      <w:r>
        <w:rPr>
          <w:color w:val="0D0D0D"/>
          <w:spacing w:val="-2"/>
          <w:sz w:val="26"/>
        </w:rPr>
        <w:t>估价人员和评估机构在估价过程中不偏袒利害关系人中的任何一方，坚</w:t>
      </w:r>
      <w:r>
        <w:rPr>
          <w:color w:val="0D0D0D"/>
          <w:sz w:val="26"/>
        </w:rPr>
        <w:t>持原则、公平正直地进行估值。</w:t>
      </w:r>
    </w:p>
    <w:p>
      <w:pPr>
        <w:pStyle w:val="10"/>
        <w:numPr>
          <w:ilvl w:val="0"/>
          <w:numId w:val="15"/>
        </w:numPr>
        <w:tabs>
          <w:tab w:val="left" w:pos="1685"/>
        </w:tabs>
        <w:spacing w:before="114" w:after="0" w:line="240" w:lineRule="auto"/>
        <w:ind w:left="1684" w:right="0" w:hanging="284"/>
        <w:jc w:val="both"/>
        <w:rPr>
          <w:b/>
          <w:sz w:val="26"/>
        </w:rPr>
      </w:pPr>
      <w:bookmarkStart w:id="24" w:name="2. 合法原则"/>
      <w:bookmarkEnd w:id="24"/>
      <w:r>
        <w:rPr>
          <w:b/>
          <w:color w:val="0D0D0D"/>
          <w:sz w:val="26"/>
        </w:rPr>
        <w:t>合法原则</w:t>
      </w:r>
    </w:p>
    <w:p>
      <w:pPr>
        <w:spacing w:after="0" w:line="240" w:lineRule="auto"/>
        <w:jc w:val="both"/>
        <w:rPr>
          <w:sz w:val="26"/>
        </w:rPr>
        <w:sectPr>
          <w:pgSz w:w="11910" w:h="16840"/>
          <w:pgMar w:top="1100" w:right="180" w:bottom="1060" w:left="300" w:header="845" w:footer="877" w:gutter="0"/>
        </w:sectPr>
      </w:pPr>
    </w:p>
    <w:p>
      <w:pPr>
        <w:pStyle w:val="4"/>
        <w:rPr>
          <w:b/>
          <w:sz w:val="2"/>
        </w:rPr>
      </w:pPr>
    </w:p>
    <w:p>
      <w:pPr>
        <w:pStyle w:val="4"/>
        <w:spacing w:line="192" w:lineRule="exact"/>
        <w:ind w:left="513"/>
        <w:rPr>
          <w:sz w:val="19"/>
        </w:rPr>
      </w:pPr>
      <w:r>
        <w:rPr>
          <w:position w:val="-3"/>
          <w:sz w:val="19"/>
        </w:rPr>
        <w:pict>
          <v:group id="_x0000_s1143" o:spid="_x0000_s1143" o:spt="203" style="height:9.6pt;width:503.35pt;" coordsize="10067,192">
            <o:lock v:ext="edit"/>
            <v:line id="_x0000_s1144" o:spid="_x0000_s1144" o:spt="20" style="position:absolute;left:0;top:13;height:0;width:1083;" stroked="t" coordsize="21600,21600">
              <v:path arrowok="t"/>
              <v:fill focussize="0,0"/>
              <v:stroke weight="0.96pt" color="#585858"/>
              <v:imagedata o:title=""/>
              <o:lock v:ext="edit"/>
            </v:line>
            <v:line id="_x0000_s1145" o:spid="_x0000_s1145" o:spt="20" style="position:absolute;left:1111;top:177;height:0;width:8955;" stroked="t" coordsize="21600,21600">
              <v:path arrowok="t"/>
              <v:fill focussize="0,0"/>
              <v:stroke weight="1.41433070866142pt" color="#585858"/>
              <v:imagedata o:title=""/>
              <o:lock v:ext="edit"/>
            </v:line>
            <v:line id="_x0000_s1146" o:spid="_x0000_s1146" o:spt="20" style="position:absolute;left:1162;top:79;height:5;width:8797;" stroked="t" coordsize="21600,21600">
              <v:path arrowok="t"/>
              <v:fill focussize="0,0"/>
              <v:stroke weight="7.9pt" color="#585858"/>
              <v:imagedata o:title=""/>
              <o:lock v:ext="edit"/>
            </v:line>
            <w10:wrap type="none"/>
            <w10:anchorlock/>
          </v:group>
        </w:pict>
      </w:r>
    </w:p>
    <w:p>
      <w:pPr>
        <w:spacing w:before="60"/>
        <w:ind w:left="1684" w:right="0" w:firstLine="0"/>
        <w:jc w:val="left"/>
        <w:rPr>
          <w:b/>
          <w:sz w:val="26"/>
        </w:rPr>
      </w:pPr>
      <w:r>
        <w:rPr>
          <w:b/>
          <w:color w:val="0D0D0D"/>
          <w:sz w:val="26"/>
        </w:rPr>
        <w:t>要求估价结果是在依法判定的估价对象状况下的价值或价格的原则。</w:t>
      </w:r>
    </w:p>
    <w:p>
      <w:pPr>
        <w:pStyle w:val="4"/>
        <w:spacing w:before="279" w:line="338" w:lineRule="auto"/>
        <w:ind w:left="1684" w:right="955"/>
        <w:jc w:val="both"/>
      </w:pPr>
      <w:r>
        <w:rPr>
          <w:color w:val="0D0D0D"/>
          <w:spacing w:val="-7"/>
        </w:rPr>
        <w:t>应依据有关法律、行政法规、最高人民法院和最高人民检察院发布的有关司法</w:t>
      </w:r>
      <w:r>
        <w:rPr>
          <w:color w:val="0D0D0D"/>
          <w:spacing w:val="-8"/>
        </w:rPr>
        <w:t>解释、估价对象所在地的有关地方性法规、国务院所属部门颁发的有关部门规</w:t>
      </w:r>
      <w:r>
        <w:rPr>
          <w:color w:val="0D0D0D"/>
          <w:spacing w:val="-7"/>
        </w:rPr>
        <w:t>章和政策、估价对象所在地人民政府颁发的有关地方政府规章和政策，以及估</w:t>
      </w:r>
      <w:r>
        <w:rPr>
          <w:color w:val="0D0D0D"/>
        </w:rPr>
        <w:t>价对象的不动产登记薄、权属证书、有关批文和合同等。</w:t>
      </w:r>
    </w:p>
    <w:p>
      <w:pPr>
        <w:pStyle w:val="10"/>
        <w:numPr>
          <w:ilvl w:val="0"/>
          <w:numId w:val="15"/>
        </w:numPr>
        <w:tabs>
          <w:tab w:val="left" w:pos="1685"/>
        </w:tabs>
        <w:spacing w:before="116" w:after="0" w:line="240" w:lineRule="auto"/>
        <w:ind w:left="1684" w:right="0" w:hanging="284"/>
        <w:jc w:val="both"/>
        <w:rPr>
          <w:b/>
          <w:sz w:val="26"/>
        </w:rPr>
      </w:pPr>
      <w:bookmarkStart w:id="25" w:name="3. 价值时点原则"/>
      <w:bookmarkEnd w:id="25"/>
      <w:r>
        <w:rPr>
          <w:b/>
          <w:color w:val="0D0D0D"/>
          <w:sz w:val="26"/>
        </w:rPr>
        <w:t>价值时点原则</w:t>
      </w:r>
    </w:p>
    <w:p>
      <w:pPr>
        <w:spacing w:before="159"/>
        <w:ind w:left="1684" w:right="0" w:firstLine="0"/>
        <w:jc w:val="left"/>
        <w:rPr>
          <w:b/>
          <w:sz w:val="26"/>
        </w:rPr>
      </w:pPr>
      <w:r>
        <w:rPr>
          <w:b/>
          <w:color w:val="0D0D0D"/>
          <w:sz w:val="26"/>
        </w:rPr>
        <w:t>要求估价结果是在根据估价目的确定的某一特定时间的价值或价格的原则。</w:t>
      </w:r>
    </w:p>
    <w:p>
      <w:pPr>
        <w:pStyle w:val="4"/>
        <w:spacing w:before="278" w:line="338" w:lineRule="auto"/>
        <w:ind w:left="1684" w:right="955"/>
        <w:jc w:val="both"/>
      </w:pPr>
      <w:r>
        <w:rPr>
          <w:color w:val="0D0D0D"/>
          <w:spacing w:val="-3"/>
        </w:rPr>
        <w:t>房地产估值实际上是求取估价对象在其一时点上的价值或价格，所以在评估一</w:t>
      </w:r>
      <w:r>
        <w:rPr>
          <w:color w:val="0D0D0D"/>
          <w:spacing w:val="-7"/>
        </w:rPr>
        <w:t>宗房地产时，必须假定市场情况停止在价值时点上，同时估价对象房地产的状</w:t>
      </w:r>
      <w:r>
        <w:rPr>
          <w:color w:val="0D0D0D"/>
        </w:rPr>
        <w:t>况通常也是以其在该基准日时的状况为准。</w:t>
      </w:r>
    </w:p>
    <w:p>
      <w:pPr>
        <w:pStyle w:val="10"/>
        <w:numPr>
          <w:ilvl w:val="0"/>
          <w:numId w:val="15"/>
        </w:numPr>
        <w:tabs>
          <w:tab w:val="left" w:pos="1685"/>
        </w:tabs>
        <w:spacing w:before="118" w:after="0" w:line="240" w:lineRule="auto"/>
        <w:ind w:left="1684" w:right="0" w:hanging="284"/>
        <w:jc w:val="both"/>
        <w:rPr>
          <w:b/>
          <w:sz w:val="26"/>
        </w:rPr>
      </w:pPr>
      <w:bookmarkStart w:id="26" w:name="4. 替代原则"/>
      <w:bookmarkEnd w:id="26"/>
      <w:r>
        <w:rPr>
          <w:b/>
          <w:color w:val="0D0D0D"/>
          <w:sz w:val="26"/>
        </w:rPr>
        <w:t>替代原则</w:t>
      </w:r>
    </w:p>
    <w:p>
      <w:pPr>
        <w:spacing w:before="158" w:line="338" w:lineRule="auto"/>
        <w:ind w:left="1684" w:right="953" w:firstLine="0"/>
        <w:jc w:val="left"/>
        <w:rPr>
          <w:b/>
          <w:sz w:val="26"/>
        </w:rPr>
      </w:pPr>
      <w:r>
        <w:rPr>
          <w:b/>
          <w:color w:val="0D0D0D"/>
          <w:w w:val="95"/>
          <w:sz w:val="26"/>
        </w:rPr>
        <w:t xml:space="preserve">要求估价结果与估价对象的类似房地产在同等条件下的价值或价格偏差在合   </w:t>
      </w:r>
      <w:r>
        <w:rPr>
          <w:b/>
          <w:color w:val="0D0D0D"/>
          <w:sz w:val="26"/>
        </w:rPr>
        <w:t>理范围内的原则。</w:t>
      </w:r>
    </w:p>
    <w:p>
      <w:pPr>
        <w:pStyle w:val="10"/>
        <w:numPr>
          <w:ilvl w:val="0"/>
          <w:numId w:val="15"/>
        </w:numPr>
        <w:tabs>
          <w:tab w:val="left" w:pos="1685"/>
        </w:tabs>
        <w:spacing w:before="118" w:after="0" w:line="240" w:lineRule="auto"/>
        <w:ind w:left="1684" w:right="0" w:hanging="284"/>
        <w:jc w:val="left"/>
        <w:rPr>
          <w:b/>
          <w:sz w:val="26"/>
        </w:rPr>
      </w:pPr>
      <w:bookmarkStart w:id="27" w:name="5. 最高最佳利用原则"/>
      <w:bookmarkEnd w:id="27"/>
      <w:r>
        <w:rPr>
          <w:b/>
          <w:color w:val="0D0D0D"/>
          <w:sz w:val="26"/>
        </w:rPr>
        <w:t>最高最佳利用原则</w:t>
      </w:r>
    </w:p>
    <w:p>
      <w:pPr>
        <w:spacing w:before="159"/>
        <w:ind w:left="1684" w:right="0" w:firstLine="0"/>
        <w:jc w:val="left"/>
        <w:rPr>
          <w:b/>
          <w:sz w:val="26"/>
        </w:rPr>
      </w:pPr>
      <w:r>
        <w:rPr>
          <w:b/>
          <w:color w:val="0D0D0D"/>
          <w:sz w:val="26"/>
        </w:rPr>
        <w:t>要求估价结果是在估价对象最高最佳利用状况下的价值或价格的原则。</w:t>
      </w:r>
    </w:p>
    <w:p>
      <w:pPr>
        <w:pStyle w:val="4"/>
        <w:spacing w:before="278" w:line="338" w:lineRule="auto"/>
        <w:ind w:left="1684" w:right="823"/>
      </w:pPr>
      <w:r>
        <w:rPr>
          <w:color w:val="0D0D0D"/>
          <w:spacing w:val="-4"/>
        </w:rPr>
        <w:t>最高最佳利用是指房地产在法律上允许、技术上可能、财务上可行并使价值最</w:t>
      </w:r>
      <w:r>
        <w:rPr>
          <w:color w:val="0D0D0D"/>
          <w:spacing w:val="-15"/>
        </w:rPr>
        <w:t xml:space="preserve">大的合理、可能的利用，包括最佳的用途、规模、档次等。它的一种具体表现， </w:t>
      </w:r>
      <w:r>
        <w:rPr>
          <w:color w:val="0D0D0D"/>
          <w:spacing w:val="-3"/>
        </w:rPr>
        <w:t>是以使估价对象获利最多的用途和开发强度来衡量，也就是说，估价结果结论</w:t>
      </w:r>
      <w:r>
        <w:rPr>
          <w:color w:val="0D0D0D"/>
          <w:spacing w:val="-6"/>
        </w:rPr>
        <w:t>所出具的价格应是在合法使用方式下，各种可能的使用方式中，能获得最大收</w:t>
      </w:r>
      <w:r>
        <w:rPr>
          <w:color w:val="0D0D0D"/>
          <w:spacing w:val="6"/>
        </w:rPr>
        <w:t>益的使用方式的估价结果。最高最佳利用分析的前提条件有维持现状继续使</w:t>
      </w:r>
      <w:r>
        <w:rPr>
          <w:color w:val="0D0D0D"/>
        </w:rPr>
        <w:t>用、直接转换用途、装修改造继续使用、装修改造转换用途、拆除重新利用。</w:t>
      </w:r>
      <w:r>
        <w:rPr>
          <w:color w:val="0D0D0D"/>
          <w:spacing w:val="-4"/>
        </w:rPr>
        <w:t>根据上述判定标准，遵循合法原则并结合估价对象从设计及使用情况，同时结</w:t>
      </w:r>
      <w:r>
        <w:rPr>
          <w:color w:val="0D0D0D"/>
          <w:spacing w:val="6"/>
        </w:rPr>
        <w:t>合城市总体规划及估价对象现实的区位条件，我们认为估价对象按照法定用</w:t>
      </w:r>
      <w:r>
        <w:rPr>
          <w:color w:val="0D0D0D"/>
        </w:rPr>
        <w:t>途，并维持房屋现状继续使用体现最高最佳使用原则。</w:t>
      </w:r>
    </w:p>
    <w:p>
      <w:pPr>
        <w:spacing w:before="0" w:line="381" w:lineRule="exact"/>
        <w:ind w:left="1264" w:right="0" w:firstLine="0"/>
        <w:jc w:val="left"/>
        <w:rPr>
          <w:b/>
          <w:sz w:val="26"/>
        </w:rPr>
      </w:pPr>
      <w:r>
        <w:rPr>
          <w:b/>
          <w:sz w:val="26"/>
        </w:rPr>
        <w:t>八. 估价依据</w:t>
      </w:r>
    </w:p>
    <w:p>
      <w:pPr>
        <w:spacing w:after="0" w:line="381" w:lineRule="exact"/>
        <w:jc w:val="left"/>
        <w:rPr>
          <w:sz w:val="26"/>
        </w:rPr>
        <w:sectPr>
          <w:pgSz w:w="11910" w:h="16840"/>
          <w:pgMar w:top="1100" w:right="180" w:bottom="1060" w:left="300" w:header="845" w:footer="877" w:gutter="0"/>
        </w:sectPr>
      </w:pPr>
    </w:p>
    <w:p>
      <w:pPr>
        <w:pStyle w:val="4"/>
        <w:rPr>
          <w:b/>
          <w:sz w:val="2"/>
        </w:rPr>
      </w:pPr>
    </w:p>
    <w:p>
      <w:pPr>
        <w:pStyle w:val="4"/>
        <w:spacing w:line="192" w:lineRule="exact"/>
        <w:ind w:left="513"/>
        <w:rPr>
          <w:sz w:val="19"/>
        </w:rPr>
      </w:pPr>
      <w:r>
        <w:rPr>
          <w:position w:val="-3"/>
          <w:sz w:val="19"/>
        </w:rPr>
        <w:pict>
          <v:group id="_x0000_s1147" o:spid="_x0000_s1147" o:spt="203" style="height:9.6pt;width:503.35pt;" coordsize="10067,192">
            <o:lock v:ext="edit"/>
            <v:line id="_x0000_s1148" o:spid="_x0000_s1148" o:spt="20" style="position:absolute;left:0;top:13;height:0;width:1083;" stroked="t" coordsize="21600,21600">
              <v:path arrowok="t"/>
              <v:fill focussize="0,0"/>
              <v:stroke weight="0.96pt" color="#585858"/>
              <v:imagedata o:title=""/>
              <o:lock v:ext="edit"/>
            </v:line>
            <v:line id="_x0000_s1149" o:spid="_x0000_s1149" o:spt="20" style="position:absolute;left:1111;top:177;height:0;width:8955;" stroked="t" coordsize="21600,21600">
              <v:path arrowok="t"/>
              <v:fill focussize="0,0"/>
              <v:stroke weight="1.41433070866142pt" color="#585858"/>
              <v:imagedata o:title=""/>
              <o:lock v:ext="edit"/>
            </v:line>
            <v:line id="_x0000_s1150" o:spid="_x0000_s1150" o:spt="20" style="position:absolute;left:1162;top:79;height:5;width:8797;" stroked="t" coordsize="21600,21600">
              <v:path arrowok="t"/>
              <v:fill focussize="0,0"/>
              <v:stroke weight="7.9pt" color="#585858"/>
              <v:imagedata o:title=""/>
              <o:lock v:ext="edit"/>
            </v:line>
            <w10:wrap type="none"/>
            <w10:anchorlock/>
          </v:group>
        </w:pict>
      </w:r>
    </w:p>
    <w:p>
      <w:pPr>
        <w:pStyle w:val="10"/>
        <w:numPr>
          <w:ilvl w:val="0"/>
          <w:numId w:val="17"/>
        </w:numPr>
        <w:tabs>
          <w:tab w:val="left" w:pos="1685"/>
        </w:tabs>
        <w:spacing w:before="60" w:after="0" w:line="240" w:lineRule="auto"/>
        <w:ind w:left="1684" w:right="0" w:hanging="284"/>
        <w:jc w:val="left"/>
        <w:rPr>
          <w:b/>
          <w:sz w:val="26"/>
        </w:rPr>
      </w:pPr>
      <w:bookmarkStart w:id="28" w:name="1. 行为依据"/>
      <w:bookmarkEnd w:id="28"/>
      <w:r>
        <w:rPr>
          <w:b/>
          <w:color w:val="0D0D0D"/>
          <w:sz w:val="26"/>
        </w:rPr>
        <w:t>行为依据</w:t>
      </w:r>
    </w:p>
    <w:p>
      <w:pPr>
        <w:pStyle w:val="4"/>
        <w:spacing w:before="159"/>
        <w:ind w:left="1684"/>
      </w:pPr>
      <w:r>
        <w:t>云南省云县人民法院《司法评估委托书》[委托书编号：（2019）云 0922 执</w:t>
      </w:r>
    </w:p>
    <w:p>
      <w:pPr>
        <w:pStyle w:val="4"/>
        <w:spacing w:before="158"/>
        <w:ind w:left="1684"/>
      </w:pPr>
      <w:r>
        <w:t>632 号]</w:t>
      </w:r>
      <w:r>
        <w:rPr>
          <w:color w:val="0D0D0D"/>
        </w:rPr>
        <w:t>。</w:t>
      </w:r>
    </w:p>
    <w:p>
      <w:pPr>
        <w:pStyle w:val="10"/>
        <w:numPr>
          <w:ilvl w:val="0"/>
          <w:numId w:val="17"/>
        </w:numPr>
        <w:tabs>
          <w:tab w:val="left" w:pos="1685"/>
        </w:tabs>
        <w:spacing w:before="279" w:after="0" w:line="240" w:lineRule="auto"/>
        <w:ind w:left="1684" w:right="0" w:hanging="284"/>
        <w:jc w:val="left"/>
        <w:rPr>
          <w:b/>
          <w:sz w:val="26"/>
        </w:rPr>
      </w:pPr>
      <w:bookmarkStart w:id="29" w:name="2. 法律法规依据"/>
      <w:bookmarkEnd w:id="29"/>
      <w:r>
        <w:rPr>
          <w:b/>
          <w:color w:val="0D0D0D"/>
          <w:sz w:val="26"/>
        </w:rPr>
        <w:t>法律法规依据</w:t>
      </w:r>
    </w:p>
    <w:p>
      <w:pPr>
        <w:pStyle w:val="10"/>
        <w:numPr>
          <w:ilvl w:val="0"/>
          <w:numId w:val="18"/>
        </w:numPr>
        <w:tabs>
          <w:tab w:val="left" w:pos="1685"/>
        </w:tabs>
        <w:spacing w:before="158" w:after="0" w:line="240" w:lineRule="auto"/>
        <w:ind w:left="1684" w:right="0" w:hanging="284"/>
        <w:jc w:val="left"/>
        <w:rPr>
          <w:sz w:val="26"/>
        </w:rPr>
      </w:pPr>
      <w:r>
        <w:rPr>
          <w:sz w:val="26"/>
        </w:rPr>
        <w:t>《中华人民共和国土地管理法》</w:t>
      </w:r>
    </w:p>
    <w:p>
      <w:pPr>
        <w:pStyle w:val="10"/>
        <w:numPr>
          <w:ilvl w:val="0"/>
          <w:numId w:val="18"/>
        </w:numPr>
        <w:tabs>
          <w:tab w:val="left" w:pos="1685"/>
        </w:tabs>
        <w:spacing w:before="159" w:after="0" w:line="240" w:lineRule="auto"/>
        <w:ind w:left="1684" w:right="0" w:hanging="284"/>
        <w:jc w:val="left"/>
        <w:rPr>
          <w:sz w:val="26"/>
        </w:rPr>
      </w:pPr>
      <w:r>
        <w:rPr>
          <w:sz w:val="26"/>
        </w:rPr>
        <w:t>《中华人民共和国城市房地产管理法》</w:t>
      </w:r>
    </w:p>
    <w:p>
      <w:pPr>
        <w:pStyle w:val="10"/>
        <w:numPr>
          <w:ilvl w:val="0"/>
          <w:numId w:val="18"/>
        </w:numPr>
        <w:tabs>
          <w:tab w:val="left" w:pos="1686"/>
        </w:tabs>
        <w:spacing w:before="158" w:after="0" w:line="240" w:lineRule="auto"/>
        <w:ind w:left="1685" w:right="0" w:hanging="285"/>
        <w:jc w:val="left"/>
        <w:rPr>
          <w:sz w:val="26"/>
        </w:rPr>
      </w:pPr>
      <w:r>
        <w:rPr>
          <w:sz w:val="26"/>
        </w:rPr>
        <w:t>《中华人民共和国资产评估法》</w:t>
      </w:r>
    </w:p>
    <w:p>
      <w:pPr>
        <w:pStyle w:val="10"/>
        <w:numPr>
          <w:ilvl w:val="0"/>
          <w:numId w:val="18"/>
        </w:numPr>
        <w:tabs>
          <w:tab w:val="left" w:pos="1686"/>
        </w:tabs>
        <w:spacing w:before="159" w:after="0" w:line="240" w:lineRule="auto"/>
        <w:ind w:left="1685" w:right="0" w:hanging="284"/>
        <w:jc w:val="left"/>
        <w:rPr>
          <w:sz w:val="26"/>
        </w:rPr>
      </w:pPr>
      <w:r>
        <w:rPr>
          <w:w w:val="95"/>
          <w:sz w:val="26"/>
        </w:rPr>
        <w:t>《中华人民共和国物权法》</w:t>
      </w:r>
    </w:p>
    <w:p>
      <w:pPr>
        <w:pStyle w:val="10"/>
        <w:numPr>
          <w:ilvl w:val="0"/>
          <w:numId w:val="18"/>
        </w:numPr>
        <w:tabs>
          <w:tab w:val="left" w:pos="1686"/>
        </w:tabs>
        <w:spacing w:before="158" w:after="0" w:line="240" w:lineRule="auto"/>
        <w:ind w:left="1685" w:right="0" w:hanging="284"/>
        <w:jc w:val="left"/>
        <w:rPr>
          <w:sz w:val="26"/>
        </w:rPr>
      </w:pPr>
      <w:r>
        <w:rPr>
          <w:w w:val="95"/>
          <w:sz w:val="26"/>
        </w:rPr>
        <w:t>《中华人民共和国担保法》</w:t>
      </w:r>
    </w:p>
    <w:p>
      <w:pPr>
        <w:pStyle w:val="10"/>
        <w:numPr>
          <w:ilvl w:val="0"/>
          <w:numId w:val="18"/>
        </w:numPr>
        <w:tabs>
          <w:tab w:val="left" w:pos="1686"/>
        </w:tabs>
        <w:spacing w:before="158" w:after="0" w:line="240" w:lineRule="auto"/>
        <w:ind w:left="1685" w:right="0" w:hanging="284"/>
        <w:jc w:val="left"/>
        <w:rPr>
          <w:sz w:val="26"/>
        </w:rPr>
      </w:pPr>
      <w:r>
        <w:rPr>
          <w:sz w:val="26"/>
        </w:rPr>
        <w:t>《中华人民共和国土地管理法实施条例》</w:t>
      </w:r>
    </w:p>
    <w:p>
      <w:pPr>
        <w:pStyle w:val="10"/>
        <w:numPr>
          <w:ilvl w:val="0"/>
          <w:numId w:val="18"/>
        </w:numPr>
        <w:tabs>
          <w:tab w:val="left" w:pos="1686"/>
        </w:tabs>
        <w:spacing w:before="159" w:after="0" w:line="240" w:lineRule="auto"/>
        <w:ind w:left="1685" w:right="0" w:hanging="284"/>
        <w:jc w:val="left"/>
        <w:rPr>
          <w:sz w:val="26"/>
        </w:rPr>
      </w:pPr>
      <w:r>
        <w:rPr>
          <w:sz w:val="26"/>
        </w:rPr>
        <w:t>《中华人民共和国城镇国有土地使用权出让和转让暂行条例》</w:t>
      </w:r>
    </w:p>
    <w:p>
      <w:pPr>
        <w:pStyle w:val="10"/>
        <w:numPr>
          <w:ilvl w:val="0"/>
          <w:numId w:val="18"/>
        </w:numPr>
        <w:tabs>
          <w:tab w:val="left" w:pos="1686"/>
        </w:tabs>
        <w:spacing w:before="158" w:after="0" w:line="240" w:lineRule="auto"/>
        <w:ind w:left="1685" w:right="0" w:hanging="284"/>
        <w:jc w:val="left"/>
        <w:rPr>
          <w:sz w:val="26"/>
        </w:rPr>
      </w:pPr>
      <w:r>
        <w:rPr>
          <w:sz w:val="26"/>
        </w:rPr>
        <w:t>《国务院关于做好全面推开营改增试点工作的通知》</w:t>
      </w:r>
    </w:p>
    <w:p>
      <w:pPr>
        <w:pStyle w:val="10"/>
        <w:numPr>
          <w:ilvl w:val="0"/>
          <w:numId w:val="18"/>
        </w:numPr>
        <w:tabs>
          <w:tab w:val="left" w:pos="1686"/>
        </w:tabs>
        <w:spacing w:before="159" w:after="0" w:line="240" w:lineRule="auto"/>
        <w:ind w:left="1685" w:right="0" w:hanging="284"/>
        <w:jc w:val="left"/>
        <w:rPr>
          <w:sz w:val="26"/>
        </w:rPr>
      </w:pPr>
      <w:r>
        <w:rPr>
          <w:sz w:val="26"/>
        </w:rPr>
        <w:t>《财政部国家税务总局关于全面推开营业税改征增值税试点的通知》</w:t>
      </w:r>
    </w:p>
    <w:p>
      <w:pPr>
        <w:pStyle w:val="10"/>
        <w:numPr>
          <w:ilvl w:val="0"/>
          <w:numId w:val="18"/>
        </w:numPr>
        <w:tabs>
          <w:tab w:val="left" w:pos="1686"/>
        </w:tabs>
        <w:spacing w:before="158" w:after="0" w:line="240" w:lineRule="auto"/>
        <w:ind w:left="1685" w:right="0" w:hanging="428"/>
        <w:jc w:val="left"/>
        <w:rPr>
          <w:sz w:val="26"/>
        </w:rPr>
      </w:pPr>
      <w:r>
        <w:rPr>
          <w:spacing w:val="-4"/>
          <w:sz w:val="26"/>
        </w:rPr>
        <w:t>国家税务总局关于发布《纳税人转让不动产增值税征收管理暂行办法》的公告</w:t>
      </w:r>
    </w:p>
    <w:p>
      <w:pPr>
        <w:pStyle w:val="10"/>
        <w:numPr>
          <w:ilvl w:val="0"/>
          <w:numId w:val="18"/>
        </w:numPr>
        <w:tabs>
          <w:tab w:val="left" w:pos="1686"/>
        </w:tabs>
        <w:spacing w:before="159" w:after="0" w:line="240" w:lineRule="auto"/>
        <w:ind w:left="1685" w:right="0" w:hanging="428"/>
        <w:jc w:val="left"/>
        <w:rPr>
          <w:sz w:val="26"/>
        </w:rPr>
      </w:pPr>
      <w:r>
        <w:rPr>
          <w:sz w:val="26"/>
        </w:rPr>
        <w:t>《云南省城镇国有土地使用权出让和转让实施办法》及相关配套法规</w:t>
      </w:r>
    </w:p>
    <w:p>
      <w:pPr>
        <w:pStyle w:val="10"/>
        <w:numPr>
          <w:ilvl w:val="0"/>
          <w:numId w:val="18"/>
        </w:numPr>
        <w:tabs>
          <w:tab w:val="left" w:pos="1686"/>
        </w:tabs>
        <w:spacing w:before="158" w:after="0" w:line="240" w:lineRule="auto"/>
        <w:ind w:left="1685" w:right="0" w:hanging="428"/>
        <w:jc w:val="left"/>
        <w:rPr>
          <w:sz w:val="26"/>
        </w:rPr>
      </w:pPr>
      <w:r>
        <w:rPr>
          <w:sz w:val="26"/>
        </w:rPr>
        <w:t>最高人民法院《有关民事诉讼证据的若干规定》</w:t>
      </w:r>
    </w:p>
    <w:p>
      <w:pPr>
        <w:pStyle w:val="10"/>
        <w:numPr>
          <w:ilvl w:val="0"/>
          <w:numId w:val="18"/>
        </w:numPr>
        <w:tabs>
          <w:tab w:val="left" w:pos="1686"/>
        </w:tabs>
        <w:spacing w:before="159" w:after="0" w:line="240" w:lineRule="auto"/>
        <w:ind w:left="1685" w:right="0" w:hanging="428"/>
        <w:jc w:val="left"/>
        <w:rPr>
          <w:sz w:val="26"/>
        </w:rPr>
      </w:pPr>
      <w:r>
        <w:rPr>
          <w:sz w:val="26"/>
        </w:rPr>
        <w:t>《司法估价程序通则》</w:t>
      </w:r>
    </w:p>
    <w:p>
      <w:pPr>
        <w:pStyle w:val="10"/>
        <w:numPr>
          <w:ilvl w:val="0"/>
          <w:numId w:val="18"/>
        </w:numPr>
        <w:tabs>
          <w:tab w:val="left" w:pos="1686"/>
        </w:tabs>
        <w:spacing w:before="158" w:after="0" w:line="240" w:lineRule="auto"/>
        <w:ind w:left="1685" w:right="0" w:hanging="428"/>
        <w:jc w:val="left"/>
        <w:rPr>
          <w:sz w:val="26"/>
        </w:rPr>
      </w:pPr>
      <w:r>
        <w:rPr>
          <w:sz w:val="26"/>
        </w:rPr>
        <w:t>《全国人民代表大会常务委员会关于司法鉴定管理问题的决定》</w:t>
      </w:r>
    </w:p>
    <w:p>
      <w:pPr>
        <w:pStyle w:val="10"/>
        <w:numPr>
          <w:ilvl w:val="0"/>
          <w:numId w:val="18"/>
        </w:numPr>
        <w:tabs>
          <w:tab w:val="left" w:pos="1686"/>
        </w:tabs>
        <w:spacing w:before="159" w:after="0" w:line="240" w:lineRule="auto"/>
        <w:ind w:left="1685" w:right="0" w:hanging="428"/>
        <w:jc w:val="left"/>
        <w:rPr>
          <w:sz w:val="26"/>
        </w:rPr>
      </w:pPr>
      <w:r>
        <w:rPr>
          <w:sz w:val="26"/>
        </w:rPr>
        <w:t>《最高人民法院关于人民法院确定财产处置参考价若干问题的规定》</w:t>
      </w:r>
    </w:p>
    <w:p>
      <w:pPr>
        <w:pStyle w:val="10"/>
        <w:numPr>
          <w:ilvl w:val="0"/>
          <w:numId w:val="18"/>
        </w:numPr>
        <w:tabs>
          <w:tab w:val="left" w:pos="1686"/>
        </w:tabs>
        <w:spacing w:before="158" w:after="0" w:line="240" w:lineRule="auto"/>
        <w:ind w:left="1685" w:right="0" w:hanging="428"/>
        <w:jc w:val="left"/>
        <w:rPr>
          <w:sz w:val="26"/>
        </w:rPr>
      </w:pPr>
      <w:r>
        <w:rPr>
          <w:sz w:val="26"/>
        </w:rPr>
        <w:t>《最高人民法院对外委托鉴定、评估、拍卖等管理规定》</w:t>
      </w:r>
    </w:p>
    <w:p>
      <w:pPr>
        <w:pStyle w:val="10"/>
        <w:numPr>
          <w:ilvl w:val="0"/>
          <w:numId w:val="17"/>
        </w:numPr>
        <w:tabs>
          <w:tab w:val="left" w:pos="1685"/>
        </w:tabs>
        <w:spacing w:before="279" w:after="0" w:line="240" w:lineRule="auto"/>
        <w:ind w:left="1684" w:right="0" w:hanging="284"/>
        <w:jc w:val="left"/>
        <w:rPr>
          <w:b/>
          <w:sz w:val="26"/>
        </w:rPr>
      </w:pPr>
      <w:bookmarkStart w:id="30" w:name="3. 技术依据"/>
      <w:bookmarkEnd w:id="30"/>
      <w:r>
        <w:rPr>
          <w:b/>
          <w:color w:val="0D0D0D"/>
          <w:sz w:val="26"/>
        </w:rPr>
        <w:t>技术依据</w:t>
      </w:r>
    </w:p>
    <w:p>
      <w:pPr>
        <w:pStyle w:val="10"/>
        <w:numPr>
          <w:ilvl w:val="0"/>
          <w:numId w:val="19"/>
        </w:numPr>
        <w:tabs>
          <w:tab w:val="left" w:pos="1685"/>
        </w:tabs>
        <w:spacing w:before="159" w:after="0" w:line="240" w:lineRule="auto"/>
        <w:ind w:left="1684" w:right="0" w:hanging="279"/>
        <w:jc w:val="left"/>
        <w:rPr>
          <w:sz w:val="26"/>
        </w:rPr>
      </w:pPr>
      <w:r>
        <w:rPr>
          <w:spacing w:val="-1"/>
          <w:sz w:val="26"/>
        </w:rPr>
        <w:t xml:space="preserve">中华人民共和国国家标准 </w:t>
      </w:r>
      <w:r>
        <w:rPr>
          <w:sz w:val="26"/>
        </w:rPr>
        <w:t>GB/T50291-2015《房地产估价规范》</w:t>
      </w:r>
    </w:p>
    <w:p>
      <w:pPr>
        <w:pStyle w:val="10"/>
        <w:numPr>
          <w:ilvl w:val="0"/>
          <w:numId w:val="19"/>
        </w:numPr>
        <w:tabs>
          <w:tab w:val="left" w:pos="1685"/>
        </w:tabs>
        <w:spacing w:before="158" w:after="0" w:line="240" w:lineRule="auto"/>
        <w:ind w:left="1684" w:right="0" w:hanging="284"/>
        <w:jc w:val="left"/>
        <w:rPr>
          <w:sz w:val="26"/>
        </w:rPr>
      </w:pPr>
      <w:r>
        <w:rPr>
          <w:spacing w:val="-1"/>
          <w:sz w:val="26"/>
        </w:rPr>
        <w:t xml:space="preserve">中华人民共和国国家标准 </w:t>
      </w:r>
      <w:r>
        <w:rPr>
          <w:sz w:val="26"/>
        </w:rPr>
        <w:t>GB/T50899-2013《房地产估价基本术语标准》</w:t>
      </w:r>
    </w:p>
    <w:p>
      <w:pPr>
        <w:pStyle w:val="10"/>
        <w:numPr>
          <w:ilvl w:val="0"/>
          <w:numId w:val="19"/>
        </w:numPr>
        <w:tabs>
          <w:tab w:val="left" w:pos="1686"/>
        </w:tabs>
        <w:spacing w:before="159" w:after="0" w:line="240" w:lineRule="auto"/>
        <w:ind w:left="1685" w:right="0" w:hanging="285"/>
        <w:jc w:val="left"/>
        <w:rPr>
          <w:sz w:val="26"/>
        </w:rPr>
      </w:pPr>
      <w:r>
        <w:rPr>
          <w:sz w:val="26"/>
        </w:rPr>
        <w:t>财政部关于印发《资产评估基本准则》的通知</w:t>
      </w:r>
    </w:p>
    <w:p>
      <w:pPr>
        <w:pStyle w:val="10"/>
        <w:numPr>
          <w:ilvl w:val="0"/>
          <w:numId w:val="19"/>
        </w:numPr>
        <w:tabs>
          <w:tab w:val="left" w:pos="1686"/>
        </w:tabs>
        <w:spacing w:before="158" w:after="0" w:line="240" w:lineRule="auto"/>
        <w:ind w:left="1685" w:right="0" w:hanging="285"/>
        <w:jc w:val="left"/>
        <w:rPr>
          <w:sz w:val="26"/>
        </w:rPr>
      </w:pPr>
      <w:r>
        <w:rPr>
          <w:sz w:val="26"/>
        </w:rPr>
        <w:t>中国资产评估协会关于印发《资产评估执业准则—资产评估报告》等 11</w:t>
      </w:r>
      <w:r>
        <w:rPr>
          <w:spacing w:val="8"/>
          <w:sz w:val="26"/>
        </w:rPr>
        <w:t xml:space="preserve"> 项资</w:t>
      </w:r>
    </w:p>
    <w:p>
      <w:pPr>
        <w:spacing w:after="0" w:line="240" w:lineRule="auto"/>
        <w:jc w:val="left"/>
        <w:rPr>
          <w:sz w:val="26"/>
        </w:rPr>
        <w:sectPr>
          <w:pgSz w:w="11910" w:h="16840"/>
          <w:pgMar w:top="1100" w:right="180" w:bottom="1060" w:left="300" w:header="845" w:footer="877" w:gutter="0"/>
        </w:sectPr>
      </w:pPr>
    </w:p>
    <w:p>
      <w:pPr>
        <w:pStyle w:val="4"/>
        <w:rPr>
          <w:sz w:val="2"/>
        </w:rPr>
      </w:pPr>
    </w:p>
    <w:p>
      <w:pPr>
        <w:pStyle w:val="4"/>
        <w:spacing w:line="192" w:lineRule="exact"/>
        <w:ind w:left="513"/>
        <w:rPr>
          <w:sz w:val="19"/>
        </w:rPr>
      </w:pPr>
      <w:r>
        <w:rPr>
          <w:position w:val="-3"/>
          <w:sz w:val="19"/>
        </w:rPr>
        <w:pict>
          <v:group id="_x0000_s1151" o:spid="_x0000_s1151" o:spt="203" style="height:9.6pt;width:503.35pt;" coordsize="10067,192">
            <o:lock v:ext="edit"/>
            <v:line id="_x0000_s1152" o:spid="_x0000_s1152" o:spt="20" style="position:absolute;left:0;top:13;height:0;width:1083;" stroked="t" coordsize="21600,21600">
              <v:path arrowok="t"/>
              <v:fill focussize="0,0"/>
              <v:stroke weight="0.96pt" color="#585858"/>
              <v:imagedata o:title=""/>
              <o:lock v:ext="edit"/>
            </v:line>
            <v:line id="_x0000_s1153" o:spid="_x0000_s1153" o:spt="20" style="position:absolute;left:1111;top:177;height:0;width:8955;" stroked="t" coordsize="21600,21600">
              <v:path arrowok="t"/>
              <v:fill focussize="0,0"/>
              <v:stroke weight="1.41433070866142pt" color="#585858"/>
              <v:imagedata o:title=""/>
              <o:lock v:ext="edit"/>
            </v:line>
            <v:line id="_x0000_s1154" o:spid="_x0000_s1154" o:spt="20" style="position:absolute;left:1162;top:79;height:5;width:8797;" stroked="t" coordsize="21600,21600">
              <v:path arrowok="t"/>
              <v:fill focussize="0,0"/>
              <v:stroke weight="7.9pt" color="#585858"/>
              <v:imagedata o:title=""/>
              <o:lock v:ext="edit"/>
            </v:line>
            <w10:wrap type="none"/>
            <w10:anchorlock/>
          </v:group>
        </w:pict>
      </w:r>
    </w:p>
    <w:p>
      <w:pPr>
        <w:pStyle w:val="4"/>
        <w:spacing w:before="60"/>
        <w:ind w:left="1684"/>
      </w:pPr>
      <w:r>
        <w:t>产评估准则的通知</w:t>
      </w:r>
    </w:p>
    <w:p>
      <w:pPr>
        <w:pStyle w:val="10"/>
        <w:numPr>
          <w:ilvl w:val="0"/>
          <w:numId w:val="19"/>
        </w:numPr>
        <w:tabs>
          <w:tab w:val="left" w:pos="1686"/>
        </w:tabs>
        <w:spacing w:before="159" w:after="0" w:line="240" w:lineRule="auto"/>
        <w:ind w:left="1685" w:right="0" w:hanging="285"/>
        <w:jc w:val="left"/>
        <w:rPr>
          <w:sz w:val="26"/>
        </w:rPr>
      </w:pPr>
      <w:r>
        <w:rPr>
          <w:sz w:val="26"/>
        </w:rPr>
        <w:t>《旧房转让土地增值税扣除项目评估技术指引（暂行</w:t>
      </w:r>
      <w:r>
        <w:rPr>
          <w:spacing w:val="-130"/>
          <w:sz w:val="26"/>
        </w:rPr>
        <w:t>）</w:t>
      </w:r>
      <w:r>
        <w:rPr>
          <w:sz w:val="26"/>
        </w:rPr>
        <w:t>》</w:t>
      </w:r>
    </w:p>
    <w:p>
      <w:pPr>
        <w:pStyle w:val="10"/>
        <w:numPr>
          <w:ilvl w:val="0"/>
          <w:numId w:val="17"/>
        </w:numPr>
        <w:tabs>
          <w:tab w:val="left" w:pos="1685"/>
        </w:tabs>
        <w:spacing w:before="278" w:after="0" w:line="240" w:lineRule="auto"/>
        <w:ind w:left="1684" w:right="0" w:hanging="284"/>
        <w:jc w:val="left"/>
        <w:rPr>
          <w:b/>
          <w:sz w:val="26"/>
        </w:rPr>
      </w:pPr>
      <w:bookmarkStart w:id="31" w:name="4. 信息依据"/>
      <w:bookmarkEnd w:id="31"/>
      <w:r>
        <w:rPr>
          <w:b/>
          <w:color w:val="0D0D0D"/>
          <w:sz w:val="26"/>
        </w:rPr>
        <w:t>信息依据</w:t>
      </w:r>
    </w:p>
    <w:p>
      <w:pPr>
        <w:pStyle w:val="10"/>
        <w:numPr>
          <w:ilvl w:val="0"/>
          <w:numId w:val="20"/>
        </w:numPr>
        <w:tabs>
          <w:tab w:val="left" w:pos="1685"/>
        </w:tabs>
        <w:spacing w:before="159" w:after="0" w:line="240" w:lineRule="auto"/>
        <w:ind w:left="1684" w:right="0" w:hanging="279"/>
        <w:jc w:val="left"/>
        <w:rPr>
          <w:sz w:val="26"/>
        </w:rPr>
      </w:pPr>
      <w:r>
        <w:rPr>
          <w:spacing w:val="-4"/>
          <w:sz w:val="26"/>
        </w:rPr>
        <w:t>注册房地产估价师实地查勘记录、影像资料的数据信息及市场调查的相关资料</w:t>
      </w:r>
    </w:p>
    <w:p>
      <w:pPr>
        <w:pStyle w:val="10"/>
        <w:numPr>
          <w:ilvl w:val="0"/>
          <w:numId w:val="20"/>
        </w:numPr>
        <w:tabs>
          <w:tab w:val="left" w:pos="1685"/>
        </w:tabs>
        <w:spacing w:before="158" w:after="0" w:line="240" w:lineRule="auto"/>
        <w:ind w:left="1684" w:right="0" w:hanging="284"/>
        <w:jc w:val="left"/>
        <w:rPr>
          <w:sz w:val="26"/>
        </w:rPr>
      </w:pPr>
      <w:r>
        <w:rPr>
          <w:sz w:val="26"/>
        </w:rPr>
        <w:t>估价对象相关权属证明资料及其他相关资料</w:t>
      </w:r>
    </w:p>
    <w:p>
      <w:pPr>
        <w:pStyle w:val="10"/>
        <w:numPr>
          <w:ilvl w:val="0"/>
          <w:numId w:val="20"/>
        </w:numPr>
        <w:tabs>
          <w:tab w:val="left" w:pos="1685"/>
        </w:tabs>
        <w:spacing w:before="159" w:after="0" w:line="240" w:lineRule="auto"/>
        <w:ind w:left="1684" w:right="0" w:hanging="284"/>
        <w:jc w:val="left"/>
        <w:rPr>
          <w:sz w:val="26"/>
        </w:rPr>
      </w:pPr>
      <w:r>
        <w:rPr>
          <w:sz w:val="26"/>
        </w:rPr>
        <w:t>委托方提供的其他有关资料</w:t>
      </w:r>
    </w:p>
    <w:p>
      <w:pPr>
        <w:pStyle w:val="10"/>
        <w:numPr>
          <w:ilvl w:val="0"/>
          <w:numId w:val="20"/>
        </w:numPr>
        <w:tabs>
          <w:tab w:val="left" w:pos="1685"/>
        </w:tabs>
        <w:spacing w:before="158" w:after="0" w:line="240" w:lineRule="auto"/>
        <w:ind w:left="1684" w:right="0" w:hanging="284"/>
        <w:jc w:val="left"/>
        <w:rPr>
          <w:sz w:val="26"/>
        </w:rPr>
      </w:pPr>
      <w:r>
        <w:rPr>
          <w:sz w:val="26"/>
        </w:rPr>
        <w:t>评估机构和注册房地产估价师所搜集掌握的其他资料</w:t>
      </w:r>
    </w:p>
    <w:p>
      <w:pPr>
        <w:spacing w:before="279"/>
        <w:ind w:left="1264" w:right="0" w:firstLine="0"/>
        <w:jc w:val="both"/>
        <w:rPr>
          <w:b/>
          <w:sz w:val="26"/>
        </w:rPr>
      </w:pPr>
      <w:r>
        <w:rPr>
          <w:b/>
          <w:sz w:val="26"/>
        </w:rPr>
        <w:t>九. 估价方法</w:t>
      </w:r>
    </w:p>
    <w:p>
      <w:pPr>
        <w:pStyle w:val="10"/>
        <w:numPr>
          <w:ilvl w:val="0"/>
          <w:numId w:val="21"/>
        </w:numPr>
        <w:tabs>
          <w:tab w:val="left" w:pos="1685"/>
        </w:tabs>
        <w:spacing w:before="158" w:after="0" w:line="240" w:lineRule="auto"/>
        <w:ind w:left="1684" w:right="0" w:hanging="284"/>
        <w:jc w:val="both"/>
        <w:rPr>
          <w:b/>
          <w:sz w:val="26"/>
        </w:rPr>
      </w:pPr>
      <w:bookmarkStart w:id="32" w:name="1. 技术路线"/>
      <w:bookmarkEnd w:id="32"/>
      <w:r>
        <w:rPr>
          <w:b/>
          <w:color w:val="0D0D0D"/>
          <w:sz w:val="26"/>
        </w:rPr>
        <w:t>技术路线</w:t>
      </w:r>
    </w:p>
    <w:p>
      <w:pPr>
        <w:pStyle w:val="4"/>
        <w:spacing w:before="159" w:line="338" w:lineRule="auto"/>
        <w:ind w:left="1684" w:right="902"/>
        <w:jc w:val="both"/>
      </w:pPr>
      <w:r>
        <w:rPr>
          <w:spacing w:val="-1"/>
        </w:rPr>
        <w:t xml:space="preserve">遵循比较法可比实例的选取原则，根据估价人员掌握的房地产交易市场资料， </w:t>
      </w:r>
      <w:r>
        <w:rPr>
          <w:spacing w:val="-2"/>
        </w:rPr>
        <w:t>在近期房地产市场中选择三个与估价对象处于同一供求范围内，并与估价对象</w:t>
      </w:r>
      <w:r>
        <w:rPr>
          <w:spacing w:val="-7"/>
        </w:rPr>
        <w:t>有较强的相似性、替代性的房地产交易实例作为可比实例，对影响价格的各项</w:t>
      </w:r>
      <w:r>
        <w:rPr>
          <w:spacing w:val="-10"/>
        </w:rPr>
        <w:t>因素及其影响程度进行分析，建立估价对象与可比实例的价格可比基础，并分</w:t>
      </w:r>
      <w:r>
        <w:rPr>
          <w:spacing w:val="-12"/>
        </w:rPr>
        <w:t>别进行市场状况修正、交易情况修正、房地状况修正，求取估价对象的比准价格。</w:t>
      </w:r>
    </w:p>
    <w:p>
      <w:pPr>
        <w:pStyle w:val="10"/>
        <w:numPr>
          <w:ilvl w:val="0"/>
          <w:numId w:val="21"/>
        </w:numPr>
        <w:tabs>
          <w:tab w:val="left" w:pos="1685"/>
        </w:tabs>
        <w:spacing w:before="0" w:after="0" w:line="383" w:lineRule="exact"/>
        <w:ind w:left="1684" w:right="0" w:hanging="284"/>
        <w:jc w:val="both"/>
        <w:rPr>
          <w:b/>
          <w:sz w:val="26"/>
        </w:rPr>
      </w:pPr>
      <w:bookmarkStart w:id="33" w:name="2. 估价方法"/>
      <w:bookmarkEnd w:id="33"/>
      <w:r>
        <w:rPr>
          <w:b/>
          <w:color w:val="0D0D0D"/>
          <w:sz w:val="26"/>
        </w:rPr>
        <w:t>估价方法</w:t>
      </w:r>
    </w:p>
    <w:p>
      <w:pPr>
        <w:pStyle w:val="4"/>
        <w:spacing w:before="158" w:line="338" w:lineRule="auto"/>
        <w:ind w:left="1684" w:right="951"/>
        <w:jc w:val="both"/>
      </w:pPr>
      <w:r>
        <w:rPr>
          <w:spacing w:val="-10"/>
          <w:w w:val="99"/>
        </w:rPr>
        <w:t>根据《房地产估价规范》</w:t>
      </w:r>
      <w:r>
        <w:rPr>
          <w:spacing w:val="2"/>
          <w:w w:val="99"/>
        </w:rPr>
        <w:t>（</w:t>
      </w:r>
      <w:r>
        <w:rPr>
          <w:spacing w:val="-1"/>
          <w:w w:val="99"/>
        </w:rPr>
        <w:t>G</w:t>
      </w:r>
      <w:r>
        <w:rPr>
          <w:w w:val="99"/>
        </w:rPr>
        <w:t>B</w:t>
      </w:r>
      <w:r>
        <w:rPr>
          <w:spacing w:val="-1"/>
          <w:w w:val="99"/>
        </w:rPr>
        <w:t>/</w:t>
      </w:r>
      <w:r>
        <w:rPr>
          <w:w w:val="99"/>
        </w:rPr>
        <w:t>T50291-2</w:t>
      </w:r>
      <w:r>
        <w:rPr>
          <w:spacing w:val="2"/>
          <w:w w:val="99"/>
        </w:rPr>
        <w:t>0</w:t>
      </w:r>
      <w:r>
        <w:rPr>
          <w:w w:val="99"/>
        </w:rPr>
        <w:t>1</w:t>
      </w:r>
      <w:r>
        <w:rPr>
          <w:spacing w:val="2"/>
          <w:w w:val="99"/>
        </w:rPr>
        <w:t>5</w:t>
      </w:r>
      <w:r>
        <w:rPr>
          <w:spacing w:val="-128"/>
          <w:w w:val="99"/>
        </w:rPr>
        <w:t>）</w:t>
      </w:r>
      <w:r>
        <w:rPr>
          <w:spacing w:val="2"/>
          <w:w w:val="99"/>
        </w:rPr>
        <w:t>，房地产估值常用的方法有比较</w:t>
      </w:r>
      <w:r>
        <w:rPr>
          <w:spacing w:val="-7"/>
        </w:rPr>
        <w:t>法、收益法、成本法、假设开发法和标准房地产调整法等，每种估价方法都有其适用的估价对象和估价需要具备的条件。</w:t>
      </w:r>
    </w:p>
    <w:p>
      <w:pPr>
        <w:pStyle w:val="10"/>
        <w:numPr>
          <w:ilvl w:val="0"/>
          <w:numId w:val="22"/>
        </w:numPr>
        <w:tabs>
          <w:tab w:val="left" w:pos="1685"/>
        </w:tabs>
        <w:spacing w:before="0" w:after="0" w:line="386" w:lineRule="exact"/>
        <w:ind w:left="1684" w:right="0" w:hanging="280"/>
        <w:jc w:val="left"/>
        <w:rPr>
          <w:sz w:val="26"/>
        </w:rPr>
      </w:pPr>
      <w:r>
        <w:rPr>
          <w:sz w:val="26"/>
        </w:rPr>
        <w:t>比较法适用于市场发达、交易活跃、有充足的具有替代性房地产的估价。</w:t>
      </w:r>
    </w:p>
    <w:p>
      <w:pPr>
        <w:pStyle w:val="10"/>
        <w:numPr>
          <w:ilvl w:val="0"/>
          <w:numId w:val="22"/>
        </w:numPr>
        <w:tabs>
          <w:tab w:val="left" w:pos="1685"/>
        </w:tabs>
        <w:spacing w:before="159" w:after="0" w:line="338" w:lineRule="auto"/>
        <w:ind w:left="1684" w:right="956" w:hanging="284"/>
        <w:jc w:val="both"/>
        <w:rPr>
          <w:sz w:val="26"/>
        </w:rPr>
      </w:pPr>
      <w:r>
        <w:rPr>
          <w:spacing w:val="-4"/>
          <w:sz w:val="26"/>
        </w:rPr>
        <w:t>收益法适用于有现实收益或潜在收益的房地产估价，收益法分为报酬资本化法</w:t>
      </w:r>
      <w:r>
        <w:rPr>
          <w:spacing w:val="-6"/>
          <w:sz w:val="26"/>
        </w:rPr>
        <w:t>和直接资本化法。报酬资本化法是预测估价对象未来各期的净收益，然后利用</w:t>
      </w:r>
      <w:r>
        <w:rPr>
          <w:spacing w:val="-3"/>
          <w:sz w:val="26"/>
        </w:rPr>
        <w:t>适当的报酬率将其折算到价值时点后相加来求取估价对象价值的方法；直接资</w:t>
      </w:r>
      <w:r>
        <w:rPr>
          <w:spacing w:val="-4"/>
          <w:sz w:val="26"/>
        </w:rPr>
        <w:t>本化法是预测估价对象未来第一年的收益，将其除以资本化率或乘以收益乘数</w:t>
      </w:r>
      <w:r>
        <w:rPr>
          <w:sz w:val="26"/>
        </w:rPr>
        <w:t>得到估价对象价值或价格的方法。</w:t>
      </w:r>
    </w:p>
    <w:p>
      <w:pPr>
        <w:spacing w:after="0" w:line="338" w:lineRule="auto"/>
        <w:jc w:val="both"/>
        <w:rPr>
          <w:sz w:val="26"/>
        </w:rPr>
        <w:sectPr>
          <w:pgSz w:w="11910" w:h="16840"/>
          <w:pgMar w:top="1100" w:right="180" w:bottom="1060" w:left="300" w:header="845" w:footer="877" w:gutter="0"/>
        </w:sectPr>
      </w:pPr>
    </w:p>
    <w:p>
      <w:pPr>
        <w:pStyle w:val="4"/>
        <w:rPr>
          <w:sz w:val="2"/>
        </w:rPr>
      </w:pPr>
    </w:p>
    <w:p>
      <w:pPr>
        <w:pStyle w:val="4"/>
        <w:spacing w:line="192" w:lineRule="exact"/>
        <w:ind w:left="513"/>
        <w:rPr>
          <w:sz w:val="19"/>
        </w:rPr>
      </w:pPr>
      <w:r>
        <w:rPr>
          <w:position w:val="-3"/>
          <w:sz w:val="19"/>
        </w:rPr>
        <w:pict>
          <v:group id="_x0000_s1155" o:spid="_x0000_s1155" o:spt="203" style="height:9.6pt;width:503.35pt;" coordsize="10067,192">
            <o:lock v:ext="edit"/>
            <v:line id="_x0000_s1156" o:spid="_x0000_s1156" o:spt="20" style="position:absolute;left:0;top:13;height:0;width:1083;" stroked="t" coordsize="21600,21600">
              <v:path arrowok="t"/>
              <v:fill focussize="0,0"/>
              <v:stroke weight="0.96pt" color="#585858"/>
              <v:imagedata o:title=""/>
              <o:lock v:ext="edit"/>
            </v:line>
            <v:line id="_x0000_s1157" o:spid="_x0000_s1157" o:spt="20" style="position:absolute;left:1111;top:177;height:0;width:8955;" stroked="t" coordsize="21600,21600">
              <v:path arrowok="t"/>
              <v:fill focussize="0,0"/>
              <v:stroke weight="1.41433070866142pt" color="#585858"/>
              <v:imagedata o:title=""/>
              <o:lock v:ext="edit"/>
            </v:line>
            <v:line id="_x0000_s1158" o:spid="_x0000_s1158" o:spt="20" style="position:absolute;left:1162;top:79;height:5;width:8797;" stroked="t" coordsize="21600,21600">
              <v:path arrowok="t"/>
              <v:fill focussize="0,0"/>
              <v:stroke weight="7.9pt" color="#585858"/>
              <v:imagedata o:title=""/>
              <o:lock v:ext="edit"/>
            </v:line>
            <w10:wrap type="none"/>
            <w10:anchorlock/>
          </v:group>
        </w:pict>
      </w:r>
    </w:p>
    <w:p>
      <w:pPr>
        <w:pStyle w:val="10"/>
        <w:numPr>
          <w:ilvl w:val="0"/>
          <w:numId w:val="22"/>
        </w:numPr>
        <w:tabs>
          <w:tab w:val="left" w:pos="1685"/>
        </w:tabs>
        <w:spacing w:before="60" w:after="0" w:line="240" w:lineRule="auto"/>
        <w:ind w:left="1684" w:right="0" w:hanging="284"/>
        <w:jc w:val="both"/>
        <w:rPr>
          <w:sz w:val="26"/>
        </w:rPr>
      </w:pPr>
      <w:r>
        <w:rPr>
          <w:sz w:val="26"/>
        </w:rPr>
        <w:t>假设开发法适用于具有投资开发或有开发潜力的房地产估价。</w:t>
      </w:r>
    </w:p>
    <w:p>
      <w:pPr>
        <w:pStyle w:val="10"/>
        <w:numPr>
          <w:ilvl w:val="0"/>
          <w:numId w:val="22"/>
        </w:numPr>
        <w:tabs>
          <w:tab w:val="left" w:pos="1685"/>
        </w:tabs>
        <w:spacing w:before="159" w:after="0" w:line="338" w:lineRule="auto"/>
        <w:ind w:left="1684" w:right="902" w:hanging="283"/>
        <w:jc w:val="both"/>
        <w:rPr>
          <w:sz w:val="26"/>
        </w:rPr>
      </w:pPr>
      <w:r>
        <w:rPr>
          <w:spacing w:val="-1"/>
          <w:sz w:val="26"/>
        </w:rPr>
        <w:t xml:space="preserve">成本法适用于无市场依据或市场依据不充分而限制了比较法、收益法的运用， </w:t>
      </w:r>
      <w:r>
        <w:rPr>
          <w:spacing w:val="-2"/>
          <w:sz w:val="26"/>
        </w:rPr>
        <w:t>或具有独特设计或只针对特定使用者的特殊需要而开发建设的房地产，以及单</w:t>
      </w:r>
      <w:r>
        <w:rPr>
          <w:spacing w:val="-4"/>
          <w:sz w:val="26"/>
        </w:rPr>
        <w:t>独的建筑物或者其装饰装修部分进行估价情况下的房地产估价；成本法适用于可假定为独立的开发建设项目进行重新开发建设的房地产估价。</w:t>
      </w:r>
    </w:p>
    <w:p>
      <w:pPr>
        <w:pStyle w:val="10"/>
        <w:numPr>
          <w:ilvl w:val="0"/>
          <w:numId w:val="22"/>
        </w:numPr>
        <w:tabs>
          <w:tab w:val="left" w:pos="1685"/>
        </w:tabs>
        <w:spacing w:before="0" w:after="0" w:line="338" w:lineRule="auto"/>
        <w:ind w:left="1684" w:right="955" w:hanging="284"/>
        <w:jc w:val="both"/>
        <w:rPr>
          <w:sz w:val="26"/>
        </w:rPr>
      </w:pPr>
      <w:r>
        <w:rPr>
          <w:spacing w:val="-3"/>
          <w:sz w:val="26"/>
        </w:rPr>
        <w:t>标准房地产调整法适用于估价范围内的所有被估价房地产按具有的相似性，可</w:t>
      </w:r>
      <w:r>
        <w:rPr>
          <w:spacing w:val="-4"/>
          <w:sz w:val="26"/>
        </w:rPr>
        <w:t>通过分组并在每组中设定标准房地产并测算其价值或价格，然后利用楼幢、楼</w:t>
      </w:r>
      <w:r>
        <w:rPr>
          <w:spacing w:val="-10"/>
          <w:sz w:val="26"/>
        </w:rPr>
        <w:t>层、朝向等调整系数，将标准房地产价值或价格调整为各宗被估价房地产的价</w:t>
      </w:r>
      <w:r>
        <w:rPr>
          <w:spacing w:val="-6"/>
          <w:sz w:val="26"/>
        </w:rPr>
        <w:t>值或价格的估价，这种方法实际上是比较法的一类变形，多适用于批量房地产</w:t>
      </w:r>
      <w:r>
        <w:rPr>
          <w:sz w:val="26"/>
        </w:rPr>
        <w:t>估价及房地产征收补偿估价业务。</w:t>
      </w:r>
    </w:p>
    <w:p>
      <w:pPr>
        <w:spacing w:before="0" w:after="11" w:line="338" w:lineRule="auto"/>
        <w:ind w:left="1684" w:right="823" w:firstLine="0"/>
        <w:jc w:val="left"/>
        <w:rPr>
          <w:b/>
          <w:sz w:val="26"/>
        </w:rPr>
      </w:pPr>
      <w:r>
        <w:rPr>
          <w:b/>
          <w:spacing w:val="-13"/>
          <w:sz w:val="26"/>
        </w:rPr>
        <w:t xml:space="preserve">估价人员通过实地查勘，认真分析调查收集的资料，在确定估价原则的基础上， </w:t>
      </w:r>
      <w:r>
        <w:rPr>
          <w:b/>
          <w:spacing w:val="-5"/>
          <w:sz w:val="26"/>
        </w:rPr>
        <w:t>根据估价对象的实际情况，结合本报告的估价目的，选取比较法作为本次估价的基本方法，其具体方法选择情况出于以下考虑：</w:t>
      </w:r>
    </w:p>
    <w:tbl>
      <w:tblPr>
        <w:tblStyle w:val="7"/>
        <w:tblW w:w="0" w:type="auto"/>
        <w:tblInd w:w="1131"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1097"/>
        <w:gridCol w:w="4032"/>
        <w:gridCol w:w="4795"/>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49" w:hRule="atLeast"/>
        </w:trPr>
        <w:tc>
          <w:tcPr>
            <w:tcW w:w="1097" w:type="dxa"/>
            <w:tcBorders>
              <w:bottom w:val="single" w:color="000000" w:sz="4" w:space="0"/>
              <w:right w:val="single" w:color="000000" w:sz="4" w:space="0"/>
            </w:tcBorders>
            <w:shd w:val="clear" w:color="auto" w:fill="933634"/>
          </w:tcPr>
          <w:p>
            <w:pPr>
              <w:pStyle w:val="11"/>
              <w:spacing w:before="20" w:line="310" w:lineRule="exact"/>
              <w:ind w:left="98" w:right="98"/>
              <w:rPr>
                <w:b/>
                <w:sz w:val="21"/>
              </w:rPr>
            </w:pPr>
            <w:r>
              <w:rPr>
                <w:b/>
                <w:color w:val="FFFFFF"/>
                <w:sz w:val="21"/>
              </w:rPr>
              <w:t>估价方法</w:t>
            </w:r>
          </w:p>
        </w:tc>
        <w:tc>
          <w:tcPr>
            <w:tcW w:w="4032" w:type="dxa"/>
            <w:tcBorders>
              <w:left w:val="single" w:color="000000" w:sz="4" w:space="0"/>
              <w:bottom w:val="single" w:color="000000" w:sz="4" w:space="0"/>
              <w:right w:val="single" w:color="000000" w:sz="4" w:space="0"/>
            </w:tcBorders>
            <w:shd w:val="clear" w:color="auto" w:fill="933634"/>
          </w:tcPr>
          <w:p>
            <w:pPr>
              <w:pStyle w:val="11"/>
              <w:spacing w:before="20" w:line="310" w:lineRule="exact"/>
              <w:ind w:left="1468" w:right="1459"/>
              <w:rPr>
                <w:b/>
                <w:sz w:val="21"/>
              </w:rPr>
            </w:pPr>
            <w:r>
              <w:rPr>
                <w:b/>
                <w:color w:val="FFFFFF"/>
                <w:sz w:val="21"/>
              </w:rPr>
              <w:t>比较法</w:t>
            </w:r>
          </w:p>
        </w:tc>
        <w:tc>
          <w:tcPr>
            <w:tcW w:w="4795" w:type="dxa"/>
            <w:tcBorders>
              <w:left w:val="single" w:color="000000" w:sz="4" w:space="0"/>
              <w:bottom w:val="single" w:color="000000" w:sz="4" w:space="0"/>
            </w:tcBorders>
            <w:shd w:val="clear" w:color="auto" w:fill="933634"/>
          </w:tcPr>
          <w:p>
            <w:pPr>
              <w:pStyle w:val="11"/>
              <w:spacing w:before="20" w:line="310" w:lineRule="exact"/>
              <w:ind w:left="2061" w:right="2042"/>
              <w:rPr>
                <w:b/>
                <w:sz w:val="21"/>
              </w:rPr>
            </w:pPr>
            <w:r>
              <w:rPr>
                <w:b/>
                <w:color w:val="FFFFFF"/>
                <w:sz w:val="21"/>
              </w:rPr>
              <w:t>收益法</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2358" w:hRule="atLeast"/>
        </w:trPr>
        <w:tc>
          <w:tcPr>
            <w:tcW w:w="1097" w:type="dxa"/>
            <w:tcBorders>
              <w:top w:val="single" w:color="000000" w:sz="4" w:space="0"/>
              <w:bottom w:val="single" w:color="000000" w:sz="4" w:space="0"/>
              <w:right w:val="single" w:color="000000" w:sz="4" w:space="0"/>
            </w:tcBorders>
            <w:shd w:val="clear" w:color="auto" w:fill="933634"/>
          </w:tcPr>
          <w:p>
            <w:pPr>
              <w:pStyle w:val="11"/>
              <w:jc w:val="left"/>
              <w:rPr>
                <w:b/>
                <w:sz w:val="28"/>
              </w:rPr>
            </w:pPr>
          </w:p>
          <w:p>
            <w:pPr>
              <w:pStyle w:val="11"/>
              <w:spacing w:before="11"/>
              <w:jc w:val="left"/>
              <w:rPr>
                <w:b/>
                <w:sz w:val="31"/>
              </w:rPr>
            </w:pPr>
          </w:p>
          <w:p>
            <w:pPr>
              <w:pStyle w:val="11"/>
              <w:spacing w:line="223" w:lineRule="auto"/>
              <w:ind w:left="328" w:right="115" w:hanging="212"/>
              <w:jc w:val="left"/>
              <w:rPr>
                <w:b/>
                <w:sz w:val="21"/>
              </w:rPr>
            </w:pPr>
            <w:r>
              <w:rPr>
                <w:b/>
                <w:color w:val="FFFFFF"/>
                <w:sz w:val="21"/>
              </w:rPr>
              <w:t>估价方法定义</w:t>
            </w:r>
          </w:p>
        </w:tc>
        <w:tc>
          <w:tcPr>
            <w:tcW w:w="4032" w:type="dxa"/>
            <w:tcBorders>
              <w:top w:val="single" w:color="000000" w:sz="4" w:space="0"/>
              <w:left w:val="single" w:color="000000" w:sz="4" w:space="0"/>
              <w:bottom w:val="single" w:color="000000" w:sz="4" w:space="0"/>
              <w:right w:val="single" w:color="000000" w:sz="4" w:space="0"/>
            </w:tcBorders>
            <w:shd w:val="clear" w:color="auto" w:fill="FFFFCC"/>
          </w:tcPr>
          <w:p>
            <w:pPr>
              <w:pStyle w:val="11"/>
              <w:spacing w:before="5" w:line="225" w:lineRule="auto"/>
              <w:ind w:left="107" w:right="91"/>
              <w:jc w:val="both"/>
              <w:rPr>
                <w:sz w:val="21"/>
              </w:rPr>
            </w:pPr>
            <w:r>
              <w:rPr>
                <w:color w:val="333333"/>
                <w:sz w:val="21"/>
              </w:rPr>
              <w:t>比较法是选取一定数量的可比实例，将它们与估价对象进行比较，根据其间的差异对可比实例成交价格进行处理后得到估价对象价值或价格的方法。比较法的本质是以房地产的实际成交价格为正常成交价格来求取房地产的价值，其理论依据是房地产价格形成的替代原理——同一种商品在</w:t>
            </w:r>
          </w:p>
          <w:p>
            <w:pPr>
              <w:pStyle w:val="11"/>
              <w:spacing w:line="268" w:lineRule="exact"/>
              <w:ind w:left="107"/>
              <w:jc w:val="left"/>
              <w:rPr>
                <w:sz w:val="21"/>
              </w:rPr>
            </w:pPr>
            <w:r>
              <w:rPr>
                <w:color w:val="333333"/>
                <w:sz w:val="21"/>
              </w:rPr>
              <w:t>同一个市场上具有相同的市场价值。</w:t>
            </w:r>
          </w:p>
        </w:tc>
        <w:tc>
          <w:tcPr>
            <w:tcW w:w="4795" w:type="dxa"/>
            <w:tcBorders>
              <w:top w:val="single" w:color="000000" w:sz="4" w:space="0"/>
              <w:left w:val="single" w:color="000000" w:sz="4" w:space="0"/>
              <w:bottom w:val="single" w:color="000000" w:sz="4" w:space="0"/>
            </w:tcBorders>
            <w:shd w:val="clear" w:color="auto" w:fill="FFFFCC"/>
          </w:tcPr>
          <w:p>
            <w:pPr>
              <w:pStyle w:val="11"/>
              <w:spacing w:before="1"/>
              <w:jc w:val="left"/>
              <w:rPr>
                <w:b/>
                <w:sz w:val="20"/>
              </w:rPr>
            </w:pPr>
          </w:p>
          <w:p>
            <w:pPr>
              <w:pStyle w:val="11"/>
              <w:spacing w:line="225" w:lineRule="auto"/>
              <w:ind w:left="107" w:right="40"/>
              <w:jc w:val="both"/>
              <w:rPr>
                <w:sz w:val="21"/>
              </w:rPr>
            </w:pPr>
            <w:r>
              <w:rPr>
                <w:sz w:val="21"/>
              </w:rPr>
              <w:t>收益法是预测估价对象未来各年净收益，利用报酬率利用报酬率将其折现到价值时点后相加得到估价对象价值或价格的方法。收益法的本质是以房地产的预期收益为导向来求取房地产的价值，其理论依据是预期原理——说明决定房地产当前价值的， 重要的不是过去的因素而是未来的因素。</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90" w:hRule="atLeast"/>
        </w:trPr>
        <w:tc>
          <w:tcPr>
            <w:tcW w:w="1097" w:type="dxa"/>
            <w:tcBorders>
              <w:top w:val="single" w:color="000000" w:sz="4" w:space="0"/>
              <w:bottom w:val="single" w:color="000000" w:sz="4" w:space="0"/>
              <w:right w:val="single" w:color="000000" w:sz="4" w:space="0"/>
            </w:tcBorders>
            <w:shd w:val="clear" w:color="auto" w:fill="933634"/>
          </w:tcPr>
          <w:p>
            <w:pPr>
              <w:pStyle w:val="11"/>
              <w:spacing w:before="39"/>
              <w:ind w:left="98" w:right="98"/>
              <w:rPr>
                <w:b/>
                <w:sz w:val="21"/>
              </w:rPr>
            </w:pPr>
            <w:r>
              <w:rPr>
                <w:b/>
                <w:color w:val="FFFFFF"/>
                <w:sz w:val="21"/>
              </w:rPr>
              <w:t>是否选取</w:t>
            </w:r>
          </w:p>
        </w:tc>
        <w:tc>
          <w:tcPr>
            <w:tcW w:w="4032" w:type="dxa"/>
            <w:tcBorders>
              <w:top w:val="single" w:color="000000" w:sz="4" w:space="0"/>
              <w:left w:val="single" w:color="000000" w:sz="4" w:space="0"/>
              <w:bottom w:val="single" w:color="000000" w:sz="4" w:space="0"/>
              <w:right w:val="single" w:color="000000" w:sz="4" w:space="0"/>
            </w:tcBorders>
            <w:shd w:val="clear" w:color="auto" w:fill="933634"/>
          </w:tcPr>
          <w:p>
            <w:pPr>
              <w:pStyle w:val="11"/>
              <w:spacing w:before="39"/>
              <w:ind w:left="1468" w:right="1459"/>
              <w:rPr>
                <w:b/>
                <w:sz w:val="21"/>
              </w:rPr>
            </w:pPr>
            <w:r>
              <w:rPr>
                <w:b/>
                <w:color w:val="FFFFFF"/>
                <w:sz w:val="21"/>
              </w:rPr>
              <w:t>选用</w:t>
            </w:r>
          </w:p>
        </w:tc>
        <w:tc>
          <w:tcPr>
            <w:tcW w:w="4795" w:type="dxa"/>
            <w:tcBorders>
              <w:top w:val="single" w:color="000000" w:sz="4" w:space="0"/>
              <w:left w:val="single" w:color="000000" w:sz="4" w:space="0"/>
              <w:bottom w:val="single" w:color="000000" w:sz="4" w:space="0"/>
            </w:tcBorders>
            <w:shd w:val="clear" w:color="auto" w:fill="933634"/>
          </w:tcPr>
          <w:p>
            <w:pPr>
              <w:pStyle w:val="11"/>
              <w:spacing w:before="39"/>
              <w:ind w:left="2061" w:right="2042"/>
              <w:rPr>
                <w:b/>
                <w:sz w:val="21"/>
              </w:rPr>
            </w:pPr>
            <w:r>
              <w:rPr>
                <w:b/>
                <w:color w:val="FFFFFF"/>
                <w:sz w:val="21"/>
              </w:rPr>
              <w:t>不选用</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473" w:hRule="atLeast"/>
        </w:trPr>
        <w:tc>
          <w:tcPr>
            <w:tcW w:w="1097" w:type="dxa"/>
            <w:tcBorders>
              <w:top w:val="single" w:color="000000" w:sz="4" w:space="0"/>
              <w:bottom w:val="single" w:color="000000" w:sz="4" w:space="0"/>
              <w:right w:val="single" w:color="000000" w:sz="4" w:space="0"/>
            </w:tcBorders>
            <w:shd w:val="clear" w:color="auto" w:fill="933634"/>
          </w:tcPr>
          <w:p>
            <w:pPr>
              <w:pStyle w:val="11"/>
              <w:spacing w:before="13"/>
              <w:jc w:val="left"/>
              <w:rPr>
                <w:b/>
                <w:sz w:val="19"/>
              </w:rPr>
            </w:pPr>
          </w:p>
          <w:p>
            <w:pPr>
              <w:pStyle w:val="11"/>
              <w:spacing w:before="1" w:line="225" w:lineRule="auto"/>
              <w:ind w:left="116" w:right="115"/>
              <w:jc w:val="both"/>
              <w:rPr>
                <w:b/>
                <w:sz w:val="21"/>
              </w:rPr>
            </w:pPr>
            <w:r>
              <w:rPr>
                <w:b/>
                <w:color w:val="FFFFFF"/>
                <w:sz w:val="21"/>
              </w:rPr>
              <w:t>估价方法是否选取选取理由</w:t>
            </w:r>
          </w:p>
        </w:tc>
        <w:tc>
          <w:tcPr>
            <w:tcW w:w="4032" w:type="dxa"/>
            <w:tcBorders>
              <w:top w:val="single" w:color="000000" w:sz="4" w:space="0"/>
              <w:left w:val="single" w:color="000000" w:sz="4" w:space="0"/>
              <w:bottom w:val="single" w:color="000000" w:sz="4" w:space="0"/>
              <w:right w:val="single" w:color="000000" w:sz="4" w:space="0"/>
            </w:tcBorders>
            <w:shd w:val="clear" w:color="auto" w:fill="FFFFCC"/>
          </w:tcPr>
          <w:p>
            <w:pPr>
              <w:pStyle w:val="11"/>
              <w:spacing w:before="151" w:line="225" w:lineRule="auto"/>
              <w:ind w:left="107" w:right="-15"/>
              <w:jc w:val="left"/>
              <w:rPr>
                <w:sz w:val="21"/>
              </w:rPr>
            </w:pPr>
            <w:r>
              <w:rPr>
                <w:color w:val="333333"/>
                <w:sz w:val="21"/>
              </w:rPr>
              <w:t>估价对象周边有一定量的类似房地产交易</w:t>
            </w:r>
            <w:r>
              <w:rPr>
                <w:color w:val="333333"/>
                <w:spacing w:val="-11"/>
                <w:sz w:val="21"/>
              </w:rPr>
              <w:t xml:space="preserve">案例，通过对交易案例进行调整及修正后， </w:t>
            </w:r>
            <w:r>
              <w:rPr>
                <w:color w:val="333333"/>
                <w:sz w:val="21"/>
              </w:rPr>
              <w:t>可得出估价对象的价格，故可选取比较法</w:t>
            </w:r>
            <w:r>
              <w:rPr>
                <w:color w:val="333333"/>
                <w:spacing w:val="-1"/>
                <w:sz w:val="21"/>
              </w:rPr>
              <w:t>进行估价。</w:t>
            </w:r>
          </w:p>
        </w:tc>
        <w:tc>
          <w:tcPr>
            <w:tcW w:w="4795" w:type="dxa"/>
            <w:tcBorders>
              <w:top w:val="single" w:color="000000" w:sz="4" w:space="0"/>
              <w:left w:val="single" w:color="000000" w:sz="4" w:space="0"/>
              <w:bottom w:val="single" w:color="000000" w:sz="4" w:space="0"/>
            </w:tcBorders>
            <w:shd w:val="clear" w:color="auto" w:fill="FFFFCC"/>
          </w:tcPr>
          <w:p>
            <w:pPr>
              <w:pStyle w:val="11"/>
              <w:spacing w:before="5" w:line="225" w:lineRule="auto"/>
              <w:ind w:left="107" w:right="79"/>
              <w:jc w:val="both"/>
              <w:rPr>
                <w:sz w:val="21"/>
              </w:rPr>
            </w:pPr>
            <w:r>
              <w:rPr>
                <w:spacing w:val="5"/>
                <w:sz w:val="21"/>
              </w:rPr>
              <w:t>在估价对象的同一供求范围内无法查阅到与估价对象相类似的自建商住综合物业房地产租赁交易</w:t>
            </w:r>
            <w:r>
              <w:rPr>
                <w:spacing w:val="-8"/>
                <w:sz w:val="21"/>
              </w:rPr>
              <w:t>实例；而且难以查找到与估价对象相类似的自营型</w:t>
            </w:r>
            <w:r>
              <w:rPr>
                <w:spacing w:val="-9"/>
                <w:sz w:val="21"/>
              </w:rPr>
              <w:t>商住综合物业，非房地产部分的收益难以较准确地</w:t>
            </w:r>
          </w:p>
          <w:p>
            <w:pPr>
              <w:pStyle w:val="11"/>
              <w:spacing w:line="268" w:lineRule="exact"/>
              <w:ind w:left="107"/>
              <w:jc w:val="left"/>
              <w:rPr>
                <w:sz w:val="21"/>
              </w:rPr>
            </w:pPr>
            <w:r>
              <w:rPr>
                <w:sz w:val="21"/>
              </w:rPr>
              <w:t>剥离，故不选用收益法。评估。</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33" w:hRule="atLeast"/>
        </w:trPr>
        <w:tc>
          <w:tcPr>
            <w:tcW w:w="1097" w:type="dxa"/>
            <w:tcBorders>
              <w:top w:val="single" w:color="000000" w:sz="4" w:space="0"/>
              <w:bottom w:val="single" w:color="000000" w:sz="4" w:space="0"/>
              <w:right w:val="single" w:color="000000" w:sz="4" w:space="0"/>
            </w:tcBorders>
            <w:shd w:val="clear" w:color="auto" w:fill="933634"/>
          </w:tcPr>
          <w:p>
            <w:pPr>
              <w:pStyle w:val="11"/>
              <w:spacing w:before="11" w:line="302" w:lineRule="exact"/>
              <w:ind w:left="98" w:right="98"/>
              <w:rPr>
                <w:b/>
                <w:sz w:val="21"/>
              </w:rPr>
            </w:pPr>
            <w:r>
              <w:rPr>
                <w:b/>
                <w:color w:val="FFFFFF"/>
                <w:sz w:val="21"/>
              </w:rPr>
              <w:t>估价方法</w:t>
            </w:r>
          </w:p>
        </w:tc>
        <w:tc>
          <w:tcPr>
            <w:tcW w:w="4032" w:type="dxa"/>
            <w:tcBorders>
              <w:top w:val="single" w:color="000000" w:sz="4" w:space="0"/>
              <w:left w:val="single" w:color="000000" w:sz="4" w:space="0"/>
              <w:bottom w:val="single" w:color="000000" w:sz="4" w:space="0"/>
              <w:right w:val="single" w:color="000000" w:sz="4" w:space="0"/>
            </w:tcBorders>
            <w:shd w:val="clear" w:color="auto" w:fill="933634"/>
          </w:tcPr>
          <w:p>
            <w:pPr>
              <w:pStyle w:val="11"/>
              <w:spacing w:before="11" w:line="302" w:lineRule="exact"/>
              <w:ind w:left="1470" w:right="1459"/>
              <w:rPr>
                <w:b/>
                <w:sz w:val="21"/>
              </w:rPr>
            </w:pPr>
            <w:r>
              <w:rPr>
                <w:b/>
                <w:color w:val="FFFFFF"/>
                <w:sz w:val="21"/>
              </w:rPr>
              <w:t>假设开发法</w:t>
            </w:r>
          </w:p>
        </w:tc>
        <w:tc>
          <w:tcPr>
            <w:tcW w:w="4795" w:type="dxa"/>
            <w:tcBorders>
              <w:top w:val="single" w:color="000000" w:sz="4" w:space="0"/>
              <w:left w:val="single" w:color="000000" w:sz="4" w:space="0"/>
              <w:bottom w:val="single" w:color="000000" w:sz="4" w:space="0"/>
            </w:tcBorders>
            <w:shd w:val="clear" w:color="auto" w:fill="933634"/>
          </w:tcPr>
          <w:p>
            <w:pPr>
              <w:pStyle w:val="11"/>
              <w:spacing w:before="11" w:line="302" w:lineRule="exact"/>
              <w:ind w:left="2061" w:right="2042"/>
              <w:rPr>
                <w:b/>
                <w:sz w:val="21"/>
              </w:rPr>
            </w:pPr>
            <w:r>
              <w:rPr>
                <w:b/>
                <w:color w:val="FFFFFF"/>
                <w:sz w:val="21"/>
              </w:rPr>
              <w:t>成本法</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2063" w:hRule="atLeast"/>
        </w:trPr>
        <w:tc>
          <w:tcPr>
            <w:tcW w:w="1097" w:type="dxa"/>
            <w:tcBorders>
              <w:top w:val="single" w:color="000000" w:sz="4" w:space="0"/>
              <w:bottom w:val="single" w:color="000000" w:sz="4" w:space="0"/>
              <w:right w:val="single" w:color="000000" w:sz="4" w:space="0"/>
            </w:tcBorders>
            <w:shd w:val="clear" w:color="auto" w:fill="933634"/>
          </w:tcPr>
          <w:p>
            <w:pPr>
              <w:pStyle w:val="11"/>
              <w:jc w:val="left"/>
              <w:rPr>
                <w:b/>
                <w:sz w:val="28"/>
              </w:rPr>
            </w:pPr>
          </w:p>
          <w:p>
            <w:pPr>
              <w:pStyle w:val="11"/>
              <w:spacing w:before="9"/>
              <w:jc w:val="left"/>
              <w:rPr>
                <w:b/>
                <w:sz w:val="21"/>
              </w:rPr>
            </w:pPr>
          </w:p>
          <w:p>
            <w:pPr>
              <w:pStyle w:val="11"/>
              <w:spacing w:line="225" w:lineRule="auto"/>
              <w:ind w:left="328" w:right="115" w:hanging="212"/>
              <w:jc w:val="left"/>
              <w:rPr>
                <w:b/>
                <w:sz w:val="21"/>
              </w:rPr>
            </w:pPr>
            <w:r>
              <w:rPr>
                <w:b/>
                <w:color w:val="FFFFFF"/>
                <w:sz w:val="21"/>
              </w:rPr>
              <w:t>估价方法定义</w:t>
            </w:r>
          </w:p>
        </w:tc>
        <w:tc>
          <w:tcPr>
            <w:tcW w:w="4032" w:type="dxa"/>
            <w:tcBorders>
              <w:top w:val="single" w:color="000000" w:sz="4" w:space="0"/>
              <w:left w:val="single" w:color="000000" w:sz="4" w:space="0"/>
              <w:bottom w:val="single" w:color="000000" w:sz="4" w:space="0"/>
              <w:right w:val="single" w:color="000000" w:sz="4" w:space="0"/>
            </w:tcBorders>
            <w:shd w:val="clear" w:color="auto" w:fill="FFFFCC"/>
          </w:tcPr>
          <w:p>
            <w:pPr>
              <w:pStyle w:val="11"/>
              <w:spacing w:before="5" w:line="225" w:lineRule="auto"/>
              <w:ind w:left="107" w:right="91"/>
              <w:jc w:val="both"/>
              <w:rPr>
                <w:sz w:val="21"/>
              </w:rPr>
            </w:pPr>
            <w:r>
              <w:rPr>
                <w:spacing w:val="-1"/>
                <w:sz w:val="21"/>
              </w:rPr>
              <w:t>假设开发法将开发完成后的价值和后续开发的必要支出折现到价值时点后相减，或将开发完成后的价值和减去后续开发的必要支出及应得利润得到估价对象价值或价格的方法。其本质是以房地产的预期收益为导向来求取房地产的价值，理论依据是</w:t>
            </w:r>
          </w:p>
          <w:p>
            <w:pPr>
              <w:pStyle w:val="11"/>
              <w:spacing w:line="268" w:lineRule="exact"/>
              <w:ind w:left="107"/>
              <w:jc w:val="both"/>
              <w:rPr>
                <w:sz w:val="21"/>
              </w:rPr>
            </w:pPr>
            <w:r>
              <w:rPr>
                <w:spacing w:val="13"/>
                <w:sz w:val="21"/>
              </w:rPr>
              <w:t>预期原理——说明决定房地产当前价值</w:t>
            </w:r>
          </w:p>
        </w:tc>
        <w:tc>
          <w:tcPr>
            <w:tcW w:w="4795" w:type="dxa"/>
            <w:tcBorders>
              <w:top w:val="single" w:color="000000" w:sz="4" w:space="0"/>
              <w:left w:val="single" w:color="000000" w:sz="4" w:space="0"/>
              <w:bottom w:val="single" w:color="000000" w:sz="4" w:space="0"/>
            </w:tcBorders>
            <w:shd w:val="clear" w:color="auto" w:fill="FFFFCC"/>
          </w:tcPr>
          <w:p>
            <w:pPr>
              <w:pStyle w:val="11"/>
              <w:spacing w:before="151" w:line="225" w:lineRule="auto"/>
              <w:ind w:left="107" w:right="79"/>
              <w:jc w:val="both"/>
              <w:rPr>
                <w:sz w:val="21"/>
              </w:rPr>
            </w:pPr>
            <w:r>
              <w:rPr>
                <w:spacing w:val="5"/>
                <w:sz w:val="21"/>
              </w:rPr>
              <w:t>成本法是测算估价对象在价值时点的重置成本或</w:t>
            </w:r>
            <w:r>
              <w:rPr>
                <w:spacing w:val="-8"/>
                <w:sz w:val="21"/>
              </w:rPr>
              <w:t>重建成本及折旧，将重置成本或重建成本减去折旧得到估价对象价值或价格的方法。成本法的本质是</w:t>
            </w:r>
            <w:r>
              <w:rPr>
                <w:spacing w:val="5"/>
                <w:sz w:val="21"/>
              </w:rPr>
              <w:t>以房地产的重新开发建设成本为导向来求取房地</w:t>
            </w:r>
            <w:r>
              <w:rPr>
                <w:spacing w:val="-8"/>
                <w:sz w:val="21"/>
              </w:rPr>
              <w:t>产的价值，其理论依据是生产费用价值论—商品的</w:t>
            </w:r>
            <w:r>
              <w:rPr>
                <w:spacing w:val="-5"/>
                <w:sz w:val="21"/>
              </w:rPr>
              <w:t>价格是依据其生产所必要的费用而决定。</w:t>
            </w:r>
          </w:p>
        </w:tc>
      </w:tr>
    </w:tbl>
    <w:p>
      <w:pPr>
        <w:spacing w:after="0" w:line="225" w:lineRule="auto"/>
        <w:jc w:val="both"/>
        <w:rPr>
          <w:sz w:val="21"/>
        </w:rPr>
        <w:sectPr>
          <w:pgSz w:w="11910" w:h="16840"/>
          <w:pgMar w:top="1100" w:right="180" w:bottom="1060" w:left="300" w:header="845" w:footer="877" w:gutter="0"/>
        </w:sectPr>
      </w:pPr>
    </w:p>
    <w:p>
      <w:pPr>
        <w:pStyle w:val="4"/>
        <w:rPr>
          <w:b/>
          <w:sz w:val="2"/>
        </w:rPr>
      </w:pPr>
    </w:p>
    <w:p>
      <w:pPr>
        <w:pStyle w:val="4"/>
        <w:spacing w:line="192" w:lineRule="exact"/>
        <w:ind w:left="513"/>
        <w:rPr>
          <w:sz w:val="19"/>
        </w:rPr>
      </w:pPr>
      <w:r>
        <w:rPr>
          <w:position w:val="-3"/>
          <w:sz w:val="19"/>
        </w:rPr>
        <w:pict>
          <v:group id="_x0000_s1159" o:spid="_x0000_s1159" o:spt="203" style="height:9.6pt;width:503.35pt;" coordsize="10067,192">
            <o:lock v:ext="edit"/>
            <v:line id="_x0000_s1160" o:spid="_x0000_s1160" o:spt="20" style="position:absolute;left:0;top:13;height:0;width:1083;" stroked="t" coordsize="21600,21600">
              <v:path arrowok="t"/>
              <v:fill focussize="0,0"/>
              <v:stroke weight="0.96pt" color="#585858"/>
              <v:imagedata o:title=""/>
              <o:lock v:ext="edit"/>
            </v:line>
            <v:line id="_x0000_s1161" o:spid="_x0000_s1161" o:spt="20" style="position:absolute;left:1111;top:177;height:0;width:8955;" stroked="t" coordsize="21600,21600">
              <v:path arrowok="t"/>
              <v:fill focussize="0,0"/>
              <v:stroke weight="1.41433070866142pt" color="#585858"/>
              <v:imagedata o:title=""/>
              <o:lock v:ext="edit"/>
            </v:line>
            <v:line id="_x0000_s1162" o:spid="_x0000_s1162" o:spt="20" style="position:absolute;left:1162;top:79;height:5;width:8797;" stroked="t" coordsize="21600,21600">
              <v:path arrowok="t"/>
              <v:fill focussize="0,0"/>
              <v:stroke weight="7.9pt" color="#585858"/>
              <v:imagedata o:title=""/>
              <o:lock v:ext="edit"/>
            </v:line>
            <w10:wrap type="none"/>
            <w10:anchorlock/>
          </v:group>
        </w:pict>
      </w:r>
    </w:p>
    <w:p>
      <w:pPr>
        <w:pStyle w:val="4"/>
        <w:spacing w:before="12"/>
        <w:rPr>
          <w:b/>
          <w:sz w:val="4"/>
        </w:rPr>
      </w:pPr>
    </w:p>
    <w:tbl>
      <w:tblPr>
        <w:tblStyle w:val="7"/>
        <w:tblW w:w="0" w:type="auto"/>
        <w:tblInd w:w="11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7"/>
        <w:gridCol w:w="4032"/>
        <w:gridCol w:w="4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1097" w:type="dxa"/>
            <w:tcBorders>
              <w:left w:val="double" w:color="000000" w:sz="0" w:space="0"/>
            </w:tcBorders>
            <w:shd w:val="clear" w:color="auto" w:fill="933634"/>
          </w:tcPr>
          <w:p>
            <w:pPr>
              <w:pStyle w:val="11"/>
              <w:jc w:val="left"/>
              <w:rPr>
                <w:rFonts w:ascii="Times New Roman"/>
                <w:sz w:val="22"/>
              </w:rPr>
            </w:pPr>
          </w:p>
        </w:tc>
        <w:tc>
          <w:tcPr>
            <w:tcW w:w="4032" w:type="dxa"/>
            <w:shd w:val="clear" w:color="auto" w:fill="FFFFCC"/>
          </w:tcPr>
          <w:p>
            <w:pPr>
              <w:pStyle w:val="11"/>
              <w:spacing w:line="295" w:lineRule="exact"/>
              <w:ind w:left="107"/>
              <w:jc w:val="left"/>
              <w:rPr>
                <w:sz w:val="21"/>
              </w:rPr>
            </w:pPr>
            <w:r>
              <w:rPr>
                <w:sz w:val="21"/>
              </w:rPr>
              <w:t>的，重要的不是过去的因素而是未来的因</w:t>
            </w:r>
          </w:p>
          <w:p>
            <w:pPr>
              <w:pStyle w:val="11"/>
              <w:spacing w:line="273" w:lineRule="exact"/>
              <w:ind w:left="107"/>
              <w:jc w:val="left"/>
              <w:rPr>
                <w:sz w:val="21"/>
              </w:rPr>
            </w:pPr>
            <w:r>
              <w:rPr>
                <w:sz w:val="21"/>
              </w:rPr>
              <w:t>素。</w:t>
            </w:r>
          </w:p>
        </w:tc>
        <w:tc>
          <w:tcPr>
            <w:tcW w:w="4795" w:type="dxa"/>
            <w:tcBorders>
              <w:right w:val="double" w:color="000000" w:sz="0" w:space="0"/>
            </w:tcBorders>
            <w:shd w:val="clear" w:color="auto" w:fill="FFFFCC"/>
          </w:tcPr>
          <w:p>
            <w:pPr>
              <w:pStyle w:val="11"/>
              <w:jc w:val="left"/>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1097" w:type="dxa"/>
            <w:tcBorders>
              <w:left w:val="double" w:color="000000" w:sz="0" w:space="0"/>
            </w:tcBorders>
            <w:shd w:val="clear" w:color="auto" w:fill="933634"/>
          </w:tcPr>
          <w:p>
            <w:pPr>
              <w:pStyle w:val="11"/>
              <w:spacing w:before="37"/>
              <w:ind w:left="116"/>
              <w:jc w:val="left"/>
              <w:rPr>
                <w:b/>
                <w:sz w:val="21"/>
              </w:rPr>
            </w:pPr>
            <w:r>
              <w:rPr>
                <w:b/>
                <w:color w:val="FFFFFF"/>
                <w:sz w:val="21"/>
              </w:rPr>
              <w:t>是否选取</w:t>
            </w:r>
          </w:p>
        </w:tc>
        <w:tc>
          <w:tcPr>
            <w:tcW w:w="4032" w:type="dxa"/>
            <w:shd w:val="clear" w:color="auto" w:fill="933634"/>
          </w:tcPr>
          <w:p>
            <w:pPr>
              <w:pStyle w:val="11"/>
              <w:spacing w:before="37"/>
              <w:ind w:left="1468" w:right="1459"/>
              <w:rPr>
                <w:b/>
                <w:sz w:val="21"/>
              </w:rPr>
            </w:pPr>
            <w:r>
              <w:rPr>
                <w:b/>
                <w:color w:val="FFFFFF"/>
                <w:sz w:val="21"/>
              </w:rPr>
              <w:t>不选用</w:t>
            </w:r>
          </w:p>
        </w:tc>
        <w:tc>
          <w:tcPr>
            <w:tcW w:w="4795" w:type="dxa"/>
            <w:tcBorders>
              <w:right w:val="double" w:color="000000" w:sz="0" w:space="0"/>
            </w:tcBorders>
            <w:shd w:val="clear" w:color="auto" w:fill="933634"/>
          </w:tcPr>
          <w:p>
            <w:pPr>
              <w:pStyle w:val="11"/>
              <w:spacing w:before="37"/>
              <w:ind w:left="2061" w:right="2042"/>
              <w:rPr>
                <w:b/>
                <w:sz w:val="21"/>
              </w:rPr>
            </w:pPr>
            <w:r>
              <w:rPr>
                <w:b/>
                <w:color w:val="FFFFFF"/>
                <w:sz w:val="21"/>
              </w:rPr>
              <w:t>不选用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0" w:hRule="atLeast"/>
        </w:trPr>
        <w:tc>
          <w:tcPr>
            <w:tcW w:w="1097" w:type="dxa"/>
            <w:tcBorders>
              <w:left w:val="double" w:color="000000" w:sz="0" w:space="0"/>
            </w:tcBorders>
            <w:shd w:val="clear" w:color="auto" w:fill="933634"/>
          </w:tcPr>
          <w:p>
            <w:pPr>
              <w:pStyle w:val="11"/>
              <w:spacing w:before="154" w:line="225" w:lineRule="auto"/>
              <w:ind w:left="116" w:right="115"/>
              <w:jc w:val="both"/>
              <w:rPr>
                <w:b/>
                <w:sz w:val="21"/>
              </w:rPr>
            </w:pPr>
            <w:r>
              <w:rPr>
                <w:b/>
                <w:color w:val="FFFFFF"/>
                <w:sz w:val="21"/>
              </w:rPr>
              <w:t>估价方法是否选取选取理由</w:t>
            </w:r>
          </w:p>
        </w:tc>
        <w:tc>
          <w:tcPr>
            <w:tcW w:w="4032" w:type="dxa"/>
            <w:shd w:val="clear" w:color="auto" w:fill="FFFFCC"/>
          </w:tcPr>
          <w:p>
            <w:pPr>
              <w:pStyle w:val="11"/>
              <w:spacing w:before="154" w:line="225" w:lineRule="auto"/>
              <w:ind w:left="107" w:right="91"/>
              <w:jc w:val="both"/>
              <w:rPr>
                <w:sz w:val="21"/>
              </w:rPr>
            </w:pPr>
            <w:r>
              <w:rPr>
                <w:sz w:val="21"/>
              </w:rPr>
              <w:t>估价对象为非待开发的建设物业，不产生后续开发成本，成新率较高，无重新开发建设必要，故不选用假设开发法。</w:t>
            </w:r>
          </w:p>
        </w:tc>
        <w:tc>
          <w:tcPr>
            <w:tcW w:w="4795" w:type="dxa"/>
            <w:tcBorders>
              <w:right w:val="double" w:color="000000" w:sz="0" w:space="0"/>
            </w:tcBorders>
            <w:shd w:val="clear" w:color="auto" w:fill="FFFFCC"/>
          </w:tcPr>
          <w:p>
            <w:pPr>
              <w:pStyle w:val="11"/>
              <w:spacing w:before="5" w:line="225" w:lineRule="auto"/>
              <w:ind w:left="107" w:right="83"/>
              <w:jc w:val="both"/>
              <w:rPr>
                <w:sz w:val="21"/>
              </w:rPr>
            </w:pPr>
            <w:r>
              <w:rPr>
                <w:spacing w:val="-7"/>
                <w:sz w:val="21"/>
              </w:rPr>
              <w:t>由于估价对象所处区域房地产市场较活跃，在市场</w:t>
            </w:r>
            <w:r>
              <w:rPr>
                <w:spacing w:val="5"/>
                <w:sz w:val="21"/>
              </w:rPr>
              <w:t>上有可供参照的交易或租赁案例，运用成本法评</w:t>
            </w:r>
            <w:r>
              <w:rPr>
                <w:spacing w:val="-9"/>
                <w:sz w:val="21"/>
              </w:rPr>
              <w:t>估，其估价结果无法完全客观真实反映估价对象的</w:t>
            </w:r>
          </w:p>
          <w:p>
            <w:pPr>
              <w:pStyle w:val="11"/>
              <w:spacing w:line="270" w:lineRule="exact"/>
              <w:ind w:left="107"/>
              <w:jc w:val="left"/>
              <w:rPr>
                <w:sz w:val="21"/>
              </w:rPr>
            </w:pPr>
            <w:r>
              <w:rPr>
                <w:sz w:val="21"/>
              </w:rPr>
              <w:t>市场价值。故不选用成本法评估。</w:t>
            </w:r>
          </w:p>
        </w:tc>
      </w:tr>
    </w:tbl>
    <w:p>
      <w:pPr>
        <w:spacing w:before="108"/>
        <w:ind w:left="1264" w:right="0" w:firstLine="0"/>
        <w:jc w:val="both"/>
        <w:rPr>
          <w:b/>
          <w:sz w:val="26"/>
        </w:rPr>
      </w:pPr>
      <w:r>
        <w:rPr>
          <w:b/>
          <w:spacing w:val="2"/>
          <w:sz w:val="26"/>
        </w:rPr>
        <w:t>十. 估价结果</w:t>
      </w:r>
    </w:p>
    <w:p>
      <w:pPr>
        <w:pStyle w:val="4"/>
        <w:spacing w:before="159" w:line="336" w:lineRule="auto"/>
        <w:ind w:left="1684" w:right="902"/>
        <w:jc w:val="both"/>
      </w:pPr>
      <w:r>
        <w:rPr>
          <w:spacing w:val="-9"/>
        </w:rPr>
        <w:t>经过市场调查和实地查勘，依据《中华人民共和国资产评估法》</w:t>
      </w:r>
      <w:r>
        <w:rPr>
          <w:spacing w:val="-23"/>
        </w:rPr>
        <w:t>、《房地产估价</w:t>
      </w:r>
      <w:r>
        <w:rPr>
          <w:spacing w:val="-22"/>
        </w:rPr>
        <w:t>规范》、《房地产估价基本术语标准》、《最高人民法院关于人民法院委托评估. 拍卖和变卖工作的若干规定》及其他相关法律法规，遵循独立、客观、公正、</w:t>
      </w:r>
      <w:r>
        <w:rPr>
          <w:spacing w:val="-3"/>
        </w:rPr>
        <w:t>合法的原则，选用</w:t>
      </w:r>
      <w:r>
        <w:rPr>
          <w:b/>
          <w:spacing w:val="1"/>
        </w:rPr>
        <w:t>比较法</w:t>
      </w:r>
      <w:r>
        <w:rPr>
          <w:spacing w:val="-4"/>
        </w:rPr>
        <w:t>进行了分析、测算和判断，确定估价对象在价值时点的市场价值为</w:t>
      </w:r>
      <w:r>
        <w:rPr>
          <w:rFonts w:hint="eastAsia" w:ascii="等线" w:hAnsi="等线" w:eastAsia="等线"/>
          <w:b/>
          <w:spacing w:val="-4"/>
        </w:rPr>
        <w:t>¥</w:t>
      </w:r>
      <w:r>
        <w:rPr>
          <w:b/>
          <w:spacing w:val="-4"/>
        </w:rPr>
        <w:t>44.63</w:t>
      </w:r>
      <w:r>
        <w:rPr>
          <w:b/>
          <w:spacing w:val="-2"/>
        </w:rPr>
        <w:t xml:space="preserve"> 万元</w:t>
      </w:r>
      <w:r>
        <w:rPr>
          <w:b/>
        </w:rPr>
        <w:t>（金额大写：人民币 肆拾肆万陆仟叁佰圆整）。</w:t>
      </w:r>
      <w:r>
        <w:t>详见下表：</w:t>
      </w:r>
    </w:p>
    <w:p>
      <w:pPr>
        <w:spacing w:before="9"/>
        <w:ind w:left="1411" w:right="682" w:firstLine="0"/>
        <w:jc w:val="center"/>
        <w:rPr>
          <w:b/>
          <w:sz w:val="22"/>
        </w:rPr>
      </w:pPr>
      <w:r>
        <w:rPr>
          <w:b/>
          <w:sz w:val="22"/>
        </w:rPr>
        <w:t>估价结果一览表</w:t>
      </w:r>
    </w:p>
    <w:p>
      <w:pPr>
        <w:pStyle w:val="4"/>
        <w:spacing w:before="11"/>
        <w:rPr>
          <w:b/>
          <w:sz w:val="15"/>
        </w:rPr>
      </w:pPr>
    </w:p>
    <w:tbl>
      <w:tblPr>
        <w:tblStyle w:val="7"/>
        <w:tblW w:w="0" w:type="auto"/>
        <w:tblInd w:w="147" w:type="dxa"/>
        <w:tblBorders>
          <w:top w:val="double" w:color="2F5395" w:sz="2" w:space="0"/>
          <w:left w:val="double" w:color="2F5395" w:sz="2" w:space="0"/>
          <w:bottom w:val="double" w:color="2F5395" w:sz="2" w:space="0"/>
          <w:right w:val="double" w:color="2F5395" w:sz="2" w:space="0"/>
          <w:insideH w:val="double" w:color="2F5395" w:sz="2" w:space="0"/>
          <w:insideV w:val="double" w:color="2F5395" w:sz="2" w:space="0"/>
        </w:tblBorders>
        <w:tblLayout w:type="fixed"/>
        <w:tblCellMar>
          <w:top w:w="0" w:type="dxa"/>
          <w:left w:w="0" w:type="dxa"/>
          <w:bottom w:w="0" w:type="dxa"/>
          <w:right w:w="0" w:type="dxa"/>
        </w:tblCellMar>
      </w:tblPr>
      <w:tblGrid>
        <w:gridCol w:w="566"/>
        <w:gridCol w:w="1660"/>
        <w:gridCol w:w="1742"/>
        <w:gridCol w:w="436"/>
        <w:gridCol w:w="570"/>
        <w:gridCol w:w="678"/>
        <w:gridCol w:w="800"/>
        <w:gridCol w:w="469"/>
        <w:gridCol w:w="887"/>
        <w:gridCol w:w="1113"/>
        <w:gridCol w:w="1135"/>
        <w:gridCol w:w="1116"/>
      </w:tblGrid>
      <w:tr>
        <w:tblPrEx>
          <w:tblBorders>
            <w:top w:val="double" w:color="2F5395" w:sz="2" w:space="0"/>
            <w:left w:val="double" w:color="2F5395" w:sz="2" w:space="0"/>
            <w:bottom w:val="double" w:color="2F5395" w:sz="2" w:space="0"/>
            <w:right w:val="double" w:color="2F5395" w:sz="2" w:space="0"/>
            <w:insideH w:val="double" w:color="2F5395" w:sz="2" w:space="0"/>
            <w:insideV w:val="double" w:color="2F5395" w:sz="2" w:space="0"/>
          </w:tblBorders>
          <w:tblCellMar>
            <w:top w:w="0" w:type="dxa"/>
            <w:left w:w="0" w:type="dxa"/>
            <w:bottom w:w="0" w:type="dxa"/>
            <w:right w:w="0" w:type="dxa"/>
          </w:tblCellMar>
        </w:tblPrEx>
        <w:trPr>
          <w:trHeight w:val="927" w:hRule="atLeast"/>
        </w:trPr>
        <w:tc>
          <w:tcPr>
            <w:tcW w:w="566" w:type="dxa"/>
            <w:tcBorders>
              <w:bottom w:val="single" w:color="2F5395" w:sz="4" w:space="0"/>
              <w:right w:val="single" w:color="2F5395" w:sz="4" w:space="0"/>
            </w:tcBorders>
            <w:shd w:val="clear" w:color="auto" w:fill="933634"/>
          </w:tcPr>
          <w:p>
            <w:pPr>
              <w:pStyle w:val="11"/>
              <w:spacing w:before="162" w:line="223" w:lineRule="auto"/>
              <w:ind w:left="157" w:right="158"/>
              <w:jc w:val="left"/>
              <w:rPr>
                <w:b/>
                <w:sz w:val="22"/>
              </w:rPr>
            </w:pPr>
            <w:r>
              <w:rPr>
                <w:b/>
                <w:color w:val="FFFFFF"/>
                <w:sz w:val="22"/>
              </w:rPr>
              <w:t>序号</w:t>
            </w:r>
          </w:p>
        </w:tc>
        <w:tc>
          <w:tcPr>
            <w:tcW w:w="1660" w:type="dxa"/>
            <w:tcBorders>
              <w:left w:val="single" w:color="2F5395" w:sz="4" w:space="0"/>
              <w:bottom w:val="single" w:color="2F5395" w:sz="4" w:space="0"/>
              <w:right w:val="single" w:color="2F5395" w:sz="4" w:space="0"/>
            </w:tcBorders>
            <w:shd w:val="clear" w:color="auto" w:fill="933634"/>
          </w:tcPr>
          <w:p>
            <w:pPr>
              <w:pStyle w:val="11"/>
              <w:jc w:val="left"/>
              <w:rPr>
                <w:b/>
                <w:sz w:val="20"/>
              </w:rPr>
            </w:pPr>
          </w:p>
          <w:p>
            <w:pPr>
              <w:pStyle w:val="11"/>
              <w:ind w:left="592" w:right="576"/>
              <w:rPr>
                <w:b/>
                <w:sz w:val="22"/>
              </w:rPr>
            </w:pPr>
            <w:r>
              <w:rPr>
                <w:b/>
                <w:color w:val="FFFFFF"/>
                <w:sz w:val="22"/>
              </w:rPr>
              <w:t>坐落</w:t>
            </w:r>
          </w:p>
        </w:tc>
        <w:tc>
          <w:tcPr>
            <w:tcW w:w="1742" w:type="dxa"/>
            <w:tcBorders>
              <w:left w:val="single" w:color="2F5395" w:sz="4" w:space="0"/>
              <w:bottom w:val="single" w:color="2F5395" w:sz="4" w:space="0"/>
              <w:right w:val="single" w:color="2F5395" w:sz="4" w:space="0"/>
            </w:tcBorders>
            <w:shd w:val="clear" w:color="auto" w:fill="933634"/>
          </w:tcPr>
          <w:p>
            <w:pPr>
              <w:pStyle w:val="11"/>
              <w:spacing w:before="162" w:line="223" w:lineRule="auto"/>
              <w:ind w:left="764" w:right="194" w:hanging="552"/>
              <w:jc w:val="left"/>
              <w:rPr>
                <w:b/>
                <w:sz w:val="22"/>
              </w:rPr>
            </w:pPr>
            <w:r>
              <w:rPr>
                <w:b/>
                <w:color w:val="FFFFFF"/>
                <w:sz w:val="22"/>
              </w:rPr>
              <w:t>不动产登记证号</w:t>
            </w:r>
          </w:p>
        </w:tc>
        <w:tc>
          <w:tcPr>
            <w:tcW w:w="436" w:type="dxa"/>
            <w:tcBorders>
              <w:left w:val="single" w:color="2F5395" w:sz="4" w:space="0"/>
              <w:bottom w:val="single" w:color="2F5395" w:sz="4" w:space="0"/>
              <w:right w:val="single" w:color="2F5395" w:sz="4" w:space="0"/>
            </w:tcBorders>
            <w:shd w:val="clear" w:color="auto" w:fill="933634"/>
          </w:tcPr>
          <w:p>
            <w:pPr>
              <w:pStyle w:val="11"/>
              <w:spacing w:before="4" w:line="225" w:lineRule="auto"/>
              <w:ind w:left="111" w:right="91"/>
              <w:jc w:val="left"/>
              <w:rPr>
                <w:b/>
                <w:sz w:val="22"/>
              </w:rPr>
            </w:pPr>
            <w:r>
              <w:rPr>
                <w:b/>
                <w:color w:val="FFFFFF"/>
                <w:sz w:val="22"/>
              </w:rPr>
              <w:t>权利</w:t>
            </w:r>
          </w:p>
          <w:p>
            <w:pPr>
              <w:pStyle w:val="11"/>
              <w:spacing w:line="285" w:lineRule="exact"/>
              <w:ind w:left="111"/>
              <w:jc w:val="left"/>
              <w:rPr>
                <w:b/>
                <w:sz w:val="22"/>
              </w:rPr>
            </w:pPr>
            <w:r>
              <w:rPr>
                <w:b/>
                <w:color w:val="FFFFFF"/>
                <w:w w:val="100"/>
                <w:sz w:val="22"/>
              </w:rPr>
              <w:t>人</w:t>
            </w:r>
          </w:p>
        </w:tc>
        <w:tc>
          <w:tcPr>
            <w:tcW w:w="570" w:type="dxa"/>
            <w:tcBorders>
              <w:left w:val="single" w:color="2F5395" w:sz="4" w:space="0"/>
              <w:bottom w:val="single" w:color="2F5395" w:sz="4" w:space="0"/>
              <w:right w:val="single" w:color="2F5395" w:sz="4" w:space="0"/>
            </w:tcBorders>
            <w:shd w:val="clear" w:color="auto" w:fill="933634"/>
          </w:tcPr>
          <w:p>
            <w:pPr>
              <w:pStyle w:val="11"/>
              <w:spacing w:before="4" w:line="225" w:lineRule="auto"/>
              <w:ind w:left="179" w:right="157"/>
              <w:jc w:val="left"/>
              <w:rPr>
                <w:b/>
                <w:sz w:val="22"/>
              </w:rPr>
            </w:pPr>
            <w:r>
              <w:rPr>
                <w:b/>
                <w:color w:val="FFFFFF"/>
                <w:sz w:val="22"/>
              </w:rPr>
              <w:t>共有</w:t>
            </w:r>
          </w:p>
          <w:p>
            <w:pPr>
              <w:pStyle w:val="11"/>
              <w:spacing w:line="285" w:lineRule="exact"/>
              <w:ind w:left="179"/>
              <w:jc w:val="left"/>
              <w:rPr>
                <w:b/>
                <w:sz w:val="22"/>
              </w:rPr>
            </w:pPr>
            <w:r>
              <w:rPr>
                <w:b/>
                <w:color w:val="FFFFFF"/>
                <w:w w:val="100"/>
                <w:sz w:val="22"/>
              </w:rPr>
              <w:t>人</w:t>
            </w:r>
          </w:p>
        </w:tc>
        <w:tc>
          <w:tcPr>
            <w:tcW w:w="678" w:type="dxa"/>
            <w:tcBorders>
              <w:left w:val="single" w:color="2F5395" w:sz="4" w:space="0"/>
              <w:bottom w:val="single" w:color="2F5395" w:sz="4" w:space="0"/>
              <w:right w:val="single" w:color="2F5395" w:sz="4" w:space="0"/>
            </w:tcBorders>
            <w:shd w:val="clear" w:color="auto" w:fill="933634"/>
          </w:tcPr>
          <w:p>
            <w:pPr>
              <w:pStyle w:val="11"/>
              <w:jc w:val="left"/>
              <w:rPr>
                <w:b/>
                <w:sz w:val="20"/>
              </w:rPr>
            </w:pPr>
          </w:p>
          <w:p>
            <w:pPr>
              <w:pStyle w:val="11"/>
              <w:ind w:left="92" w:right="72"/>
              <w:rPr>
                <w:b/>
                <w:sz w:val="22"/>
              </w:rPr>
            </w:pPr>
            <w:r>
              <w:rPr>
                <w:b/>
                <w:color w:val="FFFFFF"/>
                <w:sz w:val="22"/>
              </w:rPr>
              <w:t>楼层</w:t>
            </w:r>
          </w:p>
        </w:tc>
        <w:tc>
          <w:tcPr>
            <w:tcW w:w="800" w:type="dxa"/>
            <w:tcBorders>
              <w:left w:val="single" w:color="2F5395" w:sz="4" w:space="0"/>
              <w:bottom w:val="single" w:color="2F5395" w:sz="4" w:space="0"/>
              <w:right w:val="single" w:color="2F5395" w:sz="4" w:space="0"/>
            </w:tcBorders>
            <w:shd w:val="clear" w:color="auto" w:fill="933634"/>
          </w:tcPr>
          <w:p>
            <w:pPr>
              <w:pStyle w:val="11"/>
              <w:jc w:val="left"/>
              <w:rPr>
                <w:b/>
                <w:sz w:val="20"/>
              </w:rPr>
            </w:pPr>
          </w:p>
          <w:p>
            <w:pPr>
              <w:pStyle w:val="11"/>
              <w:ind w:left="167" w:right="142"/>
              <w:rPr>
                <w:b/>
                <w:sz w:val="22"/>
              </w:rPr>
            </w:pPr>
            <w:r>
              <w:rPr>
                <w:b/>
                <w:color w:val="FFFFFF"/>
                <w:sz w:val="22"/>
              </w:rPr>
              <w:t>用途</w:t>
            </w:r>
          </w:p>
        </w:tc>
        <w:tc>
          <w:tcPr>
            <w:tcW w:w="469" w:type="dxa"/>
            <w:tcBorders>
              <w:left w:val="single" w:color="2F5395" w:sz="4" w:space="0"/>
              <w:bottom w:val="single" w:color="2F5395" w:sz="4" w:space="0"/>
              <w:right w:val="single" w:color="2F5395" w:sz="4" w:space="0"/>
            </w:tcBorders>
            <w:shd w:val="clear" w:color="auto" w:fill="933634"/>
          </w:tcPr>
          <w:p>
            <w:pPr>
              <w:pStyle w:val="11"/>
              <w:spacing w:before="162" w:line="223" w:lineRule="auto"/>
              <w:ind w:left="130" w:right="105"/>
              <w:jc w:val="left"/>
              <w:rPr>
                <w:b/>
                <w:sz w:val="22"/>
              </w:rPr>
            </w:pPr>
            <w:r>
              <w:rPr>
                <w:b/>
                <w:color w:val="FFFFFF"/>
                <w:sz w:val="22"/>
              </w:rPr>
              <w:t>朝向</w:t>
            </w:r>
          </w:p>
        </w:tc>
        <w:tc>
          <w:tcPr>
            <w:tcW w:w="887" w:type="dxa"/>
            <w:tcBorders>
              <w:left w:val="single" w:color="2F5395" w:sz="4" w:space="0"/>
              <w:bottom w:val="single" w:color="2F5395" w:sz="4" w:space="0"/>
              <w:right w:val="single" w:color="2F5395" w:sz="4" w:space="0"/>
            </w:tcBorders>
            <w:shd w:val="clear" w:color="auto" w:fill="933634"/>
          </w:tcPr>
          <w:p>
            <w:pPr>
              <w:pStyle w:val="11"/>
              <w:spacing w:before="162" w:line="223" w:lineRule="auto"/>
              <w:ind w:left="117" w:right="-29" w:firstLine="4"/>
              <w:jc w:val="left"/>
              <w:rPr>
                <w:b/>
                <w:sz w:val="22"/>
              </w:rPr>
            </w:pPr>
            <w:r>
              <w:rPr>
                <w:b/>
                <w:color w:val="FFFFFF"/>
                <w:spacing w:val="-25"/>
                <w:sz w:val="22"/>
              </w:rPr>
              <w:t>建筑面积</w:t>
            </w:r>
            <w:r>
              <w:rPr>
                <w:b/>
                <w:color w:val="FFFFFF"/>
                <w:sz w:val="22"/>
              </w:rPr>
              <w:t>（㎡</w:t>
            </w:r>
            <w:r>
              <w:rPr>
                <w:b/>
                <w:color w:val="FFFFFF"/>
                <w:spacing w:val="-16"/>
                <w:sz w:val="22"/>
              </w:rPr>
              <w:t>）</w:t>
            </w:r>
          </w:p>
        </w:tc>
        <w:tc>
          <w:tcPr>
            <w:tcW w:w="1113" w:type="dxa"/>
            <w:tcBorders>
              <w:left w:val="single" w:color="2F5395" w:sz="4" w:space="0"/>
              <w:bottom w:val="single" w:color="2F5395" w:sz="4" w:space="0"/>
              <w:right w:val="single" w:color="2F5395" w:sz="4" w:space="0"/>
            </w:tcBorders>
            <w:shd w:val="clear" w:color="auto" w:fill="933634"/>
          </w:tcPr>
          <w:p>
            <w:pPr>
              <w:pStyle w:val="11"/>
              <w:spacing w:before="162" w:line="223" w:lineRule="auto"/>
              <w:ind w:left="118" w:right="-44" w:firstLine="9"/>
              <w:jc w:val="left"/>
              <w:rPr>
                <w:b/>
                <w:sz w:val="22"/>
              </w:rPr>
            </w:pPr>
            <w:r>
              <w:rPr>
                <w:b/>
                <w:color w:val="FFFFFF"/>
                <w:sz w:val="22"/>
              </w:rPr>
              <w:t>土地分摊</w:t>
            </w:r>
            <w:r>
              <w:rPr>
                <w:b/>
                <w:color w:val="FFFFFF"/>
                <w:spacing w:val="-46"/>
                <w:sz w:val="22"/>
              </w:rPr>
              <w:t>面积</w:t>
            </w:r>
            <w:r>
              <w:rPr>
                <w:b/>
                <w:color w:val="FFFFFF"/>
                <w:sz w:val="22"/>
              </w:rPr>
              <w:t>（㎡）</w:t>
            </w:r>
          </w:p>
        </w:tc>
        <w:tc>
          <w:tcPr>
            <w:tcW w:w="1135" w:type="dxa"/>
            <w:tcBorders>
              <w:left w:val="single" w:color="2F5395" w:sz="4" w:space="0"/>
              <w:bottom w:val="single" w:color="2F5395" w:sz="4" w:space="0"/>
              <w:right w:val="single" w:color="2F5395" w:sz="4" w:space="0"/>
            </w:tcBorders>
            <w:shd w:val="clear" w:color="auto" w:fill="933634"/>
          </w:tcPr>
          <w:p>
            <w:pPr>
              <w:pStyle w:val="11"/>
              <w:spacing w:before="145" w:line="318" w:lineRule="exact"/>
              <w:ind w:left="38" w:right="7"/>
              <w:rPr>
                <w:b/>
                <w:sz w:val="22"/>
              </w:rPr>
            </w:pPr>
            <w:r>
              <w:rPr>
                <w:b/>
                <w:color w:val="FFFFFF"/>
                <w:sz w:val="22"/>
              </w:rPr>
              <w:t>单价</w:t>
            </w:r>
          </w:p>
          <w:p>
            <w:pPr>
              <w:pStyle w:val="11"/>
              <w:spacing w:line="318" w:lineRule="exact"/>
              <w:ind w:left="100" w:right="7"/>
              <w:rPr>
                <w:b/>
                <w:sz w:val="22"/>
              </w:rPr>
            </w:pPr>
            <w:r>
              <w:rPr>
                <w:b/>
                <w:color w:val="FFFFFF"/>
                <w:sz w:val="22"/>
              </w:rPr>
              <w:t>（元/㎡）</w:t>
            </w:r>
          </w:p>
        </w:tc>
        <w:tc>
          <w:tcPr>
            <w:tcW w:w="1116" w:type="dxa"/>
            <w:tcBorders>
              <w:left w:val="single" w:color="2F5395" w:sz="4" w:space="0"/>
              <w:bottom w:val="single" w:color="2F5395" w:sz="4" w:space="0"/>
              <w:right w:val="single" w:color="2F5395" w:sz="4" w:space="0"/>
            </w:tcBorders>
            <w:shd w:val="clear" w:color="auto" w:fill="933634"/>
          </w:tcPr>
          <w:p>
            <w:pPr>
              <w:pStyle w:val="11"/>
              <w:spacing w:before="162" w:line="223" w:lineRule="auto"/>
              <w:ind w:left="347" w:right="91" w:hanging="219"/>
              <w:jc w:val="left"/>
              <w:rPr>
                <w:b/>
                <w:sz w:val="22"/>
              </w:rPr>
            </w:pPr>
            <w:r>
              <w:rPr>
                <w:b/>
                <w:color w:val="FFFFFF"/>
                <w:sz w:val="22"/>
              </w:rPr>
              <w:t>总价（万元）</w:t>
            </w:r>
          </w:p>
        </w:tc>
      </w:tr>
      <w:tr>
        <w:tblPrEx>
          <w:tblBorders>
            <w:top w:val="double" w:color="2F5395" w:sz="2" w:space="0"/>
            <w:left w:val="double" w:color="2F5395" w:sz="2" w:space="0"/>
            <w:bottom w:val="double" w:color="2F5395" w:sz="2" w:space="0"/>
            <w:right w:val="double" w:color="2F5395" w:sz="2" w:space="0"/>
            <w:insideH w:val="double" w:color="2F5395" w:sz="2" w:space="0"/>
            <w:insideV w:val="double" w:color="2F5395" w:sz="2" w:space="0"/>
          </w:tblBorders>
          <w:tblCellMar>
            <w:top w:w="0" w:type="dxa"/>
            <w:left w:w="0" w:type="dxa"/>
            <w:bottom w:w="0" w:type="dxa"/>
            <w:right w:w="0" w:type="dxa"/>
          </w:tblCellMar>
        </w:tblPrEx>
        <w:trPr>
          <w:trHeight w:val="1233" w:hRule="atLeast"/>
        </w:trPr>
        <w:tc>
          <w:tcPr>
            <w:tcW w:w="566" w:type="dxa"/>
            <w:tcBorders>
              <w:top w:val="single" w:color="2F5395" w:sz="4" w:space="0"/>
              <w:bottom w:val="single" w:color="2F5395" w:sz="4" w:space="0"/>
              <w:right w:val="single" w:color="2F5395" w:sz="4" w:space="0"/>
            </w:tcBorders>
            <w:shd w:val="clear" w:color="auto" w:fill="FFFFCC"/>
          </w:tcPr>
          <w:p>
            <w:pPr>
              <w:pStyle w:val="11"/>
              <w:spacing w:before="2"/>
              <w:jc w:val="left"/>
              <w:rPr>
                <w:b/>
                <w:sz w:val="30"/>
              </w:rPr>
            </w:pPr>
          </w:p>
          <w:p>
            <w:pPr>
              <w:pStyle w:val="11"/>
              <w:ind w:right="3"/>
              <w:rPr>
                <w:sz w:val="22"/>
              </w:rPr>
            </w:pPr>
            <w:r>
              <w:rPr>
                <w:w w:val="100"/>
                <w:sz w:val="22"/>
              </w:rPr>
              <w:t>1</w:t>
            </w:r>
          </w:p>
        </w:tc>
        <w:tc>
          <w:tcPr>
            <w:tcW w:w="1660" w:type="dxa"/>
            <w:tcBorders>
              <w:top w:val="single" w:color="2F5395" w:sz="4" w:space="0"/>
              <w:left w:val="single" w:color="2F5395" w:sz="4" w:space="0"/>
              <w:bottom w:val="single" w:color="2F5395" w:sz="4" w:space="0"/>
              <w:right w:val="single" w:color="2F5395" w:sz="4" w:space="0"/>
            </w:tcBorders>
            <w:shd w:val="clear" w:color="auto" w:fill="FFFFCC"/>
          </w:tcPr>
          <w:p>
            <w:pPr>
              <w:pStyle w:val="11"/>
              <w:spacing w:before="2" w:line="225" w:lineRule="auto"/>
              <w:ind w:left="110" w:right="-15" w:firstLine="62"/>
              <w:jc w:val="left"/>
              <w:rPr>
                <w:sz w:val="22"/>
              </w:rPr>
            </w:pPr>
            <w:r>
              <w:rPr>
                <w:spacing w:val="-1"/>
                <w:sz w:val="22"/>
              </w:rPr>
              <w:t>云县爱华镇三江半岛</w:t>
            </w:r>
            <w:r>
              <w:rPr>
                <w:spacing w:val="-3"/>
                <w:sz w:val="22"/>
              </w:rPr>
              <w:t>（</w:t>
            </w:r>
            <w:r>
              <w:rPr>
                <w:sz w:val="22"/>
              </w:rPr>
              <w:t xml:space="preserve">三期） </w:t>
            </w:r>
            <w:r>
              <w:rPr>
                <w:spacing w:val="-1"/>
                <w:sz w:val="22"/>
              </w:rPr>
              <w:t>时代广场半岛</w:t>
            </w:r>
          </w:p>
          <w:p>
            <w:pPr>
              <w:pStyle w:val="11"/>
              <w:spacing w:line="283" w:lineRule="exact"/>
              <w:ind w:left="189"/>
              <w:jc w:val="left"/>
              <w:rPr>
                <w:sz w:val="22"/>
              </w:rPr>
            </w:pPr>
            <w:r>
              <w:rPr>
                <w:sz w:val="22"/>
              </w:rPr>
              <w:t>4 幢 1-404 室</w:t>
            </w:r>
          </w:p>
        </w:tc>
        <w:tc>
          <w:tcPr>
            <w:tcW w:w="1742" w:type="dxa"/>
            <w:tcBorders>
              <w:top w:val="single" w:color="2F5395" w:sz="4" w:space="0"/>
              <w:left w:val="single" w:color="2F5395" w:sz="4" w:space="0"/>
              <w:bottom w:val="single" w:color="2F5395" w:sz="4" w:space="0"/>
              <w:right w:val="single" w:color="2F5395" w:sz="4" w:space="0"/>
            </w:tcBorders>
            <w:shd w:val="clear" w:color="auto" w:fill="FFFFCC"/>
          </w:tcPr>
          <w:p>
            <w:pPr>
              <w:pStyle w:val="11"/>
              <w:spacing w:before="158" w:line="225" w:lineRule="auto"/>
              <w:ind w:left="310" w:right="21" w:hanging="200"/>
              <w:jc w:val="left"/>
              <w:rPr>
                <w:sz w:val="22"/>
              </w:rPr>
            </w:pPr>
            <w:r>
              <w:rPr>
                <w:sz w:val="22"/>
              </w:rPr>
              <w:t>滇（2017）云县不动产权第0002458 号</w:t>
            </w:r>
          </w:p>
        </w:tc>
        <w:tc>
          <w:tcPr>
            <w:tcW w:w="436" w:type="dxa"/>
            <w:tcBorders>
              <w:top w:val="single" w:color="2F5395" w:sz="4" w:space="0"/>
              <w:left w:val="single" w:color="2F5395" w:sz="4" w:space="0"/>
              <w:bottom w:val="single" w:color="2F5395" w:sz="4" w:space="0"/>
              <w:right w:val="single" w:color="2F5395" w:sz="4" w:space="0"/>
            </w:tcBorders>
            <w:shd w:val="clear" w:color="auto" w:fill="FFFFCC"/>
          </w:tcPr>
          <w:p>
            <w:pPr>
              <w:pStyle w:val="11"/>
              <w:spacing w:before="158" w:line="225" w:lineRule="auto"/>
              <w:ind w:left="111" w:right="91"/>
              <w:jc w:val="both"/>
              <w:rPr>
                <w:sz w:val="22"/>
              </w:rPr>
            </w:pPr>
            <w:r>
              <w:rPr>
                <w:sz w:val="22"/>
              </w:rPr>
              <w:t>王晓丽</w:t>
            </w:r>
          </w:p>
        </w:tc>
        <w:tc>
          <w:tcPr>
            <w:tcW w:w="570" w:type="dxa"/>
            <w:tcBorders>
              <w:top w:val="single" w:color="2F5395" w:sz="4" w:space="0"/>
              <w:left w:val="single" w:color="2F5395" w:sz="4" w:space="0"/>
              <w:bottom w:val="single" w:color="2F5395" w:sz="4" w:space="0"/>
              <w:right w:val="single" w:color="2F5395" w:sz="4" w:space="0"/>
            </w:tcBorders>
            <w:shd w:val="clear" w:color="auto" w:fill="FFFFCC"/>
          </w:tcPr>
          <w:p>
            <w:pPr>
              <w:pStyle w:val="11"/>
              <w:spacing w:before="158" w:line="225" w:lineRule="auto"/>
              <w:ind w:left="179" w:right="157"/>
              <w:jc w:val="both"/>
              <w:rPr>
                <w:sz w:val="22"/>
              </w:rPr>
            </w:pPr>
            <w:r>
              <w:rPr>
                <w:sz w:val="22"/>
              </w:rPr>
              <w:t>杨应新</w:t>
            </w:r>
          </w:p>
        </w:tc>
        <w:tc>
          <w:tcPr>
            <w:tcW w:w="678" w:type="dxa"/>
            <w:tcBorders>
              <w:top w:val="single" w:color="2F5395" w:sz="4" w:space="0"/>
              <w:left w:val="single" w:color="2F5395" w:sz="4" w:space="0"/>
              <w:bottom w:val="single" w:color="2F5395" w:sz="4" w:space="0"/>
              <w:right w:val="single" w:color="2F5395" w:sz="4" w:space="0"/>
            </w:tcBorders>
            <w:shd w:val="clear" w:color="auto" w:fill="FFFFCC"/>
          </w:tcPr>
          <w:p>
            <w:pPr>
              <w:pStyle w:val="11"/>
              <w:spacing w:before="2"/>
              <w:jc w:val="left"/>
              <w:rPr>
                <w:b/>
                <w:sz w:val="30"/>
              </w:rPr>
            </w:pPr>
          </w:p>
          <w:p>
            <w:pPr>
              <w:pStyle w:val="11"/>
              <w:ind w:left="94" w:right="72"/>
              <w:rPr>
                <w:sz w:val="22"/>
              </w:rPr>
            </w:pPr>
            <w:r>
              <w:rPr>
                <w:sz w:val="22"/>
              </w:rPr>
              <w:t>4/17</w:t>
            </w:r>
          </w:p>
        </w:tc>
        <w:tc>
          <w:tcPr>
            <w:tcW w:w="800" w:type="dxa"/>
            <w:tcBorders>
              <w:top w:val="single" w:color="2F5395" w:sz="4" w:space="0"/>
              <w:left w:val="single" w:color="2F5395" w:sz="4" w:space="0"/>
              <w:bottom w:val="single" w:color="2F5395" w:sz="4" w:space="0"/>
              <w:right w:val="single" w:color="2F5395" w:sz="4" w:space="0"/>
            </w:tcBorders>
            <w:shd w:val="clear" w:color="auto" w:fill="FFFFCC"/>
          </w:tcPr>
          <w:p>
            <w:pPr>
              <w:pStyle w:val="11"/>
              <w:spacing w:before="12"/>
              <w:jc w:val="left"/>
              <w:rPr>
                <w:b/>
                <w:sz w:val="20"/>
              </w:rPr>
            </w:pPr>
          </w:p>
          <w:p>
            <w:pPr>
              <w:pStyle w:val="11"/>
              <w:spacing w:before="1" w:line="225" w:lineRule="auto"/>
              <w:ind w:left="189" w:right="158"/>
              <w:jc w:val="left"/>
              <w:rPr>
                <w:sz w:val="22"/>
              </w:rPr>
            </w:pPr>
            <w:r>
              <w:rPr>
                <w:sz w:val="22"/>
              </w:rPr>
              <w:t>成套住宅</w:t>
            </w:r>
          </w:p>
        </w:tc>
        <w:tc>
          <w:tcPr>
            <w:tcW w:w="469" w:type="dxa"/>
            <w:tcBorders>
              <w:top w:val="single" w:color="2F5395" w:sz="4" w:space="0"/>
              <w:left w:val="single" w:color="2F5395" w:sz="4" w:space="0"/>
              <w:bottom w:val="single" w:color="2F5395" w:sz="4" w:space="0"/>
              <w:right w:val="single" w:color="2F5395" w:sz="4" w:space="0"/>
            </w:tcBorders>
            <w:shd w:val="clear" w:color="auto" w:fill="FFFFCC"/>
          </w:tcPr>
          <w:p>
            <w:pPr>
              <w:pStyle w:val="11"/>
              <w:spacing w:before="2"/>
              <w:jc w:val="left"/>
              <w:rPr>
                <w:b/>
                <w:sz w:val="30"/>
              </w:rPr>
            </w:pPr>
          </w:p>
          <w:p>
            <w:pPr>
              <w:pStyle w:val="11"/>
              <w:ind w:left="23"/>
              <w:rPr>
                <w:sz w:val="22"/>
              </w:rPr>
            </w:pPr>
            <w:r>
              <w:rPr>
                <w:w w:val="100"/>
                <w:sz w:val="22"/>
              </w:rPr>
              <w:t>北</w:t>
            </w:r>
          </w:p>
        </w:tc>
        <w:tc>
          <w:tcPr>
            <w:tcW w:w="887" w:type="dxa"/>
            <w:tcBorders>
              <w:top w:val="single" w:color="2F5395" w:sz="4" w:space="0"/>
              <w:left w:val="single" w:color="2F5395" w:sz="4" w:space="0"/>
              <w:bottom w:val="single" w:color="2F5395" w:sz="4" w:space="0"/>
              <w:right w:val="single" w:color="2F5395" w:sz="4" w:space="0"/>
            </w:tcBorders>
            <w:shd w:val="clear" w:color="auto" w:fill="FFFFCC"/>
          </w:tcPr>
          <w:p>
            <w:pPr>
              <w:pStyle w:val="11"/>
              <w:spacing w:before="2"/>
              <w:jc w:val="left"/>
              <w:rPr>
                <w:b/>
                <w:sz w:val="30"/>
              </w:rPr>
            </w:pPr>
          </w:p>
          <w:p>
            <w:pPr>
              <w:pStyle w:val="11"/>
              <w:ind w:left="92" w:right="62"/>
              <w:rPr>
                <w:sz w:val="22"/>
              </w:rPr>
            </w:pPr>
            <w:r>
              <w:rPr>
                <w:sz w:val="22"/>
              </w:rPr>
              <w:t>104.76</w:t>
            </w:r>
          </w:p>
        </w:tc>
        <w:tc>
          <w:tcPr>
            <w:tcW w:w="1113" w:type="dxa"/>
            <w:tcBorders>
              <w:top w:val="single" w:color="2F5395" w:sz="4" w:space="0"/>
              <w:left w:val="single" w:color="2F5395" w:sz="4" w:space="0"/>
              <w:bottom w:val="single" w:color="2F5395" w:sz="4" w:space="0"/>
              <w:right w:val="single" w:color="2F5395" w:sz="4" w:space="0"/>
            </w:tcBorders>
            <w:shd w:val="clear" w:color="auto" w:fill="FFFFCC"/>
          </w:tcPr>
          <w:p>
            <w:pPr>
              <w:pStyle w:val="11"/>
              <w:spacing w:before="2"/>
              <w:jc w:val="left"/>
              <w:rPr>
                <w:b/>
                <w:sz w:val="30"/>
              </w:rPr>
            </w:pPr>
          </w:p>
          <w:p>
            <w:pPr>
              <w:pStyle w:val="11"/>
              <w:ind w:left="275" w:right="238"/>
              <w:rPr>
                <w:sz w:val="22"/>
              </w:rPr>
            </w:pPr>
            <w:r>
              <w:rPr>
                <w:sz w:val="22"/>
              </w:rPr>
              <w:t>12.53</w:t>
            </w:r>
          </w:p>
        </w:tc>
        <w:tc>
          <w:tcPr>
            <w:tcW w:w="1135" w:type="dxa"/>
            <w:tcBorders>
              <w:top w:val="single" w:color="2F5395" w:sz="4" w:space="0"/>
              <w:left w:val="single" w:color="2F5395" w:sz="4" w:space="0"/>
              <w:bottom w:val="single" w:color="2F5395" w:sz="4" w:space="0"/>
              <w:right w:val="single" w:color="2F5395" w:sz="4" w:space="0"/>
            </w:tcBorders>
            <w:shd w:val="clear" w:color="auto" w:fill="FFFFCC"/>
          </w:tcPr>
          <w:p>
            <w:pPr>
              <w:pStyle w:val="11"/>
              <w:spacing w:before="2"/>
              <w:jc w:val="left"/>
              <w:rPr>
                <w:b/>
                <w:sz w:val="30"/>
              </w:rPr>
            </w:pPr>
          </w:p>
          <w:p>
            <w:pPr>
              <w:pStyle w:val="11"/>
              <w:ind w:left="37" w:right="7"/>
              <w:rPr>
                <w:sz w:val="22"/>
              </w:rPr>
            </w:pPr>
            <w:r>
              <w:rPr>
                <w:sz w:val="22"/>
              </w:rPr>
              <w:t>4,260</w:t>
            </w:r>
          </w:p>
        </w:tc>
        <w:tc>
          <w:tcPr>
            <w:tcW w:w="1116" w:type="dxa"/>
            <w:tcBorders>
              <w:top w:val="single" w:color="2F5395" w:sz="4" w:space="0"/>
              <w:left w:val="single" w:color="2F5395" w:sz="4" w:space="0"/>
              <w:bottom w:val="single" w:color="2F5395" w:sz="4" w:space="0"/>
              <w:right w:val="single" w:color="2F5395" w:sz="4" w:space="0"/>
            </w:tcBorders>
            <w:shd w:val="clear" w:color="auto" w:fill="FFFFCC"/>
          </w:tcPr>
          <w:p>
            <w:pPr>
              <w:pStyle w:val="11"/>
              <w:spacing w:before="2"/>
              <w:jc w:val="left"/>
              <w:rPr>
                <w:b/>
                <w:sz w:val="30"/>
              </w:rPr>
            </w:pPr>
          </w:p>
          <w:p>
            <w:pPr>
              <w:pStyle w:val="11"/>
              <w:ind w:right="257"/>
              <w:jc w:val="right"/>
              <w:rPr>
                <w:sz w:val="22"/>
              </w:rPr>
            </w:pPr>
            <w:r>
              <w:rPr>
                <w:sz w:val="22"/>
              </w:rPr>
              <w:t>44.63</w:t>
            </w:r>
          </w:p>
        </w:tc>
      </w:tr>
      <w:tr>
        <w:tblPrEx>
          <w:tblBorders>
            <w:top w:val="double" w:color="2F5395" w:sz="2" w:space="0"/>
            <w:left w:val="double" w:color="2F5395" w:sz="2" w:space="0"/>
            <w:bottom w:val="double" w:color="2F5395" w:sz="2" w:space="0"/>
            <w:right w:val="double" w:color="2F5395" w:sz="2" w:space="0"/>
            <w:insideH w:val="double" w:color="2F5395" w:sz="2" w:space="0"/>
            <w:insideV w:val="double" w:color="2F5395" w:sz="2" w:space="0"/>
          </w:tblBorders>
          <w:tblCellMar>
            <w:top w:w="0" w:type="dxa"/>
            <w:left w:w="0" w:type="dxa"/>
            <w:bottom w:w="0" w:type="dxa"/>
            <w:right w:w="0" w:type="dxa"/>
          </w:tblCellMar>
        </w:tblPrEx>
        <w:trPr>
          <w:trHeight w:val="309" w:hRule="atLeast"/>
        </w:trPr>
        <w:tc>
          <w:tcPr>
            <w:tcW w:w="2226" w:type="dxa"/>
            <w:gridSpan w:val="2"/>
            <w:tcBorders>
              <w:top w:val="single" w:color="2F5395" w:sz="4" w:space="0"/>
              <w:bottom w:val="single" w:color="2F5395" w:sz="4" w:space="0"/>
              <w:right w:val="single" w:color="2F5395" w:sz="4" w:space="0"/>
            </w:tcBorders>
            <w:shd w:val="clear" w:color="auto" w:fill="933634"/>
          </w:tcPr>
          <w:p>
            <w:pPr>
              <w:pStyle w:val="11"/>
              <w:spacing w:line="289" w:lineRule="exact"/>
              <w:ind w:left="858" w:right="859"/>
              <w:rPr>
                <w:b/>
                <w:sz w:val="22"/>
              </w:rPr>
            </w:pPr>
            <w:r>
              <w:rPr>
                <w:b/>
                <w:color w:val="FFFFFF"/>
                <w:sz w:val="22"/>
              </w:rPr>
              <w:t>合计</w:t>
            </w:r>
          </w:p>
        </w:tc>
        <w:tc>
          <w:tcPr>
            <w:tcW w:w="1742" w:type="dxa"/>
            <w:tcBorders>
              <w:top w:val="single" w:color="2F5395" w:sz="4" w:space="0"/>
              <w:left w:val="single" w:color="2F5395" w:sz="4" w:space="0"/>
              <w:bottom w:val="single" w:color="2F5395" w:sz="4" w:space="0"/>
              <w:right w:val="single" w:color="2F5395" w:sz="4" w:space="0"/>
            </w:tcBorders>
            <w:shd w:val="clear" w:color="auto" w:fill="933634"/>
          </w:tcPr>
          <w:p>
            <w:pPr>
              <w:pStyle w:val="11"/>
              <w:spacing w:line="289" w:lineRule="exact"/>
              <w:ind w:left="17"/>
              <w:rPr>
                <w:b/>
                <w:sz w:val="22"/>
              </w:rPr>
            </w:pPr>
            <w:r>
              <w:rPr>
                <w:b/>
                <w:color w:val="FFFFFF"/>
                <w:w w:val="100"/>
                <w:sz w:val="22"/>
              </w:rPr>
              <w:t>—</w:t>
            </w:r>
          </w:p>
        </w:tc>
        <w:tc>
          <w:tcPr>
            <w:tcW w:w="436" w:type="dxa"/>
            <w:tcBorders>
              <w:top w:val="single" w:color="2F5395" w:sz="4" w:space="0"/>
              <w:left w:val="single" w:color="2F5395" w:sz="4" w:space="0"/>
              <w:bottom w:val="single" w:color="2F5395" w:sz="4" w:space="0"/>
              <w:right w:val="single" w:color="2F5395" w:sz="4" w:space="0"/>
            </w:tcBorders>
            <w:shd w:val="clear" w:color="auto" w:fill="933634"/>
          </w:tcPr>
          <w:p>
            <w:pPr>
              <w:pStyle w:val="11"/>
              <w:spacing w:line="289" w:lineRule="exact"/>
              <w:ind w:left="111"/>
              <w:jc w:val="left"/>
              <w:rPr>
                <w:b/>
                <w:sz w:val="22"/>
              </w:rPr>
            </w:pPr>
            <w:r>
              <w:rPr>
                <w:b/>
                <w:color w:val="FFFFFF"/>
                <w:w w:val="100"/>
                <w:sz w:val="22"/>
              </w:rPr>
              <w:t>—</w:t>
            </w:r>
          </w:p>
        </w:tc>
        <w:tc>
          <w:tcPr>
            <w:tcW w:w="570" w:type="dxa"/>
            <w:tcBorders>
              <w:top w:val="single" w:color="2F5395" w:sz="4" w:space="0"/>
              <w:left w:val="single" w:color="2F5395" w:sz="4" w:space="0"/>
              <w:bottom w:val="single" w:color="2F5395" w:sz="4" w:space="0"/>
              <w:right w:val="single" w:color="2F5395" w:sz="4" w:space="0"/>
            </w:tcBorders>
            <w:shd w:val="clear" w:color="auto" w:fill="933634"/>
          </w:tcPr>
          <w:p>
            <w:pPr>
              <w:pStyle w:val="11"/>
              <w:jc w:val="left"/>
              <w:rPr>
                <w:rFonts w:ascii="Times New Roman"/>
                <w:sz w:val="22"/>
              </w:rPr>
            </w:pPr>
          </w:p>
        </w:tc>
        <w:tc>
          <w:tcPr>
            <w:tcW w:w="678" w:type="dxa"/>
            <w:tcBorders>
              <w:top w:val="single" w:color="2F5395" w:sz="4" w:space="0"/>
              <w:left w:val="single" w:color="2F5395" w:sz="4" w:space="0"/>
              <w:bottom w:val="single" w:color="2F5395" w:sz="4" w:space="0"/>
              <w:right w:val="single" w:color="2F5395" w:sz="4" w:space="0"/>
            </w:tcBorders>
            <w:shd w:val="clear" w:color="auto" w:fill="933634"/>
          </w:tcPr>
          <w:p>
            <w:pPr>
              <w:pStyle w:val="11"/>
              <w:spacing w:line="289" w:lineRule="exact"/>
              <w:ind w:left="20"/>
              <w:rPr>
                <w:b/>
                <w:sz w:val="22"/>
              </w:rPr>
            </w:pPr>
            <w:r>
              <w:rPr>
                <w:b/>
                <w:color w:val="FFFFFF"/>
                <w:w w:val="100"/>
                <w:sz w:val="22"/>
              </w:rPr>
              <w:t>—</w:t>
            </w:r>
          </w:p>
        </w:tc>
        <w:tc>
          <w:tcPr>
            <w:tcW w:w="800" w:type="dxa"/>
            <w:tcBorders>
              <w:top w:val="single" w:color="2F5395" w:sz="4" w:space="0"/>
              <w:left w:val="single" w:color="2F5395" w:sz="4" w:space="0"/>
              <w:bottom w:val="single" w:color="2F5395" w:sz="4" w:space="0"/>
              <w:right w:val="single" w:color="2F5395" w:sz="4" w:space="0"/>
            </w:tcBorders>
            <w:shd w:val="clear" w:color="auto" w:fill="933634"/>
          </w:tcPr>
          <w:p>
            <w:pPr>
              <w:pStyle w:val="11"/>
              <w:spacing w:line="289" w:lineRule="exact"/>
              <w:ind w:left="25"/>
              <w:rPr>
                <w:b/>
                <w:sz w:val="22"/>
              </w:rPr>
            </w:pPr>
            <w:r>
              <w:rPr>
                <w:b/>
                <w:color w:val="FFFFFF"/>
                <w:w w:val="100"/>
                <w:sz w:val="22"/>
              </w:rPr>
              <w:t>—</w:t>
            </w:r>
          </w:p>
        </w:tc>
        <w:tc>
          <w:tcPr>
            <w:tcW w:w="469" w:type="dxa"/>
            <w:tcBorders>
              <w:top w:val="single" w:color="2F5395" w:sz="4" w:space="0"/>
              <w:left w:val="single" w:color="2F5395" w:sz="4" w:space="0"/>
              <w:bottom w:val="single" w:color="2F5395" w:sz="4" w:space="0"/>
              <w:right w:val="single" w:color="2F5395" w:sz="4" w:space="0"/>
            </w:tcBorders>
            <w:shd w:val="clear" w:color="auto" w:fill="933634"/>
          </w:tcPr>
          <w:p>
            <w:pPr>
              <w:pStyle w:val="11"/>
              <w:spacing w:line="289" w:lineRule="exact"/>
              <w:ind w:left="23"/>
              <w:rPr>
                <w:b/>
                <w:sz w:val="22"/>
              </w:rPr>
            </w:pPr>
            <w:r>
              <w:rPr>
                <w:b/>
                <w:color w:val="FFFFFF"/>
                <w:w w:val="100"/>
                <w:sz w:val="22"/>
              </w:rPr>
              <w:t>—</w:t>
            </w:r>
          </w:p>
        </w:tc>
        <w:tc>
          <w:tcPr>
            <w:tcW w:w="887" w:type="dxa"/>
            <w:tcBorders>
              <w:top w:val="single" w:color="2F5395" w:sz="4" w:space="0"/>
              <w:left w:val="single" w:color="2F5395" w:sz="4" w:space="0"/>
              <w:bottom w:val="single" w:color="2F5395" w:sz="4" w:space="0"/>
              <w:right w:val="single" w:color="2F5395" w:sz="4" w:space="0"/>
            </w:tcBorders>
            <w:shd w:val="clear" w:color="auto" w:fill="933634"/>
          </w:tcPr>
          <w:p>
            <w:pPr>
              <w:pStyle w:val="11"/>
              <w:spacing w:line="289" w:lineRule="exact"/>
              <w:ind w:left="92" w:right="59"/>
              <w:rPr>
                <w:b/>
                <w:sz w:val="22"/>
              </w:rPr>
            </w:pPr>
            <w:r>
              <w:rPr>
                <w:b/>
                <w:color w:val="FFFFFF"/>
                <w:sz w:val="22"/>
              </w:rPr>
              <w:t>104.76</w:t>
            </w:r>
          </w:p>
        </w:tc>
        <w:tc>
          <w:tcPr>
            <w:tcW w:w="1113" w:type="dxa"/>
            <w:tcBorders>
              <w:top w:val="single" w:color="2F5395" w:sz="4" w:space="0"/>
              <w:left w:val="single" w:color="2F5395" w:sz="4" w:space="0"/>
              <w:bottom w:val="single" w:color="2F5395" w:sz="4" w:space="0"/>
              <w:right w:val="single" w:color="2F5395" w:sz="4" w:space="0"/>
            </w:tcBorders>
            <w:shd w:val="clear" w:color="auto" w:fill="933634"/>
          </w:tcPr>
          <w:p>
            <w:pPr>
              <w:pStyle w:val="11"/>
              <w:spacing w:line="289" w:lineRule="exact"/>
              <w:ind w:left="32"/>
              <w:rPr>
                <w:b/>
                <w:sz w:val="22"/>
              </w:rPr>
            </w:pPr>
            <w:r>
              <w:rPr>
                <w:b/>
                <w:color w:val="FFFFFF"/>
                <w:w w:val="100"/>
                <w:sz w:val="22"/>
              </w:rPr>
              <w:t>—</w:t>
            </w:r>
          </w:p>
        </w:tc>
        <w:tc>
          <w:tcPr>
            <w:tcW w:w="1135" w:type="dxa"/>
            <w:tcBorders>
              <w:top w:val="single" w:color="2F5395" w:sz="4" w:space="0"/>
              <w:left w:val="single" w:color="2F5395" w:sz="4" w:space="0"/>
              <w:bottom w:val="single" w:color="2F5395" w:sz="4" w:space="0"/>
              <w:right w:val="single" w:color="2F5395" w:sz="4" w:space="0"/>
            </w:tcBorders>
            <w:shd w:val="clear" w:color="auto" w:fill="933634"/>
          </w:tcPr>
          <w:p>
            <w:pPr>
              <w:pStyle w:val="11"/>
              <w:spacing w:line="289" w:lineRule="exact"/>
              <w:ind w:left="31"/>
              <w:rPr>
                <w:b/>
                <w:sz w:val="22"/>
              </w:rPr>
            </w:pPr>
            <w:r>
              <w:rPr>
                <w:b/>
                <w:color w:val="FFFFFF"/>
                <w:w w:val="100"/>
                <w:sz w:val="22"/>
              </w:rPr>
              <w:t>—</w:t>
            </w:r>
          </w:p>
        </w:tc>
        <w:tc>
          <w:tcPr>
            <w:tcW w:w="1116" w:type="dxa"/>
            <w:tcBorders>
              <w:top w:val="single" w:color="2F5395" w:sz="4" w:space="0"/>
              <w:left w:val="single" w:color="2F5395" w:sz="4" w:space="0"/>
              <w:bottom w:val="single" w:color="2F5395" w:sz="4" w:space="0"/>
              <w:right w:val="single" w:color="2F5395" w:sz="4" w:space="0"/>
            </w:tcBorders>
            <w:shd w:val="clear" w:color="auto" w:fill="933634"/>
          </w:tcPr>
          <w:p>
            <w:pPr>
              <w:pStyle w:val="11"/>
              <w:spacing w:line="289" w:lineRule="exact"/>
              <w:ind w:right="259"/>
              <w:jc w:val="right"/>
              <w:rPr>
                <w:b/>
                <w:sz w:val="22"/>
              </w:rPr>
            </w:pPr>
            <w:r>
              <w:rPr>
                <w:b/>
                <w:color w:val="FFFFFF"/>
                <w:sz w:val="22"/>
              </w:rPr>
              <w:t>44.63</w:t>
            </w:r>
          </w:p>
        </w:tc>
      </w:tr>
      <w:tr>
        <w:tblPrEx>
          <w:tblBorders>
            <w:top w:val="double" w:color="2F5395" w:sz="2" w:space="0"/>
            <w:left w:val="double" w:color="2F5395" w:sz="2" w:space="0"/>
            <w:bottom w:val="double" w:color="2F5395" w:sz="2" w:space="0"/>
            <w:right w:val="double" w:color="2F5395" w:sz="2" w:space="0"/>
            <w:insideH w:val="double" w:color="2F5395" w:sz="2" w:space="0"/>
            <w:insideV w:val="double" w:color="2F5395" w:sz="2" w:space="0"/>
          </w:tblBorders>
          <w:tblCellMar>
            <w:top w:w="0" w:type="dxa"/>
            <w:left w:w="0" w:type="dxa"/>
            <w:bottom w:w="0" w:type="dxa"/>
            <w:right w:w="0" w:type="dxa"/>
          </w:tblCellMar>
        </w:tblPrEx>
        <w:trPr>
          <w:trHeight w:val="318" w:hRule="atLeast"/>
        </w:trPr>
        <w:tc>
          <w:tcPr>
            <w:tcW w:w="2226" w:type="dxa"/>
            <w:gridSpan w:val="2"/>
            <w:vMerge w:val="restart"/>
            <w:tcBorders>
              <w:top w:val="single" w:color="2F5395" w:sz="4" w:space="0"/>
              <w:right w:val="single" w:color="2F5395" w:sz="4" w:space="0"/>
            </w:tcBorders>
            <w:shd w:val="clear" w:color="auto" w:fill="933634"/>
          </w:tcPr>
          <w:p>
            <w:pPr>
              <w:pStyle w:val="11"/>
              <w:spacing w:before="180"/>
              <w:ind w:left="495"/>
              <w:jc w:val="left"/>
              <w:rPr>
                <w:b/>
                <w:sz w:val="24"/>
              </w:rPr>
            </w:pPr>
            <w:r>
              <w:rPr>
                <w:b/>
                <w:color w:val="FFFFFF"/>
                <w:sz w:val="24"/>
              </w:rPr>
              <w:t>评估价值：</w:t>
            </w:r>
          </w:p>
        </w:tc>
        <w:tc>
          <w:tcPr>
            <w:tcW w:w="8946" w:type="dxa"/>
            <w:gridSpan w:val="10"/>
            <w:tcBorders>
              <w:top w:val="single" w:color="2F5395" w:sz="4" w:space="0"/>
              <w:left w:val="single" w:color="2F5395" w:sz="4" w:space="0"/>
              <w:bottom w:val="single" w:color="2F5395" w:sz="4" w:space="0"/>
              <w:right w:val="single" w:color="2F5395" w:sz="4" w:space="0"/>
            </w:tcBorders>
            <w:shd w:val="clear" w:color="auto" w:fill="933634"/>
          </w:tcPr>
          <w:p>
            <w:pPr>
              <w:pStyle w:val="11"/>
              <w:spacing w:line="298" w:lineRule="exact"/>
              <w:ind w:left="2266" w:right="2241"/>
              <w:rPr>
                <w:b/>
                <w:sz w:val="24"/>
              </w:rPr>
            </w:pPr>
            <w:r>
              <w:rPr>
                <w:b/>
                <w:color w:val="FFFFFF"/>
                <w:sz w:val="24"/>
              </w:rPr>
              <w:t>RMB: 44.63 万元（取整至百元位）</w:t>
            </w:r>
          </w:p>
        </w:tc>
      </w:tr>
      <w:tr>
        <w:tblPrEx>
          <w:tblBorders>
            <w:top w:val="double" w:color="2F5395" w:sz="2" w:space="0"/>
            <w:left w:val="double" w:color="2F5395" w:sz="2" w:space="0"/>
            <w:bottom w:val="double" w:color="2F5395" w:sz="2" w:space="0"/>
            <w:right w:val="double" w:color="2F5395" w:sz="2" w:space="0"/>
            <w:insideH w:val="double" w:color="2F5395" w:sz="2" w:space="0"/>
            <w:insideV w:val="double" w:color="2F5395" w:sz="2" w:space="0"/>
          </w:tblBorders>
          <w:tblCellMar>
            <w:top w:w="0" w:type="dxa"/>
            <w:left w:w="0" w:type="dxa"/>
            <w:bottom w:w="0" w:type="dxa"/>
            <w:right w:w="0" w:type="dxa"/>
          </w:tblCellMar>
        </w:tblPrEx>
        <w:trPr>
          <w:trHeight w:val="353" w:hRule="atLeast"/>
        </w:trPr>
        <w:tc>
          <w:tcPr>
            <w:tcW w:w="2226" w:type="dxa"/>
            <w:gridSpan w:val="2"/>
            <w:vMerge w:val="continue"/>
            <w:tcBorders>
              <w:top w:val="nil"/>
              <w:right w:val="single" w:color="2F5395" w:sz="4" w:space="0"/>
            </w:tcBorders>
            <w:shd w:val="clear" w:color="auto" w:fill="933634"/>
          </w:tcPr>
          <w:p>
            <w:pPr>
              <w:rPr>
                <w:sz w:val="2"/>
                <w:szCs w:val="2"/>
              </w:rPr>
            </w:pPr>
          </w:p>
        </w:tc>
        <w:tc>
          <w:tcPr>
            <w:tcW w:w="8946" w:type="dxa"/>
            <w:gridSpan w:val="10"/>
            <w:tcBorders>
              <w:top w:val="single" w:color="2F5395" w:sz="4" w:space="0"/>
              <w:left w:val="single" w:color="2F5395" w:sz="4" w:space="0"/>
              <w:right w:val="single" w:color="2F5395" w:sz="4" w:space="0"/>
            </w:tcBorders>
            <w:shd w:val="clear" w:color="auto" w:fill="933634"/>
          </w:tcPr>
          <w:p>
            <w:pPr>
              <w:pStyle w:val="11"/>
              <w:spacing w:before="6" w:line="327" w:lineRule="exact"/>
              <w:ind w:left="2266" w:right="2244"/>
              <w:rPr>
                <w:b/>
                <w:sz w:val="24"/>
              </w:rPr>
            </w:pPr>
            <w:r>
              <w:rPr>
                <w:b/>
                <w:color w:val="FFFFFF"/>
                <w:sz w:val="24"/>
              </w:rPr>
              <w:t>金额大写：人民币 肆拾肆万陆仟叁佰圆整</w:t>
            </w:r>
          </w:p>
        </w:tc>
      </w:tr>
    </w:tbl>
    <w:p>
      <w:pPr>
        <w:spacing w:before="215"/>
        <w:ind w:left="1684" w:right="0" w:firstLine="0"/>
        <w:jc w:val="left"/>
        <w:rPr>
          <w:b/>
          <w:i/>
          <w:sz w:val="27"/>
        </w:rPr>
      </w:pPr>
      <w:r>
        <w:rPr>
          <w:b/>
          <w:i/>
          <w:sz w:val="27"/>
          <w:u w:val="single"/>
        </w:rPr>
        <w:t>特别提示：</w:t>
      </w:r>
    </w:p>
    <w:p>
      <w:pPr>
        <w:pStyle w:val="10"/>
        <w:numPr>
          <w:ilvl w:val="0"/>
          <w:numId w:val="23"/>
        </w:numPr>
        <w:tabs>
          <w:tab w:val="left" w:pos="1685"/>
        </w:tabs>
        <w:spacing w:before="154" w:after="0" w:line="338" w:lineRule="auto"/>
        <w:ind w:left="1684" w:right="953" w:hanging="219"/>
        <w:jc w:val="left"/>
        <w:rPr>
          <w:sz w:val="26"/>
        </w:rPr>
      </w:pPr>
      <w:r>
        <w:rPr>
          <w:spacing w:val="-5"/>
          <w:sz w:val="26"/>
        </w:rPr>
        <w:t>建筑物估价结果为建筑面积单价，单价取整至元位，总价取整至百元位，币种</w:t>
      </w:r>
      <w:r>
        <w:rPr>
          <w:sz w:val="26"/>
        </w:rPr>
        <w:t>为人民币。</w:t>
      </w:r>
    </w:p>
    <w:p>
      <w:pPr>
        <w:pStyle w:val="10"/>
        <w:numPr>
          <w:ilvl w:val="0"/>
          <w:numId w:val="23"/>
        </w:numPr>
        <w:tabs>
          <w:tab w:val="left" w:pos="1685"/>
        </w:tabs>
        <w:spacing w:before="0" w:after="0" w:line="338" w:lineRule="auto"/>
        <w:ind w:left="1684" w:right="955" w:hanging="219"/>
        <w:jc w:val="left"/>
        <w:rPr>
          <w:sz w:val="26"/>
        </w:rPr>
      </w:pPr>
      <w:r>
        <w:rPr>
          <w:spacing w:val="-4"/>
          <w:sz w:val="26"/>
        </w:rPr>
        <w:t>本次估价未考虑估价对象可能存在的欠缴水、电、物业费等费用对其市场价值</w:t>
      </w:r>
      <w:r>
        <w:rPr>
          <w:sz w:val="26"/>
        </w:rPr>
        <w:t>的影响。</w:t>
      </w:r>
    </w:p>
    <w:p>
      <w:pPr>
        <w:pStyle w:val="10"/>
        <w:numPr>
          <w:ilvl w:val="0"/>
          <w:numId w:val="23"/>
        </w:numPr>
        <w:tabs>
          <w:tab w:val="left" w:pos="1685"/>
        </w:tabs>
        <w:spacing w:before="0" w:after="0" w:line="338" w:lineRule="auto"/>
        <w:ind w:left="1684" w:right="955" w:hanging="219"/>
        <w:jc w:val="left"/>
        <w:rPr>
          <w:sz w:val="26"/>
        </w:rPr>
      </w:pPr>
      <w:r>
        <w:rPr>
          <w:spacing w:val="-3"/>
          <w:sz w:val="26"/>
        </w:rPr>
        <w:t>本次估价结果包括了估价对象房地产的瑕疵对其价值的影响，但不包括估价对</w:t>
      </w:r>
      <w:r>
        <w:rPr>
          <w:sz w:val="26"/>
        </w:rPr>
        <w:t>象可能存在的租赁权、用益物权、担保物权和其他优先受偿权。</w:t>
      </w:r>
    </w:p>
    <w:p>
      <w:pPr>
        <w:spacing w:after="0" w:line="338" w:lineRule="auto"/>
        <w:jc w:val="left"/>
        <w:rPr>
          <w:sz w:val="26"/>
        </w:rPr>
        <w:sectPr>
          <w:pgSz w:w="11910" w:h="16840"/>
          <w:pgMar w:top="1100" w:right="180" w:bottom="1060" w:left="300" w:header="845" w:footer="877" w:gutter="0"/>
        </w:sectPr>
      </w:pPr>
    </w:p>
    <w:p>
      <w:pPr>
        <w:pStyle w:val="4"/>
        <w:rPr>
          <w:sz w:val="2"/>
        </w:rPr>
      </w:pPr>
    </w:p>
    <w:p>
      <w:pPr>
        <w:pStyle w:val="4"/>
        <w:spacing w:line="192" w:lineRule="exact"/>
        <w:ind w:left="513"/>
        <w:rPr>
          <w:sz w:val="19"/>
        </w:rPr>
      </w:pPr>
      <w:r>
        <w:rPr>
          <w:position w:val="-3"/>
          <w:sz w:val="19"/>
        </w:rPr>
        <w:pict>
          <v:group id="_x0000_s1163" o:spid="_x0000_s1163" o:spt="203" style="height:9.6pt;width:503.35pt;" coordsize="10067,192">
            <o:lock v:ext="edit"/>
            <v:line id="_x0000_s1164" o:spid="_x0000_s1164" o:spt="20" style="position:absolute;left:0;top:13;height:0;width:1083;" stroked="t" coordsize="21600,21600">
              <v:path arrowok="t"/>
              <v:fill focussize="0,0"/>
              <v:stroke weight="0.96pt" color="#585858"/>
              <v:imagedata o:title=""/>
              <o:lock v:ext="edit"/>
            </v:line>
            <v:line id="_x0000_s1165" o:spid="_x0000_s1165" o:spt="20" style="position:absolute;left:1111;top:177;height:0;width:8955;" stroked="t" coordsize="21600,21600">
              <v:path arrowok="t"/>
              <v:fill focussize="0,0"/>
              <v:stroke weight="1.41433070866142pt" color="#585858"/>
              <v:imagedata o:title=""/>
              <o:lock v:ext="edit"/>
            </v:line>
            <v:line id="_x0000_s1166" o:spid="_x0000_s1166" o:spt="20" style="position:absolute;left:1162;top:79;height:5;width:8797;" stroked="t" coordsize="21600,21600">
              <v:path arrowok="t"/>
              <v:fill focussize="0,0"/>
              <v:stroke weight="7.9pt" color="#585858"/>
              <v:imagedata o:title=""/>
              <o:lock v:ext="edit"/>
            </v:line>
            <w10:wrap type="none"/>
            <w10:anchorlock/>
          </v:group>
        </w:pict>
      </w:r>
    </w:p>
    <w:p>
      <w:pPr>
        <w:pStyle w:val="10"/>
        <w:numPr>
          <w:ilvl w:val="0"/>
          <w:numId w:val="23"/>
        </w:numPr>
        <w:tabs>
          <w:tab w:val="left" w:pos="1685"/>
        </w:tabs>
        <w:spacing w:before="60" w:after="0" w:line="338" w:lineRule="auto"/>
        <w:ind w:left="1684" w:right="951" w:hanging="219"/>
        <w:jc w:val="both"/>
        <w:rPr>
          <w:sz w:val="26"/>
        </w:rPr>
      </w:pPr>
      <w:r>
        <w:rPr>
          <w:spacing w:val="-12"/>
          <w:sz w:val="26"/>
        </w:rPr>
        <w:t>依照《房地产估价规范》</w:t>
      </w:r>
      <w:r>
        <w:rPr>
          <w:sz w:val="26"/>
        </w:rPr>
        <w:t>（GB/T</w:t>
      </w:r>
      <w:r>
        <w:rPr>
          <w:spacing w:val="22"/>
          <w:sz w:val="26"/>
        </w:rPr>
        <w:t xml:space="preserve"> </w:t>
      </w:r>
      <w:r>
        <w:rPr>
          <w:sz w:val="26"/>
        </w:rPr>
        <w:t>50291-2015）相关规定并结合估价目的，本次估价未考虑抵押、查封等对估价结果的影响。</w:t>
      </w:r>
    </w:p>
    <w:p>
      <w:pPr>
        <w:pStyle w:val="10"/>
        <w:numPr>
          <w:ilvl w:val="0"/>
          <w:numId w:val="23"/>
        </w:numPr>
        <w:tabs>
          <w:tab w:val="left" w:pos="1685"/>
        </w:tabs>
        <w:spacing w:before="0" w:after="0" w:line="338" w:lineRule="auto"/>
        <w:ind w:left="1685" w:right="823" w:hanging="219"/>
        <w:jc w:val="both"/>
        <w:rPr>
          <w:sz w:val="26"/>
        </w:rPr>
      </w:pPr>
      <w:r>
        <w:rPr>
          <w:spacing w:val="5"/>
          <w:sz w:val="26"/>
        </w:rPr>
        <w:t>本次估价结果系在满足本估价报告所列的全部假设和估价师声明的条件下做</w:t>
      </w:r>
      <w:r>
        <w:rPr>
          <w:spacing w:val="-6"/>
          <w:sz w:val="26"/>
        </w:rPr>
        <w:t>出的，请估价报告使用者使用本估价报告前，认真阅读本估价报告的“估价师</w:t>
      </w:r>
      <w:r>
        <w:rPr>
          <w:spacing w:val="-15"/>
          <w:sz w:val="26"/>
        </w:rPr>
        <w:t>声明”、“估价的假设和估价报告使用的限制条件”，以免使用不当造成损失！</w:t>
      </w:r>
    </w:p>
    <w:p>
      <w:pPr>
        <w:pStyle w:val="10"/>
        <w:numPr>
          <w:ilvl w:val="0"/>
          <w:numId w:val="23"/>
        </w:numPr>
        <w:tabs>
          <w:tab w:val="left" w:pos="1685"/>
        </w:tabs>
        <w:spacing w:before="0" w:after="0" w:line="386" w:lineRule="exact"/>
        <w:ind w:left="1684" w:right="0" w:hanging="219"/>
        <w:jc w:val="left"/>
        <w:rPr>
          <w:sz w:val="26"/>
        </w:rPr>
      </w:pPr>
      <w:r>
        <w:rPr>
          <w:sz w:val="26"/>
        </w:rPr>
        <w:t>估价对象的特点</w:t>
      </w:r>
    </w:p>
    <w:p>
      <w:pPr>
        <w:pStyle w:val="10"/>
        <w:numPr>
          <w:ilvl w:val="0"/>
          <w:numId w:val="24"/>
        </w:numPr>
        <w:tabs>
          <w:tab w:val="left" w:pos="1685"/>
        </w:tabs>
        <w:spacing w:before="157" w:after="0" w:line="338" w:lineRule="auto"/>
        <w:ind w:left="1684" w:right="823" w:hanging="284"/>
        <w:jc w:val="left"/>
        <w:rPr>
          <w:rFonts w:hint="eastAsia" w:ascii="楷体" w:hAnsi="楷体" w:eastAsia="楷体"/>
          <w:color w:val="0D0D0D"/>
          <w:sz w:val="26"/>
        </w:rPr>
      </w:pPr>
      <w:r>
        <w:rPr>
          <w:b/>
          <w:color w:val="0D0D0D"/>
          <w:spacing w:val="-18"/>
          <w:sz w:val="26"/>
        </w:rPr>
        <w:t>强制处分：</w:t>
      </w:r>
      <w:r>
        <w:rPr>
          <w:color w:val="0D0D0D"/>
          <w:spacing w:val="-7"/>
          <w:sz w:val="26"/>
        </w:rPr>
        <w:t xml:space="preserve">标的物的处分属于强制性的司法行为，原产权人没有权利讨价还价， </w:t>
      </w:r>
      <w:r>
        <w:rPr>
          <w:color w:val="0D0D0D"/>
          <w:spacing w:val="-3"/>
          <w:sz w:val="26"/>
        </w:rPr>
        <w:t>处分行为也一定要在规定的时间内完成，如果处分不成，通常由法院主持处分标的物折价抵偿债务。</w:t>
      </w:r>
    </w:p>
    <w:p>
      <w:pPr>
        <w:pStyle w:val="10"/>
        <w:numPr>
          <w:ilvl w:val="0"/>
          <w:numId w:val="24"/>
        </w:numPr>
        <w:tabs>
          <w:tab w:val="left" w:pos="1685"/>
        </w:tabs>
        <w:spacing w:before="0" w:after="0" w:line="338" w:lineRule="auto"/>
        <w:ind w:left="1684" w:right="902" w:hanging="284"/>
        <w:jc w:val="both"/>
        <w:rPr>
          <w:rFonts w:hint="eastAsia" w:ascii="楷体" w:hAnsi="楷体" w:eastAsia="楷体"/>
          <w:sz w:val="26"/>
        </w:rPr>
      </w:pPr>
      <w:r>
        <w:rPr>
          <w:b/>
          <w:color w:val="0D0D0D"/>
          <w:spacing w:val="-3"/>
          <w:sz w:val="26"/>
        </w:rPr>
        <w:t>快速变现：</w:t>
      </w:r>
      <w:r>
        <w:rPr>
          <w:spacing w:val="-3"/>
          <w:sz w:val="26"/>
        </w:rPr>
        <w:t>由于交易方式的特点，买受人</w:t>
      </w:r>
      <w:r>
        <w:rPr>
          <w:sz w:val="26"/>
        </w:rPr>
        <w:t>（购得标的物的竞买人</w:t>
      </w:r>
      <w:r>
        <w:rPr>
          <w:spacing w:val="-15"/>
          <w:sz w:val="26"/>
        </w:rPr>
        <w:t>）</w:t>
      </w:r>
      <w:r>
        <w:rPr>
          <w:sz w:val="26"/>
        </w:rPr>
        <w:t>在较短的时</w:t>
      </w:r>
      <w:r>
        <w:rPr>
          <w:spacing w:val="-6"/>
          <w:sz w:val="26"/>
        </w:rPr>
        <w:t>间内决定购买，没有充分的考虑时间，也没有足够的时间对处分标的物作充分</w:t>
      </w:r>
      <w:r>
        <w:rPr>
          <w:spacing w:val="-8"/>
          <w:sz w:val="26"/>
        </w:rPr>
        <w:t>了解，特别是需在短时间内支付全部款项，承担的风险较大，因此其价格一般</w:t>
      </w:r>
      <w:r>
        <w:rPr>
          <w:spacing w:val="-9"/>
          <w:sz w:val="26"/>
        </w:rPr>
        <w:t xml:space="preserve">较正常交易低。但由于房地产不可移动的特性决定了没有两宗相同的房地产， </w:t>
      </w:r>
      <w:r>
        <w:rPr>
          <w:spacing w:val="-3"/>
          <w:sz w:val="26"/>
        </w:rPr>
        <w:t>每一宗房地产的快速变现的能力是不同的，这主要取决于房地产的实物形态及</w:t>
      </w:r>
      <w:r>
        <w:rPr>
          <w:spacing w:val="-4"/>
          <w:sz w:val="26"/>
        </w:rPr>
        <w:t>其体现的市场流动性</w:t>
      </w:r>
      <w:r>
        <w:rPr>
          <w:sz w:val="26"/>
        </w:rPr>
        <w:t>（</w:t>
      </w:r>
      <w:r>
        <w:rPr>
          <w:spacing w:val="-4"/>
          <w:sz w:val="26"/>
        </w:rPr>
        <w:t>包括通用性、独立使用性或可分割转让性、体量、区位和开发程度等</w:t>
      </w:r>
      <w:r>
        <w:rPr>
          <w:spacing w:val="-24"/>
          <w:sz w:val="26"/>
        </w:rPr>
        <w:t>）</w:t>
      </w:r>
      <w:r>
        <w:rPr>
          <w:spacing w:val="-3"/>
          <w:sz w:val="26"/>
        </w:rPr>
        <w:t>和类似房地产的市场状况</w:t>
      </w:r>
      <w:r>
        <w:rPr>
          <w:sz w:val="26"/>
        </w:rPr>
        <w:t>（包括市场发育程度和市场景气程度等</w:t>
      </w:r>
      <w:r>
        <w:rPr>
          <w:spacing w:val="-130"/>
          <w:sz w:val="26"/>
        </w:rPr>
        <w:t>）。</w:t>
      </w:r>
    </w:p>
    <w:p>
      <w:pPr>
        <w:pStyle w:val="4"/>
        <w:spacing w:line="338" w:lineRule="auto"/>
        <w:ind w:left="1685" w:right="952" w:hanging="1"/>
        <w:jc w:val="both"/>
      </w:pPr>
      <w:r>
        <w:rPr>
          <w:spacing w:val="-3"/>
        </w:rPr>
        <w:t>估价对象所在区域内房地产业市场交易平台成熟，但多为传统的中介或开发商</w:t>
      </w:r>
      <w:r>
        <w:rPr>
          <w:spacing w:val="-8"/>
        </w:rPr>
        <w:t>销售形式，根据有关规定，司法拍卖处置资产现已在网络平台上进行，由于网</w:t>
      </w:r>
      <w:r>
        <w:rPr>
          <w:spacing w:val="-4"/>
        </w:rPr>
        <w:t>络司法拍卖刚刚兴起，当地消费者对这种新的交易形式还比较陌生，市场认知</w:t>
      </w:r>
      <w:r>
        <w:rPr>
          <w:spacing w:val="-7"/>
          <w:w w:val="95"/>
        </w:rPr>
        <w:t xml:space="preserve">度不高，再加之消费者本身的文化程度及消费观念的限制，对估价对象的变现    </w:t>
      </w:r>
      <w:r>
        <w:rPr>
          <w:spacing w:val="-7"/>
        </w:rPr>
        <w:t>能力会产生一定的影响。</w:t>
      </w:r>
    </w:p>
    <w:p>
      <w:pPr>
        <w:pStyle w:val="10"/>
        <w:numPr>
          <w:ilvl w:val="0"/>
          <w:numId w:val="24"/>
        </w:numPr>
        <w:tabs>
          <w:tab w:val="left" w:pos="1685"/>
        </w:tabs>
        <w:spacing w:before="0" w:after="0" w:line="338" w:lineRule="auto"/>
        <w:ind w:left="1684" w:right="955" w:hanging="283"/>
        <w:jc w:val="left"/>
        <w:rPr>
          <w:rFonts w:hint="eastAsia" w:ascii="楷体" w:hAnsi="楷体" w:eastAsia="楷体"/>
          <w:sz w:val="26"/>
        </w:rPr>
      </w:pPr>
      <w:r>
        <w:rPr>
          <w:b/>
          <w:color w:val="0D0D0D"/>
          <w:spacing w:val="-4"/>
          <w:sz w:val="26"/>
        </w:rPr>
        <w:t>消费者心理因素：</w:t>
      </w:r>
      <w:r>
        <w:rPr>
          <w:spacing w:val="-4"/>
          <w:sz w:val="26"/>
        </w:rPr>
        <w:t>购买者由于消费心理的影响，在购买前已先期认为处分被拍卖的标的物价格会低于正常市场价格，使得处分标的物的价格较低。</w:t>
      </w:r>
    </w:p>
    <w:p>
      <w:pPr>
        <w:pStyle w:val="10"/>
        <w:numPr>
          <w:ilvl w:val="0"/>
          <w:numId w:val="24"/>
        </w:numPr>
        <w:tabs>
          <w:tab w:val="left" w:pos="1685"/>
        </w:tabs>
        <w:spacing w:before="0" w:after="0" w:line="338" w:lineRule="auto"/>
        <w:ind w:left="1684" w:right="955" w:hanging="284"/>
        <w:jc w:val="left"/>
        <w:rPr>
          <w:rFonts w:hint="eastAsia" w:ascii="楷体" w:hAnsi="楷体" w:eastAsia="楷体"/>
          <w:sz w:val="26"/>
        </w:rPr>
      </w:pPr>
      <w:r>
        <w:rPr>
          <w:b/>
          <w:color w:val="0D0D0D"/>
          <w:spacing w:val="-4"/>
          <w:sz w:val="26"/>
        </w:rPr>
        <w:t>购买者的额外支出：</w:t>
      </w:r>
      <w:r>
        <w:rPr>
          <w:spacing w:val="-2"/>
          <w:sz w:val="26"/>
        </w:rPr>
        <w:t>由于竞买标的物可能产生拍卖及其相关费用，成为购买者之额外的成本，使之希望得到较低的价格，以弥补该支出。</w:t>
      </w:r>
    </w:p>
    <w:p>
      <w:pPr>
        <w:spacing w:after="0" w:line="338" w:lineRule="auto"/>
        <w:jc w:val="left"/>
        <w:rPr>
          <w:rFonts w:hint="eastAsia" w:ascii="楷体" w:hAnsi="楷体" w:eastAsia="楷体"/>
          <w:sz w:val="26"/>
        </w:rPr>
        <w:sectPr>
          <w:pgSz w:w="11910" w:h="16840"/>
          <w:pgMar w:top="1100" w:right="180" w:bottom="1060" w:left="300" w:header="845" w:footer="877" w:gutter="0"/>
        </w:sectPr>
      </w:pPr>
    </w:p>
    <w:p>
      <w:pPr>
        <w:pStyle w:val="4"/>
        <w:rPr>
          <w:sz w:val="2"/>
        </w:rPr>
      </w:pPr>
    </w:p>
    <w:p>
      <w:pPr>
        <w:pStyle w:val="4"/>
        <w:spacing w:line="192" w:lineRule="exact"/>
        <w:ind w:left="513"/>
        <w:rPr>
          <w:sz w:val="19"/>
        </w:rPr>
      </w:pPr>
      <w:r>
        <w:rPr>
          <w:position w:val="-3"/>
          <w:sz w:val="19"/>
        </w:rPr>
        <w:pict>
          <v:group id="_x0000_s1167" o:spid="_x0000_s1167" o:spt="203" style="height:9.6pt;width:503.35pt;" coordsize="10067,192">
            <o:lock v:ext="edit"/>
            <v:line id="_x0000_s1168" o:spid="_x0000_s1168" o:spt="20" style="position:absolute;left:0;top:13;height:0;width:1083;" stroked="t" coordsize="21600,21600">
              <v:path arrowok="t"/>
              <v:fill focussize="0,0"/>
              <v:stroke weight="0.96pt" color="#585858"/>
              <v:imagedata o:title=""/>
              <o:lock v:ext="edit"/>
            </v:line>
            <v:line id="_x0000_s1169" o:spid="_x0000_s1169" o:spt="20" style="position:absolute;left:1111;top:177;height:0;width:8955;" stroked="t" coordsize="21600,21600">
              <v:path arrowok="t"/>
              <v:fill focussize="0,0"/>
              <v:stroke weight="1.41433070866142pt" color="#585858"/>
              <v:imagedata o:title=""/>
              <o:lock v:ext="edit"/>
            </v:line>
            <v:line id="_x0000_s1170" o:spid="_x0000_s1170" o:spt="20" style="position:absolute;left:1162;top:79;height:5;width:8797;" stroked="t" coordsize="21600,21600">
              <v:path arrowok="t"/>
              <v:fill focussize="0,0"/>
              <v:stroke weight="7.9pt" color="#585858"/>
              <v:imagedata o:title=""/>
              <o:lock v:ext="edit"/>
            </v:line>
            <w10:wrap type="none"/>
            <w10:anchorlock/>
          </v:group>
        </w:pict>
      </w:r>
    </w:p>
    <w:p>
      <w:pPr>
        <w:pStyle w:val="10"/>
        <w:numPr>
          <w:ilvl w:val="0"/>
          <w:numId w:val="23"/>
        </w:numPr>
        <w:tabs>
          <w:tab w:val="left" w:pos="1685"/>
        </w:tabs>
        <w:spacing w:before="60" w:after="0" w:line="240" w:lineRule="auto"/>
        <w:ind w:left="1684" w:right="0" w:hanging="219"/>
        <w:jc w:val="left"/>
        <w:rPr>
          <w:sz w:val="26"/>
        </w:rPr>
      </w:pPr>
      <w:r>
        <w:rPr>
          <w:sz w:val="26"/>
        </w:rPr>
        <w:t>房地产估价报告使用期限为壹年，自 2020</w:t>
      </w:r>
      <w:r>
        <w:rPr>
          <w:spacing w:val="2"/>
          <w:sz w:val="26"/>
        </w:rPr>
        <w:t xml:space="preserve"> 年 </w:t>
      </w:r>
      <w:r>
        <w:rPr>
          <w:sz w:val="26"/>
        </w:rPr>
        <w:t>06</w:t>
      </w:r>
      <w:r>
        <w:rPr>
          <w:spacing w:val="2"/>
          <w:sz w:val="26"/>
        </w:rPr>
        <w:t xml:space="preserve"> 月 </w:t>
      </w:r>
      <w:r>
        <w:rPr>
          <w:sz w:val="26"/>
        </w:rPr>
        <w:t>15</w:t>
      </w:r>
      <w:r>
        <w:rPr>
          <w:spacing w:val="1"/>
          <w:sz w:val="26"/>
        </w:rPr>
        <w:t xml:space="preserve"> 日至 </w:t>
      </w:r>
      <w:r>
        <w:rPr>
          <w:sz w:val="26"/>
        </w:rPr>
        <w:t>2021</w:t>
      </w:r>
      <w:r>
        <w:rPr>
          <w:spacing w:val="2"/>
          <w:sz w:val="26"/>
        </w:rPr>
        <w:t xml:space="preserve"> 年 </w:t>
      </w:r>
      <w:r>
        <w:rPr>
          <w:sz w:val="26"/>
        </w:rPr>
        <w:t>06</w:t>
      </w:r>
      <w:r>
        <w:rPr>
          <w:spacing w:val="2"/>
          <w:sz w:val="26"/>
        </w:rPr>
        <w:t xml:space="preserve"> 月 </w:t>
      </w:r>
      <w:r>
        <w:rPr>
          <w:sz w:val="26"/>
        </w:rPr>
        <w:t>14</w:t>
      </w:r>
    </w:p>
    <w:p>
      <w:pPr>
        <w:pStyle w:val="4"/>
        <w:spacing w:before="159"/>
        <w:ind w:left="1685"/>
      </w:pPr>
      <w:r>
        <w:t>日止。</w:t>
      </w:r>
    </w:p>
    <w:p>
      <w:pPr>
        <w:pStyle w:val="4"/>
        <w:rPr>
          <w:sz w:val="36"/>
        </w:rPr>
      </w:pPr>
    </w:p>
    <w:p>
      <w:pPr>
        <w:spacing w:before="287"/>
        <w:ind w:left="976" w:right="0" w:firstLine="0"/>
        <w:jc w:val="left"/>
        <w:rPr>
          <w:b/>
          <w:sz w:val="26"/>
        </w:rPr>
      </w:pPr>
      <w:r>
        <w:rPr>
          <w:b/>
          <w:sz w:val="26"/>
        </w:rPr>
        <w:t>十一. 注册房地产估价师</w:t>
      </w:r>
    </w:p>
    <w:p>
      <w:pPr>
        <w:pStyle w:val="4"/>
        <w:spacing w:before="6"/>
        <w:rPr>
          <w:b/>
          <w:sz w:val="11"/>
        </w:rPr>
      </w:pPr>
    </w:p>
    <w:tbl>
      <w:tblPr>
        <w:tblStyle w:val="7"/>
        <w:tblW w:w="0" w:type="auto"/>
        <w:tblInd w:w="140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190"/>
        <w:gridCol w:w="3190"/>
        <w:gridCol w:w="27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 w:hRule="atLeast"/>
        </w:trPr>
        <w:tc>
          <w:tcPr>
            <w:tcW w:w="6380" w:type="dxa"/>
            <w:gridSpan w:val="2"/>
            <w:tcBorders>
              <w:bottom w:val="double" w:color="C00000" w:sz="0" w:space="0"/>
              <w:right w:val="double" w:color="C00000" w:sz="0" w:space="0"/>
            </w:tcBorders>
            <w:shd w:val="clear" w:color="auto" w:fill="A64231"/>
          </w:tcPr>
          <w:p>
            <w:pPr>
              <w:pStyle w:val="11"/>
              <w:spacing w:line="306" w:lineRule="exact"/>
              <w:ind w:left="2165" w:right="2237"/>
              <w:rPr>
                <w:b/>
                <w:sz w:val="24"/>
              </w:rPr>
            </w:pPr>
            <w:r>
              <w:rPr>
                <w:b/>
                <w:color w:val="FFFFFF"/>
                <w:sz w:val="24"/>
              </w:rPr>
              <w:t>注册房地产估价师</w:t>
            </w:r>
          </w:p>
        </w:tc>
        <w:tc>
          <w:tcPr>
            <w:tcW w:w="2799" w:type="dxa"/>
            <w:tcBorders>
              <w:left w:val="double" w:color="C00000" w:sz="0" w:space="0"/>
              <w:bottom w:val="double" w:color="C00000" w:sz="0" w:space="0"/>
            </w:tcBorders>
            <w:shd w:val="clear" w:color="auto" w:fill="A64231"/>
          </w:tcPr>
          <w:p>
            <w:pPr>
              <w:pStyle w:val="11"/>
              <w:spacing w:line="306" w:lineRule="exact"/>
              <w:ind w:left="841" w:right="942"/>
              <w:rPr>
                <w:b/>
                <w:sz w:val="24"/>
              </w:rPr>
            </w:pPr>
            <w:r>
              <w:rPr>
                <w:b/>
                <w:color w:val="FFFFFF"/>
                <w:sz w:val="24"/>
              </w:rPr>
              <w:t>估价助理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3" w:hRule="atLeast"/>
        </w:trPr>
        <w:tc>
          <w:tcPr>
            <w:tcW w:w="3190" w:type="dxa"/>
            <w:tcBorders>
              <w:top w:val="double" w:color="C00000" w:sz="0" w:space="0"/>
              <w:right w:val="single" w:color="C00000" w:sz="4" w:space="0"/>
            </w:tcBorders>
            <w:shd w:val="clear" w:color="auto" w:fill="FFFFCC"/>
          </w:tcPr>
          <w:p>
            <w:pPr>
              <w:pStyle w:val="11"/>
              <w:spacing w:line="347" w:lineRule="exact"/>
              <w:ind w:left="385" w:right="467"/>
              <w:rPr>
                <w:sz w:val="24"/>
              </w:rPr>
            </w:pPr>
            <w:r>
              <w:rPr>
                <w:sz w:val="24"/>
              </w:rPr>
              <w:t>王志萍</w:t>
            </w:r>
          </w:p>
          <w:p>
            <w:pPr>
              <w:pStyle w:val="11"/>
              <w:spacing w:line="316" w:lineRule="exact"/>
              <w:ind w:left="385" w:right="469"/>
              <w:rPr>
                <w:sz w:val="24"/>
              </w:rPr>
            </w:pPr>
            <w:r>
              <w:rPr>
                <w:sz w:val="24"/>
              </w:rPr>
              <w:t>注册号：5320040040</w:t>
            </w:r>
          </w:p>
        </w:tc>
        <w:tc>
          <w:tcPr>
            <w:tcW w:w="3190" w:type="dxa"/>
            <w:tcBorders>
              <w:top w:val="double" w:color="C00000" w:sz="0" w:space="0"/>
              <w:left w:val="single" w:color="C00000" w:sz="4" w:space="0"/>
              <w:right w:val="single" w:color="000000" w:sz="4" w:space="0"/>
            </w:tcBorders>
            <w:shd w:val="clear" w:color="auto" w:fill="FFFFCC"/>
          </w:tcPr>
          <w:p>
            <w:pPr>
              <w:pStyle w:val="11"/>
              <w:spacing w:line="347" w:lineRule="exact"/>
              <w:ind w:left="380" w:right="469"/>
              <w:rPr>
                <w:sz w:val="24"/>
              </w:rPr>
            </w:pPr>
            <w:r>
              <w:rPr>
                <w:sz w:val="24"/>
              </w:rPr>
              <w:t>翟悦清</w:t>
            </w:r>
          </w:p>
          <w:p>
            <w:pPr>
              <w:pStyle w:val="11"/>
              <w:spacing w:line="316" w:lineRule="exact"/>
              <w:ind w:left="380" w:right="470"/>
              <w:rPr>
                <w:sz w:val="24"/>
              </w:rPr>
            </w:pPr>
            <w:r>
              <w:rPr>
                <w:sz w:val="24"/>
              </w:rPr>
              <w:t>注册号：5320170052</w:t>
            </w:r>
          </w:p>
        </w:tc>
        <w:tc>
          <w:tcPr>
            <w:tcW w:w="2799" w:type="dxa"/>
            <w:tcBorders>
              <w:top w:val="double" w:color="C00000" w:sz="0" w:space="0"/>
              <w:left w:val="single" w:color="000000" w:sz="4" w:space="0"/>
            </w:tcBorders>
            <w:shd w:val="clear" w:color="auto" w:fill="FFFFCC"/>
          </w:tcPr>
          <w:p>
            <w:pPr>
              <w:pStyle w:val="11"/>
              <w:jc w:val="left"/>
              <w:rPr>
                <w:rFonts w:ascii="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6380" w:type="dxa"/>
            <w:gridSpan w:val="2"/>
            <w:tcBorders>
              <w:right w:val="single" w:color="000000" w:sz="4" w:space="0"/>
            </w:tcBorders>
            <w:shd w:val="clear" w:color="auto" w:fill="A64231"/>
          </w:tcPr>
          <w:p>
            <w:pPr>
              <w:pStyle w:val="11"/>
              <w:tabs>
                <w:tab w:val="left" w:pos="895"/>
              </w:tabs>
              <w:spacing w:line="316" w:lineRule="exact"/>
              <w:ind w:right="82"/>
              <w:rPr>
                <w:b/>
                <w:sz w:val="24"/>
              </w:rPr>
            </w:pPr>
            <w:r>
              <w:rPr>
                <w:b/>
                <w:color w:val="FFFFFF"/>
                <w:sz w:val="24"/>
              </w:rPr>
              <w:t>签</w:t>
            </w:r>
            <w:r>
              <w:rPr>
                <w:b/>
                <w:color w:val="FFFFFF"/>
                <w:sz w:val="24"/>
              </w:rPr>
              <w:tab/>
            </w:r>
            <w:r>
              <w:rPr>
                <w:b/>
                <w:color w:val="FFFFFF"/>
                <w:sz w:val="24"/>
              </w:rPr>
              <w:t>章</w:t>
            </w:r>
          </w:p>
        </w:tc>
        <w:tc>
          <w:tcPr>
            <w:tcW w:w="2799" w:type="dxa"/>
            <w:tcBorders>
              <w:left w:val="single" w:color="000000" w:sz="4" w:space="0"/>
            </w:tcBorders>
            <w:shd w:val="clear" w:color="auto" w:fill="A64231"/>
          </w:tcPr>
          <w:p>
            <w:pPr>
              <w:pStyle w:val="11"/>
              <w:spacing w:line="316" w:lineRule="exact"/>
              <w:ind w:left="197" w:right="292"/>
              <w:rPr>
                <w:b/>
                <w:sz w:val="24"/>
              </w:rPr>
            </w:pPr>
            <w:r>
              <w:rPr>
                <w:b/>
                <w:color w:val="FFFFFF"/>
                <w:sz w:val="24"/>
              </w:rPr>
              <w:t>资产评估师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4" w:hRule="atLeast"/>
        </w:trPr>
        <w:tc>
          <w:tcPr>
            <w:tcW w:w="3190" w:type="dxa"/>
            <w:tcBorders>
              <w:right w:val="single" w:color="C00000" w:sz="4" w:space="0"/>
            </w:tcBorders>
            <w:shd w:val="clear" w:color="auto" w:fill="FFFFCC"/>
          </w:tcPr>
          <w:p>
            <w:pPr>
              <w:pStyle w:val="11"/>
              <w:jc w:val="left"/>
              <w:rPr>
                <w:rFonts w:ascii="Times New Roman"/>
                <w:sz w:val="24"/>
              </w:rPr>
            </w:pPr>
          </w:p>
        </w:tc>
        <w:tc>
          <w:tcPr>
            <w:tcW w:w="3190" w:type="dxa"/>
            <w:tcBorders>
              <w:left w:val="single" w:color="C00000" w:sz="4" w:space="0"/>
              <w:right w:val="single" w:color="000000" w:sz="4" w:space="0"/>
            </w:tcBorders>
            <w:shd w:val="clear" w:color="auto" w:fill="FFFFCC"/>
          </w:tcPr>
          <w:p>
            <w:pPr>
              <w:pStyle w:val="11"/>
              <w:jc w:val="left"/>
              <w:rPr>
                <w:rFonts w:ascii="Times New Roman"/>
                <w:sz w:val="24"/>
              </w:rPr>
            </w:pPr>
          </w:p>
        </w:tc>
        <w:tc>
          <w:tcPr>
            <w:tcW w:w="2799" w:type="dxa"/>
            <w:tcBorders>
              <w:left w:val="single" w:color="000000" w:sz="4" w:space="0"/>
            </w:tcBorders>
            <w:shd w:val="clear" w:color="auto" w:fill="FFFFCC"/>
          </w:tcPr>
          <w:p>
            <w:pPr>
              <w:pStyle w:val="11"/>
              <w:spacing w:line="337" w:lineRule="exact"/>
              <w:ind w:left="197" w:right="288"/>
              <w:rPr>
                <w:sz w:val="24"/>
              </w:rPr>
            </w:pPr>
            <w:r>
              <w:rPr>
                <w:sz w:val="24"/>
              </w:rPr>
              <w:t>黄弘毅</w:t>
            </w:r>
          </w:p>
          <w:p>
            <w:pPr>
              <w:pStyle w:val="11"/>
              <w:spacing w:line="349" w:lineRule="exact"/>
              <w:ind w:left="197" w:right="292"/>
              <w:rPr>
                <w:sz w:val="24"/>
              </w:rPr>
            </w:pPr>
            <w:r>
              <w:rPr>
                <w:sz w:val="24"/>
              </w:rPr>
              <w:t>证书编号：53000077</w:t>
            </w:r>
          </w:p>
        </w:tc>
      </w:tr>
    </w:tbl>
    <w:p>
      <w:pPr>
        <w:spacing w:before="108"/>
        <w:ind w:left="976" w:right="0" w:firstLine="0"/>
        <w:jc w:val="left"/>
        <w:rPr>
          <w:b/>
          <w:sz w:val="26"/>
        </w:rPr>
      </w:pPr>
      <w:r>
        <w:rPr>
          <w:b/>
          <w:sz w:val="26"/>
        </w:rPr>
        <w:t>十二. 实地查勘期</w:t>
      </w:r>
    </w:p>
    <w:p>
      <w:pPr>
        <w:pStyle w:val="4"/>
        <w:spacing w:before="158"/>
        <w:ind w:left="1684"/>
      </w:pPr>
      <w:r>
        <w:t>二○二○年六月四日</w:t>
      </w:r>
    </w:p>
    <w:p>
      <w:pPr>
        <w:spacing w:before="279"/>
        <w:ind w:left="976" w:right="0" w:firstLine="0"/>
        <w:jc w:val="left"/>
        <w:rPr>
          <w:b/>
          <w:sz w:val="26"/>
        </w:rPr>
      </w:pPr>
      <w:r>
        <w:rPr>
          <w:b/>
          <w:sz w:val="26"/>
        </w:rPr>
        <w:t>十三. 估价作业期</w:t>
      </w:r>
    </w:p>
    <w:p>
      <w:pPr>
        <w:pStyle w:val="4"/>
        <w:spacing w:before="158"/>
        <w:ind w:left="1684"/>
      </w:pPr>
      <w:r>
        <w:t>二○二○年六月四日至二○二○年六月十五日</w:t>
      </w:r>
    </w:p>
    <w:p>
      <w:pPr>
        <w:spacing w:before="279"/>
        <w:ind w:left="976" w:right="0" w:firstLine="0"/>
        <w:jc w:val="left"/>
        <w:rPr>
          <w:b/>
          <w:sz w:val="26"/>
        </w:rPr>
      </w:pPr>
      <w:r>
        <w:rPr>
          <w:b/>
          <w:sz w:val="26"/>
        </w:rPr>
        <w:t>十四. 估价报告使用期限</w:t>
      </w:r>
    </w:p>
    <w:p>
      <w:pPr>
        <w:pStyle w:val="4"/>
        <w:spacing w:before="158"/>
        <w:ind w:left="1684"/>
      </w:pPr>
      <w:r>
        <w:t>二○二○年六月十五日至二○二一年六月十四日</w:t>
      </w:r>
    </w:p>
    <w:p>
      <w:pPr>
        <w:pStyle w:val="4"/>
        <w:rPr>
          <w:sz w:val="36"/>
        </w:rPr>
      </w:pPr>
    </w:p>
    <w:p>
      <w:pPr>
        <w:pStyle w:val="4"/>
        <w:spacing w:before="6"/>
        <w:rPr>
          <w:sz w:val="23"/>
        </w:rPr>
      </w:pPr>
    </w:p>
    <w:p>
      <w:pPr>
        <w:pStyle w:val="4"/>
        <w:spacing w:line="451" w:lineRule="auto"/>
        <w:ind w:left="6883" w:right="955" w:hanging="833"/>
      </w:pPr>
      <w:r>
        <w:t>昆明云润房地产土地资产评估有限公司二○二○年六月十五日</w:t>
      </w:r>
    </w:p>
    <w:p>
      <w:pPr>
        <w:spacing w:after="0" w:line="451" w:lineRule="auto"/>
        <w:sectPr>
          <w:pgSz w:w="11910" w:h="16840"/>
          <w:pgMar w:top="1100" w:right="180" w:bottom="1060" w:left="300" w:header="845" w:footer="877" w:gutter="0"/>
        </w:sectPr>
      </w:pPr>
    </w:p>
    <w:p>
      <w:pPr>
        <w:pStyle w:val="4"/>
        <w:rPr>
          <w:sz w:val="2"/>
        </w:rPr>
      </w:pPr>
    </w:p>
    <w:p>
      <w:pPr>
        <w:pStyle w:val="4"/>
        <w:spacing w:line="192" w:lineRule="exact"/>
        <w:ind w:left="513"/>
        <w:rPr>
          <w:sz w:val="19"/>
        </w:rPr>
      </w:pPr>
      <w:r>
        <w:rPr>
          <w:position w:val="-3"/>
          <w:sz w:val="19"/>
        </w:rPr>
        <w:pict>
          <v:group id="_x0000_s1171" o:spid="_x0000_s1171" o:spt="203" style="height:9.6pt;width:503.35pt;" coordsize="10067,192">
            <o:lock v:ext="edit"/>
            <v:line id="_x0000_s1172" o:spid="_x0000_s1172" o:spt="20" style="position:absolute;left:0;top:13;height:0;width:1083;" stroked="t" coordsize="21600,21600">
              <v:path arrowok="t"/>
              <v:fill focussize="0,0"/>
              <v:stroke weight="0.96pt" color="#585858"/>
              <v:imagedata o:title=""/>
              <o:lock v:ext="edit"/>
            </v:line>
            <v:line id="_x0000_s1173" o:spid="_x0000_s1173" o:spt="20" style="position:absolute;left:1111;top:177;height:0;width:8955;" stroked="t" coordsize="21600,21600">
              <v:path arrowok="t"/>
              <v:fill focussize="0,0"/>
              <v:stroke weight="1.41433070866142pt" color="#585858"/>
              <v:imagedata o:title=""/>
              <o:lock v:ext="edit"/>
            </v:line>
            <v:line id="_x0000_s1174" o:spid="_x0000_s1174" o:spt="20" style="position:absolute;left:1162;top:79;height:5;width:8797;" stroked="t" coordsize="21600,21600">
              <v:path arrowok="t"/>
              <v:fill focussize="0,0"/>
              <v:stroke weight="7.9pt" color="#585858"/>
              <v:imagedata o:title=""/>
              <o:lock v:ext="edit"/>
            </v:line>
            <w10:wrap type="none"/>
            <w10:anchorlock/>
          </v:group>
        </w:pict>
      </w:r>
    </w:p>
    <w:p>
      <w:pPr>
        <w:pStyle w:val="2"/>
      </w:pPr>
      <w:bookmarkStart w:id="34" w:name="_bookmark25"/>
      <w:bookmarkEnd w:id="34"/>
      <w:bookmarkStart w:id="35" w:name="第五部分 附 件"/>
      <w:bookmarkEnd w:id="35"/>
      <w:r>
        <w:rPr>
          <w:color w:val="A64231"/>
        </w:rPr>
        <w:t>第五部分 附  件</w:t>
      </w:r>
    </w:p>
    <w:p>
      <w:pPr>
        <w:pStyle w:val="4"/>
        <w:spacing w:line="118" w:lineRule="exact"/>
        <w:ind w:left="1626"/>
        <w:rPr>
          <w:sz w:val="11"/>
        </w:rPr>
      </w:pPr>
      <w:r>
        <w:rPr>
          <w:position w:val="-1"/>
          <w:sz w:val="11"/>
        </w:rPr>
        <w:pict>
          <v:group id="_x0000_s1175" o:spid="_x0000_s1175" o:spt="203" style="height:5.9pt;width:442.2pt;" coordsize="8844,118">
            <o:lock v:ext="edit"/>
            <v:line id="_x0000_s1176" o:spid="_x0000_s1176" o:spt="20" style="position:absolute;left:0;top:103;height:0;width:8844;" stroked="t" coordsize="21600,21600">
              <v:path arrowok="t"/>
              <v:fill focussize="0,0"/>
              <v:stroke weight="1.44pt" color="#A64231"/>
              <v:imagedata o:title=""/>
              <o:lock v:ext="edit"/>
            </v:line>
            <v:line id="_x0000_s1177" o:spid="_x0000_s1177" o:spt="20" style="position:absolute;left:0;top:30;height:0;width:8844;" stroked="t" coordsize="21600,21600">
              <v:path arrowok="t"/>
              <v:fill focussize="0,0"/>
              <v:stroke weight="3pt" color="#A64231"/>
              <v:imagedata o:title=""/>
              <o:lock v:ext="edit"/>
            </v:line>
            <w10:wrap type="none"/>
            <w10:anchorlock/>
          </v:group>
        </w:pict>
      </w:r>
    </w:p>
    <w:p>
      <w:pPr>
        <w:pStyle w:val="4"/>
        <w:spacing w:before="8"/>
        <w:rPr>
          <w:b/>
          <w:sz w:val="11"/>
        </w:rPr>
      </w:pPr>
    </w:p>
    <w:p>
      <w:pPr>
        <w:spacing w:before="98"/>
        <w:ind w:left="1264" w:right="0" w:firstLine="0"/>
        <w:jc w:val="left"/>
        <w:rPr>
          <w:sz w:val="26"/>
        </w:rPr>
      </w:pPr>
      <w:r>
        <w:rPr>
          <w:sz w:val="28"/>
        </w:rPr>
        <w:t xml:space="preserve">一. </w:t>
      </w:r>
      <w:r>
        <w:rPr>
          <w:sz w:val="26"/>
        </w:rPr>
        <w:t>估价行为依据影印件</w:t>
      </w:r>
    </w:p>
    <w:p>
      <w:pPr>
        <w:pStyle w:val="4"/>
        <w:spacing w:before="148"/>
        <w:ind w:left="1264"/>
      </w:pPr>
      <w:r>
        <w:rPr>
          <w:sz w:val="28"/>
        </w:rPr>
        <w:t xml:space="preserve">二. </w:t>
      </w:r>
      <w:r>
        <w:t>估价对象相关产权证明影印件</w:t>
      </w:r>
    </w:p>
    <w:p>
      <w:pPr>
        <w:pStyle w:val="4"/>
        <w:spacing w:before="150"/>
        <w:ind w:left="1264"/>
      </w:pPr>
      <w:r>
        <w:rPr>
          <w:sz w:val="28"/>
        </w:rPr>
        <w:t xml:space="preserve">三. </w:t>
      </w:r>
      <w:r>
        <w:t>估价对象实地查看情况及相关照片</w:t>
      </w:r>
    </w:p>
    <w:p>
      <w:pPr>
        <w:spacing w:before="151"/>
        <w:ind w:left="1264" w:right="0" w:firstLine="0"/>
        <w:jc w:val="left"/>
        <w:rPr>
          <w:sz w:val="26"/>
        </w:rPr>
      </w:pPr>
      <w:r>
        <w:rPr>
          <w:sz w:val="28"/>
        </w:rPr>
        <w:t xml:space="preserve">四. </w:t>
      </w:r>
      <w:r>
        <w:rPr>
          <w:sz w:val="26"/>
        </w:rPr>
        <w:t>估价对象位置图</w:t>
      </w:r>
    </w:p>
    <w:p>
      <w:pPr>
        <w:spacing w:before="147"/>
        <w:ind w:left="1264" w:right="0" w:firstLine="0"/>
        <w:jc w:val="left"/>
        <w:rPr>
          <w:sz w:val="26"/>
        </w:rPr>
      </w:pPr>
      <w:r>
        <w:rPr>
          <w:sz w:val="28"/>
        </w:rPr>
        <w:t xml:space="preserve">五. </w:t>
      </w:r>
      <w:r>
        <w:rPr>
          <w:sz w:val="26"/>
        </w:rPr>
        <w:t>评估机构相关证照影印件</w:t>
      </w:r>
    </w:p>
    <w:p>
      <w:pPr>
        <w:pStyle w:val="4"/>
        <w:spacing w:before="151"/>
        <w:ind w:left="1264"/>
      </w:pPr>
      <w:r>
        <w:rPr>
          <w:sz w:val="28"/>
        </w:rPr>
        <w:t xml:space="preserve">六. </w:t>
      </w:r>
      <w:r>
        <w:t>注册房地估价师注册证书影印件</w:t>
      </w:r>
    </w:p>
    <w:p>
      <w:pPr>
        <w:pStyle w:val="4"/>
        <w:spacing w:before="147"/>
        <w:ind w:left="1264"/>
        <w:sectPr>
          <w:pgSz w:w="11910" w:h="16840"/>
          <w:pgMar w:top="1100" w:right="180" w:bottom="1060" w:left="300" w:header="845" w:footer="877" w:gutter="0"/>
        </w:sectPr>
      </w:pPr>
      <w:r>
        <w:rPr>
          <w:sz w:val="28"/>
        </w:rPr>
        <w:t xml:space="preserve">七. </w:t>
      </w:r>
      <w:r>
        <w:t>资产评估师执业资格证书登记卡影印件</w:t>
      </w:r>
      <w:bookmarkStart w:id="36" w:name="_GoBack"/>
      <w:bookmarkEnd w:id="36"/>
    </w:p>
    <w:p>
      <w:pPr>
        <w:spacing w:after="0"/>
        <w:rPr>
          <w:sz w:val="20"/>
        </w:rPr>
        <w:sectPr>
          <w:headerReference r:id="rId7" w:type="default"/>
          <w:footerReference r:id="rId8" w:type="default"/>
          <w:pgSz w:w="11910" w:h="16840"/>
          <w:pgMar w:top="1100" w:right="180" w:bottom="1060" w:left="300" w:header="845" w:footer="877" w:gutter="0"/>
        </w:sectPr>
      </w:pPr>
    </w:p>
    <w:p>
      <w:pPr>
        <w:pStyle w:val="4"/>
        <w:ind w:left="734"/>
        <w:rPr>
          <w:sz w:val="20"/>
        </w:rPr>
      </w:pPr>
      <w:r>
        <w:drawing>
          <wp:anchor distT="0" distB="0" distL="0" distR="0" simplePos="0" relativeHeight="251730944" behindDoc="0" locked="0" layoutInCell="1" allowOverlap="1">
            <wp:simplePos x="0" y="0"/>
            <wp:positionH relativeFrom="page">
              <wp:posOffset>533400</wp:posOffset>
            </wp:positionH>
            <wp:positionV relativeFrom="page">
              <wp:posOffset>9862820</wp:posOffset>
            </wp:positionV>
            <wp:extent cx="755650" cy="210185"/>
            <wp:effectExtent l="0" t="0" r="0" b="0"/>
            <wp:wrapNone/>
            <wp:docPr id="3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10.jpeg"/>
                    <pic:cNvPicPr>
                      <a:picLocks noChangeAspect="1"/>
                    </pic:cNvPicPr>
                  </pic:nvPicPr>
                  <pic:blipFill>
                    <a:blip r:embed="rId21" cstate="print"/>
                    <a:stretch>
                      <a:fillRect/>
                    </a:stretch>
                  </pic:blipFill>
                  <pic:spPr>
                    <a:xfrm>
                      <a:off x="0" y="0"/>
                      <a:ext cx="755903" cy="210172"/>
                    </a:xfrm>
                    <a:prstGeom prst="rect">
                      <a:avLst/>
                    </a:prstGeom>
                  </pic:spPr>
                </pic:pic>
              </a:graphicData>
            </a:graphic>
          </wp:anchor>
        </w:drawing>
      </w:r>
      <w:r>
        <w:rPr>
          <w:sz w:val="20"/>
        </w:rPr>
        <w:pict>
          <v:group id="_x0000_s1255" o:spid="_x0000_s1255" o:spt="203" style="height:46.25pt;width:488.3pt;" coordsize="9766,925">
            <o:lock v:ext="edit"/>
            <v:line id="_x0000_s1256" o:spid="_x0000_s1256" o:spt="20" style="position:absolute;left:70;top:507;height:0;width:9696;" stroked="t" coordsize="21600,21600">
              <v:path arrowok="t"/>
              <v:fill focussize="0,0"/>
              <v:stroke weight="2.16pt" color="#A64231"/>
              <v:imagedata o:title=""/>
              <o:lock v:ext="edit"/>
            </v:line>
            <v:shape id="_x0000_s1257" o:spid="_x0000_s1257" o:spt="75" type="#_x0000_t75" style="position:absolute;left:0;top:0;height:925;width:3731;" filled="f" stroked="f" coordsize="21600,21600">
              <v:path/>
              <v:fill on="f" focussize="0,0"/>
              <v:stroke on="f"/>
              <v:imagedata r:id="rId24" o:title=""/>
              <o:lock v:ext="edit" aspectratio="t"/>
            </v:shape>
            <w10:wrap type="none"/>
            <w10:anchorlock/>
          </v:group>
        </w:pict>
      </w: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rPr>
          <w:b/>
          <w:sz w:val="20"/>
        </w:rPr>
      </w:pPr>
    </w:p>
    <w:p>
      <w:pPr>
        <w:pStyle w:val="4"/>
        <w:spacing w:before="5"/>
        <w:rPr>
          <w:b/>
          <w:sz w:val="15"/>
        </w:rPr>
      </w:pPr>
      <w:r>
        <w:drawing>
          <wp:anchor distT="0" distB="0" distL="0" distR="0" simplePos="0" relativeHeight="1024" behindDoc="0" locked="0" layoutInCell="1" allowOverlap="1">
            <wp:simplePos x="0" y="0"/>
            <wp:positionH relativeFrom="page">
              <wp:posOffset>2799715</wp:posOffset>
            </wp:positionH>
            <wp:positionV relativeFrom="paragraph">
              <wp:posOffset>170180</wp:posOffset>
            </wp:positionV>
            <wp:extent cx="2266950" cy="1965960"/>
            <wp:effectExtent l="0" t="0" r="0" b="0"/>
            <wp:wrapTopAndBottom/>
            <wp:docPr id="3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11.jpeg"/>
                    <pic:cNvPicPr>
                      <a:picLocks noChangeAspect="1"/>
                    </pic:cNvPicPr>
                  </pic:nvPicPr>
                  <pic:blipFill>
                    <a:blip r:embed="rId22" cstate="print"/>
                    <a:stretch>
                      <a:fillRect/>
                    </a:stretch>
                  </pic:blipFill>
                  <pic:spPr>
                    <a:xfrm>
                      <a:off x="0" y="0"/>
                      <a:ext cx="2267199" cy="1965960"/>
                    </a:xfrm>
                    <a:prstGeom prst="rect">
                      <a:avLst/>
                    </a:prstGeom>
                  </pic:spPr>
                </pic:pic>
              </a:graphicData>
            </a:graphic>
          </wp:anchor>
        </w:drawing>
      </w:r>
    </w:p>
    <w:p>
      <w:pPr>
        <w:pStyle w:val="4"/>
        <w:spacing w:before="5"/>
        <w:rPr>
          <w:b/>
          <w:sz w:val="28"/>
        </w:rPr>
      </w:pPr>
    </w:p>
    <w:p>
      <w:pPr>
        <w:spacing w:before="28"/>
        <w:ind w:left="1228" w:right="0" w:firstLine="0"/>
        <w:jc w:val="left"/>
        <w:rPr>
          <w:rFonts w:hint="eastAsia" w:ascii="隶书" w:eastAsia="隶书"/>
          <w:sz w:val="52"/>
        </w:rPr>
      </w:pPr>
      <w:r>
        <w:rPr>
          <w:rFonts w:hint="eastAsia" w:ascii="隶书" w:eastAsia="隶书"/>
          <w:sz w:val="52"/>
        </w:rPr>
        <w:t>昆明云润房地产土地资产评估有限公司</w:t>
      </w:r>
    </w:p>
    <w:p>
      <w:pPr>
        <w:pStyle w:val="4"/>
        <w:rPr>
          <w:rFonts w:ascii="隶书"/>
          <w:sz w:val="20"/>
        </w:rPr>
      </w:pPr>
    </w:p>
    <w:p>
      <w:pPr>
        <w:pStyle w:val="4"/>
        <w:rPr>
          <w:rFonts w:ascii="隶书"/>
          <w:sz w:val="20"/>
        </w:rPr>
      </w:pPr>
    </w:p>
    <w:p>
      <w:pPr>
        <w:pStyle w:val="4"/>
        <w:rPr>
          <w:rFonts w:ascii="隶书"/>
          <w:sz w:val="20"/>
        </w:rPr>
      </w:pPr>
    </w:p>
    <w:p>
      <w:pPr>
        <w:pStyle w:val="4"/>
        <w:rPr>
          <w:rFonts w:ascii="隶书"/>
          <w:sz w:val="20"/>
        </w:rPr>
      </w:pPr>
    </w:p>
    <w:p>
      <w:pPr>
        <w:pStyle w:val="4"/>
        <w:rPr>
          <w:rFonts w:ascii="隶书"/>
          <w:sz w:val="20"/>
        </w:rPr>
      </w:pPr>
    </w:p>
    <w:p>
      <w:pPr>
        <w:pStyle w:val="4"/>
        <w:rPr>
          <w:rFonts w:ascii="隶书"/>
          <w:sz w:val="20"/>
        </w:rPr>
      </w:pPr>
    </w:p>
    <w:p>
      <w:pPr>
        <w:pStyle w:val="4"/>
        <w:rPr>
          <w:rFonts w:ascii="隶书"/>
          <w:sz w:val="20"/>
        </w:rPr>
      </w:pPr>
    </w:p>
    <w:p>
      <w:pPr>
        <w:pStyle w:val="4"/>
        <w:rPr>
          <w:rFonts w:ascii="隶书"/>
          <w:sz w:val="20"/>
        </w:rPr>
      </w:pPr>
    </w:p>
    <w:p>
      <w:pPr>
        <w:pStyle w:val="4"/>
        <w:rPr>
          <w:rFonts w:ascii="隶书"/>
          <w:sz w:val="20"/>
        </w:rPr>
      </w:pPr>
    </w:p>
    <w:p>
      <w:pPr>
        <w:pStyle w:val="4"/>
        <w:rPr>
          <w:rFonts w:ascii="隶书"/>
          <w:sz w:val="20"/>
        </w:rPr>
      </w:pPr>
    </w:p>
    <w:p>
      <w:pPr>
        <w:pStyle w:val="4"/>
        <w:rPr>
          <w:rFonts w:ascii="隶书"/>
          <w:sz w:val="20"/>
        </w:rPr>
      </w:pPr>
    </w:p>
    <w:p>
      <w:pPr>
        <w:pStyle w:val="4"/>
        <w:rPr>
          <w:rFonts w:ascii="隶书"/>
          <w:sz w:val="20"/>
        </w:rPr>
      </w:pPr>
    </w:p>
    <w:p>
      <w:pPr>
        <w:pStyle w:val="4"/>
        <w:rPr>
          <w:rFonts w:ascii="隶书"/>
          <w:sz w:val="20"/>
        </w:rPr>
      </w:pPr>
    </w:p>
    <w:p>
      <w:pPr>
        <w:pStyle w:val="4"/>
        <w:rPr>
          <w:rFonts w:ascii="隶书"/>
          <w:sz w:val="20"/>
        </w:rPr>
      </w:pPr>
    </w:p>
    <w:p>
      <w:pPr>
        <w:pStyle w:val="4"/>
        <w:rPr>
          <w:rFonts w:ascii="隶书"/>
          <w:sz w:val="20"/>
        </w:rPr>
      </w:pPr>
    </w:p>
    <w:p>
      <w:pPr>
        <w:pStyle w:val="4"/>
        <w:rPr>
          <w:rFonts w:ascii="隶书"/>
          <w:sz w:val="20"/>
        </w:rPr>
      </w:pPr>
    </w:p>
    <w:p>
      <w:pPr>
        <w:pStyle w:val="4"/>
        <w:rPr>
          <w:rFonts w:ascii="隶书"/>
          <w:sz w:val="20"/>
        </w:rPr>
      </w:pPr>
    </w:p>
    <w:p>
      <w:pPr>
        <w:pStyle w:val="4"/>
        <w:rPr>
          <w:rFonts w:ascii="隶书"/>
          <w:sz w:val="20"/>
        </w:rPr>
      </w:pPr>
    </w:p>
    <w:p>
      <w:pPr>
        <w:pStyle w:val="4"/>
        <w:rPr>
          <w:rFonts w:ascii="隶书"/>
          <w:sz w:val="20"/>
        </w:rPr>
      </w:pPr>
    </w:p>
    <w:p>
      <w:pPr>
        <w:pStyle w:val="4"/>
        <w:rPr>
          <w:rFonts w:ascii="隶书"/>
          <w:sz w:val="20"/>
        </w:rPr>
      </w:pPr>
    </w:p>
    <w:p>
      <w:pPr>
        <w:pStyle w:val="4"/>
        <w:rPr>
          <w:rFonts w:ascii="隶书"/>
          <w:sz w:val="24"/>
        </w:rPr>
      </w:pPr>
      <w:r>
        <w:pict>
          <v:line id="_x0000_s1258" o:spid="_x0000_s1258" o:spt="20" style="position:absolute;left:0pt;margin-left:106.3pt;margin-top:17.95pt;height:0pt;width:432.2pt;mso-position-horizontal-relative:page;mso-wrap-distance-bottom:0pt;mso-wrap-distance-top:0pt;z-index:-251586560;mso-width-relative:page;mso-height-relative:page;" stroked="t" coordsize="21600,21600">
            <v:path arrowok="t"/>
            <v:fill focussize="0,0"/>
            <v:stroke weight="1.2pt" color="#A64231"/>
            <v:imagedata o:title=""/>
            <o:lock v:ext="edit"/>
            <w10:wrap type="topAndBottom"/>
          </v:line>
        </w:pict>
      </w:r>
    </w:p>
    <w:p>
      <w:pPr>
        <w:tabs>
          <w:tab w:val="left" w:pos="7907"/>
        </w:tabs>
        <w:spacing w:before="12"/>
        <w:ind w:left="1826" w:right="0" w:firstLine="0"/>
        <w:jc w:val="left"/>
        <w:rPr>
          <w:sz w:val="20"/>
        </w:rPr>
      </w:pPr>
      <w:r>
        <w:rPr>
          <w:sz w:val="20"/>
        </w:rPr>
        <w:t>联系电话：0871-64570700</w:t>
      </w:r>
      <w:r>
        <w:rPr>
          <w:sz w:val="20"/>
        </w:rPr>
        <w:tab/>
      </w:r>
      <w:r>
        <w:fldChar w:fldCharType="begin"/>
      </w:r>
      <w:r>
        <w:instrText xml:space="preserve"> HYPERLINK "mailto:371354491@qq.com" \h </w:instrText>
      </w:r>
      <w:r>
        <w:fldChar w:fldCharType="separate"/>
      </w:r>
      <w:r>
        <w:rPr>
          <w:sz w:val="20"/>
        </w:rPr>
        <w:t>邮箱：371354491@qq.com</w:t>
      </w:r>
      <w:r>
        <w:rPr>
          <w:sz w:val="20"/>
        </w:rPr>
        <w:fldChar w:fldCharType="end"/>
      </w:r>
    </w:p>
    <w:sectPr>
      <w:headerReference r:id="rId9" w:type="default"/>
      <w:footerReference r:id="rId10" w:type="default"/>
      <w:pgSz w:w="11910" w:h="16840"/>
      <w:pgMar w:top="1060" w:right="180" w:bottom="280" w:left="30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group id="_x0000_s2050" o:spid="_x0000_s2050" o:spt="203" style="position:absolute;left:0pt;margin-left:0pt;margin-top:789.8pt;height:16.55pt;width:538.7pt;mso-position-horizontal-relative:page;mso-position-vertical-relative:page;z-index:-253754368;mso-width-relative:page;mso-height-relative:page;" coordorigin="0,15797" coordsize="10774,331">
          <o:lock v:ext="edit"/>
          <v:line id="_x0000_s2051" o:spid="_x0000_s2051" o:spt="20" style="position:absolute;left:0;top:15814;height:0;width:10774;" stroked="t" coordsize="21600,21600">
            <v:path arrowok="t"/>
            <v:fill focussize="0,0"/>
            <v:stroke weight="1.20102362204724pt" color="#A64231"/>
            <v:imagedata o:title=""/>
            <o:lock v:ext="edit"/>
          </v:line>
          <v:shape id="_x0000_s2052" o:spid="_x0000_s2052" o:spt="75" type="#_x0000_t75" style="position:absolute;left:0;top:15797;height:331;width:848;" filled="f" stroked="f" coordsize="21600,21600">
            <v:path/>
            <v:fill on="f" focussize="0,0"/>
            <v:stroke on="f"/>
            <v:imagedata r:id="rId1" o:title=""/>
            <o:lock v:ext="edit" aspectratio="t"/>
          </v:shape>
        </v:group>
      </w:pict>
    </w:r>
    <w:r>
      <w:pict>
        <v:shape id="_x0000_s2053" o:spid="_x0000_s2053" o:spt="202" type="#_x0000_t202" style="position:absolute;left:0pt;margin-left:41.55pt;margin-top:792.45pt;height:15.75pt;width:121.65pt;mso-position-horizontal-relative:page;mso-position-vertical-relative:page;z-index:-253753344;mso-width-relative:page;mso-height-relative:page;" filled="f" stroked="f" coordsize="21600,21600">
          <v:path/>
          <v:fill on="f" focussize="0,0"/>
          <v:stroke on="f" joinstyle="miter"/>
          <v:imagedata o:title=""/>
          <o:lock v:ext="edit"/>
          <v:textbox inset="0mm,0mm,0mm,0mm">
            <w:txbxContent>
              <w:p>
                <w:pPr>
                  <w:spacing w:before="17" w:line="297" w:lineRule="exact"/>
                  <w:ind w:left="20" w:right="0" w:firstLine="0"/>
                  <w:jc w:val="left"/>
                  <w:rPr>
                    <w:sz w:val="20"/>
                  </w:rPr>
                </w:pPr>
                <w:r>
                  <w:rPr>
                    <w:sz w:val="20"/>
                  </w:rPr>
                  <w:t>联系电话：0871-64570700</w:t>
                </w:r>
              </w:p>
            </w:txbxContent>
          </v:textbox>
        </v:shape>
      </w:pict>
    </w:r>
    <w:r>
      <w:pict>
        <v:shape id="_x0000_s2054" o:spid="_x0000_s2054" o:spt="202" type="#_x0000_t202" style="position:absolute;left:0pt;margin-left:345.55pt;margin-top:792.45pt;height:15.75pt;width:129.4pt;mso-position-horizontal-relative:page;mso-position-vertical-relative:page;z-index:-253752320;mso-width-relative:page;mso-height-relative:page;" filled="f" stroked="f" coordsize="21600,21600">
          <v:path/>
          <v:fill on="f" focussize="0,0"/>
          <v:stroke on="f" joinstyle="miter"/>
          <v:imagedata o:title=""/>
          <o:lock v:ext="edit"/>
          <v:textbox inset="0mm,0mm,0mm,0mm">
            <w:txbxContent>
              <w:p>
                <w:pPr>
                  <w:spacing w:before="17" w:line="297" w:lineRule="exact"/>
                  <w:ind w:left="20" w:right="0" w:firstLine="0"/>
                  <w:jc w:val="left"/>
                  <w:rPr>
                    <w:sz w:val="20"/>
                  </w:rPr>
                </w:pPr>
                <w:r>
                  <w:fldChar w:fldCharType="begin"/>
                </w:r>
                <w:r>
                  <w:instrText xml:space="preserve"> HYPERLINK "mailto:371354491@qq.com" \h </w:instrText>
                </w:r>
                <w:r>
                  <w:fldChar w:fldCharType="separate"/>
                </w:r>
                <w:r>
                  <w:rPr>
                    <w:sz w:val="20"/>
                  </w:rPr>
                  <w:t>邮箱：371354491@qq.com</w:t>
                </w:r>
                <w:r>
                  <w:rPr>
                    <w:sz w:val="20"/>
                  </w:rPr>
                  <w:fldChar w:fldCharType="end"/>
                </w:r>
              </w:p>
            </w:txbxContent>
          </v:textbox>
        </v:shape>
      </w:pict>
    </w:r>
    <w:r>
      <w:pict>
        <v:shape id="_x0000_s2055" o:spid="_x0000_s2055" o:spt="202" type="#_x0000_t202" style="position:absolute;left:0pt;margin-left:247.6pt;margin-top:815.2pt;height:14.4pt;width:23.8pt;mso-position-horizontal-relative:page;mso-position-vertical-relative:page;z-index:-253751296;mso-width-relative:page;mso-height-relative:page;" filled="f" stroked="f" coordsize="21600,21600">
          <v:path/>
          <v:fill on="f" focussize="0,0"/>
          <v:stroke on="f" joinstyle="miter"/>
          <v:imagedata o:title=""/>
          <o:lock v:ext="edit"/>
          <v:textbox inset="0mm,0mm,0mm,0mm">
            <w:txbxContent>
              <w:p>
                <w:pPr>
                  <w:spacing w:before="18"/>
                  <w:ind w:left="20" w:right="0" w:firstLine="0"/>
                  <w:jc w:val="left"/>
                  <w:rPr>
                    <w:sz w:val="18"/>
                  </w:rPr>
                </w:pPr>
                <w:r>
                  <w:rPr>
                    <w:sz w:val="18"/>
                  </w:rPr>
                  <w:t>P.</w:t>
                </w:r>
                <w:r>
                  <w:fldChar w:fldCharType="begin"/>
                </w:r>
                <w:r>
                  <w:rPr>
                    <w:sz w:val="18"/>
                  </w:rPr>
                  <w:instrText xml:space="preserve"> PAGE </w:instrText>
                </w:r>
                <w:r>
                  <w:fldChar w:fldCharType="separate"/>
                </w:r>
                <w:r>
                  <w:t>1</w:t>
                </w:r>
                <w:r>
                  <w:fldChar w:fldCharType="end"/>
                </w:r>
                <w:r>
                  <w:rPr>
                    <w:sz w:val="18"/>
                  </w:rPr>
                  <w:t>/3</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6" o:spid="_x0000_s2056" o:spt="202" type="#_x0000_t202" style="position:absolute;left:0pt;margin-left:98.2pt;margin-top:792.45pt;height:15.75pt;width:121.65pt;mso-position-horizontal-relative:page;mso-position-vertical-relative:page;z-index:-253750272;mso-width-relative:page;mso-height-relative:page;" filled="f" stroked="f" coordsize="21600,21600">
          <v:path/>
          <v:fill on="f" focussize="0,0"/>
          <v:stroke on="f" joinstyle="miter"/>
          <v:imagedata o:title=""/>
          <o:lock v:ext="edit"/>
          <v:textbox inset="0mm,0mm,0mm,0mm">
            <w:txbxContent>
              <w:p>
                <w:pPr>
                  <w:spacing w:before="17" w:line="297" w:lineRule="exact"/>
                  <w:ind w:left="20" w:right="0" w:firstLine="0"/>
                  <w:jc w:val="left"/>
                  <w:rPr>
                    <w:sz w:val="20"/>
                  </w:rPr>
                </w:pPr>
                <w:r>
                  <w:rPr>
                    <w:sz w:val="20"/>
                  </w:rPr>
                  <w:t>联系电话：0871-64570700</w:t>
                </w:r>
              </w:p>
            </w:txbxContent>
          </v:textbox>
        </v:shape>
      </w:pict>
    </w:r>
    <w:r>
      <w:pict>
        <v:shape id="_x0000_s2057" o:spid="_x0000_s2057" o:spt="202" type="#_x0000_t202" style="position:absolute;left:0pt;margin-left:402.3pt;margin-top:792.45pt;height:15.75pt;width:129.4pt;mso-position-horizontal-relative:page;mso-position-vertical-relative:page;z-index:-253749248;mso-width-relative:page;mso-height-relative:page;" filled="f" stroked="f" coordsize="21600,21600">
          <v:path/>
          <v:fill on="f" focussize="0,0"/>
          <v:stroke on="f" joinstyle="miter"/>
          <v:imagedata o:title=""/>
          <o:lock v:ext="edit"/>
          <v:textbox inset="0mm,0mm,0mm,0mm">
            <w:txbxContent>
              <w:p>
                <w:pPr>
                  <w:spacing w:before="17" w:line="297" w:lineRule="exact"/>
                  <w:ind w:left="20" w:right="0" w:firstLine="0"/>
                  <w:jc w:val="left"/>
                  <w:rPr>
                    <w:sz w:val="20"/>
                  </w:rPr>
                </w:pPr>
                <w:r>
                  <w:fldChar w:fldCharType="begin"/>
                </w:r>
                <w:r>
                  <w:instrText xml:space="preserve"> HYPERLINK "mailto:371354491@qq.com" \h </w:instrText>
                </w:r>
                <w:r>
                  <w:fldChar w:fldCharType="separate"/>
                </w:r>
                <w:r>
                  <w:rPr>
                    <w:sz w:val="20"/>
                  </w:rPr>
                  <w:t>邮箱：371354491@qq.com</w:t>
                </w:r>
                <w:r>
                  <w:rPr>
                    <w:sz w:val="20"/>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drawing>
        <wp:anchor distT="0" distB="0" distL="0" distR="0" simplePos="0" relativeHeight="249568256" behindDoc="1" locked="0" layoutInCell="1" allowOverlap="1">
          <wp:simplePos x="0" y="0"/>
          <wp:positionH relativeFrom="page">
            <wp:posOffset>432435</wp:posOffset>
          </wp:positionH>
          <wp:positionV relativeFrom="page">
            <wp:posOffset>10007600</wp:posOffset>
          </wp:positionV>
          <wp:extent cx="755650" cy="210185"/>
          <wp:effectExtent l="0" t="0" r="0" b="0"/>
          <wp:wrapNone/>
          <wp:docPr id="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4.png"/>
                  <pic:cNvPicPr>
                    <a:picLocks noChangeAspect="1"/>
                  </pic:cNvPicPr>
                </pic:nvPicPr>
                <pic:blipFill>
                  <a:blip r:embed="rId1" cstate="print"/>
                  <a:stretch>
                    <a:fillRect/>
                  </a:stretch>
                </pic:blipFill>
                <pic:spPr>
                  <a:xfrm>
                    <a:off x="0" y="0"/>
                    <a:ext cx="755903" cy="210184"/>
                  </a:xfrm>
                  <a:prstGeom prst="rect">
                    <a:avLst/>
                  </a:prstGeom>
                </pic:spPr>
              </pic:pic>
            </a:graphicData>
          </a:graphic>
        </wp:anchor>
      </w:drawing>
    </w:r>
    <w:r>
      <w:pict>
        <v:line id="_x0000_s2058" o:spid="_x0000_s2058" o:spt="20" style="position:absolute;left:0pt;margin-left:99.25pt;margin-top:790.7pt;height:0pt;width:439.3pt;mso-position-horizontal-relative:page;mso-position-vertical-relative:page;z-index:-253747200;mso-width-relative:page;mso-height-relative:page;" stroked="t" coordsize="21600,21600">
          <v:path arrowok="t"/>
          <v:fill focussize="0,0"/>
          <v:stroke weight="1.2pt" color="#000000"/>
          <v:imagedata o:title=""/>
          <o:lock v:ext="edit"/>
        </v:line>
      </w:pict>
    </w:r>
    <w:r>
      <w:pict>
        <v:shape id="_x0000_s2059" o:spid="_x0000_s2059" o:spt="202" type="#_x0000_t202" style="position:absolute;left:0pt;margin-left:98.2pt;margin-top:792.45pt;height:15.75pt;width:121.65pt;mso-position-horizontal-relative:page;mso-position-vertical-relative:page;z-index:-253746176;mso-width-relative:page;mso-height-relative:page;" filled="f" stroked="f" coordsize="21600,21600">
          <v:path/>
          <v:fill on="f" focussize="0,0"/>
          <v:stroke on="f" joinstyle="miter"/>
          <v:imagedata o:title=""/>
          <o:lock v:ext="edit"/>
          <v:textbox inset="0mm,0mm,0mm,0mm">
            <w:txbxContent>
              <w:p>
                <w:pPr>
                  <w:spacing w:before="17" w:line="297" w:lineRule="exact"/>
                  <w:ind w:left="20" w:right="0" w:firstLine="0"/>
                  <w:jc w:val="left"/>
                  <w:rPr>
                    <w:sz w:val="20"/>
                  </w:rPr>
                </w:pPr>
                <w:r>
                  <w:rPr>
                    <w:sz w:val="20"/>
                  </w:rPr>
                  <w:t>联系电话：0871-64570700</w:t>
                </w:r>
              </w:p>
            </w:txbxContent>
          </v:textbox>
        </v:shape>
      </w:pict>
    </w:r>
    <w:r>
      <w:pict>
        <v:shape id="_x0000_s2060" o:spid="_x0000_s2060" o:spt="202" type="#_x0000_t202" style="position:absolute;left:0pt;margin-left:402.3pt;margin-top:792.45pt;height:15.75pt;width:129.3pt;mso-position-horizontal-relative:page;mso-position-vertical-relative:page;z-index:-253745152;mso-width-relative:page;mso-height-relative:page;" filled="f" stroked="f" coordsize="21600,21600">
          <v:path/>
          <v:fill on="f" focussize="0,0"/>
          <v:stroke on="f" joinstyle="miter"/>
          <v:imagedata o:title=""/>
          <o:lock v:ext="edit"/>
          <v:textbox inset="0mm,0mm,0mm,0mm">
            <w:txbxContent>
              <w:p>
                <w:pPr>
                  <w:spacing w:before="17" w:line="297" w:lineRule="exact"/>
                  <w:ind w:left="20" w:right="0" w:firstLine="0"/>
                  <w:jc w:val="left"/>
                  <w:rPr>
                    <w:sz w:val="20"/>
                  </w:rPr>
                </w:pPr>
                <w:r>
                  <w:fldChar w:fldCharType="begin"/>
                </w:r>
                <w:r>
                  <w:instrText xml:space="preserve"> HYPERLINK "mailto:371354491@qq.com" \h </w:instrText>
                </w:r>
                <w:r>
                  <w:fldChar w:fldCharType="separate"/>
                </w:r>
                <w:r>
                  <w:rPr>
                    <w:sz w:val="20"/>
                  </w:rPr>
                  <w:t>邮箱：371354491@qq.com</w:t>
                </w:r>
                <w:r>
                  <w:rPr>
                    <w:sz w:val="20"/>
                  </w:rPr>
                  <w:fldChar w:fldCharType="end"/>
                </w:r>
              </w:p>
            </w:txbxContent>
          </v:textbox>
        </v:shape>
      </w:pict>
    </w:r>
    <w:r>
      <w:pict>
        <v:shape id="_x0000_s2061" o:spid="_x0000_s2061" o:spt="202" type="#_x0000_t202" style="position:absolute;left:0pt;margin-left:278.1pt;margin-top:813.25pt;height:14.4pt;width:33.7pt;mso-position-horizontal-relative:page;mso-position-vertical-relative:page;z-index:-253744128;mso-width-relative:page;mso-height-relative:page;" filled="f" stroked="f" coordsize="21600,21600">
          <v:path/>
          <v:fill on="f" focussize="0,0"/>
          <v:stroke on="f" joinstyle="miter"/>
          <v:imagedata o:title=""/>
          <o:lock v:ext="edit"/>
          <v:textbox inset="0mm,0mm,0mm,0mm">
            <w:txbxContent>
              <w:p>
                <w:pPr>
                  <w:spacing w:before="18"/>
                  <w:ind w:left="20" w:right="0" w:firstLine="0"/>
                  <w:jc w:val="left"/>
                  <w:rPr>
                    <w:sz w:val="18"/>
                  </w:rPr>
                </w:pPr>
                <w:r>
                  <w:rPr>
                    <w:sz w:val="18"/>
                  </w:rPr>
                  <w:t>P.</w:t>
                </w:r>
                <w:r>
                  <w:fldChar w:fldCharType="begin"/>
                </w:r>
                <w:r>
                  <w:rPr>
                    <w:sz w:val="18"/>
                  </w:rPr>
                  <w:instrText xml:space="preserve"> PAGE </w:instrText>
                </w:r>
                <w:r>
                  <w:fldChar w:fldCharType="separate"/>
                </w:r>
                <w:r>
                  <w:t>10</w:t>
                </w:r>
                <w:r>
                  <w:fldChar w:fldCharType="end"/>
                </w:r>
                <w:r>
                  <w:rPr>
                    <w:sz w:val="18"/>
                  </w:rPr>
                  <w:t>/33</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drawing>
        <wp:anchor distT="0" distB="0" distL="0" distR="0" simplePos="0" relativeHeight="249580544" behindDoc="1" locked="0" layoutInCell="1" allowOverlap="1">
          <wp:simplePos x="0" y="0"/>
          <wp:positionH relativeFrom="page">
            <wp:posOffset>432435</wp:posOffset>
          </wp:positionH>
          <wp:positionV relativeFrom="page">
            <wp:posOffset>10007600</wp:posOffset>
          </wp:positionV>
          <wp:extent cx="755650" cy="210185"/>
          <wp:effectExtent l="0" t="0" r="0" b="0"/>
          <wp:wrapNone/>
          <wp:docPr id="2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4.png"/>
                  <pic:cNvPicPr>
                    <a:picLocks noChangeAspect="1"/>
                  </pic:cNvPicPr>
                </pic:nvPicPr>
                <pic:blipFill>
                  <a:blip r:embed="rId1" cstate="print"/>
                  <a:stretch>
                    <a:fillRect/>
                  </a:stretch>
                </pic:blipFill>
                <pic:spPr>
                  <a:xfrm>
                    <a:off x="0" y="0"/>
                    <a:ext cx="755903" cy="210184"/>
                  </a:xfrm>
                  <a:prstGeom prst="rect">
                    <a:avLst/>
                  </a:prstGeom>
                </pic:spPr>
              </pic:pic>
            </a:graphicData>
          </a:graphic>
        </wp:anchor>
      </w:drawing>
    </w:r>
    <w:r>
      <w:pict>
        <v:line id="_x0000_s2071" o:spid="_x0000_s2071" o:spt="20" style="position:absolute;left:0pt;margin-left:99.25pt;margin-top:790.7pt;height:0pt;width:439.3pt;mso-position-horizontal-relative:page;mso-position-vertical-relative:page;z-index:-253734912;mso-width-relative:page;mso-height-relative:page;" stroked="t" coordsize="21600,21600">
          <v:path arrowok="t"/>
          <v:fill focussize="0,0"/>
          <v:stroke weight="1.2pt" color="#000000"/>
          <v:imagedata o:title=""/>
          <o:lock v:ext="edit"/>
        </v:line>
      </w:pict>
    </w:r>
    <w:r>
      <w:pict>
        <v:shape id="_x0000_s2072" o:spid="_x0000_s2072" o:spt="202" type="#_x0000_t202" style="position:absolute;left:0pt;margin-left:98.2pt;margin-top:792.45pt;height:15.75pt;width:121.65pt;mso-position-horizontal-relative:page;mso-position-vertical-relative:page;z-index:-253733888;mso-width-relative:page;mso-height-relative:page;" filled="f" stroked="f" coordsize="21600,21600">
          <v:path/>
          <v:fill on="f" focussize="0,0"/>
          <v:stroke on="f" joinstyle="miter"/>
          <v:imagedata o:title=""/>
          <o:lock v:ext="edit"/>
          <v:textbox inset="0mm,0mm,0mm,0mm">
            <w:txbxContent>
              <w:p>
                <w:pPr>
                  <w:spacing w:before="17" w:line="297" w:lineRule="exact"/>
                  <w:ind w:left="20" w:right="0" w:firstLine="0"/>
                  <w:jc w:val="left"/>
                  <w:rPr>
                    <w:sz w:val="20"/>
                  </w:rPr>
                </w:pPr>
                <w:r>
                  <w:rPr>
                    <w:sz w:val="20"/>
                  </w:rPr>
                  <w:t>联系电话：0871-64570700</w:t>
                </w:r>
              </w:p>
            </w:txbxContent>
          </v:textbox>
        </v:shape>
      </w:pict>
    </w:r>
    <w:r>
      <w:pict>
        <v:shape id="_x0000_s2073" o:spid="_x0000_s2073" o:spt="202" type="#_x0000_t202" style="position:absolute;left:0pt;margin-left:402.3pt;margin-top:792.45pt;height:15.75pt;width:129.3pt;mso-position-horizontal-relative:page;mso-position-vertical-relative:page;z-index:-253732864;mso-width-relative:page;mso-height-relative:page;" filled="f" stroked="f" coordsize="21600,21600">
          <v:path/>
          <v:fill on="f" focussize="0,0"/>
          <v:stroke on="f" joinstyle="miter"/>
          <v:imagedata o:title=""/>
          <o:lock v:ext="edit"/>
          <v:textbox inset="0mm,0mm,0mm,0mm">
            <w:txbxContent>
              <w:p>
                <w:pPr>
                  <w:spacing w:before="17" w:line="297" w:lineRule="exact"/>
                  <w:ind w:left="20" w:right="0" w:firstLine="0"/>
                  <w:jc w:val="left"/>
                  <w:rPr>
                    <w:sz w:val="20"/>
                  </w:rPr>
                </w:pPr>
                <w:r>
                  <w:fldChar w:fldCharType="begin"/>
                </w:r>
                <w:r>
                  <w:instrText xml:space="preserve"> HYPERLINK "mailto:371354491@qq.com" \h </w:instrText>
                </w:r>
                <w:r>
                  <w:fldChar w:fldCharType="separate"/>
                </w:r>
                <w:r>
                  <w:rPr>
                    <w:sz w:val="20"/>
                  </w:rPr>
                  <w:t>邮箱：371354491@qq.com</w:t>
                </w:r>
                <w:r>
                  <w:rPr>
                    <w:sz w:val="20"/>
                  </w:rPr>
                  <w:fldChar w:fldCharType="end"/>
                </w:r>
              </w:p>
            </w:txbxContent>
          </v:textbox>
        </v:shape>
      </w:pict>
    </w:r>
    <w:r>
      <w:pict>
        <v:shape id="_x0000_s2074" o:spid="_x0000_s2074" o:spt="202" type="#_x0000_t202" style="position:absolute;left:0pt;margin-left:278.1pt;margin-top:813.25pt;height:14.4pt;width:33.7pt;mso-position-horizontal-relative:page;mso-position-vertical-relative:page;z-index:-253731840;mso-width-relative:page;mso-height-relative:page;" filled="f" stroked="f" coordsize="21600,21600">
          <v:path/>
          <v:fill on="f" focussize="0,0"/>
          <v:stroke on="f" joinstyle="miter"/>
          <v:imagedata o:title=""/>
          <o:lock v:ext="edit"/>
          <v:textbox inset="0mm,0mm,0mm,0mm">
            <w:txbxContent>
              <w:p>
                <w:pPr>
                  <w:spacing w:before="18"/>
                  <w:ind w:left="20" w:right="0" w:firstLine="0"/>
                  <w:jc w:val="left"/>
                  <w:rPr>
                    <w:sz w:val="18"/>
                  </w:rPr>
                </w:pPr>
                <w:r>
                  <w:rPr>
                    <w:sz w:val="18"/>
                  </w:rPr>
                  <w:t>P.</w:t>
                </w:r>
                <w:r>
                  <w:fldChar w:fldCharType="begin"/>
                </w:r>
                <w:r>
                  <w:rPr>
                    <w:sz w:val="18"/>
                  </w:rPr>
                  <w:instrText xml:space="preserve"> PAGE </w:instrText>
                </w:r>
                <w:r>
                  <w:fldChar w:fldCharType="separate"/>
                </w:r>
                <w:r>
                  <w:t>27</w:t>
                </w:r>
                <w:r>
                  <w:fldChar w:fldCharType="end"/>
                </w:r>
                <w:r>
                  <w:rPr>
                    <w:sz w:val="18"/>
                  </w:rPr>
                  <w:t>/33</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49" o:spid="_x0000_s2049" o:spt="202" type="#_x0000_t202" style="position:absolute;left:0pt;margin-left:405.75pt;margin-top:41.25pt;height:15.75pt;width:133.9pt;mso-position-horizontal-relative:page;mso-position-vertical-relative:page;z-index:-253755392;mso-width-relative:page;mso-height-relative:page;" filled="f" stroked="f" coordsize="21600,21600">
          <v:path/>
          <v:fill on="f" focussize="0,0"/>
          <v:stroke on="f" joinstyle="miter"/>
          <v:imagedata o:title=""/>
          <o:lock v:ext="edit"/>
          <v:textbox inset="0mm,0mm,0mm,0mm">
            <w:txbxContent>
              <w:p>
                <w:pPr>
                  <w:spacing w:before="17" w:line="297" w:lineRule="exact"/>
                  <w:ind w:left="20" w:right="0" w:firstLine="0"/>
                  <w:jc w:val="left"/>
                  <w:rPr>
                    <w:sz w:val="20"/>
                  </w:rPr>
                </w:pPr>
                <w:r>
                  <w:rPr>
                    <w:sz w:val="20"/>
                  </w:rPr>
                  <w:t>昆云房鉴字[2020]第 06014 号</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77" o:spid="_x0000_s2077" o:spt="202" type="#_x0000_t202" style="position:absolute;left:0pt;margin-left:405.65pt;margin-top:41.25pt;height:15.75pt;width:133.9pt;mso-position-horizontal-relative:page;mso-position-vertical-relative:page;z-index:-253728768;mso-width-relative:page;mso-height-relative:page;" filled="f" stroked="f" coordsize="21600,21600">
          <v:path/>
          <v:fill on="f" focussize="0,0"/>
          <v:stroke on="f" joinstyle="miter"/>
          <v:imagedata o:title=""/>
          <o:lock v:ext="edit"/>
          <v:textbox inset="0mm,0mm,0mm,0mm">
            <w:txbxContent>
              <w:p>
                <w:pPr>
                  <w:spacing w:before="17" w:line="297" w:lineRule="exact"/>
                  <w:ind w:left="20" w:right="0" w:firstLine="0"/>
                  <w:jc w:val="left"/>
                  <w:rPr>
                    <w:sz w:val="20"/>
                  </w:rPr>
                </w:pPr>
                <w:r>
                  <w:rPr>
                    <w:sz w:val="20"/>
                  </w:rPr>
                  <w:t>昆云房鉴字[2020]第 06014 号</w:t>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1"/>
      <w:numFmt w:val="decimal"/>
      <w:lvlText w:val="%1."/>
      <w:lvlJc w:val="left"/>
      <w:pPr>
        <w:ind w:left="1684" w:hanging="284"/>
        <w:jc w:val="left"/>
      </w:pPr>
      <w:rPr>
        <w:rFonts w:hint="default" w:ascii="华文细黑" w:hAnsi="华文细黑" w:eastAsia="华文细黑" w:cs="华文细黑"/>
        <w:b/>
        <w:bCs/>
        <w:color w:val="0D0D0D"/>
        <w:w w:val="99"/>
        <w:sz w:val="26"/>
        <w:szCs w:val="26"/>
        <w:lang w:val="zh-CN" w:eastAsia="zh-CN" w:bidi="zh-CN"/>
      </w:rPr>
    </w:lvl>
    <w:lvl w:ilvl="1" w:tentative="0">
      <w:start w:val="0"/>
      <w:numFmt w:val="bullet"/>
      <w:lvlText w:val="•"/>
      <w:lvlJc w:val="left"/>
      <w:pPr>
        <w:ind w:left="2654" w:hanging="284"/>
      </w:pPr>
      <w:rPr>
        <w:rFonts w:hint="default"/>
        <w:lang w:val="zh-CN" w:eastAsia="zh-CN" w:bidi="zh-CN"/>
      </w:rPr>
    </w:lvl>
    <w:lvl w:ilvl="2" w:tentative="0">
      <w:start w:val="0"/>
      <w:numFmt w:val="bullet"/>
      <w:lvlText w:val="•"/>
      <w:lvlJc w:val="left"/>
      <w:pPr>
        <w:ind w:left="3629" w:hanging="284"/>
      </w:pPr>
      <w:rPr>
        <w:rFonts w:hint="default"/>
        <w:lang w:val="zh-CN" w:eastAsia="zh-CN" w:bidi="zh-CN"/>
      </w:rPr>
    </w:lvl>
    <w:lvl w:ilvl="3" w:tentative="0">
      <w:start w:val="0"/>
      <w:numFmt w:val="bullet"/>
      <w:lvlText w:val="•"/>
      <w:lvlJc w:val="left"/>
      <w:pPr>
        <w:ind w:left="4603" w:hanging="284"/>
      </w:pPr>
      <w:rPr>
        <w:rFonts w:hint="default"/>
        <w:lang w:val="zh-CN" w:eastAsia="zh-CN" w:bidi="zh-CN"/>
      </w:rPr>
    </w:lvl>
    <w:lvl w:ilvl="4" w:tentative="0">
      <w:start w:val="0"/>
      <w:numFmt w:val="bullet"/>
      <w:lvlText w:val="•"/>
      <w:lvlJc w:val="left"/>
      <w:pPr>
        <w:ind w:left="5578" w:hanging="284"/>
      </w:pPr>
      <w:rPr>
        <w:rFonts w:hint="default"/>
        <w:lang w:val="zh-CN" w:eastAsia="zh-CN" w:bidi="zh-CN"/>
      </w:rPr>
    </w:lvl>
    <w:lvl w:ilvl="5" w:tentative="0">
      <w:start w:val="0"/>
      <w:numFmt w:val="bullet"/>
      <w:lvlText w:val="•"/>
      <w:lvlJc w:val="left"/>
      <w:pPr>
        <w:ind w:left="6553" w:hanging="284"/>
      </w:pPr>
      <w:rPr>
        <w:rFonts w:hint="default"/>
        <w:lang w:val="zh-CN" w:eastAsia="zh-CN" w:bidi="zh-CN"/>
      </w:rPr>
    </w:lvl>
    <w:lvl w:ilvl="6" w:tentative="0">
      <w:start w:val="0"/>
      <w:numFmt w:val="bullet"/>
      <w:lvlText w:val="•"/>
      <w:lvlJc w:val="left"/>
      <w:pPr>
        <w:ind w:left="7527" w:hanging="284"/>
      </w:pPr>
      <w:rPr>
        <w:rFonts w:hint="default"/>
        <w:lang w:val="zh-CN" w:eastAsia="zh-CN" w:bidi="zh-CN"/>
      </w:rPr>
    </w:lvl>
    <w:lvl w:ilvl="7" w:tentative="0">
      <w:start w:val="0"/>
      <w:numFmt w:val="bullet"/>
      <w:lvlText w:val="•"/>
      <w:lvlJc w:val="left"/>
      <w:pPr>
        <w:ind w:left="8502" w:hanging="284"/>
      </w:pPr>
      <w:rPr>
        <w:rFonts w:hint="default"/>
        <w:lang w:val="zh-CN" w:eastAsia="zh-CN" w:bidi="zh-CN"/>
      </w:rPr>
    </w:lvl>
    <w:lvl w:ilvl="8" w:tentative="0">
      <w:start w:val="0"/>
      <w:numFmt w:val="bullet"/>
      <w:lvlText w:val="•"/>
      <w:lvlJc w:val="left"/>
      <w:pPr>
        <w:ind w:left="9477" w:hanging="284"/>
      </w:pPr>
      <w:rPr>
        <w:rFonts w:hint="default"/>
        <w:lang w:val="zh-CN" w:eastAsia="zh-CN" w:bidi="zh-CN"/>
      </w:rPr>
    </w:lvl>
  </w:abstractNum>
  <w:abstractNum w:abstractNumId="1">
    <w:nsid w:val="9C8AC8EF"/>
    <w:multiLevelType w:val="multilevel"/>
    <w:tmpl w:val="9C8AC8EF"/>
    <w:lvl w:ilvl="0" w:tentative="0">
      <w:start w:val="1"/>
      <w:numFmt w:val="decimal"/>
      <w:lvlText w:val="%1)"/>
      <w:lvlJc w:val="left"/>
      <w:pPr>
        <w:ind w:left="1684" w:hanging="279"/>
        <w:jc w:val="left"/>
      </w:pPr>
      <w:rPr>
        <w:rFonts w:hint="default" w:ascii="华文细黑" w:hAnsi="华文细黑" w:eastAsia="华文细黑" w:cs="华文细黑"/>
        <w:w w:val="99"/>
        <w:sz w:val="26"/>
        <w:szCs w:val="26"/>
        <w:lang w:val="zh-CN" w:eastAsia="zh-CN" w:bidi="zh-CN"/>
      </w:rPr>
    </w:lvl>
    <w:lvl w:ilvl="1" w:tentative="0">
      <w:start w:val="0"/>
      <w:numFmt w:val="bullet"/>
      <w:lvlText w:val="•"/>
      <w:lvlJc w:val="left"/>
      <w:pPr>
        <w:ind w:left="2654" w:hanging="279"/>
      </w:pPr>
      <w:rPr>
        <w:rFonts w:hint="default"/>
        <w:lang w:val="zh-CN" w:eastAsia="zh-CN" w:bidi="zh-CN"/>
      </w:rPr>
    </w:lvl>
    <w:lvl w:ilvl="2" w:tentative="0">
      <w:start w:val="0"/>
      <w:numFmt w:val="bullet"/>
      <w:lvlText w:val="•"/>
      <w:lvlJc w:val="left"/>
      <w:pPr>
        <w:ind w:left="3629" w:hanging="279"/>
      </w:pPr>
      <w:rPr>
        <w:rFonts w:hint="default"/>
        <w:lang w:val="zh-CN" w:eastAsia="zh-CN" w:bidi="zh-CN"/>
      </w:rPr>
    </w:lvl>
    <w:lvl w:ilvl="3" w:tentative="0">
      <w:start w:val="0"/>
      <w:numFmt w:val="bullet"/>
      <w:lvlText w:val="•"/>
      <w:lvlJc w:val="left"/>
      <w:pPr>
        <w:ind w:left="4603" w:hanging="279"/>
      </w:pPr>
      <w:rPr>
        <w:rFonts w:hint="default"/>
        <w:lang w:val="zh-CN" w:eastAsia="zh-CN" w:bidi="zh-CN"/>
      </w:rPr>
    </w:lvl>
    <w:lvl w:ilvl="4" w:tentative="0">
      <w:start w:val="0"/>
      <w:numFmt w:val="bullet"/>
      <w:lvlText w:val="•"/>
      <w:lvlJc w:val="left"/>
      <w:pPr>
        <w:ind w:left="5578" w:hanging="279"/>
      </w:pPr>
      <w:rPr>
        <w:rFonts w:hint="default"/>
        <w:lang w:val="zh-CN" w:eastAsia="zh-CN" w:bidi="zh-CN"/>
      </w:rPr>
    </w:lvl>
    <w:lvl w:ilvl="5" w:tentative="0">
      <w:start w:val="0"/>
      <w:numFmt w:val="bullet"/>
      <w:lvlText w:val="•"/>
      <w:lvlJc w:val="left"/>
      <w:pPr>
        <w:ind w:left="6553" w:hanging="279"/>
      </w:pPr>
      <w:rPr>
        <w:rFonts w:hint="default"/>
        <w:lang w:val="zh-CN" w:eastAsia="zh-CN" w:bidi="zh-CN"/>
      </w:rPr>
    </w:lvl>
    <w:lvl w:ilvl="6" w:tentative="0">
      <w:start w:val="0"/>
      <w:numFmt w:val="bullet"/>
      <w:lvlText w:val="•"/>
      <w:lvlJc w:val="left"/>
      <w:pPr>
        <w:ind w:left="7527" w:hanging="279"/>
      </w:pPr>
      <w:rPr>
        <w:rFonts w:hint="default"/>
        <w:lang w:val="zh-CN" w:eastAsia="zh-CN" w:bidi="zh-CN"/>
      </w:rPr>
    </w:lvl>
    <w:lvl w:ilvl="7" w:tentative="0">
      <w:start w:val="0"/>
      <w:numFmt w:val="bullet"/>
      <w:lvlText w:val="•"/>
      <w:lvlJc w:val="left"/>
      <w:pPr>
        <w:ind w:left="8502" w:hanging="279"/>
      </w:pPr>
      <w:rPr>
        <w:rFonts w:hint="default"/>
        <w:lang w:val="zh-CN" w:eastAsia="zh-CN" w:bidi="zh-CN"/>
      </w:rPr>
    </w:lvl>
    <w:lvl w:ilvl="8" w:tentative="0">
      <w:start w:val="0"/>
      <w:numFmt w:val="bullet"/>
      <w:lvlText w:val="•"/>
      <w:lvlJc w:val="left"/>
      <w:pPr>
        <w:ind w:left="9477" w:hanging="279"/>
      </w:pPr>
      <w:rPr>
        <w:rFonts w:hint="default"/>
        <w:lang w:val="zh-CN" w:eastAsia="zh-CN" w:bidi="zh-CN"/>
      </w:rPr>
    </w:lvl>
  </w:abstractNum>
  <w:abstractNum w:abstractNumId="2">
    <w:nsid w:val="B0F1ACD9"/>
    <w:multiLevelType w:val="multilevel"/>
    <w:tmpl w:val="B0F1ACD9"/>
    <w:lvl w:ilvl="0" w:tentative="0">
      <w:start w:val="0"/>
      <w:numFmt w:val="bullet"/>
      <w:lvlText w:val="■"/>
      <w:lvlJc w:val="left"/>
      <w:pPr>
        <w:ind w:left="1684" w:hanging="284"/>
      </w:pPr>
      <w:rPr>
        <w:rFonts w:hint="default"/>
        <w:w w:val="99"/>
        <w:lang w:val="zh-CN" w:eastAsia="zh-CN" w:bidi="zh-CN"/>
      </w:rPr>
    </w:lvl>
    <w:lvl w:ilvl="1" w:tentative="0">
      <w:start w:val="0"/>
      <w:numFmt w:val="bullet"/>
      <w:lvlText w:val="•"/>
      <w:lvlJc w:val="left"/>
      <w:pPr>
        <w:ind w:left="2654" w:hanging="284"/>
      </w:pPr>
      <w:rPr>
        <w:rFonts w:hint="default"/>
        <w:lang w:val="zh-CN" w:eastAsia="zh-CN" w:bidi="zh-CN"/>
      </w:rPr>
    </w:lvl>
    <w:lvl w:ilvl="2" w:tentative="0">
      <w:start w:val="0"/>
      <w:numFmt w:val="bullet"/>
      <w:lvlText w:val="•"/>
      <w:lvlJc w:val="left"/>
      <w:pPr>
        <w:ind w:left="3629" w:hanging="284"/>
      </w:pPr>
      <w:rPr>
        <w:rFonts w:hint="default"/>
        <w:lang w:val="zh-CN" w:eastAsia="zh-CN" w:bidi="zh-CN"/>
      </w:rPr>
    </w:lvl>
    <w:lvl w:ilvl="3" w:tentative="0">
      <w:start w:val="0"/>
      <w:numFmt w:val="bullet"/>
      <w:lvlText w:val="•"/>
      <w:lvlJc w:val="left"/>
      <w:pPr>
        <w:ind w:left="4603" w:hanging="284"/>
      </w:pPr>
      <w:rPr>
        <w:rFonts w:hint="default"/>
        <w:lang w:val="zh-CN" w:eastAsia="zh-CN" w:bidi="zh-CN"/>
      </w:rPr>
    </w:lvl>
    <w:lvl w:ilvl="4" w:tentative="0">
      <w:start w:val="0"/>
      <w:numFmt w:val="bullet"/>
      <w:lvlText w:val="•"/>
      <w:lvlJc w:val="left"/>
      <w:pPr>
        <w:ind w:left="5578" w:hanging="284"/>
      </w:pPr>
      <w:rPr>
        <w:rFonts w:hint="default"/>
        <w:lang w:val="zh-CN" w:eastAsia="zh-CN" w:bidi="zh-CN"/>
      </w:rPr>
    </w:lvl>
    <w:lvl w:ilvl="5" w:tentative="0">
      <w:start w:val="0"/>
      <w:numFmt w:val="bullet"/>
      <w:lvlText w:val="•"/>
      <w:lvlJc w:val="left"/>
      <w:pPr>
        <w:ind w:left="6553" w:hanging="284"/>
      </w:pPr>
      <w:rPr>
        <w:rFonts w:hint="default"/>
        <w:lang w:val="zh-CN" w:eastAsia="zh-CN" w:bidi="zh-CN"/>
      </w:rPr>
    </w:lvl>
    <w:lvl w:ilvl="6" w:tentative="0">
      <w:start w:val="0"/>
      <w:numFmt w:val="bullet"/>
      <w:lvlText w:val="•"/>
      <w:lvlJc w:val="left"/>
      <w:pPr>
        <w:ind w:left="7527" w:hanging="284"/>
      </w:pPr>
      <w:rPr>
        <w:rFonts w:hint="default"/>
        <w:lang w:val="zh-CN" w:eastAsia="zh-CN" w:bidi="zh-CN"/>
      </w:rPr>
    </w:lvl>
    <w:lvl w:ilvl="7" w:tentative="0">
      <w:start w:val="0"/>
      <w:numFmt w:val="bullet"/>
      <w:lvlText w:val="•"/>
      <w:lvlJc w:val="left"/>
      <w:pPr>
        <w:ind w:left="8502" w:hanging="284"/>
      </w:pPr>
      <w:rPr>
        <w:rFonts w:hint="default"/>
        <w:lang w:val="zh-CN" w:eastAsia="zh-CN" w:bidi="zh-CN"/>
      </w:rPr>
    </w:lvl>
    <w:lvl w:ilvl="8" w:tentative="0">
      <w:start w:val="0"/>
      <w:numFmt w:val="bullet"/>
      <w:lvlText w:val="•"/>
      <w:lvlJc w:val="left"/>
      <w:pPr>
        <w:ind w:left="9477" w:hanging="284"/>
      </w:pPr>
      <w:rPr>
        <w:rFonts w:hint="default"/>
        <w:lang w:val="zh-CN" w:eastAsia="zh-CN" w:bidi="zh-CN"/>
      </w:rPr>
    </w:lvl>
  </w:abstractNum>
  <w:abstractNum w:abstractNumId="3">
    <w:nsid w:val="B5E306ED"/>
    <w:multiLevelType w:val="multilevel"/>
    <w:tmpl w:val="B5E306ED"/>
    <w:lvl w:ilvl="0" w:tentative="0">
      <w:start w:val="1"/>
      <w:numFmt w:val="decimal"/>
      <w:lvlText w:val="%1)"/>
      <w:lvlJc w:val="left"/>
      <w:pPr>
        <w:ind w:left="1684" w:hanging="284"/>
        <w:jc w:val="left"/>
      </w:pPr>
      <w:rPr>
        <w:rFonts w:hint="default" w:ascii="华文细黑" w:hAnsi="华文细黑" w:eastAsia="华文细黑" w:cs="华文细黑"/>
        <w:color w:val="0D0D0D"/>
        <w:w w:val="99"/>
        <w:sz w:val="26"/>
        <w:szCs w:val="26"/>
        <w:lang w:val="zh-CN" w:eastAsia="zh-CN" w:bidi="zh-CN"/>
      </w:rPr>
    </w:lvl>
    <w:lvl w:ilvl="1" w:tentative="0">
      <w:start w:val="0"/>
      <w:numFmt w:val="bullet"/>
      <w:lvlText w:val="•"/>
      <w:lvlJc w:val="left"/>
      <w:pPr>
        <w:ind w:left="2654" w:hanging="284"/>
      </w:pPr>
      <w:rPr>
        <w:rFonts w:hint="default"/>
        <w:lang w:val="zh-CN" w:eastAsia="zh-CN" w:bidi="zh-CN"/>
      </w:rPr>
    </w:lvl>
    <w:lvl w:ilvl="2" w:tentative="0">
      <w:start w:val="0"/>
      <w:numFmt w:val="bullet"/>
      <w:lvlText w:val="•"/>
      <w:lvlJc w:val="left"/>
      <w:pPr>
        <w:ind w:left="3629" w:hanging="284"/>
      </w:pPr>
      <w:rPr>
        <w:rFonts w:hint="default"/>
        <w:lang w:val="zh-CN" w:eastAsia="zh-CN" w:bidi="zh-CN"/>
      </w:rPr>
    </w:lvl>
    <w:lvl w:ilvl="3" w:tentative="0">
      <w:start w:val="0"/>
      <w:numFmt w:val="bullet"/>
      <w:lvlText w:val="•"/>
      <w:lvlJc w:val="left"/>
      <w:pPr>
        <w:ind w:left="4603" w:hanging="284"/>
      </w:pPr>
      <w:rPr>
        <w:rFonts w:hint="default"/>
        <w:lang w:val="zh-CN" w:eastAsia="zh-CN" w:bidi="zh-CN"/>
      </w:rPr>
    </w:lvl>
    <w:lvl w:ilvl="4" w:tentative="0">
      <w:start w:val="0"/>
      <w:numFmt w:val="bullet"/>
      <w:lvlText w:val="•"/>
      <w:lvlJc w:val="left"/>
      <w:pPr>
        <w:ind w:left="5578" w:hanging="284"/>
      </w:pPr>
      <w:rPr>
        <w:rFonts w:hint="default"/>
        <w:lang w:val="zh-CN" w:eastAsia="zh-CN" w:bidi="zh-CN"/>
      </w:rPr>
    </w:lvl>
    <w:lvl w:ilvl="5" w:tentative="0">
      <w:start w:val="0"/>
      <w:numFmt w:val="bullet"/>
      <w:lvlText w:val="•"/>
      <w:lvlJc w:val="left"/>
      <w:pPr>
        <w:ind w:left="6553" w:hanging="284"/>
      </w:pPr>
      <w:rPr>
        <w:rFonts w:hint="default"/>
        <w:lang w:val="zh-CN" w:eastAsia="zh-CN" w:bidi="zh-CN"/>
      </w:rPr>
    </w:lvl>
    <w:lvl w:ilvl="6" w:tentative="0">
      <w:start w:val="0"/>
      <w:numFmt w:val="bullet"/>
      <w:lvlText w:val="•"/>
      <w:lvlJc w:val="left"/>
      <w:pPr>
        <w:ind w:left="7527" w:hanging="284"/>
      </w:pPr>
      <w:rPr>
        <w:rFonts w:hint="default"/>
        <w:lang w:val="zh-CN" w:eastAsia="zh-CN" w:bidi="zh-CN"/>
      </w:rPr>
    </w:lvl>
    <w:lvl w:ilvl="7" w:tentative="0">
      <w:start w:val="0"/>
      <w:numFmt w:val="bullet"/>
      <w:lvlText w:val="•"/>
      <w:lvlJc w:val="left"/>
      <w:pPr>
        <w:ind w:left="8502" w:hanging="284"/>
      </w:pPr>
      <w:rPr>
        <w:rFonts w:hint="default"/>
        <w:lang w:val="zh-CN" w:eastAsia="zh-CN" w:bidi="zh-CN"/>
      </w:rPr>
    </w:lvl>
    <w:lvl w:ilvl="8" w:tentative="0">
      <w:start w:val="0"/>
      <w:numFmt w:val="bullet"/>
      <w:lvlText w:val="•"/>
      <w:lvlJc w:val="left"/>
      <w:pPr>
        <w:ind w:left="9477" w:hanging="284"/>
      </w:pPr>
      <w:rPr>
        <w:rFonts w:hint="default"/>
        <w:lang w:val="zh-CN" w:eastAsia="zh-CN" w:bidi="zh-CN"/>
      </w:rPr>
    </w:lvl>
  </w:abstractNum>
  <w:abstractNum w:abstractNumId="4">
    <w:nsid w:val="BF205925"/>
    <w:multiLevelType w:val="multilevel"/>
    <w:tmpl w:val="BF205925"/>
    <w:lvl w:ilvl="0" w:tentative="0">
      <w:start w:val="1"/>
      <w:numFmt w:val="decimal"/>
      <w:lvlText w:val="%1)"/>
      <w:lvlJc w:val="left"/>
      <w:pPr>
        <w:ind w:left="1665" w:hanging="279"/>
        <w:jc w:val="right"/>
      </w:pPr>
      <w:rPr>
        <w:rFonts w:hint="default" w:ascii="华文细黑" w:hAnsi="华文细黑" w:eastAsia="华文细黑" w:cs="华文细黑"/>
        <w:color w:val="0D0D0D"/>
        <w:w w:val="99"/>
        <w:sz w:val="26"/>
        <w:szCs w:val="26"/>
        <w:lang w:val="zh-CN" w:eastAsia="zh-CN" w:bidi="zh-CN"/>
      </w:rPr>
    </w:lvl>
    <w:lvl w:ilvl="1" w:tentative="0">
      <w:start w:val="0"/>
      <w:numFmt w:val="bullet"/>
      <w:lvlText w:val="•"/>
      <w:lvlJc w:val="left"/>
      <w:pPr>
        <w:ind w:left="2636" w:hanging="279"/>
      </w:pPr>
      <w:rPr>
        <w:rFonts w:hint="default"/>
        <w:lang w:val="zh-CN" w:eastAsia="zh-CN" w:bidi="zh-CN"/>
      </w:rPr>
    </w:lvl>
    <w:lvl w:ilvl="2" w:tentative="0">
      <w:start w:val="0"/>
      <w:numFmt w:val="bullet"/>
      <w:lvlText w:val="•"/>
      <w:lvlJc w:val="left"/>
      <w:pPr>
        <w:ind w:left="3613" w:hanging="279"/>
      </w:pPr>
      <w:rPr>
        <w:rFonts w:hint="default"/>
        <w:lang w:val="zh-CN" w:eastAsia="zh-CN" w:bidi="zh-CN"/>
      </w:rPr>
    </w:lvl>
    <w:lvl w:ilvl="3" w:tentative="0">
      <w:start w:val="0"/>
      <w:numFmt w:val="bullet"/>
      <w:lvlText w:val="•"/>
      <w:lvlJc w:val="left"/>
      <w:pPr>
        <w:ind w:left="4589" w:hanging="279"/>
      </w:pPr>
      <w:rPr>
        <w:rFonts w:hint="default"/>
        <w:lang w:val="zh-CN" w:eastAsia="zh-CN" w:bidi="zh-CN"/>
      </w:rPr>
    </w:lvl>
    <w:lvl w:ilvl="4" w:tentative="0">
      <w:start w:val="0"/>
      <w:numFmt w:val="bullet"/>
      <w:lvlText w:val="•"/>
      <w:lvlJc w:val="left"/>
      <w:pPr>
        <w:ind w:left="5566" w:hanging="279"/>
      </w:pPr>
      <w:rPr>
        <w:rFonts w:hint="default"/>
        <w:lang w:val="zh-CN" w:eastAsia="zh-CN" w:bidi="zh-CN"/>
      </w:rPr>
    </w:lvl>
    <w:lvl w:ilvl="5" w:tentative="0">
      <w:start w:val="0"/>
      <w:numFmt w:val="bullet"/>
      <w:lvlText w:val="•"/>
      <w:lvlJc w:val="left"/>
      <w:pPr>
        <w:ind w:left="6543" w:hanging="279"/>
      </w:pPr>
      <w:rPr>
        <w:rFonts w:hint="default"/>
        <w:lang w:val="zh-CN" w:eastAsia="zh-CN" w:bidi="zh-CN"/>
      </w:rPr>
    </w:lvl>
    <w:lvl w:ilvl="6" w:tentative="0">
      <w:start w:val="0"/>
      <w:numFmt w:val="bullet"/>
      <w:lvlText w:val="•"/>
      <w:lvlJc w:val="left"/>
      <w:pPr>
        <w:ind w:left="7519" w:hanging="279"/>
      </w:pPr>
      <w:rPr>
        <w:rFonts w:hint="default"/>
        <w:lang w:val="zh-CN" w:eastAsia="zh-CN" w:bidi="zh-CN"/>
      </w:rPr>
    </w:lvl>
    <w:lvl w:ilvl="7" w:tentative="0">
      <w:start w:val="0"/>
      <w:numFmt w:val="bullet"/>
      <w:lvlText w:val="•"/>
      <w:lvlJc w:val="left"/>
      <w:pPr>
        <w:ind w:left="8496" w:hanging="279"/>
      </w:pPr>
      <w:rPr>
        <w:rFonts w:hint="default"/>
        <w:lang w:val="zh-CN" w:eastAsia="zh-CN" w:bidi="zh-CN"/>
      </w:rPr>
    </w:lvl>
    <w:lvl w:ilvl="8" w:tentative="0">
      <w:start w:val="0"/>
      <w:numFmt w:val="bullet"/>
      <w:lvlText w:val="•"/>
      <w:lvlJc w:val="left"/>
      <w:pPr>
        <w:ind w:left="9473" w:hanging="279"/>
      </w:pPr>
      <w:rPr>
        <w:rFonts w:hint="default"/>
        <w:lang w:val="zh-CN" w:eastAsia="zh-CN" w:bidi="zh-CN"/>
      </w:rPr>
    </w:lvl>
  </w:abstractNum>
  <w:abstractNum w:abstractNumId="5">
    <w:nsid w:val="C8879AEF"/>
    <w:multiLevelType w:val="multilevel"/>
    <w:tmpl w:val="C8879AEF"/>
    <w:lvl w:ilvl="0" w:tentative="0">
      <w:start w:val="1"/>
      <w:numFmt w:val="decimal"/>
      <w:lvlText w:val="%1)"/>
      <w:lvlJc w:val="left"/>
      <w:pPr>
        <w:ind w:left="1684" w:hanging="284"/>
        <w:jc w:val="left"/>
      </w:pPr>
      <w:rPr>
        <w:rFonts w:hint="default" w:ascii="华文细黑" w:hAnsi="华文细黑" w:eastAsia="华文细黑" w:cs="华文细黑"/>
        <w:b/>
        <w:bCs/>
        <w:color w:val="0D0D0D"/>
        <w:w w:val="99"/>
        <w:sz w:val="26"/>
        <w:szCs w:val="26"/>
        <w:lang w:val="zh-CN" w:eastAsia="zh-CN" w:bidi="zh-CN"/>
      </w:rPr>
    </w:lvl>
    <w:lvl w:ilvl="1" w:tentative="0">
      <w:start w:val="0"/>
      <w:numFmt w:val="bullet"/>
      <w:lvlText w:val="•"/>
      <w:lvlJc w:val="left"/>
      <w:pPr>
        <w:ind w:left="2654" w:hanging="284"/>
      </w:pPr>
      <w:rPr>
        <w:rFonts w:hint="default"/>
        <w:lang w:val="zh-CN" w:eastAsia="zh-CN" w:bidi="zh-CN"/>
      </w:rPr>
    </w:lvl>
    <w:lvl w:ilvl="2" w:tentative="0">
      <w:start w:val="0"/>
      <w:numFmt w:val="bullet"/>
      <w:lvlText w:val="•"/>
      <w:lvlJc w:val="left"/>
      <w:pPr>
        <w:ind w:left="3629" w:hanging="284"/>
      </w:pPr>
      <w:rPr>
        <w:rFonts w:hint="default"/>
        <w:lang w:val="zh-CN" w:eastAsia="zh-CN" w:bidi="zh-CN"/>
      </w:rPr>
    </w:lvl>
    <w:lvl w:ilvl="3" w:tentative="0">
      <w:start w:val="0"/>
      <w:numFmt w:val="bullet"/>
      <w:lvlText w:val="•"/>
      <w:lvlJc w:val="left"/>
      <w:pPr>
        <w:ind w:left="4603" w:hanging="284"/>
      </w:pPr>
      <w:rPr>
        <w:rFonts w:hint="default"/>
        <w:lang w:val="zh-CN" w:eastAsia="zh-CN" w:bidi="zh-CN"/>
      </w:rPr>
    </w:lvl>
    <w:lvl w:ilvl="4" w:tentative="0">
      <w:start w:val="0"/>
      <w:numFmt w:val="bullet"/>
      <w:lvlText w:val="•"/>
      <w:lvlJc w:val="left"/>
      <w:pPr>
        <w:ind w:left="5578" w:hanging="284"/>
      </w:pPr>
      <w:rPr>
        <w:rFonts w:hint="default"/>
        <w:lang w:val="zh-CN" w:eastAsia="zh-CN" w:bidi="zh-CN"/>
      </w:rPr>
    </w:lvl>
    <w:lvl w:ilvl="5" w:tentative="0">
      <w:start w:val="0"/>
      <w:numFmt w:val="bullet"/>
      <w:lvlText w:val="•"/>
      <w:lvlJc w:val="left"/>
      <w:pPr>
        <w:ind w:left="6553" w:hanging="284"/>
      </w:pPr>
      <w:rPr>
        <w:rFonts w:hint="default"/>
        <w:lang w:val="zh-CN" w:eastAsia="zh-CN" w:bidi="zh-CN"/>
      </w:rPr>
    </w:lvl>
    <w:lvl w:ilvl="6" w:tentative="0">
      <w:start w:val="0"/>
      <w:numFmt w:val="bullet"/>
      <w:lvlText w:val="•"/>
      <w:lvlJc w:val="left"/>
      <w:pPr>
        <w:ind w:left="7527" w:hanging="284"/>
      </w:pPr>
      <w:rPr>
        <w:rFonts w:hint="default"/>
        <w:lang w:val="zh-CN" w:eastAsia="zh-CN" w:bidi="zh-CN"/>
      </w:rPr>
    </w:lvl>
    <w:lvl w:ilvl="7" w:tentative="0">
      <w:start w:val="0"/>
      <w:numFmt w:val="bullet"/>
      <w:lvlText w:val="•"/>
      <w:lvlJc w:val="left"/>
      <w:pPr>
        <w:ind w:left="8502" w:hanging="284"/>
      </w:pPr>
      <w:rPr>
        <w:rFonts w:hint="default"/>
        <w:lang w:val="zh-CN" w:eastAsia="zh-CN" w:bidi="zh-CN"/>
      </w:rPr>
    </w:lvl>
    <w:lvl w:ilvl="8" w:tentative="0">
      <w:start w:val="0"/>
      <w:numFmt w:val="bullet"/>
      <w:lvlText w:val="•"/>
      <w:lvlJc w:val="left"/>
      <w:pPr>
        <w:ind w:left="9477" w:hanging="284"/>
      </w:pPr>
      <w:rPr>
        <w:rFonts w:hint="default"/>
        <w:lang w:val="zh-CN" w:eastAsia="zh-CN" w:bidi="zh-CN"/>
      </w:rPr>
    </w:lvl>
  </w:abstractNum>
  <w:abstractNum w:abstractNumId="6">
    <w:nsid w:val="CF092B84"/>
    <w:multiLevelType w:val="multilevel"/>
    <w:tmpl w:val="CF092B84"/>
    <w:lvl w:ilvl="0" w:tentative="0">
      <w:start w:val="0"/>
      <w:numFmt w:val="bullet"/>
      <w:lvlText w:val="■"/>
      <w:lvlJc w:val="left"/>
      <w:pPr>
        <w:ind w:left="1403" w:hanging="274"/>
      </w:pPr>
      <w:rPr>
        <w:rFonts w:hint="default"/>
        <w:spacing w:val="14"/>
        <w:w w:val="99"/>
        <w:lang w:val="zh-CN" w:eastAsia="zh-CN" w:bidi="zh-CN"/>
      </w:rPr>
    </w:lvl>
    <w:lvl w:ilvl="1" w:tentative="0">
      <w:start w:val="0"/>
      <w:numFmt w:val="bullet"/>
      <w:lvlText w:val="•"/>
      <w:lvlJc w:val="left"/>
      <w:pPr>
        <w:ind w:left="2402" w:hanging="274"/>
      </w:pPr>
      <w:rPr>
        <w:rFonts w:hint="default"/>
        <w:lang w:val="zh-CN" w:eastAsia="zh-CN" w:bidi="zh-CN"/>
      </w:rPr>
    </w:lvl>
    <w:lvl w:ilvl="2" w:tentative="0">
      <w:start w:val="0"/>
      <w:numFmt w:val="bullet"/>
      <w:lvlText w:val="•"/>
      <w:lvlJc w:val="left"/>
      <w:pPr>
        <w:ind w:left="3405" w:hanging="274"/>
      </w:pPr>
      <w:rPr>
        <w:rFonts w:hint="default"/>
        <w:lang w:val="zh-CN" w:eastAsia="zh-CN" w:bidi="zh-CN"/>
      </w:rPr>
    </w:lvl>
    <w:lvl w:ilvl="3" w:tentative="0">
      <w:start w:val="0"/>
      <w:numFmt w:val="bullet"/>
      <w:lvlText w:val="•"/>
      <w:lvlJc w:val="left"/>
      <w:pPr>
        <w:ind w:left="4407" w:hanging="274"/>
      </w:pPr>
      <w:rPr>
        <w:rFonts w:hint="default"/>
        <w:lang w:val="zh-CN" w:eastAsia="zh-CN" w:bidi="zh-CN"/>
      </w:rPr>
    </w:lvl>
    <w:lvl w:ilvl="4" w:tentative="0">
      <w:start w:val="0"/>
      <w:numFmt w:val="bullet"/>
      <w:lvlText w:val="•"/>
      <w:lvlJc w:val="left"/>
      <w:pPr>
        <w:ind w:left="5410" w:hanging="274"/>
      </w:pPr>
      <w:rPr>
        <w:rFonts w:hint="default"/>
        <w:lang w:val="zh-CN" w:eastAsia="zh-CN" w:bidi="zh-CN"/>
      </w:rPr>
    </w:lvl>
    <w:lvl w:ilvl="5" w:tentative="0">
      <w:start w:val="0"/>
      <w:numFmt w:val="bullet"/>
      <w:lvlText w:val="•"/>
      <w:lvlJc w:val="left"/>
      <w:pPr>
        <w:ind w:left="6413" w:hanging="274"/>
      </w:pPr>
      <w:rPr>
        <w:rFonts w:hint="default"/>
        <w:lang w:val="zh-CN" w:eastAsia="zh-CN" w:bidi="zh-CN"/>
      </w:rPr>
    </w:lvl>
    <w:lvl w:ilvl="6" w:tentative="0">
      <w:start w:val="0"/>
      <w:numFmt w:val="bullet"/>
      <w:lvlText w:val="•"/>
      <w:lvlJc w:val="left"/>
      <w:pPr>
        <w:ind w:left="7415" w:hanging="274"/>
      </w:pPr>
      <w:rPr>
        <w:rFonts w:hint="default"/>
        <w:lang w:val="zh-CN" w:eastAsia="zh-CN" w:bidi="zh-CN"/>
      </w:rPr>
    </w:lvl>
    <w:lvl w:ilvl="7" w:tentative="0">
      <w:start w:val="0"/>
      <w:numFmt w:val="bullet"/>
      <w:lvlText w:val="•"/>
      <w:lvlJc w:val="left"/>
      <w:pPr>
        <w:ind w:left="8418" w:hanging="274"/>
      </w:pPr>
      <w:rPr>
        <w:rFonts w:hint="default"/>
        <w:lang w:val="zh-CN" w:eastAsia="zh-CN" w:bidi="zh-CN"/>
      </w:rPr>
    </w:lvl>
    <w:lvl w:ilvl="8" w:tentative="0">
      <w:start w:val="0"/>
      <w:numFmt w:val="bullet"/>
      <w:lvlText w:val="•"/>
      <w:lvlJc w:val="left"/>
      <w:pPr>
        <w:ind w:left="9421" w:hanging="274"/>
      </w:pPr>
      <w:rPr>
        <w:rFonts w:hint="default"/>
        <w:lang w:val="zh-CN" w:eastAsia="zh-CN" w:bidi="zh-CN"/>
      </w:rPr>
    </w:lvl>
  </w:abstractNum>
  <w:abstractNum w:abstractNumId="7">
    <w:nsid w:val="D7F9FE59"/>
    <w:multiLevelType w:val="multilevel"/>
    <w:tmpl w:val="D7F9FE59"/>
    <w:lvl w:ilvl="0" w:tentative="0">
      <w:start w:val="1"/>
      <w:numFmt w:val="decimal"/>
      <w:lvlText w:val="%1)"/>
      <w:lvlJc w:val="left"/>
      <w:pPr>
        <w:ind w:left="1684" w:hanging="284"/>
        <w:jc w:val="right"/>
      </w:pPr>
      <w:rPr>
        <w:rFonts w:hint="default" w:ascii="华文细黑" w:hAnsi="华文细黑" w:eastAsia="华文细黑" w:cs="华文细黑"/>
        <w:w w:val="99"/>
        <w:sz w:val="26"/>
        <w:szCs w:val="26"/>
        <w:lang w:val="zh-CN" w:eastAsia="zh-CN" w:bidi="zh-CN"/>
      </w:rPr>
    </w:lvl>
    <w:lvl w:ilvl="1" w:tentative="0">
      <w:start w:val="0"/>
      <w:numFmt w:val="bullet"/>
      <w:lvlText w:val="•"/>
      <w:lvlJc w:val="left"/>
      <w:pPr>
        <w:ind w:left="2654" w:hanging="284"/>
      </w:pPr>
      <w:rPr>
        <w:rFonts w:hint="default"/>
        <w:lang w:val="zh-CN" w:eastAsia="zh-CN" w:bidi="zh-CN"/>
      </w:rPr>
    </w:lvl>
    <w:lvl w:ilvl="2" w:tentative="0">
      <w:start w:val="0"/>
      <w:numFmt w:val="bullet"/>
      <w:lvlText w:val="•"/>
      <w:lvlJc w:val="left"/>
      <w:pPr>
        <w:ind w:left="3629" w:hanging="284"/>
      </w:pPr>
      <w:rPr>
        <w:rFonts w:hint="default"/>
        <w:lang w:val="zh-CN" w:eastAsia="zh-CN" w:bidi="zh-CN"/>
      </w:rPr>
    </w:lvl>
    <w:lvl w:ilvl="3" w:tentative="0">
      <w:start w:val="0"/>
      <w:numFmt w:val="bullet"/>
      <w:lvlText w:val="•"/>
      <w:lvlJc w:val="left"/>
      <w:pPr>
        <w:ind w:left="4603" w:hanging="284"/>
      </w:pPr>
      <w:rPr>
        <w:rFonts w:hint="default"/>
        <w:lang w:val="zh-CN" w:eastAsia="zh-CN" w:bidi="zh-CN"/>
      </w:rPr>
    </w:lvl>
    <w:lvl w:ilvl="4" w:tentative="0">
      <w:start w:val="0"/>
      <w:numFmt w:val="bullet"/>
      <w:lvlText w:val="•"/>
      <w:lvlJc w:val="left"/>
      <w:pPr>
        <w:ind w:left="5578" w:hanging="284"/>
      </w:pPr>
      <w:rPr>
        <w:rFonts w:hint="default"/>
        <w:lang w:val="zh-CN" w:eastAsia="zh-CN" w:bidi="zh-CN"/>
      </w:rPr>
    </w:lvl>
    <w:lvl w:ilvl="5" w:tentative="0">
      <w:start w:val="0"/>
      <w:numFmt w:val="bullet"/>
      <w:lvlText w:val="•"/>
      <w:lvlJc w:val="left"/>
      <w:pPr>
        <w:ind w:left="6553" w:hanging="284"/>
      </w:pPr>
      <w:rPr>
        <w:rFonts w:hint="default"/>
        <w:lang w:val="zh-CN" w:eastAsia="zh-CN" w:bidi="zh-CN"/>
      </w:rPr>
    </w:lvl>
    <w:lvl w:ilvl="6" w:tentative="0">
      <w:start w:val="0"/>
      <w:numFmt w:val="bullet"/>
      <w:lvlText w:val="•"/>
      <w:lvlJc w:val="left"/>
      <w:pPr>
        <w:ind w:left="7527" w:hanging="284"/>
      </w:pPr>
      <w:rPr>
        <w:rFonts w:hint="default"/>
        <w:lang w:val="zh-CN" w:eastAsia="zh-CN" w:bidi="zh-CN"/>
      </w:rPr>
    </w:lvl>
    <w:lvl w:ilvl="7" w:tentative="0">
      <w:start w:val="0"/>
      <w:numFmt w:val="bullet"/>
      <w:lvlText w:val="•"/>
      <w:lvlJc w:val="left"/>
      <w:pPr>
        <w:ind w:left="8502" w:hanging="284"/>
      </w:pPr>
      <w:rPr>
        <w:rFonts w:hint="default"/>
        <w:lang w:val="zh-CN" w:eastAsia="zh-CN" w:bidi="zh-CN"/>
      </w:rPr>
    </w:lvl>
    <w:lvl w:ilvl="8" w:tentative="0">
      <w:start w:val="0"/>
      <w:numFmt w:val="bullet"/>
      <w:lvlText w:val="•"/>
      <w:lvlJc w:val="left"/>
      <w:pPr>
        <w:ind w:left="9477" w:hanging="284"/>
      </w:pPr>
      <w:rPr>
        <w:rFonts w:hint="default"/>
        <w:lang w:val="zh-CN" w:eastAsia="zh-CN" w:bidi="zh-CN"/>
      </w:rPr>
    </w:lvl>
  </w:abstractNum>
  <w:abstractNum w:abstractNumId="8">
    <w:nsid w:val="DCBA6B53"/>
    <w:multiLevelType w:val="multilevel"/>
    <w:tmpl w:val="DCBA6B53"/>
    <w:lvl w:ilvl="0" w:tentative="0">
      <w:start w:val="1"/>
      <w:numFmt w:val="decimal"/>
      <w:lvlText w:val="%1."/>
      <w:lvlJc w:val="left"/>
      <w:pPr>
        <w:ind w:left="1684" w:hanging="284"/>
        <w:jc w:val="left"/>
      </w:pPr>
      <w:rPr>
        <w:rFonts w:hint="default" w:ascii="华文细黑" w:hAnsi="华文细黑" w:eastAsia="华文细黑" w:cs="华文细黑"/>
        <w:b/>
        <w:bCs/>
        <w:color w:val="0D0D0D"/>
        <w:w w:val="99"/>
        <w:sz w:val="26"/>
        <w:szCs w:val="26"/>
        <w:lang w:val="zh-CN" w:eastAsia="zh-CN" w:bidi="zh-CN"/>
      </w:rPr>
    </w:lvl>
    <w:lvl w:ilvl="1" w:tentative="0">
      <w:start w:val="0"/>
      <w:numFmt w:val="bullet"/>
      <w:lvlText w:val="•"/>
      <w:lvlJc w:val="left"/>
      <w:pPr>
        <w:ind w:left="2180" w:hanging="284"/>
      </w:pPr>
      <w:rPr>
        <w:rFonts w:hint="default"/>
        <w:lang w:val="zh-CN" w:eastAsia="zh-CN" w:bidi="zh-CN"/>
      </w:rPr>
    </w:lvl>
    <w:lvl w:ilvl="2" w:tentative="0">
      <w:start w:val="0"/>
      <w:numFmt w:val="bullet"/>
      <w:lvlText w:val="•"/>
      <w:lvlJc w:val="left"/>
      <w:pPr>
        <w:ind w:left="3207" w:hanging="284"/>
      </w:pPr>
      <w:rPr>
        <w:rFonts w:hint="default"/>
        <w:lang w:val="zh-CN" w:eastAsia="zh-CN" w:bidi="zh-CN"/>
      </w:rPr>
    </w:lvl>
    <w:lvl w:ilvl="3" w:tentative="0">
      <w:start w:val="0"/>
      <w:numFmt w:val="bullet"/>
      <w:lvlText w:val="•"/>
      <w:lvlJc w:val="left"/>
      <w:pPr>
        <w:ind w:left="4234" w:hanging="284"/>
      </w:pPr>
      <w:rPr>
        <w:rFonts w:hint="default"/>
        <w:lang w:val="zh-CN" w:eastAsia="zh-CN" w:bidi="zh-CN"/>
      </w:rPr>
    </w:lvl>
    <w:lvl w:ilvl="4" w:tentative="0">
      <w:start w:val="0"/>
      <w:numFmt w:val="bullet"/>
      <w:lvlText w:val="•"/>
      <w:lvlJc w:val="left"/>
      <w:pPr>
        <w:ind w:left="5262" w:hanging="284"/>
      </w:pPr>
      <w:rPr>
        <w:rFonts w:hint="default"/>
        <w:lang w:val="zh-CN" w:eastAsia="zh-CN" w:bidi="zh-CN"/>
      </w:rPr>
    </w:lvl>
    <w:lvl w:ilvl="5" w:tentative="0">
      <w:start w:val="0"/>
      <w:numFmt w:val="bullet"/>
      <w:lvlText w:val="•"/>
      <w:lvlJc w:val="left"/>
      <w:pPr>
        <w:ind w:left="6289" w:hanging="284"/>
      </w:pPr>
      <w:rPr>
        <w:rFonts w:hint="default"/>
        <w:lang w:val="zh-CN" w:eastAsia="zh-CN" w:bidi="zh-CN"/>
      </w:rPr>
    </w:lvl>
    <w:lvl w:ilvl="6" w:tentative="0">
      <w:start w:val="0"/>
      <w:numFmt w:val="bullet"/>
      <w:lvlText w:val="•"/>
      <w:lvlJc w:val="left"/>
      <w:pPr>
        <w:ind w:left="7316" w:hanging="284"/>
      </w:pPr>
      <w:rPr>
        <w:rFonts w:hint="default"/>
        <w:lang w:val="zh-CN" w:eastAsia="zh-CN" w:bidi="zh-CN"/>
      </w:rPr>
    </w:lvl>
    <w:lvl w:ilvl="7" w:tentative="0">
      <w:start w:val="0"/>
      <w:numFmt w:val="bullet"/>
      <w:lvlText w:val="•"/>
      <w:lvlJc w:val="left"/>
      <w:pPr>
        <w:ind w:left="8344" w:hanging="284"/>
      </w:pPr>
      <w:rPr>
        <w:rFonts w:hint="default"/>
        <w:lang w:val="zh-CN" w:eastAsia="zh-CN" w:bidi="zh-CN"/>
      </w:rPr>
    </w:lvl>
    <w:lvl w:ilvl="8" w:tentative="0">
      <w:start w:val="0"/>
      <w:numFmt w:val="bullet"/>
      <w:lvlText w:val="•"/>
      <w:lvlJc w:val="left"/>
      <w:pPr>
        <w:ind w:left="9371" w:hanging="284"/>
      </w:pPr>
      <w:rPr>
        <w:rFonts w:hint="default"/>
        <w:lang w:val="zh-CN" w:eastAsia="zh-CN" w:bidi="zh-CN"/>
      </w:rPr>
    </w:lvl>
  </w:abstractNum>
  <w:abstractNum w:abstractNumId="9">
    <w:nsid w:val="F4B5D9F5"/>
    <w:multiLevelType w:val="multilevel"/>
    <w:tmpl w:val="F4B5D9F5"/>
    <w:lvl w:ilvl="0" w:tentative="0">
      <w:start w:val="1"/>
      <w:numFmt w:val="decimal"/>
      <w:lvlText w:val="%1."/>
      <w:lvlJc w:val="left"/>
      <w:pPr>
        <w:ind w:left="1684" w:hanging="284"/>
        <w:jc w:val="left"/>
      </w:pPr>
      <w:rPr>
        <w:rFonts w:hint="default" w:ascii="华文细黑" w:hAnsi="华文细黑" w:eastAsia="华文细黑" w:cs="华文细黑"/>
        <w:b/>
        <w:bCs/>
        <w:color w:val="0D0D0D"/>
        <w:w w:val="99"/>
        <w:sz w:val="26"/>
        <w:szCs w:val="26"/>
        <w:lang w:val="zh-CN" w:eastAsia="zh-CN" w:bidi="zh-CN"/>
      </w:rPr>
    </w:lvl>
    <w:lvl w:ilvl="1" w:tentative="0">
      <w:start w:val="0"/>
      <w:numFmt w:val="bullet"/>
      <w:lvlText w:val="•"/>
      <w:lvlJc w:val="left"/>
      <w:pPr>
        <w:ind w:left="2654" w:hanging="284"/>
      </w:pPr>
      <w:rPr>
        <w:rFonts w:hint="default"/>
        <w:lang w:val="zh-CN" w:eastAsia="zh-CN" w:bidi="zh-CN"/>
      </w:rPr>
    </w:lvl>
    <w:lvl w:ilvl="2" w:tentative="0">
      <w:start w:val="0"/>
      <w:numFmt w:val="bullet"/>
      <w:lvlText w:val="•"/>
      <w:lvlJc w:val="left"/>
      <w:pPr>
        <w:ind w:left="3629" w:hanging="284"/>
      </w:pPr>
      <w:rPr>
        <w:rFonts w:hint="default"/>
        <w:lang w:val="zh-CN" w:eastAsia="zh-CN" w:bidi="zh-CN"/>
      </w:rPr>
    </w:lvl>
    <w:lvl w:ilvl="3" w:tentative="0">
      <w:start w:val="0"/>
      <w:numFmt w:val="bullet"/>
      <w:lvlText w:val="•"/>
      <w:lvlJc w:val="left"/>
      <w:pPr>
        <w:ind w:left="4603" w:hanging="284"/>
      </w:pPr>
      <w:rPr>
        <w:rFonts w:hint="default"/>
        <w:lang w:val="zh-CN" w:eastAsia="zh-CN" w:bidi="zh-CN"/>
      </w:rPr>
    </w:lvl>
    <w:lvl w:ilvl="4" w:tentative="0">
      <w:start w:val="0"/>
      <w:numFmt w:val="bullet"/>
      <w:lvlText w:val="•"/>
      <w:lvlJc w:val="left"/>
      <w:pPr>
        <w:ind w:left="5578" w:hanging="284"/>
      </w:pPr>
      <w:rPr>
        <w:rFonts w:hint="default"/>
        <w:lang w:val="zh-CN" w:eastAsia="zh-CN" w:bidi="zh-CN"/>
      </w:rPr>
    </w:lvl>
    <w:lvl w:ilvl="5" w:tentative="0">
      <w:start w:val="0"/>
      <w:numFmt w:val="bullet"/>
      <w:lvlText w:val="•"/>
      <w:lvlJc w:val="left"/>
      <w:pPr>
        <w:ind w:left="6553" w:hanging="284"/>
      </w:pPr>
      <w:rPr>
        <w:rFonts w:hint="default"/>
        <w:lang w:val="zh-CN" w:eastAsia="zh-CN" w:bidi="zh-CN"/>
      </w:rPr>
    </w:lvl>
    <w:lvl w:ilvl="6" w:tentative="0">
      <w:start w:val="0"/>
      <w:numFmt w:val="bullet"/>
      <w:lvlText w:val="•"/>
      <w:lvlJc w:val="left"/>
      <w:pPr>
        <w:ind w:left="7527" w:hanging="284"/>
      </w:pPr>
      <w:rPr>
        <w:rFonts w:hint="default"/>
        <w:lang w:val="zh-CN" w:eastAsia="zh-CN" w:bidi="zh-CN"/>
      </w:rPr>
    </w:lvl>
    <w:lvl w:ilvl="7" w:tentative="0">
      <w:start w:val="0"/>
      <w:numFmt w:val="bullet"/>
      <w:lvlText w:val="•"/>
      <w:lvlJc w:val="left"/>
      <w:pPr>
        <w:ind w:left="8502" w:hanging="284"/>
      </w:pPr>
      <w:rPr>
        <w:rFonts w:hint="default"/>
        <w:lang w:val="zh-CN" w:eastAsia="zh-CN" w:bidi="zh-CN"/>
      </w:rPr>
    </w:lvl>
    <w:lvl w:ilvl="8" w:tentative="0">
      <w:start w:val="0"/>
      <w:numFmt w:val="bullet"/>
      <w:lvlText w:val="•"/>
      <w:lvlJc w:val="left"/>
      <w:pPr>
        <w:ind w:left="9477" w:hanging="284"/>
      </w:pPr>
      <w:rPr>
        <w:rFonts w:hint="default"/>
        <w:lang w:val="zh-CN" w:eastAsia="zh-CN" w:bidi="zh-CN"/>
      </w:rPr>
    </w:lvl>
  </w:abstractNum>
  <w:abstractNum w:abstractNumId="10">
    <w:nsid w:val="0053208E"/>
    <w:multiLevelType w:val="multilevel"/>
    <w:tmpl w:val="0053208E"/>
    <w:lvl w:ilvl="0" w:tentative="0">
      <w:start w:val="1"/>
      <w:numFmt w:val="decimal"/>
      <w:lvlText w:val="%1."/>
      <w:lvlJc w:val="left"/>
      <w:pPr>
        <w:ind w:left="1478" w:hanging="274"/>
        <w:jc w:val="left"/>
      </w:pPr>
      <w:rPr>
        <w:rFonts w:hint="default" w:ascii="华文细黑" w:hAnsi="华文细黑" w:eastAsia="华文细黑" w:cs="华文细黑"/>
        <w:w w:val="99"/>
        <w:sz w:val="26"/>
        <w:szCs w:val="26"/>
        <w:lang w:val="zh-CN" w:eastAsia="zh-CN" w:bidi="zh-CN"/>
      </w:rPr>
    </w:lvl>
    <w:lvl w:ilvl="1" w:tentative="0">
      <w:start w:val="1"/>
      <w:numFmt w:val="decimal"/>
      <w:lvlText w:val="%2."/>
      <w:lvlJc w:val="left"/>
      <w:pPr>
        <w:ind w:left="1685" w:hanging="284"/>
        <w:jc w:val="left"/>
      </w:pPr>
      <w:rPr>
        <w:rFonts w:hint="default" w:ascii="华文细黑" w:hAnsi="华文细黑" w:eastAsia="华文细黑" w:cs="华文细黑"/>
        <w:spacing w:val="0"/>
        <w:w w:val="99"/>
        <w:sz w:val="25"/>
        <w:szCs w:val="25"/>
        <w:lang w:val="zh-CN" w:eastAsia="zh-CN" w:bidi="zh-CN"/>
      </w:rPr>
    </w:lvl>
    <w:lvl w:ilvl="2" w:tentative="0">
      <w:start w:val="0"/>
      <w:numFmt w:val="bullet"/>
      <w:lvlText w:val="•"/>
      <w:lvlJc w:val="left"/>
      <w:pPr>
        <w:ind w:left="2762" w:hanging="284"/>
      </w:pPr>
      <w:rPr>
        <w:rFonts w:hint="default"/>
        <w:lang w:val="zh-CN" w:eastAsia="zh-CN" w:bidi="zh-CN"/>
      </w:rPr>
    </w:lvl>
    <w:lvl w:ilvl="3" w:tentative="0">
      <w:start w:val="0"/>
      <w:numFmt w:val="bullet"/>
      <w:lvlText w:val="•"/>
      <w:lvlJc w:val="left"/>
      <w:pPr>
        <w:ind w:left="3845" w:hanging="284"/>
      </w:pPr>
      <w:rPr>
        <w:rFonts w:hint="default"/>
        <w:lang w:val="zh-CN" w:eastAsia="zh-CN" w:bidi="zh-CN"/>
      </w:rPr>
    </w:lvl>
    <w:lvl w:ilvl="4" w:tentative="0">
      <w:start w:val="0"/>
      <w:numFmt w:val="bullet"/>
      <w:lvlText w:val="•"/>
      <w:lvlJc w:val="left"/>
      <w:pPr>
        <w:ind w:left="4928" w:hanging="284"/>
      </w:pPr>
      <w:rPr>
        <w:rFonts w:hint="default"/>
        <w:lang w:val="zh-CN" w:eastAsia="zh-CN" w:bidi="zh-CN"/>
      </w:rPr>
    </w:lvl>
    <w:lvl w:ilvl="5" w:tentative="0">
      <w:start w:val="0"/>
      <w:numFmt w:val="bullet"/>
      <w:lvlText w:val="•"/>
      <w:lvlJc w:val="left"/>
      <w:pPr>
        <w:ind w:left="6011" w:hanging="284"/>
      </w:pPr>
      <w:rPr>
        <w:rFonts w:hint="default"/>
        <w:lang w:val="zh-CN" w:eastAsia="zh-CN" w:bidi="zh-CN"/>
      </w:rPr>
    </w:lvl>
    <w:lvl w:ilvl="6" w:tentative="0">
      <w:start w:val="0"/>
      <w:numFmt w:val="bullet"/>
      <w:lvlText w:val="•"/>
      <w:lvlJc w:val="left"/>
      <w:pPr>
        <w:ind w:left="7094" w:hanging="284"/>
      </w:pPr>
      <w:rPr>
        <w:rFonts w:hint="default"/>
        <w:lang w:val="zh-CN" w:eastAsia="zh-CN" w:bidi="zh-CN"/>
      </w:rPr>
    </w:lvl>
    <w:lvl w:ilvl="7" w:tentative="0">
      <w:start w:val="0"/>
      <w:numFmt w:val="bullet"/>
      <w:lvlText w:val="•"/>
      <w:lvlJc w:val="left"/>
      <w:pPr>
        <w:ind w:left="8177" w:hanging="284"/>
      </w:pPr>
      <w:rPr>
        <w:rFonts w:hint="default"/>
        <w:lang w:val="zh-CN" w:eastAsia="zh-CN" w:bidi="zh-CN"/>
      </w:rPr>
    </w:lvl>
    <w:lvl w:ilvl="8" w:tentative="0">
      <w:start w:val="0"/>
      <w:numFmt w:val="bullet"/>
      <w:lvlText w:val="•"/>
      <w:lvlJc w:val="left"/>
      <w:pPr>
        <w:ind w:left="9260" w:hanging="284"/>
      </w:pPr>
      <w:rPr>
        <w:rFonts w:hint="default"/>
        <w:lang w:val="zh-CN" w:eastAsia="zh-CN" w:bidi="zh-CN"/>
      </w:rPr>
    </w:lvl>
  </w:abstractNum>
  <w:abstractNum w:abstractNumId="11">
    <w:nsid w:val="0248C179"/>
    <w:multiLevelType w:val="multilevel"/>
    <w:tmpl w:val="0248C179"/>
    <w:lvl w:ilvl="0" w:tentative="0">
      <w:start w:val="1"/>
      <w:numFmt w:val="decimal"/>
      <w:lvlText w:val="%1."/>
      <w:lvlJc w:val="left"/>
      <w:pPr>
        <w:ind w:left="1684" w:hanging="284"/>
        <w:jc w:val="left"/>
      </w:pPr>
      <w:rPr>
        <w:rFonts w:hint="default" w:ascii="华文细黑" w:hAnsi="华文细黑" w:eastAsia="华文细黑" w:cs="华文细黑"/>
        <w:w w:val="99"/>
        <w:sz w:val="26"/>
        <w:szCs w:val="26"/>
        <w:lang w:val="zh-CN" w:eastAsia="zh-CN" w:bidi="zh-CN"/>
      </w:rPr>
    </w:lvl>
    <w:lvl w:ilvl="1" w:tentative="0">
      <w:start w:val="0"/>
      <w:numFmt w:val="bullet"/>
      <w:lvlText w:val="•"/>
      <w:lvlJc w:val="left"/>
      <w:pPr>
        <w:ind w:left="2654" w:hanging="284"/>
      </w:pPr>
      <w:rPr>
        <w:rFonts w:hint="default"/>
        <w:lang w:val="zh-CN" w:eastAsia="zh-CN" w:bidi="zh-CN"/>
      </w:rPr>
    </w:lvl>
    <w:lvl w:ilvl="2" w:tentative="0">
      <w:start w:val="0"/>
      <w:numFmt w:val="bullet"/>
      <w:lvlText w:val="•"/>
      <w:lvlJc w:val="left"/>
      <w:pPr>
        <w:ind w:left="3629" w:hanging="284"/>
      </w:pPr>
      <w:rPr>
        <w:rFonts w:hint="default"/>
        <w:lang w:val="zh-CN" w:eastAsia="zh-CN" w:bidi="zh-CN"/>
      </w:rPr>
    </w:lvl>
    <w:lvl w:ilvl="3" w:tentative="0">
      <w:start w:val="0"/>
      <w:numFmt w:val="bullet"/>
      <w:lvlText w:val="•"/>
      <w:lvlJc w:val="left"/>
      <w:pPr>
        <w:ind w:left="4603" w:hanging="284"/>
      </w:pPr>
      <w:rPr>
        <w:rFonts w:hint="default"/>
        <w:lang w:val="zh-CN" w:eastAsia="zh-CN" w:bidi="zh-CN"/>
      </w:rPr>
    </w:lvl>
    <w:lvl w:ilvl="4" w:tentative="0">
      <w:start w:val="0"/>
      <w:numFmt w:val="bullet"/>
      <w:lvlText w:val="•"/>
      <w:lvlJc w:val="left"/>
      <w:pPr>
        <w:ind w:left="5578" w:hanging="284"/>
      </w:pPr>
      <w:rPr>
        <w:rFonts w:hint="default"/>
        <w:lang w:val="zh-CN" w:eastAsia="zh-CN" w:bidi="zh-CN"/>
      </w:rPr>
    </w:lvl>
    <w:lvl w:ilvl="5" w:tentative="0">
      <w:start w:val="0"/>
      <w:numFmt w:val="bullet"/>
      <w:lvlText w:val="•"/>
      <w:lvlJc w:val="left"/>
      <w:pPr>
        <w:ind w:left="6553" w:hanging="284"/>
      </w:pPr>
      <w:rPr>
        <w:rFonts w:hint="default"/>
        <w:lang w:val="zh-CN" w:eastAsia="zh-CN" w:bidi="zh-CN"/>
      </w:rPr>
    </w:lvl>
    <w:lvl w:ilvl="6" w:tentative="0">
      <w:start w:val="0"/>
      <w:numFmt w:val="bullet"/>
      <w:lvlText w:val="•"/>
      <w:lvlJc w:val="left"/>
      <w:pPr>
        <w:ind w:left="7527" w:hanging="284"/>
      </w:pPr>
      <w:rPr>
        <w:rFonts w:hint="default"/>
        <w:lang w:val="zh-CN" w:eastAsia="zh-CN" w:bidi="zh-CN"/>
      </w:rPr>
    </w:lvl>
    <w:lvl w:ilvl="7" w:tentative="0">
      <w:start w:val="0"/>
      <w:numFmt w:val="bullet"/>
      <w:lvlText w:val="•"/>
      <w:lvlJc w:val="left"/>
      <w:pPr>
        <w:ind w:left="8502" w:hanging="284"/>
      </w:pPr>
      <w:rPr>
        <w:rFonts w:hint="default"/>
        <w:lang w:val="zh-CN" w:eastAsia="zh-CN" w:bidi="zh-CN"/>
      </w:rPr>
    </w:lvl>
    <w:lvl w:ilvl="8" w:tentative="0">
      <w:start w:val="0"/>
      <w:numFmt w:val="bullet"/>
      <w:lvlText w:val="•"/>
      <w:lvlJc w:val="left"/>
      <w:pPr>
        <w:ind w:left="9477" w:hanging="284"/>
      </w:pPr>
      <w:rPr>
        <w:rFonts w:hint="default"/>
        <w:lang w:val="zh-CN" w:eastAsia="zh-CN" w:bidi="zh-CN"/>
      </w:rPr>
    </w:lvl>
  </w:abstractNum>
  <w:abstractNum w:abstractNumId="12">
    <w:nsid w:val="03D62ECE"/>
    <w:multiLevelType w:val="multilevel"/>
    <w:tmpl w:val="03D62ECE"/>
    <w:lvl w:ilvl="0" w:tentative="0">
      <w:start w:val="1"/>
      <w:numFmt w:val="decimal"/>
      <w:lvlText w:val="%1."/>
      <w:lvlJc w:val="left"/>
      <w:pPr>
        <w:ind w:left="1659" w:hanging="331"/>
        <w:jc w:val="left"/>
      </w:pPr>
      <w:rPr>
        <w:rFonts w:hint="default" w:ascii="华文细黑" w:hAnsi="华文细黑" w:eastAsia="华文细黑" w:cs="华文细黑"/>
        <w:color w:val="0D0D0D"/>
        <w:w w:val="99"/>
        <w:sz w:val="26"/>
        <w:szCs w:val="26"/>
        <w:lang w:val="zh-CN" w:eastAsia="zh-CN" w:bidi="zh-CN"/>
      </w:rPr>
    </w:lvl>
    <w:lvl w:ilvl="1" w:tentative="0">
      <w:start w:val="0"/>
      <w:numFmt w:val="bullet"/>
      <w:lvlText w:val="•"/>
      <w:lvlJc w:val="left"/>
      <w:pPr>
        <w:ind w:left="2636" w:hanging="331"/>
      </w:pPr>
      <w:rPr>
        <w:rFonts w:hint="default"/>
        <w:lang w:val="zh-CN" w:eastAsia="zh-CN" w:bidi="zh-CN"/>
      </w:rPr>
    </w:lvl>
    <w:lvl w:ilvl="2" w:tentative="0">
      <w:start w:val="0"/>
      <w:numFmt w:val="bullet"/>
      <w:lvlText w:val="•"/>
      <w:lvlJc w:val="left"/>
      <w:pPr>
        <w:ind w:left="3613" w:hanging="331"/>
      </w:pPr>
      <w:rPr>
        <w:rFonts w:hint="default"/>
        <w:lang w:val="zh-CN" w:eastAsia="zh-CN" w:bidi="zh-CN"/>
      </w:rPr>
    </w:lvl>
    <w:lvl w:ilvl="3" w:tentative="0">
      <w:start w:val="0"/>
      <w:numFmt w:val="bullet"/>
      <w:lvlText w:val="•"/>
      <w:lvlJc w:val="left"/>
      <w:pPr>
        <w:ind w:left="4589" w:hanging="331"/>
      </w:pPr>
      <w:rPr>
        <w:rFonts w:hint="default"/>
        <w:lang w:val="zh-CN" w:eastAsia="zh-CN" w:bidi="zh-CN"/>
      </w:rPr>
    </w:lvl>
    <w:lvl w:ilvl="4" w:tentative="0">
      <w:start w:val="0"/>
      <w:numFmt w:val="bullet"/>
      <w:lvlText w:val="•"/>
      <w:lvlJc w:val="left"/>
      <w:pPr>
        <w:ind w:left="5566" w:hanging="331"/>
      </w:pPr>
      <w:rPr>
        <w:rFonts w:hint="default"/>
        <w:lang w:val="zh-CN" w:eastAsia="zh-CN" w:bidi="zh-CN"/>
      </w:rPr>
    </w:lvl>
    <w:lvl w:ilvl="5" w:tentative="0">
      <w:start w:val="0"/>
      <w:numFmt w:val="bullet"/>
      <w:lvlText w:val="•"/>
      <w:lvlJc w:val="left"/>
      <w:pPr>
        <w:ind w:left="6543" w:hanging="331"/>
      </w:pPr>
      <w:rPr>
        <w:rFonts w:hint="default"/>
        <w:lang w:val="zh-CN" w:eastAsia="zh-CN" w:bidi="zh-CN"/>
      </w:rPr>
    </w:lvl>
    <w:lvl w:ilvl="6" w:tentative="0">
      <w:start w:val="0"/>
      <w:numFmt w:val="bullet"/>
      <w:lvlText w:val="•"/>
      <w:lvlJc w:val="left"/>
      <w:pPr>
        <w:ind w:left="7519" w:hanging="331"/>
      </w:pPr>
      <w:rPr>
        <w:rFonts w:hint="default"/>
        <w:lang w:val="zh-CN" w:eastAsia="zh-CN" w:bidi="zh-CN"/>
      </w:rPr>
    </w:lvl>
    <w:lvl w:ilvl="7" w:tentative="0">
      <w:start w:val="0"/>
      <w:numFmt w:val="bullet"/>
      <w:lvlText w:val="•"/>
      <w:lvlJc w:val="left"/>
      <w:pPr>
        <w:ind w:left="8496" w:hanging="331"/>
      </w:pPr>
      <w:rPr>
        <w:rFonts w:hint="default"/>
        <w:lang w:val="zh-CN" w:eastAsia="zh-CN" w:bidi="zh-CN"/>
      </w:rPr>
    </w:lvl>
    <w:lvl w:ilvl="8" w:tentative="0">
      <w:start w:val="0"/>
      <w:numFmt w:val="bullet"/>
      <w:lvlText w:val="•"/>
      <w:lvlJc w:val="left"/>
      <w:pPr>
        <w:ind w:left="9473" w:hanging="331"/>
      </w:pPr>
      <w:rPr>
        <w:rFonts w:hint="default"/>
        <w:lang w:val="zh-CN" w:eastAsia="zh-CN" w:bidi="zh-CN"/>
      </w:rPr>
    </w:lvl>
  </w:abstractNum>
  <w:abstractNum w:abstractNumId="13">
    <w:nsid w:val="0E640482"/>
    <w:multiLevelType w:val="multilevel"/>
    <w:tmpl w:val="0E640482"/>
    <w:lvl w:ilvl="0" w:tentative="0">
      <w:start w:val="1"/>
      <w:numFmt w:val="decimal"/>
      <w:lvlText w:val="%1)"/>
      <w:lvlJc w:val="left"/>
      <w:pPr>
        <w:ind w:left="1684" w:hanging="279"/>
        <w:jc w:val="left"/>
      </w:pPr>
      <w:rPr>
        <w:rFonts w:hint="default" w:ascii="华文细黑" w:hAnsi="华文细黑" w:eastAsia="华文细黑" w:cs="华文细黑"/>
        <w:w w:val="99"/>
        <w:sz w:val="26"/>
        <w:szCs w:val="26"/>
        <w:lang w:val="zh-CN" w:eastAsia="zh-CN" w:bidi="zh-CN"/>
      </w:rPr>
    </w:lvl>
    <w:lvl w:ilvl="1" w:tentative="0">
      <w:start w:val="0"/>
      <w:numFmt w:val="bullet"/>
      <w:lvlText w:val="•"/>
      <w:lvlJc w:val="left"/>
      <w:pPr>
        <w:ind w:left="2654" w:hanging="279"/>
      </w:pPr>
      <w:rPr>
        <w:rFonts w:hint="default"/>
        <w:lang w:val="zh-CN" w:eastAsia="zh-CN" w:bidi="zh-CN"/>
      </w:rPr>
    </w:lvl>
    <w:lvl w:ilvl="2" w:tentative="0">
      <w:start w:val="0"/>
      <w:numFmt w:val="bullet"/>
      <w:lvlText w:val="•"/>
      <w:lvlJc w:val="left"/>
      <w:pPr>
        <w:ind w:left="3629" w:hanging="279"/>
      </w:pPr>
      <w:rPr>
        <w:rFonts w:hint="default"/>
        <w:lang w:val="zh-CN" w:eastAsia="zh-CN" w:bidi="zh-CN"/>
      </w:rPr>
    </w:lvl>
    <w:lvl w:ilvl="3" w:tentative="0">
      <w:start w:val="0"/>
      <w:numFmt w:val="bullet"/>
      <w:lvlText w:val="•"/>
      <w:lvlJc w:val="left"/>
      <w:pPr>
        <w:ind w:left="4603" w:hanging="279"/>
      </w:pPr>
      <w:rPr>
        <w:rFonts w:hint="default"/>
        <w:lang w:val="zh-CN" w:eastAsia="zh-CN" w:bidi="zh-CN"/>
      </w:rPr>
    </w:lvl>
    <w:lvl w:ilvl="4" w:tentative="0">
      <w:start w:val="0"/>
      <w:numFmt w:val="bullet"/>
      <w:lvlText w:val="•"/>
      <w:lvlJc w:val="left"/>
      <w:pPr>
        <w:ind w:left="5578" w:hanging="279"/>
      </w:pPr>
      <w:rPr>
        <w:rFonts w:hint="default"/>
        <w:lang w:val="zh-CN" w:eastAsia="zh-CN" w:bidi="zh-CN"/>
      </w:rPr>
    </w:lvl>
    <w:lvl w:ilvl="5" w:tentative="0">
      <w:start w:val="0"/>
      <w:numFmt w:val="bullet"/>
      <w:lvlText w:val="•"/>
      <w:lvlJc w:val="left"/>
      <w:pPr>
        <w:ind w:left="6553" w:hanging="279"/>
      </w:pPr>
      <w:rPr>
        <w:rFonts w:hint="default"/>
        <w:lang w:val="zh-CN" w:eastAsia="zh-CN" w:bidi="zh-CN"/>
      </w:rPr>
    </w:lvl>
    <w:lvl w:ilvl="6" w:tentative="0">
      <w:start w:val="0"/>
      <w:numFmt w:val="bullet"/>
      <w:lvlText w:val="•"/>
      <w:lvlJc w:val="left"/>
      <w:pPr>
        <w:ind w:left="7527" w:hanging="279"/>
      </w:pPr>
      <w:rPr>
        <w:rFonts w:hint="default"/>
        <w:lang w:val="zh-CN" w:eastAsia="zh-CN" w:bidi="zh-CN"/>
      </w:rPr>
    </w:lvl>
    <w:lvl w:ilvl="7" w:tentative="0">
      <w:start w:val="0"/>
      <w:numFmt w:val="bullet"/>
      <w:lvlText w:val="•"/>
      <w:lvlJc w:val="left"/>
      <w:pPr>
        <w:ind w:left="8502" w:hanging="279"/>
      </w:pPr>
      <w:rPr>
        <w:rFonts w:hint="default"/>
        <w:lang w:val="zh-CN" w:eastAsia="zh-CN" w:bidi="zh-CN"/>
      </w:rPr>
    </w:lvl>
    <w:lvl w:ilvl="8" w:tentative="0">
      <w:start w:val="0"/>
      <w:numFmt w:val="bullet"/>
      <w:lvlText w:val="•"/>
      <w:lvlJc w:val="left"/>
      <w:pPr>
        <w:ind w:left="9477" w:hanging="279"/>
      </w:pPr>
      <w:rPr>
        <w:rFonts w:hint="default"/>
        <w:lang w:val="zh-CN" w:eastAsia="zh-CN" w:bidi="zh-CN"/>
      </w:rPr>
    </w:lvl>
  </w:abstractNum>
  <w:abstractNum w:abstractNumId="14">
    <w:nsid w:val="2470EC97"/>
    <w:multiLevelType w:val="multilevel"/>
    <w:tmpl w:val="2470EC97"/>
    <w:lvl w:ilvl="0" w:tentative="0">
      <w:start w:val="0"/>
      <w:numFmt w:val="bullet"/>
      <w:lvlText w:val=""/>
      <w:lvlJc w:val="left"/>
      <w:pPr>
        <w:ind w:left="1684" w:hanging="267"/>
      </w:pPr>
      <w:rPr>
        <w:rFonts w:hint="default" w:ascii="Wingdings" w:hAnsi="Wingdings" w:eastAsia="Wingdings" w:cs="Wingdings"/>
        <w:color w:val="0D0D0D"/>
        <w:w w:val="99"/>
        <w:sz w:val="26"/>
        <w:szCs w:val="26"/>
        <w:lang w:val="zh-CN" w:eastAsia="zh-CN" w:bidi="zh-CN"/>
      </w:rPr>
    </w:lvl>
    <w:lvl w:ilvl="1" w:tentative="0">
      <w:start w:val="0"/>
      <w:numFmt w:val="bullet"/>
      <w:lvlText w:val="•"/>
      <w:lvlJc w:val="left"/>
      <w:pPr>
        <w:ind w:left="2654" w:hanging="267"/>
      </w:pPr>
      <w:rPr>
        <w:rFonts w:hint="default"/>
        <w:lang w:val="zh-CN" w:eastAsia="zh-CN" w:bidi="zh-CN"/>
      </w:rPr>
    </w:lvl>
    <w:lvl w:ilvl="2" w:tentative="0">
      <w:start w:val="0"/>
      <w:numFmt w:val="bullet"/>
      <w:lvlText w:val="•"/>
      <w:lvlJc w:val="left"/>
      <w:pPr>
        <w:ind w:left="3629" w:hanging="267"/>
      </w:pPr>
      <w:rPr>
        <w:rFonts w:hint="default"/>
        <w:lang w:val="zh-CN" w:eastAsia="zh-CN" w:bidi="zh-CN"/>
      </w:rPr>
    </w:lvl>
    <w:lvl w:ilvl="3" w:tentative="0">
      <w:start w:val="0"/>
      <w:numFmt w:val="bullet"/>
      <w:lvlText w:val="•"/>
      <w:lvlJc w:val="left"/>
      <w:pPr>
        <w:ind w:left="4603" w:hanging="267"/>
      </w:pPr>
      <w:rPr>
        <w:rFonts w:hint="default"/>
        <w:lang w:val="zh-CN" w:eastAsia="zh-CN" w:bidi="zh-CN"/>
      </w:rPr>
    </w:lvl>
    <w:lvl w:ilvl="4" w:tentative="0">
      <w:start w:val="0"/>
      <w:numFmt w:val="bullet"/>
      <w:lvlText w:val="•"/>
      <w:lvlJc w:val="left"/>
      <w:pPr>
        <w:ind w:left="5578" w:hanging="267"/>
      </w:pPr>
      <w:rPr>
        <w:rFonts w:hint="default"/>
        <w:lang w:val="zh-CN" w:eastAsia="zh-CN" w:bidi="zh-CN"/>
      </w:rPr>
    </w:lvl>
    <w:lvl w:ilvl="5" w:tentative="0">
      <w:start w:val="0"/>
      <w:numFmt w:val="bullet"/>
      <w:lvlText w:val="•"/>
      <w:lvlJc w:val="left"/>
      <w:pPr>
        <w:ind w:left="6553" w:hanging="267"/>
      </w:pPr>
      <w:rPr>
        <w:rFonts w:hint="default"/>
        <w:lang w:val="zh-CN" w:eastAsia="zh-CN" w:bidi="zh-CN"/>
      </w:rPr>
    </w:lvl>
    <w:lvl w:ilvl="6" w:tentative="0">
      <w:start w:val="0"/>
      <w:numFmt w:val="bullet"/>
      <w:lvlText w:val="•"/>
      <w:lvlJc w:val="left"/>
      <w:pPr>
        <w:ind w:left="7527" w:hanging="267"/>
      </w:pPr>
      <w:rPr>
        <w:rFonts w:hint="default"/>
        <w:lang w:val="zh-CN" w:eastAsia="zh-CN" w:bidi="zh-CN"/>
      </w:rPr>
    </w:lvl>
    <w:lvl w:ilvl="7" w:tentative="0">
      <w:start w:val="0"/>
      <w:numFmt w:val="bullet"/>
      <w:lvlText w:val="•"/>
      <w:lvlJc w:val="left"/>
      <w:pPr>
        <w:ind w:left="8502" w:hanging="267"/>
      </w:pPr>
      <w:rPr>
        <w:rFonts w:hint="default"/>
        <w:lang w:val="zh-CN" w:eastAsia="zh-CN" w:bidi="zh-CN"/>
      </w:rPr>
    </w:lvl>
    <w:lvl w:ilvl="8" w:tentative="0">
      <w:start w:val="0"/>
      <w:numFmt w:val="bullet"/>
      <w:lvlText w:val="•"/>
      <w:lvlJc w:val="left"/>
      <w:pPr>
        <w:ind w:left="9477" w:hanging="267"/>
      </w:pPr>
      <w:rPr>
        <w:rFonts w:hint="default"/>
        <w:lang w:val="zh-CN" w:eastAsia="zh-CN" w:bidi="zh-CN"/>
      </w:rPr>
    </w:lvl>
  </w:abstractNum>
  <w:abstractNum w:abstractNumId="15">
    <w:nsid w:val="25B654F3"/>
    <w:multiLevelType w:val="multilevel"/>
    <w:tmpl w:val="25B654F3"/>
    <w:lvl w:ilvl="0" w:tentative="0">
      <w:start w:val="1"/>
      <w:numFmt w:val="decimal"/>
      <w:lvlText w:val="%1)"/>
      <w:lvlJc w:val="left"/>
      <w:pPr>
        <w:ind w:left="1684" w:hanging="284"/>
        <w:jc w:val="right"/>
      </w:pPr>
      <w:rPr>
        <w:rFonts w:hint="default" w:ascii="华文细黑" w:hAnsi="华文细黑" w:eastAsia="华文细黑" w:cs="华文细黑"/>
        <w:color w:val="0D0D0D"/>
        <w:w w:val="100"/>
        <w:sz w:val="28"/>
        <w:szCs w:val="28"/>
        <w:lang w:val="zh-CN" w:eastAsia="zh-CN" w:bidi="zh-CN"/>
      </w:rPr>
    </w:lvl>
    <w:lvl w:ilvl="1" w:tentative="0">
      <w:start w:val="0"/>
      <w:numFmt w:val="bullet"/>
      <w:lvlText w:val="•"/>
      <w:lvlJc w:val="left"/>
      <w:pPr>
        <w:ind w:left="2654" w:hanging="284"/>
      </w:pPr>
      <w:rPr>
        <w:rFonts w:hint="default"/>
        <w:lang w:val="zh-CN" w:eastAsia="zh-CN" w:bidi="zh-CN"/>
      </w:rPr>
    </w:lvl>
    <w:lvl w:ilvl="2" w:tentative="0">
      <w:start w:val="0"/>
      <w:numFmt w:val="bullet"/>
      <w:lvlText w:val="•"/>
      <w:lvlJc w:val="left"/>
      <w:pPr>
        <w:ind w:left="3629" w:hanging="284"/>
      </w:pPr>
      <w:rPr>
        <w:rFonts w:hint="default"/>
        <w:lang w:val="zh-CN" w:eastAsia="zh-CN" w:bidi="zh-CN"/>
      </w:rPr>
    </w:lvl>
    <w:lvl w:ilvl="3" w:tentative="0">
      <w:start w:val="0"/>
      <w:numFmt w:val="bullet"/>
      <w:lvlText w:val="•"/>
      <w:lvlJc w:val="left"/>
      <w:pPr>
        <w:ind w:left="4603" w:hanging="284"/>
      </w:pPr>
      <w:rPr>
        <w:rFonts w:hint="default"/>
        <w:lang w:val="zh-CN" w:eastAsia="zh-CN" w:bidi="zh-CN"/>
      </w:rPr>
    </w:lvl>
    <w:lvl w:ilvl="4" w:tentative="0">
      <w:start w:val="0"/>
      <w:numFmt w:val="bullet"/>
      <w:lvlText w:val="•"/>
      <w:lvlJc w:val="left"/>
      <w:pPr>
        <w:ind w:left="5578" w:hanging="284"/>
      </w:pPr>
      <w:rPr>
        <w:rFonts w:hint="default"/>
        <w:lang w:val="zh-CN" w:eastAsia="zh-CN" w:bidi="zh-CN"/>
      </w:rPr>
    </w:lvl>
    <w:lvl w:ilvl="5" w:tentative="0">
      <w:start w:val="0"/>
      <w:numFmt w:val="bullet"/>
      <w:lvlText w:val="•"/>
      <w:lvlJc w:val="left"/>
      <w:pPr>
        <w:ind w:left="6553" w:hanging="284"/>
      </w:pPr>
      <w:rPr>
        <w:rFonts w:hint="default"/>
        <w:lang w:val="zh-CN" w:eastAsia="zh-CN" w:bidi="zh-CN"/>
      </w:rPr>
    </w:lvl>
    <w:lvl w:ilvl="6" w:tentative="0">
      <w:start w:val="0"/>
      <w:numFmt w:val="bullet"/>
      <w:lvlText w:val="•"/>
      <w:lvlJc w:val="left"/>
      <w:pPr>
        <w:ind w:left="7527" w:hanging="284"/>
      </w:pPr>
      <w:rPr>
        <w:rFonts w:hint="default"/>
        <w:lang w:val="zh-CN" w:eastAsia="zh-CN" w:bidi="zh-CN"/>
      </w:rPr>
    </w:lvl>
    <w:lvl w:ilvl="7" w:tentative="0">
      <w:start w:val="0"/>
      <w:numFmt w:val="bullet"/>
      <w:lvlText w:val="•"/>
      <w:lvlJc w:val="left"/>
      <w:pPr>
        <w:ind w:left="8502" w:hanging="284"/>
      </w:pPr>
      <w:rPr>
        <w:rFonts w:hint="default"/>
        <w:lang w:val="zh-CN" w:eastAsia="zh-CN" w:bidi="zh-CN"/>
      </w:rPr>
    </w:lvl>
    <w:lvl w:ilvl="8" w:tentative="0">
      <w:start w:val="0"/>
      <w:numFmt w:val="bullet"/>
      <w:lvlText w:val="•"/>
      <w:lvlJc w:val="left"/>
      <w:pPr>
        <w:ind w:left="9477" w:hanging="284"/>
      </w:pPr>
      <w:rPr>
        <w:rFonts w:hint="default"/>
        <w:lang w:val="zh-CN" w:eastAsia="zh-CN" w:bidi="zh-CN"/>
      </w:rPr>
    </w:lvl>
  </w:abstractNum>
  <w:abstractNum w:abstractNumId="16">
    <w:nsid w:val="2A8F537B"/>
    <w:multiLevelType w:val="multilevel"/>
    <w:tmpl w:val="2A8F537B"/>
    <w:lvl w:ilvl="0" w:tentative="0">
      <w:start w:val="1"/>
      <w:numFmt w:val="decimal"/>
      <w:lvlText w:val="%1)"/>
      <w:lvlJc w:val="left"/>
      <w:pPr>
        <w:ind w:left="1684" w:hanging="284"/>
        <w:jc w:val="left"/>
      </w:pPr>
      <w:rPr>
        <w:rFonts w:hint="default" w:ascii="华文细黑" w:hAnsi="华文细黑" w:eastAsia="华文细黑" w:cs="华文细黑"/>
        <w:b/>
        <w:bCs/>
        <w:color w:val="0D0D0D"/>
        <w:w w:val="99"/>
        <w:sz w:val="26"/>
        <w:szCs w:val="26"/>
        <w:lang w:val="zh-CN" w:eastAsia="zh-CN" w:bidi="zh-CN"/>
      </w:rPr>
    </w:lvl>
    <w:lvl w:ilvl="1" w:tentative="0">
      <w:start w:val="0"/>
      <w:numFmt w:val="bullet"/>
      <w:lvlText w:val=""/>
      <w:lvlJc w:val="left"/>
      <w:pPr>
        <w:ind w:left="1951" w:hanging="267"/>
      </w:pPr>
      <w:rPr>
        <w:rFonts w:hint="default" w:ascii="Wingdings" w:hAnsi="Wingdings" w:eastAsia="Wingdings" w:cs="Wingdings"/>
        <w:w w:val="99"/>
        <w:sz w:val="26"/>
        <w:szCs w:val="26"/>
        <w:lang w:val="zh-CN" w:eastAsia="zh-CN" w:bidi="zh-CN"/>
      </w:rPr>
    </w:lvl>
    <w:lvl w:ilvl="2" w:tentative="0">
      <w:start w:val="0"/>
      <w:numFmt w:val="bullet"/>
      <w:lvlText w:val="•"/>
      <w:lvlJc w:val="left"/>
      <w:pPr>
        <w:ind w:left="3011" w:hanging="267"/>
      </w:pPr>
      <w:rPr>
        <w:rFonts w:hint="default"/>
        <w:lang w:val="zh-CN" w:eastAsia="zh-CN" w:bidi="zh-CN"/>
      </w:rPr>
    </w:lvl>
    <w:lvl w:ilvl="3" w:tentative="0">
      <w:start w:val="0"/>
      <w:numFmt w:val="bullet"/>
      <w:lvlText w:val="•"/>
      <w:lvlJc w:val="left"/>
      <w:pPr>
        <w:ind w:left="4063" w:hanging="267"/>
      </w:pPr>
      <w:rPr>
        <w:rFonts w:hint="default"/>
        <w:lang w:val="zh-CN" w:eastAsia="zh-CN" w:bidi="zh-CN"/>
      </w:rPr>
    </w:lvl>
    <w:lvl w:ilvl="4" w:tentative="0">
      <w:start w:val="0"/>
      <w:numFmt w:val="bullet"/>
      <w:lvlText w:val="•"/>
      <w:lvlJc w:val="left"/>
      <w:pPr>
        <w:ind w:left="5115" w:hanging="267"/>
      </w:pPr>
      <w:rPr>
        <w:rFonts w:hint="default"/>
        <w:lang w:val="zh-CN" w:eastAsia="zh-CN" w:bidi="zh-CN"/>
      </w:rPr>
    </w:lvl>
    <w:lvl w:ilvl="5" w:tentative="0">
      <w:start w:val="0"/>
      <w:numFmt w:val="bullet"/>
      <w:lvlText w:val="•"/>
      <w:lvlJc w:val="left"/>
      <w:pPr>
        <w:ind w:left="6167" w:hanging="267"/>
      </w:pPr>
      <w:rPr>
        <w:rFonts w:hint="default"/>
        <w:lang w:val="zh-CN" w:eastAsia="zh-CN" w:bidi="zh-CN"/>
      </w:rPr>
    </w:lvl>
    <w:lvl w:ilvl="6" w:tentative="0">
      <w:start w:val="0"/>
      <w:numFmt w:val="bullet"/>
      <w:lvlText w:val="•"/>
      <w:lvlJc w:val="left"/>
      <w:pPr>
        <w:ind w:left="7219" w:hanging="267"/>
      </w:pPr>
      <w:rPr>
        <w:rFonts w:hint="default"/>
        <w:lang w:val="zh-CN" w:eastAsia="zh-CN" w:bidi="zh-CN"/>
      </w:rPr>
    </w:lvl>
    <w:lvl w:ilvl="7" w:tentative="0">
      <w:start w:val="0"/>
      <w:numFmt w:val="bullet"/>
      <w:lvlText w:val="•"/>
      <w:lvlJc w:val="left"/>
      <w:pPr>
        <w:ind w:left="8270" w:hanging="267"/>
      </w:pPr>
      <w:rPr>
        <w:rFonts w:hint="default"/>
        <w:lang w:val="zh-CN" w:eastAsia="zh-CN" w:bidi="zh-CN"/>
      </w:rPr>
    </w:lvl>
    <w:lvl w:ilvl="8" w:tentative="0">
      <w:start w:val="0"/>
      <w:numFmt w:val="bullet"/>
      <w:lvlText w:val="•"/>
      <w:lvlJc w:val="left"/>
      <w:pPr>
        <w:ind w:left="9322" w:hanging="267"/>
      </w:pPr>
      <w:rPr>
        <w:rFonts w:hint="default"/>
        <w:lang w:val="zh-CN" w:eastAsia="zh-CN" w:bidi="zh-CN"/>
      </w:rPr>
    </w:lvl>
  </w:abstractNum>
  <w:abstractNum w:abstractNumId="17">
    <w:nsid w:val="46A08BB8"/>
    <w:multiLevelType w:val="multilevel"/>
    <w:tmpl w:val="46A08BB8"/>
    <w:lvl w:ilvl="0" w:tentative="0">
      <w:start w:val="1"/>
      <w:numFmt w:val="decimal"/>
      <w:lvlText w:val="%1."/>
      <w:lvlJc w:val="left"/>
      <w:pPr>
        <w:ind w:left="1684" w:hanging="219"/>
        <w:jc w:val="left"/>
      </w:pPr>
      <w:rPr>
        <w:rFonts w:hint="default" w:ascii="华文细黑" w:hAnsi="华文细黑" w:eastAsia="华文细黑" w:cs="华文细黑"/>
        <w:w w:val="99"/>
        <w:sz w:val="24"/>
        <w:szCs w:val="24"/>
        <w:lang w:val="zh-CN" w:eastAsia="zh-CN" w:bidi="zh-CN"/>
      </w:rPr>
    </w:lvl>
    <w:lvl w:ilvl="1" w:tentative="0">
      <w:start w:val="0"/>
      <w:numFmt w:val="bullet"/>
      <w:lvlText w:val="•"/>
      <w:lvlJc w:val="left"/>
      <w:pPr>
        <w:ind w:left="2654" w:hanging="219"/>
      </w:pPr>
      <w:rPr>
        <w:rFonts w:hint="default"/>
        <w:lang w:val="zh-CN" w:eastAsia="zh-CN" w:bidi="zh-CN"/>
      </w:rPr>
    </w:lvl>
    <w:lvl w:ilvl="2" w:tentative="0">
      <w:start w:val="0"/>
      <w:numFmt w:val="bullet"/>
      <w:lvlText w:val="•"/>
      <w:lvlJc w:val="left"/>
      <w:pPr>
        <w:ind w:left="3629" w:hanging="219"/>
      </w:pPr>
      <w:rPr>
        <w:rFonts w:hint="default"/>
        <w:lang w:val="zh-CN" w:eastAsia="zh-CN" w:bidi="zh-CN"/>
      </w:rPr>
    </w:lvl>
    <w:lvl w:ilvl="3" w:tentative="0">
      <w:start w:val="0"/>
      <w:numFmt w:val="bullet"/>
      <w:lvlText w:val="•"/>
      <w:lvlJc w:val="left"/>
      <w:pPr>
        <w:ind w:left="4603" w:hanging="219"/>
      </w:pPr>
      <w:rPr>
        <w:rFonts w:hint="default"/>
        <w:lang w:val="zh-CN" w:eastAsia="zh-CN" w:bidi="zh-CN"/>
      </w:rPr>
    </w:lvl>
    <w:lvl w:ilvl="4" w:tentative="0">
      <w:start w:val="0"/>
      <w:numFmt w:val="bullet"/>
      <w:lvlText w:val="•"/>
      <w:lvlJc w:val="left"/>
      <w:pPr>
        <w:ind w:left="5578" w:hanging="219"/>
      </w:pPr>
      <w:rPr>
        <w:rFonts w:hint="default"/>
        <w:lang w:val="zh-CN" w:eastAsia="zh-CN" w:bidi="zh-CN"/>
      </w:rPr>
    </w:lvl>
    <w:lvl w:ilvl="5" w:tentative="0">
      <w:start w:val="0"/>
      <w:numFmt w:val="bullet"/>
      <w:lvlText w:val="•"/>
      <w:lvlJc w:val="left"/>
      <w:pPr>
        <w:ind w:left="6553" w:hanging="219"/>
      </w:pPr>
      <w:rPr>
        <w:rFonts w:hint="default"/>
        <w:lang w:val="zh-CN" w:eastAsia="zh-CN" w:bidi="zh-CN"/>
      </w:rPr>
    </w:lvl>
    <w:lvl w:ilvl="6" w:tentative="0">
      <w:start w:val="0"/>
      <w:numFmt w:val="bullet"/>
      <w:lvlText w:val="•"/>
      <w:lvlJc w:val="left"/>
      <w:pPr>
        <w:ind w:left="7527" w:hanging="219"/>
      </w:pPr>
      <w:rPr>
        <w:rFonts w:hint="default"/>
        <w:lang w:val="zh-CN" w:eastAsia="zh-CN" w:bidi="zh-CN"/>
      </w:rPr>
    </w:lvl>
    <w:lvl w:ilvl="7" w:tentative="0">
      <w:start w:val="0"/>
      <w:numFmt w:val="bullet"/>
      <w:lvlText w:val="•"/>
      <w:lvlJc w:val="left"/>
      <w:pPr>
        <w:ind w:left="8502" w:hanging="219"/>
      </w:pPr>
      <w:rPr>
        <w:rFonts w:hint="default"/>
        <w:lang w:val="zh-CN" w:eastAsia="zh-CN" w:bidi="zh-CN"/>
      </w:rPr>
    </w:lvl>
    <w:lvl w:ilvl="8" w:tentative="0">
      <w:start w:val="0"/>
      <w:numFmt w:val="bullet"/>
      <w:lvlText w:val="•"/>
      <w:lvlJc w:val="left"/>
      <w:pPr>
        <w:ind w:left="9477" w:hanging="219"/>
      </w:pPr>
      <w:rPr>
        <w:rFonts w:hint="default"/>
        <w:lang w:val="zh-CN" w:eastAsia="zh-CN" w:bidi="zh-CN"/>
      </w:rPr>
    </w:lvl>
  </w:abstractNum>
  <w:abstractNum w:abstractNumId="18">
    <w:nsid w:val="4C1BAE26"/>
    <w:multiLevelType w:val="multilevel"/>
    <w:tmpl w:val="4C1BAE26"/>
    <w:lvl w:ilvl="0" w:tentative="0">
      <w:start w:val="1"/>
      <w:numFmt w:val="decimal"/>
      <w:lvlText w:val="%1)"/>
      <w:lvlJc w:val="left"/>
      <w:pPr>
        <w:ind w:left="1684" w:hanging="279"/>
        <w:jc w:val="left"/>
      </w:pPr>
      <w:rPr>
        <w:rFonts w:hint="default" w:ascii="华文细黑" w:hAnsi="华文细黑" w:eastAsia="华文细黑" w:cs="华文细黑"/>
        <w:w w:val="99"/>
        <w:sz w:val="26"/>
        <w:szCs w:val="26"/>
        <w:lang w:val="zh-CN" w:eastAsia="zh-CN" w:bidi="zh-CN"/>
      </w:rPr>
    </w:lvl>
    <w:lvl w:ilvl="1" w:tentative="0">
      <w:start w:val="0"/>
      <w:numFmt w:val="bullet"/>
      <w:lvlText w:val="•"/>
      <w:lvlJc w:val="left"/>
      <w:pPr>
        <w:ind w:left="2654" w:hanging="279"/>
      </w:pPr>
      <w:rPr>
        <w:rFonts w:hint="default"/>
        <w:lang w:val="zh-CN" w:eastAsia="zh-CN" w:bidi="zh-CN"/>
      </w:rPr>
    </w:lvl>
    <w:lvl w:ilvl="2" w:tentative="0">
      <w:start w:val="0"/>
      <w:numFmt w:val="bullet"/>
      <w:lvlText w:val="•"/>
      <w:lvlJc w:val="left"/>
      <w:pPr>
        <w:ind w:left="3629" w:hanging="279"/>
      </w:pPr>
      <w:rPr>
        <w:rFonts w:hint="default"/>
        <w:lang w:val="zh-CN" w:eastAsia="zh-CN" w:bidi="zh-CN"/>
      </w:rPr>
    </w:lvl>
    <w:lvl w:ilvl="3" w:tentative="0">
      <w:start w:val="0"/>
      <w:numFmt w:val="bullet"/>
      <w:lvlText w:val="•"/>
      <w:lvlJc w:val="left"/>
      <w:pPr>
        <w:ind w:left="4603" w:hanging="279"/>
      </w:pPr>
      <w:rPr>
        <w:rFonts w:hint="default"/>
        <w:lang w:val="zh-CN" w:eastAsia="zh-CN" w:bidi="zh-CN"/>
      </w:rPr>
    </w:lvl>
    <w:lvl w:ilvl="4" w:tentative="0">
      <w:start w:val="0"/>
      <w:numFmt w:val="bullet"/>
      <w:lvlText w:val="•"/>
      <w:lvlJc w:val="left"/>
      <w:pPr>
        <w:ind w:left="5578" w:hanging="279"/>
      </w:pPr>
      <w:rPr>
        <w:rFonts w:hint="default"/>
        <w:lang w:val="zh-CN" w:eastAsia="zh-CN" w:bidi="zh-CN"/>
      </w:rPr>
    </w:lvl>
    <w:lvl w:ilvl="5" w:tentative="0">
      <w:start w:val="0"/>
      <w:numFmt w:val="bullet"/>
      <w:lvlText w:val="•"/>
      <w:lvlJc w:val="left"/>
      <w:pPr>
        <w:ind w:left="6553" w:hanging="279"/>
      </w:pPr>
      <w:rPr>
        <w:rFonts w:hint="default"/>
        <w:lang w:val="zh-CN" w:eastAsia="zh-CN" w:bidi="zh-CN"/>
      </w:rPr>
    </w:lvl>
    <w:lvl w:ilvl="6" w:tentative="0">
      <w:start w:val="0"/>
      <w:numFmt w:val="bullet"/>
      <w:lvlText w:val="•"/>
      <w:lvlJc w:val="left"/>
      <w:pPr>
        <w:ind w:left="7527" w:hanging="279"/>
      </w:pPr>
      <w:rPr>
        <w:rFonts w:hint="default"/>
        <w:lang w:val="zh-CN" w:eastAsia="zh-CN" w:bidi="zh-CN"/>
      </w:rPr>
    </w:lvl>
    <w:lvl w:ilvl="7" w:tentative="0">
      <w:start w:val="0"/>
      <w:numFmt w:val="bullet"/>
      <w:lvlText w:val="•"/>
      <w:lvlJc w:val="left"/>
      <w:pPr>
        <w:ind w:left="8502" w:hanging="279"/>
      </w:pPr>
      <w:rPr>
        <w:rFonts w:hint="default"/>
        <w:lang w:val="zh-CN" w:eastAsia="zh-CN" w:bidi="zh-CN"/>
      </w:rPr>
    </w:lvl>
    <w:lvl w:ilvl="8" w:tentative="0">
      <w:start w:val="0"/>
      <w:numFmt w:val="bullet"/>
      <w:lvlText w:val="•"/>
      <w:lvlJc w:val="left"/>
      <w:pPr>
        <w:ind w:left="9477" w:hanging="279"/>
      </w:pPr>
      <w:rPr>
        <w:rFonts w:hint="default"/>
        <w:lang w:val="zh-CN" w:eastAsia="zh-CN" w:bidi="zh-CN"/>
      </w:rPr>
    </w:lvl>
  </w:abstractNum>
  <w:abstractNum w:abstractNumId="19">
    <w:nsid w:val="4D4DC07F"/>
    <w:multiLevelType w:val="multilevel"/>
    <w:tmpl w:val="4D4DC07F"/>
    <w:lvl w:ilvl="0" w:tentative="0">
      <w:start w:val="1"/>
      <w:numFmt w:val="decimal"/>
      <w:lvlText w:val="%1."/>
      <w:lvlJc w:val="left"/>
      <w:pPr>
        <w:ind w:left="1684" w:hanging="279"/>
        <w:jc w:val="left"/>
      </w:pPr>
      <w:rPr>
        <w:rFonts w:hint="default" w:ascii="华文细黑" w:hAnsi="华文细黑" w:eastAsia="华文细黑" w:cs="华文细黑"/>
        <w:b/>
        <w:bCs/>
        <w:color w:val="0D0D0D"/>
        <w:w w:val="99"/>
        <w:sz w:val="26"/>
        <w:szCs w:val="26"/>
        <w:lang w:val="zh-CN" w:eastAsia="zh-CN" w:bidi="zh-CN"/>
      </w:rPr>
    </w:lvl>
    <w:lvl w:ilvl="1" w:tentative="0">
      <w:start w:val="0"/>
      <w:numFmt w:val="bullet"/>
      <w:lvlText w:val="•"/>
      <w:lvlJc w:val="left"/>
      <w:pPr>
        <w:ind w:left="2654" w:hanging="279"/>
      </w:pPr>
      <w:rPr>
        <w:rFonts w:hint="default"/>
        <w:lang w:val="zh-CN" w:eastAsia="zh-CN" w:bidi="zh-CN"/>
      </w:rPr>
    </w:lvl>
    <w:lvl w:ilvl="2" w:tentative="0">
      <w:start w:val="0"/>
      <w:numFmt w:val="bullet"/>
      <w:lvlText w:val="•"/>
      <w:lvlJc w:val="left"/>
      <w:pPr>
        <w:ind w:left="3629" w:hanging="279"/>
      </w:pPr>
      <w:rPr>
        <w:rFonts w:hint="default"/>
        <w:lang w:val="zh-CN" w:eastAsia="zh-CN" w:bidi="zh-CN"/>
      </w:rPr>
    </w:lvl>
    <w:lvl w:ilvl="3" w:tentative="0">
      <w:start w:val="0"/>
      <w:numFmt w:val="bullet"/>
      <w:lvlText w:val="•"/>
      <w:lvlJc w:val="left"/>
      <w:pPr>
        <w:ind w:left="4603" w:hanging="279"/>
      </w:pPr>
      <w:rPr>
        <w:rFonts w:hint="default"/>
        <w:lang w:val="zh-CN" w:eastAsia="zh-CN" w:bidi="zh-CN"/>
      </w:rPr>
    </w:lvl>
    <w:lvl w:ilvl="4" w:tentative="0">
      <w:start w:val="0"/>
      <w:numFmt w:val="bullet"/>
      <w:lvlText w:val="•"/>
      <w:lvlJc w:val="left"/>
      <w:pPr>
        <w:ind w:left="5578" w:hanging="279"/>
      </w:pPr>
      <w:rPr>
        <w:rFonts w:hint="default"/>
        <w:lang w:val="zh-CN" w:eastAsia="zh-CN" w:bidi="zh-CN"/>
      </w:rPr>
    </w:lvl>
    <w:lvl w:ilvl="5" w:tentative="0">
      <w:start w:val="0"/>
      <w:numFmt w:val="bullet"/>
      <w:lvlText w:val="•"/>
      <w:lvlJc w:val="left"/>
      <w:pPr>
        <w:ind w:left="6553" w:hanging="279"/>
      </w:pPr>
      <w:rPr>
        <w:rFonts w:hint="default"/>
        <w:lang w:val="zh-CN" w:eastAsia="zh-CN" w:bidi="zh-CN"/>
      </w:rPr>
    </w:lvl>
    <w:lvl w:ilvl="6" w:tentative="0">
      <w:start w:val="0"/>
      <w:numFmt w:val="bullet"/>
      <w:lvlText w:val="•"/>
      <w:lvlJc w:val="left"/>
      <w:pPr>
        <w:ind w:left="7527" w:hanging="279"/>
      </w:pPr>
      <w:rPr>
        <w:rFonts w:hint="default"/>
        <w:lang w:val="zh-CN" w:eastAsia="zh-CN" w:bidi="zh-CN"/>
      </w:rPr>
    </w:lvl>
    <w:lvl w:ilvl="7" w:tentative="0">
      <w:start w:val="0"/>
      <w:numFmt w:val="bullet"/>
      <w:lvlText w:val="•"/>
      <w:lvlJc w:val="left"/>
      <w:pPr>
        <w:ind w:left="8502" w:hanging="279"/>
      </w:pPr>
      <w:rPr>
        <w:rFonts w:hint="default"/>
        <w:lang w:val="zh-CN" w:eastAsia="zh-CN" w:bidi="zh-CN"/>
      </w:rPr>
    </w:lvl>
    <w:lvl w:ilvl="8" w:tentative="0">
      <w:start w:val="0"/>
      <w:numFmt w:val="bullet"/>
      <w:lvlText w:val="•"/>
      <w:lvlJc w:val="left"/>
      <w:pPr>
        <w:ind w:left="9477" w:hanging="279"/>
      </w:pPr>
      <w:rPr>
        <w:rFonts w:hint="default"/>
        <w:lang w:val="zh-CN" w:eastAsia="zh-CN" w:bidi="zh-CN"/>
      </w:rPr>
    </w:lvl>
  </w:abstractNum>
  <w:abstractNum w:abstractNumId="20">
    <w:nsid w:val="59ADCABA"/>
    <w:multiLevelType w:val="multilevel"/>
    <w:tmpl w:val="59ADCABA"/>
    <w:lvl w:ilvl="0" w:tentative="0">
      <w:start w:val="1"/>
      <w:numFmt w:val="decimal"/>
      <w:lvlText w:val="%1."/>
      <w:lvlJc w:val="left"/>
      <w:pPr>
        <w:ind w:left="1684" w:hanging="284"/>
        <w:jc w:val="left"/>
      </w:pPr>
      <w:rPr>
        <w:rFonts w:hint="default" w:ascii="华文细黑" w:hAnsi="华文细黑" w:eastAsia="华文细黑" w:cs="华文细黑"/>
        <w:b/>
        <w:bCs/>
        <w:color w:val="0D0D0D"/>
        <w:w w:val="99"/>
        <w:sz w:val="26"/>
        <w:szCs w:val="26"/>
        <w:lang w:val="zh-CN" w:eastAsia="zh-CN" w:bidi="zh-CN"/>
      </w:rPr>
    </w:lvl>
    <w:lvl w:ilvl="1" w:tentative="0">
      <w:start w:val="0"/>
      <w:numFmt w:val="bullet"/>
      <w:lvlText w:val="•"/>
      <w:lvlJc w:val="left"/>
      <w:pPr>
        <w:ind w:left="2654" w:hanging="284"/>
      </w:pPr>
      <w:rPr>
        <w:rFonts w:hint="default"/>
        <w:lang w:val="zh-CN" w:eastAsia="zh-CN" w:bidi="zh-CN"/>
      </w:rPr>
    </w:lvl>
    <w:lvl w:ilvl="2" w:tentative="0">
      <w:start w:val="0"/>
      <w:numFmt w:val="bullet"/>
      <w:lvlText w:val="•"/>
      <w:lvlJc w:val="left"/>
      <w:pPr>
        <w:ind w:left="3629" w:hanging="284"/>
      </w:pPr>
      <w:rPr>
        <w:rFonts w:hint="default"/>
        <w:lang w:val="zh-CN" w:eastAsia="zh-CN" w:bidi="zh-CN"/>
      </w:rPr>
    </w:lvl>
    <w:lvl w:ilvl="3" w:tentative="0">
      <w:start w:val="0"/>
      <w:numFmt w:val="bullet"/>
      <w:lvlText w:val="•"/>
      <w:lvlJc w:val="left"/>
      <w:pPr>
        <w:ind w:left="4603" w:hanging="284"/>
      </w:pPr>
      <w:rPr>
        <w:rFonts w:hint="default"/>
        <w:lang w:val="zh-CN" w:eastAsia="zh-CN" w:bidi="zh-CN"/>
      </w:rPr>
    </w:lvl>
    <w:lvl w:ilvl="4" w:tentative="0">
      <w:start w:val="0"/>
      <w:numFmt w:val="bullet"/>
      <w:lvlText w:val="•"/>
      <w:lvlJc w:val="left"/>
      <w:pPr>
        <w:ind w:left="5578" w:hanging="284"/>
      </w:pPr>
      <w:rPr>
        <w:rFonts w:hint="default"/>
        <w:lang w:val="zh-CN" w:eastAsia="zh-CN" w:bidi="zh-CN"/>
      </w:rPr>
    </w:lvl>
    <w:lvl w:ilvl="5" w:tentative="0">
      <w:start w:val="0"/>
      <w:numFmt w:val="bullet"/>
      <w:lvlText w:val="•"/>
      <w:lvlJc w:val="left"/>
      <w:pPr>
        <w:ind w:left="6553" w:hanging="284"/>
      </w:pPr>
      <w:rPr>
        <w:rFonts w:hint="default"/>
        <w:lang w:val="zh-CN" w:eastAsia="zh-CN" w:bidi="zh-CN"/>
      </w:rPr>
    </w:lvl>
    <w:lvl w:ilvl="6" w:tentative="0">
      <w:start w:val="0"/>
      <w:numFmt w:val="bullet"/>
      <w:lvlText w:val="•"/>
      <w:lvlJc w:val="left"/>
      <w:pPr>
        <w:ind w:left="7527" w:hanging="284"/>
      </w:pPr>
      <w:rPr>
        <w:rFonts w:hint="default"/>
        <w:lang w:val="zh-CN" w:eastAsia="zh-CN" w:bidi="zh-CN"/>
      </w:rPr>
    </w:lvl>
    <w:lvl w:ilvl="7" w:tentative="0">
      <w:start w:val="0"/>
      <w:numFmt w:val="bullet"/>
      <w:lvlText w:val="•"/>
      <w:lvlJc w:val="left"/>
      <w:pPr>
        <w:ind w:left="8502" w:hanging="284"/>
      </w:pPr>
      <w:rPr>
        <w:rFonts w:hint="default"/>
        <w:lang w:val="zh-CN" w:eastAsia="zh-CN" w:bidi="zh-CN"/>
      </w:rPr>
    </w:lvl>
    <w:lvl w:ilvl="8" w:tentative="0">
      <w:start w:val="0"/>
      <w:numFmt w:val="bullet"/>
      <w:lvlText w:val="•"/>
      <w:lvlJc w:val="left"/>
      <w:pPr>
        <w:ind w:left="9477" w:hanging="284"/>
      </w:pPr>
      <w:rPr>
        <w:rFonts w:hint="default"/>
        <w:lang w:val="zh-CN" w:eastAsia="zh-CN" w:bidi="zh-CN"/>
      </w:rPr>
    </w:lvl>
  </w:abstractNum>
  <w:abstractNum w:abstractNumId="21">
    <w:nsid w:val="5A241D34"/>
    <w:multiLevelType w:val="multilevel"/>
    <w:tmpl w:val="5A241D34"/>
    <w:lvl w:ilvl="0" w:tentative="0">
      <w:start w:val="1"/>
      <w:numFmt w:val="decimal"/>
      <w:lvlText w:val="%1)"/>
      <w:lvlJc w:val="left"/>
      <w:pPr>
        <w:ind w:left="1684" w:hanging="284"/>
        <w:jc w:val="left"/>
      </w:pPr>
      <w:rPr>
        <w:rFonts w:hint="default" w:ascii="华文细黑" w:hAnsi="华文细黑" w:eastAsia="华文细黑" w:cs="华文细黑"/>
        <w:b/>
        <w:bCs/>
        <w:w w:val="99"/>
        <w:sz w:val="26"/>
        <w:szCs w:val="26"/>
        <w:lang w:val="zh-CN" w:eastAsia="zh-CN" w:bidi="zh-CN"/>
      </w:rPr>
    </w:lvl>
    <w:lvl w:ilvl="1" w:tentative="0">
      <w:start w:val="0"/>
      <w:numFmt w:val="bullet"/>
      <w:lvlText w:val=""/>
      <w:lvlJc w:val="left"/>
      <w:pPr>
        <w:ind w:left="1951" w:hanging="267"/>
      </w:pPr>
      <w:rPr>
        <w:rFonts w:hint="default" w:ascii="Wingdings" w:hAnsi="Wingdings" w:eastAsia="Wingdings" w:cs="Wingdings"/>
        <w:color w:val="0D0D0D"/>
        <w:w w:val="99"/>
        <w:sz w:val="26"/>
        <w:szCs w:val="26"/>
        <w:lang w:val="zh-CN" w:eastAsia="zh-CN" w:bidi="zh-CN"/>
      </w:rPr>
    </w:lvl>
    <w:lvl w:ilvl="2" w:tentative="0">
      <w:start w:val="0"/>
      <w:numFmt w:val="bullet"/>
      <w:lvlText w:val="•"/>
      <w:lvlJc w:val="left"/>
      <w:pPr>
        <w:ind w:left="3011" w:hanging="267"/>
      </w:pPr>
      <w:rPr>
        <w:rFonts w:hint="default"/>
        <w:lang w:val="zh-CN" w:eastAsia="zh-CN" w:bidi="zh-CN"/>
      </w:rPr>
    </w:lvl>
    <w:lvl w:ilvl="3" w:tentative="0">
      <w:start w:val="0"/>
      <w:numFmt w:val="bullet"/>
      <w:lvlText w:val="•"/>
      <w:lvlJc w:val="left"/>
      <w:pPr>
        <w:ind w:left="4063" w:hanging="267"/>
      </w:pPr>
      <w:rPr>
        <w:rFonts w:hint="default"/>
        <w:lang w:val="zh-CN" w:eastAsia="zh-CN" w:bidi="zh-CN"/>
      </w:rPr>
    </w:lvl>
    <w:lvl w:ilvl="4" w:tentative="0">
      <w:start w:val="0"/>
      <w:numFmt w:val="bullet"/>
      <w:lvlText w:val="•"/>
      <w:lvlJc w:val="left"/>
      <w:pPr>
        <w:ind w:left="5115" w:hanging="267"/>
      </w:pPr>
      <w:rPr>
        <w:rFonts w:hint="default"/>
        <w:lang w:val="zh-CN" w:eastAsia="zh-CN" w:bidi="zh-CN"/>
      </w:rPr>
    </w:lvl>
    <w:lvl w:ilvl="5" w:tentative="0">
      <w:start w:val="0"/>
      <w:numFmt w:val="bullet"/>
      <w:lvlText w:val="•"/>
      <w:lvlJc w:val="left"/>
      <w:pPr>
        <w:ind w:left="6167" w:hanging="267"/>
      </w:pPr>
      <w:rPr>
        <w:rFonts w:hint="default"/>
        <w:lang w:val="zh-CN" w:eastAsia="zh-CN" w:bidi="zh-CN"/>
      </w:rPr>
    </w:lvl>
    <w:lvl w:ilvl="6" w:tentative="0">
      <w:start w:val="0"/>
      <w:numFmt w:val="bullet"/>
      <w:lvlText w:val="•"/>
      <w:lvlJc w:val="left"/>
      <w:pPr>
        <w:ind w:left="7219" w:hanging="267"/>
      </w:pPr>
      <w:rPr>
        <w:rFonts w:hint="default"/>
        <w:lang w:val="zh-CN" w:eastAsia="zh-CN" w:bidi="zh-CN"/>
      </w:rPr>
    </w:lvl>
    <w:lvl w:ilvl="7" w:tentative="0">
      <w:start w:val="0"/>
      <w:numFmt w:val="bullet"/>
      <w:lvlText w:val="•"/>
      <w:lvlJc w:val="left"/>
      <w:pPr>
        <w:ind w:left="8270" w:hanging="267"/>
      </w:pPr>
      <w:rPr>
        <w:rFonts w:hint="default"/>
        <w:lang w:val="zh-CN" w:eastAsia="zh-CN" w:bidi="zh-CN"/>
      </w:rPr>
    </w:lvl>
    <w:lvl w:ilvl="8" w:tentative="0">
      <w:start w:val="0"/>
      <w:numFmt w:val="bullet"/>
      <w:lvlText w:val="•"/>
      <w:lvlJc w:val="left"/>
      <w:pPr>
        <w:ind w:left="9322" w:hanging="267"/>
      </w:pPr>
      <w:rPr>
        <w:rFonts w:hint="default"/>
        <w:lang w:val="zh-CN" w:eastAsia="zh-CN" w:bidi="zh-CN"/>
      </w:rPr>
    </w:lvl>
  </w:abstractNum>
  <w:abstractNum w:abstractNumId="22">
    <w:nsid w:val="60382F6E"/>
    <w:multiLevelType w:val="multilevel"/>
    <w:tmpl w:val="60382F6E"/>
    <w:lvl w:ilvl="0" w:tentative="0">
      <w:start w:val="1"/>
      <w:numFmt w:val="decimal"/>
      <w:lvlText w:val="%1."/>
      <w:lvlJc w:val="left"/>
      <w:pPr>
        <w:ind w:left="1684" w:hanging="284"/>
        <w:jc w:val="left"/>
      </w:pPr>
      <w:rPr>
        <w:rFonts w:hint="default" w:ascii="华文细黑" w:hAnsi="华文细黑" w:eastAsia="华文细黑" w:cs="华文细黑"/>
        <w:b/>
        <w:bCs/>
        <w:color w:val="0D0D0D"/>
        <w:w w:val="99"/>
        <w:sz w:val="26"/>
        <w:szCs w:val="26"/>
        <w:lang w:val="zh-CN" w:eastAsia="zh-CN" w:bidi="zh-CN"/>
      </w:rPr>
    </w:lvl>
    <w:lvl w:ilvl="1" w:tentative="0">
      <w:start w:val="0"/>
      <w:numFmt w:val="bullet"/>
      <w:lvlText w:val="•"/>
      <w:lvlJc w:val="left"/>
      <w:pPr>
        <w:ind w:left="2654" w:hanging="284"/>
      </w:pPr>
      <w:rPr>
        <w:rFonts w:hint="default"/>
        <w:lang w:val="zh-CN" w:eastAsia="zh-CN" w:bidi="zh-CN"/>
      </w:rPr>
    </w:lvl>
    <w:lvl w:ilvl="2" w:tentative="0">
      <w:start w:val="0"/>
      <w:numFmt w:val="bullet"/>
      <w:lvlText w:val="•"/>
      <w:lvlJc w:val="left"/>
      <w:pPr>
        <w:ind w:left="3629" w:hanging="284"/>
      </w:pPr>
      <w:rPr>
        <w:rFonts w:hint="default"/>
        <w:lang w:val="zh-CN" w:eastAsia="zh-CN" w:bidi="zh-CN"/>
      </w:rPr>
    </w:lvl>
    <w:lvl w:ilvl="3" w:tentative="0">
      <w:start w:val="0"/>
      <w:numFmt w:val="bullet"/>
      <w:lvlText w:val="•"/>
      <w:lvlJc w:val="left"/>
      <w:pPr>
        <w:ind w:left="4603" w:hanging="284"/>
      </w:pPr>
      <w:rPr>
        <w:rFonts w:hint="default"/>
        <w:lang w:val="zh-CN" w:eastAsia="zh-CN" w:bidi="zh-CN"/>
      </w:rPr>
    </w:lvl>
    <w:lvl w:ilvl="4" w:tentative="0">
      <w:start w:val="0"/>
      <w:numFmt w:val="bullet"/>
      <w:lvlText w:val="•"/>
      <w:lvlJc w:val="left"/>
      <w:pPr>
        <w:ind w:left="5578" w:hanging="284"/>
      </w:pPr>
      <w:rPr>
        <w:rFonts w:hint="default"/>
        <w:lang w:val="zh-CN" w:eastAsia="zh-CN" w:bidi="zh-CN"/>
      </w:rPr>
    </w:lvl>
    <w:lvl w:ilvl="5" w:tentative="0">
      <w:start w:val="0"/>
      <w:numFmt w:val="bullet"/>
      <w:lvlText w:val="•"/>
      <w:lvlJc w:val="left"/>
      <w:pPr>
        <w:ind w:left="6553" w:hanging="284"/>
      </w:pPr>
      <w:rPr>
        <w:rFonts w:hint="default"/>
        <w:lang w:val="zh-CN" w:eastAsia="zh-CN" w:bidi="zh-CN"/>
      </w:rPr>
    </w:lvl>
    <w:lvl w:ilvl="6" w:tentative="0">
      <w:start w:val="0"/>
      <w:numFmt w:val="bullet"/>
      <w:lvlText w:val="•"/>
      <w:lvlJc w:val="left"/>
      <w:pPr>
        <w:ind w:left="7527" w:hanging="284"/>
      </w:pPr>
      <w:rPr>
        <w:rFonts w:hint="default"/>
        <w:lang w:val="zh-CN" w:eastAsia="zh-CN" w:bidi="zh-CN"/>
      </w:rPr>
    </w:lvl>
    <w:lvl w:ilvl="7" w:tentative="0">
      <w:start w:val="0"/>
      <w:numFmt w:val="bullet"/>
      <w:lvlText w:val="•"/>
      <w:lvlJc w:val="left"/>
      <w:pPr>
        <w:ind w:left="8502" w:hanging="284"/>
      </w:pPr>
      <w:rPr>
        <w:rFonts w:hint="default"/>
        <w:lang w:val="zh-CN" w:eastAsia="zh-CN" w:bidi="zh-CN"/>
      </w:rPr>
    </w:lvl>
    <w:lvl w:ilvl="8" w:tentative="0">
      <w:start w:val="0"/>
      <w:numFmt w:val="bullet"/>
      <w:lvlText w:val="•"/>
      <w:lvlJc w:val="left"/>
      <w:pPr>
        <w:ind w:left="9477" w:hanging="284"/>
      </w:pPr>
      <w:rPr>
        <w:rFonts w:hint="default"/>
        <w:lang w:val="zh-CN" w:eastAsia="zh-CN" w:bidi="zh-CN"/>
      </w:rPr>
    </w:lvl>
  </w:abstractNum>
  <w:abstractNum w:abstractNumId="23">
    <w:nsid w:val="72183CF9"/>
    <w:multiLevelType w:val="multilevel"/>
    <w:tmpl w:val="72183CF9"/>
    <w:lvl w:ilvl="0" w:tentative="0">
      <w:start w:val="1"/>
      <w:numFmt w:val="decimal"/>
      <w:lvlText w:val="%1."/>
      <w:lvlJc w:val="left"/>
      <w:pPr>
        <w:ind w:left="1684" w:hanging="284"/>
        <w:jc w:val="left"/>
      </w:pPr>
      <w:rPr>
        <w:rFonts w:hint="default" w:ascii="华文细黑" w:hAnsi="华文细黑" w:eastAsia="华文细黑" w:cs="华文细黑"/>
        <w:w w:val="99"/>
        <w:sz w:val="26"/>
        <w:szCs w:val="26"/>
        <w:lang w:val="zh-CN" w:eastAsia="zh-CN" w:bidi="zh-CN"/>
      </w:rPr>
    </w:lvl>
    <w:lvl w:ilvl="1" w:tentative="0">
      <w:start w:val="0"/>
      <w:numFmt w:val="bullet"/>
      <w:lvlText w:val="▪"/>
      <w:lvlJc w:val="left"/>
      <w:pPr>
        <w:ind w:left="1683" w:hanging="142"/>
      </w:pPr>
      <w:rPr>
        <w:rFonts w:hint="default"/>
        <w:w w:val="99"/>
        <w:lang w:val="zh-CN" w:eastAsia="zh-CN" w:bidi="zh-CN"/>
      </w:rPr>
    </w:lvl>
    <w:lvl w:ilvl="2" w:tentative="0">
      <w:start w:val="0"/>
      <w:numFmt w:val="bullet"/>
      <w:lvlText w:val="•"/>
      <w:lvlJc w:val="left"/>
      <w:pPr>
        <w:ind w:left="3629" w:hanging="142"/>
      </w:pPr>
      <w:rPr>
        <w:rFonts w:hint="default"/>
        <w:lang w:val="zh-CN" w:eastAsia="zh-CN" w:bidi="zh-CN"/>
      </w:rPr>
    </w:lvl>
    <w:lvl w:ilvl="3" w:tentative="0">
      <w:start w:val="0"/>
      <w:numFmt w:val="bullet"/>
      <w:lvlText w:val="•"/>
      <w:lvlJc w:val="left"/>
      <w:pPr>
        <w:ind w:left="4603" w:hanging="142"/>
      </w:pPr>
      <w:rPr>
        <w:rFonts w:hint="default"/>
        <w:lang w:val="zh-CN" w:eastAsia="zh-CN" w:bidi="zh-CN"/>
      </w:rPr>
    </w:lvl>
    <w:lvl w:ilvl="4" w:tentative="0">
      <w:start w:val="0"/>
      <w:numFmt w:val="bullet"/>
      <w:lvlText w:val="•"/>
      <w:lvlJc w:val="left"/>
      <w:pPr>
        <w:ind w:left="5578" w:hanging="142"/>
      </w:pPr>
      <w:rPr>
        <w:rFonts w:hint="default"/>
        <w:lang w:val="zh-CN" w:eastAsia="zh-CN" w:bidi="zh-CN"/>
      </w:rPr>
    </w:lvl>
    <w:lvl w:ilvl="5" w:tentative="0">
      <w:start w:val="0"/>
      <w:numFmt w:val="bullet"/>
      <w:lvlText w:val="•"/>
      <w:lvlJc w:val="left"/>
      <w:pPr>
        <w:ind w:left="6553" w:hanging="142"/>
      </w:pPr>
      <w:rPr>
        <w:rFonts w:hint="default"/>
        <w:lang w:val="zh-CN" w:eastAsia="zh-CN" w:bidi="zh-CN"/>
      </w:rPr>
    </w:lvl>
    <w:lvl w:ilvl="6" w:tentative="0">
      <w:start w:val="0"/>
      <w:numFmt w:val="bullet"/>
      <w:lvlText w:val="•"/>
      <w:lvlJc w:val="left"/>
      <w:pPr>
        <w:ind w:left="7527" w:hanging="142"/>
      </w:pPr>
      <w:rPr>
        <w:rFonts w:hint="default"/>
        <w:lang w:val="zh-CN" w:eastAsia="zh-CN" w:bidi="zh-CN"/>
      </w:rPr>
    </w:lvl>
    <w:lvl w:ilvl="7" w:tentative="0">
      <w:start w:val="0"/>
      <w:numFmt w:val="bullet"/>
      <w:lvlText w:val="•"/>
      <w:lvlJc w:val="left"/>
      <w:pPr>
        <w:ind w:left="8502" w:hanging="142"/>
      </w:pPr>
      <w:rPr>
        <w:rFonts w:hint="default"/>
        <w:lang w:val="zh-CN" w:eastAsia="zh-CN" w:bidi="zh-CN"/>
      </w:rPr>
    </w:lvl>
    <w:lvl w:ilvl="8" w:tentative="0">
      <w:start w:val="0"/>
      <w:numFmt w:val="bullet"/>
      <w:lvlText w:val="•"/>
      <w:lvlJc w:val="left"/>
      <w:pPr>
        <w:ind w:left="9477" w:hanging="142"/>
      </w:pPr>
      <w:rPr>
        <w:rFonts w:hint="default"/>
        <w:lang w:val="zh-CN" w:eastAsia="zh-CN" w:bidi="zh-CN"/>
      </w:rPr>
    </w:lvl>
  </w:abstractNum>
  <w:num w:numId="1">
    <w:abstractNumId w:val="10"/>
  </w:num>
  <w:num w:numId="2">
    <w:abstractNumId w:val="6"/>
  </w:num>
  <w:num w:numId="3">
    <w:abstractNumId w:val="20"/>
  </w:num>
  <w:num w:numId="4">
    <w:abstractNumId w:val="4"/>
  </w:num>
  <w:num w:numId="5">
    <w:abstractNumId w:val="3"/>
  </w:num>
  <w:num w:numId="6">
    <w:abstractNumId w:val="12"/>
  </w:num>
  <w:num w:numId="7">
    <w:abstractNumId w:val="15"/>
  </w:num>
  <w:num w:numId="8">
    <w:abstractNumId w:val="23"/>
  </w:num>
  <w:num w:numId="9">
    <w:abstractNumId w:val="11"/>
  </w:num>
  <w:num w:numId="10">
    <w:abstractNumId w:val="0"/>
  </w:num>
  <w:num w:numId="11">
    <w:abstractNumId w:val="16"/>
  </w:num>
  <w:num w:numId="12">
    <w:abstractNumId w:val="21"/>
  </w:num>
  <w:num w:numId="13">
    <w:abstractNumId w:val="5"/>
  </w:num>
  <w:num w:numId="14">
    <w:abstractNumId w:val="19"/>
  </w:num>
  <w:num w:numId="15">
    <w:abstractNumId w:val="9"/>
  </w:num>
  <w:num w:numId="16">
    <w:abstractNumId w:val="14"/>
  </w:num>
  <w:num w:numId="17">
    <w:abstractNumId w:val="8"/>
  </w:num>
  <w:num w:numId="18">
    <w:abstractNumId w:val="7"/>
  </w:num>
  <w:num w:numId="19">
    <w:abstractNumId w:val="1"/>
  </w:num>
  <w:num w:numId="20">
    <w:abstractNumId w:val="18"/>
  </w:num>
  <w:num w:numId="21">
    <w:abstractNumId w:val="22"/>
  </w:num>
  <w:num w:numId="22">
    <w:abstractNumId w:val="13"/>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5A9126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华文细黑" w:hAnsi="华文细黑" w:eastAsia="华文细黑" w:cs="华文细黑"/>
      <w:sz w:val="22"/>
      <w:szCs w:val="22"/>
      <w:lang w:val="zh-CN" w:eastAsia="zh-CN" w:bidi="zh-CN"/>
    </w:rPr>
  </w:style>
  <w:style w:type="paragraph" w:styleId="2">
    <w:name w:val="heading 1"/>
    <w:basedOn w:val="1"/>
    <w:next w:val="1"/>
    <w:qFormat/>
    <w:uiPriority w:val="1"/>
    <w:pPr>
      <w:spacing w:before="4"/>
      <w:ind w:left="1684"/>
      <w:outlineLvl w:val="1"/>
    </w:pPr>
    <w:rPr>
      <w:rFonts w:ascii="华文细黑" w:hAnsi="华文细黑" w:eastAsia="华文细黑" w:cs="华文细黑"/>
      <w:b/>
      <w:bCs/>
      <w:sz w:val="32"/>
      <w:szCs w:val="32"/>
      <w:lang w:val="zh-CN" w:eastAsia="zh-CN" w:bidi="zh-CN"/>
    </w:rPr>
  </w:style>
  <w:style w:type="paragraph" w:styleId="3">
    <w:name w:val="heading 2"/>
    <w:basedOn w:val="1"/>
    <w:next w:val="1"/>
    <w:qFormat/>
    <w:uiPriority w:val="1"/>
    <w:pPr>
      <w:ind w:left="1264"/>
      <w:jc w:val="both"/>
      <w:outlineLvl w:val="2"/>
    </w:pPr>
    <w:rPr>
      <w:rFonts w:ascii="华文细黑" w:hAnsi="华文细黑" w:eastAsia="华文细黑" w:cs="华文细黑"/>
      <w:b/>
      <w:bCs/>
      <w:sz w:val="28"/>
      <w:szCs w:val="28"/>
      <w:lang w:val="zh-CN" w:eastAsia="zh-CN" w:bidi="zh-CN"/>
    </w:rPr>
  </w:style>
  <w:style w:type="character" w:default="1" w:styleId="8">
    <w:name w:val="Default Paragraph Font"/>
    <w:semiHidden/>
    <w:unhideWhenUsed/>
    <w:uiPriority w:val="1"/>
  </w:style>
  <w:style w:type="table" w:default="1" w:styleId="7">
    <w:name w:val="Normal Table"/>
    <w:semiHidden/>
    <w:uiPriority w:val="0"/>
    <w:tblPr>
      <w:tblCellMar>
        <w:top w:w="0" w:type="dxa"/>
        <w:left w:w="108" w:type="dxa"/>
        <w:bottom w:w="0" w:type="dxa"/>
        <w:right w:w="108" w:type="dxa"/>
      </w:tblCellMar>
    </w:tblPr>
  </w:style>
  <w:style w:type="paragraph" w:styleId="4">
    <w:name w:val="Body Text"/>
    <w:basedOn w:val="1"/>
    <w:qFormat/>
    <w:uiPriority w:val="1"/>
    <w:rPr>
      <w:rFonts w:ascii="华文细黑" w:hAnsi="华文细黑" w:eastAsia="华文细黑" w:cs="华文细黑"/>
      <w:sz w:val="26"/>
      <w:szCs w:val="26"/>
      <w:lang w:val="zh-CN" w:eastAsia="zh-CN" w:bidi="zh-CN"/>
    </w:rPr>
  </w:style>
  <w:style w:type="paragraph" w:styleId="5">
    <w:name w:val="toc 1"/>
    <w:basedOn w:val="1"/>
    <w:next w:val="1"/>
    <w:qFormat/>
    <w:uiPriority w:val="1"/>
    <w:pPr>
      <w:spacing w:before="99"/>
      <w:ind w:left="1684"/>
    </w:pPr>
    <w:rPr>
      <w:rFonts w:ascii="华文细黑" w:hAnsi="华文细黑" w:eastAsia="华文细黑" w:cs="华文细黑"/>
      <w:b/>
      <w:bCs/>
      <w:sz w:val="26"/>
      <w:szCs w:val="26"/>
      <w:lang w:val="zh-CN" w:eastAsia="zh-CN" w:bidi="zh-CN"/>
    </w:rPr>
  </w:style>
  <w:style w:type="paragraph" w:styleId="6">
    <w:name w:val="toc 2"/>
    <w:basedOn w:val="1"/>
    <w:next w:val="1"/>
    <w:qFormat/>
    <w:uiPriority w:val="1"/>
    <w:pPr>
      <w:spacing w:line="308" w:lineRule="exact"/>
      <w:ind w:left="2013"/>
    </w:pPr>
    <w:rPr>
      <w:rFonts w:ascii="华文细黑" w:hAnsi="华文细黑" w:eastAsia="华文细黑" w:cs="华文细黑"/>
      <w:sz w:val="22"/>
      <w:szCs w:val="22"/>
      <w:lang w:val="zh-CN" w:eastAsia="zh-CN" w:bidi="zh-CN"/>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ind w:left="1684" w:hanging="284"/>
    </w:pPr>
    <w:rPr>
      <w:rFonts w:ascii="华文细黑" w:hAnsi="华文细黑" w:eastAsia="华文细黑" w:cs="华文细黑"/>
      <w:lang w:val="zh-CN" w:eastAsia="zh-CN" w:bidi="zh-CN"/>
    </w:rPr>
  </w:style>
  <w:style w:type="paragraph" w:customStyle="1" w:styleId="11">
    <w:name w:val="Table Paragraph"/>
    <w:basedOn w:val="1"/>
    <w:qFormat/>
    <w:uiPriority w:val="1"/>
    <w:pPr>
      <w:jc w:val="center"/>
    </w:pPr>
    <w:rPr>
      <w:rFonts w:ascii="华文细黑" w:hAnsi="华文细黑" w:eastAsia="华文细黑" w:cs="华文细黑"/>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15.jpeg"/><Relationship Id="rId23" Type="http://schemas.openxmlformats.org/officeDocument/2006/relationships/image" Target="media/image14.jpeg"/><Relationship Id="rId22" Type="http://schemas.openxmlformats.org/officeDocument/2006/relationships/image" Target="media/image13.jpeg"/><Relationship Id="rId21" Type="http://schemas.openxmlformats.org/officeDocument/2006/relationships/image" Target="media/image12.jpeg"/><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jpe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1"/>
    <customShpInfo spid="_x0000_s2052"/>
    <customShpInfo spid="_x0000_s2050"/>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77"/>
    <customShpInfo spid="_x0000_s2071"/>
    <customShpInfo spid="_x0000_s2072"/>
    <customShpInfo spid="_x0000_s2073"/>
    <customShpInfo spid="_x0000_s2074"/>
    <customShpInfo spid="_x0000_s1027"/>
    <customShpInfo spid="_x0000_s1028"/>
    <customShpInfo spid="_x0000_s1026"/>
    <customShpInfo spid="_x0000_s1030"/>
    <customShpInfo spid="_x0000_s1031"/>
    <customShpInfo spid="_x0000_s1032"/>
    <customShpInfo spid="_x0000_s1033"/>
    <customShpInfo spid="_x0000_s1034"/>
    <customShpInfo spid="_x0000_s1035"/>
    <customShpInfo spid="_x0000_s1036"/>
    <customShpInfo spid="_x0000_s1037"/>
    <customShpInfo spid="_x0000_s1029"/>
    <customShpInfo spid="_x0000_s1039"/>
    <customShpInfo spid="_x0000_s1040"/>
    <customShpInfo spid="_x0000_s1041"/>
    <customShpInfo spid="_x0000_s1042"/>
    <customShpInfo spid="_x0000_s1038"/>
    <customShpInfo spid="_x0000_s1044"/>
    <customShpInfo spid="_x0000_s1045"/>
    <customShpInfo spid="_x0000_s1043"/>
    <customShpInfo spid="_x0000_s1047"/>
    <customShpInfo spid="_x0000_s1048"/>
    <customShpInfo spid="_x0000_s1049"/>
    <customShpInfo spid="_x0000_s1050"/>
    <customShpInfo spid="_x0000_s1046"/>
    <customShpInfo spid="_x0000_s1052"/>
    <customShpInfo spid="_x0000_s1053"/>
    <customShpInfo spid="_x0000_s1054"/>
    <customShpInfo spid="_x0000_s1051"/>
    <customShpInfo spid="_x0000_s1056"/>
    <customShpInfo spid="_x0000_s1057"/>
    <customShpInfo spid="_x0000_s1055"/>
    <customShpInfo spid="_x0000_s1059"/>
    <customShpInfo spid="_x0000_s1060"/>
    <customShpInfo spid="_x0000_s1058"/>
    <customShpInfo spid="_x0000_s1062"/>
    <customShpInfo spid="_x0000_s1063"/>
    <customShpInfo spid="_x0000_s1064"/>
    <customShpInfo spid="_x0000_s1061"/>
    <customShpInfo spid="_x0000_s1066"/>
    <customShpInfo spid="_x0000_s1067"/>
    <customShpInfo spid="_x0000_s1068"/>
    <customShpInfo spid="_x0000_s1065"/>
    <customShpInfo spid="_x0000_s1070"/>
    <customShpInfo spid="_x0000_s1071"/>
    <customShpInfo spid="_x0000_s1069"/>
    <customShpInfo spid="_x0000_s1073"/>
    <customShpInfo spid="_x0000_s1074"/>
    <customShpInfo spid="_x0000_s1075"/>
    <customShpInfo spid="_x0000_s1072"/>
    <customShpInfo spid="_x0000_s1077"/>
    <customShpInfo spid="_x0000_s1078"/>
    <customShpInfo spid="_x0000_s1076"/>
    <customShpInfo spid="_x0000_s1080"/>
    <customShpInfo spid="_x0000_s1081"/>
    <customShpInfo spid="_x0000_s1082"/>
    <customShpInfo spid="_x0000_s1079"/>
    <customShpInfo spid="_x0000_s1084"/>
    <customShpInfo spid="_x0000_s1085"/>
    <customShpInfo spid="_x0000_s1083"/>
    <customShpInfo spid="_x0000_s1087"/>
    <customShpInfo spid="_x0000_s1088"/>
    <customShpInfo spid="_x0000_s1089"/>
    <customShpInfo spid="_x0000_s1086"/>
    <customShpInfo spid="_x0000_s1091"/>
    <customShpInfo spid="_x0000_s1092"/>
    <customShpInfo spid="_x0000_s1090"/>
    <customShpInfo spid="_x0000_s1094"/>
    <customShpInfo spid="_x0000_s1095"/>
    <customShpInfo spid="_x0000_s1096"/>
    <customShpInfo spid="_x0000_s1093"/>
    <customShpInfo spid="_x0000_s1098"/>
    <customShpInfo spid="_x0000_s1099"/>
    <customShpInfo spid="_x0000_s1100"/>
    <customShpInfo spid="_x0000_s1097"/>
    <customShpInfo spid="_x0000_s1102"/>
    <customShpInfo spid="_x0000_s1103"/>
    <customShpInfo spid="_x0000_s1104"/>
    <customShpInfo spid="_x0000_s1101"/>
    <customShpInfo spid="_x0000_s1106"/>
    <customShpInfo spid="_x0000_s1107"/>
    <customShpInfo spid="_x0000_s1108"/>
    <customShpInfo spid="_x0000_s1105"/>
    <customShpInfo spid="_x0000_s1110"/>
    <customShpInfo spid="_x0000_s1111"/>
    <customShpInfo spid="_x0000_s1112"/>
    <customShpInfo spid="_x0000_s1109"/>
    <customShpInfo spid="_x0000_s1114"/>
    <customShpInfo spid="_x0000_s1115"/>
    <customShpInfo spid="_x0000_s1113"/>
    <customShpInfo spid="_x0000_s1117"/>
    <customShpInfo spid="_x0000_s1118"/>
    <customShpInfo spid="_x0000_s1119"/>
    <customShpInfo spid="_x0000_s1116"/>
    <customShpInfo spid="_x0000_s1121"/>
    <customShpInfo spid="_x0000_s1122"/>
    <customShpInfo spid="_x0000_s1120"/>
    <customShpInfo spid="_x0000_s1124"/>
    <customShpInfo spid="_x0000_s1125"/>
    <customShpInfo spid="_x0000_s1126"/>
    <customShpInfo spid="_x0000_s1123"/>
    <customShpInfo spid="_x0000_s1128"/>
    <customShpInfo spid="_x0000_s1129"/>
    <customShpInfo spid="_x0000_s1130"/>
    <customShpInfo spid="_x0000_s1127"/>
    <customShpInfo spid="_x0000_s1132"/>
    <customShpInfo spid="_x0000_s1133"/>
    <customShpInfo spid="_x0000_s1134"/>
    <customShpInfo spid="_x0000_s1131"/>
    <customShpInfo spid="_x0000_s1136"/>
    <customShpInfo spid="_x0000_s1137"/>
    <customShpInfo spid="_x0000_s1138"/>
    <customShpInfo spid="_x0000_s1135"/>
    <customShpInfo spid="_x0000_s1140"/>
    <customShpInfo spid="_x0000_s1141"/>
    <customShpInfo spid="_x0000_s1142"/>
    <customShpInfo spid="_x0000_s1139"/>
    <customShpInfo spid="_x0000_s1144"/>
    <customShpInfo spid="_x0000_s1145"/>
    <customShpInfo spid="_x0000_s1146"/>
    <customShpInfo spid="_x0000_s1143"/>
    <customShpInfo spid="_x0000_s1148"/>
    <customShpInfo spid="_x0000_s1149"/>
    <customShpInfo spid="_x0000_s1150"/>
    <customShpInfo spid="_x0000_s1147"/>
    <customShpInfo spid="_x0000_s1152"/>
    <customShpInfo spid="_x0000_s1153"/>
    <customShpInfo spid="_x0000_s1154"/>
    <customShpInfo spid="_x0000_s1151"/>
    <customShpInfo spid="_x0000_s1156"/>
    <customShpInfo spid="_x0000_s1157"/>
    <customShpInfo spid="_x0000_s1158"/>
    <customShpInfo spid="_x0000_s1155"/>
    <customShpInfo spid="_x0000_s1160"/>
    <customShpInfo spid="_x0000_s1161"/>
    <customShpInfo spid="_x0000_s1162"/>
    <customShpInfo spid="_x0000_s1159"/>
    <customShpInfo spid="_x0000_s1164"/>
    <customShpInfo spid="_x0000_s1165"/>
    <customShpInfo spid="_x0000_s1166"/>
    <customShpInfo spid="_x0000_s1163"/>
    <customShpInfo spid="_x0000_s1168"/>
    <customShpInfo spid="_x0000_s1169"/>
    <customShpInfo spid="_x0000_s1170"/>
    <customShpInfo spid="_x0000_s1167"/>
    <customShpInfo spid="_x0000_s1172"/>
    <customShpInfo spid="_x0000_s1173"/>
    <customShpInfo spid="_x0000_s1174"/>
    <customShpInfo spid="_x0000_s1171"/>
    <customShpInfo spid="_x0000_s1176"/>
    <customShpInfo spid="_x0000_s1177"/>
    <customShpInfo spid="_x0000_s1175"/>
    <customShpInfo spid="_x0000_s1256"/>
    <customShpInfo spid="_x0000_s1257"/>
    <customShpInfo spid="_x0000_s1255"/>
    <customShpInfo spid="_x0000_s125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2020-07-24T03:20:00Z</dcterms:created>
  <dc:creator>翟悦清</dc:creator>
  <cp:lastModifiedBy>` 请别感动我</cp:lastModifiedBy>
  <dcterms:modified xsi:type="dcterms:W3CDTF">2020-07-24T03:22:01Z</dcterms:modified>
  <dc:title>结果报告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2020-06-16T00:00:00Z</vt:filetime>
  </property>
  <property fmtid="{D5CDD505-2E9C-101B-9397-08002B2CF9AE}" pid="3" name="Creator">
    <vt:lpwstr>Acrobat PDFMaker 19 Word 版</vt:lpwstr>
  </property>
  <property fmtid="{D5CDD505-2E9C-101B-9397-08002B2CF9AE}" pid="4" name="LastSaved">
    <vt:filetime>2020-07-24T00:00:00Z</vt:filetime>
  </property>
  <property fmtid="{D5CDD505-2E9C-101B-9397-08002B2CF9AE}" pid="5" name="KSOProductBuildVer">
    <vt:lpwstr>2052-11.1.0.9828</vt:lpwstr>
  </property>
</Properties>
</file>