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napToGrid w:val="0"/>
        <w:textAlignment w:val="bottom"/>
        <w:outlineLvl w:val="0"/>
        <w:rPr>
          <w:rFonts w:ascii="方正姚体" w:eastAsia="方正姚体"/>
          <w:b/>
          <w:sz w:val="52"/>
          <w:szCs w:val="52"/>
        </w:rPr>
      </w:pPr>
    </w:p>
    <w:p>
      <w:pPr>
        <w:autoSpaceDE w:val="0"/>
        <w:autoSpaceDN w:val="0"/>
        <w:adjustRightInd w:val="0"/>
        <w:snapToGrid w:val="0"/>
        <w:textAlignment w:val="bottom"/>
        <w:outlineLvl w:val="0"/>
        <w:rPr>
          <w:rFonts w:ascii="方正姚体" w:eastAsia="方正姚体"/>
          <w:b/>
          <w:sz w:val="52"/>
          <w:szCs w:val="52"/>
        </w:rPr>
      </w:pPr>
    </w:p>
    <w:p>
      <w:pPr>
        <w:autoSpaceDE w:val="0"/>
        <w:autoSpaceDN w:val="0"/>
        <w:adjustRightInd w:val="0"/>
        <w:snapToGrid w:val="0"/>
        <w:jc w:val="center"/>
        <w:textAlignment w:val="bottom"/>
        <w:outlineLvl w:val="0"/>
        <w:rPr>
          <w:rFonts w:ascii="方正姚体" w:eastAsia="方正姚体"/>
          <w:b/>
          <w:sz w:val="52"/>
          <w:szCs w:val="52"/>
        </w:rPr>
      </w:pPr>
      <w:r>
        <w:rPr>
          <w:rFonts w:hint="eastAsia" w:ascii="方正姚体" w:eastAsia="方正姚体"/>
          <w:b/>
          <w:sz w:val="52"/>
          <w:szCs w:val="52"/>
        </w:rPr>
        <w:t>房 地 产</w:t>
      </w:r>
      <w:r>
        <w:rPr>
          <w:rFonts w:ascii="方正姚体" w:eastAsia="方正姚体"/>
          <w:b/>
          <w:sz w:val="52"/>
          <w:szCs w:val="52"/>
        </w:rPr>
        <w:t xml:space="preserve"> </w:t>
      </w:r>
      <w:r>
        <w:rPr>
          <w:rFonts w:hint="eastAsia" w:ascii="方正姚体" w:eastAsia="方正姚体"/>
          <w:b/>
          <w:sz w:val="52"/>
          <w:szCs w:val="52"/>
        </w:rPr>
        <w:t>司</w:t>
      </w:r>
      <w:r>
        <w:rPr>
          <w:rFonts w:ascii="方正姚体" w:eastAsia="方正姚体"/>
          <w:b/>
          <w:sz w:val="52"/>
          <w:szCs w:val="52"/>
        </w:rPr>
        <w:t xml:space="preserve"> </w:t>
      </w:r>
      <w:r>
        <w:rPr>
          <w:rFonts w:hint="eastAsia" w:ascii="方正姚体" w:eastAsia="方正姚体"/>
          <w:b/>
          <w:sz w:val="52"/>
          <w:szCs w:val="52"/>
        </w:rPr>
        <w:t>法</w:t>
      </w:r>
      <w:r>
        <w:rPr>
          <w:rFonts w:ascii="方正姚体" w:eastAsia="方正姚体"/>
          <w:b/>
          <w:sz w:val="52"/>
          <w:szCs w:val="52"/>
        </w:rPr>
        <w:t xml:space="preserve"> </w:t>
      </w:r>
      <w:r>
        <w:rPr>
          <w:rFonts w:hint="eastAsia" w:ascii="方正姚体" w:eastAsia="方正姚体"/>
          <w:b/>
          <w:sz w:val="52"/>
          <w:szCs w:val="52"/>
        </w:rPr>
        <w:t>评 估 报</w:t>
      </w:r>
      <w:r>
        <w:rPr>
          <w:rFonts w:ascii="方正姚体" w:eastAsia="方正姚体"/>
          <w:b/>
          <w:sz w:val="52"/>
          <w:szCs w:val="52"/>
        </w:rPr>
        <w:t xml:space="preserve"> </w:t>
      </w:r>
      <w:r>
        <w:rPr>
          <w:rFonts w:hint="eastAsia" w:ascii="方正姚体" w:eastAsia="方正姚体"/>
          <w:b/>
          <w:sz w:val="52"/>
          <w:szCs w:val="52"/>
        </w:rPr>
        <w:t>告</w:t>
      </w:r>
    </w:p>
    <w:p>
      <w:pPr>
        <w:autoSpaceDE w:val="0"/>
        <w:autoSpaceDN w:val="0"/>
        <w:adjustRightInd w:val="0"/>
        <w:snapToGrid w:val="0"/>
        <w:jc w:val="center"/>
        <w:textAlignment w:val="bottom"/>
        <w:rPr>
          <w:rFonts w:ascii="楷体_GB2312" w:eastAsia="楷体_GB2312"/>
          <w:b/>
          <w:sz w:val="32"/>
        </w:rPr>
      </w:pPr>
    </w:p>
    <w:p>
      <w:pPr>
        <w:autoSpaceDE w:val="0"/>
        <w:autoSpaceDN w:val="0"/>
        <w:adjustRightInd w:val="0"/>
        <w:snapToGrid w:val="0"/>
        <w:jc w:val="center"/>
        <w:textAlignment w:val="bottom"/>
        <w:outlineLvl w:val="0"/>
        <w:rPr>
          <w:rFonts w:ascii="黑体" w:hAnsi="宋体" w:eastAsia="黑体"/>
          <w:sz w:val="28"/>
          <w:szCs w:val="28"/>
        </w:rPr>
      </w:pPr>
      <w:r>
        <w:rPr>
          <w:rFonts w:hint="eastAsia" w:ascii="黑体" w:hAnsi="宋体" w:eastAsia="黑体"/>
          <w:sz w:val="28"/>
          <w:szCs w:val="28"/>
        </w:rPr>
        <w:t>绍昌业估字[2020]第081号</w:t>
      </w:r>
    </w:p>
    <w:p>
      <w:pPr>
        <w:autoSpaceDE w:val="0"/>
        <w:autoSpaceDN w:val="0"/>
        <w:adjustRightInd w:val="0"/>
        <w:snapToGrid w:val="0"/>
        <w:jc w:val="center"/>
        <w:textAlignment w:val="bottom"/>
        <w:outlineLvl w:val="0"/>
        <w:rPr>
          <w:rFonts w:ascii="黑体" w:hAnsi="宋体" w:eastAsia="黑体"/>
          <w:sz w:val="28"/>
          <w:szCs w:val="28"/>
        </w:rPr>
      </w:pPr>
    </w:p>
    <w:p>
      <w:pPr>
        <w:autoSpaceDE w:val="0"/>
        <w:autoSpaceDN w:val="0"/>
        <w:adjustRightInd w:val="0"/>
        <w:snapToGrid w:val="0"/>
        <w:ind w:left="1841" w:right="17" w:hanging="1848" w:hangingChars="722"/>
        <w:textAlignment w:val="bottom"/>
        <w:outlineLvl w:val="0"/>
        <w:rPr>
          <w:rFonts w:ascii="黑体" w:hAnsi="宋体" w:eastAsia="黑体"/>
          <w:w w:val="80"/>
          <w:sz w:val="32"/>
          <w:szCs w:val="32"/>
        </w:rPr>
      </w:pPr>
      <w:r>
        <w:rPr>
          <w:rFonts w:hint="eastAsia" w:ascii="黑体" w:hAnsi="宋体" w:eastAsia="黑体"/>
          <w:w w:val="80"/>
          <w:sz w:val="32"/>
          <w:szCs w:val="32"/>
        </w:rPr>
        <w:t>估价项目名称：张松、骆巧利名下的位于</w:t>
      </w:r>
      <w:r>
        <w:rPr>
          <w:rFonts w:hint="eastAsia" w:ascii="黑体" w:hAnsi="宋体" w:eastAsia="黑体"/>
          <w:w w:val="78"/>
          <w:sz w:val="32"/>
          <w:szCs w:val="32"/>
        </w:rPr>
        <w:t>嵊州市滨江路999号江景一品园5幢二单元502室（另有坡屋31.24平方米、自行车库壹间）住宅房地产司法鉴定评估</w:t>
      </w:r>
    </w:p>
    <w:p>
      <w:pPr>
        <w:autoSpaceDE w:val="0"/>
        <w:autoSpaceDN w:val="0"/>
        <w:adjustRightInd w:val="0"/>
        <w:snapToGrid w:val="0"/>
        <w:ind w:left="1841" w:right="17" w:hanging="1848" w:hangingChars="722"/>
        <w:textAlignment w:val="bottom"/>
        <w:outlineLvl w:val="0"/>
        <w:rPr>
          <w:rFonts w:ascii="黑体" w:hAnsi="宋体" w:eastAsia="黑体"/>
          <w:w w:val="80"/>
          <w:sz w:val="32"/>
          <w:szCs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ind w:left="2545" w:leftChars="184" w:hanging="2159" w:hangingChars="672"/>
        <w:textAlignment w:val="bottom"/>
        <w:outlineLvl w:val="0"/>
        <w:rPr>
          <w:rFonts w:ascii="楷体_GB2312" w:eastAsia="楷体_GB2312"/>
          <w:b/>
          <w:sz w:val="32"/>
        </w:rPr>
      </w:pPr>
    </w:p>
    <w:p>
      <w:pPr>
        <w:autoSpaceDE w:val="0"/>
        <w:autoSpaceDN w:val="0"/>
        <w:adjustRightInd w:val="0"/>
        <w:snapToGrid w:val="0"/>
        <w:jc w:val="center"/>
        <w:textAlignment w:val="bottom"/>
        <w:outlineLvl w:val="0"/>
        <w:rPr>
          <w:rFonts w:ascii="方正姚体" w:eastAsia="方正姚体"/>
          <w:b/>
          <w:spacing w:val="20"/>
          <w:sz w:val="36"/>
          <w:szCs w:val="36"/>
        </w:rPr>
      </w:pPr>
      <w:r>
        <w:rPr>
          <w:rFonts w:hint="eastAsia" w:ascii="方正姚体" w:eastAsia="方正姚体"/>
          <w:b/>
          <w:spacing w:val="20"/>
          <w:sz w:val="36"/>
          <w:szCs w:val="36"/>
        </w:rPr>
        <w:t>绍兴昌业房地产评估事务所</w:t>
      </w:r>
      <w:r>
        <w:rPr>
          <w:rFonts w:ascii="方正姚体" w:eastAsia="方正姚体"/>
          <w:b/>
          <w:spacing w:val="20"/>
          <w:sz w:val="36"/>
          <w:szCs w:val="36"/>
        </w:rPr>
        <w:t>(</w:t>
      </w:r>
      <w:r>
        <w:rPr>
          <w:rFonts w:hint="eastAsia" w:ascii="方正姚体" w:eastAsia="方正姚体"/>
          <w:b/>
          <w:spacing w:val="20"/>
          <w:sz w:val="36"/>
          <w:szCs w:val="36"/>
        </w:rPr>
        <w:t>普通合伙</w:t>
      </w:r>
      <w:r>
        <w:rPr>
          <w:rFonts w:ascii="方正姚体" w:eastAsia="方正姚体"/>
          <w:b/>
          <w:spacing w:val="20"/>
          <w:sz w:val="36"/>
          <w:szCs w:val="36"/>
        </w:rPr>
        <w:t>)</w:t>
      </w:r>
    </w:p>
    <w:p>
      <w:pPr>
        <w:rPr>
          <w:rFonts w:ascii="宋体"/>
          <w:b/>
          <w:bCs/>
          <w:sz w:val="24"/>
          <w:szCs w:val="24"/>
        </w:rPr>
      </w:pPr>
    </w:p>
    <w:p>
      <w:pPr>
        <w:jc w:val="center"/>
        <w:rPr>
          <w:rFonts w:ascii="黑体" w:hAnsi="宋体" w:eastAsia="黑体"/>
          <w:bCs/>
          <w:w w:val="80"/>
          <w:sz w:val="28"/>
          <w:szCs w:val="28"/>
        </w:rPr>
      </w:pPr>
      <w:r>
        <w:rPr>
          <w:rFonts w:hint="eastAsia" w:ascii="黑体" w:hAnsi="宋体" w:eastAsia="黑体"/>
          <w:bCs/>
          <w:w w:val="80"/>
          <w:sz w:val="28"/>
          <w:szCs w:val="28"/>
        </w:rPr>
        <w:t>地址：绍兴市迪荡新城昆仑商务中心</w:t>
      </w:r>
      <w:r>
        <w:rPr>
          <w:rFonts w:ascii="黑体" w:hAnsi="宋体" w:eastAsia="黑体"/>
          <w:bCs/>
          <w:w w:val="80"/>
          <w:sz w:val="28"/>
          <w:szCs w:val="28"/>
        </w:rPr>
        <w:t>2</w:t>
      </w:r>
      <w:r>
        <w:rPr>
          <w:rFonts w:hint="eastAsia" w:ascii="黑体" w:hAnsi="宋体" w:eastAsia="黑体"/>
          <w:bCs/>
          <w:w w:val="80"/>
          <w:sz w:val="28"/>
          <w:szCs w:val="28"/>
        </w:rPr>
        <w:t>幢</w:t>
      </w:r>
      <w:r>
        <w:rPr>
          <w:rFonts w:ascii="黑体" w:hAnsi="宋体" w:eastAsia="黑体"/>
          <w:bCs/>
          <w:w w:val="80"/>
          <w:sz w:val="28"/>
          <w:szCs w:val="28"/>
        </w:rPr>
        <w:t>802</w:t>
      </w:r>
      <w:r>
        <w:rPr>
          <w:rFonts w:hint="eastAsia" w:ascii="黑体" w:hAnsi="宋体" w:eastAsia="黑体"/>
          <w:bCs/>
          <w:w w:val="80"/>
          <w:sz w:val="28"/>
          <w:szCs w:val="28"/>
        </w:rPr>
        <w:t>室   电话：</w:t>
      </w:r>
      <w:r>
        <w:rPr>
          <w:rFonts w:ascii="黑体" w:hAnsi="宋体" w:eastAsia="黑体"/>
          <w:bCs/>
          <w:w w:val="80"/>
          <w:sz w:val="28"/>
          <w:szCs w:val="28"/>
        </w:rPr>
        <w:t>0575-88606947 88603906</w:t>
      </w:r>
    </w:p>
    <w:p>
      <w:pPr>
        <w:autoSpaceDE w:val="0"/>
        <w:autoSpaceDN w:val="0"/>
        <w:adjustRightInd w:val="0"/>
        <w:snapToGrid w:val="0"/>
        <w:jc w:val="center"/>
        <w:textAlignment w:val="bottom"/>
        <w:outlineLvl w:val="0"/>
        <w:rPr>
          <w:rFonts w:ascii="方正姚体" w:eastAsia="方正姚体"/>
          <w:b/>
          <w:sz w:val="44"/>
        </w:rPr>
      </w:pPr>
    </w:p>
    <w:p>
      <w:pPr>
        <w:autoSpaceDE w:val="0"/>
        <w:autoSpaceDN w:val="0"/>
        <w:adjustRightInd w:val="0"/>
        <w:snapToGrid w:val="0"/>
        <w:jc w:val="center"/>
        <w:textAlignment w:val="bottom"/>
        <w:outlineLvl w:val="0"/>
        <w:rPr>
          <w:rFonts w:ascii="方正姚体" w:eastAsia="方正姚体"/>
          <w:b/>
          <w:sz w:val="44"/>
        </w:rPr>
      </w:pPr>
    </w:p>
    <w:p>
      <w:pPr>
        <w:autoSpaceDE w:val="0"/>
        <w:autoSpaceDN w:val="0"/>
        <w:adjustRightInd w:val="0"/>
        <w:snapToGrid w:val="0"/>
        <w:jc w:val="center"/>
        <w:textAlignment w:val="bottom"/>
        <w:outlineLvl w:val="0"/>
        <w:rPr>
          <w:rFonts w:ascii="方正姚体" w:eastAsia="方正姚体"/>
          <w:b/>
          <w:sz w:val="44"/>
        </w:rPr>
      </w:pPr>
      <w:r>
        <w:rPr>
          <w:rFonts w:hint="eastAsia" w:ascii="方正姚体" w:eastAsia="方正姚体"/>
          <w:b/>
          <w:sz w:val="44"/>
        </w:rPr>
        <w:t>房 地 产</w:t>
      </w:r>
      <w:r>
        <w:rPr>
          <w:rFonts w:ascii="方正姚体" w:eastAsia="方正姚体"/>
          <w:b/>
          <w:sz w:val="44"/>
        </w:rPr>
        <w:t xml:space="preserve"> </w:t>
      </w:r>
      <w:r>
        <w:rPr>
          <w:rFonts w:hint="eastAsia" w:ascii="方正姚体" w:eastAsia="方正姚体"/>
          <w:b/>
          <w:sz w:val="44"/>
        </w:rPr>
        <w:t>司</w:t>
      </w:r>
      <w:r>
        <w:rPr>
          <w:rFonts w:ascii="方正姚体" w:eastAsia="方正姚体"/>
          <w:b/>
          <w:sz w:val="44"/>
        </w:rPr>
        <w:t xml:space="preserve"> </w:t>
      </w:r>
      <w:r>
        <w:rPr>
          <w:rFonts w:hint="eastAsia" w:ascii="方正姚体" w:eastAsia="方正姚体"/>
          <w:b/>
          <w:sz w:val="44"/>
        </w:rPr>
        <w:t>法</w:t>
      </w:r>
      <w:r>
        <w:rPr>
          <w:rFonts w:ascii="方正姚体" w:eastAsia="方正姚体"/>
          <w:b/>
          <w:sz w:val="44"/>
        </w:rPr>
        <w:t xml:space="preserve"> </w:t>
      </w:r>
      <w:r>
        <w:rPr>
          <w:rFonts w:hint="eastAsia" w:ascii="方正姚体" w:eastAsia="方正姚体"/>
          <w:b/>
          <w:sz w:val="44"/>
        </w:rPr>
        <w:t>评 估 报</w:t>
      </w:r>
      <w:r>
        <w:rPr>
          <w:rFonts w:ascii="方正姚体" w:eastAsia="方正姚体"/>
          <w:b/>
          <w:sz w:val="44"/>
        </w:rPr>
        <w:t xml:space="preserve"> </w:t>
      </w:r>
      <w:r>
        <w:rPr>
          <w:rFonts w:hint="eastAsia" w:ascii="方正姚体" w:eastAsia="方正姚体"/>
          <w:b/>
          <w:sz w:val="44"/>
        </w:rPr>
        <w:t>告</w:t>
      </w:r>
    </w:p>
    <w:p>
      <w:pPr>
        <w:autoSpaceDE w:val="0"/>
        <w:autoSpaceDN w:val="0"/>
        <w:adjustRightInd w:val="0"/>
        <w:snapToGrid w:val="0"/>
        <w:jc w:val="center"/>
        <w:textAlignment w:val="bottom"/>
        <w:rPr>
          <w:rFonts w:ascii="仿宋_GB2312" w:eastAsia="仿宋_GB2312"/>
          <w:sz w:val="28"/>
        </w:rPr>
      </w:pPr>
    </w:p>
    <w:p>
      <w:pPr>
        <w:autoSpaceDE w:val="0"/>
        <w:autoSpaceDN w:val="0"/>
        <w:adjustRightInd w:val="0"/>
        <w:snapToGrid w:val="0"/>
        <w:ind w:right="-1413"/>
        <w:textAlignment w:val="bottom"/>
        <w:outlineLvl w:val="0"/>
        <w:rPr>
          <w:rFonts w:ascii="仿宋_GB2312" w:eastAsia="仿宋_GB2312"/>
          <w:sz w:val="32"/>
          <w:szCs w:val="32"/>
          <w:shd w:val="pct20" w:color="000000" w:fill="FFFFFF"/>
        </w:rPr>
      </w:pPr>
    </w:p>
    <w:p>
      <w:pPr>
        <w:autoSpaceDE w:val="0"/>
        <w:autoSpaceDN w:val="0"/>
        <w:adjustRightInd w:val="0"/>
        <w:snapToGrid w:val="0"/>
        <w:ind w:left="1841" w:right="17" w:hanging="1848" w:hangingChars="722"/>
        <w:textAlignment w:val="bottom"/>
        <w:outlineLvl w:val="0"/>
        <w:rPr>
          <w:rFonts w:ascii="黑体" w:hAnsi="宋体" w:eastAsia="黑体"/>
          <w:w w:val="80"/>
          <w:sz w:val="32"/>
          <w:szCs w:val="32"/>
        </w:rPr>
      </w:pPr>
      <w:r>
        <w:rPr>
          <w:rFonts w:hint="eastAsia" w:ascii="黑体" w:hAnsi="宋体" w:eastAsia="黑体"/>
          <w:w w:val="80"/>
          <w:sz w:val="32"/>
          <w:szCs w:val="32"/>
        </w:rPr>
        <w:t>估价项目名称：张松、骆巧利名下的位于</w:t>
      </w:r>
      <w:r>
        <w:rPr>
          <w:rFonts w:hint="eastAsia" w:ascii="黑体" w:hAnsi="宋体" w:eastAsia="黑体"/>
          <w:w w:val="78"/>
          <w:sz w:val="32"/>
          <w:szCs w:val="32"/>
        </w:rPr>
        <w:t>嵊州市滨江路999号江景一品园5幢二单元502室（另有坡屋31.24平方米、自行车库壹间）住宅房地产司法鉴定评估</w:t>
      </w:r>
    </w:p>
    <w:p>
      <w:pPr>
        <w:autoSpaceDE w:val="0"/>
        <w:autoSpaceDN w:val="0"/>
        <w:adjustRightInd w:val="0"/>
        <w:snapToGrid w:val="0"/>
        <w:ind w:left="1915" w:leftChars="-29" w:right="18" w:hanging="1976" w:hangingChars="696"/>
        <w:textAlignment w:val="bottom"/>
        <w:outlineLvl w:val="0"/>
        <w:rPr>
          <w:rFonts w:ascii="黑体" w:hAnsi="宋体" w:eastAsia="黑体"/>
          <w:spacing w:val="-2"/>
          <w:w w:val="90"/>
          <w:sz w:val="32"/>
          <w:szCs w:val="32"/>
        </w:rPr>
      </w:pPr>
    </w:p>
    <w:p>
      <w:pPr>
        <w:autoSpaceDE w:val="0"/>
        <w:autoSpaceDN w:val="0"/>
        <w:adjustRightInd w:val="0"/>
        <w:snapToGrid w:val="0"/>
        <w:ind w:left="2545" w:leftChars="184" w:hanging="2159" w:hangingChars="672"/>
        <w:textAlignment w:val="bottom"/>
        <w:outlineLvl w:val="0"/>
        <w:rPr>
          <w:rFonts w:ascii="宋体"/>
          <w:b/>
          <w:sz w:val="32"/>
        </w:rPr>
      </w:pPr>
    </w:p>
    <w:p>
      <w:pPr>
        <w:autoSpaceDE w:val="0"/>
        <w:autoSpaceDN w:val="0"/>
        <w:adjustRightInd w:val="0"/>
        <w:snapToGrid w:val="0"/>
        <w:ind w:left="2545" w:leftChars="184" w:hanging="2159" w:hangingChars="672"/>
        <w:textAlignment w:val="bottom"/>
        <w:outlineLvl w:val="0"/>
        <w:rPr>
          <w:rFonts w:ascii="宋体"/>
          <w:b/>
          <w:sz w:val="32"/>
        </w:rPr>
      </w:pPr>
    </w:p>
    <w:p>
      <w:pPr>
        <w:autoSpaceDE w:val="0"/>
        <w:autoSpaceDN w:val="0"/>
        <w:adjustRightInd w:val="0"/>
        <w:snapToGrid w:val="0"/>
        <w:ind w:left="2545" w:leftChars="184" w:hanging="2159" w:hangingChars="672"/>
        <w:textAlignment w:val="bottom"/>
        <w:outlineLvl w:val="0"/>
        <w:rPr>
          <w:rFonts w:ascii="宋体"/>
          <w:b/>
          <w:sz w:val="32"/>
        </w:rPr>
      </w:pPr>
    </w:p>
    <w:p>
      <w:pPr>
        <w:autoSpaceDE w:val="0"/>
        <w:autoSpaceDN w:val="0"/>
        <w:adjustRightInd w:val="0"/>
        <w:snapToGrid w:val="0"/>
        <w:ind w:left="2545" w:leftChars="184" w:hanging="2159" w:hangingChars="672"/>
        <w:textAlignment w:val="bottom"/>
        <w:outlineLvl w:val="0"/>
        <w:rPr>
          <w:rFonts w:ascii="宋体"/>
          <w:b/>
          <w:sz w:val="32"/>
        </w:rPr>
      </w:pPr>
    </w:p>
    <w:p>
      <w:pPr>
        <w:autoSpaceDE w:val="0"/>
        <w:autoSpaceDN w:val="0"/>
        <w:adjustRightInd w:val="0"/>
        <w:snapToGrid w:val="0"/>
        <w:ind w:left="2545" w:leftChars="184" w:hanging="2159" w:hangingChars="672"/>
        <w:textAlignment w:val="bottom"/>
        <w:outlineLvl w:val="0"/>
        <w:rPr>
          <w:rFonts w:ascii="宋体"/>
          <w:b/>
          <w:sz w:val="32"/>
        </w:rPr>
      </w:pPr>
    </w:p>
    <w:p>
      <w:pPr>
        <w:autoSpaceDE w:val="0"/>
        <w:autoSpaceDN w:val="0"/>
        <w:adjustRightInd w:val="0"/>
        <w:snapToGrid w:val="0"/>
        <w:ind w:left="2545" w:leftChars="184" w:hanging="2159" w:hangingChars="672"/>
        <w:textAlignment w:val="bottom"/>
        <w:outlineLvl w:val="0"/>
        <w:rPr>
          <w:rFonts w:ascii="宋体"/>
          <w:b/>
          <w:sz w:val="32"/>
        </w:rPr>
      </w:pPr>
    </w:p>
    <w:p>
      <w:pPr>
        <w:autoSpaceDE w:val="0"/>
        <w:autoSpaceDN w:val="0"/>
        <w:adjustRightInd w:val="0"/>
        <w:snapToGrid w:val="0"/>
        <w:textAlignment w:val="bottom"/>
        <w:outlineLvl w:val="0"/>
        <w:rPr>
          <w:rFonts w:ascii="宋体"/>
          <w:b/>
          <w:sz w:val="32"/>
        </w:rPr>
      </w:pPr>
    </w:p>
    <w:p>
      <w:pPr>
        <w:autoSpaceDE w:val="0"/>
        <w:autoSpaceDN w:val="0"/>
        <w:adjustRightInd w:val="0"/>
        <w:snapToGrid w:val="0"/>
        <w:textAlignment w:val="bottom"/>
        <w:outlineLvl w:val="0"/>
        <w:rPr>
          <w:rFonts w:ascii="宋体"/>
          <w:b/>
          <w:sz w:val="32"/>
        </w:rPr>
      </w:pPr>
    </w:p>
    <w:p>
      <w:pPr>
        <w:autoSpaceDE w:val="0"/>
        <w:autoSpaceDN w:val="0"/>
        <w:adjustRightInd w:val="0"/>
        <w:snapToGrid w:val="0"/>
        <w:textAlignment w:val="bottom"/>
        <w:outlineLvl w:val="0"/>
        <w:rPr>
          <w:rFonts w:ascii="宋体"/>
          <w:b/>
          <w:sz w:val="32"/>
        </w:rPr>
      </w:pPr>
    </w:p>
    <w:p>
      <w:pPr>
        <w:autoSpaceDE w:val="0"/>
        <w:autoSpaceDN w:val="0"/>
        <w:adjustRightInd w:val="0"/>
        <w:snapToGrid w:val="0"/>
        <w:textAlignment w:val="bottom"/>
        <w:outlineLvl w:val="0"/>
        <w:rPr>
          <w:rFonts w:ascii="宋体"/>
          <w:b/>
          <w:sz w:val="32"/>
        </w:rPr>
      </w:pPr>
    </w:p>
    <w:p>
      <w:pPr>
        <w:autoSpaceDE w:val="0"/>
        <w:autoSpaceDN w:val="0"/>
        <w:adjustRightInd w:val="0"/>
        <w:snapToGrid w:val="0"/>
        <w:textAlignment w:val="bottom"/>
        <w:outlineLvl w:val="0"/>
        <w:rPr>
          <w:rFonts w:ascii="宋体"/>
          <w:b/>
          <w:sz w:val="32"/>
        </w:rPr>
      </w:pPr>
    </w:p>
    <w:p>
      <w:pPr>
        <w:tabs>
          <w:tab w:val="left" w:pos="2385"/>
        </w:tabs>
        <w:autoSpaceDE w:val="0"/>
        <w:autoSpaceDN w:val="0"/>
        <w:adjustRightInd w:val="0"/>
        <w:snapToGrid w:val="0"/>
        <w:textAlignment w:val="bottom"/>
        <w:outlineLvl w:val="0"/>
        <w:rPr>
          <w:rFonts w:ascii="宋体"/>
          <w:b/>
          <w:sz w:val="32"/>
        </w:rPr>
      </w:pPr>
    </w:p>
    <w:p>
      <w:pPr>
        <w:tabs>
          <w:tab w:val="left" w:pos="2385"/>
        </w:tabs>
        <w:autoSpaceDE w:val="0"/>
        <w:autoSpaceDN w:val="0"/>
        <w:adjustRightInd w:val="0"/>
        <w:snapToGrid w:val="0"/>
        <w:textAlignment w:val="bottom"/>
        <w:outlineLvl w:val="0"/>
        <w:rPr>
          <w:rFonts w:ascii="宋体"/>
          <w:b/>
          <w:sz w:val="32"/>
        </w:rPr>
      </w:pPr>
      <w:r>
        <w:rPr>
          <w:rFonts w:ascii="宋体"/>
          <w:b/>
          <w:sz w:val="32"/>
        </w:rPr>
        <w:tab/>
      </w:r>
    </w:p>
    <w:p>
      <w:pPr>
        <w:tabs>
          <w:tab w:val="left" w:pos="2385"/>
        </w:tabs>
        <w:autoSpaceDE w:val="0"/>
        <w:autoSpaceDN w:val="0"/>
        <w:adjustRightInd w:val="0"/>
        <w:snapToGrid w:val="0"/>
        <w:textAlignment w:val="bottom"/>
        <w:outlineLvl w:val="0"/>
        <w:rPr>
          <w:rFonts w:ascii="宋体"/>
          <w:b/>
          <w:sz w:val="32"/>
        </w:rPr>
      </w:pPr>
    </w:p>
    <w:p>
      <w:pPr>
        <w:tabs>
          <w:tab w:val="left" w:pos="2385"/>
        </w:tabs>
        <w:autoSpaceDE w:val="0"/>
        <w:autoSpaceDN w:val="0"/>
        <w:adjustRightInd w:val="0"/>
        <w:snapToGrid w:val="0"/>
        <w:textAlignment w:val="bottom"/>
        <w:outlineLvl w:val="0"/>
        <w:rPr>
          <w:rFonts w:ascii="宋体"/>
          <w:b/>
          <w:sz w:val="32"/>
        </w:rPr>
      </w:pPr>
    </w:p>
    <w:p>
      <w:pPr>
        <w:tabs>
          <w:tab w:val="left" w:pos="1155"/>
        </w:tabs>
        <w:spacing w:line="460" w:lineRule="exact"/>
        <w:ind w:firstLine="600" w:firstLineChars="200"/>
        <w:jc w:val="left"/>
        <w:rPr>
          <w:rFonts w:ascii="黑体" w:hAnsi="黑体" w:eastAsia="黑体"/>
          <w:sz w:val="30"/>
          <w:szCs w:val="30"/>
        </w:rPr>
      </w:pPr>
      <w:r>
        <w:rPr>
          <w:rFonts w:hint="eastAsia" w:ascii="黑体" w:hAnsi="黑体" w:eastAsia="黑体"/>
          <w:sz w:val="30"/>
          <w:szCs w:val="30"/>
        </w:rPr>
        <w:t>估价委托人：绍兴市越城区人民法院</w:t>
      </w:r>
    </w:p>
    <w:p>
      <w:pPr>
        <w:tabs>
          <w:tab w:val="left" w:pos="1155"/>
        </w:tabs>
        <w:spacing w:line="460" w:lineRule="exact"/>
        <w:ind w:firstLine="600" w:firstLineChars="200"/>
        <w:jc w:val="left"/>
        <w:rPr>
          <w:rFonts w:ascii="黑体" w:hAnsi="黑体" w:eastAsia="黑体"/>
          <w:sz w:val="30"/>
          <w:szCs w:val="30"/>
        </w:rPr>
      </w:pPr>
      <w:r>
        <w:rPr>
          <w:rFonts w:hint="eastAsia" w:ascii="黑体" w:hAnsi="黑体" w:eastAsia="黑体"/>
          <w:sz w:val="30"/>
          <w:szCs w:val="30"/>
        </w:rPr>
        <w:t>房地产估价机构：绍兴昌业房地产评估事务所（普通合伙）</w:t>
      </w:r>
    </w:p>
    <w:p>
      <w:pPr>
        <w:tabs>
          <w:tab w:val="left" w:pos="1155"/>
        </w:tabs>
        <w:spacing w:line="460" w:lineRule="exact"/>
        <w:ind w:firstLine="600" w:firstLineChars="200"/>
        <w:jc w:val="left"/>
        <w:rPr>
          <w:rFonts w:ascii="黑体" w:hAnsi="黑体" w:eastAsia="黑体"/>
          <w:sz w:val="30"/>
          <w:szCs w:val="30"/>
        </w:rPr>
      </w:pPr>
      <w:r>
        <w:rPr>
          <w:rFonts w:hint="eastAsia" w:ascii="黑体" w:hAnsi="黑体" w:eastAsia="黑体"/>
          <w:sz w:val="30"/>
          <w:szCs w:val="30"/>
        </w:rPr>
        <w:t>注册房地产估价师：林平利  注册号3320190056</w:t>
      </w:r>
    </w:p>
    <w:p>
      <w:pPr>
        <w:tabs>
          <w:tab w:val="left" w:pos="1155"/>
        </w:tabs>
        <w:spacing w:line="460" w:lineRule="exact"/>
        <w:ind w:firstLine="3300" w:firstLineChars="1100"/>
        <w:jc w:val="left"/>
        <w:rPr>
          <w:rFonts w:ascii="黑体" w:hAnsi="黑体" w:eastAsia="黑体"/>
          <w:sz w:val="30"/>
          <w:szCs w:val="30"/>
        </w:rPr>
      </w:pPr>
      <w:r>
        <w:rPr>
          <w:rFonts w:hint="eastAsia" w:ascii="黑体" w:hAnsi="黑体" w:eastAsia="黑体"/>
          <w:sz w:val="30"/>
          <w:szCs w:val="30"/>
        </w:rPr>
        <w:t>关丽华  注册号3320100106</w:t>
      </w:r>
    </w:p>
    <w:p>
      <w:pPr>
        <w:tabs>
          <w:tab w:val="left" w:pos="1155"/>
        </w:tabs>
        <w:spacing w:line="460" w:lineRule="exact"/>
        <w:ind w:firstLine="600" w:firstLineChars="200"/>
        <w:jc w:val="left"/>
        <w:rPr>
          <w:rFonts w:ascii="黑体" w:hAnsi="黑体" w:eastAsia="黑体"/>
          <w:sz w:val="30"/>
          <w:szCs w:val="30"/>
        </w:rPr>
      </w:pPr>
      <w:r>
        <w:rPr>
          <w:rFonts w:hint="eastAsia" w:ascii="黑体" w:hAnsi="黑体" w:eastAsia="黑体"/>
          <w:sz w:val="30"/>
          <w:szCs w:val="30"/>
        </w:rPr>
        <w:t>估价报告出具日期：2020年07月22日</w:t>
      </w:r>
    </w:p>
    <w:p>
      <w:pPr>
        <w:tabs>
          <w:tab w:val="left" w:pos="1155"/>
        </w:tabs>
        <w:spacing w:line="460" w:lineRule="exact"/>
        <w:ind w:firstLine="600" w:firstLineChars="200"/>
        <w:jc w:val="left"/>
        <w:rPr>
          <w:rFonts w:ascii="黑体" w:hAnsi="黑体" w:eastAsia="黑体"/>
          <w:sz w:val="30"/>
          <w:szCs w:val="30"/>
        </w:rPr>
      </w:pPr>
      <w:r>
        <w:rPr>
          <w:rFonts w:hint="eastAsia" w:ascii="黑体" w:hAnsi="黑体" w:eastAsia="黑体"/>
          <w:sz w:val="30"/>
          <w:szCs w:val="30"/>
        </w:rPr>
        <w:t>估价报告编号：</w:t>
      </w:r>
      <w:bookmarkStart w:id="0" w:name="_Toc532974262"/>
      <w:r>
        <w:rPr>
          <w:rFonts w:hint="eastAsia" w:ascii="黑体" w:hAnsi="黑体" w:eastAsia="黑体"/>
          <w:sz w:val="30"/>
          <w:szCs w:val="30"/>
        </w:rPr>
        <w:t>绍昌业估字[2020]第081号</w:t>
      </w:r>
    </w:p>
    <w:p>
      <w:pPr>
        <w:spacing w:line="500" w:lineRule="exact"/>
        <w:jc w:val="center"/>
        <w:rPr>
          <w:sz w:val="24"/>
          <w:szCs w:val="24"/>
        </w:rPr>
      </w:pPr>
      <w:r>
        <w:rPr>
          <w:rFonts w:ascii="黑体" w:eastAsia="黑体"/>
          <w:bCs/>
          <w:spacing w:val="20"/>
          <w:sz w:val="36"/>
          <w:szCs w:val="36"/>
        </w:rPr>
        <w:br w:type="page"/>
      </w:r>
      <w:r>
        <w:rPr>
          <w:rFonts w:hint="eastAsia" w:ascii="黑体" w:eastAsia="黑体"/>
          <w:bCs/>
          <w:spacing w:val="20"/>
          <w:sz w:val="36"/>
          <w:szCs w:val="36"/>
        </w:rPr>
        <w:t>致估价委托人函</w:t>
      </w:r>
    </w:p>
    <w:p>
      <w:pPr>
        <w:spacing w:line="500" w:lineRule="exact"/>
        <w:rPr>
          <w:sz w:val="24"/>
          <w:szCs w:val="24"/>
        </w:rPr>
      </w:pPr>
    </w:p>
    <w:p>
      <w:pPr>
        <w:spacing w:line="440" w:lineRule="exact"/>
        <w:rPr>
          <w:sz w:val="24"/>
          <w:szCs w:val="24"/>
        </w:rPr>
      </w:pPr>
      <w:r>
        <w:rPr>
          <w:rFonts w:hint="eastAsia"/>
          <w:sz w:val="24"/>
          <w:szCs w:val="24"/>
        </w:rPr>
        <w:t>绍兴市越城区人民法院：</w:t>
      </w:r>
    </w:p>
    <w:p>
      <w:pPr>
        <w:autoSpaceDE w:val="0"/>
        <w:autoSpaceDN w:val="0"/>
        <w:adjustRightInd w:val="0"/>
        <w:snapToGrid w:val="0"/>
        <w:spacing w:line="440" w:lineRule="exact"/>
        <w:ind w:left="10" w:leftChars="5" w:right="17" w:firstLine="480" w:firstLineChars="200"/>
        <w:textAlignment w:val="bottom"/>
        <w:outlineLvl w:val="0"/>
        <w:rPr>
          <w:sz w:val="24"/>
          <w:szCs w:val="24"/>
        </w:rPr>
      </w:pPr>
      <w:r>
        <w:rPr>
          <w:rFonts w:hint="eastAsia"/>
          <w:sz w:val="24"/>
          <w:szCs w:val="24"/>
        </w:rPr>
        <w:t>受贵院委托，我们对张松、骆巧利名下的位于嵊州市滨江路999号江景一品园5幢二单元502室（另有坡屋31.24平方米、自行车库壹间）住宅房地产在价值时点2020年07月14日的价值进行了评估。价值类型为市场价值。估价目的是：</w:t>
      </w:r>
      <w:r>
        <w:rPr>
          <w:rFonts w:hint="eastAsia" w:ascii="宋体" w:hAnsi="宋体" w:cs="宋体"/>
          <w:sz w:val="24"/>
        </w:rPr>
        <w:t>为司法处置提供参考依据而评估房地产市场价值</w:t>
      </w:r>
      <w:r>
        <w:rPr>
          <w:rFonts w:hint="eastAsia"/>
          <w:sz w:val="24"/>
          <w:szCs w:val="24"/>
        </w:rPr>
        <w:t>。经过实地查勘和市场调查，遵照《中华人民共和国城市房地产管理法》、国家标准《房地产估价规范》等法律法规和技术标准，遵循独立、客观、公正原则、合法原则、最高最佳利用原则、价值时点原则、替代原则，选用比较法及收益法进行了分析、测算和判断，确定估价对象的评估价值如下：</w:t>
      </w:r>
    </w:p>
    <w:p>
      <w:pPr>
        <w:spacing w:line="280" w:lineRule="exact"/>
        <w:ind w:left="483" w:leftChars="230" w:firstLine="7470" w:firstLineChars="4150"/>
        <w:rPr>
          <w:rFonts w:ascii="宋体" w:hAnsi="宋体"/>
          <w:sz w:val="24"/>
        </w:rPr>
      </w:pPr>
      <w:r>
        <w:rPr>
          <w:rFonts w:hint="eastAsia" w:ascii="宋体" w:hAnsi="宋体" w:cs="宋体"/>
          <w:kern w:val="0"/>
          <w:sz w:val="18"/>
          <w:szCs w:val="18"/>
        </w:rPr>
        <w:t>币种:人民币</w:t>
      </w:r>
    </w:p>
    <w:tbl>
      <w:tblPr>
        <w:tblStyle w:val="27"/>
        <w:tblW w:w="9228" w:type="dxa"/>
        <w:tblInd w:w="108" w:type="dxa"/>
        <w:tblLayout w:type="fixed"/>
        <w:tblCellMar>
          <w:top w:w="0" w:type="dxa"/>
          <w:left w:w="108" w:type="dxa"/>
          <w:bottom w:w="0" w:type="dxa"/>
          <w:right w:w="108" w:type="dxa"/>
        </w:tblCellMar>
      </w:tblPr>
      <w:tblGrid>
        <w:gridCol w:w="413"/>
        <w:gridCol w:w="6"/>
        <w:gridCol w:w="2416"/>
        <w:gridCol w:w="456"/>
        <w:gridCol w:w="822"/>
        <w:gridCol w:w="1161"/>
        <w:gridCol w:w="1105"/>
        <w:gridCol w:w="2849"/>
      </w:tblGrid>
      <w:tr>
        <w:tblPrEx>
          <w:tblCellMar>
            <w:top w:w="0" w:type="dxa"/>
            <w:left w:w="108" w:type="dxa"/>
            <w:bottom w:w="0" w:type="dxa"/>
            <w:right w:w="108" w:type="dxa"/>
          </w:tblCellMar>
        </w:tblPrEx>
        <w:trPr>
          <w:trHeight w:val="284" w:hRule="atLeast"/>
        </w:trPr>
        <w:tc>
          <w:tcPr>
            <w:tcW w:w="41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Arial" w:cs="Arial"/>
                <w:kern w:val="0"/>
                <w:sz w:val="18"/>
                <w:szCs w:val="18"/>
              </w:rPr>
            </w:pPr>
            <w:r>
              <w:rPr>
                <w:rFonts w:ascii="Arial" w:hAnsi="宋体" w:cs="Arial"/>
                <w:kern w:val="0"/>
                <w:sz w:val="18"/>
                <w:szCs w:val="18"/>
              </w:rPr>
              <w:t>序号</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Arial" w:cs="Arial"/>
                <w:kern w:val="0"/>
                <w:sz w:val="18"/>
                <w:szCs w:val="18"/>
              </w:rPr>
            </w:pPr>
            <w:r>
              <w:rPr>
                <w:rFonts w:ascii="Arial" w:hAnsi="宋体" w:cs="Arial"/>
                <w:kern w:val="0"/>
                <w:sz w:val="18"/>
                <w:szCs w:val="18"/>
              </w:rPr>
              <w:t>估价对象名称</w:t>
            </w:r>
          </w:p>
        </w:tc>
        <w:tc>
          <w:tcPr>
            <w:tcW w:w="456" w:type="dxa"/>
            <w:tcBorders>
              <w:top w:val="single" w:color="auto" w:sz="4" w:space="0"/>
              <w:left w:val="nil"/>
              <w:bottom w:val="nil"/>
              <w:right w:val="single" w:color="auto" w:sz="4" w:space="0"/>
            </w:tcBorders>
            <w:shd w:val="clear" w:color="auto" w:fill="FFFFFF"/>
            <w:vAlign w:val="center"/>
          </w:tcPr>
          <w:p>
            <w:pPr>
              <w:widowControl/>
              <w:spacing w:line="240" w:lineRule="exact"/>
              <w:ind w:right="-31" w:rightChars="-15"/>
              <w:jc w:val="center"/>
              <w:rPr>
                <w:rFonts w:ascii="Arial" w:hAnsi="Arial" w:cs="Arial"/>
                <w:kern w:val="0"/>
                <w:sz w:val="18"/>
                <w:szCs w:val="18"/>
              </w:rPr>
            </w:pPr>
            <w:r>
              <w:rPr>
                <w:rFonts w:hint="eastAsia" w:ascii="Arial" w:hAnsi="宋体" w:cs="Arial"/>
                <w:kern w:val="0"/>
                <w:sz w:val="18"/>
                <w:szCs w:val="18"/>
              </w:rPr>
              <w:t>单位</w:t>
            </w:r>
          </w:p>
        </w:tc>
        <w:tc>
          <w:tcPr>
            <w:tcW w:w="82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建筑面积</w:t>
            </w:r>
          </w:p>
        </w:tc>
        <w:tc>
          <w:tcPr>
            <w:tcW w:w="11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Arial" w:cs="Arial"/>
                <w:kern w:val="0"/>
                <w:sz w:val="18"/>
                <w:szCs w:val="18"/>
              </w:rPr>
            </w:pPr>
            <w:r>
              <w:rPr>
                <w:rFonts w:ascii="Arial" w:hAnsi="宋体" w:cs="Arial"/>
                <w:kern w:val="0"/>
                <w:sz w:val="18"/>
                <w:szCs w:val="18"/>
              </w:rPr>
              <w:t>评估单价</w:t>
            </w:r>
          </w:p>
          <w:p>
            <w:pPr>
              <w:widowControl/>
              <w:spacing w:line="240" w:lineRule="exact"/>
              <w:jc w:val="center"/>
              <w:rPr>
                <w:rFonts w:ascii="Arial" w:hAnsi="Arial" w:cs="Arial"/>
                <w:kern w:val="0"/>
                <w:sz w:val="18"/>
                <w:szCs w:val="18"/>
              </w:rPr>
            </w:pPr>
            <w:r>
              <w:rPr>
                <w:rFonts w:ascii="Arial" w:hAnsi="Arial" w:cs="Arial"/>
                <w:kern w:val="0"/>
                <w:sz w:val="18"/>
                <w:szCs w:val="18"/>
              </w:rPr>
              <w:t>(</w:t>
            </w:r>
            <w:r>
              <w:rPr>
                <w:rFonts w:ascii="Arial" w:hAnsi="宋体" w:cs="Arial"/>
                <w:kern w:val="0"/>
                <w:sz w:val="18"/>
                <w:szCs w:val="18"/>
              </w:rPr>
              <w:t>元</w:t>
            </w:r>
            <w:r>
              <w:rPr>
                <w:rFonts w:ascii="Arial" w:hAnsi="Arial" w:cs="Arial"/>
                <w:kern w:val="0"/>
                <w:sz w:val="18"/>
                <w:szCs w:val="18"/>
              </w:rPr>
              <w:t>/</w:t>
            </w:r>
            <w:r>
              <w:rPr>
                <w:rFonts w:ascii="Arial" w:hAnsi="宋体" w:cs="Arial"/>
                <w:kern w:val="0"/>
                <w:sz w:val="18"/>
                <w:szCs w:val="18"/>
              </w:rPr>
              <w:t>㎡</w:t>
            </w:r>
            <w:r>
              <w:rPr>
                <w:rFonts w:ascii="Arial" w:hAnsi="Arial" w:cs="Arial"/>
                <w:kern w:val="0"/>
                <w:sz w:val="18"/>
                <w:szCs w:val="18"/>
              </w:rPr>
              <w:t>)</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t>评估总价</w:t>
            </w:r>
          </w:p>
          <w:p>
            <w:pPr>
              <w:widowControl/>
              <w:spacing w:line="240" w:lineRule="exact"/>
              <w:jc w:val="center"/>
              <w:rPr>
                <w:rFonts w:ascii="Arial" w:hAnsi="Arial" w:cs="Arial"/>
                <w:kern w:val="0"/>
                <w:sz w:val="18"/>
                <w:szCs w:val="18"/>
              </w:rPr>
            </w:pPr>
            <w:r>
              <w:rPr>
                <w:rFonts w:ascii="Arial" w:hAnsi="Arial" w:cs="Arial"/>
                <w:kern w:val="0"/>
                <w:sz w:val="18"/>
                <w:szCs w:val="18"/>
              </w:rPr>
              <w:t>(</w:t>
            </w:r>
            <w:r>
              <w:rPr>
                <w:rFonts w:ascii="Arial" w:hAnsi="宋体" w:cs="Arial"/>
                <w:kern w:val="0"/>
                <w:sz w:val="18"/>
                <w:szCs w:val="18"/>
              </w:rPr>
              <w:t>元</w:t>
            </w:r>
            <w:r>
              <w:rPr>
                <w:rFonts w:ascii="Arial" w:hAnsi="Arial" w:cs="Arial"/>
                <w:kern w:val="0"/>
                <w:sz w:val="18"/>
                <w:szCs w:val="18"/>
              </w:rPr>
              <w:t>)</w:t>
            </w:r>
          </w:p>
        </w:tc>
        <w:tc>
          <w:tcPr>
            <w:tcW w:w="2849" w:type="dxa"/>
            <w:tcBorders>
              <w:top w:val="single" w:color="auto" w:sz="4" w:space="0"/>
              <w:left w:val="nil"/>
              <w:bottom w:val="nil"/>
              <w:right w:val="single" w:color="auto" w:sz="4" w:space="0"/>
            </w:tcBorders>
            <w:shd w:val="clear" w:color="auto" w:fill="FFFFFF"/>
            <w:vAlign w:val="center"/>
          </w:tcPr>
          <w:p>
            <w:pPr>
              <w:widowControl/>
              <w:spacing w:line="240" w:lineRule="exact"/>
              <w:jc w:val="center"/>
              <w:rPr>
                <w:rFonts w:ascii="Arial" w:hAnsi="Arial" w:cs="Arial"/>
                <w:kern w:val="0"/>
                <w:sz w:val="18"/>
                <w:szCs w:val="18"/>
              </w:rPr>
            </w:pPr>
            <w:r>
              <w:rPr>
                <w:rFonts w:ascii="Arial" w:hAnsi="宋体" w:cs="Arial"/>
                <w:kern w:val="0"/>
                <w:sz w:val="18"/>
                <w:szCs w:val="18"/>
              </w:rPr>
              <w:t>大写</w:t>
            </w:r>
          </w:p>
        </w:tc>
      </w:tr>
      <w:tr>
        <w:tblPrEx>
          <w:tblCellMar>
            <w:top w:w="0" w:type="dxa"/>
            <w:left w:w="108" w:type="dxa"/>
            <w:bottom w:w="0" w:type="dxa"/>
            <w:right w:w="108" w:type="dxa"/>
          </w:tblCellMar>
        </w:tblPrEx>
        <w:trPr>
          <w:trHeight w:val="284" w:hRule="atLeast"/>
        </w:trPr>
        <w:tc>
          <w:tcPr>
            <w:tcW w:w="4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1</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hint="eastAsia" w:ascii="Arial" w:hAnsi="Arial" w:cs="Arial"/>
                <w:kern w:val="0"/>
                <w:sz w:val="18"/>
                <w:szCs w:val="18"/>
              </w:rPr>
              <w:t>嵊州市滨江路999号江景一品园5幢二单元502室</w:t>
            </w:r>
          </w:p>
        </w:tc>
        <w:tc>
          <w:tcPr>
            <w:tcW w:w="45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31" w:rightChars="-15"/>
              <w:jc w:val="center"/>
              <w:rPr>
                <w:rFonts w:ascii="Arial" w:hAnsi="Arial" w:cs="Arial"/>
                <w:kern w:val="0"/>
                <w:sz w:val="18"/>
                <w:szCs w:val="18"/>
              </w:rPr>
            </w:pPr>
            <w:r>
              <w:rPr>
                <w:rFonts w:ascii="Arial" w:hAnsi="宋体" w:cs="Arial"/>
                <w:kern w:val="0"/>
                <w:sz w:val="18"/>
                <w:szCs w:val="18"/>
              </w:rPr>
              <w:t>㎡</w:t>
            </w:r>
          </w:p>
        </w:tc>
        <w:tc>
          <w:tcPr>
            <w:tcW w:w="822" w:type="dxa"/>
            <w:tcBorders>
              <w:top w:val="single" w:color="auto" w:sz="4" w:space="0"/>
              <w:left w:val="nil"/>
              <w:bottom w:val="single" w:color="auto" w:sz="4" w:space="0"/>
              <w:right w:val="single" w:color="auto" w:sz="4" w:space="0"/>
            </w:tcBorders>
            <w:vAlign w:val="center"/>
          </w:tcPr>
          <w:p>
            <w:pPr>
              <w:spacing w:line="240" w:lineRule="exact"/>
              <w:jc w:val="center"/>
              <w:rPr>
                <w:rFonts w:ascii="Arial" w:hAnsi="Arial" w:cs="Arial"/>
                <w:sz w:val="18"/>
                <w:szCs w:val="18"/>
              </w:rPr>
            </w:pPr>
            <w:r>
              <w:rPr>
                <w:rFonts w:hint="eastAsia" w:ascii="Arial" w:hAnsi="Arial" w:cs="Arial"/>
                <w:sz w:val="18"/>
                <w:szCs w:val="18"/>
              </w:rPr>
              <w:t>83.67</w:t>
            </w:r>
          </w:p>
        </w:tc>
        <w:tc>
          <w:tcPr>
            <w:tcW w:w="11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Arial" w:hAnsi="Arial" w:cs="Arial"/>
                <w:sz w:val="18"/>
                <w:szCs w:val="18"/>
              </w:rPr>
            </w:pPr>
            <w:r>
              <w:rPr>
                <w:rFonts w:hint="eastAsia" w:ascii="Arial" w:hAnsi="Arial" w:cs="Arial"/>
                <w:sz w:val="18"/>
                <w:szCs w:val="18"/>
              </w:rPr>
              <w:t>8,800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right"/>
              <w:rPr>
                <w:rFonts w:ascii="Arial" w:hAnsi="Arial" w:cs="Arial"/>
                <w:sz w:val="18"/>
                <w:szCs w:val="18"/>
              </w:rPr>
            </w:pPr>
            <w:r>
              <w:rPr>
                <w:rFonts w:hint="eastAsia" w:ascii="Arial" w:hAnsi="Arial" w:cs="Arial"/>
                <w:sz w:val="18"/>
                <w:szCs w:val="18"/>
              </w:rPr>
              <w:t>736,296</w:t>
            </w:r>
          </w:p>
        </w:tc>
        <w:tc>
          <w:tcPr>
            <w:tcW w:w="284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w:instrText>
            </w:r>
            <w:r>
              <w:rPr>
                <w:rFonts w:hint="eastAsia" w:ascii="Arial" w:hAnsi="Arial" w:cs="Arial"/>
                <w:sz w:val="18"/>
                <w:szCs w:val="18"/>
              </w:rPr>
              <w:instrText xml:space="preserve">= 736296 \* CHINESENUM2</w:instrText>
            </w:r>
            <w:r>
              <w:rPr>
                <w:rFonts w:ascii="Arial" w:hAnsi="Arial" w:cs="Arial"/>
                <w:sz w:val="18"/>
                <w:szCs w:val="18"/>
              </w:rPr>
              <w:instrText xml:space="preserve"> </w:instrText>
            </w:r>
            <w:r>
              <w:rPr>
                <w:rFonts w:ascii="Arial" w:hAnsi="Arial" w:cs="Arial"/>
                <w:sz w:val="18"/>
                <w:szCs w:val="18"/>
              </w:rPr>
              <w:fldChar w:fldCharType="separate"/>
            </w:r>
            <w:r>
              <w:rPr>
                <w:rFonts w:hint="eastAsia" w:ascii="Arial" w:hAnsi="Arial" w:cs="Arial"/>
                <w:sz w:val="18"/>
                <w:szCs w:val="18"/>
              </w:rPr>
              <w:t>柒拾叁万陆仟贰佰玖拾陆</w:t>
            </w:r>
            <w:r>
              <w:rPr>
                <w:rFonts w:ascii="Arial" w:hAnsi="Arial" w:cs="Arial"/>
                <w:sz w:val="18"/>
                <w:szCs w:val="18"/>
              </w:rPr>
              <w:fldChar w:fldCharType="end"/>
            </w:r>
            <w:r>
              <w:rPr>
                <w:rFonts w:hint="eastAsia" w:ascii="Arial" w:hAnsi="Arial" w:cs="Arial"/>
                <w:sz w:val="18"/>
                <w:szCs w:val="18"/>
              </w:rPr>
              <w:t>元整</w:t>
            </w:r>
          </w:p>
        </w:tc>
      </w:tr>
      <w:tr>
        <w:tblPrEx>
          <w:tblCellMar>
            <w:top w:w="0" w:type="dxa"/>
            <w:left w:w="108" w:type="dxa"/>
            <w:bottom w:w="0" w:type="dxa"/>
            <w:right w:w="108" w:type="dxa"/>
          </w:tblCellMar>
        </w:tblPrEx>
        <w:trPr>
          <w:trHeight w:val="284" w:hRule="atLeast"/>
        </w:trPr>
        <w:tc>
          <w:tcPr>
            <w:tcW w:w="4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2</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Arial" w:hAnsi="Arial" w:cs="Arial"/>
                <w:kern w:val="0"/>
                <w:sz w:val="18"/>
                <w:szCs w:val="18"/>
              </w:rPr>
            </w:pPr>
            <w:r>
              <w:rPr>
                <w:rFonts w:hint="eastAsia" w:ascii="Arial" w:hAnsi="Arial" w:cs="Arial"/>
                <w:kern w:val="0"/>
                <w:sz w:val="18"/>
                <w:szCs w:val="18"/>
              </w:rPr>
              <w:t>坡屋</w:t>
            </w:r>
          </w:p>
        </w:tc>
        <w:tc>
          <w:tcPr>
            <w:tcW w:w="45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31" w:rightChars="-15"/>
              <w:jc w:val="center"/>
              <w:rPr>
                <w:rFonts w:ascii="Arial" w:hAnsi="宋体" w:cs="Arial"/>
                <w:kern w:val="0"/>
                <w:sz w:val="18"/>
                <w:szCs w:val="18"/>
              </w:rPr>
            </w:pPr>
            <w:r>
              <w:rPr>
                <w:rFonts w:ascii="Arial" w:hAnsi="宋体" w:cs="Arial"/>
                <w:kern w:val="0"/>
                <w:sz w:val="18"/>
                <w:szCs w:val="18"/>
              </w:rPr>
              <w:t>㎡</w:t>
            </w:r>
          </w:p>
        </w:tc>
        <w:tc>
          <w:tcPr>
            <w:tcW w:w="822" w:type="dxa"/>
            <w:tcBorders>
              <w:top w:val="single" w:color="auto" w:sz="4" w:space="0"/>
              <w:left w:val="nil"/>
              <w:bottom w:val="single" w:color="auto" w:sz="4" w:space="0"/>
              <w:right w:val="single" w:color="auto" w:sz="4" w:space="0"/>
            </w:tcBorders>
            <w:vAlign w:val="center"/>
          </w:tcPr>
          <w:p>
            <w:pPr>
              <w:spacing w:line="240" w:lineRule="exact"/>
              <w:jc w:val="center"/>
              <w:rPr>
                <w:rFonts w:ascii="Arial" w:hAnsi="Arial" w:cs="Arial"/>
                <w:sz w:val="18"/>
                <w:szCs w:val="18"/>
              </w:rPr>
            </w:pPr>
            <w:r>
              <w:rPr>
                <w:rFonts w:hint="eastAsia" w:ascii="Arial" w:hAnsi="Arial" w:cs="Arial"/>
                <w:sz w:val="18"/>
                <w:szCs w:val="18"/>
              </w:rPr>
              <w:t>31.24</w:t>
            </w:r>
          </w:p>
        </w:tc>
        <w:tc>
          <w:tcPr>
            <w:tcW w:w="11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Arial" w:hAnsi="Arial" w:cs="Arial"/>
                <w:sz w:val="18"/>
                <w:szCs w:val="18"/>
              </w:rPr>
            </w:pPr>
            <w:r>
              <w:rPr>
                <w:rFonts w:hint="eastAsia" w:ascii="Arial" w:hAnsi="Arial" w:cs="Arial"/>
                <w:sz w:val="18"/>
                <w:szCs w:val="18"/>
              </w:rPr>
              <w:t>6,000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right"/>
              <w:rPr>
                <w:rFonts w:ascii="Arial" w:hAnsi="Arial" w:cs="Arial"/>
                <w:sz w:val="18"/>
                <w:szCs w:val="18"/>
              </w:rPr>
            </w:pPr>
            <w:r>
              <w:rPr>
                <w:rFonts w:hint="eastAsia" w:ascii="Arial" w:hAnsi="Arial" w:cs="Arial"/>
                <w:sz w:val="18"/>
                <w:szCs w:val="18"/>
              </w:rPr>
              <w:t>187,440</w:t>
            </w:r>
          </w:p>
        </w:tc>
        <w:tc>
          <w:tcPr>
            <w:tcW w:w="284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Arial" w:hAnsi="宋体" w:cs="Arial"/>
                <w:sz w:val="18"/>
                <w:szCs w:val="18"/>
              </w:rPr>
            </w:pPr>
            <w:r>
              <w:rPr>
                <w:rFonts w:ascii="Arial" w:hAnsi="宋体" w:cs="Arial"/>
                <w:sz w:val="18"/>
                <w:szCs w:val="18"/>
              </w:rPr>
              <w:fldChar w:fldCharType="begin"/>
            </w:r>
            <w:r>
              <w:rPr>
                <w:rFonts w:ascii="Arial" w:hAnsi="宋体" w:cs="Arial"/>
                <w:sz w:val="18"/>
                <w:szCs w:val="18"/>
              </w:rPr>
              <w:instrText xml:space="preserve"> </w:instrText>
            </w:r>
            <w:r>
              <w:rPr>
                <w:rFonts w:hint="eastAsia" w:ascii="Arial" w:hAnsi="宋体" w:cs="Arial"/>
                <w:sz w:val="18"/>
                <w:szCs w:val="18"/>
              </w:rPr>
              <w:instrText xml:space="preserve">= 187440 \* CHINESENUM2</w:instrText>
            </w:r>
            <w:r>
              <w:rPr>
                <w:rFonts w:ascii="Arial" w:hAnsi="宋体" w:cs="Arial"/>
                <w:sz w:val="18"/>
                <w:szCs w:val="18"/>
              </w:rPr>
              <w:instrText xml:space="preserve"> </w:instrText>
            </w:r>
            <w:r>
              <w:rPr>
                <w:rFonts w:ascii="Arial" w:hAnsi="宋体" w:cs="Arial"/>
                <w:sz w:val="18"/>
                <w:szCs w:val="18"/>
              </w:rPr>
              <w:fldChar w:fldCharType="separate"/>
            </w:r>
            <w:r>
              <w:rPr>
                <w:rFonts w:hint="eastAsia" w:ascii="Arial" w:hAnsi="宋体" w:cs="Arial"/>
                <w:sz w:val="18"/>
                <w:szCs w:val="18"/>
              </w:rPr>
              <w:t>壹拾捌万柒仟肆佰肆拾</w:t>
            </w:r>
            <w:r>
              <w:rPr>
                <w:rFonts w:ascii="Arial" w:hAnsi="宋体" w:cs="Arial"/>
                <w:sz w:val="18"/>
                <w:szCs w:val="18"/>
              </w:rPr>
              <w:fldChar w:fldCharType="end"/>
            </w:r>
            <w:r>
              <w:rPr>
                <w:rFonts w:hint="eastAsia" w:ascii="Arial" w:hAnsi="Arial" w:cs="Arial"/>
                <w:sz w:val="18"/>
                <w:szCs w:val="18"/>
              </w:rPr>
              <w:t>元整</w:t>
            </w:r>
          </w:p>
        </w:tc>
      </w:tr>
      <w:tr>
        <w:tblPrEx>
          <w:tblCellMar>
            <w:top w:w="0" w:type="dxa"/>
            <w:left w:w="108" w:type="dxa"/>
            <w:bottom w:w="0" w:type="dxa"/>
            <w:right w:w="108" w:type="dxa"/>
          </w:tblCellMar>
        </w:tblPrEx>
        <w:trPr>
          <w:trHeight w:val="284" w:hRule="atLeast"/>
        </w:trPr>
        <w:tc>
          <w:tcPr>
            <w:tcW w:w="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Arial" w:hAnsi="Arial" w:cs="Arial"/>
                <w:kern w:val="0"/>
                <w:sz w:val="18"/>
                <w:szCs w:val="18"/>
              </w:rPr>
            </w:pPr>
            <w:r>
              <w:rPr>
                <w:rFonts w:hint="eastAsia" w:ascii="Arial" w:hAnsi="Arial" w:cs="Arial"/>
                <w:kern w:val="0"/>
                <w:sz w:val="18"/>
                <w:szCs w:val="18"/>
              </w:rPr>
              <w:t>3</w:t>
            </w:r>
          </w:p>
        </w:tc>
        <w:tc>
          <w:tcPr>
            <w:tcW w:w="24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Arial" w:hAnsi="Arial" w:cs="Arial"/>
                <w:kern w:val="0"/>
                <w:sz w:val="18"/>
                <w:szCs w:val="18"/>
              </w:rPr>
            </w:pPr>
            <w:r>
              <w:rPr>
                <w:rFonts w:hint="eastAsia" w:ascii="Arial" w:hAnsi="Arial" w:cs="Arial"/>
                <w:kern w:val="0"/>
                <w:sz w:val="18"/>
                <w:szCs w:val="18"/>
              </w:rPr>
              <w:t>自行车库</w:t>
            </w:r>
          </w:p>
        </w:tc>
        <w:tc>
          <w:tcPr>
            <w:tcW w:w="456"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Arial" w:hAnsi="Arial" w:cs="Arial"/>
                <w:sz w:val="18"/>
                <w:szCs w:val="18"/>
              </w:rPr>
            </w:pPr>
            <w:r>
              <w:rPr>
                <w:rFonts w:hint="eastAsia" w:ascii="宋体" w:hAnsi="宋体" w:cs="宋体"/>
                <w:sz w:val="18"/>
                <w:szCs w:val="18"/>
              </w:rPr>
              <w:t>间</w:t>
            </w:r>
          </w:p>
        </w:tc>
        <w:tc>
          <w:tcPr>
            <w:tcW w:w="822" w:type="dxa"/>
            <w:tcBorders>
              <w:top w:val="single" w:color="auto" w:sz="4" w:space="0"/>
              <w:left w:val="nil"/>
              <w:bottom w:val="single" w:color="auto" w:sz="4" w:space="0"/>
              <w:right w:val="single" w:color="auto" w:sz="4" w:space="0"/>
            </w:tcBorders>
            <w:vAlign w:val="center"/>
          </w:tcPr>
          <w:p>
            <w:pPr>
              <w:spacing w:line="240" w:lineRule="exact"/>
              <w:jc w:val="center"/>
              <w:rPr>
                <w:rFonts w:ascii="Arial" w:hAnsi="Arial" w:cs="Arial"/>
                <w:sz w:val="18"/>
                <w:szCs w:val="18"/>
              </w:rPr>
            </w:pPr>
            <w:r>
              <w:rPr>
                <w:rFonts w:hint="eastAsia" w:ascii="Arial" w:hAnsi="Arial" w:cs="Arial"/>
                <w:sz w:val="18"/>
                <w:szCs w:val="18"/>
              </w:rPr>
              <w:t>1</w:t>
            </w:r>
          </w:p>
        </w:tc>
        <w:tc>
          <w:tcPr>
            <w:tcW w:w="11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Arial" w:hAnsi="Arial" w:cs="Arial"/>
                <w:sz w:val="18"/>
                <w:szCs w:val="18"/>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right"/>
              <w:rPr>
                <w:rFonts w:ascii="Arial" w:hAnsi="Arial" w:cs="Arial"/>
                <w:sz w:val="18"/>
                <w:szCs w:val="18"/>
              </w:rPr>
            </w:pPr>
            <w:r>
              <w:rPr>
                <w:rFonts w:hint="eastAsia" w:ascii="Arial" w:hAnsi="Arial" w:cs="Arial"/>
                <w:sz w:val="18"/>
                <w:szCs w:val="18"/>
              </w:rPr>
              <w:t>100,000</w:t>
            </w:r>
          </w:p>
        </w:tc>
        <w:tc>
          <w:tcPr>
            <w:tcW w:w="284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Arial" w:hAnsi="Arial" w:cs="Arial"/>
                <w:kern w:val="0"/>
                <w:sz w:val="18"/>
                <w:szCs w:val="18"/>
              </w:rPr>
            </w:pPr>
            <w:r>
              <w:rPr>
                <w:rFonts w:ascii="Arial" w:hAnsi="Arial" w:cs="Arial"/>
                <w:kern w:val="0"/>
                <w:sz w:val="18"/>
                <w:szCs w:val="18"/>
              </w:rPr>
              <w:fldChar w:fldCharType="begin"/>
            </w:r>
            <w:r>
              <w:rPr>
                <w:rFonts w:ascii="Arial" w:hAnsi="Arial" w:cs="Arial"/>
                <w:kern w:val="0"/>
                <w:sz w:val="18"/>
                <w:szCs w:val="18"/>
              </w:rPr>
              <w:instrText xml:space="preserve"> </w:instrText>
            </w:r>
            <w:r>
              <w:rPr>
                <w:rFonts w:hint="eastAsia" w:ascii="Arial" w:hAnsi="Arial" w:cs="Arial"/>
                <w:kern w:val="0"/>
                <w:sz w:val="18"/>
                <w:szCs w:val="18"/>
              </w:rPr>
              <w:instrText xml:space="preserve">= 100000 \* CHINESENUM2</w:instrText>
            </w:r>
            <w:r>
              <w:rPr>
                <w:rFonts w:ascii="Arial" w:hAnsi="Arial" w:cs="Arial"/>
                <w:kern w:val="0"/>
                <w:sz w:val="18"/>
                <w:szCs w:val="18"/>
              </w:rPr>
              <w:instrText xml:space="preserve"> </w:instrText>
            </w:r>
            <w:r>
              <w:rPr>
                <w:rFonts w:ascii="Arial" w:hAnsi="Arial" w:cs="Arial"/>
                <w:kern w:val="0"/>
                <w:sz w:val="18"/>
                <w:szCs w:val="18"/>
              </w:rPr>
              <w:fldChar w:fldCharType="separate"/>
            </w:r>
            <w:r>
              <w:rPr>
                <w:rFonts w:hint="eastAsia" w:ascii="Arial" w:hAnsi="Arial" w:cs="Arial"/>
                <w:kern w:val="0"/>
                <w:sz w:val="18"/>
                <w:szCs w:val="18"/>
              </w:rPr>
              <w:t>壹拾万</w:t>
            </w:r>
            <w:r>
              <w:rPr>
                <w:rFonts w:ascii="Arial" w:hAnsi="Arial" w:cs="Arial"/>
                <w:kern w:val="0"/>
                <w:sz w:val="18"/>
                <w:szCs w:val="18"/>
              </w:rPr>
              <w:fldChar w:fldCharType="end"/>
            </w:r>
            <w:r>
              <w:rPr>
                <w:rFonts w:hint="eastAsia" w:ascii="Arial" w:hAnsi="Arial" w:cs="Arial"/>
                <w:sz w:val="18"/>
                <w:szCs w:val="18"/>
              </w:rPr>
              <w:t>元整</w:t>
            </w:r>
          </w:p>
        </w:tc>
      </w:tr>
      <w:tr>
        <w:tblPrEx>
          <w:tblCellMar>
            <w:top w:w="0" w:type="dxa"/>
            <w:left w:w="108" w:type="dxa"/>
            <w:bottom w:w="0" w:type="dxa"/>
            <w:right w:w="108" w:type="dxa"/>
          </w:tblCellMar>
        </w:tblPrEx>
        <w:trPr>
          <w:trHeight w:val="284" w:hRule="atLeast"/>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Arial" w:hAnsi="Arial" w:cs="Arial"/>
                <w:kern w:val="0"/>
                <w:sz w:val="18"/>
                <w:szCs w:val="18"/>
              </w:rPr>
            </w:pPr>
            <w:r>
              <w:rPr>
                <w:rFonts w:hint="eastAsia" w:ascii="Arial" w:hAnsi="Arial" w:cs="Arial"/>
                <w:kern w:val="0"/>
                <w:sz w:val="18"/>
                <w:szCs w:val="18"/>
              </w:rPr>
              <w:t>合计</w:t>
            </w:r>
          </w:p>
        </w:tc>
        <w:tc>
          <w:tcPr>
            <w:tcW w:w="456"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Arial" w:hAnsi="Arial" w:cs="Arial"/>
                <w:sz w:val="18"/>
                <w:szCs w:val="18"/>
              </w:rPr>
            </w:pPr>
          </w:p>
        </w:tc>
        <w:tc>
          <w:tcPr>
            <w:tcW w:w="822" w:type="dxa"/>
            <w:tcBorders>
              <w:top w:val="single" w:color="auto" w:sz="4" w:space="0"/>
              <w:left w:val="nil"/>
              <w:bottom w:val="single" w:color="auto" w:sz="4" w:space="0"/>
              <w:right w:val="single" w:color="auto" w:sz="4" w:space="0"/>
            </w:tcBorders>
          </w:tcPr>
          <w:p>
            <w:pPr>
              <w:spacing w:line="240" w:lineRule="exact"/>
              <w:jc w:val="center"/>
              <w:rPr>
                <w:rFonts w:ascii="Arial" w:hAnsi="Arial" w:cs="Arial"/>
                <w:sz w:val="18"/>
                <w:szCs w:val="18"/>
              </w:rPr>
            </w:pPr>
          </w:p>
        </w:tc>
        <w:tc>
          <w:tcPr>
            <w:tcW w:w="1161" w:type="dxa"/>
            <w:tcBorders>
              <w:top w:val="single" w:color="auto" w:sz="4" w:space="0"/>
              <w:left w:val="single" w:color="auto" w:sz="4" w:space="0"/>
              <w:bottom w:val="single" w:color="auto" w:sz="4" w:space="0"/>
              <w:right w:val="single" w:color="auto" w:sz="4" w:space="0"/>
            </w:tcBorders>
          </w:tcPr>
          <w:p>
            <w:pPr>
              <w:spacing w:line="240" w:lineRule="exact"/>
              <w:jc w:val="center"/>
              <w:rPr>
                <w:rFonts w:ascii="Arial" w:hAnsi="Arial" w:cs="Arial"/>
                <w:sz w:val="18"/>
                <w:szCs w:val="18"/>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right"/>
              <w:rPr>
                <w:rFonts w:ascii="Arial" w:hAnsi="Arial" w:cs="Arial"/>
                <w:sz w:val="18"/>
                <w:szCs w:val="18"/>
              </w:rPr>
            </w:pPr>
            <w:r>
              <w:rPr>
                <w:rFonts w:hint="eastAsia" w:ascii="Arial" w:hAnsi="Arial" w:cs="Arial"/>
                <w:sz w:val="18"/>
                <w:szCs w:val="18"/>
              </w:rPr>
              <w:t>1,023,736</w:t>
            </w:r>
          </w:p>
        </w:tc>
        <w:tc>
          <w:tcPr>
            <w:tcW w:w="284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w:instrText>
            </w:r>
            <w:r>
              <w:rPr>
                <w:rFonts w:hint="eastAsia" w:ascii="Arial" w:hAnsi="Arial" w:cs="Arial"/>
                <w:sz w:val="18"/>
                <w:szCs w:val="18"/>
              </w:rPr>
              <w:instrText xml:space="preserve">= 1023736 \* CHINESENUM2</w:instrText>
            </w:r>
            <w:r>
              <w:rPr>
                <w:rFonts w:ascii="Arial" w:hAnsi="Arial" w:cs="Arial"/>
                <w:sz w:val="18"/>
                <w:szCs w:val="18"/>
              </w:rPr>
              <w:instrText xml:space="preserve"> </w:instrText>
            </w:r>
            <w:r>
              <w:rPr>
                <w:rFonts w:ascii="Arial" w:hAnsi="Arial" w:cs="Arial"/>
                <w:sz w:val="18"/>
                <w:szCs w:val="18"/>
              </w:rPr>
              <w:fldChar w:fldCharType="separate"/>
            </w:r>
            <w:r>
              <w:rPr>
                <w:rFonts w:hint="eastAsia" w:ascii="Arial" w:hAnsi="Arial" w:cs="Arial"/>
                <w:sz w:val="18"/>
                <w:szCs w:val="18"/>
              </w:rPr>
              <w:t>壹佰零贰万叁仟柒佰叁拾陆</w:t>
            </w:r>
            <w:r>
              <w:rPr>
                <w:rFonts w:ascii="Arial" w:hAnsi="Arial" w:cs="Arial"/>
                <w:sz w:val="18"/>
                <w:szCs w:val="18"/>
              </w:rPr>
              <w:fldChar w:fldCharType="end"/>
            </w:r>
            <w:r>
              <w:rPr>
                <w:rFonts w:hint="eastAsia" w:ascii="Arial" w:hAnsi="Arial" w:cs="Arial"/>
                <w:sz w:val="18"/>
                <w:szCs w:val="18"/>
              </w:rPr>
              <w:t>元整</w:t>
            </w:r>
          </w:p>
        </w:tc>
      </w:tr>
    </w:tbl>
    <w:p>
      <w:pPr>
        <w:spacing w:line="440" w:lineRule="exact"/>
        <w:ind w:firstLine="480" w:firstLineChars="200"/>
        <w:rPr>
          <w:sz w:val="24"/>
          <w:szCs w:val="24"/>
        </w:rPr>
      </w:pPr>
      <w:r>
        <w:rPr>
          <w:rFonts w:hint="eastAsia" w:ascii="宋体" w:hAnsi="宋体"/>
          <w:color w:val="000000"/>
          <w:sz w:val="24"/>
        </w:rPr>
        <w:t>特别提示</w:t>
      </w:r>
      <w:r>
        <w:rPr>
          <w:rFonts w:ascii="宋体" w:hAnsi="宋体"/>
          <w:color w:val="000000"/>
          <w:sz w:val="24"/>
        </w:rPr>
        <w:t>:</w:t>
      </w:r>
      <w:r>
        <w:rPr>
          <w:rFonts w:hint="eastAsia" w:ascii="宋体" w:hAnsi="宋体"/>
          <w:color w:val="000000"/>
          <w:sz w:val="24"/>
        </w:rPr>
        <w:t>报告使用人在使用本报告之前须对报告全文，特别是“估价的假设和限制条件”认真阅读，以免使用不当，造成损失。</w:t>
      </w:r>
    </w:p>
    <w:p>
      <w:pPr>
        <w:spacing w:line="440" w:lineRule="exact"/>
        <w:ind w:firstLine="5040" w:firstLineChars="2100"/>
        <w:rPr>
          <w:sz w:val="24"/>
          <w:szCs w:val="24"/>
        </w:rPr>
      </w:pPr>
    </w:p>
    <w:p>
      <w:pPr>
        <w:spacing w:line="440" w:lineRule="exact"/>
        <w:ind w:firstLine="5040" w:firstLineChars="2100"/>
        <w:rPr>
          <w:sz w:val="24"/>
          <w:szCs w:val="24"/>
        </w:rPr>
      </w:pPr>
    </w:p>
    <w:p>
      <w:pPr>
        <w:spacing w:line="440" w:lineRule="exact"/>
        <w:ind w:firstLine="5040" w:firstLineChars="2100"/>
        <w:rPr>
          <w:sz w:val="24"/>
          <w:szCs w:val="24"/>
        </w:rPr>
      </w:pPr>
    </w:p>
    <w:p>
      <w:pPr>
        <w:spacing w:line="440" w:lineRule="exact"/>
        <w:ind w:firstLine="5040" w:firstLineChars="2100"/>
        <w:rPr>
          <w:sz w:val="24"/>
          <w:szCs w:val="24"/>
        </w:rPr>
      </w:pPr>
    </w:p>
    <w:p>
      <w:pPr>
        <w:spacing w:line="440" w:lineRule="exact"/>
        <w:ind w:firstLine="5040" w:firstLineChars="2100"/>
        <w:rPr>
          <w:sz w:val="24"/>
          <w:szCs w:val="24"/>
        </w:rPr>
      </w:pPr>
    </w:p>
    <w:p>
      <w:pPr>
        <w:spacing w:line="440" w:lineRule="exact"/>
        <w:ind w:firstLine="4800" w:firstLineChars="2000"/>
        <w:rPr>
          <w:sz w:val="24"/>
          <w:szCs w:val="24"/>
        </w:rPr>
      </w:pPr>
      <w:r>
        <w:rPr>
          <w:rFonts w:hint="eastAsia"/>
          <w:sz w:val="24"/>
          <w:szCs w:val="24"/>
        </w:rPr>
        <w:t>绍兴昌业房地产评估事务所（普通合伙）</w:t>
      </w:r>
    </w:p>
    <w:p>
      <w:pPr>
        <w:spacing w:line="440" w:lineRule="exact"/>
        <w:rPr>
          <w:sz w:val="24"/>
          <w:szCs w:val="24"/>
        </w:rPr>
      </w:pPr>
      <w:r>
        <w:rPr>
          <w:rFonts w:hint="eastAsia"/>
          <w:sz w:val="24"/>
          <w:szCs w:val="24"/>
        </w:rPr>
        <w:t xml:space="preserve">                                                二O二O年七月二十二日</w:t>
      </w:r>
    </w:p>
    <w:p>
      <w:pPr>
        <w:spacing w:line="360" w:lineRule="exact"/>
        <w:ind w:firstLine="6120" w:firstLineChars="2550"/>
        <w:rPr>
          <w:sz w:val="24"/>
          <w:szCs w:val="24"/>
        </w:rPr>
      </w:pPr>
    </w:p>
    <w:p>
      <w:pPr>
        <w:spacing w:line="360" w:lineRule="exact"/>
        <w:ind w:firstLine="6120" w:firstLineChars="2550"/>
        <w:rPr>
          <w:sz w:val="24"/>
          <w:szCs w:val="24"/>
        </w:rPr>
      </w:pPr>
    </w:p>
    <w:p>
      <w:pPr>
        <w:spacing w:line="440" w:lineRule="exact"/>
        <w:ind w:firstLine="5040" w:firstLineChars="2100"/>
        <w:rPr>
          <w:sz w:val="24"/>
          <w:szCs w:val="24"/>
        </w:rPr>
      </w:pPr>
    </w:p>
    <w:p>
      <w:pPr>
        <w:spacing w:line="440" w:lineRule="exact"/>
        <w:ind w:firstLine="5040" w:firstLineChars="2100"/>
        <w:rPr>
          <w:sz w:val="24"/>
          <w:szCs w:val="24"/>
        </w:rPr>
      </w:pPr>
    </w:p>
    <w:p>
      <w:pPr>
        <w:spacing w:line="440" w:lineRule="exact"/>
        <w:ind w:firstLine="5040" w:firstLineChars="2100"/>
        <w:rPr>
          <w:sz w:val="24"/>
          <w:szCs w:val="24"/>
        </w:rPr>
      </w:pPr>
    </w:p>
    <w:p>
      <w:pPr>
        <w:spacing w:line="440" w:lineRule="exact"/>
        <w:rPr>
          <w:sz w:val="24"/>
          <w:szCs w:val="24"/>
        </w:rPr>
      </w:pPr>
    </w:p>
    <w:p>
      <w:pPr>
        <w:spacing w:line="440" w:lineRule="exact"/>
        <w:rPr>
          <w:sz w:val="24"/>
          <w:szCs w:val="24"/>
        </w:rPr>
      </w:pPr>
    </w:p>
    <w:p>
      <w:pPr>
        <w:spacing w:before="240"/>
        <w:jc w:val="center"/>
        <w:rPr>
          <w:rFonts w:ascii="黑体" w:eastAsia="黑体"/>
          <w:spacing w:val="10"/>
          <w:sz w:val="36"/>
        </w:rPr>
      </w:pPr>
      <w:r>
        <w:rPr>
          <w:rFonts w:hint="eastAsia" w:ascii="黑体" w:eastAsia="黑体"/>
          <w:spacing w:val="10"/>
          <w:sz w:val="36"/>
        </w:rPr>
        <w:t>目  录</w:t>
      </w:r>
      <w:bookmarkEnd w:id="0"/>
    </w:p>
    <w:p>
      <w:pPr>
        <w:spacing w:before="240"/>
        <w:jc w:val="center"/>
        <w:rPr>
          <w:rFonts w:hint="eastAsia" w:asciiTheme="minorEastAsia" w:hAnsiTheme="minorEastAsia" w:eastAsiaTheme="minorEastAsia" w:cstheme="minorEastAsia"/>
          <w:b/>
          <w:bCs/>
          <w:spacing w:val="10"/>
          <w:szCs w:val="21"/>
        </w:rPr>
      </w:pP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TOC \o \h \z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_Toc6519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注册房地产估价师声明</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_Toc6519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_Toc5810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估价的假设和限制条件</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_Toc5810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_Toc32507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房地产估价结果报告</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_Toc32507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_Toc6949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一、估价委托人</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_Toc6949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_Toc10436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二、房地产估价机构</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_Toc10436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_Toc30210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三、估价目的</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_Toc30210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_Toc5800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四、估价对象</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_Toc5800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_Toc7048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五、价值时点</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_Toc7048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6</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_Toc6305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六、价值类型</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_Toc6305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6</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_Toc32154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七、估价依据</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_Toc32154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6</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_Toc31632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八、估价原则</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_Toc31632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7</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_Toc30201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九、估价方法</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_Toc30201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7</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_Toc30991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十、估价结果</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_Toc30991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7</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_Toc27464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十一、估价人员</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_Toc27464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8</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_Toc27358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十二、实地查勘期</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_Toc27358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8</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_Toc20297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20"/>
          <w:sz w:val="21"/>
          <w:szCs w:val="21"/>
        </w:rPr>
        <w:t>十三、估价作业期</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_Toc20297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8</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pStyle w:val="18"/>
        <w:tabs>
          <w:tab w:val="right" w:leader="dot" w:pos="9060"/>
          <w:tab w:val="clear" w:pos="9088"/>
        </w:tabs>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HYPERLINK \l _Toc1712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pacing w:val="300"/>
          <w:sz w:val="21"/>
          <w:szCs w:val="21"/>
        </w:rPr>
        <w:t>附件</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PAGEREF _Toc1712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9</w:t>
      </w:r>
      <w:r>
        <w:rPr>
          <w:rFonts w:hint="eastAsia" w:asciiTheme="minorEastAsia" w:hAnsiTheme="minorEastAsia" w:eastAsiaTheme="minorEastAsia" w:cstheme="minorEastAsia"/>
          <w:b/>
          <w:bCs/>
          <w:sz w:val="21"/>
          <w:szCs w:val="21"/>
        </w:rPr>
        <w:fldChar w:fldCharType="end"/>
      </w:r>
      <w:r>
        <w:rPr>
          <w:rFonts w:hint="eastAsia" w:asciiTheme="minorEastAsia" w:hAnsiTheme="minorEastAsia" w:eastAsiaTheme="minorEastAsia" w:cstheme="minorEastAsia"/>
          <w:b/>
          <w:bCs/>
          <w:sz w:val="21"/>
          <w:szCs w:val="21"/>
        </w:rPr>
        <w:fldChar w:fldCharType="end"/>
      </w:r>
    </w:p>
    <w:p>
      <w:pPr>
        <w:spacing w:line="320" w:lineRule="exact"/>
        <w:ind w:firstLine="373" w:firstLineChars="177"/>
        <w:jc w:val="left"/>
        <w:rPr>
          <w:rFonts w:ascii="宋体" w:hAnsi="宋体" w:cs="宋体"/>
          <w:bCs/>
          <w:spacing w:val="20"/>
          <w:szCs w:val="21"/>
        </w:rPr>
      </w:pPr>
      <w:r>
        <w:rPr>
          <w:rFonts w:hint="eastAsia" w:asciiTheme="minorEastAsia" w:hAnsiTheme="minorEastAsia" w:eastAsiaTheme="minorEastAsia" w:cstheme="minorEastAsia"/>
          <w:b/>
          <w:bCs/>
          <w:sz w:val="21"/>
          <w:szCs w:val="21"/>
        </w:rPr>
        <w:fldChar w:fldCharType="end"/>
      </w:r>
      <w:r>
        <w:rPr>
          <w:rFonts w:hint="eastAsia" w:ascii="宋体" w:hAnsi="宋体" w:cs="宋体"/>
          <w:bCs/>
          <w:spacing w:val="20"/>
          <w:szCs w:val="21"/>
        </w:rPr>
        <w:t>1、《浙江省绍兴市越城区人民法院司法评估委托书》复印件</w:t>
      </w:r>
    </w:p>
    <w:p>
      <w:pPr>
        <w:numPr>
          <w:ilvl w:val="0"/>
          <w:numId w:val="2"/>
        </w:num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《房屋所有权证》复印件</w:t>
      </w:r>
      <w:bookmarkStart w:id="36" w:name="_GoBack"/>
      <w:bookmarkEnd w:id="36"/>
    </w:p>
    <w:p>
      <w:pPr>
        <w:numPr>
          <w:ilvl w:val="0"/>
          <w:numId w:val="2"/>
        </w:num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《国有土地使用证》复印件</w:t>
      </w:r>
    </w:p>
    <w:p>
      <w:pPr>
        <w:numPr>
          <w:ilvl w:val="0"/>
          <w:numId w:val="2"/>
        </w:num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《不动产登记证明》复印件；</w:t>
      </w:r>
    </w:p>
    <w:p>
      <w:pPr>
        <w:numPr>
          <w:ilvl w:val="0"/>
          <w:numId w:val="2"/>
        </w:num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《嵊州市不动产登记查询证明》复印件；</w:t>
      </w:r>
    </w:p>
    <w:p>
      <w:pPr>
        <w:numPr>
          <w:ilvl w:val="0"/>
          <w:numId w:val="2"/>
        </w:numPr>
        <w:spacing w:line="320" w:lineRule="exact"/>
        <w:ind w:firstLine="375"/>
        <w:rPr>
          <w:rFonts w:asciiTheme="minorEastAsia" w:hAnsiTheme="minorEastAsia" w:eastAsiaTheme="minorEastAsia"/>
          <w:spacing w:val="20"/>
          <w:szCs w:val="21"/>
        </w:rPr>
      </w:pPr>
      <w:r>
        <w:rPr>
          <w:rFonts w:hint="eastAsia" w:asciiTheme="minorEastAsia" w:hAnsiTheme="minorEastAsia" w:eastAsiaTheme="minorEastAsia"/>
          <w:spacing w:val="20"/>
          <w:szCs w:val="21"/>
        </w:rPr>
        <w:t>委估对象照片</w:t>
      </w:r>
    </w:p>
    <w:p>
      <w:p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7、委估对象位置示意图</w:t>
      </w:r>
    </w:p>
    <w:p>
      <w:p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8、比较案例位置示意图</w:t>
      </w:r>
    </w:p>
    <w:p>
      <w:pPr>
        <w:spacing w:line="320" w:lineRule="exact"/>
        <w:ind w:firstLine="375" w:firstLineChars="150"/>
        <w:rPr>
          <w:rFonts w:asciiTheme="minorEastAsia" w:hAnsiTheme="minorEastAsia" w:eastAsiaTheme="minorEastAsia"/>
          <w:spacing w:val="20"/>
          <w:szCs w:val="21"/>
        </w:rPr>
      </w:pPr>
      <w:r>
        <w:rPr>
          <w:rFonts w:hint="eastAsia" w:asciiTheme="minorEastAsia" w:hAnsiTheme="minorEastAsia" w:eastAsiaTheme="minorEastAsia"/>
          <w:spacing w:val="20"/>
          <w:szCs w:val="21"/>
        </w:rPr>
        <w:t>9、房地产估价机构《营业执照》复印件</w:t>
      </w:r>
    </w:p>
    <w:p>
      <w:pPr>
        <w:spacing w:line="320" w:lineRule="exact"/>
        <w:ind w:firstLine="375" w:firstLineChars="150"/>
        <w:jc w:val="left"/>
        <w:rPr>
          <w:rFonts w:asciiTheme="minorEastAsia" w:hAnsiTheme="minorEastAsia" w:eastAsiaTheme="minorEastAsia"/>
          <w:spacing w:val="20"/>
          <w:szCs w:val="21"/>
        </w:rPr>
      </w:pPr>
      <w:r>
        <w:rPr>
          <w:rFonts w:hint="eastAsia" w:asciiTheme="minorEastAsia" w:hAnsiTheme="minorEastAsia" w:eastAsiaTheme="minorEastAsia"/>
          <w:spacing w:val="20"/>
          <w:szCs w:val="21"/>
        </w:rPr>
        <w:t>10、房地产</w:t>
      </w:r>
      <w:r>
        <w:rPr>
          <w:rFonts w:hint="eastAsia" w:asciiTheme="minorEastAsia" w:hAnsiTheme="minorEastAsia" w:eastAsiaTheme="minorEastAsia"/>
          <w:spacing w:val="20"/>
          <w:kern w:val="0"/>
          <w:szCs w:val="21"/>
        </w:rPr>
        <w:t>估价机构备案证书复印件</w:t>
      </w:r>
    </w:p>
    <w:p>
      <w:pPr>
        <w:tabs>
          <w:tab w:val="left" w:pos="420"/>
          <w:tab w:val="right" w:leader="dot" w:pos="8172"/>
          <w:tab w:val="right" w:leader="dot" w:pos="8610"/>
        </w:tabs>
        <w:adjustRightInd w:val="0"/>
        <w:snapToGrid w:val="0"/>
        <w:spacing w:line="320" w:lineRule="exact"/>
        <w:ind w:right="617" w:rightChars="294" w:firstLine="375" w:firstLineChars="150"/>
        <w:rPr>
          <w:rFonts w:asciiTheme="minorEastAsia" w:hAnsiTheme="minorEastAsia" w:eastAsiaTheme="minorEastAsia"/>
          <w:spacing w:val="20"/>
          <w:kern w:val="0"/>
          <w:szCs w:val="21"/>
        </w:rPr>
      </w:pPr>
      <w:r>
        <w:rPr>
          <w:rFonts w:hint="eastAsia" w:asciiTheme="minorEastAsia" w:hAnsiTheme="minorEastAsia" w:eastAsiaTheme="minorEastAsia"/>
          <w:spacing w:val="20"/>
          <w:szCs w:val="21"/>
        </w:rPr>
        <w:t>11、</w:t>
      </w:r>
      <w:r>
        <w:rPr>
          <w:rFonts w:hint="eastAsia" w:asciiTheme="minorEastAsia" w:hAnsiTheme="minorEastAsia" w:eastAsiaTheme="minorEastAsia"/>
          <w:spacing w:val="20"/>
          <w:kern w:val="0"/>
          <w:szCs w:val="21"/>
        </w:rPr>
        <w:t>房地产估价师注册证书复印件</w:t>
      </w:r>
    </w:p>
    <w:p>
      <w:pPr>
        <w:pStyle w:val="2"/>
        <w:numPr>
          <w:ilvl w:val="0"/>
          <w:numId w:val="0"/>
        </w:numPr>
        <w:spacing w:line="480" w:lineRule="auto"/>
        <w:ind w:right="-11"/>
        <w:jc w:val="center"/>
        <w:rPr>
          <w:rFonts w:asciiTheme="minorEastAsia" w:hAnsiTheme="minorEastAsia" w:eastAsiaTheme="minorEastAsia"/>
          <w:bCs/>
          <w:spacing w:val="20"/>
          <w:sz w:val="21"/>
          <w:szCs w:val="21"/>
        </w:rPr>
        <w:sectPr>
          <w:headerReference r:id="rId4" w:type="first"/>
          <w:headerReference r:id="rId3" w:type="default"/>
          <w:footerReference r:id="rId5" w:type="default"/>
          <w:footerReference r:id="rId6" w:type="even"/>
          <w:pgSz w:w="11906" w:h="16838"/>
          <w:pgMar w:top="1418" w:right="1088" w:bottom="1418" w:left="1758" w:header="851" w:footer="851" w:gutter="0"/>
          <w:pgNumType w:start="0"/>
          <w:cols w:space="720" w:num="1"/>
          <w:titlePg/>
          <w:docGrid w:linePitch="500" w:charSpace="4027"/>
        </w:sectPr>
      </w:pPr>
      <w:bookmarkStart w:id="1" w:name="_Toc508132488"/>
    </w:p>
    <w:p>
      <w:pPr>
        <w:pStyle w:val="2"/>
        <w:numPr>
          <w:ilvl w:val="0"/>
          <w:numId w:val="0"/>
        </w:numPr>
        <w:spacing w:line="480" w:lineRule="auto"/>
        <w:ind w:right="-11"/>
        <w:jc w:val="center"/>
        <w:rPr>
          <w:rFonts w:ascii="黑体" w:eastAsia="黑体"/>
          <w:bCs/>
          <w:spacing w:val="20"/>
          <w:sz w:val="36"/>
          <w:szCs w:val="36"/>
        </w:rPr>
      </w:pPr>
      <w:bookmarkStart w:id="2" w:name="_Toc6519"/>
      <w:r>
        <w:rPr>
          <w:rFonts w:hint="eastAsia" w:ascii="黑体" w:eastAsia="黑体"/>
          <w:bCs/>
          <w:spacing w:val="20"/>
          <w:sz w:val="36"/>
          <w:szCs w:val="36"/>
        </w:rPr>
        <w:t>注册房地产估价师声明</w:t>
      </w:r>
      <w:bookmarkEnd w:id="1"/>
      <w:bookmarkEnd w:id="2"/>
    </w:p>
    <w:p>
      <w:pPr>
        <w:spacing w:line="520" w:lineRule="atLeast"/>
        <w:rPr>
          <w:b/>
          <w:bCs/>
          <w:spacing w:val="10"/>
          <w:sz w:val="24"/>
          <w:szCs w:val="24"/>
        </w:rPr>
      </w:pPr>
      <w:r>
        <w:rPr>
          <w:rFonts w:hint="eastAsia"/>
          <w:b/>
          <w:bCs/>
          <w:spacing w:val="10"/>
          <w:sz w:val="24"/>
          <w:szCs w:val="24"/>
        </w:rPr>
        <w:t>我们郑重声明：</w:t>
      </w:r>
    </w:p>
    <w:p>
      <w:pPr>
        <w:spacing w:line="440" w:lineRule="exact"/>
        <w:ind w:firstLine="520" w:firstLineChars="200"/>
        <w:rPr>
          <w:rFonts w:ascii="宋体"/>
          <w:spacing w:val="10"/>
          <w:sz w:val="24"/>
          <w:szCs w:val="24"/>
        </w:rPr>
      </w:pPr>
      <w:r>
        <w:rPr>
          <w:rFonts w:hint="eastAsia" w:ascii="宋体" w:hAnsi="宋体"/>
          <w:spacing w:val="10"/>
          <w:sz w:val="24"/>
          <w:szCs w:val="24"/>
        </w:rPr>
        <w:t>一、注册房地产估价师在估价报告中对事实的说明是真实和准确的，没有虚假记载、误导性陈述和重大遗漏；</w:t>
      </w:r>
    </w:p>
    <w:p>
      <w:pPr>
        <w:pStyle w:val="14"/>
        <w:spacing w:line="440" w:lineRule="exact"/>
        <w:ind w:firstLine="520" w:firstLineChars="200"/>
        <w:rPr>
          <w:rFonts w:ascii="宋体"/>
          <w:sz w:val="24"/>
          <w:szCs w:val="24"/>
        </w:rPr>
      </w:pPr>
      <w:r>
        <w:rPr>
          <w:rFonts w:hint="eastAsia" w:ascii="宋体"/>
          <w:sz w:val="24"/>
          <w:szCs w:val="24"/>
        </w:rPr>
        <w:t>二、估价报告中的分析、意见和结论是注册房地产估价师独立、客观、公正的专业分析、意见和结论，但受到估价报告中已说明的估价假设和限制条件的限制；</w:t>
      </w:r>
    </w:p>
    <w:p>
      <w:pPr>
        <w:spacing w:line="440" w:lineRule="exact"/>
        <w:ind w:firstLine="520" w:firstLineChars="200"/>
        <w:rPr>
          <w:rFonts w:ascii="宋体"/>
          <w:spacing w:val="10"/>
          <w:sz w:val="24"/>
          <w:szCs w:val="24"/>
        </w:rPr>
      </w:pPr>
      <w:r>
        <w:rPr>
          <w:rFonts w:hint="eastAsia" w:ascii="宋体" w:hAnsi="宋体"/>
          <w:spacing w:val="10"/>
          <w:sz w:val="24"/>
          <w:szCs w:val="24"/>
        </w:rPr>
        <w:t>三、注册房地产估价师与估价报告中的估价对象没有现实或潜在的利益，与估价委托人及估价利害关系人没有利害关系，也对估价对象、估价委托人及估价利害关系人没有偏见；</w:t>
      </w:r>
    </w:p>
    <w:p>
      <w:pPr>
        <w:spacing w:line="440" w:lineRule="exact"/>
        <w:ind w:firstLine="520" w:firstLineChars="200"/>
        <w:rPr>
          <w:rFonts w:ascii="宋体"/>
          <w:spacing w:val="10"/>
          <w:sz w:val="24"/>
          <w:szCs w:val="24"/>
        </w:rPr>
      </w:pPr>
      <w:r>
        <w:rPr>
          <w:rFonts w:hint="eastAsia" w:ascii="宋体" w:hAnsi="宋体"/>
          <w:spacing w:val="10"/>
          <w:sz w:val="24"/>
          <w:szCs w:val="24"/>
        </w:rPr>
        <w:t>四、注册房地产估价师依照中华人民共和国国家标准《房地产估价规范》（</w:t>
      </w:r>
      <w:r>
        <w:rPr>
          <w:rFonts w:ascii="宋体" w:hAnsi="宋体"/>
          <w:spacing w:val="10"/>
          <w:sz w:val="24"/>
          <w:szCs w:val="24"/>
        </w:rPr>
        <w:t>GB/T 50291-2015</w:t>
      </w:r>
      <w:r>
        <w:rPr>
          <w:rFonts w:hint="eastAsia" w:ascii="宋体" w:hAnsi="宋体"/>
          <w:spacing w:val="10"/>
          <w:sz w:val="24"/>
          <w:szCs w:val="24"/>
        </w:rPr>
        <w:t>）、中华人民共和国国家标准《</w:t>
      </w:r>
      <w:r>
        <w:rPr>
          <w:rFonts w:hint="eastAsia" w:ascii="宋体" w:hAnsi="宋体"/>
          <w:color w:val="000000"/>
          <w:sz w:val="24"/>
        </w:rPr>
        <w:t>房地产估价基本术语标准</w:t>
      </w:r>
      <w:r>
        <w:rPr>
          <w:rFonts w:hint="eastAsia" w:ascii="宋体" w:hAnsi="宋体"/>
          <w:spacing w:val="10"/>
          <w:sz w:val="24"/>
          <w:szCs w:val="24"/>
        </w:rPr>
        <w:t>》（</w:t>
      </w:r>
      <w:r>
        <w:rPr>
          <w:rFonts w:ascii="宋体" w:hAnsi="宋体"/>
          <w:spacing w:val="10"/>
          <w:sz w:val="24"/>
          <w:szCs w:val="24"/>
        </w:rPr>
        <w:t>GB/T 50899-2013</w:t>
      </w:r>
      <w:r>
        <w:rPr>
          <w:rFonts w:hint="eastAsia" w:ascii="宋体" w:hAnsi="宋体"/>
          <w:spacing w:val="10"/>
          <w:sz w:val="24"/>
          <w:szCs w:val="24"/>
        </w:rPr>
        <w:t>）</w:t>
      </w:r>
      <w:r>
        <w:rPr>
          <w:rFonts w:hint="eastAsia" w:ascii="宋体" w:hAnsi="宋体"/>
          <w:color w:val="000000"/>
          <w:sz w:val="24"/>
        </w:rPr>
        <w:t>及相关法律法规的规定</w:t>
      </w:r>
      <w:r>
        <w:rPr>
          <w:rFonts w:hint="eastAsia" w:ascii="宋体" w:hAnsi="宋体"/>
          <w:spacing w:val="10"/>
          <w:sz w:val="24"/>
          <w:szCs w:val="24"/>
        </w:rPr>
        <w:t>进行估价工作，撰写估价报告；</w:t>
      </w:r>
    </w:p>
    <w:p>
      <w:pPr>
        <w:tabs>
          <w:tab w:val="left" w:pos="630"/>
        </w:tabs>
        <w:spacing w:line="440" w:lineRule="exact"/>
        <w:ind w:firstLine="520" w:firstLineChars="200"/>
        <w:rPr>
          <w:spacing w:val="10"/>
          <w:sz w:val="24"/>
          <w:szCs w:val="24"/>
        </w:rPr>
      </w:pPr>
      <w:r>
        <w:rPr>
          <w:rFonts w:hint="eastAsia" w:ascii="宋体" w:hAnsi="宋体"/>
          <w:spacing w:val="10"/>
          <w:sz w:val="24"/>
          <w:szCs w:val="24"/>
        </w:rPr>
        <w:t>五、我所注册房地产估价师林平利于2020年07月14日已对本估价报告中的估价对象进行了实地查勘；</w:t>
      </w:r>
    </w:p>
    <w:p>
      <w:pPr>
        <w:tabs>
          <w:tab w:val="left" w:pos="-420"/>
        </w:tabs>
        <w:spacing w:line="440" w:lineRule="exact"/>
        <w:ind w:firstLine="522" w:firstLineChars="201"/>
        <w:rPr>
          <w:spacing w:val="10"/>
          <w:sz w:val="24"/>
          <w:szCs w:val="24"/>
        </w:rPr>
      </w:pPr>
      <w:r>
        <w:rPr>
          <w:rFonts w:hint="eastAsia"/>
          <w:spacing w:val="10"/>
          <w:sz w:val="24"/>
          <w:szCs w:val="24"/>
        </w:rPr>
        <w:t>六、没有人对本估价报告提供了重要专业帮助；</w:t>
      </w:r>
    </w:p>
    <w:p>
      <w:pPr>
        <w:tabs>
          <w:tab w:val="left" w:pos="-420"/>
        </w:tabs>
        <w:spacing w:afterLines="50" w:line="440" w:lineRule="exact"/>
        <w:ind w:firstLine="522" w:firstLineChars="201"/>
        <w:rPr>
          <w:spacing w:val="10"/>
          <w:sz w:val="24"/>
          <w:szCs w:val="24"/>
        </w:rPr>
      </w:pPr>
      <w:r>
        <w:rPr>
          <w:rFonts w:hint="eastAsia"/>
          <w:spacing w:val="10"/>
          <w:sz w:val="24"/>
          <w:szCs w:val="24"/>
        </w:rPr>
        <w:t>七、参与本次估价的注册房地产估价师：</w:t>
      </w:r>
    </w:p>
    <w:tbl>
      <w:tblPr>
        <w:tblStyle w:val="27"/>
        <w:tblW w:w="9206" w:type="dxa"/>
        <w:tblInd w:w="0" w:type="dxa"/>
        <w:tblLayout w:type="fixed"/>
        <w:tblCellMar>
          <w:top w:w="0" w:type="dxa"/>
          <w:left w:w="108" w:type="dxa"/>
          <w:bottom w:w="0" w:type="dxa"/>
          <w:right w:w="108" w:type="dxa"/>
        </w:tblCellMar>
      </w:tblPr>
      <w:tblGrid>
        <w:gridCol w:w="954"/>
        <w:gridCol w:w="1447"/>
        <w:gridCol w:w="4237"/>
        <w:gridCol w:w="2568"/>
      </w:tblGrid>
      <w:tr>
        <w:tblPrEx>
          <w:tblCellMar>
            <w:top w:w="0" w:type="dxa"/>
            <w:left w:w="108" w:type="dxa"/>
            <w:bottom w:w="0" w:type="dxa"/>
            <w:right w:w="108" w:type="dxa"/>
          </w:tblCellMar>
        </w:tblPrEx>
        <w:trPr>
          <w:trHeight w:val="360" w:hRule="atLeast"/>
        </w:trPr>
        <w:tc>
          <w:tcPr>
            <w:tcW w:w="9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姓名</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注册号</w:t>
            </w:r>
          </w:p>
        </w:tc>
        <w:tc>
          <w:tcPr>
            <w:tcW w:w="423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签名</w:t>
            </w:r>
          </w:p>
        </w:tc>
        <w:tc>
          <w:tcPr>
            <w:tcW w:w="2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签名日期</w:t>
            </w:r>
          </w:p>
        </w:tc>
      </w:tr>
      <w:tr>
        <w:tblPrEx>
          <w:tblCellMar>
            <w:top w:w="0" w:type="dxa"/>
            <w:left w:w="108" w:type="dxa"/>
            <w:bottom w:w="0" w:type="dxa"/>
            <w:right w:w="108" w:type="dxa"/>
          </w:tblCellMar>
        </w:tblPrEx>
        <w:trPr>
          <w:trHeight w:val="1667" w:hRule="atLeast"/>
        </w:trPr>
        <w:tc>
          <w:tcPr>
            <w:tcW w:w="954" w:type="dxa"/>
            <w:tcBorders>
              <w:top w:val="nil"/>
              <w:left w:val="single" w:color="auto" w:sz="4" w:space="0"/>
              <w:bottom w:val="single" w:color="auto" w:sz="4" w:space="0"/>
              <w:right w:val="single" w:color="auto" w:sz="4" w:space="0"/>
            </w:tcBorders>
            <w:vAlign w:val="center"/>
          </w:tcPr>
          <w:p>
            <w:pPr>
              <w:pStyle w:val="20"/>
              <w:rPr>
                <w:kern w:val="0"/>
              </w:rPr>
            </w:pPr>
            <w:r>
              <w:rPr>
                <w:rFonts w:hint="eastAsia"/>
                <w:kern w:val="0"/>
              </w:rPr>
              <w:t>林平利</w:t>
            </w:r>
          </w:p>
        </w:tc>
        <w:tc>
          <w:tcPr>
            <w:tcW w:w="1447" w:type="dxa"/>
            <w:tcBorders>
              <w:top w:val="nil"/>
              <w:left w:val="nil"/>
              <w:bottom w:val="single" w:color="auto" w:sz="4" w:space="0"/>
              <w:right w:val="single" w:color="auto" w:sz="4" w:space="0"/>
            </w:tcBorders>
            <w:vAlign w:val="center"/>
          </w:tcPr>
          <w:p>
            <w:pPr>
              <w:pStyle w:val="20"/>
              <w:rPr>
                <w:rFonts w:ascii="宋体"/>
                <w:kern w:val="0"/>
              </w:rPr>
            </w:pPr>
            <w:r>
              <w:rPr>
                <w:rFonts w:hint="eastAsia" w:ascii="宋体" w:hAnsi="宋体"/>
                <w:kern w:val="0"/>
              </w:rPr>
              <w:t>3320190056</w:t>
            </w:r>
          </w:p>
        </w:tc>
        <w:tc>
          <w:tcPr>
            <w:tcW w:w="4237" w:type="dxa"/>
            <w:tcBorders>
              <w:top w:val="nil"/>
              <w:left w:val="nil"/>
              <w:bottom w:val="nil"/>
              <w:right w:val="nil"/>
            </w:tcBorders>
            <w:vAlign w:val="center"/>
          </w:tcPr>
          <w:p>
            <w:pPr>
              <w:widowControl/>
              <w:spacing w:line="1000" w:lineRule="exact"/>
              <w:jc w:val="center"/>
              <w:rPr>
                <w:rFonts w:ascii="宋体"/>
                <w:bCs/>
                <w:kern w:val="0"/>
                <w:sz w:val="24"/>
                <w:szCs w:val="32"/>
              </w:rPr>
            </w:pPr>
          </w:p>
        </w:tc>
        <w:tc>
          <w:tcPr>
            <w:tcW w:w="2568" w:type="dxa"/>
            <w:tcBorders>
              <w:top w:val="nil"/>
              <w:left w:val="single" w:color="auto" w:sz="4" w:space="0"/>
              <w:bottom w:val="single" w:color="auto" w:sz="4" w:space="0"/>
              <w:right w:val="single" w:color="auto" w:sz="4" w:space="0"/>
            </w:tcBorders>
            <w:vAlign w:val="center"/>
          </w:tcPr>
          <w:p>
            <w:pPr>
              <w:pStyle w:val="20"/>
              <w:rPr>
                <w:kern w:val="0"/>
              </w:rPr>
            </w:pPr>
            <w:r>
              <w:rPr>
                <w:rFonts w:hint="eastAsia"/>
                <w:kern w:val="0"/>
              </w:rPr>
              <w:t>年  月  日</w:t>
            </w:r>
          </w:p>
        </w:tc>
      </w:tr>
      <w:tr>
        <w:tblPrEx>
          <w:tblCellMar>
            <w:top w:w="0" w:type="dxa"/>
            <w:left w:w="108" w:type="dxa"/>
            <w:bottom w:w="0" w:type="dxa"/>
            <w:right w:w="108" w:type="dxa"/>
          </w:tblCellMar>
        </w:tblPrEx>
        <w:trPr>
          <w:trHeight w:val="1856" w:hRule="atLeast"/>
        </w:trPr>
        <w:tc>
          <w:tcPr>
            <w:tcW w:w="954" w:type="dxa"/>
            <w:tcBorders>
              <w:top w:val="nil"/>
              <w:left w:val="single" w:color="auto" w:sz="4" w:space="0"/>
              <w:bottom w:val="single" w:color="auto" w:sz="4" w:space="0"/>
              <w:right w:val="single" w:color="auto" w:sz="4" w:space="0"/>
            </w:tcBorders>
            <w:vAlign w:val="center"/>
          </w:tcPr>
          <w:p>
            <w:pPr>
              <w:pStyle w:val="20"/>
              <w:rPr>
                <w:kern w:val="0"/>
              </w:rPr>
            </w:pPr>
            <w:r>
              <w:rPr>
                <w:rFonts w:hint="eastAsia"/>
                <w:kern w:val="0"/>
              </w:rPr>
              <w:t>关丽华</w:t>
            </w:r>
          </w:p>
        </w:tc>
        <w:tc>
          <w:tcPr>
            <w:tcW w:w="1447" w:type="dxa"/>
            <w:tcBorders>
              <w:top w:val="nil"/>
              <w:left w:val="nil"/>
              <w:bottom w:val="single" w:color="auto" w:sz="4" w:space="0"/>
              <w:right w:val="single" w:color="auto" w:sz="4" w:space="0"/>
            </w:tcBorders>
            <w:vAlign w:val="center"/>
          </w:tcPr>
          <w:p>
            <w:pPr>
              <w:pStyle w:val="20"/>
              <w:rPr>
                <w:rFonts w:ascii="宋体"/>
                <w:kern w:val="0"/>
              </w:rPr>
            </w:pPr>
            <w:r>
              <w:rPr>
                <w:rFonts w:ascii="宋体" w:hAnsi="宋体"/>
                <w:kern w:val="0"/>
              </w:rPr>
              <w:t>3320100106</w:t>
            </w:r>
          </w:p>
        </w:tc>
        <w:tc>
          <w:tcPr>
            <w:tcW w:w="4237" w:type="dxa"/>
            <w:tcBorders>
              <w:top w:val="single" w:color="auto" w:sz="4" w:space="0"/>
              <w:left w:val="nil"/>
              <w:bottom w:val="single" w:color="auto" w:sz="4" w:space="0"/>
              <w:right w:val="single" w:color="auto" w:sz="4" w:space="0"/>
            </w:tcBorders>
            <w:vAlign w:val="center"/>
          </w:tcPr>
          <w:p>
            <w:pPr>
              <w:pStyle w:val="20"/>
              <w:rPr>
                <w:rFonts w:ascii="宋体"/>
                <w:kern w:val="0"/>
              </w:rPr>
            </w:pPr>
          </w:p>
        </w:tc>
        <w:tc>
          <w:tcPr>
            <w:tcW w:w="2568" w:type="dxa"/>
            <w:tcBorders>
              <w:top w:val="nil"/>
              <w:left w:val="nil"/>
              <w:bottom w:val="single" w:color="auto" w:sz="4" w:space="0"/>
              <w:right w:val="single" w:color="auto" w:sz="4" w:space="0"/>
            </w:tcBorders>
            <w:vAlign w:val="center"/>
          </w:tcPr>
          <w:p>
            <w:pPr>
              <w:pStyle w:val="20"/>
              <w:rPr>
                <w:kern w:val="0"/>
              </w:rPr>
            </w:pPr>
            <w:r>
              <w:rPr>
                <w:rFonts w:hint="eastAsia"/>
                <w:kern w:val="0"/>
              </w:rPr>
              <w:t>年  月  日</w:t>
            </w:r>
          </w:p>
        </w:tc>
      </w:tr>
    </w:tbl>
    <w:p>
      <w:pPr>
        <w:adjustRightInd w:val="0"/>
        <w:snapToGrid w:val="0"/>
        <w:spacing w:line="440" w:lineRule="exact"/>
        <w:rPr>
          <w:spacing w:val="10"/>
          <w:sz w:val="24"/>
          <w:szCs w:val="24"/>
        </w:rPr>
      </w:pPr>
    </w:p>
    <w:p>
      <w:pPr>
        <w:adjustRightInd w:val="0"/>
        <w:snapToGrid w:val="0"/>
        <w:spacing w:line="440" w:lineRule="exact"/>
        <w:rPr>
          <w:spacing w:val="10"/>
          <w:sz w:val="24"/>
          <w:szCs w:val="24"/>
        </w:rPr>
      </w:pPr>
    </w:p>
    <w:p>
      <w:pPr>
        <w:spacing w:line="440" w:lineRule="exact"/>
        <w:ind w:firstLine="5520" w:firstLineChars="2300"/>
        <w:rPr>
          <w:sz w:val="24"/>
          <w:szCs w:val="24"/>
        </w:rPr>
      </w:pPr>
      <w:r>
        <w:rPr>
          <w:rFonts w:hint="eastAsia"/>
          <w:sz w:val="24"/>
          <w:szCs w:val="24"/>
        </w:rPr>
        <w:t>二O二O年七月二十二日</w:t>
      </w:r>
    </w:p>
    <w:p>
      <w:pPr>
        <w:pStyle w:val="2"/>
        <w:numPr>
          <w:ilvl w:val="0"/>
          <w:numId w:val="0"/>
        </w:numPr>
        <w:spacing w:line="360" w:lineRule="auto"/>
        <w:ind w:right="-11"/>
        <w:jc w:val="center"/>
        <w:rPr>
          <w:rFonts w:ascii="黑体" w:eastAsia="黑体"/>
          <w:bCs/>
          <w:spacing w:val="20"/>
          <w:sz w:val="36"/>
          <w:szCs w:val="36"/>
        </w:rPr>
      </w:pPr>
      <w:bookmarkStart w:id="3" w:name="_Toc508132489"/>
      <w:bookmarkStart w:id="4" w:name="_Toc5810"/>
      <w:r>
        <w:rPr>
          <w:rFonts w:hint="eastAsia" w:ascii="黑体" w:eastAsia="黑体"/>
          <w:bCs/>
          <w:spacing w:val="20"/>
          <w:sz w:val="36"/>
          <w:szCs w:val="36"/>
        </w:rPr>
        <w:t>估价的假设和限制条件</w:t>
      </w:r>
      <w:bookmarkEnd w:id="3"/>
      <w:bookmarkEnd w:id="4"/>
    </w:p>
    <w:p>
      <w:pPr>
        <w:tabs>
          <w:tab w:val="left" w:pos="-420"/>
        </w:tabs>
        <w:spacing w:line="440" w:lineRule="exact"/>
        <w:ind w:firstLine="522" w:firstLineChars="201"/>
        <w:rPr>
          <w:rFonts w:ascii="宋体"/>
          <w:spacing w:val="10"/>
          <w:sz w:val="24"/>
        </w:rPr>
      </w:pPr>
      <w:r>
        <w:rPr>
          <w:rFonts w:hint="eastAsia" w:ascii="宋体" w:hAnsi="宋体"/>
          <w:spacing w:val="10"/>
          <w:sz w:val="24"/>
        </w:rPr>
        <w:t>一、本次估价的假设条件</w:t>
      </w:r>
    </w:p>
    <w:p>
      <w:pPr>
        <w:tabs>
          <w:tab w:val="left" w:pos="-420"/>
        </w:tabs>
        <w:spacing w:line="440" w:lineRule="exact"/>
        <w:ind w:firstLine="522" w:firstLineChars="201"/>
        <w:rPr>
          <w:rFonts w:ascii="宋体"/>
          <w:spacing w:val="10"/>
          <w:sz w:val="24"/>
        </w:rPr>
      </w:pPr>
      <w:r>
        <w:rPr>
          <w:rFonts w:hint="eastAsia" w:ascii="宋体" w:hAnsi="宋体"/>
          <w:spacing w:val="10"/>
          <w:sz w:val="24"/>
        </w:rPr>
        <w:t>（一）一般假设</w:t>
      </w:r>
    </w:p>
    <w:p>
      <w:pPr>
        <w:tabs>
          <w:tab w:val="left" w:pos="-420"/>
        </w:tabs>
        <w:spacing w:line="440" w:lineRule="exact"/>
        <w:ind w:firstLine="522" w:firstLineChars="201"/>
        <w:rPr>
          <w:rFonts w:ascii="宋体"/>
          <w:spacing w:val="10"/>
          <w:sz w:val="24"/>
        </w:rPr>
      </w:pPr>
      <w:r>
        <w:rPr>
          <w:rFonts w:ascii="宋体" w:hAnsi="宋体"/>
          <w:spacing w:val="10"/>
          <w:sz w:val="24"/>
        </w:rPr>
        <w:t>1</w:t>
      </w:r>
      <w:r>
        <w:rPr>
          <w:rFonts w:hint="eastAsia" w:ascii="宋体" w:hAnsi="宋体"/>
          <w:spacing w:val="10"/>
          <w:sz w:val="24"/>
        </w:rPr>
        <w:t>、</w:t>
      </w:r>
      <w:r>
        <w:rPr>
          <w:rFonts w:hint="eastAsia" w:ascii="宋体" w:hAnsi="宋体"/>
          <w:color w:val="000000"/>
          <w:sz w:val="24"/>
        </w:rPr>
        <w:t>估价委托人提供了估价对象的《房屋所有权证》、</w:t>
      </w:r>
      <w:r>
        <w:rPr>
          <w:rFonts w:ascii="宋体" w:hAnsi="宋体"/>
          <w:color w:val="000000"/>
          <w:sz w:val="24"/>
        </w:rPr>
        <w:t>《</w:t>
      </w:r>
      <w:r>
        <w:rPr>
          <w:rFonts w:hint="eastAsia" w:ascii="宋体" w:hAnsi="宋体"/>
          <w:color w:val="000000"/>
          <w:sz w:val="24"/>
        </w:rPr>
        <w:t>国有土地使用证</w:t>
      </w:r>
      <w:r>
        <w:rPr>
          <w:rFonts w:ascii="宋体" w:hAnsi="宋体"/>
          <w:color w:val="000000"/>
          <w:sz w:val="24"/>
        </w:rPr>
        <w:t>》</w:t>
      </w:r>
      <w:r>
        <w:rPr>
          <w:rFonts w:hint="eastAsia" w:ascii="宋体" w:hAnsi="宋体"/>
          <w:color w:val="000000"/>
          <w:sz w:val="24"/>
        </w:rPr>
        <w:t>等复印件，</w:t>
      </w:r>
      <w:r>
        <w:rPr>
          <w:rFonts w:hint="eastAsia" w:ascii="宋体" w:hAnsi="宋体"/>
          <w:sz w:val="24"/>
        </w:rPr>
        <w:t>我们未向政府有关部门进行核实，但已尽了关注义务，在无</w:t>
      </w:r>
      <w:r>
        <w:rPr>
          <w:rFonts w:hint="eastAsia" w:ascii="宋体" w:hAnsi="宋体"/>
          <w:color w:val="000000"/>
          <w:sz w:val="24"/>
        </w:rPr>
        <w:t>理由怀疑其合法性、真实性、准确性和完整性的情况下，假定估价委托人提供的资料合法、真实、准确、完整。</w:t>
      </w:r>
    </w:p>
    <w:p>
      <w:pPr>
        <w:tabs>
          <w:tab w:val="left" w:pos="-420"/>
        </w:tabs>
        <w:spacing w:line="440" w:lineRule="exact"/>
        <w:ind w:firstLine="522" w:firstLineChars="201"/>
        <w:rPr>
          <w:rFonts w:ascii="宋体"/>
          <w:spacing w:val="10"/>
          <w:sz w:val="24"/>
        </w:rPr>
      </w:pPr>
      <w:r>
        <w:rPr>
          <w:rFonts w:ascii="宋体" w:hAnsi="宋体"/>
          <w:spacing w:val="10"/>
          <w:sz w:val="24"/>
        </w:rPr>
        <w:t>2</w:t>
      </w:r>
      <w:r>
        <w:rPr>
          <w:rFonts w:hint="eastAsia" w:ascii="宋体" w:hAnsi="宋体"/>
          <w:spacing w:val="10"/>
          <w:sz w:val="24"/>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420"/>
        </w:tabs>
        <w:spacing w:line="440" w:lineRule="exact"/>
        <w:ind w:firstLine="522" w:firstLineChars="201"/>
        <w:rPr>
          <w:rFonts w:ascii="宋体"/>
          <w:spacing w:val="10"/>
          <w:sz w:val="24"/>
        </w:rPr>
      </w:pPr>
      <w:r>
        <w:rPr>
          <w:rFonts w:ascii="宋体" w:hAnsi="宋体"/>
          <w:spacing w:val="10"/>
          <w:sz w:val="24"/>
        </w:rPr>
        <w:t>3</w:t>
      </w:r>
      <w:r>
        <w:rPr>
          <w:rFonts w:hint="eastAsia" w:ascii="宋体" w:hAnsi="宋体"/>
          <w:spacing w:val="10"/>
          <w:sz w:val="24"/>
        </w:rPr>
        <w:t>、注册房地产估价师未对房屋建筑面积进行专业测量，经现场查勘观察，估价对象房屋建筑面积与</w:t>
      </w:r>
      <w:r>
        <w:rPr>
          <w:rFonts w:hint="eastAsia" w:ascii="宋体" w:hAnsi="宋体"/>
          <w:color w:val="000000"/>
          <w:sz w:val="24"/>
        </w:rPr>
        <w:t>《房屋所有权证》上</w:t>
      </w:r>
      <w:r>
        <w:rPr>
          <w:rFonts w:hint="eastAsia" w:ascii="宋体" w:hAnsi="宋体"/>
          <w:spacing w:val="10"/>
          <w:sz w:val="24"/>
        </w:rPr>
        <w:t>记载建筑面积大体相当。</w:t>
      </w:r>
    </w:p>
    <w:p>
      <w:pPr>
        <w:tabs>
          <w:tab w:val="left" w:pos="720"/>
        </w:tabs>
        <w:spacing w:line="440" w:lineRule="exact"/>
        <w:ind w:firstLine="520" w:firstLineChars="200"/>
        <w:rPr>
          <w:rFonts w:ascii="宋体"/>
          <w:color w:val="000000"/>
          <w:sz w:val="24"/>
        </w:rPr>
      </w:pPr>
      <w:r>
        <w:rPr>
          <w:rFonts w:ascii="宋体" w:hAnsi="宋体"/>
          <w:spacing w:val="10"/>
          <w:sz w:val="24"/>
        </w:rPr>
        <w:t>4</w:t>
      </w:r>
      <w:r>
        <w:rPr>
          <w:rFonts w:hint="eastAsia" w:ascii="宋体" w:hAnsi="宋体"/>
          <w:spacing w:val="10"/>
          <w:sz w:val="24"/>
        </w:rPr>
        <w:t>、</w:t>
      </w:r>
      <w:r>
        <w:rPr>
          <w:rFonts w:hint="eastAsia" w:ascii="宋体" w:hAnsi="宋体"/>
          <w:color w:val="000000"/>
          <w:sz w:val="24"/>
        </w:rPr>
        <w:t>估价对象在价值时点的房地产市场为公开、平等、自愿的交易市场，即能满足以下条件：</w:t>
      </w:r>
    </w:p>
    <w:p>
      <w:pPr>
        <w:tabs>
          <w:tab w:val="left" w:pos="720"/>
        </w:tabs>
        <w:spacing w:line="44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交易双方自愿地进行交易；</w:t>
      </w:r>
    </w:p>
    <w:p>
      <w:pPr>
        <w:tabs>
          <w:tab w:val="left" w:pos="720"/>
        </w:tabs>
        <w:spacing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交易双方处于利己动机进行交易；</w:t>
      </w:r>
    </w:p>
    <w:p>
      <w:pPr>
        <w:tabs>
          <w:tab w:val="left" w:pos="720"/>
        </w:tabs>
        <w:spacing w:line="44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交易双方精明、谨慎行事，并了解交易对象、知晓市场行情；</w:t>
      </w:r>
    </w:p>
    <w:p>
      <w:pPr>
        <w:tabs>
          <w:tab w:val="left" w:pos="720"/>
        </w:tabs>
        <w:spacing w:line="44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交易双方有较充裕的时间进行交易；</w:t>
      </w:r>
    </w:p>
    <w:p>
      <w:pPr>
        <w:tabs>
          <w:tab w:val="left" w:pos="-420"/>
        </w:tabs>
        <w:spacing w:line="440" w:lineRule="exact"/>
        <w:ind w:firstLine="482" w:firstLineChars="201"/>
        <w:rPr>
          <w:rFonts w:ascii="宋体"/>
          <w:spacing w:val="10"/>
          <w:sz w:val="24"/>
        </w:rPr>
      </w:pPr>
      <w:r>
        <w:rPr>
          <w:rFonts w:ascii="宋体" w:hAnsi="宋体"/>
          <w:color w:val="000000"/>
          <w:sz w:val="24"/>
        </w:rPr>
        <w:t>(5)</w:t>
      </w:r>
      <w:r>
        <w:rPr>
          <w:rFonts w:hint="eastAsia" w:ascii="宋体" w:hAnsi="宋体"/>
          <w:color w:val="000000"/>
          <w:sz w:val="24"/>
        </w:rPr>
        <w:t>不存在买者因特殊兴趣而给予附加出价。</w:t>
      </w:r>
    </w:p>
    <w:p>
      <w:pPr>
        <w:tabs>
          <w:tab w:val="left" w:pos="720"/>
        </w:tabs>
        <w:spacing w:line="440" w:lineRule="exact"/>
        <w:ind w:firstLine="520" w:firstLineChars="200"/>
        <w:rPr>
          <w:rFonts w:ascii="宋体"/>
          <w:spacing w:val="10"/>
          <w:sz w:val="24"/>
        </w:rPr>
      </w:pPr>
      <w:r>
        <w:rPr>
          <w:rFonts w:ascii="宋体" w:hAnsi="宋体"/>
          <w:spacing w:val="10"/>
          <w:sz w:val="24"/>
        </w:rPr>
        <w:t>5</w:t>
      </w:r>
      <w:r>
        <w:rPr>
          <w:rFonts w:hint="eastAsia" w:ascii="宋体" w:hAnsi="宋体"/>
          <w:spacing w:val="10"/>
          <w:sz w:val="24"/>
        </w:rPr>
        <w:t>、估价对象应享有公共部位的通行权及水电等共用设施的使用权。</w:t>
      </w:r>
    </w:p>
    <w:p>
      <w:pPr>
        <w:tabs>
          <w:tab w:val="left" w:pos="-420"/>
        </w:tabs>
        <w:spacing w:line="440" w:lineRule="exact"/>
        <w:ind w:firstLine="522" w:firstLineChars="201"/>
        <w:rPr>
          <w:rFonts w:ascii="宋体"/>
          <w:spacing w:val="10"/>
          <w:sz w:val="24"/>
        </w:rPr>
      </w:pPr>
      <w:r>
        <w:rPr>
          <w:rFonts w:hint="eastAsia" w:ascii="宋体" w:hAnsi="宋体"/>
          <w:spacing w:val="10"/>
          <w:sz w:val="24"/>
        </w:rPr>
        <w:t>（二）背离事实假设</w:t>
      </w:r>
    </w:p>
    <w:p>
      <w:pPr>
        <w:tabs>
          <w:tab w:val="left" w:pos="-420"/>
        </w:tabs>
        <w:spacing w:line="440" w:lineRule="exact"/>
        <w:ind w:firstLine="522" w:firstLineChars="201"/>
        <w:rPr>
          <w:rFonts w:ascii="宋体" w:hAnsi="宋体"/>
          <w:color w:val="0000FF"/>
          <w:spacing w:val="10"/>
          <w:sz w:val="24"/>
        </w:rPr>
      </w:pPr>
      <w:r>
        <w:rPr>
          <w:rFonts w:hint="eastAsia" w:ascii="宋体" w:hAnsi="宋体"/>
          <w:spacing w:val="10"/>
          <w:sz w:val="24"/>
        </w:rPr>
        <w:t>1、根据估价委托人提供的资料，</w:t>
      </w:r>
      <w:r>
        <w:rPr>
          <w:rFonts w:hint="eastAsia"/>
          <w:color w:val="000000"/>
          <w:kern w:val="0"/>
          <w:sz w:val="24"/>
        </w:rPr>
        <w:t>估价对象已被越城区人民法院查封，已抵押给华夏银行股份有限公司绍兴嵊州支行。根据估价目的</w:t>
      </w:r>
      <w:r>
        <w:rPr>
          <w:rFonts w:hint="eastAsia"/>
          <w:sz w:val="24"/>
          <w:szCs w:val="24"/>
        </w:rPr>
        <w:t>，</w:t>
      </w:r>
      <w:r>
        <w:rPr>
          <w:rFonts w:hint="eastAsia" w:ascii="宋体" w:hAnsi="宋体" w:cs="宋体"/>
          <w:kern w:val="0"/>
          <w:sz w:val="24"/>
        </w:rPr>
        <w:t>本次估价不考虑查封和抵押因素对</w:t>
      </w:r>
      <w:r>
        <w:rPr>
          <w:rFonts w:hint="eastAsia"/>
          <w:sz w:val="24"/>
          <w:szCs w:val="24"/>
        </w:rPr>
        <w:t>评估价值</w:t>
      </w:r>
      <w:r>
        <w:rPr>
          <w:rFonts w:hint="eastAsia" w:ascii="宋体" w:hAnsi="宋体" w:cs="宋体"/>
          <w:kern w:val="0"/>
          <w:sz w:val="24"/>
        </w:rPr>
        <w:t>的影响。</w:t>
      </w:r>
    </w:p>
    <w:p>
      <w:pPr>
        <w:tabs>
          <w:tab w:val="left" w:pos="-420"/>
        </w:tabs>
        <w:spacing w:line="440" w:lineRule="exact"/>
        <w:ind w:firstLine="522" w:firstLineChars="201"/>
        <w:rPr>
          <w:rFonts w:ascii="宋体"/>
          <w:spacing w:val="10"/>
          <w:sz w:val="24"/>
        </w:rPr>
      </w:pPr>
      <w:r>
        <w:rPr>
          <w:rFonts w:hint="eastAsia" w:ascii="宋体" w:hAnsi="宋体"/>
          <w:spacing w:val="10"/>
          <w:sz w:val="24"/>
        </w:rPr>
        <w:t>二、估价报告使用限制条件</w:t>
      </w:r>
    </w:p>
    <w:p>
      <w:pPr>
        <w:tabs>
          <w:tab w:val="left" w:pos="-420"/>
        </w:tabs>
        <w:spacing w:line="440" w:lineRule="exact"/>
        <w:ind w:firstLine="522" w:firstLineChars="201"/>
        <w:rPr>
          <w:rFonts w:ascii="宋体"/>
          <w:spacing w:val="10"/>
          <w:sz w:val="24"/>
        </w:rPr>
      </w:pPr>
      <w:r>
        <w:rPr>
          <w:rFonts w:ascii="宋体" w:hAnsi="宋体"/>
          <w:spacing w:val="10"/>
          <w:sz w:val="24"/>
        </w:rPr>
        <w:t>1</w:t>
      </w:r>
      <w:r>
        <w:rPr>
          <w:rFonts w:hint="eastAsia" w:ascii="宋体" w:hAnsi="宋体"/>
          <w:spacing w:val="10"/>
          <w:sz w:val="24"/>
        </w:rPr>
        <w:t>、本估价报告使用期限自估价报告出具之日起为一年。若报告使用期限内，房地产市场或估价对象状况发生重大变化，估价结果需做调整或委托估价机构重新估价。</w:t>
      </w:r>
    </w:p>
    <w:p>
      <w:pPr>
        <w:tabs>
          <w:tab w:val="left" w:pos="-420"/>
        </w:tabs>
        <w:spacing w:line="440" w:lineRule="exact"/>
        <w:ind w:firstLine="522" w:firstLineChars="201"/>
        <w:rPr>
          <w:rFonts w:ascii="宋体"/>
          <w:spacing w:val="10"/>
          <w:sz w:val="24"/>
        </w:rPr>
      </w:pPr>
      <w:r>
        <w:rPr>
          <w:rFonts w:ascii="宋体" w:hAnsi="宋体"/>
          <w:spacing w:val="10"/>
          <w:sz w:val="24"/>
        </w:rPr>
        <w:t>2</w:t>
      </w:r>
      <w:r>
        <w:rPr>
          <w:rFonts w:hint="eastAsia" w:ascii="宋体" w:hAnsi="宋体"/>
          <w:spacing w:val="10"/>
          <w:sz w:val="24"/>
        </w:rPr>
        <w:t>、估价结果为房地产市场价值，未考虑快速变现等处分方式带来的影响。</w:t>
      </w:r>
    </w:p>
    <w:p>
      <w:pPr>
        <w:tabs>
          <w:tab w:val="left" w:pos="-420"/>
        </w:tabs>
        <w:spacing w:line="440" w:lineRule="exact"/>
        <w:ind w:firstLine="522" w:firstLineChars="201"/>
        <w:rPr>
          <w:rFonts w:ascii="宋体" w:hAnsi="宋体"/>
          <w:color w:val="FF0000"/>
          <w:spacing w:val="10"/>
          <w:sz w:val="24"/>
          <w:szCs w:val="22"/>
        </w:rPr>
      </w:pPr>
      <w:r>
        <w:rPr>
          <w:rFonts w:ascii="宋体" w:hAnsi="宋体"/>
          <w:spacing w:val="10"/>
          <w:sz w:val="24"/>
        </w:rPr>
        <w:t>3</w:t>
      </w:r>
      <w:r>
        <w:rPr>
          <w:rFonts w:hint="eastAsia" w:ascii="宋体" w:hAnsi="宋体"/>
          <w:spacing w:val="10"/>
          <w:sz w:val="24"/>
        </w:rPr>
        <w:t>、本估价报告估价结果仅</w:t>
      </w:r>
      <w:r>
        <w:rPr>
          <w:rFonts w:hint="eastAsia" w:ascii="宋体" w:hAnsi="宋体" w:cs="宋体"/>
          <w:sz w:val="24"/>
        </w:rPr>
        <w:t>为司法处置提供参考依据</w:t>
      </w:r>
      <w:r>
        <w:rPr>
          <w:rFonts w:hint="eastAsia"/>
          <w:sz w:val="24"/>
          <w:szCs w:val="24"/>
        </w:rPr>
        <w:t>，按照既定目的提供给估价委托人使用，不得用于其他用途。</w:t>
      </w:r>
    </w:p>
    <w:p>
      <w:pPr>
        <w:tabs>
          <w:tab w:val="left" w:pos="-420"/>
        </w:tabs>
        <w:spacing w:line="440" w:lineRule="exact"/>
        <w:ind w:firstLine="522" w:firstLineChars="201"/>
        <w:rPr>
          <w:rFonts w:ascii="宋体"/>
          <w:spacing w:val="10"/>
          <w:sz w:val="24"/>
        </w:rPr>
      </w:pPr>
      <w:r>
        <w:rPr>
          <w:rFonts w:hint="eastAsia" w:ascii="宋体" w:hAnsi="宋体"/>
          <w:spacing w:val="10"/>
          <w:sz w:val="24"/>
        </w:rPr>
        <w:t>4、未经估价机构书面同意，本估价报告的全部或部分及任何参考资料均不允许在任何公开发表的文件、通告或声明中引用，亦不得以其他任何方式公开发表。</w:t>
      </w:r>
    </w:p>
    <w:p>
      <w:pPr>
        <w:tabs>
          <w:tab w:val="left" w:pos="-420"/>
        </w:tabs>
        <w:spacing w:line="440" w:lineRule="exact"/>
        <w:ind w:firstLine="522" w:firstLineChars="201"/>
        <w:rPr>
          <w:rFonts w:ascii="宋体"/>
          <w:spacing w:val="10"/>
          <w:sz w:val="24"/>
        </w:rPr>
      </w:pPr>
      <w:r>
        <w:rPr>
          <w:rFonts w:hint="eastAsia" w:ascii="宋体" w:hAnsi="宋体"/>
          <w:spacing w:val="10"/>
          <w:sz w:val="24"/>
        </w:rPr>
        <w:t>5、本估价报告必须经估价机构加盖公章、注册房地产估价师签字后方可使用，估价机构仅对本估价报告的原件承担责任，对任何形式的复制件概不认可且不承担责任。</w:t>
      </w:r>
    </w:p>
    <w:p>
      <w:pPr>
        <w:tabs>
          <w:tab w:val="left" w:pos="-420"/>
        </w:tabs>
        <w:spacing w:line="440" w:lineRule="exact"/>
        <w:ind w:firstLine="522" w:firstLineChars="201"/>
        <w:rPr>
          <w:rFonts w:ascii="宋体"/>
          <w:spacing w:val="10"/>
          <w:sz w:val="24"/>
        </w:rPr>
      </w:pPr>
      <w:r>
        <w:rPr>
          <w:rFonts w:hint="eastAsia" w:ascii="宋体" w:hAnsi="宋体"/>
          <w:spacing w:val="10"/>
          <w:sz w:val="24"/>
        </w:rPr>
        <w:t>6、本次估价未考虑其他权利限制的他项事项，未考虑估价对象房地产处置时应承担的费用等可能影响其价值的任何限制，也未考虑将来国家宏观政策发生变化、市场供应关系变化、市场结构转变、遇有自然力和其他不可抗力等因素对房地产价值的影响，也没有考虑将来可能承担违约责任的事宜，以及特殊交易方式下的特殊交易价格等对评估价值的影响。当上述条件发生变化时，评估结果一般亦会发生变化。</w:t>
      </w:r>
    </w:p>
    <w:p>
      <w:pPr>
        <w:tabs>
          <w:tab w:val="left" w:pos="-420"/>
        </w:tabs>
        <w:spacing w:line="440" w:lineRule="exact"/>
        <w:ind w:firstLine="522" w:firstLineChars="201"/>
        <w:rPr>
          <w:rFonts w:ascii="宋体"/>
          <w:spacing w:val="10"/>
          <w:sz w:val="24"/>
        </w:rPr>
      </w:pPr>
      <w:r>
        <w:rPr>
          <w:rFonts w:hint="eastAsia" w:ascii="宋体" w:hAnsi="宋体"/>
          <w:spacing w:val="10"/>
          <w:sz w:val="24"/>
        </w:rPr>
        <w:t>7、相关当事人或其他利害关系人对评估有异议的，可以在收到评估报告后五日内以书面形式向本次评估的估价委托人绍兴市越城区人民法院提出。</w:t>
      </w:r>
    </w:p>
    <w:p>
      <w:pPr>
        <w:tabs>
          <w:tab w:val="left" w:pos="-420"/>
        </w:tabs>
        <w:spacing w:line="440" w:lineRule="exact"/>
        <w:ind w:firstLine="522" w:firstLineChars="201"/>
        <w:rPr>
          <w:rFonts w:ascii="宋体"/>
          <w:spacing w:val="10"/>
          <w:sz w:val="24"/>
        </w:rPr>
      </w:pPr>
      <w:r>
        <w:rPr>
          <w:rFonts w:hint="eastAsia" w:ascii="宋体" w:hAnsi="宋体"/>
          <w:spacing w:val="10"/>
          <w:sz w:val="24"/>
        </w:rPr>
        <w:t>8、本报告一式七份，六份提交估价委托人，一份留存评估事务所。</w:t>
      </w:r>
    </w:p>
    <w:p>
      <w:pPr>
        <w:tabs>
          <w:tab w:val="left" w:pos="-420"/>
        </w:tabs>
        <w:spacing w:line="44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ind w:firstLine="522" w:firstLineChars="201"/>
        <w:rPr>
          <w:rFonts w:ascii="宋体"/>
          <w:spacing w:val="10"/>
          <w:sz w:val="24"/>
        </w:rPr>
      </w:pPr>
    </w:p>
    <w:p>
      <w:pPr>
        <w:tabs>
          <w:tab w:val="left" w:pos="-420"/>
        </w:tabs>
        <w:spacing w:line="400" w:lineRule="exact"/>
        <w:rPr>
          <w:rFonts w:ascii="宋体"/>
          <w:spacing w:val="10"/>
          <w:sz w:val="24"/>
        </w:rPr>
      </w:pPr>
    </w:p>
    <w:p>
      <w:pPr>
        <w:tabs>
          <w:tab w:val="left" w:pos="-420"/>
        </w:tabs>
        <w:spacing w:line="400" w:lineRule="exact"/>
        <w:rPr>
          <w:rFonts w:ascii="宋体"/>
          <w:spacing w:val="10"/>
          <w:sz w:val="24"/>
        </w:rPr>
      </w:pPr>
    </w:p>
    <w:p>
      <w:pPr>
        <w:tabs>
          <w:tab w:val="left" w:pos="-420"/>
        </w:tabs>
        <w:spacing w:line="400" w:lineRule="exact"/>
        <w:rPr>
          <w:rFonts w:ascii="宋体"/>
          <w:spacing w:val="10"/>
          <w:sz w:val="24"/>
        </w:rPr>
      </w:pPr>
    </w:p>
    <w:p>
      <w:pPr>
        <w:tabs>
          <w:tab w:val="left" w:pos="-420"/>
        </w:tabs>
        <w:spacing w:line="400" w:lineRule="exact"/>
        <w:rPr>
          <w:rFonts w:ascii="宋体"/>
          <w:spacing w:val="10"/>
          <w:sz w:val="24"/>
        </w:rPr>
      </w:pPr>
    </w:p>
    <w:p>
      <w:pPr>
        <w:tabs>
          <w:tab w:val="left" w:pos="-420"/>
        </w:tabs>
        <w:spacing w:line="400" w:lineRule="exact"/>
        <w:rPr>
          <w:rFonts w:ascii="宋体"/>
          <w:spacing w:val="10"/>
          <w:sz w:val="24"/>
        </w:rPr>
      </w:pPr>
    </w:p>
    <w:p>
      <w:pPr>
        <w:tabs>
          <w:tab w:val="left" w:pos="-420"/>
        </w:tabs>
        <w:spacing w:line="400" w:lineRule="exact"/>
        <w:rPr>
          <w:rFonts w:ascii="宋体"/>
          <w:spacing w:val="10"/>
          <w:sz w:val="24"/>
        </w:rPr>
      </w:pPr>
    </w:p>
    <w:p>
      <w:pPr>
        <w:tabs>
          <w:tab w:val="left" w:pos="-420"/>
        </w:tabs>
        <w:spacing w:line="40" w:lineRule="exact"/>
        <w:rPr>
          <w:rFonts w:ascii="宋体"/>
          <w:spacing w:val="10"/>
          <w:sz w:val="24"/>
        </w:rPr>
      </w:pPr>
      <w:r>
        <w:rPr>
          <w:rFonts w:ascii="宋体"/>
          <w:spacing w:val="10"/>
          <w:sz w:val="24"/>
        </w:rPr>
        <w:br w:type="page"/>
      </w:r>
    </w:p>
    <w:p>
      <w:pPr>
        <w:pStyle w:val="2"/>
        <w:numPr>
          <w:ilvl w:val="0"/>
          <w:numId w:val="0"/>
        </w:numPr>
        <w:spacing w:line="480" w:lineRule="auto"/>
        <w:ind w:right="-11"/>
        <w:jc w:val="center"/>
        <w:rPr>
          <w:rFonts w:ascii="黑体" w:eastAsia="黑体"/>
          <w:bCs/>
          <w:spacing w:val="20"/>
          <w:sz w:val="36"/>
          <w:szCs w:val="36"/>
        </w:rPr>
      </w:pPr>
      <w:bookmarkStart w:id="5" w:name="_Toc508132490"/>
      <w:bookmarkStart w:id="6" w:name="_Toc32507"/>
      <w:r>
        <w:rPr>
          <w:rFonts w:hint="eastAsia" w:ascii="黑体" w:eastAsia="黑体"/>
          <w:bCs/>
          <w:spacing w:val="20"/>
          <w:sz w:val="36"/>
          <w:szCs w:val="36"/>
        </w:rPr>
        <w:t>房地产估价结果报告</w:t>
      </w:r>
      <w:bookmarkEnd w:id="5"/>
      <w:bookmarkEnd w:id="6"/>
    </w:p>
    <w:p>
      <w:pPr>
        <w:pStyle w:val="2"/>
        <w:numPr>
          <w:ilvl w:val="0"/>
          <w:numId w:val="0"/>
        </w:numPr>
        <w:spacing w:line="520" w:lineRule="exact"/>
        <w:ind w:left="548" w:leftChars="261" w:right="-11"/>
        <w:jc w:val="both"/>
        <w:rPr>
          <w:rFonts w:ascii="Times New Roman" w:eastAsia="宋体"/>
          <w:kern w:val="2"/>
          <w:sz w:val="24"/>
          <w:szCs w:val="24"/>
        </w:rPr>
      </w:pPr>
      <w:bookmarkStart w:id="7" w:name="_Toc508132491"/>
      <w:bookmarkStart w:id="8" w:name="_Toc6949"/>
      <w:r>
        <w:rPr>
          <w:rFonts w:hint="eastAsia" w:ascii="黑体" w:hAnsi="宋体" w:eastAsia="黑体"/>
          <w:bCs/>
          <w:spacing w:val="20"/>
          <w:sz w:val="24"/>
          <w:szCs w:val="24"/>
        </w:rPr>
        <w:t>一、估价委托人</w:t>
      </w:r>
      <w:bookmarkEnd w:id="7"/>
      <w:bookmarkEnd w:id="8"/>
    </w:p>
    <w:p>
      <w:pPr>
        <w:adjustRightInd w:val="0"/>
        <w:snapToGrid w:val="0"/>
        <w:spacing w:line="440" w:lineRule="exact"/>
        <w:ind w:firstLine="480" w:firstLineChars="200"/>
        <w:rPr>
          <w:rFonts w:ascii="宋体"/>
          <w:sz w:val="24"/>
          <w:szCs w:val="24"/>
        </w:rPr>
      </w:pPr>
      <w:r>
        <w:rPr>
          <w:rFonts w:hint="eastAsia" w:ascii="宋体" w:hAnsi="宋体"/>
          <w:sz w:val="24"/>
          <w:szCs w:val="24"/>
        </w:rPr>
        <w:t>名称：绍兴市越城区人民法院</w:t>
      </w:r>
    </w:p>
    <w:p>
      <w:pPr>
        <w:adjustRightInd w:val="0"/>
        <w:snapToGrid w:val="0"/>
        <w:spacing w:line="440" w:lineRule="exact"/>
        <w:ind w:firstLine="480" w:firstLineChars="200"/>
        <w:rPr>
          <w:rFonts w:ascii="宋体"/>
          <w:sz w:val="24"/>
          <w:szCs w:val="24"/>
        </w:rPr>
      </w:pPr>
      <w:r>
        <w:rPr>
          <w:rFonts w:hint="eastAsia" w:ascii="宋体" w:hAnsi="宋体"/>
          <w:sz w:val="24"/>
          <w:szCs w:val="24"/>
        </w:rPr>
        <w:t>评估督办人：李庆良、胡萍</w:t>
      </w:r>
    </w:p>
    <w:p>
      <w:pPr>
        <w:adjustRightInd w:val="0"/>
        <w:snapToGrid w:val="0"/>
        <w:spacing w:line="440" w:lineRule="exact"/>
        <w:ind w:firstLine="480" w:firstLineChars="200"/>
        <w:rPr>
          <w:rFonts w:ascii="宋体"/>
          <w:sz w:val="24"/>
          <w:szCs w:val="24"/>
        </w:rPr>
      </w:pPr>
      <w:r>
        <w:rPr>
          <w:rFonts w:hint="eastAsia" w:ascii="宋体" w:hAnsi="宋体"/>
          <w:sz w:val="24"/>
          <w:szCs w:val="24"/>
        </w:rPr>
        <w:t>联系电话：</w:t>
      </w:r>
      <w:r>
        <w:rPr>
          <w:rFonts w:ascii="宋体" w:hAnsi="宋体"/>
          <w:sz w:val="24"/>
          <w:szCs w:val="24"/>
        </w:rPr>
        <w:t>0575-</w:t>
      </w:r>
      <w:r>
        <w:rPr>
          <w:rFonts w:hint="eastAsia" w:ascii="宋体" w:hAnsi="宋体"/>
          <w:sz w:val="24"/>
          <w:szCs w:val="24"/>
        </w:rPr>
        <w:t>89192632</w:t>
      </w:r>
    </w:p>
    <w:p>
      <w:pPr>
        <w:adjustRightInd w:val="0"/>
        <w:snapToGrid w:val="0"/>
        <w:spacing w:line="440" w:lineRule="exact"/>
        <w:ind w:firstLine="480" w:firstLineChars="200"/>
        <w:rPr>
          <w:rFonts w:ascii="宋体"/>
          <w:sz w:val="24"/>
          <w:szCs w:val="24"/>
        </w:rPr>
      </w:pPr>
      <w:r>
        <w:rPr>
          <w:rFonts w:hint="eastAsia" w:ascii="宋体" w:hAnsi="宋体"/>
          <w:sz w:val="24"/>
          <w:szCs w:val="24"/>
        </w:rPr>
        <w:t>地址：绍兴市越城区延安东路500号</w:t>
      </w:r>
      <w:r>
        <w:rPr>
          <w:rFonts w:ascii="宋体"/>
          <w:sz w:val="24"/>
          <w:szCs w:val="24"/>
        </w:rPr>
        <w:t xml:space="preserve"> </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9" w:name="_Toc508132492"/>
      <w:bookmarkStart w:id="10" w:name="_Toc10436"/>
      <w:r>
        <w:rPr>
          <w:rFonts w:hint="eastAsia" w:ascii="黑体" w:hAnsi="宋体" w:eastAsia="黑体"/>
          <w:bCs/>
          <w:spacing w:val="20"/>
          <w:sz w:val="24"/>
          <w:szCs w:val="24"/>
        </w:rPr>
        <w:t>二、房地产估价机构</w:t>
      </w:r>
      <w:bookmarkEnd w:id="9"/>
      <w:bookmarkEnd w:id="10"/>
    </w:p>
    <w:p>
      <w:pPr>
        <w:adjustRightInd w:val="0"/>
        <w:snapToGrid w:val="0"/>
        <w:spacing w:line="440" w:lineRule="exact"/>
        <w:ind w:firstLine="480" w:firstLineChars="200"/>
        <w:rPr>
          <w:rFonts w:ascii="宋体"/>
          <w:sz w:val="24"/>
          <w:szCs w:val="24"/>
        </w:rPr>
      </w:pPr>
      <w:r>
        <w:rPr>
          <w:rFonts w:hint="eastAsia" w:ascii="宋体" w:hAnsi="宋体"/>
          <w:sz w:val="24"/>
          <w:szCs w:val="24"/>
        </w:rPr>
        <w:t>机构名称：绍兴昌业房地产评估事务所（普通合伙）</w:t>
      </w:r>
    </w:p>
    <w:p>
      <w:pPr>
        <w:adjustRightInd w:val="0"/>
        <w:snapToGrid w:val="0"/>
        <w:spacing w:line="440" w:lineRule="exact"/>
        <w:ind w:firstLine="480" w:firstLineChars="200"/>
        <w:rPr>
          <w:rFonts w:ascii="宋体"/>
          <w:sz w:val="24"/>
          <w:szCs w:val="24"/>
        </w:rPr>
      </w:pPr>
      <w:r>
        <w:rPr>
          <w:rFonts w:hint="eastAsia" w:ascii="宋体" w:hAnsi="宋体"/>
          <w:sz w:val="24"/>
          <w:szCs w:val="24"/>
        </w:rPr>
        <w:t>执行事务合伙人：周常艳</w:t>
      </w:r>
    </w:p>
    <w:p>
      <w:pPr>
        <w:adjustRightInd w:val="0"/>
        <w:snapToGrid w:val="0"/>
        <w:spacing w:line="440" w:lineRule="exact"/>
        <w:ind w:firstLine="480" w:firstLineChars="200"/>
        <w:rPr>
          <w:rFonts w:ascii="宋体"/>
          <w:color w:val="FF0000"/>
          <w:sz w:val="24"/>
          <w:szCs w:val="24"/>
        </w:rPr>
      </w:pPr>
      <w:r>
        <w:rPr>
          <w:rFonts w:hint="eastAsia" w:ascii="宋体" w:hAnsi="宋体"/>
          <w:sz w:val="24"/>
          <w:szCs w:val="24"/>
        </w:rPr>
        <w:t>地址：绍兴市迪荡新城昆仑商务中心</w:t>
      </w:r>
      <w:r>
        <w:rPr>
          <w:rFonts w:ascii="宋体" w:hAnsi="宋体"/>
          <w:sz w:val="24"/>
          <w:szCs w:val="24"/>
        </w:rPr>
        <w:t>2</w:t>
      </w:r>
      <w:r>
        <w:rPr>
          <w:rFonts w:hint="eastAsia" w:ascii="宋体" w:hAnsi="宋体"/>
          <w:sz w:val="24"/>
          <w:szCs w:val="24"/>
        </w:rPr>
        <w:t>幢</w:t>
      </w:r>
      <w:r>
        <w:rPr>
          <w:rFonts w:ascii="宋体" w:hAnsi="宋体"/>
          <w:sz w:val="24"/>
          <w:szCs w:val="24"/>
        </w:rPr>
        <w:t>906</w:t>
      </w:r>
      <w:r>
        <w:rPr>
          <w:rFonts w:hint="eastAsia" w:ascii="宋体" w:hAnsi="宋体"/>
          <w:sz w:val="24"/>
          <w:szCs w:val="24"/>
        </w:rPr>
        <w:t>室</w:t>
      </w:r>
    </w:p>
    <w:p>
      <w:pPr>
        <w:adjustRightInd w:val="0"/>
        <w:snapToGrid w:val="0"/>
        <w:spacing w:line="440" w:lineRule="exact"/>
        <w:ind w:firstLine="480" w:firstLineChars="200"/>
        <w:rPr>
          <w:rFonts w:ascii="宋体"/>
          <w:sz w:val="24"/>
          <w:szCs w:val="24"/>
        </w:rPr>
      </w:pPr>
      <w:r>
        <w:rPr>
          <w:rFonts w:hint="eastAsia" w:ascii="宋体" w:hAnsi="宋体"/>
          <w:sz w:val="24"/>
          <w:szCs w:val="24"/>
        </w:rPr>
        <w:t>联系电话：</w:t>
      </w:r>
      <w:r>
        <w:rPr>
          <w:rFonts w:ascii="宋体" w:hAnsi="宋体"/>
          <w:sz w:val="24"/>
          <w:szCs w:val="24"/>
        </w:rPr>
        <w:t>0575-88606947  88603906</w:t>
      </w:r>
    </w:p>
    <w:p>
      <w:pPr>
        <w:adjustRightInd w:val="0"/>
        <w:snapToGrid w:val="0"/>
        <w:spacing w:line="440" w:lineRule="exact"/>
        <w:ind w:firstLine="480" w:firstLineChars="200"/>
        <w:rPr>
          <w:rFonts w:ascii="宋体"/>
          <w:sz w:val="24"/>
          <w:szCs w:val="24"/>
        </w:rPr>
      </w:pPr>
      <w:r>
        <w:rPr>
          <w:rFonts w:hint="eastAsia" w:ascii="宋体" w:hAnsi="宋体"/>
          <w:sz w:val="24"/>
          <w:szCs w:val="24"/>
        </w:rPr>
        <w:t>房地产估价机构备案证书编号：浙建房估证字</w:t>
      </w:r>
      <w:r>
        <w:rPr>
          <w:rFonts w:ascii="宋体" w:hAnsi="宋体"/>
          <w:sz w:val="24"/>
          <w:szCs w:val="24"/>
        </w:rPr>
        <w:t>[2010]063</w:t>
      </w:r>
      <w:r>
        <w:rPr>
          <w:rFonts w:hint="eastAsia" w:ascii="宋体" w:hAnsi="宋体"/>
          <w:sz w:val="24"/>
          <w:szCs w:val="24"/>
        </w:rPr>
        <w:t>号</w:t>
      </w:r>
    </w:p>
    <w:p>
      <w:pPr>
        <w:adjustRightInd w:val="0"/>
        <w:snapToGrid w:val="0"/>
        <w:spacing w:line="440" w:lineRule="exact"/>
        <w:ind w:firstLine="480" w:firstLineChars="200"/>
        <w:rPr>
          <w:rFonts w:ascii="宋体"/>
          <w:sz w:val="24"/>
          <w:szCs w:val="24"/>
        </w:rPr>
      </w:pPr>
      <w:r>
        <w:rPr>
          <w:rFonts w:hint="eastAsia" w:ascii="宋体" w:hAnsi="宋体"/>
          <w:sz w:val="24"/>
          <w:szCs w:val="24"/>
        </w:rPr>
        <w:t>资质等级：贰级</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11" w:name="_Toc508132493"/>
      <w:bookmarkStart w:id="12" w:name="_Toc30210"/>
      <w:r>
        <w:rPr>
          <w:rFonts w:hint="eastAsia" w:ascii="黑体" w:hAnsi="宋体" w:eastAsia="黑体"/>
          <w:bCs/>
          <w:spacing w:val="20"/>
          <w:sz w:val="24"/>
          <w:szCs w:val="24"/>
        </w:rPr>
        <w:t>三、估价目的</w:t>
      </w:r>
      <w:bookmarkEnd w:id="11"/>
      <w:bookmarkEnd w:id="12"/>
    </w:p>
    <w:p>
      <w:pPr>
        <w:adjustRightInd w:val="0"/>
        <w:snapToGrid w:val="0"/>
        <w:spacing w:line="440" w:lineRule="exact"/>
        <w:ind w:firstLine="480" w:firstLineChars="200"/>
        <w:rPr>
          <w:rFonts w:ascii="宋体"/>
          <w:sz w:val="24"/>
          <w:szCs w:val="24"/>
        </w:rPr>
      </w:pPr>
      <w:r>
        <w:rPr>
          <w:rFonts w:hint="eastAsia" w:ascii="宋体" w:hAnsi="宋体"/>
          <w:sz w:val="24"/>
          <w:szCs w:val="24"/>
        </w:rPr>
        <w:t>本次估价目的是</w:t>
      </w:r>
      <w:r>
        <w:rPr>
          <w:rFonts w:hint="eastAsia" w:ascii="宋体" w:hAnsi="宋体" w:cs="宋体"/>
          <w:sz w:val="24"/>
        </w:rPr>
        <w:t>为司法处置提供参考依据而评估房地产市场价值。</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13" w:name="_Toc508132494"/>
      <w:bookmarkStart w:id="14" w:name="_Toc5800"/>
      <w:r>
        <w:rPr>
          <w:rFonts w:hint="eastAsia" w:ascii="黑体" w:hAnsi="宋体" w:eastAsia="黑体"/>
          <w:bCs/>
          <w:spacing w:val="20"/>
          <w:sz w:val="24"/>
          <w:szCs w:val="24"/>
        </w:rPr>
        <w:t>四、估价对象</w:t>
      </w:r>
      <w:bookmarkEnd w:id="13"/>
      <w:bookmarkEnd w:id="14"/>
    </w:p>
    <w:p>
      <w:pPr>
        <w:adjustRightInd w:val="0"/>
        <w:snapToGrid w:val="0"/>
        <w:spacing w:line="420" w:lineRule="exact"/>
        <w:ind w:firstLine="480" w:firstLineChars="200"/>
        <w:rPr>
          <w:rFonts w:ascii="宋体"/>
          <w:sz w:val="24"/>
          <w:szCs w:val="24"/>
        </w:rPr>
      </w:pPr>
      <w:r>
        <w:rPr>
          <w:rFonts w:hint="eastAsia" w:ascii="宋体" w:hAnsi="宋体"/>
          <w:sz w:val="24"/>
          <w:szCs w:val="24"/>
        </w:rPr>
        <w:t>（一）估价对象范围</w:t>
      </w:r>
    </w:p>
    <w:p>
      <w:pPr>
        <w:adjustRightInd w:val="0"/>
        <w:snapToGrid w:val="0"/>
        <w:spacing w:line="420" w:lineRule="exact"/>
        <w:ind w:firstLine="480" w:firstLineChars="200"/>
        <w:rPr>
          <w:rFonts w:ascii="宋体"/>
          <w:sz w:val="24"/>
          <w:szCs w:val="24"/>
        </w:rPr>
      </w:pPr>
      <w:r>
        <w:rPr>
          <w:rFonts w:hint="eastAsia" w:ascii="宋体" w:hAnsi="宋体"/>
          <w:sz w:val="24"/>
          <w:szCs w:val="24"/>
        </w:rPr>
        <w:t>估价对象为</w:t>
      </w:r>
      <w:r>
        <w:rPr>
          <w:rFonts w:hint="eastAsia"/>
          <w:sz w:val="24"/>
          <w:szCs w:val="24"/>
        </w:rPr>
        <w:t>张松、骆巧利名下的位于嵊州市滨江路999号江景一品园5幢二单元502室（另有坡屋31.24平方米、自行车库壹间）住宅房地产</w:t>
      </w:r>
      <w:r>
        <w:rPr>
          <w:rFonts w:hint="eastAsia" w:ascii="宋体" w:hAnsi="宋体"/>
          <w:sz w:val="24"/>
          <w:szCs w:val="24"/>
        </w:rPr>
        <w:t>，包括房屋所有权及其分摊的土地使用权、配套设施、</w:t>
      </w:r>
      <w:r>
        <w:rPr>
          <w:rFonts w:ascii="宋体" w:hAnsi="宋体"/>
          <w:sz w:val="24"/>
          <w:szCs w:val="24"/>
        </w:rPr>
        <w:t>固定装修</w:t>
      </w:r>
      <w:r>
        <w:rPr>
          <w:rFonts w:hint="eastAsia" w:ascii="宋体" w:hAnsi="宋体"/>
          <w:sz w:val="24"/>
          <w:szCs w:val="24"/>
        </w:rPr>
        <w:t>，不包括其他动产、债权债务、特许经营权等其他财产权益。</w:t>
      </w:r>
    </w:p>
    <w:p>
      <w:pPr>
        <w:adjustRightInd w:val="0"/>
        <w:snapToGrid w:val="0"/>
        <w:spacing w:line="420" w:lineRule="exact"/>
        <w:ind w:firstLine="480" w:firstLineChars="200"/>
        <w:rPr>
          <w:rFonts w:ascii="宋体" w:hAnsi="宋体"/>
          <w:sz w:val="24"/>
          <w:szCs w:val="24"/>
        </w:rPr>
      </w:pPr>
      <w:bookmarkStart w:id="15" w:name="_Toc508132495"/>
      <w:r>
        <w:rPr>
          <w:rFonts w:hint="eastAsia" w:ascii="宋体" w:hAnsi="宋体"/>
          <w:sz w:val="24"/>
          <w:szCs w:val="24"/>
        </w:rPr>
        <w:t>（二）房屋基本状况</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1、房屋坐落：</w:t>
      </w:r>
      <w:r>
        <w:rPr>
          <w:rFonts w:hint="eastAsia"/>
          <w:sz w:val="24"/>
          <w:szCs w:val="24"/>
        </w:rPr>
        <w:t>嵊州市滨江路999号江景一品园5幢二单元502室（另有坡屋31.24平方米、自行车库壹间）。</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2、房屋所有权人：张松、骆巧利。</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3、《房屋所有权证》号码：浙嵊房权证嵊字第0115014024号（张松）、浙嵊房权证嵊字第0115014025号（骆巧利）。</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4、建筑面积：502室建筑面积为83.67</w:t>
      </w:r>
      <w:r>
        <w:rPr>
          <w:rFonts w:hint="eastAsia"/>
          <w:sz w:val="24"/>
          <w:szCs w:val="24"/>
        </w:rPr>
        <w:t>平方米，坡屋建筑面积为31.24平方米。</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5、总层数：5层。</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6、所在层数：502室位于第5层，</w:t>
      </w:r>
      <w:r>
        <w:rPr>
          <w:rFonts w:hint="eastAsia"/>
          <w:sz w:val="24"/>
          <w:szCs w:val="24"/>
        </w:rPr>
        <w:t>坡屋位于阁楼层，自行车库位于底层</w:t>
      </w:r>
      <w:r>
        <w:rPr>
          <w:rFonts w:hint="eastAsia" w:ascii="宋体" w:hAnsi="宋体"/>
          <w:sz w:val="24"/>
          <w:szCs w:val="24"/>
        </w:rPr>
        <w:t>。</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7、建筑结构：钢混结构。</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8、设计用途：宅。</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9、目前房屋使用状态：住宅。</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10、建成时间：2015年。</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11、设施设备：水、电、卫设施齐全，总体维护良好。</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12、朝向：南北朝向。</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13、维护状况：建筑物2015年建成，建筑物结构构件基本完好，维护状况较好。</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14、平面布置： 502室户型为二室一厅一卫一阳台；坡屋顶户型为一室一厅一卫一厨一阳台。</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15、装修装饰：</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502室：外墙刷涂料，内墙贴墙布（卫生间贴墙砖），入户门为防盗门，内门为木门，铝合金玻璃窗，地面铺地砖及木地板，吊顶。其他固定装修情况：淋浴房1套、洗手台柜1个、座便器1个、固定衣柜3个。</w:t>
      </w:r>
    </w:p>
    <w:p>
      <w:pPr>
        <w:adjustRightInd w:val="0"/>
        <w:snapToGrid w:val="0"/>
        <w:spacing w:line="440" w:lineRule="exact"/>
        <w:ind w:firstLine="480" w:firstLineChars="200"/>
        <w:rPr>
          <w:rFonts w:ascii="宋体" w:hAnsi="宋体"/>
          <w:sz w:val="24"/>
          <w:szCs w:val="24"/>
        </w:rPr>
      </w:pPr>
      <w:r>
        <w:rPr>
          <w:rFonts w:ascii="宋体" w:hAnsi="宋体"/>
          <w:sz w:val="24"/>
          <w:szCs w:val="24"/>
        </w:rPr>
        <w:t>坡屋</w:t>
      </w:r>
      <w:r>
        <w:rPr>
          <w:rFonts w:hint="eastAsia" w:ascii="宋体" w:hAnsi="宋体"/>
          <w:sz w:val="24"/>
          <w:szCs w:val="24"/>
        </w:rPr>
        <w:t>：外墙刷涂料，内墙贴墙布（厨房卫生间贴墙砖），木门，铝合金玻璃窗，地面铺地砖或木地板，吊顶。其他固定装修情况：橱柜1套、固定柜1个、固定衣柜1个、整体衣柜1个、座便器1个、淋浴龙头1套、洗手台1个、玻璃顶1个。</w:t>
      </w:r>
    </w:p>
    <w:p>
      <w:pPr>
        <w:adjustRightInd w:val="0"/>
        <w:snapToGrid w:val="0"/>
        <w:spacing w:line="440" w:lineRule="exact"/>
        <w:ind w:firstLine="480" w:firstLineChars="200"/>
        <w:rPr>
          <w:rFonts w:ascii="宋体" w:hAnsi="宋体"/>
          <w:sz w:val="24"/>
          <w:szCs w:val="24"/>
        </w:rPr>
      </w:pPr>
      <w:r>
        <w:rPr>
          <w:rFonts w:hint="eastAsia"/>
          <w:sz w:val="24"/>
          <w:szCs w:val="24"/>
        </w:rPr>
        <w:t>自行车库</w:t>
      </w:r>
      <w:r>
        <w:rPr>
          <w:rFonts w:hint="eastAsia" w:ascii="宋体" w:hAnsi="宋体"/>
          <w:sz w:val="24"/>
          <w:szCs w:val="24"/>
        </w:rPr>
        <w:t>：壹间。入户门为卷帘门，内、外墙刷涂料，水泥地面</w:t>
      </w:r>
      <w:r>
        <w:rPr>
          <w:rFonts w:hint="eastAsia"/>
          <w:sz w:val="24"/>
          <w:szCs w:val="24"/>
        </w:rPr>
        <w:t>。《房屋所有权证》附记栏上注明为自行车库，现实际用作汽车库。</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（三）土地基本状况</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1、土地座落：</w:t>
      </w:r>
      <w:r>
        <w:rPr>
          <w:rFonts w:hint="eastAsia"/>
          <w:sz w:val="24"/>
          <w:szCs w:val="24"/>
        </w:rPr>
        <w:t>嵊州市滨江路999号江景一品园5幢二单元502室</w:t>
      </w:r>
      <w:r>
        <w:rPr>
          <w:rFonts w:hint="eastAsia" w:ascii="宋体" w:hAnsi="宋体"/>
          <w:sz w:val="24"/>
          <w:szCs w:val="24"/>
        </w:rPr>
        <w:t>。</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2、地号：003002GB00618。</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3、土地使用权人：</w:t>
      </w:r>
      <w:r>
        <w:rPr>
          <w:rFonts w:hint="eastAsia"/>
          <w:sz w:val="24"/>
          <w:szCs w:val="24"/>
        </w:rPr>
        <w:t>张松、骆巧利</w:t>
      </w:r>
      <w:r>
        <w:rPr>
          <w:rFonts w:hint="eastAsia" w:ascii="宋体" w:hAnsi="宋体"/>
          <w:sz w:val="24"/>
          <w:szCs w:val="24"/>
        </w:rPr>
        <w:t>。</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4、《国有土地使用证》号码：嵊州国用（2015）第05370号。</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5、使用权面积：55.79平方米。</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6、权属性质：国有。</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7、使用权类型：出让。</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8、地类（用途）：住宅用地。</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9、终止日期：2078年6月17日。</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10、地形地势：所处土地地形平坦，地势平缓，地质条件较好。</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（四）区位状况</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1、位置：估价对象位于</w:t>
      </w:r>
      <w:r>
        <w:rPr>
          <w:rFonts w:hint="eastAsia"/>
          <w:sz w:val="24"/>
          <w:szCs w:val="24"/>
        </w:rPr>
        <w:t>嵊州市滨江路999号</w:t>
      </w:r>
      <w:r>
        <w:rPr>
          <w:rFonts w:hint="eastAsia" w:ascii="宋体" w:hAnsi="宋体"/>
          <w:sz w:val="24"/>
          <w:szCs w:val="24"/>
        </w:rPr>
        <w:t>，所在江景一品园小区：东临澄潭江、南临兴盛街、西距东南路约290米、北临万都豪庭。</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2、交通状况：主要由兴盛街、东南路等及其区间道路构成对外交通网络，道路通达程度较高；附近有嵊州802路、嵊州805路、嵊州806路、嵊州301路等多路公交车经过，距离最近的公交站点嵊州西站约100米，公共交通条件较便捷。</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3、环境质量：周边无影响房地产价格较大的污染源，环境质量较好。小区内绿化及景观较好。</w:t>
      </w:r>
    </w:p>
    <w:p>
      <w:pPr>
        <w:adjustRightInd w:val="0"/>
        <w:snapToGrid w:val="0"/>
        <w:spacing w:line="440" w:lineRule="exact"/>
        <w:ind w:firstLine="480" w:firstLineChars="200"/>
        <w:rPr>
          <w:rFonts w:ascii="宋体" w:hAnsi="宋体"/>
          <w:color w:val="FF0000"/>
          <w:sz w:val="24"/>
          <w:szCs w:val="24"/>
        </w:rPr>
      </w:pPr>
      <w:r>
        <w:rPr>
          <w:rFonts w:hint="eastAsia" w:ascii="宋体" w:hAnsi="宋体"/>
          <w:sz w:val="24"/>
          <w:szCs w:val="24"/>
        </w:rPr>
        <w:t>4、公共配套设施状况：估价对象周边有锦香宴、邱氏餐馆、龙虾王子土菜馆、大炮饭店、留苑粗菜馆等餐饮配套；中国农业银行、中国工商银行、中国邮政储蓄等银行配套；嵊州市弘播实验学校、嵊州市中等职业技术学校、嵊州市马寅初中学等教育配套；嵊州市人民医院、嵊州心康医院、嵊州市中医院等医院配套；美易购超市、永辉超市、名图生鲜超市、嵊州吾悦广场、国商购物广场、鹿山广场等商业配套。公共配套设施较为完善，生活较为便利。</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16" w:name="_Toc7048"/>
      <w:r>
        <w:rPr>
          <w:rFonts w:hint="eastAsia" w:ascii="黑体" w:hAnsi="宋体" w:eastAsia="黑体"/>
          <w:bCs/>
          <w:spacing w:val="20"/>
          <w:sz w:val="24"/>
          <w:szCs w:val="24"/>
        </w:rPr>
        <w:t>五、价值时点</w:t>
      </w:r>
      <w:bookmarkEnd w:id="15"/>
      <w:bookmarkEnd w:id="16"/>
    </w:p>
    <w:p>
      <w:pPr>
        <w:adjustRightInd w:val="0"/>
        <w:snapToGrid w:val="0"/>
        <w:spacing w:line="440" w:lineRule="exact"/>
        <w:ind w:firstLine="480" w:firstLineChars="200"/>
        <w:rPr>
          <w:sz w:val="24"/>
          <w:szCs w:val="24"/>
        </w:rPr>
      </w:pPr>
      <w:r>
        <w:rPr>
          <w:rFonts w:hint="eastAsia"/>
          <w:sz w:val="24"/>
          <w:szCs w:val="24"/>
        </w:rPr>
        <w:t>根据估价目的，结合估价对象特点，确定价值时点为实地查勘日，即：二O二O年七月十四日。</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17" w:name="_Toc508132496"/>
      <w:bookmarkStart w:id="18" w:name="_Toc6305"/>
      <w:r>
        <w:rPr>
          <w:rFonts w:hint="eastAsia" w:ascii="黑体" w:hAnsi="宋体" w:eastAsia="黑体"/>
          <w:bCs/>
          <w:spacing w:val="20"/>
          <w:sz w:val="24"/>
          <w:szCs w:val="24"/>
        </w:rPr>
        <w:t>六、价值类型</w:t>
      </w:r>
      <w:bookmarkEnd w:id="17"/>
      <w:bookmarkEnd w:id="18"/>
    </w:p>
    <w:p>
      <w:pPr>
        <w:adjustRightInd w:val="0"/>
        <w:snapToGrid w:val="0"/>
        <w:spacing w:line="440" w:lineRule="exact"/>
        <w:ind w:firstLine="480" w:firstLineChars="200"/>
        <w:rPr>
          <w:sz w:val="24"/>
          <w:szCs w:val="24"/>
        </w:rPr>
      </w:pPr>
      <w:r>
        <w:rPr>
          <w:rFonts w:hint="eastAsia"/>
          <w:sz w:val="24"/>
          <w:szCs w:val="24"/>
        </w:rPr>
        <w:t>根据估价目的及估价委托人要求，本次评估采用的价值类型是市场价值。</w:t>
      </w:r>
    </w:p>
    <w:p>
      <w:pPr>
        <w:adjustRightInd w:val="0"/>
        <w:snapToGrid w:val="0"/>
        <w:spacing w:line="440" w:lineRule="exact"/>
        <w:ind w:firstLine="480" w:firstLineChars="200"/>
        <w:rPr>
          <w:sz w:val="24"/>
          <w:szCs w:val="24"/>
        </w:rPr>
      </w:pPr>
      <w:r>
        <w:rPr>
          <w:rFonts w:hint="eastAsia"/>
          <w:sz w:val="24"/>
          <w:szCs w:val="24"/>
        </w:rPr>
        <w:t>市场价值是指估价对象经适当营销后，由熟悉情况、谨慎行事且不受强迫的交易双方，以公平交易方式在价值时点自愿进行交易的金额。</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19" w:name="_Toc508132497"/>
      <w:bookmarkStart w:id="20" w:name="_Toc32154"/>
      <w:r>
        <w:rPr>
          <w:rFonts w:hint="eastAsia" w:ascii="黑体" w:hAnsi="宋体" w:eastAsia="黑体"/>
          <w:bCs/>
          <w:spacing w:val="20"/>
          <w:sz w:val="24"/>
          <w:szCs w:val="24"/>
        </w:rPr>
        <w:t>七、估价依据</w:t>
      </w:r>
      <w:bookmarkEnd w:id="19"/>
      <w:bookmarkEnd w:id="20"/>
    </w:p>
    <w:p>
      <w:pPr>
        <w:adjustRightInd w:val="0"/>
        <w:snapToGrid w:val="0"/>
        <w:spacing w:line="440" w:lineRule="exact"/>
        <w:ind w:firstLine="480" w:firstLineChars="200"/>
        <w:rPr>
          <w:sz w:val="24"/>
          <w:szCs w:val="24"/>
        </w:rPr>
      </w:pPr>
      <w:r>
        <w:rPr>
          <w:sz w:val="24"/>
          <w:szCs w:val="24"/>
        </w:rPr>
        <w:t>(</w:t>
      </w:r>
      <w:r>
        <w:rPr>
          <w:rFonts w:hint="eastAsia"/>
          <w:sz w:val="24"/>
          <w:szCs w:val="24"/>
        </w:rPr>
        <w:t>一</w:t>
      </w:r>
      <w:r>
        <w:rPr>
          <w:sz w:val="24"/>
          <w:szCs w:val="24"/>
        </w:rPr>
        <w:t>)</w:t>
      </w:r>
      <w:r>
        <w:rPr>
          <w:rFonts w:hint="eastAsia"/>
          <w:sz w:val="24"/>
          <w:szCs w:val="24"/>
        </w:rPr>
        <w:t>法律法规依据</w:t>
      </w:r>
    </w:p>
    <w:p>
      <w:pPr>
        <w:adjustRightInd w:val="0"/>
        <w:snapToGrid w:val="0"/>
        <w:spacing w:line="440" w:lineRule="exact"/>
        <w:ind w:firstLine="480" w:firstLineChars="200"/>
        <w:rPr>
          <w:sz w:val="24"/>
          <w:szCs w:val="24"/>
        </w:rPr>
      </w:pPr>
      <w:r>
        <w:rPr>
          <w:sz w:val="24"/>
          <w:szCs w:val="24"/>
        </w:rPr>
        <w:t>1</w:t>
      </w:r>
      <w:r>
        <w:rPr>
          <w:rFonts w:hint="eastAsia"/>
          <w:sz w:val="24"/>
          <w:szCs w:val="24"/>
        </w:rPr>
        <w:t>、《中华人民共和国城市房地产管理法》；</w:t>
      </w:r>
    </w:p>
    <w:p>
      <w:pPr>
        <w:adjustRightInd w:val="0"/>
        <w:snapToGrid w:val="0"/>
        <w:spacing w:line="440" w:lineRule="exact"/>
        <w:ind w:firstLine="480" w:firstLineChars="200"/>
        <w:rPr>
          <w:sz w:val="24"/>
          <w:szCs w:val="24"/>
        </w:rPr>
      </w:pPr>
      <w:r>
        <w:rPr>
          <w:sz w:val="24"/>
          <w:szCs w:val="24"/>
        </w:rPr>
        <w:t>2</w:t>
      </w:r>
      <w:r>
        <w:rPr>
          <w:rFonts w:hint="eastAsia"/>
          <w:sz w:val="24"/>
          <w:szCs w:val="24"/>
        </w:rPr>
        <w:t>、《中华人民共和国土地管理法》；</w:t>
      </w:r>
    </w:p>
    <w:p>
      <w:pPr>
        <w:adjustRightInd w:val="0"/>
        <w:snapToGrid w:val="0"/>
        <w:spacing w:line="440" w:lineRule="exact"/>
        <w:ind w:firstLine="480" w:firstLineChars="200"/>
        <w:rPr>
          <w:sz w:val="24"/>
          <w:szCs w:val="24"/>
        </w:rPr>
      </w:pPr>
      <w:r>
        <w:rPr>
          <w:sz w:val="24"/>
          <w:szCs w:val="24"/>
        </w:rPr>
        <w:t>3</w:t>
      </w:r>
      <w:r>
        <w:rPr>
          <w:rFonts w:hint="eastAsia"/>
          <w:sz w:val="24"/>
          <w:szCs w:val="24"/>
        </w:rPr>
        <w:t>、《中华人民共和国资产评估法》；</w:t>
      </w:r>
    </w:p>
    <w:p>
      <w:pPr>
        <w:adjustRightInd w:val="0"/>
        <w:snapToGrid w:val="0"/>
        <w:spacing w:line="440" w:lineRule="exact"/>
        <w:ind w:firstLine="480" w:firstLineChars="200"/>
        <w:rPr>
          <w:sz w:val="24"/>
          <w:szCs w:val="24"/>
        </w:rPr>
      </w:pPr>
      <w:r>
        <w:rPr>
          <w:sz w:val="24"/>
          <w:szCs w:val="24"/>
        </w:rPr>
        <w:t>4</w:t>
      </w:r>
      <w:r>
        <w:rPr>
          <w:rFonts w:hint="eastAsia"/>
          <w:sz w:val="24"/>
          <w:szCs w:val="24"/>
        </w:rPr>
        <w:t>、《中华人民共和国物权法》；</w:t>
      </w:r>
    </w:p>
    <w:p>
      <w:pPr>
        <w:adjustRightInd w:val="0"/>
        <w:snapToGrid w:val="0"/>
        <w:spacing w:line="440" w:lineRule="exact"/>
        <w:ind w:firstLine="480" w:firstLineChars="200"/>
        <w:rPr>
          <w:sz w:val="24"/>
          <w:szCs w:val="24"/>
        </w:rPr>
      </w:pPr>
      <w:r>
        <w:rPr>
          <w:sz w:val="24"/>
          <w:szCs w:val="24"/>
        </w:rPr>
        <w:t>5</w:t>
      </w:r>
      <w:r>
        <w:rPr>
          <w:rFonts w:hint="eastAsia"/>
          <w:sz w:val="24"/>
          <w:szCs w:val="24"/>
        </w:rPr>
        <w:t>、《中华人民共和国合同法》。</w:t>
      </w:r>
    </w:p>
    <w:p>
      <w:pPr>
        <w:adjustRightInd w:val="0"/>
        <w:snapToGrid w:val="0"/>
        <w:spacing w:line="440" w:lineRule="exact"/>
        <w:ind w:firstLine="480" w:firstLineChars="200"/>
        <w:rPr>
          <w:sz w:val="24"/>
          <w:szCs w:val="24"/>
        </w:rPr>
      </w:pPr>
      <w:r>
        <w:rPr>
          <w:sz w:val="24"/>
          <w:szCs w:val="24"/>
        </w:rPr>
        <w:t>(</w:t>
      </w:r>
      <w:r>
        <w:rPr>
          <w:rFonts w:hint="eastAsia"/>
          <w:sz w:val="24"/>
          <w:szCs w:val="24"/>
        </w:rPr>
        <w:t>二</w:t>
      </w:r>
      <w:r>
        <w:rPr>
          <w:sz w:val="24"/>
          <w:szCs w:val="24"/>
        </w:rPr>
        <w:t>)</w:t>
      </w:r>
      <w:r>
        <w:rPr>
          <w:rFonts w:hint="eastAsia"/>
          <w:sz w:val="24"/>
          <w:szCs w:val="24"/>
        </w:rPr>
        <w:t>有关估价标准</w:t>
      </w:r>
    </w:p>
    <w:p>
      <w:pPr>
        <w:adjustRightInd w:val="0"/>
        <w:snapToGrid w:val="0"/>
        <w:spacing w:line="440" w:lineRule="exact"/>
        <w:ind w:firstLine="480" w:firstLineChars="200"/>
        <w:rPr>
          <w:sz w:val="24"/>
          <w:szCs w:val="24"/>
        </w:rPr>
      </w:pPr>
      <w:r>
        <w:rPr>
          <w:sz w:val="24"/>
          <w:szCs w:val="24"/>
        </w:rPr>
        <w:t>1</w:t>
      </w:r>
      <w:r>
        <w:rPr>
          <w:rFonts w:hint="eastAsia"/>
          <w:sz w:val="24"/>
          <w:szCs w:val="24"/>
        </w:rPr>
        <w:t>、《房地产估价规范》（</w:t>
      </w:r>
      <w:r>
        <w:rPr>
          <w:sz w:val="24"/>
          <w:szCs w:val="24"/>
        </w:rPr>
        <w:t>GB</w:t>
      </w:r>
      <w:r>
        <w:rPr>
          <w:rFonts w:hint="eastAsia"/>
          <w:sz w:val="24"/>
          <w:szCs w:val="24"/>
        </w:rPr>
        <w:t>／</w:t>
      </w:r>
      <w:r>
        <w:rPr>
          <w:sz w:val="24"/>
          <w:szCs w:val="24"/>
        </w:rPr>
        <w:t>T 50291</w:t>
      </w:r>
      <w:r>
        <w:rPr>
          <w:rFonts w:hint="eastAsia"/>
          <w:sz w:val="24"/>
          <w:szCs w:val="24"/>
        </w:rPr>
        <w:t>－</w:t>
      </w:r>
      <w:r>
        <w:rPr>
          <w:sz w:val="24"/>
          <w:szCs w:val="24"/>
        </w:rPr>
        <w:t>2015</w:t>
      </w:r>
      <w:r>
        <w:rPr>
          <w:rFonts w:hint="eastAsia"/>
          <w:sz w:val="24"/>
          <w:szCs w:val="24"/>
        </w:rPr>
        <w:t>）；</w:t>
      </w:r>
    </w:p>
    <w:p>
      <w:pPr>
        <w:adjustRightInd w:val="0"/>
        <w:snapToGrid w:val="0"/>
        <w:spacing w:line="440" w:lineRule="exact"/>
        <w:ind w:firstLine="480" w:firstLineChars="200"/>
        <w:rPr>
          <w:sz w:val="24"/>
          <w:szCs w:val="24"/>
        </w:rPr>
      </w:pPr>
      <w:r>
        <w:rPr>
          <w:sz w:val="24"/>
          <w:szCs w:val="24"/>
        </w:rPr>
        <w:t>2</w:t>
      </w:r>
      <w:r>
        <w:rPr>
          <w:rFonts w:hint="eastAsia"/>
          <w:sz w:val="24"/>
          <w:szCs w:val="24"/>
        </w:rPr>
        <w:t>、《房地产估价基本术语标准》（</w:t>
      </w:r>
      <w:r>
        <w:rPr>
          <w:sz w:val="24"/>
          <w:szCs w:val="24"/>
        </w:rPr>
        <w:t>GB/T50899-2013</w:t>
      </w:r>
      <w:r>
        <w:rPr>
          <w:rFonts w:hint="eastAsia"/>
          <w:sz w:val="24"/>
          <w:szCs w:val="24"/>
        </w:rPr>
        <w:t>）。</w:t>
      </w:r>
    </w:p>
    <w:p>
      <w:pPr>
        <w:adjustRightInd w:val="0"/>
        <w:snapToGrid w:val="0"/>
        <w:spacing w:line="440" w:lineRule="exact"/>
        <w:ind w:firstLine="480" w:firstLineChars="200"/>
        <w:rPr>
          <w:sz w:val="24"/>
          <w:szCs w:val="24"/>
        </w:rPr>
      </w:pPr>
      <w:r>
        <w:rPr>
          <w:sz w:val="24"/>
          <w:szCs w:val="24"/>
        </w:rPr>
        <w:t>(</w:t>
      </w:r>
      <w:r>
        <w:rPr>
          <w:rFonts w:hint="eastAsia"/>
          <w:sz w:val="24"/>
          <w:szCs w:val="24"/>
        </w:rPr>
        <w:t>三</w:t>
      </w:r>
      <w:r>
        <w:rPr>
          <w:sz w:val="24"/>
          <w:szCs w:val="24"/>
        </w:rPr>
        <w:t>)</w:t>
      </w:r>
      <w:r>
        <w:rPr>
          <w:rFonts w:hint="eastAsia"/>
          <w:sz w:val="24"/>
          <w:szCs w:val="24"/>
        </w:rPr>
        <w:t>估价委托人提供的相关资料</w:t>
      </w:r>
    </w:p>
    <w:p>
      <w:pPr>
        <w:adjustRightInd w:val="0"/>
        <w:snapToGrid w:val="0"/>
        <w:spacing w:line="440" w:lineRule="exact"/>
        <w:ind w:firstLine="480" w:firstLineChars="200"/>
        <w:rPr>
          <w:sz w:val="24"/>
          <w:szCs w:val="24"/>
        </w:rPr>
      </w:pPr>
      <w:r>
        <w:rPr>
          <w:sz w:val="24"/>
          <w:szCs w:val="24"/>
        </w:rPr>
        <w:t>1</w:t>
      </w:r>
      <w:r>
        <w:rPr>
          <w:rFonts w:hint="eastAsia"/>
          <w:sz w:val="24"/>
          <w:szCs w:val="24"/>
        </w:rPr>
        <w:t>、《浙江省绍兴市越城区人民法院司法评估委托书》</w:t>
      </w:r>
      <w:r>
        <w:rPr>
          <w:sz w:val="24"/>
          <w:szCs w:val="24"/>
        </w:rPr>
        <w:t>[(20</w:t>
      </w:r>
      <w:r>
        <w:rPr>
          <w:rFonts w:hint="eastAsia"/>
          <w:sz w:val="24"/>
          <w:szCs w:val="24"/>
        </w:rPr>
        <w:t>20</w:t>
      </w:r>
      <w:r>
        <w:rPr>
          <w:sz w:val="24"/>
          <w:szCs w:val="24"/>
        </w:rPr>
        <w:t>)</w:t>
      </w:r>
      <w:r>
        <w:rPr>
          <w:rFonts w:hint="eastAsia"/>
          <w:sz w:val="24"/>
          <w:szCs w:val="24"/>
        </w:rPr>
        <w:t>浙越法委评字第194号</w:t>
      </w:r>
      <w:r>
        <w:rPr>
          <w:sz w:val="24"/>
          <w:szCs w:val="24"/>
        </w:rPr>
        <w:t>]</w:t>
      </w:r>
      <w:r>
        <w:rPr>
          <w:rFonts w:hint="eastAsia"/>
          <w:sz w:val="24"/>
          <w:szCs w:val="24"/>
        </w:rPr>
        <w:t>；</w:t>
      </w:r>
    </w:p>
    <w:p>
      <w:pPr>
        <w:adjustRightInd w:val="0"/>
        <w:snapToGrid w:val="0"/>
        <w:spacing w:line="440" w:lineRule="exact"/>
        <w:ind w:firstLine="480" w:firstLineChars="200"/>
        <w:rPr>
          <w:sz w:val="24"/>
          <w:szCs w:val="24"/>
        </w:rPr>
      </w:pPr>
      <w:r>
        <w:rPr>
          <w:rFonts w:hint="eastAsia"/>
          <w:sz w:val="24"/>
          <w:szCs w:val="24"/>
        </w:rPr>
        <w:t>2、</w:t>
      </w:r>
      <w:r>
        <w:rPr>
          <w:rFonts w:hint="eastAsia" w:ascii="宋体" w:hAnsi="宋体"/>
          <w:color w:val="000000"/>
          <w:sz w:val="24"/>
        </w:rPr>
        <w:t>《房屋所有权证》复印件</w:t>
      </w:r>
      <w:r>
        <w:rPr>
          <w:rFonts w:hint="eastAsia"/>
          <w:sz w:val="24"/>
          <w:szCs w:val="24"/>
        </w:rPr>
        <w:t>；</w:t>
      </w:r>
    </w:p>
    <w:p>
      <w:pPr>
        <w:adjustRightInd w:val="0"/>
        <w:snapToGrid w:val="0"/>
        <w:spacing w:line="440" w:lineRule="exact"/>
        <w:ind w:firstLine="480" w:firstLineChars="200"/>
        <w:rPr>
          <w:rFonts w:ascii="宋体" w:hAnsi="宋体"/>
          <w:color w:val="000000"/>
          <w:sz w:val="24"/>
        </w:rPr>
      </w:pPr>
      <w:r>
        <w:rPr>
          <w:rFonts w:hint="eastAsia"/>
          <w:sz w:val="24"/>
          <w:szCs w:val="24"/>
        </w:rPr>
        <w:t>3、</w:t>
      </w:r>
      <w:r>
        <w:rPr>
          <w:rFonts w:hint="eastAsia" w:ascii="宋体" w:hAnsi="宋体"/>
          <w:color w:val="000000"/>
          <w:sz w:val="24"/>
        </w:rPr>
        <w:t>《国有土地使用证》复印件；</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4、《</w:t>
      </w:r>
      <w:r>
        <w:rPr>
          <w:rFonts w:hint="eastAsia" w:ascii="宋体" w:hAnsi="宋体"/>
          <w:color w:val="000000"/>
          <w:sz w:val="24"/>
          <w:szCs w:val="22"/>
        </w:rPr>
        <w:t>不动产登记证明</w:t>
      </w:r>
      <w:r>
        <w:rPr>
          <w:rFonts w:hint="eastAsia" w:ascii="宋体" w:hAnsi="宋体"/>
          <w:color w:val="000000"/>
          <w:sz w:val="24"/>
        </w:rPr>
        <w:t>》复印件；</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5、《嵊州市不动产登记查询证明》复印件。</w:t>
      </w:r>
    </w:p>
    <w:p>
      <w:pPr>
        <w:adjustRightInd w:val="0"/>
        <w:snapToGrid w:val="0"/>
        <w:spacing w:line="440" w:lineRule="exact"/>
        <w:ind w:firstLine="480" w:firstLineChars="200"/>
        <w:rPr>
          <w:sz w:val="24"/>
          <w:szCs w:val="24"/>
        </w:rPr>
      </w:pPr>
      <w:r>
        <w:rPr>
          <w:sz w:val="24"/>
          <w:szCs w:val="24"/>
        </w:rPr>
        <w:t>(</w:t>
      </w:r>
      <w:r>
        <w:rPr>
          <w:rFonts w:hint="eastAsia"/>
          <w:sz w:val="24"/>
          <w:szCs w:val="24"/>
        </w:rPr>
        <w:t>四</w:t>
      </w:r>
      <w:r>
        <w:rPr>
          <w:sz w:val="24"/>
          <w:szCs w:val="24"/>
        </w:rPr>
        <w:t>)</w:t>
      </w:r>
      <w:r>
        <w:rPr>
          <w:rFonts w:hint="eastAsia"/>
          <w:sz w:val="24"/>
          <w:szCs w:val="24"/>
        </w:rPr>
        <w:t>其他依据</w:t>
      </w:r>
    </w:p>
    <w:p>
      <w:pPr>
        <w:adjustRightInd w:val="0"/>
        <w:snapToGrid w:val="0"/>
        <w:spacing w:line="440" w:lineRule="exact"/>
        <w:ind w:firstLine="480" w:firstLineChars="200"/>
        <w:rPr>
          <w:sz w:val="24"/>
          <w:szCs w:val="24"/>
        </w:rPr>
      </w:pPr>
      <w:r>
        <w:rPr>
          <w:sz w:val="24"/>
          <w:szCs w:val="24"/>
        </w:rPr>
        <w:t>1</w:t>
      </w:r>
      <w:r>
        <w:rPr>
          <w:rFonts w:hint="eastAsia"/>
          <w:sz w:val="24"/>
          <w:szCs w:val="24"/>
        </w:rPr>
        <w:t>、估价人员现场勘查、调查、收集的相关资料；</w:t>
      </w:r>
    </w:p>
    <w:p>
      <w:pPr>
        <w:adjustRightInd w:val="0"/>
        <w:snapToGrid w:val="0"/>
        <w:spacing w:line="440" w:lineRule="exact"/>
        <w:ind w:firstLine="480" w:firstLineChars="200"/>
        <w:rPr>
          <w:sz w:val="24"/>
          <w:szCs w:val="24"/>
        </w:rPr>
      </w:pPr>
      <w:r>
        <w:rPr>
          <w:sz w:val="24"/>
          <w:szCs w:val="24"/>
        </w:rPr>
        <w:t>2</w:t>
      </w:r>
      <w:r>
        <w:rPr>
          <w:rFonts w:hint="eastAsia"/>
          <w:sz w:val="24"/>
          <w:szCs w:val="24"/>
        </w:rPr>
        <w:t>、本所掌握的其他有关信息资料。</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21" w:name="_Toc508132498"/>
      <w:bookmarkStart w:id="22" w:name="_Toc31632"/>
      <w:r>
        <w:rPr>
          <w:rFonts w:hint="eastAsia" w:ascii="黑体" w:hAnsi="宋体" w:eastAsia="黑体"/>
          <w:bCs/>
          <w:spacing w:val="20"/>
          <w:sz w:val="24"/>
          <w:szCs w:val="24"/>
        </w:rPr>
        <w:t>八、估价原则</w:t>
      </w:r>
      <w:bookmarkEnd w:id="21"/>
      <w:bookmarkEnd w:id="22"/>
    </w:p>
    <w:p>
      <w:pPr>
        <w:adjustRightInd w:val="0"/>
        <w:snapToGrid w:val="0"/>
        <w:spacing w:line="440" w:lineRule="exact"/>
        <w:ind w:firstLine="480" w:firstLineChars="200"/>
        <w:rPr>
          <w:sz w:val="24"/>
          <w:szCs w:val="24"/>
        </w:rPr>
      </w:pPr>
      <w:r>
        <w:rPr>
          <w:sz w:val="24"/>
          <w:szCs w:val="24"/>
        </w:rPr>
        <w:t>1</w:t>
      </w:r>
      <w:r>
        <w:rPr>
          <w:rFonts w:hint="eastAsia"/>
          <w:sz w:val="24"/>
          <w:szCs w:val="24"/>
        </w:rPr>
        <w:t>、独立、客观、公正原则：要求站在中立的立场上，实事求是、公平正直地评估出对各方估价利害关系人均是公平合理的价值或价格的原则。</w:t>
      </w:r>
    </w:p>
    <w:p>
      <w:pPr>
        <w:adjustRightInd w:val="0"/>
        <w:snapToGrid w:val="0"/>
        <w:spacing w:line="440" w:lineRule="exact"/>
        <w:ind w:firstLine="480" w:firstLineChars="200"/>
        <w:rPr>
          <w:sz w:val="24"/>
          <w:szCs w:val="24"/>
        </w:rPr>
      </w:pPr>
      <w:r>
        <w:rPr>
          <w:sz w:val="24"/>
          <w:szCs w:val="24"/>
        </w:rPr>
        <w:t>2</w:t>
      </w:r>
      <w:r>
        <w:rPr>
          <w:rFonts w:hint="eastAsia"/>
          <w:sz w:val="24"/>
          <w:szCs w:val="24"/>
        </w:rPr>
        <w:t>、合法原则：要求估价结果是在依法判定的估价对象状况下的价值或价格的原则。</w:t>
      </w:r>
    </w:p>
    <w:p>
      <w:pPr>
        <w:adjustRightInd w:val="0"/>
        <w:snapToGrid w:val="0"/>
        <w:spacing w:line="440" w:lineRule="exact"/>
        <w:ind w:firstLine="480" w:firstLineChars="200"/>
        <w:rPr>
          <w:sz w:val="24"/>
          <w:szCs w:val="24"/>
        </w:rPr>
      </w:pPr>
      <w:r>
        <w:rPr>
          <w:sz w:val="24"/>
          <w:szCs w:val="24"/>
        </w:rPr>
        <w:t>3</w:t>
      </w:r>
      <w:r>
        <w:rPr>
          <w:rFonts w:hint="eastAsia"/>
          <w:sz w:val="24"/>
          <w:szCs w:val="24"/>
        </w:rPr>
        <w:t>、最高最佳利用原则：要求估价结果是在估价对象最高最佳利用状况下的价值或价格的原则。</w:t>
      </w:r>
    </w:p>
    <w:p>
      <w:pPr>
        <w:adjustRightInd w:val="0"/>
        <w:snapToGrid w:val="0"/>
        <w:spacing w:line="440" w:lineRule="exact"/>
        <w:ind w:firstLine="480" w:firstLineChars="200"/>
        <w:rPr>
          <w:sz w:val="24"/>
          <w:szCs w:val="24"/>
        </w:rPr>
      </w:pPr>
      <w:r>
        <w:rPr>
          <w:sz w:val="24"/>
          <w:szCs w:val="24"/>
        </w:rPr>
        <w:t>4</w:t>
      </w:r>
      <w:r>
        <w:rPr>
          <w:rFonts w:hint="eastAsia"/>
          <w:sz w:val="24"/>
          <w:szCs w:val="24"/>
        </w:rPr>
        <w:t>、价值时点原则：要求估价结果是在根据估价目的确定的某一特定时间的价值或价格的原则。</w:t>
      </w:r>
    </w:p>
    <w:p>
      <w:pPr>
        <w:adjustRightInd w:val="0"/>
        <w:snapToGrid w:val="0"/>
        <w:spacing w:line="440" w:lineRule="exact"/>
        <w:ind w:firstLine="480" w:firstLineChars="200"/>
        <w:rPr>
          <w:sz w:val="24"/>
          <w:szCs w:val="24"/>
        </w:rPr>
      </w:pPr>
      <w:r>
        <w:rPr>
          <w:sz w:val="24"/>
          <w:szCs w:val="24"/>
        </w:rPr>
        <w:t>5</w:t>
      </w:r>
      <w:r>
        <w:rPr>
          <w:rFonts w:hint="eastAsia"/>
          <w:sz w:val="24"/>
          <w:szCs w:val="24"/>
        </w:rPr>
        <w:t>、替代原则：要求估价结果与估价对象的类似房地产在同等条件下的价值或价格偏差在合理范围内的原则。</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23" w:name="_Toc508132499"/>
      <w:bookmarkStart w:id="24" w:name="_Toc30201"/>
      <w:r>
        <w:rPr>
          <w:rFonts w:hint="eastAsia" w:ascii="黑体" w:hAnsi="宋体" w:eastAsia="黑体"/>
          <w:bCs/>
          <w:spacing w:val="20"/>
          <w:sz w:val="24"/>
          <w:szCs w:val="24"/>
        </w:rPr>
        <w:t>九、估价方法</w:t>
      </w:r>
      <w:bookmarkEnd w:id="23"/>
      <w:bookmarkEnd w:id="24"/>
    </w:p>
    <w:p>
      <w:pPr>
        <w:adjustRightInd w:val="0"/>
        <w:snapToGrid w:val="0"/>
        <w:spacing w:line="440" w:lineRule="exact"/>
        <w:ind w:firstLine="480" w:firstLineChars="200"/>
        <w:rPr>
          <w:sz w:val="24"/>
          <w:szCs w:val="24"/>
        </w:rPr>
      </w:pPr>
      <w:r>
        <w:rPr>
          <w:rFonts w:hint="eastAsia"/>
          <w:sz w:val="24"/>
          <w:szCs w:val="24"/>
        </w:rPr>
        <w:t>估价人员在实地查勘的基础上，对估价委托人提供的各种资料进行了认真分析，根据价值时点委估房地产用途、估价目的、资料状况和嵊州市房地产市场实际情况，决定采用比较法及收益法来评估委估对象的价值。</w:t>
      </w:r>
    </w:p>
    <w:p>
      <w:pPr>
        <w:spacing w:line="440" w:lineRule="exact"/>
        <w:ind w:firstLine="480" w:firstLineChars="200"/>
        <w:rPr>
          <w:rFonts w:ascii="宋体" w:hAnsi="宋体"/>
          <w:spacing w:val="10"/>
          <w:sz w:val="24"/>
        </w:rPr>
      </w:pPr>
      <w:r>
        <w:rPr>
          <w:rFonts w:hint="eastAsia"/>
          <w:sz w:val="24"/>
          <w:szCs w:val="24"/>
        </w:rPr>
        <w:t>比较法：是选取一定数量的可比实例，将它们与估价对象进行比较，根据其间的差异对可比实例成交价格进行处理后得到估价对象价值或价格的方法</w:t>
      </w:r>
      <w:r>
        <w:rPr>
          <w:rFonts w:hint="eastAsia" w:ascii="宋体" w:hAnsi="宋体"/>
          <w:spacing w:val="10"/>
          <w:sz w:val="24"/>
        </w:rPr>
        <w:t>。</w:t>
      </w:r>
    </w:p>
    <w:p>
      <w:pPr>
        <w:spacing w:line="440" w:lineRule="exact"/>
        <w:ind w:firstLine="520" w:firstLineChars="200"/>
        <w:rPr>
          <w:rFonts w:ascii="宋体"/>
          <w:spacing w:val="10"/>
          <w:sz w:val="24"/>
        </w:rPr>
      </w:pPr>
      <w:r>
        <w:rPr>
          <w:rFonts w:hint="eastAsia" w:ascii="宋体" w:hAnsi="宋体"/>
          <w:spacing w:val="10"/>
          <w:sz w:val="24"/>
        </w:rPr>
        <w:t>收益法：是预测估价对象的未来收益，利用报酬率或资本化率、收益乘数将未来收益转换为价值得到估价对象价值或价格的方法。</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25" w:name="_Toc508132500"/>
      <w:bookmarkStart w:id="26" w:name="_Toc30991"/>
      <w:r>
        <w:rPr>
          <w:rFonts w:hint="eastAsia" w:ascii="黑体" w:hAnsi="宋体" w:eastAsia="黑体"/>
          <w:bCs/>
          <w:spacing w:val="20"/>
          <w:sz w:val="24"/>
          <w:szCs w:val="24"/>
        </w:rPr>
        <w:t>十、估价结果</w:t>
      </w:r>
      <w:bookmarkEnd w:id="25"/>
      <w:bookmarkEnd w:id="26"/>
    </w:p>
    <w:p>
      <w:pPr>
        <w:spacing w:line="440" w:lineRule="exact"/>
        <w:ind w:left="2" w:leftChars="1" w:firstLine="480" w:firstLineChars="200"/>
        <w:rPr>
          <w:rFonts w:ascii="宋体" w:hAnsi="宋体"/>
          <w:sz w:val="24"/>
        </w:rPr>
      </w:pPr>
      <w:r>
        <w:rPr>
          <w:rFonts w:hint="eastAsia" w:ascii="宋体" w:hAnsi="宋体"/>
          <w:sz w:val="24"/>
        </w:rPr>
        <w:t>估价人员通过对估价对象的充分调查，根据估价目的和估价原则，按照估价程序，采用适宜的评估方法，在认真分析现有各种资料的基础上，经周密、细致的测算，并结合嵊州市房地产市场行情，确定估价</w:t>
      </w:r>
      <w:r>
        <w:rPr>
          <w:rFonts w:hint="eastAsia"/>
          <w:sz w:val="24"/>
          <w:szCs w:val="24"/>
        </w:rPr>
        <w:t>对象</w:t>
      </w:r>
      <w:r>
        <w:rPr>
          <w:rFonts w:hint="eastAsia" w:ascii="宋体" w:hAnsi="宋体"/>
          <w:sz w:val="24"/>
        </w:rPr>
        <w:t>于价值时点2020年07月14日的评估价值如下：</w:t>
      </w:r>
    </w:p>
    <w:p>
      <w:pPr>
        <w:spacing w:line="280" w:lineRule="exact"/>
        <w:ind w:left="483" w:leftChars="230" w:firstLine="7470" w:firstLineChars="4150"/>
        <w:rPr>
          <w:rFonts w:ascii="宋体" w:hAnsi="宋体" w:cs="宋体"/>
          <w:kern w:val="0"/>
          <w:sz w:val="18"/>
          <w:szCs w:val="18"/>
        </w:rPr>
      </w:pPr>
      <w:bookmarkStart w:id="27" w:name="_Toc508132501"/>
      <w:r>
        <w:rPr>
          <w:rFonts w:hint="eastAsia" w:ascii="宋体" w:hAnsi="宋体" w:cs="宋体"/>
          <w:kern w:val="0"/>
          <w:sz w:val="18"/>
          <w:szCs w:val="18"/>
        </w:rPr>
        <w:t>币种:人民币</w:t>
      </w:r>
    </w:p>
    <w:tbl>
      <w:tblPr>
        <w:tblStyle w:val="27"/>
        <w:tblW w:w="9228" w:type="dxa"/>
        <w:tblInd w:w="108" w:type="dxa"/>
        <w:tblLayout w:type="fixed"/>
        <w:tblCellMar>
          <w:top w:w="0" w:type="dxa"/>
          <w:left w:w="108" w:type="dxa"/>
          <w:bottom w:w="0" w:type="dxa"/>
          <w:right w:w="108" w:type="dxa"/>
        </w:tblCellMar>
      </w:tblPr>
      <w:tblGrid>
        <w:gridCol w:w="419"/>
        <w:gridCol w:w="2416"/>
        <w:gridCol w:w="456"/>
        <w:gridCol w:w="822"/>
        <w:gridCol w:w="1161"/>
        <w:gridCol w:w="1105"/>
        <w:gridCol w:w="2849"/>
      </w:tblGrid>
      <w:tr>
        <w:tblPrEx>
          <w:tblCellMar>
            <w:top w:w="0" w:type="dxa"/>
            <w:left w:w="108" w:type="dxa"/>
            <w:bottom w:w="0" w:type="dxa"/>
            <w:right w:w="108" w:type="dxa"/>
          </w:tblCellMar>
        </w:tblPrEx>
        <w:trPr>
          <w:trHeight w:val="284" w:hRule="atLeast"/>
        </w:trPr>
        <w:tc>
          <w:tcPr>
            <w:tcW w:w="4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ascii="Arial" w:hAnsi="宋体" w:cs="Arial"/>
                <w:kern w:val="0"/>
                <w:sz w:val="18"/>
                <w:szCs w:val="18"/>
              </w:rPr>
              <w:t>序号</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ascii="Arial" w:hAnsi="宋体" w:cs="Arial"/>
                <w:kern w:val="0"/>
                <w:sz w:val="18"/>
                <w:szCs w:val="18"/>
              </w:rPr>
              <w:t>估价对象名称</w:t>
            </w:r>
          </w:p>
        </w:tc>
        <w:tc>
          <w:tcPr>
            <w:tcW w:w="456" w:type="dxa"/>
            <w:tcBorders>
              <w:top w:val="single" w:color="auto" w:sz="4" w:space="0"/>
              <w:left w:val="nil"/>
              <w:bottom w:val="nil"/>
              <w:right w:val="single" w:color="auto" w:sz="4" w:space="0"/>
            </w:tcBorders>
            <w:shd w:val="clear" w:color="auto" w:fill="FFFFFF"/>
            <w:vAlign w:val="center"/>
          </w:tcPr>
          <w:p>
            <w:pPr>
              <w:widowControl/>
              <w:spacing w:line="240" w:lineRule="exact"/>
              <w:ind w:right="-31" w:rightChars="-15"/>
              <w:jc w:val="center"/>
              <w:rPr>
                <w:rFonts w:ascii="Arial" w:hAnsi="宋体" w:cs="Arial"/>
                <w:kern w:val="0"/>
                <w:sz w:val="18"/>
                <w:szCs w:val="18"/>
              </w:rPr>
            </w:pPr>
            <w:r>
              <w:rPr>
                <w:rFonts w:hint="eastAsia" w:ascii="Arial" w:hAnsi="宋体" w:cs="Arial"/>
                <w:kern w:val="0"/>
                <w:sz w:val="18"/>
                <w:szCs w:val="18"/>
              </w:rPr>
              <w:t>单位</w:t>
            </w:r>
          </w:p>
        </w:tc>
        <w:tc>
          <w:tcPr>
            <w:tcW w:w="82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建筑面积</w:t>
            </w:r>
          </w:p>
        </w:tc>
        <w:tc>
          <w:tcPr>
            <w:tcW w:w="11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t>评估单价</w:t>
            </w:r>
          </w:p>
          <w:p>
            <w:pPr>
              <w:widowControl/>
              <w:spacing w:line="240" w:lineRule="exact"/>
              <w:jc w:val="center"/>
              <w:rPr>
                <w:rFonts w:ascii="Arial" w:hAnsi="宋体" w:cs="Arial"/>
                <w:kern w:val="0"/>
                <w:sz w:val="18"/>
                <w:szCs w:val="18"/>
              </w:rPr>
            </w:pPr>
            <w:r>
              <w:rPr>
                <w:rFonts w:ascii="Arial" w:hAnsi="宋体" w:cs="Arial"/>
                <w:kern w:val="0"/>
                <w:sz w:val="18"/>
                <w:szCs w:val="18"/>
              </w:rPr>
              <w:t>(元/㎡)</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t>评估总价</w:t>
            </w:r>
          </w:p>
          <w:p>
            <w:pPr>
              <w:widowControl/>
              <w:spacing w:line="240" w:lineRule="exact"/>
              <w:jc w:val="center"/>
              <w:rPr>
                <w:rFonts w:ascii="Arial" w:hAnsi="宋体" w:cs="Arial"/>
                <w:kern w:val="0"/>
                <w:sz w:val="18"/>
                <w:szCs w:val="18"/>
              </w:rPr>
            </w:pPr>
            <w:r>
              <w:rPr>
                <w:rFonts w:ascii="Arial" w:hAnsi="宋体" w:cs="Arial"/>
                <w:kern w:val="0"/>
                <w:sz w:val="18"/>
                <w:szCs w:val="18"/>
              </w:rPr>
              <w:t>(元)</w:t>
            </w:r>
          </w:p>
        </w:tc>
        <w:tc>
          <w:tcPr>
            <w:tcW w:w="2849" w:type="dxa"/>
            <w:tcBorders>
              <w:top w:val="single" w:color="auto" w:sz="4" w:space="0"/>
              <w:left w:val="nil"/>
              <w:bottom w:val="nil"/>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t>大写</w:t>
            </w:r>
          </w:p>
        </w:tc>
      </w:tr>
      <w:tr>
        <w:tblPrEx>
          <w:tblCellMar>
            <w:top w:w="0" w:type="dxa"/>
            <w:left w:w="108" w:type="dxa"/>
            <w:bottom w:w="0" w:type="dxa"/>
            <w:right w:w="108" w:type="dxa"/>
          </w:tblCellMar>
        </w:tblPrEx>
        <w:trPr>
          <w:trHeight w:val="284" w:hRule="atLeast"/>
        </w:trPr>
        <w:tc>
          <w:tcPr>
            <w:tcW w:w="4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ascii="Arial" w:hAnsi="宋体" w:cs="Arial"/>
                <w:kern w:val="0"/>
                <w:sz w:val="18"/>
                <w:szCs w:val="18"/>
              </w:rPr>
              <w:t>1</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hint="eastAsia" w:ascii="Arial" w:hAnsi="宋体" w:cs="Arial"/>
                <w:kern w:val="0"/>
                <w:sz w:val="18"/>
                <w:szCs w:val="18"/>
              </w:rPr>
              <w:t>嵊州市滨江路999号江景一品园5幢二单元502室</w:t>
            </w:r>
          </w:p>
        </w:tc>
        <w:tc>
          <w:tcPr>
            <w:tcW w:w="456" w:type="dxa"/>
            <w:tcBorders>
              <w:top w:val="single" w:color="auto" w:sz="4" w:space="0"/>
              <w:left w:val="nil"/>
              <w:bottom w:val="nil"/>
              <w:right w:val="single" w:color="auto" w:sz="4" w:space="0"/>
            </w:tcBorders>
            <w:shd w:val="clear" w:color="auto" w:fill="FFFFFF"/>
            <w:vAlign w:val="center"/>
          </w:tcPr>
          <w:p>
            <w:pPr>
              <w:widowControl/>
              <w:spacing w:line="240" w:lineRule="exact"/>
              <w:ind w:right="-31" w:rightChars="-15"/>
              <w:jc w:val="center"/>
              <w:rPr>
                <w:rFonts w:ascii="Arial" w:hAnsi="宋体" w:cs="Arial"/>
                <w:kern w:val="0"/>
                <w:sz w:val="18"/>
                <w:szCs w:val="18"/>
              </w:rPr>
            </w:pPr>
            <w:r>
              <w:rPr>
                <w:rFonts w:ascii="Arial" w:hAnsi="宋体" w:cs="Arial"/>
                <w:kern w:val="0"/>
                <w:sz w:val="18"/>
                <w:szCs w:val="18"/>
              </w:rPr>
              <w:t>㎡</w:t>
            </w:r>
          </w:p>
        </w:tc>
        <w:tc>
          <w:tcPr>
            <w:tcW w:w="82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83.67</w:t>
            </w:r>
          </w:p>
        </w:tc>
        <w:tc>
          <w:tcPr>
            <w:tcW w:w="11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8,800</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736,296</w:t>
            </w:r>
          </w:p>
        </w:tc>
        <w:tc>
          <w:tcPr>
            <w:tcW w:w="2849" w:type="dxa"/>
            <w:tcBorders>
              <w:top w:val="single" w:color="auto" w:sz="4" w:space="0"/>
              <w:left w:val="nil"/>
              <w:bottom w:val="nil"/>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fldChar w:fldCharType="begin"/>
            </w:r>
            <w:r>
              <w:rPr>
                <w:rFonts w:ascii="Arial" w:hAnsi="宋体" w:cs="Arial"/>
                <w:kern w:val="0"/>
                <w:sz w:val="18"/>
                <w:szCs w:val="18"/>
              </w:rPr>
              <w:instrText xml:space="preserve"> </w:instrText>
            </w:r>
            <w:r>
              <w:rPr>
                <w:rFonts w:hint="eastAsia" w:ascii="Arial" w:hAnsi="宋体" w:cs="Arial"/>
                <w:kern w:val="0"/>
                <w:sz w:val="18"/>
                <w:szCs w:val="18"/>
              </w:rPr>
              <w:instrText xml:space="preserve">= 736296 \* CHINESENUM2</w:instrText>
            </w:r>
            <w:r>
              <w:rPr>
                <w:rFonts w:ascii="Arial" w:hAnsi="宋体" w:cs="Arial"/>
                <w:kern w:val="0"/>
                <w:sz w:val="18"/>
                <w:szCs w:val="18"/>
              </w:rPr>
              <w:instrText xml:space="preserve"> </w:instrText>
            </w:r>
            <w:r>
              <w:rPr>
                <w:rFonts w:ascii="Arial" w:hAnsi="宋体" w:cs="Arial"/>
                <w:kern w:val="0"/>
                <w:sz w:val="18"/>
                <w:szCs w:val="18"/>
              </w:rPr>
              <w:fldChar w:fldCharType="separate"/>
            </w:r>
            <w:r>
              <w:rPr>
                <w:rFonts w:hint="eastAsia" w:ascii="Arial" w:hAnsi="宋体" w:cs="Arial"/>
                <w:kern w:val="0"/>
                <w:sz w:val="18"/>
                <w:szCs w:val="18"/>
              </w:rPr>
              <w:t>柒拾叁万陆仟贰佰玖拾陆</w:t>
            </w:r>
            <w:r>
              <w:rPr>
                <w:rFonts w:ascii="Arial" w:hAnsi="宋体" w:cs="Arial"/>
                <w:kern w:val="0"/>
                <w:sz w:val="18"/>
                <w:szCs w:val="18"/>
              </w:rPr>
              <w:fldChar w:fldCharType="end"/>
            </w:r>
            <w:r>
              <w:rPr>
                <w:rFonts w:hint="eastAsia" w:ascii="Arial" w:hAnsi="宋体" w:cs="Arial"/>
                <w:kern w:val="0"/>
                <w:sz w:val="18"/>
                <w:szCs w:val="18"/>
              </w:rPr>
              <w:t>元整</w:t>
            </w:r>
          </w:p>
        </w:tc>
      </w:tr>
      <w:tr>
        <w:tblPrEx>
          <w:tblCellMar>
            <w:top w:w="0" w:type="dxa"/>
            <w:left w:w="108" w:type="dxa"/>
            <w:bottom w:w="0" w:type="dxa"/>
            <w:right w:w="108" w:type="dxa"/>
          </w:tblCellMar>
        </w:tblPrEx>
        <w:trPr>
          <w:trHeight w:val="284" w:hRule="atLeast"/>
        </w:trPr>
        <w:tc>
          <w:tcPr>
            <w:tcW w:w="4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hint="eastAsia" w:ascii="Arial" w:hAnsi="宋体" w:cs="Arial"/>
                <w:kern w:val="0"/>
                <w:sz w:val="18"/>
                <w:szCs w:val="18"/>
              </w:rPr>
              <w:t>2</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hint="eastAsia" w:ascii="Arial" w:hAnsi="宋体" w:cs="Arial"/>
                <w:kern w:val="0"/>
                <w:sz w:val="18"/>
                <w:szCs w:val="18"/>
              </w:rPr>
              <w:t>坡屋</w:t>
            </w:r>
          </w:p>
        </w:tc>
        <w:tc>
          <w:tcPr>
            <w:tcW w:w="456" w:type="dxa"/>
            <w:tcBorders>
              <w:top w:val="single" w:color="auto" w:sz="4" w:space="0"/>
              <w:left w:val="nil"/>
              <w:bottom w:val="nil"/>
              <w:right w:val="single" w:color="auto" w:sz="4" w:space="0"/>
            </w:tcBorders>
            <w:shd w:val="clear" w:color="auto" w:fill="FFFFFF"/>
            <w:vAlign w:val="center"/>
          </w:tcPr>
          <w:p>
            <w:pPr>
              <w:widowControl/>
              <w:spacing w:line="240" w:lineRule="exact"/>
              <w:ind w:right="-31" w:rightChars="-15"/>
              <w:jc w:val="center"/>
              <w:rPr>
                <w:rFonts w:ascii="Arial" w:hAnsi="宋体" w:cs="Arial"/>
                <w:kern w:val="0"/>
                <w:sz w:val="18"/>
                <w:szCs w:val="18"/>
              </w:rPr>
            </w:pPr>
            <w:r>
              <w:rPr>
                <w:rFonts w:ascii="Arial" w:hAnsi="宋体" w:cs="Arial"/>
                <w:kern w:val="0"/>
                <w:sz w:val="18"/>
                <w:szCs w:val="18"/>
              </w:rPr>
              <w:t>㎡</w:t>
            </w:r>
          </w:p>
        </w:tc>
        <w:tc>
          <w:tcPr>
            <w:tcW w:w="82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31.24</w:t>
            </w:r>
          </w:p>
        </w:tc>
        <w:tc>
          <w:tcPr>
            <w:tcW w:w="11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6,000</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187,440</w:t>
            </w:r>
          </w:p>
        </w:tc>
        <w:tc>
          <w:tcPr>
            <w:tcW w:w="2849" w:type="dxa"/>
            <w:tcBorders>
              <w:top w:val="single" w:color="auto" w:sz="4" w:space="0"/>
              <w:left w:val="nil"/>
              <w:bottom w:val="nil"/>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fldChar w:fldCharType="begin"/>
            </w:r>
            <w:r>
              <w:rPr>
                <w:rFonts w:ascii="Arial" w:hAnsi="宋体" w:cs="Arial"/>
                <w:kern w:val="0"/>
                <w:sz w:val="18"/>
                <w:szCs w:val="18"/>
              </w:rPr>
              <w:instrText xml:space="preserve"> </w:instrText>
            </w:r>
            <w:r>
              <w:rPr>
                <w:rFonts w:hint="eastAsia" w:ascii="Arial" w:hAnsi="宋体" w:cs="Arial"/>
                <w:kern w:val="0"/>
                <w:sz w:val="18"/>
                <w:szCs w:val="18"/>
              </w:rPr>
              <w:instrText xml:space="preserve">= 187440 \* CHINESENUM2</w:instrText>
            </w:r>
            <w:r>
              <w:rPr>
                <w:rFonts w:ascii="Arial" w:hAnsi="宋体" w:cs="Arial"/>
                <w:kern w:val="0"/>
                <w:sz w:val="18"/>
                <w:szCs w:val="18"/>
              </w:rPr>
              <w:instrText xml:space="preserve"> </w:instrText>
            </w:r>
            <w:r>
              <w:rPr>
                <w:rFonts w:ascii="Arial" w:hAnsi="宋体" w:cs="Arial"/>
                <w:kern w:val="0"/>
                <w:sz w:val="18"/>
                <w:szCs w:val="18"/>
              </w:rPr>
              <w:fldChar w:fldCharType="separate"/>
            </w:r>
            <w:r>
              <w:rPr>
                <w:rFonts w:hint="eastAsia" w:ascii="Arial" w:hAnsi="宋体" w:cs="Arial"/>
                <w:kern w:val="0"/>
                <w:sz w:val="18"/>
                <w:szCs w:val="18"/>
              </w:rPr>
              <w:t>壹拾捌万柒仟肆佰肆拾</w:t>
            </w:r>
            <w:r>
              <w:rPr>
                <w:rFonts w:ascii="Arial" w:hAnsi="宋体" w:cs="Arial"/>
                <w:kern w:val="0"/>
                <w:sz w:val="18"/>
                <w:szCs w:val="18"/>
              </w:rPr>
              <w:fldChar w:fldCharType="end"/>
            </w:r>
            <w:r>
              <w:rPr>
                <w:rFonts w:hint="eastAsia" w:ascii="Arial" w:hAnsi="宋体" w:cs="Arial"/>
                <w:kern w:val="0"/>
                <w:sz w:val="18"/>
                <w:szCs w:val="18"/>
              </w:rPr>
              <w:t>元整</w:t>
            </w:r>
          </w:p>
        </w:tc>
      </w:tr>
      <w:tr>
        <w:tblPrEx>
          <w:tblCellMar>
            <w:top w:w="0" w:type="dxa"/>
            <w:left w:w="108" w:type="dxa"/>
            <w:bottom w:w="0" w:type="dxa"/>
            <w:right w:w="108" w:type="dxa"/>
          </w:tblCellMar>
        </w:tblPrEx>
        <w:trPr>
          <w:trHeight w:val="284" w:hRule="atLeast"/>
        </w:trPr>
        <w:tc>
          <w:tcPr>
            <w:tcW w:w="4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hint="eastAsia" w:ascii="Arial" w:hAnsi="宋体" w:cs="Arial"/>
                <w:kern w:val="0"/>
                <w:sz w:val="18"/>
                <w:szCs w:val="18"/>
              </w:rPr>
              <w:t>3</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Arial" w:hAnsi="宋体" w:cs="Arial"/>
                <w:kern w:val="0"/>
                <w:sz w:val="18"/>
                <w:szCs w:val="18"/>
              </w:rPr>
            </w:pPr>
            <w:r>
              <w:rPr>
                <w:rFonts w:hint="eastAsia" w:ascii="Arial" w:hAnsi="宋体" w:cs="Arial"/>
                <w:kern w:val="0"/>
                <w:sz w:val="18"/>
                <w:szCs w:val="18"/>
              </w:rPr>
              <w:t>自行车库</w:t>
            </w:r>
          </w:p>
        </w:tc>
        <w:tc>
          <w:tcPr>
            <w:tcW w:w="456" w:type="dxa"/>
            <w:tcBorders>
              <w:top w:val="single" w:color="auto" w:sz="4" w:space="0"/>
              <w:left w:val="nil"/>
              <w:bottom w:val="nil"/>
              <w:right w:val="single" w:color="auto" w:sz="4" w:space="0"/>
            </w:tcBorders>
            <w:shd w:val="clear" w:color="auto" w:fill="FFFFFF"/>
            <w:vAlign w:val="center"/>
          </w:tcPr>
          <w:p>
            <w:pPr>
              <w:widowControl/>
              <w:spacing w:line="240" w:lineRule="exact"/>
              <w:ind w:right="-31" w:rightChars="-15"/>
              <w:jc w:val="center"/>
              <w:rPr>
                <w:rFonts w:ascii="Arial" w:hAnsi="宋体" w:cs="Arial"/>
                <w:kern w:val="0"/>
                <w:sz w:val="18"/>
                <w:szCs w:val="18"/>
              </w:rPr>
            </w:pPr>
            <w:r>
              <w:rPr>
                <w:rFonts w:hint="eastAsia" w:ascii="Arial" w:hAnsi="宋体" w:cs="Arial"/>
                <w:kern w:val="0"/>
                <w:sz w:val="18"/>
                <w:szCs w:val="18"/>
              </w:rPr>
              <w:t>间</w:t>
            </w:r>
          </w:p>
        </w:tc>
        <w:tc>
          <w:tcPr>
            <w:tcW w:w="82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1</w:t>
            </w:r>
          </w:p>
        </w:tc>
        <w:tc>
          <w:tcPr>
            <w:tcW w:w="11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hint="eastAsia" w:ascii="Arial" w:hAnsi="宋体" w:cs="Arial"/>
                <w:kern w:val="0"/>
                <w:sz w:val="18"/>
                <w:szCs w:val="18"/>
              </w:rPr>
              <w:t>100,000</w:t>
            </w:r>
          </w:p>
        </w:tc>
        <w:tc>
          <w:tcPr>
            <w:tcW w:w="2849" w:type="dxa"/>
            <w:tcBorders>
              <w:top w:val="single" w:color="auto" w:sz="4" w:space="0"/>
              <w:left w:val="nil"/>
              <w:bottom w:val="nil"/>
              <w:right w:val="single" w:color="auto" w:sz="4" w:space="0"/>
            </w:tcBorders>
            <w:shd w:val="clear" w:color="auto" w:fill="FFFFFF"/>
            <w:vAlign w:val="center"/>
          </w:tcPr>
          <w:p>
            <w:pPr>
              <w:widowControl/>
              <w:spacing w:line="240" w:lineRule="exact"/>
              <w:jc w:val="center"/>
              <w:rPr>
                <w:rFonts w:ascii="Arial" w:hAnsi="宋体" w:cs="Arial"/>
                <w:kern w:val="0"/>
                <w:sz w:val="18"/>
                <w:szCs w:val="18"/>
              </w:rPr>
            </w:pPr>
            <w:r>
              <w:rPr>
                <w:rFonts w:ascii="Arial" w:hAnsi="宋体" w:cs="Arial"/>
                <w:kern w:val="0"/>
                <w:sz w:val="18"/>
                <w:szCs w:val="18"/>
              </w:rPr>
              <w:fldChar w:fldCharType="begin"/>
            </w:r>
            <w:r>
              <w:rPr>
                <w:rFonts w:ascii="Arial" w:hAnsi="宋体" w:cs="Arial"/>
                <w:kern w:val="0"/>
                <w:sz w:val="18"/>
                <w:szCs w:val="18"/>
              </w:rPr>
              <w:instrText xml:space="preserve"> </w:instrText>
            </w:r>
            <w:r>
              <w:rPr>
                <w:rFonts w:hint="eastAsia" w:ascii="Arial" w:hAnsi="宋体" w:cs="Arial"/>
                <w:kern w:val="0"/>
                <w:sz w:val="18"/>
                <w:szCs w:val="18"/>
              </w:rPr>
              <w:instrText xml:space="preserve">= 100000 \* CHINESENUM2</w:instrText>
            </w:r>
            <w:r>
              <w:rPr>
                <w:rFonts w:ascii="Arial" w:hAnsi="宋体" w:cs="Arial"/>
                <w:kern w:val="0"/>
                <w:sz w:val="18"/>
                <w:szCs w:val="18"/>
              </w:rPr>
              <w:instrText xml:space="preserve"> </w:instrText>
            </w:r>
            <w:r>
              <w:rPr>
                <w:rFonts w:ascii="Arial" w:hAnsi="宋体" w:cs="Arial"/>
                <w:kern w:val="0"/>
                <w:sz w:val="18"/>
                <w:szCs w:val="18"/>
              </w:rPr>
              <w:fldChar w:fldCharType="separate"/>
            </w:r>
            <w:r>
              <w:rPr>
                <w:rFonts w:hint="eastAsia" w:ascii="Arial" w:hAnsi="宋体" w:cs="Arial"/>
                <w:kern w:val="0"/>
                <w:sz w:val="18"/>
                <w:szCs w:val="18"/>
              </w:rPr>
              <w:t>壹拾万</w:t>
            </w:r>
            <w:r>
              <w:rPr>
                <w:rFonts w:ascii="Arial" w:hAnsi="宋体" w:cs="Arial"/>
                <w:kern w:val="0"/>
                <w:sz w:val="18"/>
                <w:szCs w:val="18"/>
              </w:rPr>
              <w:fldChar w:fldCharType="end"/>
            </w:r>
            <w:r>
              <w:rPr>
                <w:rFonts w:hint="eastAsia" w:ascii="Arial" w:hAnsi="宋体" w:cs="Arial"/>
                <w:kern w:val="0"/>
                <w:sz w:val="18"/>
                <w:szCs w:val="18"/>
              </w:rPr>
              <w:t>元整</w:t>
            </w:r>
          </w:p>
        </w:tc>
      </w:tr>
      <w:tr>
        <w:tblPrEx>
          <w:tblCellMar>
            <w:top w:w="0" w:type="dxa"/>
            <w:left w:w="108" w:type="dxa"/>
            <w:bottom w:w="0" w:type="dxa"/>
            <w:right w:w="108" w:type="dxa"/>
          </w:tblCellMar>
        </w:tblPrEx>
        <w:trPr>
          <w:trHeight w:val="284" w:hRule="atLeast"/>
        </w:trPr>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Arial" w:hAnsi="Arial" w:cs="Arial"/>
                <w:kern w:val="0"/>
                <w:sz w:val="18"/>
                <w:szCs w:val="18"/>
              </w:rPr>
            </w:pPr>
            <w:r>
              <w:rPr>
                <w:rFonts w:hint="eastAsia" w:ascii="Arial" w:hAnsi="Arial" w:cs="Arial"/>
                <w:kern w:val="0"/>
                <w:sz w:val="18"/>
                <w:szCs w:val="18"/>
              </w:rPr>
              <w:t>合计</w:t>
            </w:r>
          </w:p>
        </w:tc>
        <w:tc>
          <w:tcPr>
            <w:tcW w:w="456"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Arial" w:hAnsi="Arial" w:cs="Arial"/>
                <w:sz w:val="18"/>
                <w:szCs w:val="18"/>
              </w:rPr>
            </w:pPr>
          </w:p>
        </w:tc>
        <w:tc>
          <w:tcPr>
            <w:tcW w:w="822" w:type="dxa"/>
            <w:tcBorders>
              <w:top w:val="single" w:color="auto" w:sz="4" w:space="0"/>
              <w:left w:val="nil"/>
              <w:bottom w:val="single" w:color="auto" w:sz="4" w:space="0"/>
              <w:right w:val="single" w:color="auto" w:sz="4" w:space="0"/>
            </w:tcBorders>
          </w:tcPr>
          <w:p>
            <w:pPr>
              <w:spacing w:line="240" w:lineRule="exact"/>
              <w:jc w:val="center"/>
              <w:rPr>
                <w:rFonts w:ascii="Arial" w:hAnsi="Arial" w:cs="Arial"/>
                <w:sz w:val="18"/>
                <w:szCs w:val="18"/>
              </w:rPr>
            </w:pPr>
          </w:p>
        </w:tc>
        <w:tc>
          <w:tcPr>
            <w:tcW w:w="1161" w:type="dxa"/>
            <w:tcBorders>
              <w:top w:val="single" w:color="auto" w:sz="4" w:space="0"/>
              <w:left w:val="single" w:color="auto" w:sz="4" w:space="0"/>
              <w:bottom w:val="single" w:color="auto" w:sz="4" w:space="0"/>
              <w:right w:val="single" w:color="auto" w:sz="4" w:space="0"/>
            </w:tcBorders>
          </w:tcPr>
          <w:p>
            <w:pPr>
              <w:spacing w:line="240" w:lineRule="exact"/>
              <w:jc w:val="center"/>
              <w:rPr>
                <w:rFonts w:ascii="Arial" w:hAnsi="Arial" w:cs="Arial"/>
                <w:sz w:val="18"/>
                <w:szCs w:val="18"/>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right"/>
              <w:rPr>
                <w:rFonts w:ascii="Arial" w:hAnsi="Arial" w:cs="Arial"/>
                <w:sz w:val="18"/>
                <w:szCs w:val="18"/>
              </w:rPr>
            </w:pPr>
            <w:r>
              <w:rPr>
                <w:rFonts w:hint="eastAsia" w:ascii="Arial" w:hAnsi="Arial" w:cs="Arial"/>
                <w:sz w:val="18"/>
                <w:szCs w:val="18"/>
              </w:rPr>
              <w:t>1,023,736</w:t>
            </w:r>
          </w:p>
        </w:tc>
        <w:tc>
          <w:tcPr>
            <w:tcW w:w="284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w:instrText>
            </w:r>
            <w:r>
              <w:rPr>
                <w:rFonts w:hint="eastAsia" w:ascii="Arial" w:hAnsi="Arial" w:cs="Arial"/>
                <w:sz w:val="18"/>
                <w:szCs w:val="18"/>
              </w:rPr>
              <w:instrText xml:space="preserve">= 1023736 \* CHINESENUM2</w:instrText>
            </w:r>
            <w:r>
              <w:rPr>
                <w:rFonts w:ascii="Arial" w:hAnsi="Arial" w:cs="Arial"/>
                <w:sz w:val="18"/>
                <w:szCs w:val="18"/>
              </w:rPr>
              <w:instrText xml:space="preserve"> </w:instrText>
            </w:r>
            <w:r>
              <w:rPr>
                <w:rFonts w:ascii="Arial" w:hAnsi="Arial" w:cs="Arial"/>
                <w:sz w:val="18"/>
                <w:szCs w:val="18"/>
              </w:rPr>
              <w:fldChar w:fldCharType="separate"/>
            </w:r>
            <w:r>
              <w:rPr>
                <w:rFonts w:hint="eastAsia" w:ascii="Arial" w:hAnsi="Arial" w:cs="Arial"/>
                <w:sz w:val="18"/>
                <w:szCs w:val="18"/>
              </w:rPr>
              <w:t>壹佰零贰万叁仟柒佰叁拾陆</w:t>
            </w:r>
            <w:r>
              <w:rPr>
                <w:rFonts w:ascii="Arial" w:hAnsi="Arial" w:cs="Arial"/>
                <w:sz w:val="18"/>
                <w:szCs w:val="18"/>
              </w:rPr>
              <w:fldChar w:fldCharType="end"/>
            </w:r>
            <w:r>
              <w:rPr>
                <w:rFonts w:hint="eastAsia" w:ascii="Arial" w:hAnsi="Arial" w:cs="Arial"/>
                <w:sz w:val="18"/>
                <w:szCs w:val="18"/>
              </w:rPr>
              <w:t>元整</w:t>
            </w:r>
          </w:p>
        </w:tc>
      </w:tr>
    </w:tbl>
    <w:p>
      <w:pPr>
        <w:pStyle w:val="2"/>
        <w:numPr>
          <w:ilvl w:val="0"/>
          <w:numId w:val="0"/>
        </w:numPr>
        <w:spacing w:line="520" w:lineRule="exact"/>
        <w:ind w:left="548" w:leftChars="261" w:right="-11"/>
        <w:jc w:val="both"/>
        <w:rPr>
          <w:rFonts w:ascii="黑体" w:hAnsi="宋体" w:eastAsia="黑体"/>
          <w:bCs/>
          <w:spacing w:val="20"/>
          <w:sz w:val="24"/>
          <w:szCs w:val="24"/>
        </w:rPr>
      </w:pPr>
      <w:bookmarkStart w:id="28" w:name="_Toc27464"/>
      <w:r>
        <w:rPr>
          <w:rFonts w:hint="eastAsia" w:ascii="黑体" w:hAnsi="宋体" w:eastAsia="黑体"/>
          <w:bCs/>
          <w:spacing w:val="20"/>
          <w:sz w:val="24"/>
          <w:szCs w:val="24"/>
        </w:rPr>
        <w:t>十一、估价人员</w:t>
      </w:r>
      <w:bookmarkEnd w:id="27"/>
      <w:bookmarkEnd w:id="28"/>
    </w:p>
    <w:p>
      <w:pPr>
        <w:spacing w:line="440" w:lineRule="exact"/>
        <w:ind w:firstLine="465"/>
        <w:rPr>
          <w:sz w:val="24"/>
          <w:szCs w:val="24"/>
        </w:rPr>
      </w:pPr>
      <w:r>
        <w:rPr>
          <w:rFonts w:hint="eastAsia"/>
          <w:sz w:val="24"/>
          <w:szCs w:val="24"/>
        </w:rPr>
        <w:t>参加本次估价的注册房地产估价师：</w:t>
      </w:r>
    </w:p>
    <w:tbl>
      <w:tblPr>
        <w:tblStyle w:val="27"/>
        <w:tblW w:w="92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580"/>
        <w:gridCol w:w="3970"/>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14" w:type="dxa"/>
            <w:vAlign w:val="center"/>
          </w:tcPr>
          <w:p>
            <w:pPr>
              <w:widowControl/>
              <w:jc w:val="center"/>
              <w:rPr>
                <w:rFonts w:ascii="宋体" w:cs="宋体"/>
                <w:kern w:val="0"/>
                <w:sz w:val="22"/>
                <w:szCs w:val="22"/>
              </w:rPr>
            </w:pPr>
            <w:r>
              <w:rPr>
                <w:rFonts w:hint="eastAsia" w:ascii="宋体" w:hAnsi="宋体" w:cs="宋体"/>
                <w:kern w:val="0"/>
                <w:sz w:val="22"/>
                <w:szCs w:val="22"/>
              </w:rPr>
              <w:t>姓名</w:t>
            </w:r>
          </w:p>
        </w:tc>
        <w:tc>
          <w:tcPr>
            <w:tcW w:w="1580" w:type="dxa"/>
            <w:vAlign w:val="center"/>
          </w:tcPr>
          <w:p>
            <w:pPr>
              <w:widowControl/>
              <w:jc w:val="center"/>
              <w:rPr>
                <w:rFonts w:ascii="宋体" w:cs="宋体"/>
                <w:kern w:val="0"/>
                <w:sz w:val="22"/>
                <w:szCs w:val="22"/>
              </w:rPr>
            </w:pPr>
            <w:r>
              <w:rPr>
                <w:rFonts w:hint="eastAsia" w:ascii="宋体" w:hAnsi="宋体" w:cs="宋体"/>
                <w:kern w:val="0"/>
                <w:sz w:val="22"/>
                <w:szCs w:val="22"/>
              </w:rPr>
              <w:t>注册号</w:t>
            </w:r>
          </w:p>
        </w:tc>
        <w:tc>
          <w:tcPr>
            <w:tcW w:w="3970" w:type="dxa"/>
            <w:vAlign w:val="center"/>
          </w:tcPr>
          <w:p>
            <w:pPr>
              <w:widowControl/>
              <w:jc w:val="center"/>
              <w:rPr>
                <w:rFonts w:ascii="宋体" w:cs="宋体"/>
                <w:kern w:val="0"/>
                <w:sz w:val="22"/>
                <w:szCs w:val="22"/>
              </w:rPr>
            </w:pPr>
            <w:r>
              <w:rPr>
                <w:rFonts w:hint="eastAsia" w:ascii="宋体" w:hAnsi="宋体" w:cs="宋体"/>
                <w:kern w:val="0"/>
                <w:sz w:val="22"/>
                <w:szCs w:val="22"/>
              </w:rPr>
              <w:t>签名</w:t>
            </w:r>
          </w:p>
        </w:tc>
        <w:tc>
          <w:tcPr>
            <w:tcW w:w="2612" w:type="dxa"/>
            <w:vAlign w:val="center"/>
          </w:tcPr>
          <w:p>
            <w:pPr>
              <w:widowControl/>
              <w:jc w:val="center"/>
              <w:rPr>
                <w:rFonts w:ascii="宋体" w:cs="宋体"/>
                <w:kern w:val="0"/>
                <w:sz w:val="22"/>
                <w:szCs w:val="22"/>
              </w:rPr>
            </w:pPr>
            <w:r>
              <w:rPr>
                <w:rFonts w:hint="eastAsia" w:ascii="宋体" w:hAnsi="宋体" w:cs="宋体"/>
                <w:kern w:val="0"/>
                <w:sz w:val="22"/>
                <w:szCs w:val="22"/>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114" w:type="dxa"/>
            <w:vAlign w:val="center"/>
          </w:tcPr>
          <w:p>
            <w:pPr>
              <w:pStyle w:val="20"/>
              <w:rPr>
                <w:kern w:val="0"/>
              </w:rPr>
            </w:pPr>
            <w:r>
              <w:rPr>
                <w:rFonts w:hint="eastAsia"/>
                <w:kern w:val="0"/>
              </w:rPr>
              <w:t>林平利</w:t>
            </w:r>
          </w:p>
        </w:tc>
        <w:tc>
          <w:tcPr>
            <w:tcW w:w="1580" w:type="dxa"/>
            <w:vAlign w:val="center"/>
          </w:tcPr>
          <w:p>
            <w:pPr>
              <w:pStyle w:val="20"/>
              <w:rPr>
                <w:rFonts w:ascii="宋体"/>
                <w:kern w:val="0"/>
              </w:rPr>
            </w:pPr>
            <w:r>
              <w:rPr>
                <w:rFonts w:hint="eastAsia" w:ascii="宋体" w:hAnsi="宋体"/>
                <w:kern w:val="0"/>
              </w:rPr>
              <w:t>3320190056</w:t>
            </w:r>
          </w:p>
        </w:tc>
        <w:tc>
          <w:tcPr>
            <w:tcW w:w="3970" w:type="dxa"/>
            <w:vAlign w:val="center"/>
          </w:tcPr>
          <w:p>
            <w:pPr>
              <w:widowControl/>
              <w:spacing w:line="1000" w:lineRule="exact"/>
              <w:jc w:val="center"/>
              <w:rPr>
                <w:rFonts w:ascii="宋体"/>
                <w:bCs/>
                <w:kern w:val="0"/>
                <w:sz w:val="24"/>
                <w:szCs w:val="32"/>
              </w:rPr>
            </w:pPr>
          </w:p>
        </w:tc>
        <w:tc>
          <w:tcPr>
            <w:tcW w:w="2612" w:type="dxa"/>
            <w:vAlign w:val="center"/>
          </w:tcPr>
          <w:p>
            <w:pPr>
              <w:pStyle w:val="20"/>
              <w:rPr>
                <w:kern w:val="0"/>
              </w:rPr>
            </w:pPr>
            <w:r>
              <w:rPr>
                <w:rFonts w:hint="eastAsia"/>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1114" w:type="dxa"/>
            <w:vAlign w:val="center"/>
          </w:tcPr>
          <w:p>
            <w:pPr>
              <w:pStyle w:val="20"/>
              <w:rPr>
                <w:kern w:val="0"/>
              </w:rPr>
            </w:pPr>
            <w:r>
              <w:rPr>
                <w:rFonts w:hint="eastAsia"/>
                <w:kern w:val="0"/>
              </w:rPr>
              <w:t>关丽华</w:t>
            </w:r>
          </w:p>
        </w:tc>
        <w:tc>
          <w:tcPr>
            <w:tcW w:w="1580" w:type="dxa"/>
            <w:vAlign w:val="center"/>
          </w:tcPr>
          <w:p>
            <w:pPr>
              <w:pStyle w:val="20"/>
              <w:rPr>
                <w:rFonts w:ascii="宋体"/>
                <w:kern w:val="0"/>
              </w:rPr>
            </w:pPr>
            <w:r>
              <w:rPr>
                <w:rFonts w:ascii="宋体" w:hAnsi="宋体"/>
                <w:kern w:val="0"/>
              </w:rPr>
              <w:t>3320100106</w:t>
            </w:r>
          </w:p>
        </w:tc>
        <w:tc>
          <w:tcPr>
            <w:tcW w:w="3970" w:type="dxa"/>
            <w:vAlign w:val="center"/>
          </w:tcPr>
          <w:p>
            <w:pPr>
              <w:pStyle w:val="20"/>
              <w:rPr>
                <w:rFonts w:ascii="宋体"/>
                <w:kern w:val="0"/>
              </w:rPr>
            </w:pPr>
          </w:p>
        </w:tc>
        <w:tc>
          <w:tcPr>
            <w:tcW w:w="2612" w:type="dxa"/>
            <w:vAlign w:val="center"/>
          </w:tcPr>
          <w:p>
            <w:pPr>
              <w:pStyle w:val="20"/>
              <w:rPr>
                <w:kern w:val="0"/>
              </w:rPr>
            </w:pPr>
            <w:r>
              <w:rPr>
                <w:rFonts w:hint="eastAsia"/>
                <w:kern w:val="0"/>
              </w:rPr>
              <w:t>年  月  日</w:t>
            </w:r>
          </w:p>
        </w:tc>
      </w:tr>
    </w:tbl>
    <w:p>
      <w:pPr>
        <w:pStyle w:val="2"/>
        <w:numPr>
          <w:ilvl w:val="0"/>
          <w:numId w:val="0"/>
        </w:numPr>
        <w:spacing w:line="520" w:lineRule="exact"/>
        <w:ind w:left="548" w:leftChars="261" w:right="-11"/>
        <w:jc w:val="both"/>
        <w:rPr>
          <w:rFonts w:ascii="黑体" w:hAnsi="宋体" w:eastAsia="黑体"/>
          <w:bCs/>
          <w:spacing w:val="20"/>
          <w:sz w:val="24"/>
          <w:szCs w:val="24"/>
        </w:rPr>
      </w:pPr>
      <w:bookmarkStart w:id="29" w:name="_Toc508132502"/>
      <w:bookmarkStart w:id="30" w:name="_Toc27358"/>
      <w:r>
        <w:rPr>
          <w:rFonts w:hint="eastAsia" w:ascii="黑体" w:hAnsi="宋体" w:eastAsia="黑体"/>
          <w:bCs/>
          <w:spacing w:val="20"/>
          <w:sz w:val="24"/>
          <w:szCs w:val="24"/>
        </w:rPr>
        <w:t>十二、实地查勘期</w:t>
      </w:r>
      <w:bookmarkEnd w:id="29"/>
      <w:bookmarkEnd w:id="30"/>
    </w:p>
    <w:p>
      <w:pPr>
        <w:spacing w:line="440" w:lineRule="exact"/>
        <w:rPr>
          <w:rFonts w:ascii="宋体"/>
          <w:sz w:val="24"/>
          <w:szCs w:val="24"/>
        </w:rPr>
      </w:pPr>
      <w:r>
        <w:rPr>
          <w:rFonts w:hint="eastAsia"/>
          <w:sz w:val="24"/>
          <w:szCs w:val="24"/>
        </w:rPr>
        <w:t xml:space="preserve">    二O二O年七月十四日。</w:t>
      </w:r>
    </w:p>
    <w:p>
      <w:pPr>
        <w:pStyle w:val="2"/>
        <w:numPr>
          <w:ilvl w:val="0"/>
          <w:numId w:val="0"/>
        </w:numPr>
        <w:spacing w:line="520" w:lineRule="exact"/>
        <w:ind w:left="548" w:leftChars="261" w:right="-11"/>
        <w:jc w:val="both"/>
        <w:rPr>
          <w:rFonts w:ascii="黑体" w:hAnsi="宋体" w:eastAsia="黑体"/>
          <w:bCs/>
          <w:spacing w:val="20"/>
          <w:sz w:val="24"/>
          <w:szCs w:val="24"/>
        </w:rPr>
      </w:pPr>
      <w:bookmarkStart w:id="31" w:name="_Toc508132503"/>
      <w:bookmarkStart w:id="32" w:name="_Toc20297"/>
      <w:r>
        <w:rPr>
          <w:rFonts w:hint="eastAsia" w:ascii="黑体" w:hAnsi="宋体" w:eastAsia="黑体"/>
          <w:bCs/>
          <w:spacing w:val="20"/>
          <w:sz w:val="24"/>
          <w:szCs w:val="24"/>
        </w:rPr>
        <w:t>十三、估价作业期</w:t>
      </w:r>
      <w:bookmarkEnd w:id="31"/>
      <w:bookmarkEnd w:id="32"/>
    </w:p>
    <w:p>
      <w:pPr>
        <w:autoSpaceDE w:val="0"/>
        <w:autoSpaceDN w:val="0"/>
        <w:adjustRightInd w:val="0"/>
        <w:spacing w:line="440" w:lineRule="exact"/>
        <w:ind w:firstLine="480" w:firstLineChars="200"/>
        <w:jc w:val="left"/>
        <w:rPr>
          <w:sz w:val="24"/>
          <w:szCs w:val="24"/>
        </w:rPr>
      </w:pPr>
      <w:r>
        <w:rPr>
          <w:rFonts w:hint="eastAsia"/>
          <w:sz w:val="24"/>
          <w:szCs w:val="24"/>
        </w:rPr>
        <w:t>二O二O年七月九日至二O二O年七月二十二日。</w:t>
      </w:r>
    </w:p>
    <w:p/>
    <w:p/>
    <w:p>
      <w:pPr>
        <w:adjustRightInd w:val="0"/>
        <w:snapToGrid w:val="0"/>
        <w:spacing w:line="420" w:lineRule="exact"/>
        <w:rPr>
          <w:rFonts w:ascii="宋体"/>
          <w:spacing w:val="10"/>
          <w:sz w:val="24"/>
          <w:szCs w:val="24"/>
        </w:rPr>
      </w:pPr>
    </w:p>
    <w:p>
      <w:pPr>
        <w:adjustRightInd w:val="0"/>
        <w:snapToGrid w:val="0"/>
        <w:spacing w:line="420" w:lineRule="exact"/>
        <w:ind w:firstLine="4030" w:firstLineChars="1550"/>
        <w:rPr>
          <w:rFonts w:ascii="宋体"/>
          <w:spacing w:val="10"/>
          <w:sz w:val="24"/>
          <w:szCs w:val="24"/>
        </w:rPr>
      </w:pPr>
      <w:r>
        <w:rPr>
          <w:rFonts w:hint="eastAsia" w:ascii="宋体" w:hAnsi="宋体"/>
          <w:spacing w:val="10"/>
          <w:sz w:val="24"/>
          <w:szCs w:val="24"/>
        </w:rPr>
        <w:t>绍兴昌业房地产评估事务所（普通合伙）</w:t>
      </w:r>
    </w:p>
    <w:p>
      <w:pPr>
        <w:adjustRightInd w:val="0"/>
        <w:snapToGrid w:val="0"/>
        <w:spacing w:line="420" w:lineRule="exact"/>
        <w:ind w:firstLine="5160" w:firstLineChars="2150"/>
        <w:rPr>
          <w:sz w:val="24"/>
          <w:szCs w:val="24"/>
        </w:rPr>
      </w:pPr>
      <w:r>
        <w:rPr>
          <w:rFonts w:hint="eastAsia"/>
          <w:sz w:val="24"/>
          <w:szCs w:val="24"/>
        </w:rPr>
        <w:t>二O二O年七月二十二日</w:t>
      </w:r>
    </w:p>
    <w:p>
      <w:pPr>
        <w:snapToGrid w:val="0"/>
        <w:spacing w:line="40" w:lineRule="exact"/>
        <w:rPr>
          <w:rFonts w:ascii="宋体"/>
          <w:sz w:val="24"/>
        </w:rPr>
      </w:pPr>
      <w:r>
        <w:rPr>
          <w:rFonts w:hint="eastAsia"/>
          <w:sz w:val="24"/>
          <w:szCs w:val="24"/>
        </w:rPr>
        <w:br w:type="page"/>
      </w:r>
    </w:p>
    <w:p>
      <w:pPr>
        <w:pStyle w:val="2"/>
        <w:numPr>
          <w:ilvl w:val="0"/>
          <w:numId w:val="0"/>
        </w:numPr>
        <w:spacing w:line="480" w:lineRule="auto"/>
        <w:ind w:right="-11"/>
        <w:jc w:val="center"/>
        <w:rPr>
          <w:rFonts w:ascii="黑体" w:eastAsia="黑体"/>
          <w:bCs/>
          <w:spacing w:val="300"/>
          <w:sz w:val="36"/>
          <w:szCs w:val="36"/>
        </w:rPr>
      </w:pPr>
      <w:bookmarkStart w:id="33" w:name="_Toc508132513"/>
      <w:bookmarkStart w:id="34" w:name="_Toc1712"/>
      <w:r>
        <w:rPr>
          <w:rFonts w:hint="eastAsia" w:ascii="黑体" w:eastAsia="黑体"/>
          <w:bCs/>
          <w:spacing w:val="300"/>
          <w:sz w:val="36"/>
          <w:szCs w:val="36"/>
        </w:rPr>
        <w:t>附件</w:t>
      </w:r>
      <w:bookmarkEnd w:id="33"/>
      <w:bookmarkEnd w:id="34"/>
    </w:p>
    <w:p/>
    <w:p>
      <w:pPr>
        <w:spacing w:line="560" w:lineRule="exact"/>
        <w:ind w:firstLine="480" w:firstLineChars="200"/>
        <w:rPr>
          <w:rFonts w:ascii="宋体" w:hAnsi="宋体"/>
          <w:sz w:val="24"/>
          <w:szCs w:val="22"/>
        </w:rPr>
      </w:pPr>
      <w:r>
        <w:rPr>
          <w:rFonts w:ascii="宋体" w:hAnsi="宋体"/>
          <w:sz w:val="24"/>
          <w:szCs w:val="22"/>
        </w:rPr>
        <w:t>1</w:t>
      </w:r>
      <w:r>
        <w:rPr>
          <w:rFonts w:hint="eastAsia" w:ascii="宋体" w:hAnsi="宋体"/>
          <w:sz w:val="24"/>
          <w:szCs w:val="22"/>
        </w:rPr>
        <w:t>、《绍兴市越城区人民法院司法评估委托书》复印件；</w:t>
      </w:r>
    </w:p>
    <w:p>
      <w:pPr>
        <w:spacing w:line="560" w:lineRule="exact"/>
        <w:ind w:firstLine="480" w:firstLineChars="200"/>
        <w:rPr>
          <w:rFonts w:ascii="宋体" w:hAnsi="宋体"/>
          <w:sz w:val="24"/>
        </w:rPr>
      </w:pPr>
      <w:r>
        <w:rPr>
          <w:rFonts w:hint="eastAsia" w:ascii="宋体" w:hAnsi="宋体"/>
          <w:sz w:val="24"/>
        </w:rPr>
        <w:t>2</w:t>
      </w:r>
      <w:r>
        <w:rPr>
          <w:rFonts w:hint="eastAsia"/>
          <w:sz w:val="24"/>
          <w:szCs w:val="24"/>
        </w:rPr>
        <w:t>、</w:t>
      </w:r>
      <w:r>
        <w:rPr>
          <w:rFonts w:hint="eastAsia" w:ascii="宋体" w:hAnsi="宋体"/>
          <w:color w:val="000000"/>
          <w:sz w:val="24"/>
        </w:rPr>
        <w:t>《</w:t>
      </w:r>
      <w:r>
        <w:rPr>
          <w:rFonts w:hint="eastAsia" w:ascii="宋体" w:hAnsi="宋体"/>
          <w:sz w:val="24"/>
        </w:rPr>
        <w:t>房屋所有权证</w:t>
      </w:r>
      <w:r>
        <w:rPr>
          <w:rFonts w:hint="eastAsia" w:ascii="宋体" w:hAnsi="宋体"/>
          <w:color w:val="000000"/>
          <w:sz w:val="24"/>
        </w:rPr>
        <w:t>》</w:t>
      </w:r>
      <w:r>
        <w:rPr>
          <w:rFonts w:hint="eastAsia" w:ascii="宋体" w:hAnsi="宋体"/>
          <w:sz w:val="24"/>
        </w:rPr>
        <w:t>复印件；</w:t>
      </w:r>
    </w:p>
    <w:p>
      <w:pPr>
        <w:spacing w:line="560" w:lineRule="exact"/>
        <w:ind w:firstLine="480" w:firstLineChars="200"/>
        <w:rPr>
          <w:rFonts w:ascii="宋体" w:hAnsi="宋体"/>
          <w:sz w:val="24"/>
        </w:rPr>
      </w:pPr>
      <w:r>
        <w:rPr>
          <w:rFonts w:hint="eastAsia" w:ascii="宋体" w:hAnsi="宋体"/>
          <w:sz w:val="24"/>
        </w:rPr>
        <w:t>3、《国有土地使用证》复印件；</w:t>
      </w:r>
    </w:p>
    <w:p>
      <w:pPr>
        <w:spacing w:line="560" w:lineRule="exact"/>
        <w:ind w:firstLine="480" w:firstLineChars="200"/>
        <w:rPr>
          <w:rFonts w:ascii="宋体" w:hAnsi="宋体"/>
          <w:sz w:val="24"/>
        </w:rPr>
      </w:pPr>
      <w:r>
        <w:rPr>
          <w:rFonts w:hint="eastAsia" w:ascii="宋体" w:hAnsi="宋体"/>
          <w:sz w:val="24"/>
        </w:rPr>
        <w:t>4、《</w:t>
      </w:r>
      <w:r>
        <w:rPr>
          <w:rFonts w:hint="eastAsia" w:ascii="宋体" w:hAnsi="宋体"/>
          <w:sz w:val="24"/>
          <w:szCs w:val="22"/>
        </w:rPr>
        <w:t>不动产登记证明</w:t>
      </w:r>
      <w:r>
        <w:rPr>
          <w:rFonts w:hint="eastAsia" w:ascii="宋体" w:hAnsi="宋体"/>
          <w:sz w:val="24"/>
        </w:rPr>
        <w:t>》复印件；</w:t>
      </w:r>
    </w:p>
    <w:p>
      <w:pPr>
        <w:spacing w:line="560" w:lineRule="exact"/>
        <w:ind w:firstLine="480" w:firstLineChars="200"/>
        <w:rPr>
          <w:rFonts w:ascii="宋体" w:hAnsi="宋体"/>
          <w:sz w:val="22"/>
        </w:rPr>
      </w:pPr>
      <w:r>
        <w:rPr>
          <w:rFonts w:hint="eastAsia" w:ascii="宋体" w:hAnsi="宋体"/>
          <w:sz w:val="24"/>
        </w:rPr>
        <w:t>5、</w:t>
      </w:r>
      <w:r>
        <w:rPr>
          <w:rFonts w:hint="eastAsia" w:ascii="宋体" w:hAnsi="宋体"/>
          <w:sz w:val="22"/>
        </w:rPr>
        <w:t>《嵊州市</w:t>
      </w:r>
      <w:r>
        <w:rPr>
          <w:rFonts w:hint="eastAsia" w:ascii="宋体" w:hAnsi="宋体"/>
          <w:sz w:val="22"/>
          <w:szCs w:val="22"/>
        </w:rPr>
        <w:t>不动产登记查询证明</w:t>
      </w:r>
      <w:r>
        <w:rPr>
          <w:rFonts w:hint="eastAsia" w:ascii="宋体" w:hAnsi="宋体"/>
          <w:sz w:val="22"/>
        </w:rPr>
        <w:t>》复印件；</w:t>
      </w:r>
    </w:p>
    <w:p>
      <w:pPr>
        <w:spacing w:line="560" w:lineRule="exact"/>
        <w:ind w:firstLine="480" w:firstLineChars="200"/>
        <w:rPr>
          <w:rFonts w:ascii="宋体"/>
          <w:sz w:val="24"/>
        </w:rPr>
      </w:pPr>
      <w:r>
        <w:rPr>
          <w:rFonts w:hint="eastAsia" w:ascii="宋体" w:hAnsi="宋体"/>
          <w:sz w:val="24"/>
        </w:rPr>
        <w:t>6、委估对象照片；</w:t>
      </w:r>
    </w:p>
    <w:p>
      <w:pPr>
        <w:spacing w:line="560" w:lineRule="exact"/>
        <w:ind w:firstLine="480" w:firstLineChars="200"/>
        <w:rPr>
          <w:rFonts w:ascii="宋体" w:hAnsi="宋体"/>
          <w:sz w:val="24"/>
        </w:rPr>
      </w:pPr>
      <w:r>
        <w:rPr>
          <w:rFonts w:hint="eastAsia" w:ascii="宋体" w:hAnsi="宋体"/>
          <w:sz w:val="24"/>
        </w:rPr>
        <w:t>7、委估对象位置示意图；</w:t>
      </w:r>
    </w:p>
    <w:p>
      <w:pPr>
        <w:spacing w:line="560" w:lineRule="exact"/>
        <w:ind w:firstLine="480" w:firstLineChars="200"/>
        <w:rPr>
          <w:rFonts w:ascii="宋体"/>
          <w:sz w:val="24"/>
        </w:rPr>
      </w:pPr>
      <w:r>
        <w:rPr>
          <w:rFonts w:hint="eastAsia" w:ascii="宋体" w:hAnsi="宋体"/>
          <w:sz w:val="24"/>
          <w:lang w:val="en-US" w:eastAsia="zh-CN"/>
        </w:rPr>
        <w:t>8</w:t>
      </w:r>
      <w:r>
        <w:rPr>
          <w:rFonts w:hint="eastAsia" w:ascii="宋体" w:hAnsi="宋体"/>
          <w:sz w:val="24"/>
        </w:rPr>
        <w:t>、房地产估价机构《营业执照》复印件；</w:t>
      </w:r>
    </w:p>
    <w:p>
      <w:pPr>
        <w:spacing w:line="560" w:lineRule="exact"/>
        <w:ind w:firstLine="480" w:firstLineChars="200"/>
        <w:jc w:val="left"/>
        <w:rPr>
          <w:rFonts w:ascii="宋体"/>
          <w:sz w:val="24"/>
        </w:rPr>
      </w:pPr>
      <w:r>
        <w:rPr>
          <w:rFonts w:hint="eastAsia" w:ascii="宋体" w:hAnsi="宋体"/>
          <w:sz w:val="24"/>
          <w:lang w:val="en-US" w:eastAsia="zh-CN"/>
        </w:rPr>
        <w:t>9</w:t>
      </w:r>
      <w:r>
        <w:rPr>
          <w:rFonts w:hint="eastAsia" w:ascii="宋体" w:hAnsi="宋体"/>
          <w:sz w:val="24"/>
        </w:rPr>
        <w:t>、房地产估价机构备案证书复印件；</w:t>
      </w:r>
    </w:p>
    <w:p>
      <w:pPr>
        <w:tabs>
          <w:tab w:val="left" w:pos="420"/>
          <w:tab w:val="right" w:leader="dot" w:pos="8172"/>
          <w:tab w:val="right" w:leader="dot" w:pos="8610"/>
        </w:tabs>
        <w:adjustRightInd w:val="0"/>
        <w:snapToGrid w:val="0"/>
        <w:spacing w:line="560" w:lineRule="exact"/>
        <w:ind w:right="617" w:rightChars="294" w:firstLine="480" w:firstLineChars="200"/>
        <w:rPr>
          <w:rFonts w:ascii="宋体"/>
          <w:sz w:val="24"/>
          <w:szCs w:val="24"/>
        </w:rPr>
      </w:pPr>
      <w:r>
        <w:rPr>
          <w:rFonts w:hint="eastAsia" w:ascii="宋体" w:hAnsi="宋体"/>
          <w:sz w:val="24"/>
          <w:lang w:val="en-US" w:eastAsia="zh-CN"/>
        </w:rPr>
        <w:t>10</w:t>
      </w:r>
      <w:r>
        <w:rPr>
          <w:rFonts w:hint="eastAsia" w:ascii="宋体" w:hAnsi="宋体"/>
          <w:sz w:val="24"/>
        </w:rPr>
        <w:t>、房地产估价师注册证书复印件；</w:t>
      </w:r>
      <w:bookmarkStart w:id="35" w:name="_Hlt58836017"/>
      <w:bookmarkEnd w:id="35"/>
    </w:p>
    <w:sectPr>
      <w:headerReference r:id="rId7" w:type="default"/>
      <w:footerReference r:id="rId8" w:type="default"/>
      <w:pgSz w:w="11907" w:h="16840"/>
      <w:pgMar w:top="1418" w:right="1191" w:bottom="1418" w:left="1758" w:header="851" w:footer="851" w:gutter="0"/>
      <w:pgNumType w:start="1"/>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昆仑仿宋">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绍兴昌业房地产评估事务所</w:t>
    </w:r>
    <w:r>
      <w:t>(</w:t>
    </w:r>
    <w:r>
      <w:rPr>
        <w:rFonts w:hint="eastAsia"/>
      </w:rPr>
      <w:t>普通合伙</w:t>
    </w:r>
    <w:r>
      <w:t xml:space="preserve">)                                     </w:t>
    </w:r>
    <w:r>
      <w:rPr>
        <w:rFonts w:hint="eastAsia"/>
      </w:rPr>
      <w:t>电话：</w:t>
    </w:r>
    <w:r>
      <w:t>0575-88606947  88603906</w:t>
    </w:r>
  </w:p>
  <w:p>
    <w:pPr>
      <w:pStyle w:val="16"/>
    </w:pPr>
    <w:r>
      <w:rPr>
        <w:rFonts w:hint="eastAsia"/>
      </w:rPr>
      <w:t>地址:绍兴市迪荡新城昆仑商务中心</w:t>
    </w:r>
    <w:r>
      <w:t>2</w:t>
    </w:r>
    <w:r>
      <w:rPr>
        <w:rFonts w:hint="eastAsia"/>
      </w:rPr>
      <w:t>幢</w:t>
    </w:r>
    <w:r>
      <w:t>802</w:t>
    </w:r>
    <w:r>
      <w:rPr>
        <w:rFonts w:hint="eastAsia"/>
      </w:rPr>
      <w:t>室                              传真：</w:t>
    </w:r>
    <w:r>
      <w:t>0575-88612445</w: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31"/>
      </w:rPr>
    </w:pPr>
    <w:r>
      <w:rPr>
        <w:rStyle w:val="31"/>
      </w:rPr>
      <w:fldChar w:fldCharType="begin"/>
    </w:r>
    <w:r>
      <w:rPr>
        <w:rStyle w:val="31"/>
      </w:rPr>
      <w:instrText xml:space="preserve">PAGE  </w:instrText>
    </w:r>
    <w:r>
      <w:rPr>
        <w:rStyle w:val="31"/>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w:instrText>
    </w:r>
    <w:r>
      <w:fldChar w:fldCharType="separate"/>
    </w:r>
    <w:r>
      <w:t>25</w:t>
    </w:r>
    <w:r>
      <w:fldChar w:fldCharType="end"/>
    </w:r>
  </w:p>
  <w:p>
    <w:pPr>
      <w:pStyle w:val="16"/>
    </w:pPr>
    <w:r>
      <w:rPr>
        <w:rFonts w:hint="eastAsia"/>
      </w:rPr>
      <w:t>绍兴昌业房地产评估事务所</w:t>
    </w:r>
    <w:r>
      <w:t>(</w:t>
    </w:r>
    <w:r>
      <w:rPr>
        <w:rFonts w:hint="eastAsia"/>
      </w:rPr>
      <w:t>普通合伙</w:t>
    </w:r>
    <w:r>
      <w:t xml:space="preserve">)                                      </w:t>
    </w:r>
    <w:r>
      <w:rPr>
        <w:rFonts w:hint="eastAsia"/>
      </w:rPr>
      <w:t>电话：</w:t>
    </w:r>
    <w:r>
      <w:t>0575-88606947  88603906</w:t>
    </w:r>
  </w:p>
  <w:p>
    <w:pPr>
      <w:pStyle w:val="16"/>
    </w:pPr>
    <w:r>
      <w:rPr>
        <w:rFonts w:hint="eastAsia"/>
      </w:rPr>
      <w:t>地址：绍兴市迪荡新城昆仑商务中心</w:t>
    </w:r>
    <w:r>
      <w:t>2</w:t>
    </w:r>
    <w:r>
      <w:rPr>
        <w:rFonts w:hint="eastAsia"/>
      </w:rPr>
      <w:t>幢</w:t>
    </w:r>
    <w:r>
      <w:t>802</w:t>
    </w:r>
    <w:r>
      <w:rPr>
        <w:rFonts w:hint="eastAsia"/>
      </w:rPr>
      <w:t>室                             传真：</w:t>
    </w:r>
    <w:r>
      <w:t>0575-88612445</w: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i/>
        <w:sz w:val="21"/>
        <w:szCs w:val="21"/>
      </w:rPr>
    </w:pPr>
    <w:r>
      <w:rPr>
        <w:rFonts w:hint="eastAsia" w:ascii="幼圆" w:eastAsia="幼圆"/>
        <w:i/>
        <w:szCs w:val="18"/>
      </w:rPr>
      <w:t>房地产估价报告</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kern w:val="0"/>
        <w:sz w:val="18"/>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7650" w:firstLineChars="4250"/>
      <w:jc w:val="both"/>
      <w:rPr>
        <w:i/>
        <w:iCs/>
      </w:rPr>
    </w:pPr>
    <w:r>
      <w:rPr>
        <w:rFonts w:hint="eastAsia" w:ascii="幼圆" w:hAnsi="宋体" w:eastAsia="幼圆"/>
        <w:i/>
        <w:iCs/>
      </w:rPr>
      <w:t>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5B13B"/>
    <w:multiLevelType w:val="singleLevel"/>
    <w:tmpl w:val="D345B13B"/>
    <w:lvl w:ilvl="0" w:tentative="0">
      <w:start w:val="2"/>
      <w:numFmt w:val="decimal"/>
      <w:suff w:val="nothing"/>
      <w:lvlText w:val="%1、"/>
      <w:lvlJc w:val="left"/>
    </w:lvl>
  </w:abstractNum>
  <w:abstractNum w:abstractNumId="1">
    <w:nsid w:val="2E8C64AC"/>
    <w:multiLevelType w:val="singleLevel"/>
    <w:tmpl w:val="2E8C64AC"/>
    <w:lvl w:ilvl="0" w:tentative="0">
      <w:start w:val="6"/>
      <w:numFmt w:val="upperLetter"/>
      <w:pStyle w:val="2"/>
      <w:lvlText w:val="%1、 "/>
      <w:legacy w:legacy="1" w:legacySpace="0" w:legacyIndent="552"/>
      <w:lvlJc w:val="left"/>
      <w:pPr>
        <w:ind w:left="1272" w:hanging="552"/>
      </w:pPr>
      <w:rPr>
        <w:rFonts w:hint="eastAsia" w:ascii="仿宋_GB2312" w:eastAsia="仿宋_GB2312" w:cs="Times New Roman"/>
        <w:b w:val="0"/>
        <w:i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5"/>
  <w:drawingGridHorizontalSpacing w:val="2"/>
  <w:drawingGridVerticalSpacing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6CD"/>
    <w:rsid w:val="00000241"/>
    <w:rsid w:val="000008AB"/>
    <w:rsid w:val="00000FF2"/>
    <w:rsid w:val="000016B2"/>
    <w:rsid w:val="00001A6A"/>
    <w:rsid w:val="00001FFA"/>
    <w:rsid w:val="0000261C"/>
    <w:rsid w:val="00002C00"/>
    <w:rsid w:val="0000478B"/>
    <w:rsid w:val="00004F5F"/>
    <w:rsid w:val="00005014"/>
    <w:rsid w:val="000054D2"/>
    <w:rsid w:val="000055EC"/>
    <w:rsid w:val="000056A8"/>
    <w:rsid w:val="000070E0"/>
    <w:rsid w:val="00007568"/>
    <w:rsid w:val="00007825"/>
    <w:rsid w:val="00007848"/>
    <w:rsid w:val="000105FB"/>
    <w:rsid w:val="000113DA"/>
    <w:rsid w:val="000118B5"/>
    <w:rsid w:val="00012C8F"/>
    <w:rsid w:val="00013199"/>
    <w:rsid w:val="00014236"/>
    <w:rsid w:val="0001468C"/>
    <w:rsid w:val="00014B46"/>
    <w:rsid w:val="0001528D"/>
    <w:rsid w:val="00015A8B"/>
    <w:rsid w:val="00015B8D"/>
    <w:rsid w:val="000160E6"/>
    <w:rsid w:val="00016687"/>
    <w:rsid w:val="00016B34"/>
    <w:rsid w:val="00017ED9"/>
    <w:rsid w:val="00021245"/>
    <w:rsid w:val="000218EA"/>
    <w:rsid w:val="00021976"/>
    <w:rsid w:val="000219B9"/>
    <w:rsid w:val="000225FB"/>
    <w:rsid w:val="00023065"/>
    <w:rsid w:val="000235B8"/>
    <w:rsid w:val="00023D02"/>
    <w:rsid w:val="00023EAB"/>
    <w:rsid w:val="00023F75"/>
    <w:rsid w:val="0002484A"/>
    <w:rsid w:val="0002490A"/>
    <w:rsid w:val="0002491E"/>
    <w:rsid w:val="00024B63"/>
    <w:rsid w:val="00025624"/>
    <w:rsid w:val="000259CC"/>
    <w:rsid w:val="00026212"/>
    <w:rsid w:val="00026327"/>
    <w:rsid w:val="000272BE"/>
    <w:rsid w:val="000275B3"/>
    <w:rsid w:val="00027EBC"/>
    <w:rsid w:val="00030B8E"/>
    <w:rsid w:val="00031511"/>
    <w:rsid w:val="000322AD"/>
    <w:rsid w:val="00032AB1"/>
    <w:rsid w:val="000334A5"/>
    <w:rsid w:val="000335FE"/>
    <w:rsid w:val="00034633"/>
    <w:rsid w:val="00034883"/>
    <w:rsid w:val="00034A04"/>
    <w:rsid w:val="00034DF4"/>
    <w:rsid w:val="00035165"/>
    <w:rsid w:val="00035655"/>
    <w:rsid w:val="00035733"/>
    <w:rsid w:val="00035A0D"/>
    <w:rsid w:val="00036190"/>
    <w:rsid w:val="000363E3"/>
    <w:rsid w:val="000365DA"/>
    <w:rsid w:val="0003687D"/>
    <w:rsid w:val="000410BC"/>
    <w:rsid w:val="000415A2"/>
    <w:rsid w:val="0004195F"/>
    <w:rsid w:val="00042502"/>
    <w:rsid w:val="00042C73"/>
    <w:rsid w:val="00042D57"/>
    <w:rsid w:val="00042E73"/>
    <w:rsid w:val="00042EE4"/>
    <w:rsid w:val="00043846"/>
    <w:rsid w:val="00043975"/>
    <w:rsid w:val="00043EE9"/>
    <w:rsid w:val="000440E3"/>
    <w:rsid w:val="0004466D"/>
    <w:rsid w:val="0004476C"/>
    <w:rsid w:val="00045312"/>
    <w:rsid w:val="000454D0"/>
    <w:rsid w:val="00045A4A"/>
    <w:rsid w:val="0004640D"/>
    <w:rsid w:val="0004688C"/>
    <w:rsid w:val="00046FBC"/>
    <w:rsid w:val="000474EC"/>
    <w:rsid w:val="0004758F"/>
    <w:rsid w:val="00047758"/>
    <w:rsid w:val="00047912"/>
    <w:rsid w:val="00047B5C"/>
    <w:rsid w:val="00047E92"/>
    <w:rsid w:val="00050DC1"/>
    <w:rsid w:val="00052011"/>
    <w:rsid w:val="0005263A"/>
    <w:rsid w:val="00052A8A"/>
    <w:rsid w:val="00052D51"/>
    <w:rsid w:val="000539A0"/>
    <w:rsid w:val="00054242"/>
    <w:rsid w:val="00055080"/>
    <w:rsid w:val="00055116"/>
    <w:rsid w:val="00055613"/>
    <w:rsid w:val="00055A7A"/>
    <w:rsid w:val="000563AD"/>
    <w:rsid w:val="00056F73"/>
    <w:rsid w:val="000574F5"/>
    <w:rsid w:val="0005764B"/>
    <w:rsid w:val="000613B3"/>
    <w:rsid w:val="0006337C"/>
    <w:rsid w:val="00063905"/>
    <w:rsid w:val="00064328"/>
    <w:rsid w:val="00064BFD"/>
    <w:rsid w:val="000654D4"/>
    <w:rsid w:val="00065E6C"/>
    <w:rsid w:val="000661DF"/>
    <w:rsid w:val="00067351"/>
    <w:rsid w:val="00067D97"/>
    <w:rsid w:val="00070C4F"/>
    <w:rsid w:val="00071579"/>
    <w:rsid w:val="00071951"/>
    <w:rsid w:val="00072BAC"/>
    <w:rsid w:val="00073B70"/>
    <w:rsid w:val="00074392"/>
    <w:rsid w:val="00074850"/>
    <w:rsid w:val="00074D4B"/>
    <w:rsid w:val="00074E0E"/>
    <w:rsid w:val="00074EBB"/>
    <w:rsid w:val="00075B6D"/>
    <w:rsid w:val="00075D2B"/>
    <w:rsid w:val="00075F62"/>
    <w:rsid w:val="0007608B"/>
    <w:rsid w:val="000763D5"/>
    <w:rsid w:val="00076887"/>
    <w:rsid w:val="000769E3"/>
    <w:rsid w:val="000769EE"/>
    <w:rsid w:val="00076A92"/>
    <w:rsid w:val="00076BF5"/>
    <w:rsid w:val="00076F15"/>
    <w:rsid w:val="0007709B"/>
    <w:rsid w:val="000801C4"/>
    <w:rsid w:val="0008135D"/>
    <w:rsid w:val="00081369"/>
    <w:rsid w:val="000817DC"/>
    <w:rsid w:val="00081ADD"/>
    <w:rsid w:val="0008201A"/>
    <w:rsid w:val="000822D1"/>
    <w:rsid w:val="00083A04"/>
    <w:rsid w:val="00083A18"/>
    <w:rsid w:val="00083B33"/>
    <w:rsid w:val="000840B0"/>
    <w:rsid w:val="00084402"/>
    <w:rsid w:val="0008449C"/>
    <w:rsid w:val="00084FCC"/>
    <w:rsid w:val="00085AEA"/>
    <w:rsid w:val="000862EB"/>
    <w:rsid w:val="00086444"/>
    <w:rsid w:val="00086759"/>
    <w:rsid w:val="0009053A"/>
    <w:rsid w:val="000905FA"/>
    <w:rsid w:val="0009093D"/>
    <w:rsid w:val="00090A44"/>
    <w:rsid w:val="00092B78"/>
    <w:rsid w:val="00092E96"/>
    <w:rsid w:val="000934EF"/>
    <w:rsid w:val="0009466E"/>
    <w:rsid w:val="000948B3"/>
    <w:rsid w:val="00094ABE"/>
    <w:rsid w:val="00094D7E"/>
    <w:rsid w:val="000950DD"/>
    <w:rsid w:val="00095155"/>
    <w:rsid w:val="00095D05"/>
    <w:rsid w:val="00096642"/>
    <w:rsid w:val="00096BDD"/>
    <w:rsid w:val="000972A6"/>
    <w:rsid w:val="000973A2"/>
    <w:rsid w:val="000A0697"/>
    <w:rsid w:val="000A08EC"/>
    <w:rsid w:val="000A1A12"/>
    <w:rsid w:val="000A1EE4"/>
    <w:rsid w:val="000A1EEC"/>
    <w:rsid w:val="000A260D"/>
    <w:rsid w:val="000A271B"/>
    <w:rsid w:val="000A2F1B"/>
    <w:rsid w:val="000A3722"/>
    <w:rsid w:val="000A4405"/>
    <w:rsid w:val="000A4455"/>
    <w:rsid w:val="000A44BF"/>
    <w:rsid w:val="000A44EC"/>
    <w:rsid w:val="000A48BF"/>
    <w:rsid w:val="000A5135"/>
    <w:rsid w:val="000A5C22"/>
    <w:rsid w:val="000A61E8"/>
    <w:rsid w:val="000A69ED"/>
    <w:rsid w:val="000A6B1A"/>
    <w:rsid w:val="000A6B92"/>
    <w:rsid w:val="000A6CD3"/>
    <w:rsid w:val="000A6E2C"/>
    <w:rsid w:val="000A70A9"/>
    <w:rsid w:val="000A7288"/>
    <w:rsid w:val="000A788D"/>
    <w:rsid w:val="000A7A7D"/>
    <w:rsid w:val="000A7F00"/>
    <w:rsid w:val="000A7F94"/>
    <w:rsid w:val="000B0687"/>
    <w:rsid w:val="000B06A7"/>
    <w:rsid w:val="000B08A2"/>
    <w:rsid w:val="000B10CD"/>
    <w:rsid w:val="000B11B9"/>
    <w:rsid w:val="000B1484"/>
    <w:rsid w:val="000B2B7F"/>
    <w:rsid w:val="000B3986"/>
    <w:rsid w:val="000B3D4C"/>
    <w:rsid w:val="000B3FE2"/>
    <w:rsid w:val="000B40D1"/>
    <w:rsid w:val="000B4355"/>
    <w:rsid w:val="000B4794"/>
    <w:rsid w:val="000B49F8"/>
    <w:rsid w:val="000B4D64"/>
    <w:rsid w:val="000B5E86"/>
    <w:rsid w:val="000B6028"/>
    <w:rsid w:val="000B60D9"/>
    <w:rsid w:val="000B6A76"/>
    <w:rsid w:val="000C0194"/>
    <w:rsid w:val="000C05CA"/>
    <w:rsid w:val="000C06C2"/>
    <w:rsid w:val="000C0C0A"/>
    <w:rsid w:val="000C1901"/>
    <w:rsid w:val="000C1CC5"/>
    <w:rsid w:val="000C33C5"/>
    <w:rsid w:val="000C39C4"/>
    <w:rsid w:val="000C468D"/>
    <w:rsid w:val="000C4A6B"/>
    <w:rsid w:val="000C53A6"/>
    <w:rsid w:val="000C561E"/>
    <w:rsid w:val="000C5636"/>
    <w:rsid w:val="000C5878"/>
    <w:rsid w:val="000C6583"/>
    <w:rsid w:val="000C66B2"/>
    <w:rsid w:val="000C6704"/>
    <w:rsid w:val="000C69F4"/>
    <w:rsid w:val="000D055D"/>
    <w:rsid w:val="000D118D"/>
    <w:rsid w:val="000D13AD"/>
    <w:rsid w:val="000D13C8"/>
    <w:rsid w:val="000D1D34"/>
    <w:rsid w:val="000D1E4F"/>
    <w:rsid w:val="000D2219"/>
    <w:rsid w:val="000D331E"/>
    <w:rsid w:val="000D37C3"/>
    <w:rsid w:val="000D4444"/>
    <w:rsid w:val="000D4979"/>
    <w:rsid w:val="000D4D89"/>
    <w:rsid w:val="000D5F4A"/>
    <w:rsid w:val="000D5FC2"/>
    <w:rsid w:val="000D6B8A"/>
    <w:rsid w:val="000D70AF"/>
    <w:rsid w:val="000D7550"/>
    <w:rsid w:val="000D7C81"/>
    <w:rsid w:val="000D7FE0"/>
    <w:rsid w:val="000E145A"/>
    <w:rsid w:val="000E1B89"/>
    <w:rsid w:val="000E20B0"/>
    <w:rsid w:val="000E3014"/>
    <w:rsid w:val="000E31A3"/>
    <w:rsid w:val="000E3724"/>
    <w:rsid w:val="000E3AB5"/>
    <w:rsid w:val="000E3BC9"/>
    <w:rsid w:val="000E4445"/>
    <w:rsid w:val="000E57C3"/>
    <w:rsid w:val="000E5B8B"/>
    <w:rsid w:val="000E5C9E"/>
    <w:rsid w:val="000E6571"/>
    <w:rsid w:val="000E6B2C"/>
    <w:rsid w:val="000E73F2"/>
    <w:rsid w:val="000E7406"/>
    <w:rsid w:val="000E7639"/>
    <w:rsid w:val="000F03A8"/>
    <w:rsid w:val="000F0E56"/>
    <w:rsid w:val="000F1216"/>
    <w:rsid w:val="000F16E2"/>
    <w:rsid w:val="000F1FC6"/>
    <w:rsid w:val="000F27CD"/>
    <w:rsid w:val="000F2B10"/>
    <w:rsid w:val="000F2B1D"/>
    <w:rsid w:val="000F34A1"/>
    <w:rsid w:val="000F34F3"/>
    <w:rsid w:val="000F3CCA"/>
    <w:rsid w:val="000F436C"/>
    <w:rsid w:val="000F44E6"/>
    <w:rsid w:val="000F47E5"/>
    <w:rsid w:val="000F5068"/>
    <w:rsid w:val="000F509F"/>
    <w:rsid w:val="000F5117"/>
    <w:rsid w:val="000F599C"/>
    <w:rsid w:val="000F5DD9"/>
    <w:rsid w:val="000F5F12"/>
    <w:rsid w:val="000F60F4"/>
    <w:rsid w:val="000F61BD"/>
    <w:rsid w:val="000F6C26"/>
    <w:rsid w:val="000F6DDE"/>
    <w:rsid w:val="000F741C"/>
    <w:rsid w:val="000F7556"/>
    <w:rsid w:val="000F7C0A"/>
    <w:rsid w:val="000F7D75"/>
    <w:rsid w:val="001006B6"/>
    <w:rsid w:val="0010094F"/>
    <w:rsid w:val="00100A41"/>
    <w:rsid w:val="00101986"/>
    <w:rsid w:val="00103093"/>
    <w:rsid w:val="00103416"/>
    <w:rsid w:val="0010356D"/>
    <w:rsid w:val="0010382B"/>
    <w:rsid w:val="00105D30"/>
    <w:rsid w:val="00105E03"/>
    <w:rsid w:val="0010612A"/>
    <w:rsid w:val="00106797"/>
    <w:rsid w:val="00107F89"/>
    <w:rsid w:val="00110462"/>
    <w:rsid w:val="00110B6D"/>
    <w:rsid w:val="00110DF3"/>
    <w:rsid w:val="00110E45"/>
    <w:rsid w:val="00111665"/>
    <w:rsid w:val="00111712"/>
    <w:rsid w:val="0011171F"/>
    <w:rsid w:val="00112148"/>
    <w:rsid w:val="0011368A"/>
    <w:rsid w:val="00113776"/>
    <w:rsid w:val="0011442E"/>
    <w:rsid w:val="00114A49"/>
    <w:rsid w:val="00114A63"/>
    <w:rsid w:val="00114C97"/>
    <w:rsid w:val="00114F8C"/>
    <w:rsid w:val="0011595F"/>
    <w:rsid w:val="00115DED"/>
    <w:rsid w:val="00116238"/>
    <w:rsid w:val="001167FD"/>
    <w:rsid w:val="00116D4B"/>
    <w:rsid w:val="0011711A"/>
    <w:rsid w:val="001171C5"/>
    <w:rsid w:val="00117453"/>
    <w:rsid w:val="0011761B"/>
    <w:rsid w:val="00120E77"/>
    <w:rsid w:val="00121542"/>
    <w:rsid w:val="00121D0F"/>
    <w:rsid w:val="00122372"/>
    <w:rsid w:val="00122B6B"/>
    <w:rsid w:val="00123262"/>
    <w:rsid w:val="00124B7A"/>
    <w:rsid w:val="00125374"/>
    <w:rsid w:val="001254AF"/>
    <w:rsid w:val="00125EB2"/>
    <w:rsid w:val="00126452"/>
    <w:rsid w:val="001266B3"/>
    <w:rsid w:val="00127799"/>
    <w:rsid w:val="00130644"/>
    <w:rsid w:val="00130667"/>
    <w:rsid w:val="001307FF"/>
    <w:rsid w:val="00130CC7"/>
    <w:rsid w:val="0013120A"/>
    <w:rsid w:val="00131795"/>
    <w:rsid w:val="001317D9"/>
    <w:rsid w:val="00131E68"/>
    <w:rsid w:val="00132801"/>
    <w:rsid w:val="00132963"/>
    <w:rsid w:val="00132D24"/>
    <w:rsid w:val="00132F3E"/>
    <w:rsid w:val="001333BD"/>
    <w:rsid w:val="00133452"/>
    <w:rsid w:val="001337E0"/>
    <w:rsid w:val="00135BB4"/>
    <w:rsid w:val="00136495"/>
    <w:rsid w:val="0013662F"/>
    <w:rsid w:val="0013665B"/>
    <w:rsid w:val="001367C0"/>
    <w:rsid w:val="001369EA"/>
    <w:rsid w:val="00136A8B"/>
    <w:rsid w:val="00140149"/>
    <w:rsid w:val="00140556"/>
    <w:rsid w:val="0014070E"/>
    <w:rsid w:val="0014117B"/>
    <w:rsid w:val="00141987"/>
    <w:rsid w:val="00142A5A"/>
    <w:rsid w:val="001438F7"/>
    <w:rsid w:val="001440DC"/>
    <w:rsid w:val="00144B4A"/>
    <w:rsid w:val="00144EFC"/>
    <w:rsid w:val="00145433"/>
    <w:rsid w:val="00145582"/>
    <w:rsid w:val="00146D90"/>
    <w:rsid w:val="00146E68"/>
    <w:rsid w:val="00147AD2"/>
    <w:rsid w:val="0015011F"/>
    <w:rsid w:val="00150235"/>
    <w:rsid w:val="00150366"/>
    <w:rsid w:val="00150BBC"/>
    <w:rsid w:val="00150DF0"/>
    <w:rsid w:val="001519AC"/>
    <w:rsid w:val="00151BCE"/>
    <w:rsid w:val="001526BD"/>
    <w:rsid w:val="00152814"/>
    <w:rsid w:val="001529E4"/>
    <w:rsid w:val="001530B4"/>
    <w:rsid w:val="0015486D"/>
    <w:rsid w:val="001548EF"/>
    <w:rsid w:val="00154F75"/>
    <w:rsid w:val="001553AF"/>
    <w:rsid w:val="0015542D"/>
    <w:rsid w:val="001556CE"/>
    <w:rsid w:val="0015593F"/>
    <w:rsid w:val="00156126"/>
    <w:rsid w:val="001566A5"/>
    <w:rsid w:val="00156974"/>
    <w:rsid w:val="00157645"/>
    <w:rsid w:val="0015780E"/>
    <w:rsid w:val="00157B8F"/>
    <w:rsid w:val="00157D27"/>
    <w:rsid w:val="0016093D"/>
    <w:rsid w:val="00160CBD"/>
    <w:rsid w:val="001620BC"/>
    <w:rsid w:val="00162502"/>
    <w:rsid w:val="0016264F"/>
    <w:rsid w:val="00162767"/>
    <w:rsid w:val="00163E14"/>
    <w:rsid w:val="00163EB8"/>
    <w:rsid w:val="00163FE3"/>
    <w:rsid w:val="001645D8"/>
    <w:rsid w:val="001645DD"/>
    <w:rsid w:val="00164C73"/>
    <w:rsid w:val="001655C6"/>
    <w:rsid w:val="00165655"/>
    <w:rsid w:val="001657C8"/>
    <w:rsid w:val="00166544"/>
    <w:rsid w:val="0017005E"/>
    <w:rsid w:val="00170539"/>
    <w:rsid w:val="0017095B"/>
    <w:rsid w:val="00170B21"/>
    <w:rsid w:val="001721B4"/>
    <w:rsid w:val="001722EF"/>
    <w:rsid w:val="00172788"/>
    <w:rsid w:val="0017312C"/>
    <w:rsid w:val="00173382"/>
    <w:rsid w:val="001740D3"/>
    <w:rsid w:val="001745E2"/>
    <w:rsid w:val="00174968"/>
    <w:rsid w:val="00174C3B"/>
    <w:rsid w:val="001751C2"/>
    <w:rsid w:val="001759CD"/>
    <w:rsid w:val="0017601E"/>
    <w:rsid w:val="00176286"/>
    <w:rsid w:val="001762BA"/>
    <w:rsid w:val="001767B5"/>
    <w:rsid w:val="00176F6D"/>
    <w:rsid w:val="00180B37"/>
    <w:rsid w:val="00181406"/>
    <w:rsid w:val="00181545"/>
    <w:rsid w:val="0018183E"/>
    <w:rsid w:val="001820B4"/>
    <w:rsid w:val="001823C9"/>
    <w:rsid w:val="0018361E"/>
    <w:rsid w:val="001838E6"/>
    <w:rsid w:val="001844F7"/>
    <w:rsid w:val="00184797"/>
    <w:rsid w:val="00184883"/>
    <w:rsid w:val="00185D52"/>
    <w:rsid w:val="0018690E"/>
    <w:rsid w:val="001869A4"/>
    <w:rsid w:val="00186A5A"/>
    <w:rsid w:val="00187D5D"/>
    <w:rsid w:val="00187F0A"/>
    <w:rsid w:val="00190CD0"/>
    <w:rsid w:val="00190FC5"/>
    <w:rsid w:val="00191234"/>
    <w:rsid w:val="00191BBB"/>
    <w:rsid w:val="0019206E"/>
    <w:rsid w:val="00192D37"/>
    <w:rsid w:val="00193BA7"/>
    <w:rsid w:val="00194127"/>
    <w:rsid w:val="00195C5A"/>
    <w:rsid w:val="00195F0E"/>
    <w:rsid w:val="00195F49"/>
    <w:rsid w:val="001964A5"/>
    <w:rsid w:val="00196626"/>
    <w:rsid w:val="00196E2F"/>
    <w:rsid w:val="00197ABF"/>
    <w:rsid w:val="00197EB6"/>
    <w:rsid w:val="001A0451"/>
    <w:rsid w:val="001A06EF"/>
    <w:rsid w:val="001A0888"/>
    <w:rsid w:val="001A0BDB"/>
    <w:rsid w:val="001A0D70"/>
    <w:rsid w:val="001A1036"/>
    <w:rsid w:val="001A1825"/>
    <w:rsid w:val="001A2C0D"/>
    <w:rsid w:val="001A2EC7"/>
    <w:rsid w:val="001A3113"/>
    <w:rsid w:val="001A3B0D"/>
    <w:rsid w:val="001A400B"/>
    <w:rsid w:val="001A40BB"/>
    <w:rsid w:val="001A4A6A"/>
    <w:rsid w:val="001A5107"/>
    <w:rsid w:val="001A54E0"/>
    <w:rsid w:val="001A57B8"/>
    <w:rsid w:val="001A6AFA"/>
    <w:rsid w:val="001A753F"/>
    <w:rsid w:val="001A7E1D"/>
    <w:rsid w:val="001B03B6"/>
    <w:rsid w:val="001B0492"/>
    <w:rsid w:val="001B04FF"/>
    <w:rsid w:val="001B08B9"/>
    <w:rsid w:val="001B0926"/>
    <w:rsid w:val="001B1000"/>
    <w:rsid w:val="001B1494"/>
    <w:rsid w:val="001B2380"/>
    <w:rsid w:val="001B25C5"/>
    <w:rsid w:val="001B26CF"/>
    <w:rsid w:val="001B2994"/>
    <w:rsid w:val="001B2BBB"/>
    <w:rsid w:val="001B2DE1"/>
    <w:rsid w:val="001B31E7"/>
    <w:rsid w:val="001B3283"/>
    <w:rsid w:val="001B32D3"/>
    <w:rsid w:val="001B354E"/>
    <w:rsid w:val="001B37D9"/>
    <w:rsid w:val="001B3DB7"/>
    <w:rsid w:val="001B4268"/>
    <w:rsid w:val="001B42CD"/>
    <w:rsid w:val="001B4437"/>
    <w:rsid w:val="001B4736"/>
    <w:rsid w:val="001B4813"/>
    <w:rsid w:val="001B487C"/>
    <w:rsid w:val="001B59E9"/>
    <w:rsid w:val="001B6139"/>
    <w:rsid w:val="001B68CE"/>
    <w:rsid w:val="001B697E"/>
    <w:rsid w:val="001B6DA0"/>
    <w:rsid w:val="001B6F9F"/>
    <w:rsid w:val="001B734D"/>
    <w:rsid w:val="001C0139"/>
    <w:rsid w:val="001C037A"/>
    <w:rsid w:val="001C092D"/>
    <w:rsid w:val="001C0B07"/>
    <w:rsid w:val="001C1DCF"/>
    <w:rsid w:val="001C243D"/>
    <w:rsid w:val="001C27E3"/>
    <w:rsid w:val="001C2930"/>
    <w:rsid w:val="001C2F3D"/>
    <w:rsid w:val="001C3860"/>
    <w:rsid w:val="001C38E2"/>
    <w:rsid w:val="001C3C6D"/>
    <w:rsid w:val="001C3F07"/>
    <w:rsid w:val="001C49D3"/>
    <w:rsid w:val="001C4FEB"/>
    <w:rsid w:val="001C52FF"/>
    <w:rsid w:val="001C5607"/>
    <w:rsid w:val="001C58C4"/>
    <w:rsid w:val="001C5DB4"/>
    <w:rsid w:val="001D0190"/>
    <w:rsid w:val="001D07F3"/>
    <w:rsid w:val="001D07FD"/>
    <w:rsid w:val="001D0ABF"/>
    <w:rsid w:val="001D0E47"/>
    <w:rsid w:val="001D16A7"/>
    <w:rsid w:val="001D173B"/>
    <w:rsid w:val="001D1F28"/>
    <w:rsid w:val="001D3346"/>
    <w:rsid w:val="001D4AEB"/>
    <w:rsid w:val="001D561D"/>
    <w:rsid w:val="001D5950"/>
    <w:rsid w:val="001D5C01"/>
    <w:rsid w:val="001D60D9"/>
    <w:rsid w:val="001D669A"/>
    <w:rsid w:val="001D68D6"/>
    <w:rsid w:val="001D728F"/>
    <w:rsid w:val="001D7A71"/>
    <w:rsid w:val="001D7EA9"/>
    <w:rsid w:val="001E04CD"/>
    <w:rsid w:val="001E0B07"/>
    <w:rsid w:val="001E0C51"/>
    <w:rsid w:val="001E0F5E"/>
    <w:rsid w:val="001E1224"/>
    <w:rsid w:val="001E1CE4"/>
    <w:rsid w:val="001E1EB7"/>
    <w:rsid w:val="001E1ED9"/>
    <w:rsid w:val="001E226F"/>
    <w:rsid w:val="001E251F"/>
    <w:rsid w:val="001E5BE1"/>
    <w:rsid w:val="001E5EAA"/>
    <w:rsid w:val="001E6600"/>
    <w:rsid w:val="001E680E"/>
    <w:rsid w:val="001E7DF7"/>
    <w:rsid w:val="001F08FE"/>
    <w:rsid w:val="001F1147"/>
    <w:rsid w:val="001F1344"/>
    <w:rsid w:val="001F15D2"/>
    <w:rsid w:val="001F1A15"/>
    <w:rsid w:val="001F1DF0"/>
    <w:rsid w:val="001F22C6"/>
    <w:rsid w:val="001F2C6B"/>
    <w:rsid w:val="001F345D"/>
    <w:rsid w:val="001F34D5"/>
    <w:rsid w:val="001F3561"/>
    <w:rsid w:val="001F3A50"/>
    <w:rsid w:val="001F3B8C"/>
    <w:rsid w:val="001F4302"/>
    <w:rsid w:val="001F4842"/>
    <w:rsid w:val="001F54EC"/>
    <w:rsid w:val="001F5984"/>
    <w:rsid w:val="001F6367"/>
    <w:rsid w:val="001F6440"/>
    <w:rsid w:val="001F6802"/>
    <w:rsid w:val="001F6F68"/>
    <w:rsid w:val="002008AE"/>
    <w:rsid w:val="00200CEB"/>
    <w:rsid w:val="002013A3"/>
    <w:rsid w:val="00201735"/>
    <w:rsid w:val="00201CB8"/>
    <w:rsid w:val="00201E2B"/>
    <w:rsid w:val="00202736"/>
    <w:rsid w:val="0020336E"/>
    <w:rsid w:val="00203BB1"/>
    <w:rsid w:val="00203E17"/>
    <w:rsid w:val="002042F4"/>
    <w:rsid w:val="00204541"/>
    <w:rsid w:val="00204755"/>
    <w:rsid w:val="00204FCC"/>
    <w:rsid w:val="00205874"/>
    <w:rsid w:val="00205DA9"/>
    <w:rsid w:val="00205DAB"/>
    <w:rsid w:val="00206051"/>
    <w:rsid w:val="00206295"/>
    <w:rsid w:val="00206EA4"/>
    <w:rsid w:val="0020717E"/>
    <w:rsid w:val="002076A5"/>
    <w:rsid w:val="00207C16"/>
    <w:rsid w:val="002103AA"/>
    <w:rsid w:val="00210A15"/>
    <w:rsid w:val="00210D7F"/>
    <w:rsid w:val="00211025"/>
    <w:rsid w:val="002113C4"/>
    <w:rsid w:val="00211790"/>
    <w:rsid w:val="002123EB"/>
    <w:rsid w:val="002125D8"/>
    <w:rsid w:val="00212E05"/>
    <w:rsid w:val="0021320A"/>
    <w:rsid w:val="0021379B"/>
    <w:rsid w:val="00213F15"/>
    <w:rsid w:val="0021432F"/>
    <w:rsid w:val="002167C1"/>
    <w:rsid w:val="00216BCB"/>
    <w:rsid w:val="00217027"/>
    <w:rsid w:val="00217082"/>
    <w:rsid w:val="002177E7"/>
    <w:rsid w:val="0021795B"/>
    <w:rsid w:val="00220173"/>
    <w:rsid w:val="0022024C"/>
    <w:rsid w:val="00220582"/>
    <w:rsid w:val="002209C7"/>
    <w:rsid w:val="00221676"/>
    <w:rsid w:val="00222040"/>
    <w:rsid w:val="00222375"/>
    <w:rsid w:val="00222C43"/>
    <w:rsid w:val="00223D5E"/>
    <w:rsid w:val="00223D64"/>
    <w:rsid w:val="00223D77"/>
    <w:rsid w:val="00224003"/>
    <w:rsid w:val="0022506F"/>
    <w:rsid w:val="002263AD"/>
    <w:rsid w:val="002267C7"/>
    <w:rsid w:val="00232CB9"/>
    <w:rsid w:val="00232EEE"/>
    <w:rsid w:val="0023389F"/>
    <w:rsid w:val="002343C6"/>
    <w:rsid w:val="0023635B"/>
    <w:rsid w:val="00236483"/>
    <w:rsid w:val="00236629"/>
    <w:rsid w:val="00237707"/>
    <w:rsid w:val="00240B77"/>
    <w:rsid w:val="0024226D"/>
    <w:rsid w:val="00242A5B"/>
    <w:rsid w:val="00242D18"/>
    <w:rsid w:val="002430AA"/>
    <w:rsid w:val="002432C8"/>
    <w:rsid w:val="00243644"/>
    <w:rsid w:val="00243966"/>
    <w:rsid w:val="00243A82"/>
    <w:rsid w:val="00243D06"/>
    <w:rsid w:val="002443F1"/>
    <w:rsid w:val="00244515"/>
    <w:rsid w:val="00244845"/>
    <w:rsid w:val="00244859"/>
    <w:rsid w:val="00245106"/>
    <w:rsid w:val="0024582D"/>
    <w:rsid w:val="00245C28"/>
    <w:rsid w:val="00245D9E"/>
    <w:rsid w:val="002465BC"/>
    <w:rsid w:val="00246DBB"/>
    <w:rsid w:val="00247679"/>
    <w:rsid w:val="00247B1E"/>
    <w:rsid w:val="00247D2A"/>
    <w:rsid w:val="00250277"/>
    <w:rsid w:val="0025086F"/>
    <w:rsid w:val="002512A9"/>
    <w:rsid w:val="00251CBA"/>
    <w:rsid w:val="00251EFD"/>
    <w:rsid w:val="00252E9A"/>
    <w:rsid w:val="0025356B"/>
    <w:rsid w:val="00253D07"/>
    <w:rsid w:val="00253D63"/>
    <w:rsid w:val="002542DC"/>
    <w:rsid w:val="00254325"/>
    <w:rsid w:val="0025500B"/>
    <w:rsid w:val="00255454"/>
    <w:rsid w:val="002554CB"/>
    <w:rsid w:val="0025634D"/>
    <w:rsid w:val="0025721A"/>
    <w:rsid w:val="00257718"/>
    <w:rsid w:val="00260049"/>
    <w:rsid w:val="00260589"/>
    <w:rsid w:val="002605A8"/>
    <w:rsid w:val="00260724"/>
    <w:rsid w:val="0026100F"/>
    <w:rsid w:val="002613B4"/>
    <w:rsid w:val="00261E57"/>
    <w:rsid w:val="0026275D"/>
    <w:rsid w:val="00262AA0"/>
    <w:rsid w:val="00262D17"/>
    <w:rsid w:val="00263763"/>
    <w:rsid w:val="002641FB"/>
    <w:rsid w:val="002644C4"/>
    <w:rsid w:val="00264AF0"/>
    <w:rsid w:val="00264BB9"/>
    <w:rsid w:val="00264E9E"/>
    <w:rsid w:val="00265695"/>
    <w:rsid w:val="00265CED"/>
    <w:rsid w:val="00266D65"/>
    <w:rsid w:val="002670FF"/>
    <w:rsid w:val="0026713A"/>
    <w:rsid w:val="00267513"/>
    <w:rsid w:val="00267EAF"/>
    <w:rsid w:val="00270205"/>
    <w:rsid w:val="002707B6"/>
    <w:rsid w:val="00270979"/>
    <w:rsid w:val="00270B2B"/>
    <w:rsid w:val="00270FF5"/>
    <w:rsid w:val="00271097"/>
    <w:rsid w:val="00272774"/>
    <w:rsid w:val="002738B0"/>
    <w:rsid w:val="002753F0"/>
    <w:rsid w:val="0027584E"/>
    <w:rsid w:val="00275AA1"/>
    <w:rsid w:val="0027626D"/>
    <w:rsid w:val="002763E6"/>
    <w:rsid w:val="00276F5F"/>
    <w:rsid w:val="00276FDF"/>
    <w:rsid w:val="0027723D"/>
    <w:rsid w:val="00277397"/>
    <w:rsid w:val="00280102"/>
    <w:rsid w:val="002803BE"/>
    <w:rsid w:val="00280890"/>
    <w:rsid w:val="00280DB4"/>
    <w:rsid w:val="00280EA6"/>
    <w:rsid w:val="002815A9"/>
    <w:rsid w:val="00282312"/>
    <w:rsid w:val="0028260C"/>
    <w:rsid w:val="002829F5"/>
    <w:rsid w:val="00282C4F"/>
    <w:rsid w:val="002840A1"/>
    <w:rsid w:val="0028458F"/>
    <w:rsid w:val="00284CD4"/>
    <w:rsid w:val="00284E41"/>
    <w:rsid w:val="002856FF"/>
    <w:rsid w:val="00285821"/>
    <w:rsid w:val="002858B7"/>
    <w:rsid w:val="00285B14"/>
    <w:rsid w:val="00285D72"/>
    <w:rsid w:val="00285F5D"/>
    <w:rsid w:val="0028685A"/>
    <w:rsid w:val="002869D4"/>
    <w:rsid w:val="00286BE7"/>
    <w:rsid w:val="00286F0C"/>
    <w:rsid w:val="00287720"/>
    <w:rsid w:val="002877A2"/>
    <w:rsid w:val="00287B19"/>
    <w:rsid w:val="00287B91"/>
    <w:rsid w:val="002907C9"/>
    <w:rsid w:val="00290A65"/>
    <w:rsid w:val="002912E5"/>
    <w:rsid w:val="0029216E"/>
    <w:rsid w:val="00293427"/>
    <w:rsid w:val="002943D6"/>
    <w:rsid w:val="0029444F"/>
    <w:rsid w:val="002949CC"/>
    <w:rsid w:val="002949E1"/>
    <w:rsid w:val="00295F00"/>
    <w:rsid w:val="00295F36"/>
    <w:rsid w:val="00296677"/>
    <w:rsid w:val="00296A5F"/>
    <w:rsid w:val="00296A92"/>
    <w:rsid w:val="002978BC"/>
    <w:rsid w:val="00297E9D"/>
    <w:rsid w:val="002A01C5"/>
    <w:rsid w:val="002A05DF"/>
    <w:rsid w:val="002A06FE"/>
    <w:rsid w:val="002A0E43"/>
    <w:rsid w:val="002A1399"/>
    <w:rsid w:val="002A15FE"/>
    <w:rsid w:val="002A191D"/>
    <w:rsid w:val="002A1EE9"/>
    <w:rsid w:val="002A2C8F"/>
    <w:rsid w:val="002A2E63"/>
    <w:rsid w:val="002A30AE"/>
    <w:rsid w:val="002A3236"/>
    <w:rsid w:val="002A37CA"/>
    <w:rsid w:val="002A3CAF"/>
    <w:rsid w:val="002A4256"/>
    <w:rsid w:val="002A4E2C"/>
    <w:rsid w:val="002A500D"/>
    <w:rsid w:val="002A5205"/>
    <w:rsid w:val="002A5320"/>
    <w:rsid w:val="002A5917"/>
    <w:rsid w:val="002A59C3"/>
    <w:rsid w:val="002A6848"/>
    <w:rsid w:val="002A6B04"/>
    <w:rsid w:val="002B0854"/>
    <w:rsid w:val="002B09B2"/>
    <w:rsid w:val="002B0B50"/>
    <w:rsid w:val="002B0CD4"/>
    <w:rsid w:val="002B1489"/>
    <w:rsid w:val="002B15A7"/>
    <w:rsid w:val="002B1D95"/>
    <w:rsid w:val="002B25C3"/>
    <w:rsid w:val="002B289A"/>
    <w:rsid w:val="002B2B1C"/>
    <w:rsid w:val="002B48B3"/>
    <w:rsid w:val="002B4A34"/>
    <w:rsid w:val="002B4C50"/>
    <w:rsid w:val="002B4F67"/>
    <w:rsid w:val="002B5183"/>
    <w:rsid w:val="002B53AB"/>
    <w:rsid w:val="002B5550"/>
    <w:rsid w:val="002B616B"/>
    <w:rsid w:val="002B61C9"/>
    <w:rsid w:val="002B62E9"/>
    <w:rsid w:val="002B75F9"/>
    <w:rsid w:val="002C0783"/>
    <w:rsid w:val="002C0E14"/>
    <w:rsid w:val="002C11AF"/>
    <w:rsid w:val="002C2922"/>
    <w:rsid w:val="002C2E54"/>
    <w:rsid w:val="002C32F5"/>
    <w:rsid w:val="002C35BD"/>
    <w:rsid w:val="002C36C3"/>
    <w:rsid w:val="002C38B9"/>
    <w:rsid w:val="002C5176"/>
    <w:rsid w:val="002C62CB"/>
    <w:rsid w:val="002C64DA"/>
    <w:rsid w:val="002C68C0"/>
    <w:rsid w:val="002C79B3"/>
    <w:rsid w:val="002C7BDC"/>
    <w:rsid w:val="002D0DD8"/>
    <w:rsid w:val="002D1291"/>
    <w:rsid w:val="002D1394"/>
    <w:rsid w:val="002D1BDA"/>
    <w:rsid w:val="002D1D30"/>
    <w:rsid w:val="002D1DF2"/>
    <w:rsid w:val="002D25A3"/>
    <w:rsid w:val="002D27A0"/>
    <w:rsid w:val="002D2AF5"/>
    <w:rsid w:val="002D2EB2"/>
    <w:rsid w:val="002D34FD"/>
    <w:rsid w:val="002D3558"/>
    <w:rsid w:val="002D36B6"/>
    <w:rsid w:val="002D3A1C"/>
    <w:rsid w:val="002D448E"/>
    <w:rsid w:val="002D4AB1"/>
    <w:rsid w:val="002D4DE8"/>
    <w:rsid w:val="002D6394"/>
    <w:rsid w:val="002D6398"/>
    <w:rsid w:val="002D66E6"/>
    <w:rsid w:val="002D7DBA"/>
    <w:rsid w:val="002E075F"/>
    <w:rsid w:val="002E195E"/>
    <w:rsid w:val="002E1AF7"/>
    <w:rsid w:val="002E23EA"/>
    <w:rsid w:val="002E2486"/>
    <w:rsid w:val="002E2699"/>
    <w:rsid w:val="002E2743"/>
    <w:rsid w:val="002E34EE"/>
    <w:rsid w:val="002E3BEC"/>
    <w:rsid w:val="002E3C2C"/>
    <w:rsid w:val="002E4BF9"/>
    <w:rsid w:val="002E4CAB"/>
    <w:rsid w:val="002E5A35"/>
    <w:rsid w:val="002E5E77"/>
    <w:rsid w:val="002E5EE0"/>
    <w:rsid w:val="002E61CD"/>
    <w:rsid w:val="002E7141"/>
    <w:rsid w:val="002E77B1"/>
    <w:rsid w:val="002E7A43"/>
    <w:rsid w:val="002E7C79"/>
    <w:rsid w:val="002E7EA5"/>
    <w:rsid w:val="002E7F43"/>
    <w:rsid w:val="002F090B"/>
    <w:rsid w:val="002F092F"/>
    <w:rsid w:val="002F0AF2"/>
    <w:rsid w:val="002F18CC"/>
    <w:rsid w:val="002F19EF"/>
    <w:rsid w:val="002F3A59"/>
    <w:rsid w:val="002F4080"/>
    <w:rsid w:val="002F4419"/>
    <w:rsid w:val="002F4605"/>
    <w:rsid w:val="002F4C8A"/>
    <w:rsid w:val="002F543E"/>
    <w:rsid w:val="002F5A2F"/>
    <w:rsid w:val="002F65FF"/>
    <w:rsid w:val="002F6EC1"/>
    <w:rsid w:val="002F7BFC"/>
    <w:rsid w:val="002F7C3C"/>
    <w:rsid w:val="00300BA7"/>
    <w:rsid w:val="003013C1"/>
    <w:rsid w:val="00302606"/>
    <w:rsid w:val="0030273D"/>
    <w:rsid w:val="0030295D"/>
    <w:rsid w:val="00302B90"/>
    <w:rsid w:val="003041D0"/>
    <w:rsid w:val="00304CA6"/>
    <w:rsid w:val="003060B2"/>
    <w:rsid w:val="0030650E"/>
    <w:rsid w:val="00306906"/>
    <w:rsid w:val="003072AA"/>
    <w:rsid w:val="0030789B"/>
    <w:rsid w:val="0030799B"/>
    <w:rsid w:val="00307E29"/>
    <w:rsid w:val="0031018A"/>
    <w:rsid w:val="0031040E"/>
    <w:rsid w:val="0031088F"/>
    <w:rsid w:val="00311352"/>
    <w:rsid w:val="00311AF7"/>
    <w:rsid w:val="00311EA6"/>
    <w:rsid w:val="0031234A"/>
    <w:rsid w:val="0031247F"/>
    <w:rsid w:val="00312D7F"/>
    <w:rsid w:val="0031330F"/>
    <w:rsid w:val="00313637"/>
    <w:rsid w:val="0031428F"/>
    <w:rsid w:val="003149E0"/>
    <w:rsid w:val="00315280"/>
    <w:rsid w:val="0031552E"/>
    <w:rsid w:val="00315FF3"/>
    <w:rsid w:val="00317512"/>
    <w:rsid w:val="003205BC"/>
    <w:rsid w:val="00320760"/>
    <w:rsid w:val="0032096B"/>
    <w:rsid w:val="00320EEB"/>
    <w:rsid w:val="0032119D"/>
    <w:rsid w:val="00321ABA"/>
    <w:rsid w:val="00321BB1"/>
    <w:rsid w:val="00321D56"/>
    <w:rsid w:val="003226AC"/>
    <w:rsid w:val="00322930"/>
    <w:rsid w:val="00322C25"/>
    <w:rsid w:val="00322FC8"/>
    <w:rsid w:val="003230DB"/>
    <w:rsid w:val="00324718"/>
    <w:rsid w:val="00324819"/>
    <w:rsid w:val="00324F07"/>
    <w:rsid w:val="00325DFB"/>
    <w:rsid w:val="00325E6B"/>
    <w:rsid w:val="00325E9B"/>
    <w:rsid w:val="00326729"/>
    <w:rsid w:val="00326DA4"/>
    <w:rsid w:val="00326F45"/>
    <w:rsid w:val="003308AE"/>
    <w:rsid w:val="00330A3F"/>
    <w:rsid w:val="0033105D"/>
    <w:rsid w:val="00331713"/>
    <w:rsid w:val="003318E1"/>
    <w:rsid w:val="00331B9D"/>
    <w:rsid w:val="00331E6C"/>
    <w:rsid w:val="00331FC7"/>
    <w:rsid w:val="0033215C"/>
    <w:rsid w:val="003329A7"/>
    <w:rsid w:val="00332C6E"/>
    <w:rsid w:val="00332D21"/>
    <w:rsid w:val="00334FDB"/>
    <w:rsid w:val="00336152"/>
    <w:rsid w:val="003366BA"/>
    <w:rsid w:val="003369F9"/>
    <w:rsid w:val="0033761B"/>
    <w:rsid w:val="00337EBA"/>
    <w:rsid w:val="00337FD2"/>
    <w:rsid w:val="0034027D"/>
    <w:rsid w:val="00340463"/>
    <w:rsid w:val="003409F8"/>
    <w:rsid w:val="00340B07"/>
    <w:rsid w:val="00340D8A"/>
    <w:rsid w:val="0034144A"/>
    <w:rsid w:val="0034169C"/>
    <w:rsid w:val="00341C1E"/>
    <w:rsid w:val="00341FA7"/>
    <w:rsid w:val="00342146"/>
    <w:rsid w:val="00342210"/>
    <w:rsid w:val="003422B4"/>
    <w:rsid w:val="00342B61"/>
    <w:rsid w:val="00342C34"/>
    <w:rsid w:val="00342D64"/>
    <w:rsid w:val="00342D92"/>
    <w:rsid w:val="0034345C"/>
    <w:rsid w:val="003443F9"/>
    <w:rsid w:val="003443FC"/>
    <w:rsid w:val="0034486C"/>
    <w:rsid w:val="00344D89"/>
    <w:rsid w:val="00344DF0"/>
    <w:rsid w:val="00344E97"/>
    <w:rsid w:val="00344EC0"/>
    <w:rsid w:val="0034592C"/>
    <w:rsid w:val="00345A9F"/>
    <w:rsid w:val="0034674C"/>
    <w:rsid w:val="00346802"/>
    <w:rsid w:val="00346D52"/>
    <w:rsid w:val="00346F6C"/>
    <w:rsid w:val="00347B1A"/>
    <w:rsid w:val="00347ED6"/>
    <w:rsid w:val="00347F8F"/>
    <w:rsid w:val="00350854"/>
    <w:rsid w:val="00350B15"/>
    <w:rsid w:val="00350E03"/>
    <w:rsid w:val="00350FE0"/>
    <w:rsid w:val="00351B09"/>
    <w:rsid w:val="00352191"/>
    <w:rsid w:val="003527B6"/>
    <w:rsid w:val="0035296B"/>
    <w:rsid w:val="00352DA3"/>
    <w:rsid w:val="00353638"/>
    <w:rsid w:val="003539AE"/>
    <w:rsid w:val="00353D1D"/>
    <w:rsid w:val="003543EE"/>
    <w:rsid w:val="003558F6"/>
    <w:rsid w:val="0035633D"/>
    <w:rsid w:val="00356633"/>
    <w:rsid w:val="00356EB2"/>
    <w:rsid w:val="003574B7"/>
    <w:rsid w:val="0035765F"/>
    <w:rsid w:val="0035767B"/>
    <w:rsid w:val="003577D8"/>
    <w:rsid w:val="00357912"/>
    <w:rsid w:val="00357D79"/>
    <w:rsid w:val="003603FD"/>
    <w:rsid w:val="00360D25"/>
    <w:rsid w:val="00362667"/>
    <w:rsid w:val="00362E16"/>
    <w:rsid w:val="00362EFD"/>
    <w:rsid w:val="00363287"/>
    <w:rsid w:val="0036330E"/>
    <w:rsid w:val="00363852"/>
    <w:rsid w:val="00363A82"/>
    <w:rsid w:val="0036403A"/>
    <w:rsid w:val="00364DED"/>
    <w:rsid w:val="00365C22"/>
    <w:rsid w:val="003662BD"/>
    <w:rsid w:val="00366735"/>
    <w:rsid w:val="00366B99"/>
    <w:rsid w:val="00367135"/>
    <w:rsid w:val="00367788"/>
    <w:rsid w:val="003679ED"/>
    <w:rsid w:val="00367E3E"/>
    <w:rsid w:val="003703BF"/>
    <w:rsid w:val="00372CB5"/>
    <w:rsid w:val="0037300C"/>
    <w:rsid w:val="00373769"/>
    <w:rsid w:val="003739ED"/>
    <w:rsid w:val="00373AB9"/>
    <w:rsid w:val="003744EE"/>
    <w:rsid w:val="00374D49"/>
    <w:rsid w:val="00374EF3"/>
    <w:rsid w:val="00375B1C"/>
    <w:rsid w:val="00375CC0"/>
    <w:rsid w:val="00375F41"/>
    <w:rsid w:val="00376D43"/>
    <w:rsid w:val="003770CD"/>
    <w:rsid w:val="00377AFA"/>
    <w:rsid w:val="00377B99"/>
    <w:rsid w:val="003813D4"/>
    <w:rsid w:val="003815E9"/>
    <w:rsid w:val="00381B31"/>
    <w:rsid w:val="00381E61"/>
    <w:rsid w:val="00381FB4"/>
    <w:rsid w:val="00382484"/>
    <w:rsid w:val="00382CFB"/>
    <w:rsid w:val="00383627"/>
    <w:rsid w:val="0038369F"/>
    <w:rsid w:val="00383E10"/>
    <w:rsid w:val="00384AEF"/>
    <w:rsid w:val="00385B34"/>
    <w:rsid w:val="00386003"/>
    <w:rsid w:val="00386503"/>
    <w:rsid w:val="00386E0B"/>
    <w:rsid w:val="003873C0"/>
    <w:rsid w:val="0038745A"/>
    <w:rsid w:val="00387D95"/>
    <w:rsid w:val="003904F3"/>
    <w:rsid w:val="00390B68"/>
    <w:rsid w:val="00390CE5"/>
    <w:rsid w:val="00391661"/>
    <w:rsid w:val="00392BBE"/>
    <w:rsid w:val="00392CEC"/>
    <w:rsid w:val="00393515"/>
    <w:rsid w:val="003935CC"/>
    <w:rsid w:val="00393665"/>
    <w:rsid w:val="00393E77"/>
    <w:rsid w:val="00393F05"/>
    <w:rsid w:val="003945D3"/>
    <w:rsid w:val="00394C5C"/>
    <w:rsid w:val="00394E28"/>
    <w:rsid w:val="00396C8B"/>
    <w:rsid w:val="00397090"/>
    <w:rsid w:val="00397397"/>
    <w:rsid w:val="003A1D3A"/>
    <w:rsid w:val="003A2B37"/>
    <w:rsid w:val="003A2C4B"/>
    <w:rsid w:val="003A2F50"/>
    <w:rsid w:val="003A316C"/>
    <w:rsid w:val="003A3305"/>
    <w:rsid w:val="003A42F0"/>
    <w:rsid w:val="003A49A1"/>
    <w:rsid w:val="003A4B1A"/>
    <w:rsid w:val="003A4F96"/>
    <w:rsid w:val="003A5024"/>
    <w:rsid w:val="003A5581"/>
    <w:rsid w:val="003A5A44"/>
    <w:rsid w:val="003A5FB0"/>
    <w:rsid w:val="003A612A"/>
    <w:rsid w:val="003A69E2"/>
    <w:rsid w:val="003A7204"/>
    <w:rsid w:val="003A78D4"/>
    <w:rsid w:val="003B02B2"/>
    <w:rsid w:val="003B0538"/>
    <w:rsid w:val="003B0621"/>
    <w:rsid w:val="003B0DC0"/>
    <w:rsid w:val="003B1B51"/>
    <w:rsid w:val="003B2414"/>
    <w:rsid w:val="003B460F"/>
    <w:rsid w:val="003B4A62"/>
    <w:rsid w:val="003B4B32"/>
    <w:rsid w:val="003B4C8F"/>
    <w:rsid w:val="003B4DCA"/>
    <w:rsid w:val="003B585A"/>
    <w:rsid w:val="003B5A74"/>
    <w:rsid w:val="003B6D99"/>
    <w:rsid w:val="003B6F73"/>
    <w:rsid w:val="003C01AB"/>
    <w:rsid w:val="003C0203"/>
    <w:rsid w:val="003C046F"/>
    <w:rsid w:val="003C0B0F"/>
    <w:rsid w:val="003C0D27"/>
    <w:rsid w:val="003C16DB"/>
    <w:rsid w:val="003C3090"/>
    <w:rsid w:val="003C363B"/>
    <w:rsid w:val="003C3D1E"/>
    <w:rsid w:val="003C453D"/>
    <w:rsid w:val="003C5C5B"/>
    <w:rsid w:val="003C62B2"/>
    <w:rsid w:val="003C6B43"/>
    <w:rsid w:val="003C733B"/>
    <w:rsid w:val="003C7F90"/>
    <w:rsid w:val="003D0345"/>
    <w:rsid w:val="003D1BF2"/>
    <w:rsid w:val="003D1F2C"/>
    <w:rsid w:val="003D22BD"/>
    <w:rsid w:val="003D22D3"/>
    <w:rsid w:val="003D2A01"/>
    <w:rsid w:val="003D4109"/>
    <w:rsid w:val="003D44EE"/>
    <w:rsid w:val="003D487D"/>
    <w:rsid w:val="003D4BC4"/>
    <w:rsid w:val="003D5B08"/>
    <w:rsid w:val="003D60AD"/>
    <w:rsid w:val="003D66CA"/>
    <w:rsid w:val="003D70E1"/>
    <w:rsid w:val="003D7200"/>
    <w:rsid w:val="003D78BC"/>
    <w:rsid w:val="003D7CF8"/>
    <w:rsid w:val="003D7EA3"/>
    <w:rsid w:val="003E0554"/>
    <w:rsid w:val="003E074B"/>
    <w:rsid w:val="003E0E9C"/>
    <w:rsid w:val="003E12EF"/>
    <w:rsid w:val="003E21C8"/>
    <w:rsid w:val="003E23A8"/>
    <w:rsid w:val="003E2E05"/>
    <w:rsid w:val="003E32F3"/>
    <w:rsid w:val="003E3A9D"/>
    <w:rsid w:val="003E3BB1"/>
    <w:rsid w:val="003E405C"/>
    <w:rsid w:val="003E425D"/>
    <w:rsid w:val="003E436E"/>
    <w:rsid w:val="003E497C"/>
    <w:rsid w:val="003E562B"/>
    <w:rsid w:val="003E582A"/>
    <w:rsid w:val="003E681E"/>
    <w:rsid w:val="003E77A8"/>
    <w:rsid w:val="003E7FC4"/>
    <w:rsid w:val="003F0073"/>
    <w:rsid w:val="003F05D4"/>
    <w:rsid w:val="003F0AEE"/>
    <w:rsid w:val="003F304D"/>
    <w:rsid w:val="003F3239"/>
    <w:rsid w:val="003F3D91"/>
    <w:rsid w:val="003F3DEF"/>
    <w:rsid w:val="003F3F55"/>
    <w:rsid w:val="003F4CF3"/>
    <w:rsid w:val="003F4F5D"/>
    <w:rsid w:val="003F54A2"/>
    <w:rsid w:val="003F5D49"/>
    <w:rsid w:val="003F7270"/>
    <w:rsid w:val="004007FA"/>
    <w:rsid w:val="00400A6A"/>
    <w:rsid w:val="00400EAA"/>
    <w:rsid w:val="004027E2"/>
    <w:rsid w:val="00402BFA"/>
    <w:rsid w:val="00402E68"/>
    <w:rsid w:val="00403B3F"/>
    <w:rsid w:val="00403FAA"/>
    <w:rsid w:val="00404263"/>
    <w:rsid w:val="00404FFE"/>
    <w:rsid w:val="00405479"/>
    <w:rsid w:val="00405916"/>
    <w:rsid w:val="00405B3D"/>
    <w:rsid w:val="00405B42"/>
    <w:rsid w:val="0040607E"/>
    <w:rsid w:val="00406118"/>
    <w:rsid w:val="0040692A"/>
    <w:rsid w:val="00406B09"/>
    <w:rsid w:val="00406B77"/>
    <w:rsid w:val="00407051"/>
    <w:rsid w:val="00407DDB"/>
    <w:rsid w:val="00411326"/>
    <w:rsid w:val="0041135B"/>
    <w:rsid w:val="004114AF"/>
    <w:rsid w:val="004116D9"/>
    <w:rsid w:val="00411AF3"/>
    <w:rsid w:val="00411B8B"/>
    <w:rsid w:val="00412AC7"/>
    <w:rsid w:val="0041350A"/>
    <w:rsid w:val="004136EA"/>
    <w:rsid w:val="004145A7"/>
    <w:rsid w:val="00414907"/>
    <w:rsid w:val="00414BED"/>
    <w:rsid w:val="00414FE4"/>
    <w:rsid w:val="0041554F"/>
    <w:rsid w:val="004165FD"/>
    <w:rsid w:val="0041669A"/>
    <w:rsid w:val="004167F3"/>
    <w:rsid w:val="0041701E"/>
    <w:rsid w:val="00417D8C"/>
    <w:rsid w:val="00420F04"/>
    <w:rsid w:val="00421054"/>
    <w:rsid w:val="0042110F"/>
    <w:rsid w:val="00422230"/>
    <w:rsid w:val="00422475"/>
    <w:rsid w:val="00422AAF"/>
    <w:rsid w:val="00422B59"/>
    <w:rsid w:val="00422ECF"/>
    <w:rsid w:val="0042311B"/>
    <w:rsid w:val="004231CE"/>
    <w:rsid w:val="004232C0"/>
    <w:rsid w:val="004236B0"/>
    <w:rsid w:val="00424497"/>
    <w:rsid w:val="00424C7D"/>
    <w:rsid w:val="00424E97"/>
    <w:rsid w:val="004258FC"/>
    <w:rsid w:val="00426C62"/>
    <w:rsid w:val="00426F8C"/>
    <w:rsid w:val="00427A17"/>
    <w:rsid w:val="004300B5"/>
    <w:rsid w:val="00430242"/>
    <w:rsid w:val="00430A61"/>
    <w:rsid w:val="0043162D"/>
    <w:rsid w:val="00431A5F"/>
    <w:rsid w:val="00431F3D"/>
    <w:rsid w:val="00432464"/>
    <w:rsid w:val="004324F9"/>
    <w:rsid w:val="00432845"/>
    <w:rsid w:val="00432F28"/>
    <w:rsid w:val="00433BB1"/>
    <w:rsid w:val="00434F64"/>
    <w:rsid w:val="004361A1"/>
    <w:rsid w:val="0043732A"/>
    <w:rsid w:val="0043757D"/>
    <w:rsid w:val="00437ADE"/>
    <w:rsid w:val="0044151C"/>
    <w:rsid w:val="00441766"/>
    <w:rsid w:val="00441E9D"/>
    <w:rsid w:val="00441EAF"/>
    <w:rsid w:val="004420FD"/>
    <w:rsid w:val="004423F3"/>
    <w:rsid w:val="00442818"/>
    <w:rsid w:val="00442886"/>
    <w:rsid w:val="00442F2E"/>
    <w:rsid w:val="00444269"/>
    <w:rsid w:val="004445BC"/>
    <w:rsid w:val="004449EA"/>
    <w:rsid w:val="00444C69"/>
    <w:rsid w:val="00444DE2"/>
    <w:rsid w:val="004468D6"/>
    <w:rsid w:val="0044698F"/>
    <w:rsid w:val="00446CA2"/>
    <w:rsid w:val="0045058A"/>
    <w:rsid w:val="004505D6"/>
    <w:rsid w:val="00450FBC"/>
    <w:rsid w:val="004511CC"/>
    <w:rsid w:val="00451239"/>
    <w:rsid w:val="00451369"/>
    <w:rsid w:val="00451ECE"/>
    <w:rsid w:val="00452ABC"/>
    <w:rsid w:val="00452B1E"/>
    <w:rsid w:val="00452EF9"/>
    <w:rsid w:val="00453B2F"/>
    <w:rsid w:val="00453F64"/>
    <w:rsid w:val="0045468E"/>
    <w:rsid w:val="00454847"/>
    <w:rsid w:val="004548CD"/>
    <w:rsid w:val="00454F4B"/>
    <w:rsid w:val="00455D7C"/>
    <w:rsid w:val="004564F5"/>
    <w:rsid w:val="00456AD5"/>
    <w:rsid w:val="004575D7"/>
    <w:rsid w:val="004604CE"/>
    <w:rsid w:val="0046131F"/>
    <w:rsid w:val="00461C96"/>
    <w:rsid w:val="00461F44"/>
    <w:rsid w:val="00462723"/>
    <w:rsid w:val="00463A16"/>
    <w:rsid w:val="00463AF5"/>
    <w:rsid w:val="004641A5"/>
    <w:rsid w:val="004643A2"/>
    <w:rsid w:val="004649B8"/>
    <w:rsid w:val="0046554D"/>
    <w:rsid w:val="00465621"/>
    <w:rsid w:val="004657E5"/>
    <w:rsid w:val="00467A67"/>
    <w:rsid w:val="00470002"/>
    <w:rsid w:val="00470369"/>
    <w:rsid w:val="00471029"/>
    <w:rsid w:val="004710E0"/>
    <w:rsid w:val="00471761"/>
    <w:rsid w:val="004725B6"/>
    <w:rsid w:val="00472704"/>
    <w:rsid w:val="00473F37"/>
    <w:rsid w:val="0047418F"/>
    <w:rsid w:val="00474315"/>
    <w:rsid w:val="004743E3"/>
    <w:rsid w:val="004746E9"/>
    <w:rsid w:val="00474910"/>
    <w:rsid w:val="004757FF"/>
    <w:rsid w:val="00475FA6"/>
    <w:rsid w:val="00476136"/>
    <w:rsid w:val="00476471"/>
    <w:rsid w:val="004768CE"/>
    <w:rsid w:val="00476C9A"/>
    <w:rsid w:val="00476CDE"/>
    <w:rsid w:val="00476DE6"/>
    <w:rsid w:val="00477562"/>
    <w:rsid w:val="0048016B"/>
    <w:rsid w:val="004803C7"/>
    <w:rsid w:val="00480AB9"/>
    <w:rsid w:val="00482097"/>
    <w:rsid w:val="00482B4B"/>
    <w:rsid w:val="00482BB8"/>
    <w:rsid w:val="00483448"/>
    <w:rsid w:val="0048439D"/>
    <w:rsid w:val="0048476B"/>
    <w:rsid w:val="004847AF"/>
    <w:rsid w:val="00484D2D"/>
    <w:rsid w:val="00484D46"/>
    <w:rsid w:val="00485FE8"/>
    <w:rsid w:val="00486369"/>
    <w:rsid w:val="004867F5"/>
    <w:rsid w:val="004871A9"/>
    <w:rsid w:val="00487B42"/>
    <w:rsid w:val="004900B2"/>
    <w:rsid w:val="004904E6"/>
    <w:rsid w:val="00490EEA"/>
    <w:rsid w:val="004913D5"/>
    <w:rsid w:val="00492086"/>
    <w:rsid w:val="004922D1"/>
    <w:rsid w:val="00492494"/>
    <w:rsid w:val="0049256A"/>
    <w:rsid w:val="00492743"/>
    <w:rsid w:val="0049385B"/>
    <w:rsid w:val="00493AA0"/>
    <w:rsid w:val="00493BAB"/>
    <w:rsid w:val="00494A78"/>
    <w:rsid w:val="00494AEB"/>
    <w:rsid w:val="00495395"/>
    <w:rsid w:val="00495898"/>
    <w:rsid w:val="00496AB8"/>
    <w:rsid w:val="00496DC7"/>
    <w:rsid w:val="00497CEF"/>
    <w:rsid w:val="004A050D"/>
    <w:rsid w:val="004A0E3D"/>
    <w:rsid w:val="004A13DF"/>
    <w:rsid w:val="004A29DF"/>
    <w:rsid w:val="004A303D"/>
    <w:rsid w:val="004A3292"/>
    <w:rsid w:val="004A36B5"/>
    <w:rsid w:val="004A39E1"/>
    <w:rsid w:val="004A3A07"/>
    <w:rsid w:val="004A3DE8"/>
    <w:rsid w:val="004A4181"/>
    <w:rsid w:val="004A49D0"/>
    <w:rsid w:val="004A5577"/>
    <w:rsid w:val="004A5D2E"/>
    <w:rsid w:val="004A66B3"/>
    <w:rsid w:val="004A6E44"/>
    <w:rsid w:val="004A73CF"/>
    <w:rsid w:val="004A78F0"/>
    <w:rsid w:val="004B0B81"/>
    <w:rsid w:val="004B124C"/>
    <w:rsid w:val="004B12AA"/>
    <w:rsid w:val="004B1926"/>
    <w:rsid w:val="004B1F08"/>
    <w:rsid w:val="004B1F97"/>
    <w:rsid w:val="004B2138"/>
    <w:rsid w:val="004B320C"/>
    <w:rsid w:val="004B38CE"/>
    <w:rsid w:val="004B3AE9"/>
    <w:rsid w:val="004B4E85"/>
    <w:rsid w:val="004B5448"/>
    <w:rsid w:val="004B63F3"/>
    <w:rsid w:val="004B64B8"/>
    <w:rsid w:val="004B68EA"/>
    <w:rsid w:val="004B71DD"/>
    <w:rsid w:val="004C0104"/>
    <w:rsid w:val="004C01D5"/>
    <w:rsid w:val="004C02B9"/>
    <w:rsid w:val="004C2721"/>
    <w:rsid w:val="004C3CAD"/>
    <w:rsid w:val="004C4578"/>
    <w:rsid w:val="004C4AE3"/>
    <w:rsid w:val="004C5392"/>
    <w:rsid w:val="004C596E"/>
    <w:rsid w:val="004C5B03"/>
    <w:rsid w:val="004C6786"/>
    <w:rsid w:val="004C6AFA"/>
    <w:rsid w:val="004C7934"/>
    <w:rsid w:val="004C7BC7"/>
    <w:rsid w:val="004C7FC6"/>
    <w:rsid w:val="004D0415"/>
    <w:rsid w:val="004D04A7"/>
    <w:rsid w:val="004D068F"/>
    <w:rsid w:val="004D099E"/>
    <w:rsid w:val="004D0A32"/>
    <w:rsid w:val="004D19D1"/>
    <w:rsid w:val="004D1C15"/>
    <w:rsid w:val="004D229E"/>
    <w:rsid w:val="004D2403"/>
    <w:rsid w:val="004D2AAF"/>
    <w:rsid w:val="004D2CF1"/>
    <w:rsid w:val="004D3600"/>
    <w:rsid w:val="004D3A14"/>
    <w:rsid w:val="004D4495"/>
    <w:rsid w:val="004D4E4E"/>
    <w:rsid w:val="004D5193"/>
    <w:rsid w:val="004D5DAC"/>
    <w:rsid w:val="004D61EF"/>
    <w:rsid w:val="004D65DB"/>
    <w:rsid w:val="004D6A29"/>
    <w:rsid w:val="004D6A52"/>
    <w:rsid w:val="004D6D3A"/>
    <w:rsid w:val="004D73B3"/>
    <w:rsid w:val="004D7EBA"/>
    <w:rsid w:val="004E088D"/>
    <w:rsid w:val="004E21DF"/>
    <w:rsid w:val="004E2B58"/>
    <w:rsid w:val="004E2C37"/>
    <w:rsid w:val="004E36D0"/>
    <w:rsid w:val="004E3DC9"/>
    <w:rsid w:val="004E3E1E"/>
    <w:rsid w:val="004E3F26"/>
    <w:rsid w:val="004E4209"/>
    <w:rsid w:val="004E4343"/>
    <w:rsid w:val="004E510E"/>
    <w:rsid w:val="004E53D2"/>
    <w:rsid w:val="004E6969"/>
    <w:rsid w:val="004F00BC"/>
    <w:rsid w:val="004F0233"/>
    <w:rsid w:val="004F0CF3"/>
    <w:rsid w:val="004F0FB7"/>
    <w:rsid w:val="004F154C"/>
    <w:rsid w:val="004F179E"/>
    <w:rsid w:val="004F3212"/>
    <w:rsid w:val="004F38BF"/>
    <w:rsid w:val="004F3F2F"/>
    <w:rsid w:val="004F4039"/>
    <w:rsid w:val="004F4108"/>
    <w:rsid w:val="004F48CB"/>
    <w:rsid w:val="004F4C15"/>
    <w:rsid w:val="004F59E7"/>
    <w:rsid w:val="004F5A20"/>
    <w:rsid w:val="004F5BE6"/>
    <w:rsid w:val="004F5D4A"/>
    <w:rsid w:val="004F64FF"/>
    <w:rsid w:val="004F696A"/>
    <w:rsid w:val="004F7170"/>
    <w:rsid w:val="004F7C08"/>
    <w:rsid w:val="004F7D0B"/>
    <w:rsid w:val="005007A9"/>
    <w:rsid w:val="00500D70"/>
    <w:rsid w:val="0050107E"/>
    <w:rsid w:val="00501B4F"/>
    <w:rsid w:val="00502054"/>
    <w:rsid w:val="00502803"/>
    <w:rsid w:val="005032DE"/>
    <w:rsid w:val="0050332C"/>
    <w:rsid w:val="00503519"/>
    <w:rsid w:val="00503C93"/>
    <w:rsid w:val="00504420"/>
    <w:rsid w:val="0050518B"/>
    <w:rsid w:val="005053F0"/>
    <w:rsid w:val="00505538"/>
    <w:rsid w:val="00505C4B"/>
    <w:rsid w:val="005061A5"/>
    <w:rsid w:val="005066CE"/>
    <w:rsid w:val="005069B1"/>
    <w:rsid w:val="00506BBD"/>
    <w:rsid w:val="0050782F"/>
    <w:rsid w:val="00511AB1"/>
    <w:rsid w:val="00513017"/>
    <w:rsid w:val="00513870"/>
    <w:rsid w:val="00514256"/>
    <w:rsid w:val="00514CEC"/>
    <w:rsid w:val="00516468"/>
    <w:rsid w:val="00516D86"/>
    <w:rsid w:val="00516DED"/>
    <w:rsid w:val="005177FB"/>
    <w:rsid w:val="0051795B"/>
    <w:rsid w:val="00517A1F"/>
    <w:rsid w:val="005204B5"/>
    <w:rsid w:val="00520DE8"/>
    <w:rsid w:val="00521DA3"/>
    <w:rsid w:val="005229BA"/>
    <w:rsid w:val="00522EB2"/>
    <w:rsid w:val="00523266"/>
    <w:rsid w:val="00523456"/>
    <w:rsid w:val="0052358B"/>
    <w:rsid w:val="005239D7"/>
    <w:rsid w:val="005239E4"/>
    <w:rsid w:val="00523CB4"/>
    <w:rsid w:val="00524239"/>
    <w:rsid w:val="00524994"/>
    <w:rsid w:val="00525393"/>
    <w:rsid w:val="005253D4"/>
    <w:rsid w:val="00525905"/>
    <w:rsid w:val="0052591E"/>
    <w:rsid w:val="00525E85"/>
    <w:rsid w:val="0052620D"/>
    <w:rsid w:val="00526859"/>
    <w:rsid w:val="00526B3B"/>
    <w:rsid w:val="00526B78"/>
    <w:rsid w:val="0052700F"/>
    <w:rsid w:val="00527885"/>
    <w:rsid w:val="00527C72"/>
    <w:rsid w:val="005309F7"/>
    <w:rsid w:val="00530ADC"/>
    <w:rsid w:val="00532612"/>
    <w:rsid w:val="00532A0F"/>
    <w:rsid w:val="00533706"/>
    <w:rsid w:val="00533975"/>
    <w:rsid w:val="00534444"/>
    <w:rsid w:val="0053454B"/>
    <w:rsid w:val="00535025"/>
    <w:rsid w:val="005350C3"/>
    <w:rsid w:val="0053515A"/>
    <w:rsid w:val="005352D9"/>
    <w:rsid w:val="00535F6A"/>
    <w:rsid w:val="005366C3"/>
    <w:rsid w:val="00536C54"/>
    <w:rsid w:val="00537233"/>
    <w:rsid w:val="00537B5C"/>
    <w:rsid w:val="00537D0B"/>
    <w:rsid w:val="00537E4A"/>
    <w:rsid w:val="0054028C"/>
    <w:rsid w:val="005413A8"/>
    <w:rsid w:val="00541998"/>
    <w:rsid w:val="00541A5F"/>
    <w:rsid w:val="00541CE3"/>
    <w:rsid w:val="005420AB"/>
    <w:rsid w:val="0054273C"/>
    <w:rsid w:val="0054274E"/>
    <w:rsid w:val="005428FA"/>
    <w:rsid w:val="00542A05"/>
    <w:rsid w:val="00543316"/>
    <w:rsid w:val="0054394D"/>
    <w:rsid w:val="00544100"/>
    <w:rsid w:val="00544611"/>
    <w:rsid w:val="00544F4B"/>
    <w:rsid w:val="00545242"/>
    <w:rsid w:val="00545D87"/>
    <w:rsid w:val="00546123"/>
    <w:rsid w:val="0054697F"/>
    <w:rsid w:val="00546C0D"/>
    <w:rsid w:val="00546FF1"/>
    <w:rsid w:val="00547CA3"/>
    <w:rsid w:val="00550316"/>
    <w:rsid w:val="00550359"/>
    <w:rsid w:val="00550C71"/>
    <w:rsid w:val="00551A7B"/>
    <w:rsid w:val="00551F38"/>
    <w:rsid w:val="00553235"/>
    <w:rsid w:val="0055326A"/>
    <w:rsid w:val="005535D6"/>
    <w:rsid w:val="00553B6C"/>
    <w:rsid w:val="00553F28"/>
    <w:rsid w:val="00553F90"/>
    <w:rsid w:val="00554A1C"/>
    <w:rsid w:val="00554B29"/>
    <w:rsid w:val="0055513B"/>
    <w:rsid w:val="00556264"/>
    <w:rsid w:val="00556824"/>
    <w:rsid w:val="0055739D"/>
    <w:rsid w:val="00557C25"/>
    <w:rsid w:val="005607F2"/>
    <w:rsid w:val="00561767"/>
    <w:rsid w:val="005619C1"/>
    <w:rsid w:val="00561E3F"/>
    <w:rsid w:val="00562000"/>
    <w:rsid w:val="005624E8"/>
    <w:rsid w:val="00562F41"/>
    <w:rsid w:val="005634B8"/>
    <w:rsid w:val="0056409B"/>
    <w:rsid w:val="005640E8"/>
    <w:rsid w:val="00564461"/>
    <w:rsid w:val="00564AEB"/>
    <w:rsid w:val="00564BFD"/>
    <w:rsid w:val="005657A3"/>
    <w:rsid w:val="00565A34"/>
    <w:rsid w:val="0056624E"/>
    <w:rsid w:val="00566E99"/>
    <w:rsid w:val="00567741"/>
    <w:rsid w:val="00570136"/>
    <w:rsid w:val="0057047F"/>
    <w:rsid w:val="005704AE"/>
    <w:rsid w:val="00570B34"/>
    <w:rsid w:val="00570D6C"/>
    <w:rsid w:val="0057104A"/>
    <w:rsid w:val="00571D25"/>
    <w:rsid w:val="00571D90"/>
    <w:rsid w:val="00571E65"/>
    <w:rsid w:val="0057225F"/>
    <w:rsid w:val="0057270E"/>
    <w:rsid w:val="00572CA9"/>
    <w:rsid w:val="0057310B"/>
    <w:rsid w:val="0057313F"/>
    <w:rsid w:val="005743EB"/>
    <w:rsid w:val="00575799"/>
    <w:rsid w:val="00577424"/>
    <w:rsid w:val="0057755B"/>
    <w:rsid w:val="00577996"/>
    <w:rsid w:val="00577AEA"/>
    <w:rsid w:val="00580F0D"/>
    <w:rsid w:val="00580FA9"/>
    <w:rsid w:val="0058126E"/>
    <w:rsid w:val="00581D44"/>
    <w:rsid w:val="00583492"/>
    <w:rsid w:val="00583E25"/>
    <w:rsid w:val="005840C1"/>
    <w:rsid w:val="0058414A"/>
    <w:rsid w:val="00585170"/>
    <w:rsid w:val="005855E6"/>
    <w:rsid w:val="00585642"/>
    <w:rsid w:val="00585795"/>
    <w:rsid w:val="00585C91"/>
    <w:rsid w:val="00585E71"/>
    <w:rsid w:val="00585F99"/>
    <w:rsid w:val="00586303"/>
    <w:rsid w:val="00586410"/>
    <w:rsid w:val="005864A4"/>
    <w:rsid w:val="005865F0"/>
    <w:rsid w:val="00586ADC"/>
    <w:rsid w:val="00586B86"/>
    <w:rsid w:val="00586C19"/>
    <w:rsid w:val="00586EFD"/>
    <w:rsid w:val="00587E11"/>
    <w:rsid w:val="0059069E"/>
    <w:rsid w:val="00590A11"/>
    <w:rsid w:val="005915A7"/>
    <w:rsid w:val="00591707"/>
    <w:rsid w:val="00592E8A"/>
    <w:rsid w:val="00593182"/>
    <w:rsid w:val="005943DB"/>
    <w:rsid w:val="005944E1"/>
    <w:rsid w:val="00594957"/>
    <w:rsid w:val="005955DB"/>
    <w:rsid w:val="005958E1"/>
    <w:rsid w:val="0059724B"/>
    <w:rsid w:val="005975E9"/>
    <w:rsid w:val="0059792F"/>
    <w:rsid w:val="00597C0D"/>
    <w:rsid w:val="005A0182"/>
    <w:rsid w:val="005A0931"/>
    <w:rsid w:val="005A0B27"/>
    <w:rsid w:val="005A143C"/>
    <w:rsid w:val="005A1B41"/>
    <w:rsid w:val="005A1F0B"/>
    <w:rsid w:val="005A21ED"/>
    <w:rsid w:val="005A23AE"/>
    <w:rsid w:val="005A24A9"/>
    <w:rsid w:val="005A2C49"/>
    <w:rsid w:val="005A37C0"/>
    <w:rsid w:val="005A4174"/>
    <w:rsid w:val="005A485D"/>
    <w:rsid w:val="005A53A1"/>
    <w:rsid w:val="005A59D1"/>
    <w:rsid w:val="005A5E16"/>
    <w:rsid w:val="005A680C"/>
    <w:rsid w:val="005A7950"/>
    <w:rsid w:val="005A7B1A"/>
    <w:rsid w:val="005A7B53"/>
    <w:rsid w:val="005A7EE9"/>
    <w:rsid w:val="005B0872"/>
    <w:rsid w:val="005B0DEE"/>
    <w:rsid w:val="005B10BF"/>
    <w:rsid w:val="005B1541"/>
    <w:rsid w:val="005B18F8"/>
    <w:rsid w:val="005B2435"/>
    <w:rsid w:val="005B2C7B"/>
    <w:rsid w:val="005B30AC"/>
    <w:rsid w:val="005B37D5"/>
    <w:rsid w:val="005B3CB3"/>
    <w:rsid w:val="005B4B98"/>
    <w:rsid w:val="005B6786"/>
    <w:rsid w:val="005B67E2"/>
    <w:rsid w:val="005C001C"/>
    <w:rsid w:val="005C0CC4"/>
    <w:rsid w:val="005C0E90"/>
    <w:rsid w:val="005C119F"/>
    <w:rsid w:val="005C14DB"/>
    <w:rsid w:val="005C17B7"/>
    <w:rsid w:val="005C1981"/>
    <w:rsid w:val="005C199B"/>
    <w:rsid w:val="005C1CE1"/>
    <w:rsid w:val="005C221E"/>
    <w:rsid w:val="005C327E"/>
    <w:rsid w:val="005C348D"/>
    <w:rsid w:val="005C4151"/>
    <w:rsid w:val="005C4540"/>
    <w:rsid w:val="005C517E"/>
    <w:rsid w:val="005C5776"/>
    <w:rsid w:val="005C59B1"/>
    <w:rsid w:val="005C5FE5"/>
    <w:rsid w:val="005C6107"/>
    <w:rsid w:val="005C63D2"/>
    <w:rsid w:val="005C63F5"/>
    <w:rsid w:val="005C653A"/>
    <w:rsid w:val="005C6A7D"/>
    <w:rsid w:val="005C6BD0"/>
    <w:rsid w:val="005C6D32"/>
    <w:rsid w:val="005C780E"/>
    <w:rsid w:val="005D0A04"/>
    <w:rsid w:val="005D0BF2"/>
    <w:rsid w:val="005D1320"/>
    <w:rsid w:val="005D173E"/>
    <w:rsid w:val="005D19C6"/>
    <w:rsid w:val="005D2027"/>
    <w:rsid w:val="005D2459"/>
    <w:rsid w:val="005D3544"/>
    <w:rsid w:val="005D3D51"/>
    <w:rsid w:val="005D3F0C"/>
    <w:rsid w:val="005D4A42"/>
    <w:rsid w:val="005D4E06"/>
    <w:rsid w:val="005D69AA"/>
    <w:rsid w:val="005D7198"/>
    <w:rsid w:val="005D7341"/>
    <w:rsid w:val="005D7A5F"/>
    <w:rsid w:val="005D7C73"/>
    <w:rsid w:val="005D7DE6"/>
    <w:rsid w:val="005E134D"/>
    <w:rsid w:val="005E1AB2"/>
    <w:rsid w:val="005E233B"/>
    <w:rsid w:val="005E249D"/>
    <w:rsid w:val="005E2BDD"/>
    <w:rsid w:val="005E3263"/>
    <w:rsid w:val="005E3328"/>
    <w:rsid w:val="005E3BDC"/>
    <w:rsid w:val="005E3DC4"/>
    <w:rsid w:val="005E4024"/>
    <w:rsid w:val="005E41E2"/>
    <w:rsid w:val="005E4521"/>
    <w:rsid w:val="005E4BF5"/>
    <w:rsid w:val="005E5513"/>
    <w:rsid w:val="005E57BD"/>
    <w:rsid w:val="005E6E04"/>
    <w:rsid w:val="005E6FA7"/>
    <w:rsid w:val="005F0255"/>
    <w:rsid w:val="005F09A7"/>
    <w:rsid w:val="005F09DD"/>
    <w:rsid w:val="005F0B6B"/>
    <w:rsid w:val="005F1303"/>
    <w:rsid w:val="005F14BB"/>
    <w:rsid w:val="005F1517"/>
    <w:rsid w:val="005F167F"/>
    <w:rsid w:val="005F1F7B"/>
    <w:rsid w:val="005F29BF"/>
    <w:rsid w:val="005F2E7D"/>
    <w:rsid w:val="005F2EF0"/>
    <w:rsid w:val="005F31D6"/>
    <w:rsid w:val="005F3993"/>
    <w:rsid w:val="005F3BFA"/>
    <w:rsid w:val="005F43EA"/>
    <w:rsid w:val="005F5535"/>
    <w:rsid w:val="005F5BDE"/>
    <w:rsid w:val="005F6498"/>
    <w:rsid w:val="005F66EA"/>
    <w:rsid w:val="005F6AF4"/>
    <w:rsid w:val="005F6BCF"/>
    <w:rsid w:val="005F6D87"/>
    <w:rsid w:val="005F70B7"/>
    <w:rsid w:val="005F7584"/>
    <w:rsid w:val="0060015F"/>
    <w:rsid w:val="00601BE2"/>
    <w:rsid w:val="00601D25"/>
    <w:rsid w:val="00601D49"/>
    <w:rsid w:val="00602211"/>
    <w:rsid w:val="00602567"/>
    <w:rsid w:val="00602912"/>
    <w:rsid w:val="00604E6F"/>
    <w:rsid w:val="0060566B"/>
    <w:rsid w:val="00605D56"/>
    <w:rsid w:val="00606EB0"/>
    <w:rsid w:val="00607250"/>
    <w:rsid w:val="00610076"/>
    <w:rsid w:val="00610321"/>
    <w:rsid w:val="0061034C"/>
    <w:rsid w:val="006103FC"/>
    <w:rsid w:val="006104BE"/>
    <w:rsid w:val="00610B1D"/>
    <w:rsid w:val="006113A7"/>
    <w:rsid w:val="00611549"/>
    <w:rsid w:val="00611709"/>
    <w:rsid w:val="00611974"/>
    <w:rsid w:val="006119BC"/>
    <w:rsid w:val="00613BB1"/>
    <w:rsid w:val="00613DD8"/>
    <w:rsid w:val="00613DEE"/>
    <w:rsid w:val="00613F4F"/>
    <w:rsid w:val="006140D9"/>
    <w:rsid w:val="00614F8C"/>
    <w:rsid w:val="00615018"/>
    <w:rsid w:val="006150E0"/>
    <w:rsid w:val="006151B7"/>
    <w:rsid w:val="00615354"/>
    <w:rsid w:val="00615667"/>
    <w:rsid w:val="00615CBA"/>
    <w:rsid w:val="00616918"/>
    <w:rsid w:val="0061701D"/>
    <w:rsid w:val="006173C7"/>
    <w:rsid w:val="00617E01"/>
    <w:rsid w:val="00620457"/>
    <w:rsid w:val="00621D38"/>
    <w:rsid w:val="00622973"/>
    <w:rsid w:val="0062320A"/>
    <w:rsid w:val="00623277"/>
    <w:rsid w:val="00623A2F"/>
    <w:rsid w:val="00624314"/>
    <w:rsid w:val="00624359"/>
    <w:rsid w:val="006243CB"/>
    <w:rsid w:val="00624D07"/>
    <w:rsid w:val="00625B49"/>
    <w:rsid w:val="00625F76"/>
    <w:rsid w:val="00626255"/>
    <w:rsid w:val="006263DF"/>
    <w:rsid w:val="006266DF"/>
    <w:rsid w:val="00626703"/>
    <w:rsid w:val="00626D21"/>
    <w:rsid w:val="0062755C"/>
    <w:rsid w:val="006305BE"/>
    <w:rsid w:val="00630613"/>
    <w:rsid w:val="006309F8"/>
    <w:rsid w:val="00632148"/>
    <w:rsid w:val="00632234"/>
    <w:rsid w:val="0063347A"/>
    <w:rsid w:val="006334CB"/>
    <w:rsid w:val="00633DFC"/>
    <w:rsid w:val="00637895"/>
    <w:rsid w:val="00637C3C"/>
    <w:rsid w:val="00640937"/>
    <w:rsid w:val="00640C6C"/>
    <w:rsid w:val="0064242A"/>
    <w:rsid w:val="006427F0"/>
    <w:rsid w:val="00642948"/>
    <w:rsid w:val="006435E3"/>
    <w:rsid w:val="00643F79"/>
    <w:rsid w:val="00644021"/>
    <w:rsid w:val="0064422E"/>
    <w:rsid w:val="00644570"/>
    <w:rsid w:val="00644F50"/>
    <w:rsid w:val="00644F7F"/>
    <w:rsid w:val="006457DB"/>
    <w:rsid w:val="0064592A"/>
    <w:rsid w:val="0064601C"/>
    <w:rsid w:val="006471A7"/>
    <w:rsid w:val="00650467"/>
    <w:rsid w:val="006508C5"/>
    <w:rsid w:val="00650D69"/>
    <w:rsid w:val="00650DEE"/>
    <w:rsid w:val="00651DCA"/>
    <w:rsid w:val="00652DC7"/>
    <w:rsid w:val="00653347"/>
    <w:rsid w:val="00653F3A"/>
    <w:rsid w:val="006542C7"/>
    <w:rsid w:val="00654983"/>
    <w:rsid w:val="006565D9"/>
    <w:rsid w:val="00656C38"/>
    <w:rsid w:val="00657161"/>
    <w:rsid w:val="00660118"/>
    <w:rsid w:val="006605E1"/>
    <w:rsid w:val="00660736"/>
    <w:rsid w:val="00662353"/>
    <w:rsid w:val="00663835"/>
    <w:rsid w:val="00663CB0"/>
    <w:rsid w:val="00663FD4"/>
    <w:rsid w:val="006643D0"/>
    <w:rsid w:val="006649D5"/>
    <w:rsid w:val="00664C0A"/>
    <w:rsid w:val="00665154"/>
    <w:rsid w:val="00665769"/>
    <w:rsid w:val="00665790"/>
    <w:rsid w:val="00665E22"/>
    <w:rsid w:val="00666B67"/>
    <w:rsid w:val="00666C91"/>
    <w:rsid w:val="00666F12"/>
    <w:rsid w:val="006671B5"/>
    <w:rsid w:val="00667210"/>
    <w:rsid w:val="00667EF8"/>
    <w:rsid w:val="006702D0"/>
    <w:rsid w:val="006709FD"/>
    <w:rsid w:val="00670A23"/>
    <w:rsid w:val="0067116F"/>
    <w:rsid w:val="006729AA"/>
    <w:rsid w:val="006729FD"/>
    <w:rsid w:val="00673E13"/>
    <w:rsid w:val="006745D7"/>
    <w:rsid w:val="00674D58"/>
    <w:rsid w:val="0067514C"/>
    <w:rsid w:val="00675730"/>
    <w:rsid w:val="00675AA1"/>
    <w:rsid w:val="00676422"/>
    <w:rsid w:val="00677091"/>
    <w:rsid w:val="006770EA"/>
    <w:rsid w:val="006776B5"/>
    <w:rsid w:val="00680C67"/>
    <w:rsid w:val="00681084"/>
    <w:rsid w:val="0068171C"/>
    <w:rsid w:val="00681A4C"/>
    <w:rsid w:val="00682120"/>
    <w:rsid w:val="00682EFB"/>
    <w:rsid w:val="00683AF4"/>
    <w:rsid w:val="00683E47"/>
    <w:rsid w:val="00684AD5"/>
    <w:rsid w:val="00684F62"/>
    <w:rsid w:val="0068649A"/>
    <w:rsid w:val="00686637"/>
    <w:rsid w:val="00686A3A"/>
    <w:rsid w:val="0068769B"/>
    <w:rsid w:val="00687B14"/>
    <w:rsid w:val="006914AE"/>
    <w:rsid w:val="00691551"/>
    <w:rsid w:val="00691BA4"/>
    <w:rsid w:val="00692F0E"/>
    <w:rsid w:val="00692F3E"/>
    <w:rsid w:val="00693895"/>
    <w:rsid w:val="006943C6"/>
    <w:rsid w:val="00694AE0"/>
    <w:rsid w:val="00694CA2"/>
    <w:rsid w:val="006950E7"/>
    <w:rsid w:val="0069555C"/>
    <w:rsid w:val="00695729"/>
    <w:rsid w:val="00696A77"/>
    <w:rsid w:val="00696B25"/>
    <w:rsid w:val="006974EC"/>
    <w:rsid w:val="00697C0C"/>
    <w:rsid w:val="00697E03"/>
    <w:rsid w:val="00697E16"/>
    <w:rsid w:val="006A0243"/>
    <w:rsid w:val="006A0DF9"/>
    <w:rsid w:val="006A1964"/>
    <w:rsid w:val="006A1DA7"/>
    <w:rsid w:val="006A1FEB"/>
    <w:rsid w:val="006A2234"/>
    <w:rsid w:val="006A36D9"/>
    <w:rsid w:val="006A42FB"/>
    <w:rsid w:val="006A457E"/>
    <w:rsid w:val="006A4A06"/>
    <w:rsid w:val="006A4EB9"/>
    <w:rsid w:val="006A4F9E"/>
    <w:rsid w:val="006A557C"/>
    <w:rsid w:val="006A5BC4"/>
    <w:rsid w:val="006A76B1"/>
    <w:rsid w:val="006A7A8E"/>
    <w:rsid w:val="006A7B9C"/>
    <w:rsid w:val="006A7D0A"/>
    <w:rsid w:val="006B023C"/>
    <w:rsid w:val="006B02A9"/>
    <w:rsid w:val="006B06B1"/>
    <w:rsid w:val="006B0B7E"/>
    <w:rsid w:val="006B2F02"/>
    <w:rsid w:val="006B323F"/>
    <w:rsid w:val="006B3775"/>
    <w:rsid w:val="006B3BE6"/>
    <w:rsid w:val="006B4EA9"/>
    <w:rsid w:val="006B5D19"/>
    <w:rsid w:val="006B5E8F"/>
    <w:rsid w:val="006B5FE3"/>
    <w:rsid w:val="006B60B1"/>
    <w:rsid w:val="006B6D0B"/>
    <w:rsid w:val="006B7375"/>
    <w:rsid w:val="006C0786"/>
    <w:rsid w:val="006C1254"/>
    <w:rsid w:val="006C2651"/>
    <w:rsid w:val="006C2786"/>
    <w:rsid w:val="006C27B8"/>
    <w:rsid w:val="006C2C98"/>
    <w:rsid w:val="006C2CD7"/>
    <w:rsid w:val="006C2FC0"/>
    <w:rsid w:val="006C31BE"/>
    <w:rsid w:val="006C3D43"/>
    <w:rsid w:val="006C40A1"/>
    <w:rsid w:val="006C4F08"/>
    <w:rsid w:val="006C4FA5"/>
    <w:rsid w:val="006C4FEB"/>
    <w:rsid w:val="006C53F7"/>
    <w:rsid w:val="006C5440"/>
    <w:rsid w:val="006C551A"/>
    <w:rsid w:val="006C55EF"/>
    <w:rsid w:val="006C5D8B"/>
    <w:rsid w:val="006C64E2"/>
    <w:rsid w:val="006C6929"/>
    <w:rsid w:val="006C69B8"/>
    <w:rsid w:val="006C7BB8"/>
    <w:rsid w:val="006C7FC8"/>
    <w:rsid w:val="006D01B7"/>
    <w:rsid w:val="006D03AB"/>
    <w:rsid w:val="006D0688"/>
    <w:rsid w:val="006D09F4"/>
    <w:rsid w:val="006D1598"/>
    <w:rsid w:val="006D214E"/>
    <w:rsid w:val="006D2715"/>
    <w:rsid w:val="006D2791"/>
    <w:rsid w:val="006D299B"/>
    <w:rsid w:val="006D2CA7"/>
    <w:rsid w:val="006D35F4"/>
    <w:rsid w:val="006D4353"/>
    <w:rsid w:val="006D46BC"/>
    <w:rsid w:val="006D4E85"/>
    <w:rsid w:val="006D5134"/>
    <w:rsid w:val="006D5393"/>
    <w:rsid w:val="006D5869"/>
    <w:rsid w:val="006D6F56"/>
    <w:rsid w:val="006D7335"/>
    <w:rsid w:val="006D7487"/>
    <w:rsid w:val="006D760E"/>
    <w:rsid w:val="006D782E"/>
    <w:rsid w:val="006D7836"/>
    <w:rsid w:val="006D7CDD"/>
    <w:rsid w:val="006D7E52"/>
    <w:rsid w:val="006E02CC"/>
    <w:rsid w:val="006E07EB"/>
    <w:rsid w:val="006E0AB1"/>
    <w:rsid w:val="006E0D02"/>
    <w:rsid w:val="006E15F9"/>
    <w:rsid w:val="006E2E54"/>
    <w:rsid w:val="006E2E7B"/>
    <w:rsid w:val="006E3162"/>
    <w:rsid w:val="006E3438"/>
    <w:rsid w:val="006E34A0"/>
    <w:rsid w:val="006E42FA"/>
    <w:rsid w:val="006E55EE"/>
    <w:rsid w:val="006E6054"/>
    <w:rsid w:val="006E6778"/>
    <w:rsid w:val="006E6FD8"/>
    <w:rsid w:val="006E73FD"/>
    <w:rsid w:val="006E780B"/>
    <w:rsid w:val="006F1508"/>
    <w:rsid w:val="006F1C32"/>
    <w:rsid w:val="006F251C"/>
    <w:rsid w:val="006F2534"/>
    <w:rsid w:val="006F2843"/>
    <w:rsid w:val="006F29A2"/>
    <w:rsid w:val="006F3195"/>
    <w:rsid w:val="006F3EEC"/>
    <w:rsid w:val="006F4B18"/>
    <w:rsid w:val="006F5642"/>
    <w:rsid w:val="006F56AC"/>
    <w:rsid w:val="006F5731"/>
    <w:rsid w:val="006F5D58"/>
    <w:rsid w:val="006F61E0"/>
    <w:rsid w:val="006F658D"/>
    <w:rsid w:val="006F6709"/>
    <w:rsid w:val="006F72ED"/>
    <w:rsid w:val="0070036F"/>
    <w:rsid w:val="007005F9"/>
    <w:rsid w:val="00701568"/>
    <w:rsid w:val="00702C17"/>
    <w:rsid w:val="00702FD0"/>
    <w:rsid w:val="0070307D"/>
    <w:rsid w:val="007034B7"/>
    <w:rsid w:val="0070361C"/>
    <w:rsid w:val="00703EBD"/>
    <w:rsid w:val="00705A8B"/>
    <w:rsid w:val="00705C90"/>
    <w:rsid w:val="007070B1"/>
    <w:rsid w:val="007074DB"/>
    <w:rsid w:val="00707E5D"/>
    <w:rsid w:val="007105ED"/>
    <w:rsid w:val="007109CA"/>
    <w:rsid w:val="00710EA1"/>
    <w:rsid w:val="00711535"/>
    <w:rsid w:val="00711CEA"/>
    <w:rsid w:val="00711D73"/>
    <w:rsid w:val="00712CA3"/>
    <w:rsid w:val="00712DDB"/>
    <w:rsid w:val="00712DE6"/>
    <w:rsid w:val="0071360F"/>
    <w:rsid w:val="00713693"/>
    <w:rsid w:val="007142CD"/>
    <w:rsid w:val="0071607C"/>
    <w:rsid w:val="00716090"/>
    <w:rsid w:val="007163D5"/>
    <w:rsid w:val="0071659A"/>
    <w:rsid w:val="007169E2"/>
    <w:rsid w:val="00716C11"/>
    <w:rsid w:val="007171CD"/>
    <w:rsid w:val="0071776B"/>
    <w:rsid w:val="00720249"/>
    <w:rsid w:val="00720DF1"/>
    <w:rsid w:val="00721D3F"/>
    <w:rsid w:val="0072205E"/>
    <w:rsid w:val="007223EC"/>
    <w:rsid w:val="007223EE"/>
    <w:rsid w:val="007228B1"/>
    <w:rsid w:val="0072293B"/>
    <w:rsid w:val="00723B94"/>
    <w:rsid w:val="00723E76"/>
    <w:rsid w:val="00724341"/>
    <w:rsid w:val="007249A4"/>
    <w:rsid w:val="00726116"/>
    <w:rsid w:val="00726B8D"/>
    <w:rsid w:val="007275CA"/>
    <w:rsid w:val="00727F0D"/>
    <w:rsid w:val="00727F60"/>
    <w:rsid w:val="00731529"/>
    <w:rsid w:val="007315FD"/>
    <w:rsid w:val="007321E8"/>
    <w:rsid w:val="007329D0"/>
    <w:rsid w:val="00732B03"/>
    <w:rsid w:val="00732F35"/>
    <w:rsid w:val="00733351"/>
    <w:rsid w:val="00733A07"/>
    <w:rsid w:val="00733C7E"/>
    <w:rsid w:val="00734048"/>
    <w:rsid w:val="0073418A"/>
    <w:rsid w:val="007344A5"/>
    <w:rsid w:val="0073477F"/>
    <w:rsid w:val="00734EE4"/>
    <w:rsid w:val="00735317"/>
    <w:rsid w:val="00735675"/>
    <w:rsid w:val="00735925"/>
    <w:rsid w:val="00735BFE"/>
    <w:rsid w:val="00735EAD"/>
    <w:rsid w:val="00736C31"/>
    <w:rsid w:val="00736D78"/>
    <w:rsid w:val="00737076"/>
    <w:rsid w:val="007372B4"/>
    <w:rsid w:val="00737B8A"/>
    <w:rsid w:val="00737FCF"/>
    <w:rsid w:val="00740BA1"/>
    <w:rsid w:val="00740D8B"/>
    <w:rsid w:val="00741D80"/>
    <w:rsid w:val="00741E30"/>
    <w:rsid w:val="007421FD"/>
    <w:rsid w:val="00742C8E"/>
    <w:rsid w:val="007439AE"/>
    <w:rsid w:val="00743CC1"/>
    <w:rsid w:val="007442F6"/>
    <w:rsid w:val="00744708"/>
    <w:rsid w:val="00744978"/>
    <w:rsid w:val="00744ACE"/>
    <w:rsid w:val="00744C8D"/>
    <w:rsid w:val="00745142"/>
    <w:rsid w:val="00745339"/>
    <w:rsid w:val="00745A58"/>
    <w:rsid w:val="00745FD7"/>
    <w:rsid w:val="0074671A"/>
    <w:rsid w:val="00747733"/>
    <w:rsid w:val="00747A52"/>
    <w:rsid w:val="00747F9E"/>
    <w:rsid w:val="007502AE"/>
    <w:rsid w:val="0075056E"/>
    <w:rsid w:val="007519E2"/>
    <w:rsid w:val="007526A2"/>
    <w:rsid w:val="00752CE3"/>
    <w:rsid w:val="0075405F"/>
    <w:rsid w:val="007556AC"/>
    <w:rsid w:val="00755FFB"/>
    <w:rsid w:val="0075604C"/>
    <w:rsid w:val="00757151"/>
    <w:rsid w:val="00757568"/>
    <w:rsid w:val="0076030C"/>
    <w:rsid w:val="00760CCF"/>
    <w:rsid w:val="00761403"/>
    <w:rsid w:val="007623EE"/>
    <w:rsid w:val="00762599"/>
    <w:rsid w:val="0076270C"/>
    <w:rsid w:val="00762AD8"/>
    <w:rsid w:val="00762C63"/>
    <w:rsid w:val="00762CDE"/>
    <w:rsid w:val="007631FA"/>
    <w:rsid w:val="00763B98"/>
    <w:rsid w:val="00764422"/>
    <w:rsid w:val="0076465F"/>
    <w:rsid w:val="00764B90"/>
    <w:rsid w:val="00764CE2"/>
    <w:rsid w:val="007650E3"/>
    <w:rsid w:val="007667BB"/>
    <w:rsid w:val="0076726D"/>
    <w:rsid w:val="007677F8"/>
    <w:rsid w:val="00770093"/>
    <w:rsid w:val="00770175"/>
    <w:rsid w:val="00770315"/>
    <w:rsid w:val="00770684"/>
    <w:rsid w:val="0077208A"/>
    <w:rsid w:val="007721CB"/>
    <w:rsid w:val="00772BCE"/>
    <w:rsid w:val="007731AD"/>
    <w:rsid w:val="00773B2D"/>
    <w:rsid w:val="00773DE7"/>
    <w:rsid w:val="007741D8"/>
    <w:rsid w:val="0077477A"/>
    <w:rsid w:val="0077554E"/>
    <w:rsid w:val="00775A68"/>
    <w:rsid w:val="00775A74"/>
    <w:rsid w:val="00775B3D"/>
    <w:rsid w:val="00775D69"/>
    <w:rsid w:val="0077634F"/>
    <w:rsid w:val="00776475"/>
    <w:rsid w:val="00776CAC"/>
    <w:rsid w:val="00776FCB"/>
    <w:rsid w:val="00777091"/>
    <w:rsid w:val="007771EB"/>
    <w:rsid w:val="00777B43"/>
    <w:rsid w:val="00777CEB"/>
    <w:rsid w:val="0078017C"/>
    <w:rsid w:val="0078099E"/>
    <w:rsid w:val="00780BF1"/>
    <w:rsid w:val="00780D77"/>
    <w:rsid w:val="00780F8F"/>
    <w:rsid w:val="00781362"/>
    <w:rsid w:val="0078142B"/>
    <w:rsid w:val="00781A40"/>
    <w:rsid w:val="007829CE"/>
    <w:rsid w:val="007840B2"/>
    <w:rsid w:val="00784AA4"/>
    <w:rsid w:val="007857A6"/>
    <w:rsid w:val="0078592D"/>
    <w:rsid w:val="00785C26"/>
    <w:rsid w:val="007867AB"/>
    <w:rsid w:val="0078698A"/>
    <w:rsid w:val="00786D38"/>
    <w:rsid w:val="00787246"/>
    <w:rsid w:val="007877DB"/>
    <w:rsid w:val="00790150"/>
    <w:rsid w:val="00790E65"/>
    <w:rsid w:val="007911DF"/>
    <w:rsid w:val="0079135F"/>
    <w:rsid w:val="0079143A"/>
    <w:rsid w:val="00791853"/>
    <w:rsid w:val="00791E65"/>
    <w:rsid w:val="0079225D"/>
    <w:rsid w:val="00792C9B"/>
    <w:rsid w:val="00792CEF"/>
    <w:rsid w:val="00793597"/>
    <w:rsid w:val="00793783"/>
    <w:rsid w:val="007939CC"/>
    <w:rsid w:val="00793B6E"/>
    <w:rsid w:val="007946AA"/>
    <w:rsid w:val="00794D10"/>
    <w:rsid w:val="00796570"/>
    <w:rsid w:val="00796C67"/>
    <w:rsid w:val="00796D0D"/>
    <w:rsid w:val="00797168"/>
    <w:rsid w:val="00797B71"/>
    <w:rsid w:val="00797B76"/>
    <w:rsid w:val="007A0093"/>
    <w:rsid w:val="007A0B04"/>
    <w:rsid w:val="007A0E6B"/>
    <w:rsid w:val="007A2053"/>
    <w:rsid w:val="007A23C0"/>
    <w:rsid w:val="007A24D8"/>
    <w:rsid w:val="007A2ADD"/>
    <w:rsid w:val="007A41A9"/>
    <w:rsid w:val="007A4290"/>
    <w:rsid w:val="007A4305"/>
    <w:rsid w:val="007A4619"/>
    <w:rsid w:val="007A49D4"/>
    <w:rsid w:val="007A4BF2"/>
    <w:rsid w:val="007A4D3A"/>
    <w:rsid w:val="007A570C"/>
    <w:rsid w:val="007A5AF6"/>
    <w:rsid w:val="007A5C0A"/>
    <w:rsid w:val="007A6710"/>
    <w:rsid w:val="007A671C"/>
    <w:rsid w:val="007A6A29"/>
    <w:rsid w:val="007A6C34"/>
    <w:rsid w:val="007A6C40"/>
    <w:rsid w:val="007A6E21"/>
    <w:rsid w:val="007A6E86"/>
    <w:rsid w:val="007A7F89"/>
    <w:rsid w:val="007B010D"/>
    <w:rsid w:val="007B1AB9"/>
    <w:rsid w:val="007B1C52"/>
    <w:rsid w:val="007B2107"/>
    <w:rsid w:val="007B2B37"/>
    <w:rsid w:val="007B32A3"/>
    <w:rsid w:val="007B4E32"/>
    <w:rsid w:val="007B54AC"/>
    <w:rsid w:val="007B563D"/>
    <w:rsid w:val="007B57AB"/>
    <w:rsid w:val="007B5AE8"/>
    <w:rsid w:val="007B62F6"/>
    <w:rsid w:val="007B6E34"/>
    <w:rsid w:val="007B73CE"/>
    <w:rsid w:val="007B73F4"/>
    <w:rsid w:val="007B751F"/>
    <w:rsid w:val="007C0054"/>
    <w:rsid w:val="007C0290"/>
    <w:rsid w:val="007C09A0"/>
    <w:rsid w:val="007C0A92"/>
    <w:rsid w:val="007C0D26"/>
    <w:rsid w:val="007C161D"/>
    <w:rsid w:val="007C1900"/>
    <w:rsid w:val="007C1EA5"/>
    <w:rsid w:val="007C21F5"/>
    <w:rsid w:val="007C27E2"/>
    <w:rsid w:val="007C2C78"/>
    <w:rsid w:val="007C2CA1"/>
    <w:rsid w:val="007C3364"/>
    <w:rsid w:val="007C3953"/>
    <w:rsid w:val="007C4043"/>
    <w:rsid w:val="007C4488"/>
    <w:rsid w:val="007C51A5"/>
    <w:rsid w:val="007C5A5B"/>
    <w:rsid w:val="007C6287"/>
    <w:rsid w:val="007C66E6"/>
    <w:rsid w:val="007C77C3"/>
    <w:rsid w:val="007C7D50"/>
    <w:rsid w:val="007C7E37"/>
    <w:rsid w:val="007D04D4"/>
    <w:rsid w:val="007D0CA4"/>
    <w:rsid w:val="007D16DB"/>
    <w:rsid w:val="007D1A70"/>
    <w:rsid w:val="007D1BAE"/>
    <w:rsid w:val="007D2F14"/>
    <w:rsid w:val="007D3854"/>
    <w:rsid w:val="007D3A60"/>
    <w:rsid w:val="007D4228"/>
    <w:rsid w:val="007D4867"/>
    <w:rsid w:val="007D51A1"/>
    <w:rsid w:val="007D5454"/>
    <w:rsid w:val="007D5512"/>
    <w:rsid w:val="007D590E"/>
    <w:rsid w:val="007D6882"/>
    <w:rsid w:val="007D6969"/>
    <w:rsid w:val="007D696E"/>
    <w:rsid w:val="007D69E5"/>
    <w:rsid w:val="007D702F"/>
    <w:rsid w:val="007D733A"/>
    <w:rsid w:val="007D73A3"/>
    <w:rsid w:val="007D7421"/>
    <w:rsid w:val="007E071C"/>
    <w:rsid w:val="007E1B3F"/>
    <w:rsid w:val="007E290A"/>
    <w:rsid w:val="007E2F41"/>
    <w:rsid w:val="007E332B"/>
    <w:rsid w:val="007E47C4"/>
    <w:rsid w:val="007E48CC"/>
    <w:rsid w:val="007E4A0D"/>
    <w:rsid w:val="007E4E8B"/>
    <w:rsid w:val="007E5C7C"/>
    <w:rsid w:val="007E6855"/>
    <w:rsid w:val="007E6C89"/>
    <w:rsid w:val="007E6D22"/>
    <w:rsid w:val="007E6EDD"/>
    <w:rsid w:val="007E6F55"/>
    <w:rsid w:val="007E6F8F"/>
    <w:rsid w:val="007E7283"/>
    <w:rsid w:val="007E73DA"/>
    <w:rsid w:val="007E76B3"/>
    <w:rsid w:val="007E7B06"/>
    <w:rsid w:val="007F02F3"/>
    <w:rsid w:val="007F04CF"/>
    <w:rsid w:val="007F0737"/>
    <w:rsid w:val="007F0820"/>
    <w:rsid w:val="007F21CB"/>
    <w:rsid w:val="007F2206"/>
    <w:rsid w:val="007F2C1C"/>
    <w:rsid w:val="007F3763"/>
    <w:rsid w:val="007F3D0E"/>
    <w:rsid w:val="007F4506"/>
    <w:rsid w:val="007F6245"/>
    <w:rsid w:val="007F62C1"/>
    <w:rsid w:val="007F63AC"/>
    <w:rsid w:val="007F6A3F"/>
    <w:rsid w:val="007F6C38"/>
    <w:rsid w:val="007F7AC6"/>
    <w:rsid w:val="007F7D8E"/>
    <w:rsid w:val="00800257"/>
    <w:rsid w:val="0080045E"/>
    <w:rsid w:val="00801350"/>
    <w:rsid w:val="008015E5"/>
    <w:rsid w:val="00801A41"/>
    <w:rsid w:val="008027F8"/>
    <w:rsid w:val="00802E6A"/>
    <w:rsid w:val="008036B2"/>
    <w:rsid w:val="00803A62"/>
    <w:rsid w:val="00803C79"/>
    <w:rsid w:val="00804A2E"/>
    <w:rsid w:val="00805320"/>
    <w:rsid w:val="00805741"/>
    <w:rsid w:val="00805EE1"/>
    <w:rsid w:val="00806B71"/>
    <w:rsid w:val="00806E2C"/>
    <w:rsid w:val="0080797E"/>
    <w:rsid w:val="00810FD3"/>
    <w:rsid w:val="00812010"/>
    <w:rsid w:val="0081204C"/>
    <w:rsid w:val="00812550"/>
    <w:rsid w:val="00813137"/>
    <w:rsid w:val="0081385E"/>
    <w:rsid w:val="00813989"/>
    <w:rsid w:val="00813B5B"/>
    <w:rsid w:val="008144B8"/>
    <w:rsid w:val="00814D44"/>
    <w:rsid w:val="00814D91"/>
    <w:rsid w:val="00814E99"/>
    <w:rsid w:val="00815646"/>
    <w:rsid w:val="0081565B"/>
    <w:rsid w:val="00815A9D"/>
    <w:rsid w:val="00816474"/>
    <w:rsid w:val="0081650C"/>
    <w:rsid w:val="00816B12"/>
    <w:rsid w:val="00816BF3"/>
    <w:rsid w:val="00816CC5"/>
    <w:rsid w:val="00816D7A"/>
    <w:rsid w:val="0081770B"/>
    <w:rsid w:val="00817C1B"/>
    <w:rsid w:val="00817F7D"/>
    <w:rsid w:val="00820A59"/>
    <w:rsid w:val="00821BDE"/>
    <w:rsid w:val="00822358"/>
    <w:rsid w:val="00822369"/>
    <w:rsid w:val="008247B4"/>
    <w:rsid w:val="00824934"/>
    <w:rsid w:val="008257B3"/>
    <w:rsid w:val="008258F1"/>
    <w:rsid w:val="00825D00"/>
    <w:rsid w:val="008265C6"/>
    <w:rsid w:val="00826975"/>
    <w:rsid w:val="00826DD2"/>
    <w:rsid w:val="00827626"/>
    <w:rsid w:val="0082780D"/>
    <w:rsid w:val="00827E0E"/>
    <w:rsid w:val="008300FC"/>
    <w:rsid w:val="008305FB"/>
    <w:rsid w:val="00831C98"/>
    <w:rsid w:val="0083273B"/>
    <w:rsid w:val="0083375F"/>
    <w:rsid w:val="008338E7"/>
    <w:rsid w:val="00833F26"/>
    <w:rsid w:val="00834396"/>
    <w:rsid w:val="0083527A"/>
    <w:rsid w:val="00835754"/>
    <w:rsid w:val="00835941"/>
    <w:rsid w:val="00835D5E"/>
    <w:rsid w:val="0083652B"/>
    <w:rsid w:val="008365F3"/>
    <w:rsid w:val="00836ABE"/>
    <w:rsid w:val="00840958"/>
    <w:rsid w:val="00840C88"/>
    <w:rsid w:val="00840F33"/>
    <w:rsid w:val="008411B4"/>
    <w:rsid w:val="0084120E"/>
    <w:rsid w:val="0084231B"/>
    <w:rsid w:val="00843296"/>
    <w:rsid w:val="0084370F"/>
    <w:rsid w:val="00843CA2"/>
    <w:rsid w:val="00843E59"/>
    <w:rsid w:val="00843F0F"/>
    <w:rsid w:val="00844D52"/>
    <w:rsid w:val="00844EBE"/>
    <w:rsid w:val="0084535A"/>
    <w:rsid w:val="00845722"/>
    <w:rsid w:val="008469F2"/>
    <w:rsid w:val="008472D7"/>
    <w:rsid w:val="008478FB"/>
    <w:rsid w:val="00850B57"/>
    <w:rsid w:val="00850E95"/>
    <w:rsid w:val="00851D53"/>
    <w:rsid w:val="0085229A"/>
    <w:rsid w:val="0085299E"/>
    <w:rsid w:val="00852ED3"/>
    <w:rsid w:val="00853015"/>
    <w:rsid w:val="0085328C"/>
    <w:rsid w:val="0085335D"/>
    <w:rsid w:val="00853735"/>
    <w:rsid w:val="00853F2E"/>
    <w:rsid w:val="00854370"/>
    <w:rsid w:val="0085524D"/>
    <w:rsid w:val="00855B97"/>
    <w:rsid w:val="00856196"/>
    <w:rsid w:val="00856767"/>
    <w:rsid w:val="00857125"/>
    <w:rsid w:val="00857D4B"/>
    <w:rsid w:val="00857F97"/>
    <w:rsid w:val="008603C0"/>
    <w:rsid w:val="00860B2F"/>
    <w:rsid w:val="0086135A"/>
    <w:rsid w:val="008614A6"/>
    <w:rsid w:val="00861790"/>
    <w:rsid w:val="008619F9"/>
    <w:rsid w:val="00861E39"/>
    <w:rsid w:val="00862416"/>
    <w:rsid w:val="00863D3D"/>
    <w:rsid w:val="00863E35"/>
    <w:rsid w:val="0086445E"/>
    <w:rsid w:val="0086447E"/>
    <w:rsid w:val="00864A07"/>
    <w:rsid w:val="00864A40"/>
    <w:rsid w:val="008656F1"/>
    <w:rsid w:val="00870CCC"/>
    <w:rsid w:val="00870EF6"/>
    <w:rsid w:val="00871273"/>
    <w:rsid w:val="00871512"/>
    <w:rsid w:val="00871BF9"/>
    <w:rsid w:val="00871C3A"/>
    <w:rsid w:val="00872894"/>
    <w:rsid w:val="008732E5"/>
    <w:rsid w:val="008738FE"/>
    <w:rsid w:val="00873C02"/>
    <w:rsid w:val="00873EBF"/>
    <w:rsid w:val="0087421C"/>
    <w:rsid w:val="008742ED"/>
    <w:rsid w:val="00874365"/>
    <w:rsid w:val="008746D0"/>
    <w:rsid w:val="0087553A"/>
    <w:rsid w:val="0087589D"/>
    <w:rsid w:val="00876DD7"/>
    <w:rsid w:val="00876E1C"/>
    <w:rsid w:val="008770C2"/>
    <w:rsid w:val="0087749A"/>
    <w:rsid w:val="0087761C"/>
    <w:rsid w:val="0087762B"/>
    <w:rsid w:val="00877C25"/>
    <w:rsid w:val="00880513"/>
    <w:rsid w:val="0088088D"/>
    <w:rsid w:val="00880A6B"/>
    <w:rsid w:val="00880BC0"/>
    <w:rsid w:val="008810DC"/>
    <w:rsid w:val="0088168A"/>
    <w:rsid w:val="008817DC"/>
    <w:rsid w:val="00881C55"/>
    <w:rsid w:val="00881DD8"/>
    <w:rsid w:val="008833EE"/>
    <w:rsid w:val="008834F6"/>
    <w:rsid w:val="008837A7"/>
    <w:rsid w:val="00883AFF"/>
    <w:rsid w:val="00883C3E"/>
    <w:rsid w:val="00883EC9"/>
    <w:rsid w:val="008843D6"/>
    <w:rsid w:val="008857E0"/>
    <w:rsid w:val="00886262"/>
    <w:rsid w:val="00886A28"/>
    <w:rsid w:val="00886A6B"/>
    <w:rsid w:val="00887828"/>
    <w:rsid w:val="00887C64"/>
    <w:rsid w:val="0089019F"/>
    <w:rsid w:val="0089042C"/>
    <w:rsid w:val="0089105D"/>
    <w:rsid w:val="008914C7"/>
    <w:rsid w:val="0089224A"/>
    <w:rsid w:val="008924D9"/>
    <w:rsid w:val="00893190"/>
    <w:rsid w:val="00893371"/>
    <w:rsid w:val="008935E3"/>
    <w:rsid w:val="00893740"/>
    <w:rsid w:val="00893887"/>
    <w:rsid w:val="008938D6"/>
    <w:rsid w:val="00893DF8"/>
    <w:rsid w:val="008943EE"/>
    <w:rsid w:val="0089512A"/>
    <w:rsid w:val="00895AED"/>
    <w:rsid w:val="008973D4"/>
    <w:rsid w:val="008A034C"/>
    <w:rsid w:val="008A083B"/>
    <w:rsid w:val="008A0E68"/>
    <w:rsid w:val="008A14EC"/>
    <w:rsid w:val="008A1852"/>
    <w:rsid w:val="008A1969"/>
    <w:rsid w:val="008A20A6"/>
    <w:rsid w:val="008A211E"/>
    <w:rsid w:val="008A2D2A"/>
    <w:rsid w:val="008A36F4"/>
    <w:rsid w:val="008A3FDA"/>
    <w:rsid w:val="008A4D93"/>
    <w:rsid w:val="008A5072"/>
    <w:rsid w:val="008A53D3"/>
    <w:rsid w:val="008A57B8"/>
    <w:rsid w:val="008A5D12"/>
    <w:rsid w:val="008A61E3"/>
    <w:rsid w:val="008A7B39"/>
    <w:rsid w:val="008A7B97"/>
    <w:rsid w:val="008B01E7"/>
    <w:rsid w:val="008B0211"/>
    <w:rsid w:val="008B0883"/>
    <w:rsid w:val="008B16F7"/>
    <w:rsid w:val="008B1B92"/>
    <w:rsid w:val="008B227C"/>
    <w:rsid w:val="008B25E3"/>
    <w:rsid w:val="008B266E"/>
    <w:rsid w:val="008B4A04"/>
    <w:rsid w:val="008B4BA6"/>
    <w:rsid w:val="008B4FB8"/>
    <w:rsid w:val="008B6700"/>
    <w:rsid w:val="008B6C97"/>
    <w:rsid w:val="008B6D88"/>
    <w:rsid w:val="008B6F40"/>
    <w:rsid w:val="008B7259"/>
    <w:rsid w:val="008C01C3"/>
    <w:rsid w:val="008C20CB"/>
    <w:rsid w:val="008C2F09"/>
    <w:rsid w:val="008C350C"/>
    <w:rsid w:val="008C39E4"/>
    <w:rsid w:val="008C3F0B"/>
    <w:rsid w:val="008C4EEA"/>
    <w:rsid w:val="008C549C"/>
    <w:rsid w:val="008C5A97"/>
    <w:rsid w:val="008C5B8C"/>
    <w:rsid w:val="008C643D"/>
    <w:rsid w:val="008C656D"/>
    <w:rsid w:val="008C6803"/>
    <w:rsid w:val="008C688B"/>
    <w:rsid w:val="008C6ADF"/>
    <w:rsid w:val="008D069D"/>
    <w:rsid w:val="008D080B"/>
    <w:rsid w:val="008D1444"/>
    <w:rsid w:val="008D1923"/>
    <w:rsid w:val="008D1C10"/>
    <w:rsid w:val="008D1C89"/>
    <w:rsid w:val="008D3245"/>
    <w:rsid w:val="008D35DC"/>
    <w:rsid w:val="008D3778"/>
    <w:rsid w:val="008D3EF4"/>
    <w:rsid w:val="008D40AD"/>
    <w:rsid w:val="008D46C7"/>
    <w:rsid w:val="008D4CFD"/>
    <w:rsid w:val="008D4DEC"/>
    <w:rsid w:val="008D5678"/>
    <w:rsid w:val="008D58C5"/>
    <w:rsid w:val="008D5BAD"/>
    <w:rsid w:val="008D607C"/>
    <w:rsid w:val="008D6573"/>
    <w:rsid w:val="008D6A5B"/>
    <w:rsid w:val="008D7093"/>
    <w:rsid w:val="008D752C"/>
    <w:rsid w:val="008E0197"/>
    <w:rsid w:val="008E197B"/>
    <w:rsid w:val="008E1EA0"/>
    <w:rsid w:val="008E204C"/>
    <w:rsid w:val="008E233A"/>
    <w:rsid w:val="008E27AB"/>
    <w:rsid w:val="008E2A4E"/>
    <w:rsid w:val="008E2B22"/>
    <w:rsid w:val="008E34D0"/>
    <w:rsid w:val="008E3647"/>
    <w:rsid w:val="008E3D05"/>
    <w:rsid w:val="008E4F85"/>
    <w:rsid w:val="008E5FBD"/>
    <w:rsid w:val="008E6CB2"/>
    <w:rsid w:val="008E7890"/>
    <w:rsid w:val="008F0426"/>
    <w:rsid w:val="008F076A"/>
    <w:rsid w:val="008F1195"/>
    <w:rsid w:val="008F14A4"/>
    <w:rsid w:val="008F1BA1"/>
    <w:rsid w:val="008F1C58"/>
    <w:rsid w:val="008F203D"/>
    <w:rsid w:val="008F237B"/>
    <w:rsid w:val="008F3F81"/>
    <w:rsid w:val="008F4217"/>
    <w:rsid w:val="008F44FE"/>
    <w:rsid w:val="008F513D"/>
    <w:rsid w:val="008F59B1"/>
    <w:rsid w:val="008F5A8A"/>
    <w:rsid w:val="008F63E5"/>
    <w:rsid w:val="008F68AB"/>
    <w:rsid w:val="008F7D58"/>
    <w:rsid w:val="009000BB"/>
    <w:rsid w:val="00900B57"/>
    <w:rsid w:val="00900D6A"/>
    <w:rsid w:val="009019A6"/>
    <w:rsid w:val="00901D95"/>
    <w:rsid w:val="00901F4D"/>
    <w:rsid w:val="00902212"/>
    <w:rsid w:val="009029E4"/>
    <w:rsid w:val="00903223"/>
    <w:rsid w:val="00904123"/>
    <w:rsid w:val="00904FD2"/>
    <w:rsid w:val="009066B8"/>
    <w:rsid w:val="00906C6F"/>
    <w:rsid w:val="00907645"/>
    <w:rsid w:val="009103F7"/>
    <w:rsid w:val="009104A3"/>
    <w:rsid w:val="00910EA3"/>
    <w:rsid w:val="009118BE"/>
    <w:rsid w:val="00911C63"/>
    <w:rsid w:val="00911D81"/>
    <w:rsid w:val="00911E22"/>
    <w:rsid w:val="009122C6"/>
    <w:rsid w:val="00912D9E"/>
    <w:rsid w:val="00913254"/>
    <w:rsid w:val="009136A0"/>
    <w:rsid w:val="00913E47"/>
    <w:rsid w:val="00913F69"/>
    <w:rsid w:val="00914372"/>
    <w:rsid w:val="00915369"/>
    <w:rsid w:val="00915832"/>
    <w:rsid w:val="009159E3"/>
    <w:rsid w:val="00915AD2"/>
    <w:rsid w:val="00916AA4"/>
    <w:rsid w:val="00920067"/>
    <w:rsid w:val="00920125"/>
    <w:rsid w:val="0092018D"/>
    <w:rsid w:val="00920645"/>
    <w:rsid w:val="00920694"/>
    <w:rsid w:val="00920CA4"/>
    <w:rsid w:val="00920EE9"/>
    <w:rsid w:val="00920F01"/>
    <w:rsid w:val="00921618"/>
    <w:rsid w:val="00921AFC"/>
    <w:rsid w:val="00921F90"/>
    <w:rsid w:val="00922A8C"/>
    <w:rsid w:val="00922EA5"/>
    <w:rsid w:val="009232AA"/>
    <w:rsid w:val="009243B5"/>
    <w:rsid w:val="00924763"/>
    <w:rsid w:val="00924D81"/>
    <w:rsid w:val="00925643"/>
    <w:rsid w:val="0092673C"/>
    <w:rsid w:val="00926B66"/>
    <w:rsid w:val="009270B6"/>
    <w:rsid w:val="00927AFE"/>
    <w:rsid w:val="009316BA"/>
    <w:rsid w:val="00931773"/>
    <w:rsid w:val="0093297F"/>
    <w:rsid w:val="00932A85"/>
    <w:rsid w:val="009334EE"/>
    <w:rsid w:val="00933C6D"/>
    <w:rsid w:val="00934059"/>
    <w:rsid w:val="00934A2F"/>
    <w:rsid w:val="00934AF1"/>
    <w:rsid w:val="00935046"/>
    <w:rsid w:val="00935297"/>
    <w:rsid w:val="009353A8"/>
    <w:rsid w:val="0093595E"/>
    <w:rsid w:val="00935CBE"/>
    <w:rsid w:val="00935CFC"/>
    <w:rsid w:val="00935F13"/>
    <w:rsid w:val="009364FA"/>
    <w:rsid w:val="009365BC"/>
    <w:rsid w:val="009369E0"/>
    <w:rsid w:val="00937254"/>
    <w:rsid w:val="00937C8D"/>
    <w:rsid w:val="0094058B"/>
    <w:rsid w:val="009405DB"/>
    <w:rsid w:val="009409F7"/>
    <w:rsid w:val="00940AF2"/>
    <w:rsid w:val="00940E74"/>
    <w:rsid w:val="00941623"/>
    <w:rsid w:val="0094212A"/>
    <w:rsid w:val="00942131"/>
    <w:rsid w:val="00942608"/>
    <w:rsid w:val="00942DFE"/>
    <w:rsid w:val="00943307"/>
    <w:rsid w:val="00943471"/>
    <w:rsid w:val="00944081"/>
    <w:rsid w:val="00944116"/>
    <w:rsid w:val="00944143"/>
    <w:rsid w:val="00944573"/>
    <w:rsid w:val="009447EC"/>
    <w:rsid w:val="00944CA2"/>
    <w:rsid w:val="00944FEB"/>
    <w:rsid w:val="00946AF6"/>
    <w:rsid w:val="00946BE2"/>
    <w:rsid w:val="009473F9"/>
    <w:rsid w:val="00950CF6"/>
    <w:rsid w:val="009511A5"/>
    <w:rsid w:val="009523C6"/>
    <w:rsid w:val="00952C5F"/>
    <w:rsid w:val="00952F94"/>
    <w:rsid w:val="009534DD"/>
    <w:rsid w:val="009536F9"/>
    <w:rsid w:val="00953F00"/>
    <w:rsid w:val="009540E5"/>
    <w:rsid w:val="009549E3"/>
    <w:rsid w:val="00954BD1"/>
    <w:rsid w:val="00954CE9"/>
    <w:rsid w:val="00954D64"/>
    <w:rsid w:val="009559BB"/>
    <w:rsid w:val="00955A83"/>
    <w:rsid w:val="00955CF0"/>
    <w:rsid w:val="009561E4"/>
    <w:rsid w:val="0095650F"/>
    <w:rsid w:val="00960822"/>
    <w:rsid w:val="0096176D"/>
    <w:rsid w:val="00962AFA"/>
    <w:rsid w:val="00962CF1"/>
    <w:rsid w:val="00963143"/>
    <w:rsid w:val="00963A1B"/>
    <w:rsid w:val="00963F00"/>
    <w:rsid w:val="00964B21"/>
    <w:rsid w:val="00964CAD"/>
    <w:rsid w:val="00964DEB"/>
    <w:rsid w:val="0096501C"/>
    <w:rsid w:val="0096524A"/>
    <w:rsid w:val="009675A8"/>
    <w:rsid w:val="009677D6"/>
    <w:rsid w:val="00970F9F"/>
    <w:rsid w:val="0097201D"/>
    <w:rsid w:val="00972856"/>
    <w:rsid w:val="00972B13"/>
    <w:rsid w:val="009732E8"/>
    <w:rsid w:val="0097347C"/>
    <w:rsid w:val="0097377E"/>
    <w:rsid w:val="00973A8D"/>
    <w:rsid w:val="00974C24"/>
    <w:rsid w:val="00974EE1"/>
    <w:rsid w:val="00974EEA"/>
    <w:rsid w:val="009756A6"/>
    <w:rsid w:val="00977001"/>
    <w:rsid w:val="009773A7"/>
    <w:rsid w:val="009776A9"/>
    <w:rsid w:val="00977898"/>
    <w:rsid w:val="00977AD8"/>
    <w:rsid w:val="00980867"/>
    <w:rsid w:val="0098119E"/>
    <w:rsid w:val="009816B6"/>
    <w:rsid w:val="00981F7D"/>
    <w:rsid w:val="00982299"/>
    <w:rsid w:val="009826C4"/>
    <w:rsid w:val="00982EE0"/>
    <w:rsid w:val="009833AB"/>
    <w:rsid w:val="00983915"/>
    <w:rsid w:val="00984EAA"/>
    <w:rsid w:val="009854CF"/>
    <w:rsid w:val="00985A74"/>
    <w:rsid w:val="00985F1C"/>
    <w:rsid w:val="009864B7"/>
    <w:rsid w:val="009908F2"/>
    <w:rsid w:val="009909CF"/>
    <w:rsid w:val="00990CB0"/>
    <w:rsid w:val="00990FB3"/>
    <w:rsid w:val="00994044"/>
    <w:rsid w:val="00994411"/>
    <w:rsid w:val="00994A5A"/>
    <w:rsid w:val="00994EEF"/>
    <w:rsid w:val="00994F52"/>
    <w:rsid w:val="0099552A"/>
    <w:rsid w:val="009955AC"/>
    <w:rsid w:val="00995ED8"/>
    <w:rsid w:val="009963C3"/>
    <w:rsid w:val="009964BB"/>
    <w:rsid w:val="0099652A"/>
    <w:rsid w:val="00997125"/>
    <w:rsid w:val="009A000F"/>
    <w:rsid w:val="009A1408"/>
    <w:rsid w:val="009A2358"/>
    <w:rsid w:val="009A2D54"/>
    <w:rsid w:val="009A2DAF"/>
    <w:rsid w:val="009A2E32"/>
    <w:rsid w:val="009A37BA"/>
    <w:rsid w:val="009A37D3"/>
    <w:rsid w:val="009A43B5"/>
    <w:rsid w:val="009A45B7"/>
    <w:rsid w:val="009A62D5"/>
    <w:rsid w:val="009A63E2"/>
    <w:rsid w:val="009A659B"/>
    <w:rsid w:val="009A6C34"/>
    <w:rsid w:val="009A6F8A"/>
    <w:rsid w:val="009B0182"/>
    <w:rsid w:val="009B112B"/>
    <w:rsid w:val="009B11F3"/>
    <w:rsid w:val="009B1B92"/>
    <w:rsid w:val="009B2659"/>
    <w:rsid w:val="009B3059"/>
    <w:rsid w:val="009B35B3"/>
    <w:rsid w:val="009B55FE"/>
    <w:rsid w:val="009B5CBD"/>
    <w:rsid w:val="009B6332"/>
    <w:rsid w:val="009B6E6D"/>
    <w:rsid w:val="009B6EB0"/>
    <w:rsid w:val="009B722D"/>
    <w:rsid w:val="009C0234"/>
    <w:rsid w:val="009C05BB"/>
    <w:rsid w:val="009C0664"/>
    <w:rsid w:val="009C1532"/>
    <w:rsid w:val="009C1AB0"/>
    <w:rsid w:val="009C25B5"/>
    <w:rsid w:val="009C28F4"/>
    <w:rsid w:val="009C3A1C"/>
    <w:rsid w:val="009C48FF"/>
    <w:rsid w:val="009C4AC8"/>
    <w:rsid w:val="009C5361"/>
    <w:rsid w:val="009C6124"/>
    <w:rsid w:val="009C616C"/>
    <w:rsid w:val="009C665C"/>
    <w:rsid w:val="009C684E"/>
    <w:rsid w:val="009C6953"/>
    <w:rsid w:val="009C6BF6"/>
    <w:rsid w:val="009C6CCB"/>
    <w:rsid w:val="009C76A5"/>
    <w:rsid w:val="009C7777"/>
    <w:rsid w:val="009C7916"/>
    <w:rsid w:val="009D1067"/>
    <w:rsid w:val="009D12BD"/>
    <w:rsid w:val="009D1348"/>
    <w:rsid w:val="009D17AA"/>
    <w:rsid w:val="009D17FC"/>
    <w:rsid w:val="009D1B72"/>
    <w:rsid w:val="009D31E6"/>
    <w:rsid w:val="009D3346"/>
    <w:rsid w:val="009D4C5A"/>
    <w:rsid w:val="009D53F5"/>
    <w:rsid w:val="009D5541"/>
    <w:rsid w:val="009D554E"/>
    <w:rsid w:val="009D57AF"/>
    <w:rsid w:val="009D63D3"/>
    <w:rsid w:val="009D6A23"/>
    <w:rsid w:val="009D6A7B"/>
    <w:rsid w:val="009D6F0A"/>
    <w:rsid w:val="009D7102"/>
    <w:rsid w:val="009D7A5F"/>
    <w:rsid w:val="009D7AF2"/>
    <w:rsid w:val="009D7F9E"/>
    <w:rsid w:val="009E0C70"/>
    <w:rsid w:val="009E0F9B"/>
    <w:rsid w:val="009E11A2"/>
    <w:rsid w:val="009E2D13"/>
    <w:rsid w:val="009E2E10"/>
    <w:rsid w:val="009E326C"/>
    <w:rsid w:val="009E3314"/>
    <w:rsid w:val="009E355D"/>
    <w:rsid w:val="009E360A"/>
    <w:rsid w:val="009E52D7"/>
    <w:rsid w:val="009E52F2"/>
    <w:rsid w:val="009E544D"/>
    <w:rsid w:val="009E609E"/>
    <w:rsid w:val="009E670C"/>
    <w:rsid w:val="009E6E2E"/>
    <w:rsid w:val="009E71EA"/>
    <w:rsid w:val="009E7291"/>
    <w:rsid w:val="009E7A89"/>
    <w:rsid w:val="009E7D82"/>
    <w:rsid w:val="009F06FA"/>
    <w:rsid w:val="009F1857"/>
    <w:rsid w:val="009F1902"/>
    <w:rsid w:val="009F1DAD"/>
    <w:rsid w:val="009F1F00"/>
    <w:rsid w:val="009F23CE"/>
    <w:rsid w:val="009F35CD"/>
    <w:rsid w:val="009F35FB"/>
    <w:rsid w:val="009F38E5"/>
    <w:rsid w:val="009F4BA3"/>
    <w:rsid w:val="009F4BBD"/>
    <w:rsid w:val="009F4BD2"/>
    <w:rsid w:val="009F5DC6"/>
    <w:rsid w:val="009F5F58"/>
    <w:rsid w:val="009F6895"/>
    <w:rsid w:val="009F7E23"/>
    <w:rsid w:val="00A014D2"/>
    <w:rsid w:val="00A0274D"/>
    <w:rsid w:val="00A02F76"/>
    <w:rsid w:val="00A033B8"/>
    <w:rsid w:val="00A0384E"/>
    <w:rsid w:val="00A04207"/>
    <w:rsid w:val="00A04DD9"/>
    <w:rsid w:val="00A0542B"/>
    <w:rsid w:val="00A05478"/>
    <w:rsid w:val="00A056DA"/>
    <w:rsid w:val="00A05966"/>
    <w:rsid w:val="00A05ADA"/>
    <w:rsid w:val="00A05ECB"/>
    <w:rsid w:val="00A0714A"/>
    <w:rsid w:val="00A072F2"/>
    <w:rsid w:val="00A074EA"/>
    <w:rsid w:val="00A0795B"/>
    <w:rsid w:val="00A07A9E"/>
    <w:rsid w:val="00A1115B"/>
    <w:rsid w:val="00A1158D"/>
    <w:rsid w:val="00A118D1"/>
    <w:rsid w:val="00A1299C"/>
    <w:rsid w:val="00A12B44"/>
    <w:rsid w:val="00A12B77"/>
    <w:rsid w:val="00A1376E"/>
    <w:rsid w:val="00A14E89"/>
    <w:rsid w:val="00A15232"/>
    <w:rsid w:val="00A154EA"/>
    <w:rsid w:val="00A16800"/>
    <w:rsid w:val="00A16BD9"/>
    <w:rsid w:val="00A1786A"/>
    <w:rsid w:val="00A2156A"/>
    <w:rsid w:val="00A22719"/>
    <w:rsid w:val="00A232FA"/>
    <w:rsid w:val="00A233B1"/>
    <w:rsid w:val="00A23BED"/>
    <w:rsid w:val="00A247A1"/>
    <w:rsid w:val="00A249DA"/>
    <w:rsid w:val="00A259E1"/>
    <w:rsid w:val="00A26021"/>
    <w:rsid w:val="00A26031"/>
    <w:rsid w:val="00A266A4"/>
    <w:rsid w:val="00A26920"/>
    <w:rsid w:val="00A26C83"/>
    <w:rsid w:val="00A30CEC"/>
    <w:rsid w:val="00A30EE8"/>
    <w:rsid w:val="00A312AE"/>
    <w:rsid w:val="00A31617"/>
    <w:rsid w:val="00A3161D"/>
    <w:rsid w:val="00A3291E"/>
    <w:rsid w:val="00A329A4"/>
    <w:rsid w:val="00A3312B"/>
    <w:rsid w:val="00A33471"/>
    <w:rsid w:val="00A33AB3"/>
    <w:rsid w:val="00A33B0D"/>
    <w:rsid w:val="00A346DA"/>
    <w:rsid w:val="00A3572A"/>
    <w:rsid w:val="00A3574B"/>
    <w:rsid w:val="00A3657A"/>
    <w:rsid w:val="00A37007"/>
    <w:rsid w:val="00A37178"/>
    <w:rsid w:val="00A377AE"/>
    <w:rsid w:val="00A40A01"/>
    <w:rsid w:val="00A412CF"/>
    <w:rsid w:val="00A41998"/>
    <w:rsid w:val="00A429A0"/>
    <w:rsid w:val="00A42BC7"/>
    <w:rsid w:val="00A4383C"/>
    <w:rsid w:val="00A43D9B"/>
    <w:rsid w:val="00A44724"/>
    <w:rsid w:val="00A44913"/>
    <w:rsid w:val="00A4549A"/>
    <w:rsid w:val="00A4586C"/>
    <w:rsid w:val="00A46625"/>
    <w:rsid w:val="00A466A5"/>
    <w:rsid w:val="00A468B0"/>
    <w:rsid w:val="00A46983"/>
    <w:rsid w:val="00A46AA8"/>
    <w:rsid w:val="00A46B49"/>
    <w:rsid w:val="00A46B6E"/>
    <w:rsid w:val="00A46B8A"/>
    <w:rsid w:val="00A46D99"/>
    <w:rsid w:val="00A4771A"/>
    <w:rsid w:val="00A47806"/>
    <w:rsid w:val="00A4789B"/>
    <w:rsid w:val="00A47AF2"/>
    <w:rsid w:val="00A47B4D"/>
    <w:rsid w:val="00A50118"/>
    <w:rsid w:val="00A51896"/>
    <w:rsid w:val="00A51AEC"/>
    <w:rsid w:val="00A51F94"/>
    <w:rsid w:val="00A52007"/>
    <w:rsid w:val="00A52464"/>
    <w:rsid w:val="00A5297C"/>
    <w:rsid w:val="00A5328D"/>
    <w:rsid w:val="00A53E97"/>
    <w:rsid w:val="00A54248"/>
    <w:rsid w:val="00A553B9"/>
    <w:rsid w:val="00A55A6D"/>
    <w:rsid w:val="00A5620F"/>
    <w:rsid w:val="00A56396"/>
    <w:rsid w:val="00A5662A"/>
    <w:rsid w:val="00A5683D"/>
    <w:rsid w:val="00A578F1"/>
    <w:rsid w:val="00A57D47"/>
    <w:rsid w:val="00A602AF"/>
    <w:rsid w:val="00A604C0"/>
    <w:rsid w:val="00A60589"/>
    <w:rsid w:val="00A6100A"/>
    <w:rsid w:val="00A61341"/>
    <w:rsid w:val="00A61354"/>
    <w:rsid w:val="00A61788"/>
    <w:rsid w:val="00A618AE"/>
    <w:rsid w:val="00A61BD5"/>
    <w:rsid w:val="00A62460"/>
    <w:rsid w:val="00A64072"/>
    <w:rsid w:val="00A6418C"/>
    <w:rsid w:val="00A646B9"/>
    <w:rsid w:val="00A6490D"/>
    <w:rsid w:val="00A65CBD"/>
    <w:rsid w:val="00A66403"/>
    <w:rsid w:val="00A66880"/>
    <w:rsid w:val="00A679FD"/>
    <w:rsid w:val="00A7002D"/>
    <w:rsid w:val="00A705D3"/>
    <w:rsid w:val="00A707A0"/>
    <w:rsid w:val="00A70941"/>
    <w:rsid w:val="00A72346"/>
    <w:rsid w:val="00A727CE"/>
    <w:rsid w:val="00A72888"/>
    <w:rsid w:val="00A72926"/>
    <w:rsid w:val="00A729CC"/>
    <w:rsid w:val="00A73A30"/>
    <w:rsid w:val="00A74437"/>
    <w:rsid w:val="00A75ED2"/>
    <w:rsid w:val="00A7662F"/>
    <w:rsid w:val="00A76B78"/>
    <w:rsid w:val="00A80421"/>
    <w:rsid w:val="00A80593"/>
    <w:rsid w:val="00A80AD8"/>
    <w:rsid w:val="00A81FC4"/>
    <w:rsid w:val="00A8261E"/>
    <w:rsid w:val="00A82926"/>
    <w:rsid w:val="00A82CA9"/>
    <w:rsid w:val="00A838C2"/>
    <w:rsid w:val="00A83BDC"/>
    <w:rsid w:val="00A83E85"/>
    <w:rsid w:val="00A8443F"/>
    <w:rsid w:val="00A844BF"/>
    <w:rsid w:val="00A846FC"/>
    <w:rsid w:val="00A8473C"/>
    <w:rsid w:val="00A84C70"/>
    <w:rsid w:val="00A84E24"/>
    <w:rsid w:val="00A85EFC"/>
    <w:rsid w:val="00A86378"/>
    <w:rsid w:val="00A871DB"/>
    <w:rsid w:val="00A87203"/>
    <w:rsid w:val="00A87443"/>
    <w:rsid w:val="00A90019"/>
    <w:rsid w:val="00A90146"/>
    <w:rsid w:val="00A9017B"/>
    <w:rsid w:val="00A902D5"/>
    <w:rsid w:val="00A9050F"/>
    <w:rsid w:val="00A91066"/>
    <w:rsid w:val="00A91777"/>
    <w:rsid w:val="00A91CAB"/>
    <w:rsid w:val="00A9260E"/>
    <w:rsid w:val="00A929C8"/>
    <w:rsid w:val="00A92C9F"/>
    <w:rsid w:val="00A93A99"/>
    <w:rsid w:val="00A93B53"/>
    <w:rsid w:val="00A94071"/>
    <w:rsid w:val="00A942B2"/>
    <w:rsid w:val="00A946FA"/>
    <w:rsid w:val="00A958DC"/>
    <w:rsid w:val="00A9674B"/>
    <w:rsid w:val="00A9680C"/>
    <w:rsid w:val="00A97BE3"/>
    <w:rsid w:val="00A97C52"/>
    <w:rsid w:val="00AA0213"/>
    <w:rsid w:val="00AA0398"/>
    <w:rsid w:val="00AA0465"/>
    <w:rsid w:val="00AA15D6"/>
    <w:rsid w:val="00AA2337"/>
    <w:rsid w:val="00AA39D3"/>
    <w:rsid w:val="00AA50CB"/>
    <w:rsid w:val="00AA52E2"/>
    <w:rsid w:val="00AA5787"/>
    <w:rsid w:val="00AA5994"/>
    <w:rsid w:val="00AA5DA8"/>
    <w:rsid w:val="00AA6382"/>
    <w:rsid w:val="00AA65AE"/>
    <w:rsid w:val="00AA6E53"/>
    <w:rsid w:val="00AA76B1"/>
    <w:rsid w:val="00AA7DEA"/>
    <w:rsid w:val="00AA7F83"/>
    <w:rsid w:val="00AB032A"/>
    <w:rsid w:val="00AB050D"/>
    <w:rsid w:val="00AB1AD1"/>
    <w:rsid w:val="00AB318F"/>
    <w:rsid w:val="00AB3872"/>
    <w:rsid w:val="00AB3E1B"/>
    <w:rsid w:val="00AB3FDB"/>
    <w:rsid w:val="00AB40E9"/>
    <w:rsid w:val="00AB45E3"/>
    <w:rsid w:val="00AB47AF"/>
    <w:rsid w:val="00AB4F6F"/>
    <w:rsid w:val="00AB53A7"/>
    <w:rsid w:val="00AB5B8B"/>
    <w:rsid w:val="00AB5C66"/>
    <w:rsid w:val="00AB5D4C"/>
    <w:rsid w:val="00AB646F"/>
    <w:rsid w:val="00AB6F2C"/>
    <w:rsid w:val="00AB71B5"/>
    <w:rsid w:val="00AB73C6"/>
    <w:rsid w:val="00AB74C9"/>
    <w:rsid w:val="00AC0052"/>
    <w:rsid w:val="00AC05E4"/>
    <w:rsid w:val="00AC082D"/>
    <w:rsid w:val="00AC1018"/>
    <w:rsid w:val="00AC10EA"/>
    <w:rsid w:val="00AC22D2"/>
    <w:rsid w:val="00AC24B5"/>
    <w:rsid w:val="00AC268B"/>
    <w:rsid w:val="00AC2F3B"/>
    <w:rsid w:val="00AC3313"/>
    <w:rsid w:val="00AC372C"/>
    <w:rsid w:val="00AC3FBD"/>
    <w:rsid w:val="00AC42AB"/>
    <w:rsid w:val="00AC459F"/>
    <w:rsid w:val="00AC4961"/>
    <w:rsid w:val="00AC4D10"/>
    <w:rsid w:val="00AC575A"/>
    <w:rsid w:val="00AC70ED"/>
    <w:rsid w:val="00AC72C1"/>
    <w:rsid w:val="00AC7859"/>
    <w:rsid w:val="00AD004D"/>
    <w:rsid w:val="00AD125A"/>
    <w:rsid w:val="00AD1D8E"/>
    <w:rsid w:val="00AD3571"/>
    <w:rsid w:val="00AD674E"/>
    <w:rsid w:val="00AD67FC"/>
    <w:rsid w:val="00AD6AC1"/>
    <w:rsid w:val="00AD6B90"/>
    <w:rsid w:val="00AD6C98"/>
    <w:rsid w:val="00AD7037"/>
    <w:rsid w:val="00AD78B7"/>
    <w:rsid w:val="00AE0AE3"/>
    <w:rsid w:val="00AE1776"/>
    <w:rsid w:val="00AE1D10"/>
    <w:rsid w:val="00AE1ED7"/>
    <w:rsid w:val="00AE1EE7"/>
    <w:rsid w:val="00AE2086"/>
    <w:rsid w:val="00AE22DE"/>
    <w:rsid w:val="00AE346C"/>
    <w:rsid w:val="00AE435A"/>
    <w:rsid w:val="00AE460E"/>
    <w:rsid w:val="00AE47BA"/>
    <w:rsid w:val="00AE4BF3"/>
    <w:rsid w:val="00AE50AA"/>
    <w:rsid w:val="00AE5611"/>
    <w:rsid w:val="00AE7B5F"/>
    <w:rsid w:val="00AE7E67"/>
    <w:rsid w:val="00AE7F82"/>
    <w:rsid w:val="00AF02CF"/>
    <w:rsid w:val="00AF09E4"/>
    <w:rsid w:val="00AF16FF"/>
    <w:rsid w:val="00AF256E"/>
    <w:rsid w:val="00AF26CF"/>
    <w:rsid w:val="00AF28B8"/>
    <w:rsid w:val="00AF2ED6"/>
    <w:rsid w:val="00AF32D9"/>
    <w:rsid w:val="00AF3399"/>
    <w:rsid w:val="00AF37B6"/>
    <w:rsid w:val="00AF38F6"/>
    <w:rsid w:val="00AF3C6B"/>
    <w:rsid w:val="00AF41AA"/>
    <w:rsid w:val="00AF42B5"/>
    <w:rsid w:val="00AF5031"/>
    <w:rsid w:val="00AF5496"/>
    <w:rsid w:val="00AF54D1"/>
    <w:rsid w:val="00AF5B20"/>
    <w:rsid w:val="00AF62D7"/>
    <w:rsid w:val="00AF679F"/>
    <w:rsid w:val="00AF69C4"/>
    <w:rsid w:val="00AF6C8F"/>
    <w:rsid w:val="00AF6F70"/>
    <w:rsid w:val="00AF706E"/>
    <w:rsid w:val="00AF7FE3"/>
    <w:rsid w:val="00B017AC"/>
    <w:rsid w:val="00B01C29"/>
    <w:rsid w:val="00B024D1"/>
    <w:rsid w:val="00B02D63"/>
    <w:rsid w:val="00B02E1C"/>
    <w:rsid w:val="00B03E13"/>
    <w:rsid w:val="00B04701"/>
    <w:rsid w:val="00B0576B"/>
    <w:rsid w:val="00B05BEA"/>
    <w:rsid w:val="00B05C9E"/>
    <w:rsid w:val="00B05FB2"/>
    <w:rsid w:val="00B0620D"/>
    <w:rsid w:val="00B06D36"/>
    <w:rsid w:val="00B06DE6"/>
    <w:rsid w:val="00B0729E"/>
    <w:rsid w:val="00B07D20"/>
    <w:rsid w:val="00B10067"/>
    <w:rsid w:val="00B10095"/>
    <w:rsid w:val="00B10896"/>
    <w:rsid w:val="00B11147"/>
    <w:rsid w:val="00B111F7"/>
    <w:rsid w:val="00B11EAA"/>
    <w:rsid w:val="00B11F78"/>
    <w:rsid w:val="00B12BEC"/>
    <w:rsid w:val="00B12CE1"/>
    <w:rsid w:val="00B12FF5"/>
    <w:rsid w:val="00B13258"/>
    <w:rsid w:val="00B1450C"/>
    <w:rsid w:val="00B1472F"/>
    <w:rsid w:val="00B14D25"/>
    <w:rsid w:val="00B16379"/>
    <w:rsid w:val="00B165DB"/>
    <w:rsid w:val="00B172D6"/>
    <w:rsid w:val="00B17579"/>
    <w:rsid w:val="00B17595"/>
    <w:rsid w:val="00B17F20"/>
    <w:rsid w:val="00B21531"/>
    <w:rsid w:val="00B21E1D"/>
    <w:rsid w:val="00B22161"/>
    <w:rsid w:val="00B22D8F"/>
    <w:rsid w:val="00B231B5"/>
    <w:rsid w:val="00B24A51"/>
    <w:rsid w:val="00B24F75"/>
    <w:rsid w:val="00B25127"/>
    <w:rsid w:val="00B25651"/>
    <w:rsid w:val="00B264FF"/>
    <w:rsid w:val="00B26CEC"/>
    <w:rsid w:val="00B27489"/>
    <w:rsid w:val="00B27CA1"/>
    <w:rsid w:val="00B30D61"/>
    <w:rsid w:val="00B3145F"/>
    <w:rsid w:val="00B32917"/>
    <w:rsid w:val="00B32ADB"/>
    <w:rsid w:val="00B332A7"/>
    <w:rsid w:val="00B33973"/>
    <w:rsid w:val="00B33C04"/>
    <w:rsid w:val="00B3435A"/>
    <w:rsid w:val="00B34655"/>
    <w:rsid w:val="00B349F1"/>
    <w:rsid w:val="00B34CAA"/>
    <w:rsid w:val="00B35622"/>
    <w:rsid w:val="00B35B2F"/>
    <w:rsid w:val="00B36669"/>
    <w:rsid w:val="00B404F9"/>
    <w:rsid w:val="00B40879"/>
    <w:rsid w:val="00B40A2B"/>
    <w:rsid w:val="00B40FED"/>
    <w:rsid w:val="00B411A3"/>
    <w:rsid w:val="00B41712"/>
    <w:rsid w:val="00B41F44"/>
    <w:rsid w:val="00B424C2"/>
    <w:rsid w:val="00B42BA0"/>
    <w:rsid w:val="00B43047"/>
    <w:rsid w:val="00B4305E"/>
    <w:rsid w:val="00B4356A"/>
    <w:rsid w:val="00B43B67"/>
    <w:rsid w:val="00B44854"/>
    <w:rsid w:val="00B45F53"/>
    <w:rsid w:val="00B46BAB"/>
    <w:rsid w:val="00B46EF3"/>
    <w:rsid w:val="00B47443"/>
    <w:rsid w:val="00B5018A"/>
    <w:rsid w:val="00B506EF"/>
    <w:rsid w:val="00B51416"/>
    <w:rsid w:val="00B51745"/>
    <w:rsid w:val="00B517A8"/>
    <w:rsid w:val="00B517DE"/>
    <w:rsid w:val="00B51832"/>
    <w:rsid w:val="00B5192E"/>
    <w:rsid w:val="00B51FEA"/>
    <w:rsid w:val="00B5293D"/>
    <w:rsid w:val="00B52AF9"/>
    <w:rsid w:val="00B536D9"/>
    <w:rsid w:val="00B53CE1"/>
    <w:rsid w:val="00B54A82"/>
    <w:rsid w:val="00B54BC9"/>
    <w:rsid w:val="00B55180"/>
    <w:rsid w:val="00B55232"/>
    <w:rsid w:val="00B55C51"/>
    <w:rsid w:val="00B56654"/>
    <w:rsid w:val="00B5681E"/>
    <w:rsid w:val="00B569EE"/>
    <w:rsid w:val="00B56CAB"/>
    <w:rsid w:val="00B56E94"/>
    <w:rsid w:val="00B57239"/>
    <w:rsid w:val="00B57333"/>
    <w:rsid w:val="00B57598"/>
    <w:rsid w:val="00B57E03"/>
    <w:rsid w:val="00B600D1"/>
    <w:rsid w:val="00B6019B"/>
    <w:rsid w:val="00B6035F"/>
    <w:rsid w:val="00B60560"/>
    <w:rsid w:val="00B611AB"/>
    <w:rsid w:val="00B615A9"/>
    <w:rsid w:val="00B61FCD"/>
    <w:rsid w:val="00B6259C"/>
    <w:rsid w:val="00B628B6"/>
    <w:rsid w:val="00B62F34"/>
    <w:rsid w:val="00B6321C"/>
    <w:rsid w:val="00B634DB"/>
    <w:rsid w:val="00B63A78"/>
    <w:rsid w:val="00B64177"/>
    <w:rsid w:val="00B64345"/>
    <w:rsid w:val="00B64450"/>
    <w:rsid w:val="00B649C5"/>
    <w:rsid w:val="00B6540C"/>
    <w:rsid w:val="00B65577"/>
    <w:rsid w:val="00B6560D"/>
    <w:rsid w:val="00B666F1"/>
    <w:rsid w:val="00B66E63"/>
    <w:rsid w:val="00B71A0D"/>
    <w:rsid w:val="00B71C8C"/>
    <w:rsid w:val="00B71EB2"/>
    <w:rsid w:val="00B730CE"/>
    <w:rsid w:val="00B74025"/>
    <w:rsid w:val="00B745D7"/>
    <w:rsid w:val="00B74975"/>
    <w:rsid w:val="00B74A75"/>
    <w:rsid w:val="00B74BAA"/>
    <w:rsid w:val="00B74FA0"/>
    <w:rsid w:val="00B7590E"/>
    <w:rsid w:val="00B76687"/>
    <w:rsid w:val="00B76906"/>
    <w:rsid w:val="00B774C0"/>
    <w:rsid w:val="00B77B19"/>
    <w:rsid w:val="00B808D8"/>
    <w:rsid w:val="00B80990"/>
    <w:rsid w:val="00B80BD8"/>
    <w:rsid w:val="00B80D25"/>
    <w:rsid w:val="00B81077"/>
    <w:rsid w:val="00B820CC"/>
    <w:rsid w:val="00B82945"/>
    <w:rsid w:val="00B8313A"/>
    <w:rsid w:val="00B8350A"/>
    <w:rsid w:val="00B83E20"/>
    <w:rsid w:val="00B84F4F"/>
    <w:rsid w:val="00B85087"/>
    <w:rsid w:val="00B8557E"/>
    <w:rsid w:val="00B85B7B"/>
    <w:rsid w:val="00B85B89"/>
    <w:rsid w:val="00B865AB"/>
    <w:rsid w:val="00B86B5E"/>
    <w:rsid w:val="00B87C81"/>
    <w:rsid w:val="00B87C88"/>
    <w:rsid w:val="00B87FFD"/>
    <w:rsid w:val="00B9007E"/>
    <w:rsid w:val="00B90153"/>
    <w:rsid w:val="00B90172"/>
    <w:rsid w:val="00B90763"/>
    <w:rsid w:val="00B90E51"/>
    <w:rsid w:val="00B91116"/>
    <w:rsid w:val="00B91AD3"/>
    <w:rsid w:val="00B93132"/>
    <w:rsid w:val="00B9400E"/>
    <w:rsid w:val="00B943CA"/>
    <w:rsid w:val="00B943FA"/>
    <w:rsid w:val="00B94F77"/>
    <w:rsid w:val="00B94F7F"/>
    <w:rsid w:val="00B94F81"/>
    <w:rsid w:val="00B95035"/>
    <w:rsid w:val="00B95619"/>
    <w:rsid w:val="00B959A0"/>
    <w:rsid w:val="00B95DCE"/>
    <w:rsid w:val="00B9638D"/>
    <w:rsid w:val="00B970CC"/>
    <w:rsid w:val="00B97643"/>
    <w:rsid w:val="00B97FDF"/>
    <w:rsid w:val="00BA0A57"/>
    <w:rsid w:val="00BA1087"/>
    <w:rsid w:val="00BA16CE"/>
    <w:rsid w:val="00BA177C"/>
    <w:rsid w:val="00BA2078"/>
    <w:rsid w:val="00BA2169"/>
    <w:rsid w:val="00BA3846"/>
    <w:rsid w:val="00BA44E6"/>
    <w:rsid w:val="00BA51E1"/>
    <w:rsid w:val="00BA5EB7"/>
    <w:rsid w:val="00BA691A"/>
    <w:rsid w:val="00BA76FA"/>
    <w:rsid w:val="00BA7E37"/>
    <w:rsid w:val="00BA7EE9"/>
    <w:rsid w:val="00BB0206"/>
    <w:rsid w:val="00BB04E4"/>
    <w:rsid w:val="00BB0689"/>
    <w:rsid w:val="00BB14D1"/>
    <w:rsid w:val="00BB165F"/>
    <w:rsid w:val="00BB1EBB"/>
    <w:rsid w:val="00BB1EC6"/>
    <w:rsid w:val="00BB246D"/>
    <w:rsid w:val="00BB2485"/>
    <w:rsid w:val="00BB2865"/>
    <w:rsid w:val="00BB4823"/>
    <w:rsid w:val="00BB4E1F"/>
    <w:rsid w:val="00BB5071"/>
    <w:rsid w:val="00BB50E0"/>
    <w:rsid w:val="00BB5182"/>
    <w:rsid w:val="00BB5195"/>
    <w:rsid w:val="00BB54DE"/>
    <w:rsid w:val="00BB54F2"/>
    <w:rsid w:val="00BB666F"/>
    <w:rsid w:val="00BB69B6"/>
    <w:rsid w:val="00BB6A7C"/>
    <w:rsid w:val="00BB73F3"/>
    <w:rsid w:val="00BC0972"/>
    <w:rsid w:val="00BC10C7"/>
    <w:rsid w:val="00BC148E"/>
    <w:rsid w:val="00BC150D"/>
    <w:rsid w:val="00BC1E78"/>
    <w:rsid w:val="00BC23F6"/>
    <w:rsid w:val="00BC2C31"/>
    <w:rsid w:val="00BC3204"/>
    <w:rsid w:val="00BC3308"/>
    <w:rsid w:val="00BC342E"/>
    <w:rsid w:val="00BC3438"/>
    <w:rsid w:val="00BC3868"/>
    <w:rsid w:val="00BC400F"/>
    <w:rsid w:val="00BC46FA"/>
    <w:rsid w:val="00BC486E"/>
    <w:rsid w:val="00BC4C7D"/>
    <w:rsid w:val="00BC4CA2"/>
    <w:rsid w:val="00BC4D3A"/>
    <w:rsid w:val="00BC5425"/>
    <w:rsid w:val="00BC5DB2"/>
    <w:rsid w:val="00BC651E"/>
    <w:rsid w:val="00BC7617"/>
    <w:rsid w:val="00BC7AEE"/>
    <w:rsid w:val="00BD0900"/>
    <w:rsid w:val="00BD13A2"/>
    <w:rsid w:val="00BD1433"/>
    <w:rsid w:val="00BD1533"/>
    <w:rsid w:val="00BD291F"/>
    <w:rsid w:val="00BD2A5B"/>
    <w:rsid w:val="00BD3877"/>
    <w:rsid w:val="00BD4FFA"/>
    <w:rsid w:val="00BD5E5F"/>
    <w:rsid w:val="00BD6417"/>
    <w:rsid w:val="00BD6642"/>
    <w:rsid w:val="00BD79F5"/>
    <w:rsid w:val="00BD7A88"/>
    <w:rsid w:val="00BE1B72"/>
    <w:rsid w:val="00BE1B9A"/>
    <w:rsid w:val="00BE1BDF"/>
    <w:rsid w:val="00BE1F49"/>
    <w:rsid w:val="00BE29BD"/>
    <w:rsid w:val="00BE2A20"/>
    <w:rsid w:val="00BE2F8F"/>
    <w:rsid w:val="00BE3311"/>
    <w:rsid w:val="00BE3836"/>
    <w:rsid w:val="00BE38CC"/>
    <w:rsid w:val="00BE3F09"/>
    <w:rsid w:val="00BE3F7D"/>
    <w:rsid w:val="00BE4054"/>
    <w:rsid w:val="00BE41E6"/>
    <w:rsid w:val="00BE4B75"/>
    <w:rsid w:val="00BE5863"/>
    <w:rsid w:val="00BE5EDA"/>
    <w:rsid w:val="00BE6584"/>
    <w:rsid w:val="00BE6781"/>
    <w:rsid w:val="00BE67AA"/>
    <w:rsid w:val="00BE6EE0"/>
    <w:rsid w:val="00BE71EA"/>
    <w:rsid w:val="00BE7317"/>
    <w:rsid w:val="00BE77CF"/>
    <w:rsid w:val="00BE7CA9"/>
    <w:rsid w:val="00BE7E5D"/>
    <w:rsid w:val="00BF0B6B"/>
    <w:rsid w:val="00BF0E84"/>
    <w:rsid w:val="00BF1258"/>
    <w:rsid w:val="00BF16BD"/>
    <w:rsid w:val="00BF175E"/>
    <w:rsid w:val="00BF404F"/>
    <w:rsid w:val="00BF4601"/>
    <w:rsid w:val="00BF4A58"/>
    <w:rsid w:val="00BF4F98"/>
    <w:rsid w:val="00BF542C"/>
    <w:rsid w:val="00BF556E"/>
    <w:rsid w:val="00BF75C4"/>
    <w:rsid w:val="00BF75DB"/>
    <w:rsid w:val="00C00172"/>
    <w:rsid w:val="00C00628"/>
    <w:rsid w:val="00C00AC2"/>
    <w:rsid w:val="00C0193E"/>
    <w:rsid w:val="00C01E58"/>
    <w:rsid w:val="00C02433"/>
    <w:rsid w:val="00C02731"/>
    <w:rsid w:val="00C02C36"/>
    <w:rsid w:val="00C0309F"/>
    <w:rsid w:val="00C04C6F"/>
    <w:rsid w:val="00C052AD"/>
    <w:rsid w:val="00C05653"/>
    <w:rsid w:val="00C06003"/>
    <w:rsid w:val="00C066BE"/>
    <w:rsid w:val="00C06D78"/>
    <w:rsid w:val="00C11579"/>
    <w:rsid w:val="00C11A80"/>
    <w:rsid w:val="00C11F59"/>
    <w:rsid w:val="00C11F83"/>
    <w:rsid w:val="00C12BF9"/>
    <w:rsid w:val="00C130A2"/>
    <w:rsid w:val="00C13A16"/>
    <w:rsid w:val="00C13BB5"/>
    <w:rsid w:val="00C1408C"/>
    <w:rsid w:val="00C14613"/>
    <w:rsid w:val="00C14792"/>
    <w:rsid w:val="00C14A81"/>
    <w:rsid w:val="00C14CE0"/>
    <w:rsid w:val="00C15181"/>
    <w:rsid w:val="00C154DB"/>
    <w:rsid w:val="00C156D8"/>
    <w:rsid w:val="00C158C9"/>
    <w:rsid w:val="00C16443"/>
    <w:rsid w:val="00C16B8C"/>
    <w:rsid w:val="00C16CA4"/>
    <w:rsid w:val="00C16DA2"/>
    <w:rsid w:val="00C16DA7"/>
    <w:rsid w:val="00C16ED7"/>
    <w:rsid w:val="00C16FA9"/>
    <w:rsid w:val="00C1716A"/>
    <w:rsid w:val="00C174FF"/>
    <w:rsid w:val="00C1773B"/>
    <w:rsid w:val="00C17E0F"/>
    <w:rsid w:val="00C20F08"/>
    <w:rsid w:val="00C21969"/>
    <w:rsid w:val="00C22B01"/>
    <w:rsid w:val="00C238E0"/>
    <w:rsid w:val="00C239E3"/>
    <w:rsid w:val="00C2430E"/>
    <w:rsid w:val="00C2485D"/>
    <w:rsid w:val="00C24D5C"/>
    <w:rsid w:val="00C2633F"/>
    <w:rsid w:val="00C272B1"/>
    <w:rsid w:val="00C27BA3"/>
    <w:rsid w:val="00C27C6F"/>
    <w:rsid w:val="00C27F55"/>
    <w:rsid w:val="00C30893"/>
    <w:rsid w:val="00C30990"/>
    <w:rsid w:val="00C3107D"/>
    <w:rsid w:val="00C31485"/>
    <w:rsid w:val="00C317EB"/>
    <w:rsid w:val="00C32404"/>
    <w:rsid w:val="00C324ED"/>
    <w:rsid w:val="00C344FA"/>
    <w:rsid w:val="00C34708"/>
    <w:rsid w:val="00C347A6"/>
    <w:rsid w:val="00C35B3D"/>
    <w:rsid w:val="00C35CA8"/>
    <w:rsid w:val="00C35D9D"/>
    <w:rsid w:val="00C36018"/>
    <w:rsid w:val="00C403FB"/>
    <w:rsid w:val="00C40C87"/>
    <w:rsid w:val="00C413E7"/>
    <w:rsid w:val="00C4159F"/>
    <w:rsid w:val="00C41730"/>
    <w:rsid w:val="00C43231"/>
    <w:rsid w:val="00C4436D"/>
    <w:rsid w:val="00C453FC"/>
    <w:rsid w:val="00C45712"/>
    <w:rsid w:val="00C459D2"/>
    <w:rsid w:val="00C46D40"/>
    <w:rsid w:val="00C47346"/>
    <w:rsid w:val="00C4777D"/>
    <w:rsid w:val="00C47BD3"/>
    <w:rsid w:val="00C47C86"/>
    <w:rsid w:val="00C47F89"/>
    <w:rsid w:val="00C504EB"/>
    <w:rsid w:val="00C50B50"/>
    <w:rsid w:val="00C50D2B"/>
    <w:rsid w:val="00C510A4"/>
    <w:rsid w:val="00C5165C"/>
    <w:rsid w:val="00C51EDC"/>
    <w:rsid w:val="00C520F8"/>
    <w:rsid w:val="00C52698"/>
    <w:rsid w:val="00C52F29"/>
    <w:rsid w:val="00C538CA"/>
    <w:rsid w:val="00C53925"/>
    <w:rsid w:val="00C53CFB"/>
    <w:rsid w:val="00C53FC2"/>
    <w:rsid w:val="00C54223"/>
    <w:rsid w:val="00C54274"/>
    <w:rsid w:val="00C546D7"/>
    <w:rsid w:val="00C5483C"/>
    <w:rsid w:val="00C54BB0"/>
    <w:rsid w:val="00C55238"/>
    <w:rsid w:val="00C55AA9"/>
    <w:rsid w:val="00C55B76"/>
    <w:rsid w:val="00C562CC"/>
    <w:rsid w:val="00C5641E"/>
    <w:rsid w:val="00C56A59"/>
    <w:rsid w:val="00C56E57"/>
    <w:rsid w:val="00C573A5"/>
    <w:rsid w:val="00C57AF8"/>
    <w:rsid w:val="00C600D1"/>
    <w:rsid w:val="00C60385"/>
    <w:rsid w:val="00C60673"/>
    <w:rsid w:val="00C61110"/>
    <w:rsid w:val="00C61987"/>
    <w:rsid w:val="00C61B88"/>
    <w:rsid w:val="00C61FAB"/>
    <w:rsid w:val="00C6236C"/>
    <w:rsid w:val="00C625F5"/>
    <w:rsid w:val="00C62C42"/>
    <w:rsid w:val="00C62CAE"/>
    <w:rsid w:val="00C62D40"/>
    <w:rsid w:val="00C63BD9"/>
    <w:rsid w:val="00C63D6C"/>
    <w:rsid w:val="00C642B6"/>
    <w:rsid w:val="00C646FF"/>
    <w:rsid w:val="00C64A9A"/>
    <w:rsid w:val="00C64EAF"/>
    <w:rsid w:val="00C64F64"/>
    <w:rsid w:val="00C6524F"/>
    <w:rsid w:val="00C65292"/>
    <w:rsid w:val="00C657C0"/>
    <w:rsid w:val="00C66AAD"/>
    <w:rsid w:val="00C66CB6"/>
    <w:rsid w:val="00C66E22"/>
    <w:rsid w:val="00C672DB"/>
    <w:rsid w:val="00C673E2"/>
    <w:rsid w:val="00C6758B"/>
    <w:rsid w:val="00C7000F"/>
    <w:rsid w:val="00C709C3"/>
    <w:rsid w:val="00C70FF5"/>
    <w:rsid w:val="00C71A7F"/>
    <w:rsid w:val="00C71B58"/>
    <w:rsid w:val="00C71DEA"/>
    <w:rsid w:val="00C71EBA"/>
    <w:rsid w:val="00C71FA8"/>
    <w:rsid w:val="00C725BA"/>
    <w:rsid w:val="00C72B3C"/>
    <w:rsid w:val="00C72F69"/>
    <w:rsid w:val="00C72FAB"/>
    <w:rsid w:val="00C73C41"/>
    <w:rsid w:val="00C73E79"/>
    <w:rsid w:val="00C74094"/>
    <w:rsid w:val="00C749BE"/>
    <w:rsid w:val="00C74C20"/>
    <w:rsid w:val="00C74E3D"/>
    <w:rsid w:val="00C751AD"/>
    <w:rsid w:val="00C7696B"/>
    <w:rsid w:val="00C773C9"/>
    <w:rsid w:val="00C778A5"/>
    <w:rsid w:val="00C80881"/>
    <w:rsid w:val="00C80C0C"/>
    <w:rsid w:val="00C8104B"/>
    <w:rsid w:val="00C81624"/>
    <w:rsid w:val="00C81767"/>
    <w:rsid w:val="00C81B9B"/>
    <w:rsid w:val="00C81D05"/>
    <w:rsid w:val="00C822D5"/>
    <w:rsid w:val="00C831E0"/>
    <w:rsid w:val="00C84DE8"/>
    <w:rsid w:val="00C850BC"/>
    <w:rsid w:val="00C850C8"/>
    <w:rsid w:val="00C86425"/>
    <w:rsid w:val="00C8654D"/>
    <w:rsid w:val="00C86716"/>
    <w:rsid w:val="00C87139"/>
    <w:rsid w:val="00C873B6"/>
    <w:rsid w:val="00C87580"/>
    <w:rsid w:val="00C911E4"/>
    <w:rsid w:val="00C9216F"/>
    <w:rsid w:val="00C92F95"/>
    <w:rsid w:val="00C93402"/>
    <w:rsid w:val="00C93420"/>
    <w:rsid w:val="00C93FB7"/>
    <w:rsid w:val="00C94753"/>
    <w:rsid w:val="00C94B64"/>
    <w:rsid w:val="00C954E0"/>
    <w:rsid w:val="00C95AC0"/>
    <w:rsid w:val="00C9683B"/>
    <w:rsid w:val="00C974AB"/>
    <w:rsid w:val="00C9785E"/>
    <w:rsid w:val="00CA072C"/>
    <w:rsid w:val="00CA077D"/>
    <w:rsid w:val="00CA0954"/>
    <w:rsid w:val="00CA0EFA"/>
    <w:rsid w:val="00CA25B1"/>
    <w:rsid w:val="00CA27BC"/>
    <w:rsid w:val="00CA2D95"/>
    <w:rsid w:val="00CA31D3"/>
    <w:rsid w:val="00CA32A2"/>
    <w:rsid w:val="00CA368F"/>
    <w:rsid w:val="00CA3AD7"/>
    <w:rsid w:val="00CA405F"/>
    <w:rsid w:val="00CA474C"/>
    <w:rsid w:val="00CA4D1F"/>
    <w:rsid w:val="00CA4FC4"/>
    <w:rsid w:val="00CA5AE4"/>
    <w:rsid w:val="00CA64CC"/>
    <w:rsid w:val="00CA65A1"/>
    <w:rsid w:val="00CA663C"/>
    <w:rsid w:val="00CA6A7C"/>
    <w:rsid w:val="00CA6EFF"/>
    <w:rsid w:val="00CA768D"/>
    <w:rsid w:val="00CA7B49"/>
    <w:rsid w:val="00CB062C"/>
    <w:rsid w:val="00CB0630"/>
    <w:rsid w:val="00CB14F5"/>
    <w:rsid w:val="00CB27A3"/>
    <w:rsid w:val="00CB2EE1"/>
    <w:rsid w:val="00CB3627"/>
    <w:rsid w:val="00CB3B50"/>
    <w:rsid w:val="00CB3CDE"/>
    <w:rsid w:val="00CB4038"/>
    <w:rsid w:val="00CB40FD"/>
    <w:rsid w:val="00CB44B5"/>
    <w:rsid w:val="00CB4D8E"/>
    <w:rsid w:val="00CB4F5A"/>
    <w:rsid w:val="00CB5ACF"/>
    <w:rsid w:val="00CB645F"/>
    <w:rsid w:val="00CB6DA0"/>
    <w:rsid w:val="00CB7685"/>
    <w:rsid w:val="00CB793B"/>
    <w:rsid w:val="00CC029E"/>
    <w:rsid w:val="00CC08F8"/>
    <w:rsid w:val="00CC0D8F"/>
    <w:rsid w:val="00CC0DE1"/>
    <w:rsid w:val="00CC19FA"/>
    <w:rsid w:val="00CC34E9"/>
    <w:rsid w:val="00CC3772"/>
    <w:rsid w:val="00CC384D"/>
    <w:rsid w:val="00CC389E"/>
    <w:rsid w:val="00CC58CB"/>
    <w:rsid w:val="00CC6543"/>
    <w:rsid w:val="00CC6FBB"/>
    <w:rsid w:val="00CC7D1C"/>
    <w:rsid w:val="00CD060E"/>
    <w:rsid w:val="00CD1DA9"/>
    <w:rsid w:val="00CD1F68"/>
    <w:rsid w:val="00CD22F6"/>
    <w:rsid w:val="00CD243D"/>
    <w:rsid w:val="00CD435E"/>
    <w:rsid w:val="00CD4664"/>
    <w:rsid w:val="00CD46CF"/>
    <w:rsid w:val="00CD4C27"/>
    <w:rsid w:val="00CD4E0C"/>
    <w:rsid w:val="00CD5195"/>
    <w:rsid w:val="00CD553A"/>
    <w:rsid w:val="00CD5691"/>
    <w:rsid w:val="00CD5CD7"/>
    <w:rsid w:val="00CD5D94"/>
    <w:rsid w:val="00CD7286"/>
    <w:rsid w:val="00CD756C"/>
    <w:rsid w:val="00CE0696"/>
    <w:rsid w:val="00CE0D65"/>
    <w:rsid w:val="00CE0FC9"/>
    <w:rsid w:val="00CE1B5C"/>
    <w:rsid w:val="00CE2093"/>
    <w:rsid w:val="00CE2ACB"/>
    <w:rsid w:val="00CE2B7C"/>
    <w:rsid w:val="00CE3631"/>
    <w:rsid w:val="00CE480A"/>
    <w:rsid w:val="00CE4926"/>
    <w:rsid w:val="00CE4A5B"/>
    <w:rsid w:val="00CE5A0F"/>
    <w:rsid w:val="00CE5FD1"/>
    <w:rsid w:val="00CE61EB"/>
    <w:rsid w:val="00CE681F"/>
    <w:rsid w:val="00CE6837"/>
    <w:rsid w:val="00CF0105"/>
    <w:rsid w:val="00CF1644"/>
    <w:rsid w:val="00CF181A"/>
    <w:rsid w:val="00CF18AD"/>
    <w:rsid w:val="00CF1AB0"/>
    <w:rsid w:val="00CF1BB0"/>
    <w:rsid w:val="00CF22D8"/>
    <w:rsid w:val="00CF23DC"/>
    <w:rsid w:val="00CF2EC2"/>
    <w:rsid w:val="00CF3809"/>
    <w:rsid w:val="00CF39EC"/>
    <w:rsid w:val="00CF39FB"/>
    <w:rsid w:val="00CF41D5"/>
    <w:rsid w:val="00CF440C"/>
    <w:rsid w:val="00CF454A"/>
    <w:rsid w:val="00CF5083"/>
    <w:rsid w:val="00CF5864"/>
    <w:rsid w:val="00CF60E8"/>
    <w:rsid w:val="00CF6896"/>
    <w:rsid w:val="00CF6BAC"/>
    <w:rsid w:val="00CF7104"/>
    <w:rsid w:val="00CF7770"/>
    <w:rsid w:val="00CF7DD2"/>
    <w:rsid w:val="00D01247"/>
    <w:rsid w:val="00D0156B"/>
    <w:rsid w:val="00D03551"/>
    <w:rsid w:val="00D037B6"/>
    <w:rsid w:val="00D042F5"/>
    <w:rsid w:val="00D04738"/>
    <w:rsid w:val="00D05070"/>
    <w:rsid w:val="00D05135"/>
    <w:rsid w:val="00D0566D"/>
    <w:rsid w:val="00D05956"/>
    <w:rsid w:val="00D05D2E"/>
    <w:rsid w:val="00D05EF5"/>
    <w:rsid w:val="00D06465"/>
    <w:rsid w:val="00D06614"/>
    <w:rsid w:val="00D06C4A"/>
    <w:rsid w:val="00D07726"/>
    <w:rsid w:val="00D10503"/>
    <w:rsid w:val="00D10902"/>
    <w:rsid w:val="00D10F63"/>
    <w:rsid w:val="00D11BBA"/>
    <w:rsid w:val="00D123D1"/>
    <w:rsid w:val="00D12EF1"/>
    <w:rsid w:val="00D13126"/>
    <w:rsid w:val="00D14157"/>
    <w:rsid w:val="00D14390"/>
    <w:rsid w:val="00D14402"/>
    <w:rsid w:val="00D14833"/>
    <w:rsid w:val="00D14871"/>
    <w:rsid w:val="00D148FC"/>
    <w:rsid w:val="00D154D0"/>
    <w:rsid w:val="00D15C60"/>
    <w:rsid w:val="00D15E5F"/>
    <w:rsid w:val="00D1645F"/>
    <w:rsid w:val="00D168F7"/>
    <w:rsid w:val="00D17ABA"/>
    <w:rsid w:val="00D17BDC"/>
    <w:rsid w:val="00D204BE"/>
    <w:rsid w:val="00D204FF"/>
    <w:rsid w:val="00D2116B"/>
    <w:rsid w:val="00D21B85"/>
    <w:rsid w:val="00D23054"/>
    <w:rsid w:val="00D23271"/>
    <w:rsid w:val="00D23518"/>
    <w:rsid w:val="00D23DFD"/>
    <w:rsid w:val="00D244FD"/>
    <w:rsid w:val="00D24811"/>
    <w:rsid w:val="00D24A07"/>
    <w:rsid w:val="00D24EB8"/>
    <w:rsid w:val="00D25223"/>
    <w:rsid w:val="00D26757"/>
    <w:rsid w:val="00D27461"/>
    <w:rsid w:val="00D27A6D"/>
    <w:rsid w:val="00D30A43"/>
    <w:rsid w:val="00D30E10"/>
    <w:rsid w:val="00D321B4"/>
    <w:rsid w:val="00D3238F"/>
    <w:rsid w:val="00D32425"/>
    <w:rsid w:val="00D32954"/>
    <w:rsid w:val="00D329CA"/>
    <w:rsid w:val="00D329D7"/>
    <w:rsid w:val="00D32B2B"/>
    <w:rsid w:val="00D32BDE"/>
    <w:rsid w:val="00D32D22"/>
    <w:rsid w:val="00D32D8B"/>
    <w:rsid w:val="00D32E0A"/>
    <w:rsid w:val="00D33365"/>
    <w:rsid w:val="00D3348C"/>
    <w:rsid w:val="00D339FB"/>
    <w:rsid w:val="00D33AB5"/>
    <w:rsid w:val="00D34000"/>
    <w:rsid w:val="00D344DA"/>
    <w:rsid w:val="00D348D2"/>
    <w:rsid w:val="00D34F95"/>
    <w:rsid w:val="00D35086"/>
    <w:rsid w:val="00D35149"/>
    <w:rsid w:val="00D3568A"/>
    <w:rsid w:val="00D3569B"/>
    <w:rsid w:val="00D36499"/>
    <w:rsid w:val="00D365FF"/>
    <w:rsid w:val="00D37436"/>
    <w:rsid w:val="00D3744D"/>
    <w:rsid w:val="00D37798"/>
    <w:rsid w:val="00D37F66"/>
    <w:rsid w:val="00D40C38"/>
    <w:rsid w:val="00D4132F"/>
    <w:rsid w:val="00D41D12"/>
    <w:rsid w:val="00D421FA"/>
    <w:rsid w:val="00D4232F"/>
    <w:rsid w:val="00D42D71"/>
    <w:rsid w:val="00D4352E"/>
    <w:rsid w:val="00D4388A"/>
    <w:rsid w:val="00D43EEA"/>
    <w:rsid w:val="00D443F9"/>
    <w:rsid w:val="00D44839"/>
    <w:rsid w:val="00D451AB"/>
    <w:rsid w:val="00D45895"/>
    <w:rsid w:val="00D461AE"/>
    <w:rsid w:val="00D46576"/>
    <w:rsid w:val="00D467DD"/>
    <w:rsid w:val="00D47ACA"/>
    <w:rsid w:val="00D47E90"/>
    <w:rsid w:val="00D50066"/>
    <w:rsid w:val="00D510EF"/>
    <w:rsid w:val="00D5136B"/>
    <w:rsid w:val="00D52F76"/>
    <w:rsid w:val="00D53077"/>
    <w:rsid w:val="00D53100"/>
    <w:rsid w:val="00D53395"/>
    <w:rsid w:val="00D53926"/>
    <w:rsid w:val="00D53AB8"/>
    <w:rsid w:val="00D54D69"/>
    <w:rsid w:val="00D5556A"/>
    <w:rsid w:val="00D56D24"/>
    <w:rsid w:val="00D56EE8"/>
    <w:rsid w:val="00D57FFD"/>
    <w:rsid w:val="00D60810"/>
    <w:rsid w:val="00D60C9B"/>
    <w:rsid w:val="00D60CFB"/>
    <w:rsid w:val="00D60D93"/>
    <w:rsid w:val="00D61593"/>
    <w:rsid w:val="00D61A0C"/>
    <w:rsid w:val="00D62DAC"/>
    <w:rsid w:val="00D63295"/>
    <w:rsid w:val="00D633F9"/>
    <w:rsid w:val="00D6400B"/>
    <w:rsid w:val="00D644CD"/>
    <w:rsid w:val="00D649EE"/>
    <w:rsid w:val="00D64F9E"/>
    <w:rsid w:val="00D65642"/>
    <w:rsid w:val="00D65B93"/>
    <w:rsid w:val="00D6720C"/>
    <w:rsid w:val="00D67B03"/>
    <w:rsid w:val="00D67D41"/>
    <w:rsid w:val="00D703BA"/>
    <w:rsid w:val="00D707E2"/>
    <w:rsid w:val="00D70E9A"/>
    <w:rsid w:val="00D71F18"/>
    <w:rsid w:val="00D73C13"/>
    <w:rsid w:val="00D73F9B"/>
    <w:rsid w:val="00D74115"/>
    <w:rsid w:val="00D7427F"/>
    <w:rsid w:val="00D750B1"/>
    <w:rsid w:val="00D7525A"/>
    <w:rsid w:val="00D758AC"/>
    <w:rsid w:val="00D75DE0"/>
    <w:rsid w:val="00D763FC"/>
    <w:rsid w:val="00D76447"/>
    <w:rsid w:val="00D77B28"/>
    <w:rsid w:val="00D77E4C"/>
    <w:rsid w:val="00D809DC"/>
    <w:rsid w:val="00D81051"/>
    <w:rsid w:val="00D81265"/>
    <w:rsid w:val="00D8176A"/>
    <w:rsid w:val="00D8286E"/>
    <w:rsid w:val="00D82BFE"/>
    <w:rsid w:val="00D830A7"/>
    <w:rsid w:val="00D8350C"/>
    <w:rsid w:val="00D83D58"/>
    <w:rsid w:val="00D83F38"/>
    <w:rsid w:val="00D844CE"/>
    <w:rsid w:val="00D84B2D"/>
    <w:rsid w:val="00D86A94"/>
    <w:rsid w:val="00D87251"/>
    <w:rsid w:val="00D875D7"/>
    <w:rsid w:val="00D87873"/>
    <w:rsid w:val="00D900BD"/>
    <w:rsid w:val="00D90694"/>
    <w:rsid w:val="00D90F9E"/>
    <w:rsid w:val="00D911C9"/>
    <w:rsid w:val="00D916FA"/>
    <w:rsid w:val="00D919CE"/>
    <w:rsid w:val="00D91EE8"/>
    <w:rsid w:val="00D9243C"/>
    <w:rsid w:val="00D92DE4"/>
    <w:rsid w:val="00D92F31"/>
    <w:rsid w:val="00D935E3"/>
    <w:rsid w:val="00D93F55"/>
    <w:rsid w:val="00D93FD1"/>
    <w:rsid w:val="00D944CD"/>
    <w:rsid w:val="00D9463D"/>
    <w:rsid w:val="00D952A1"/>
    <w:rsid w:val="00D95536"/>
    <w:rsid w:val="00D95780"/>
    <w:rsid w:val="00D95981"/>
    <w:rsid w:val="00D95AC4"/>
    <w:rsid w:val="00D96385"/>
    <w:rsid w:val="00D96A2C"/>
    <w:rsid w:val="00D97112"/>
    <w:rsid w:val="00D97775"/>
    <w:rsid w:val="00DA01A7"/>
    <w:rsid w:val="00DA074F"/>
    <w:rsid w:val="00DA0C35"/>
    <w:rsid w:val="00DA0FE1"/>
    <w:rsid w:val="00DA12F6"/>
    <w:rsid w:val="00DA21A4"/>
    <w:rsid w:val="00DA238D"/>
    <w:rsid w:val="00DA2862"/>
    <w:rsid w:val="00DA2EAD"/>
    <w:rsid w:val="00DA3255"/>
    <w:rsid w:val="00DA3759"/>
    <w:rsid w:val="00DA3C0F"/>
    <w:rsid w:val="00DA3F79"/>
    <w:rsid w:val="00DA435B"/>
    <w:rsid w:val="00DA5589"/>
    <w:rsid w:val="00DA5BC6"/>
    <w:rsid w:val="00DA60DF"/>
    <w:rsid w:val="00DA67A7"/>
    <w:rsid w:val="00DA7434"/>
    <w:rsid w:val="00DA773A"/>
    <w:rsid w:val="00DB0472"/>
    <w:rsid w:val="00DB08D1"/>
    <w:rsid w:val="00DB0A8F"/>
    <w:rsid w:val="00DB11CE"/>
    <w:rsid w:val="00DB1282"/>
    <w:rsid w:val="00DB1763"/>
    <w:rsid w:val="00DB1766"/>
    <w:rsid w:val="00DB1C7B"/>
    <w:rsid w:val="00DB1E1B"/>
    <w:rsid w:val="00DB217A"/>
    <w:rsid w:val="00DB250A"/>
    <w:rsid w:val="00DB2D28"/>
    <w:rsid w:val="00DB36AD"/>
    <w:rsid w:val="00DB392E"/>
    <w:rsid w:val="00DB394A"/>
    <w:rsid w:val="00DB3C62"/>
    <w:rsid w:val="00DB4716"/>
    <w:rsid w:val="00DB47E8"/>
    <w:rsid w:val="00DB481A"/>
    <w:rsid w:val="00DB5AC3"/>
    <w:rsid w:val="00DB63ED"/>
    <w:rsid w:val="00DB69F4"/>
    <w:rsid w:val="00DC163A"/>
    <w:rsid w:val="00DC18DF"/>
    <w:rsid w:val="00DC208C"/>
    <w:rsid w:val="00DC312A"/>
    <w:rsid w:val="00DC3C52"/>
    <w:rsid w:val="00DC3CAC"/>
    <w:rsid w:val="00DC57C3"/>
    <w:rsid w:val="00DC5EAD"/>
    <w:rsid w:val="00DC6065"/>
    <w:rsid w:val="00DC63B3"/>
    <w:rsid w:val="00DC6BB0"/>
    <w:rsid w:val="00DD078B"/>
    <w:rsid w:val="00DD20DC"/>
    <w:rsid w:val="00DD2706"/>
    <w:rsid w:val="00DD2CBC"/>
    <w:rsid w:val="00DD34FC"/>
    <w:rsid w:val="00DD3C40"/>
    <w:rsid w:val="00DD3DA0"/>
    <w:rsid w:val="00DD509D"/>
    <w:rsid w:val="00DD55E1"/>
    <w:rsid w:val="00DD5854"/>
    <w:rsid w:val="00DD5980"/>
    <w:rsid w:val="00DD59D0"/>
    <w:rsid w:val="00DD7EF8"/>
    <w:rsid w:val="00DE16CD"/>
    <w:rsid w:val="00DE2DA3"/>
    <w:rsid w:val="00DE328D"/>
    <w:rsid w:val="00DE3BFD"/>
    <w:rsid w:val="00DE3E0E"/>
    <w:rsid w:val="00DE422D"/>
    <w:rsid w:val="00DE4926"/>
    <w:rsid w:val="00DE4B28"/>
    <w:rsid w:val="00DE4ED2"/>
    <w:rsid w:val="00DE65FF"/>
    <w:rsid w:val="00DE705C"/>
    <w:rsid w:val="00DE7838"/>
    <w:rsid w:val="00DF058E"/>
    <w:rsid w:val="00DF0595"/>
    <w:rsid w:val="00DF0C79"/>
    <w:rsid w:val="00DF0D78"/>
    <w:rsid w:val="00DF0DC0"/>
    <w:rsid w:val="00DF1F25"/>
    <w:rsid w:val="00DF2256"/>
    <w:rsid w:val="00DF2EE4"/>
    <w:rsid w:val="00DF346F"/>
    <w:rsid w:val="00DF4B1C"/>
    <w:rsid w:val="00DF4EC1"/>
    <w:rsid w:val="00DF54AE"/>
    <w:rsid w:val="00DF54C4"/>
    <w:rsid w:val="00DF551A"/>
    <w:rsid w:val="00DF5AA3"/>
    <w:rsid w:val="00DF6128"/>
    <w:rsid w:val="00DF6902"/>
    <w:rsid w:val="00DF6C6A"/>
    <w:rsid w:val="00DF707C"/>
    <w:rsid w:val="00DF726F"/>
    <w:rsid w:val="00DF7896"/>
    <w:rsid w:val="00DF7C34"/>
    <w:rsid w:val="00DF7F4E"/>
    <w:rsid w:val="00E0017D"/>
    <w:rsid w:val="00E009DE"/>
    <w:rsid w:val="00E00A16"/>
    <w:rsid w:val="00E00C0C"/>
    <w:rsid w:val="00E01A84"/>
    <w:rsid w:val="00E02248"/>
    <w:rsid w:val="00E02722"/>
    <w:rsid w:val="00E036CE"/>
    <w:rsid w:val="00E03BFF"/>
    <w:rsid w:val="00E03F0C"/>
    <w:rsid w:val="00E0519D"/>
    <w:rsid w:val="00E05203"/>
    <w:rsid w:val="00E05436"/>
    <w:rsid w:val="00E057D5"/>
    <w:rsid w:val="00E05872"/>
    <w:rsid w:val="00E066AB"/>
    <w:rsid w:val="00E06BEE"/>
    <w:rsid w:val="00E06CD0"/>
    <w:rsid w:val="00E0741A"/>
    <w:rsid w:val="00E12B7F"/>
    <w:rsid w:val="00E13084"/>
    <w:rsid w:val="00E131AB"/>
    <w:rsid w:val="00E1371D"/>
    <w:rsid w:val="00E13CC0"/>
    <w:rsid w:val="00E14910"/>
    <w:rsid w:val="00E14BA4"/>
    <w:rsid w:val="00E16964"/>
    <w:rsid w:val="00E16BDE"/>
    <w:rsid w:val="00E17206"/>
    <w:rsid w:val="00E174BD"/>
    <w:rsid w:val="00E1790F"/>
    <w:rsid w:val="00E2099C"/>
    <w:rsid w:val="00E20E5B"/>
    <w:rsid w:val="00E22AD8"/>
    <w:rsid w:val="00E23547"/>
    <w:rsid w:val="00E23C42"/>
    <w:rsid w:val="00E24299"/>
    <w:rsid w:val="00E242A4"/>
    <w:rsid w:val="00E2459A"/>
    <w:rsid w:val="00E245FF"/>
    <w:rsid w:val="00E24BEB"/>
    <w:rsid w:val="00E24CA8"/>
    <w:rsid w:val="00E24ECD"/>
    <w:rsid w:val="00E25B54"/>
    <w:rsid w:val="00E25FF0"/>
    <w:rsid w:val="00E26545"/>
    <w:rsid w:val="00E26696"/>
    <w:rsid w:val="00E267A7"/>
    <w:rsid w:val="00E278E8"/>
    <w:rsid w:val="00E308D2"/>
    <w:rsid w:val="00E3108D"/>
    <w:rsid w:val="00E32424"/>
    <w:rsid w:val="00E3245D"/>
    <w:rsid w:val="00E326A4"/>
    <w:rsid w:val="00E32C80"/>
    <w:rsid w:val="00E32DE5"/>
    <w:rsid w:val="00E33162"/>
    <w:rsid w:val="00E33B39"/>
    <w:rsid w:val="00E3422B"/>
    <w:rsid w:val="00E3490A"/>
    <w:rsid w:val="00E3530E"/>
    <w:rsid w:val="00E3553C"/>
    <w:rsid w:val="00E35FB7"/>
    <w:rsid w:val="00E364AB"/>
    <w:rsid w:val="00E373E8"/>
    <w:rsid w:val="00E37B1C"/>
    <w:rsid w:val="00E403C7"/>
    <w:rsid w:val="00E4094D"/>
    <w:rsid w:val="00E409F5"/>
    <w:rsid w:val="00E40BED"/>
    <w:rsid w:val="00E41228"/>
    <w:rsid w:val="00E416B6"/>
    <w:rsid w:val="00E41F59"/>
    <w:rsid w:val="00E43C52"/>
    <w:rsid w:val="00E44C6E"/>
    <w:rsid w:val="00E459A8"/>
    <w:rsid w:val="00E46C47"/>
    <w:rsid w:val="00E50BAF"/>
    <w:rsid w:val="00E50BDB"/>
    <w:rsid w:val="00E516C7"/>
    <w:rsid w:val="00E518BB"/>
    <w:rsid w:val="00E51AD5"/>
    <w:rsid w:val="00E51C70"/>
    <w:rsid w:val="00E521C3"/>
    <w:rsid w:val="00E521FD"/>
    <w:rsid w:val="00E5248A"/>
    <w:rsid w:val="00E532BA"/>
    <w:rsid w:val="00E535AF"/>
    <w:rsid w:val="00E53630"/>
    <w:rsid w:val="00E54E5C"/>
    <w:rsid w:val="00E55C9D"/>
    <w:rsid w:val="00E564BF"/>
    <w:rsid w:val="00E5652F"/>
    <w:rsid w:val="00E565B3"/>
    <w:rsid w:val="00E60023"/>
    <w:rsid w:val="00E60451"/>
    <w:rsid w:val="00E611F9"/>
    <w:rsid w:val="00E6132D"/>
    <w:rsid w:val="00E61373"/>
    <w:rsid w:val="00E61AE2"/>
    <w:rsid w:val="00E61BC2"/>
    <w:rsid w:val="00E61CF1"/>
    <w:rsid w:val="00E6240D"/>
    <w:rsid w:val="00E6268F"/>
    <w:rsid w:val="00E639CC"/>
    <w:rsid w:val="00E64629"/>
    <w:rsid w:val="00E64693"/>
    <w:rsid w:val="00E64B50"/>
    <w:rsid w:val="00E658F6"/>
    <w:rsid w:val="00E66709"/>
    <w:rsid w:val="00E66F5B"/>
    <w:rsid w:val="00E675F4"/>
    <w:rsid w:val="00E70ACD"/>
    <w:rsid w:val="00E70BF8"/>
    <w:rsid w:val="00E70E15"/>
    <w:rsid w:val="00E71267"/>
    <w:rsid w:val="00E71985"/>
    <w:rsid w:val="00E73205"/>
    <w:rsid w:val="00E7364B"/>
    <w:rsid w:val="00E73D5A"/>
    <w:rsid w:val="00E743BE"/>
    <w:rsid w:val="00E74B0A"/>
    <w:rsid w:val="00E76542"/>
    <w:rsid w:val="00E769B1"/>
    <w:rsid w:val="00E76C78"/>
    <w:rsid w:val="00E7723B"/>
    <w:rsid w:val="00E77260"/>
    <w:rsid w:val="00E77282"/>
    <w:rsid w:val="00E776A3"/>
    <w:rsid w:val="00E77767"/>
    <w:rsid w:val="00E809D8"/>
    <w:rsid w:val="00E80A05"/>
    <w:rsid w:val="00E80E7F"/>
    <w:rsid w:val="00E823B9"/>
    <w:rsid w:val="00E82B4D"/>
    <w:rsid w:val="00E8314A"/>
    <w:rsid w:val="00E83EC6"/>
    <w:rsid w:val="00E83FD4"/>
    <w:rsid w:val="00E840B2"/>
    <w:rsid w:val="00E851D9"/>
    <w:rsid w:val="00E859AF"/>
    <w:rsid w:val="00E85A35"/>
    <w:rsid w:val="00E86271"/>
    <w:rsid w:val="00E8656B"/>
    <w:rsid w:val="00E87122"/>
    <w:rsid w:val="00E879ED"/>
    <w:rsid w:val="00E87D77"/>
    <w:rsid w:val="00E87DE5"/>
    <w:rsid w:val="00E9011E"/>
    <w:rsid w:val="00E90484"/>
    <w:rsid w:val="00E9099A"/>
    <w:rsid w:val="00E90ABA"/>
    <w:rsid w:val="00E91118"/>
    <w:rsid w:val="00E923D5"/>
    <w:rsid w:val="00E92BE7"/>
    <w:rsid w:val="00E92F19"/>
    <w:rsid w:val="00E93C0B"/>
    <w:rsid w:val="00E940FB"/>
    <w:rsid w:val="00E943A9"/>
    <w:rsid w:val="00E944F6"/>
    <w:rsid w:val="00E94B9B"/>
    <w:rsid w:val="00E94DBD"/>
    <w:rsid w:val="00E95024"/>
    <w:rsid w:val="00E957A7"/>
    <w:rsid w:val="00E95CE0"/>
    <w:rsid w:val="00E95D77"/>
    <w:rsid w:val="00E95F6F"/>
    <w:rsid w:val="00E96D06"/>
    <w:rsid w:val="00E96E87"/>
    <w:rsid w:val="00E9704D"/>
    <w:rsid w:val="00E97674"/>
    <w:rsid w:val="00EA0571"/>
    <w:rsid w:val="00EA07D9"/>
    <w:rsid w:val="00EA0DF6"/>
    <w:rsid w:val="00EA1750"/>
    <w:rsid w:val="00EA1E78"/>
    <w:rsid w:val="00EA3FB2"/>
    <w:rsid w:val="00EA4391"/>
    <w:rsid w:val="00EA496A"/>
    <w:rsid w:val="00EA4D87"/>
    <w:rsid w:val="00EA4E5C"/>
    <w:rsid w:val="00EA5F48"/>
    <w:rsid w:val="00EA63A6"/>
    <w:rsid w:val="00EA68B4"/>
    <w:rsid w:val="00EA720C"/>
    <w:rsid w:val="00EA72F4"/>
    <w:rsid w:val="00EA74A6"/>
    <w:rsid w:val="00EA79EC"/>
    <w:rsid w:val="00EA7C31"/>
    <w:rsid w:val="00EA7FE1"/>
    <w:rsid w:val="00EB00EC"/>
    <w:rsid w:val="00EB02BB"/>
    <w:rsid w:val="00EB10DA"/>
    <w:rsid w:val="00EB1407"/>
    <w:rsid w:val="00EB1819"/>
    <w:rsid w:val="00EB1C51"/>
    <w:rsid w:val="00EB2416"/>
    <w:rsid w:val="00EB2FF1"/>
    <w:rsid w:val="00EB3176"/>
    <w:rsid w:val="00EB3AC0"/>
    <w:rsid w:val="00EB4072"/>
    <w:rsid w:val="00EB4296"/>
    <w:rsid w:val="00EB59CF"/>
    <w:rsid w:val="00EB5A59"/>
    <w:rsid w:val="00EB6648"/>
    <w:rsid w:val="00EB6AF3"/>
    <w:rsid w:val="00EC14BD"/>
    <w:rsid w:val="00EC15A5"/>
    <w:rsid w:val="00EC1F7A"/>
    <w:rsid w:val="00EC2069"/>
    <w:rsid w:val="00EC20E2"/>
    <w:rsid w:val="00EC2545"/>
    <w:rsid w:val="00EC3773"/>
    <w:rsid w:val="00EC3E5C"/>
    <w:rsid w:val="00EC42ED"/>
    <w:rsid w:val="00EC47B0"/>
    <w:rsid w:val="00EC5BA8"/>
    <w:rsid w:val="00EC6527"/>
    <w:rsid w:val="00EC7787"/>
    <w:rsid w:val="00EC7D1E"/>
    <w:rsid w:val="00ED03A7"/>
    <w:rsid w:val="00ED06FE"/>
    <w:rsid w:val="00ED1742"/>
    <w:rsid w:val="00ED1AFE"/>
    <w:rsid w:val="00ED29E2"/>
    <w:rsid w:val="00ED2ABE"/>
    <w:rsid w:val="00ED30A7"/>
    <w:rsid w:val="00ED32C1"/>
    <w:rsid w:val="00ED3ECF"/>
    <w:rsid w:val="00ED4421"/>
    <w:rsid w:val="00ED453D"/>
    <w:rsid w:val="00ED48DA"/>
    <w:rsid w:val="00ED5149"/>
    <w:rsid w:val="00ED6B0C"/>
    <w:rsid w:val="00ED770F"/>
    <w:rsid w:val="00ED784D"/>
    <w:rsid w:val="00EE00A8"/>
    <w:rsid w:val="00EE15F4"/>
    <w:rsid w:val="00EE1632"/>
    <w:rsid w:val="00EE197B"/>
    <w:rsid w:val="00EE1C84"/>
    <w:rsid w:val="00EE1F82"/>
    <w:rsid w:val="00EE21D6"/>
    <w:rsid w:val="00EE23CF"/>
    <w:rsid w:val="00EE25D1"/>
    <w:rsid w:val="00EE502E"/>
    <w:rsid w:val="00EE6FA2"/>
    <w:rsid w:val="00EE73BE"/>
    <w:rsid w:val="00EE73E6"/>
    <w:rsid w:val="00EE7735"/>
    <w:rsid w:val="00EE7E8E"/>
    <w:rsid w:val="00EF046D"/>
    <w:rsid w:val="00EF0746"/>
    <w:rsid w:val="00EF16DD"/>
    <w:rsid w:val="00EF276B"/>
    <w:rsid w:val="00EF2B8E"/>
    <w:rsid w:val="00EF2C51"/>
    <w:rsid w:val="00EF336E"/>
    <w:rsid w:val="00EF3A4F"/>
    <w:rsid w:val="00EF419A"/>
    <w:rsid w:val="00EF4940"/>
    <w:rsid w:val="00EF4AFE"/>
    <w:rsid w:val="00EF4F81"/>
    <w:rsid w:val="00EF59C1"/>
    <w:rsid w:val="00EF5A95"/>
    <w:rsid w:val="00EF646C"/>
    <w:rsid w:val="00EF6A81"/>
    <w:rsid w:val="00EF7457"/>
    <w:rsid w:val="00EF7521"/>
    <w:rsid w:val="00EF797A"/>
    <w:rsid w:val="00EF7FDC"/>
    <w:rsid w:val="00F00061"/>
    <w:rsid w:val="00F001BD"/>
    <w:rsid w:val="00F014B1"/>
    <w:rsid w:val="00F01C62"/>
    <w:rsid w:val="00F01DE1"/>
    <w:rsid w:val="00F022DE"/>
    <w:rsid w:val="00F02538"/>
    <w:rsid w:val="00F038C1"/>
    <w:rsid w:val="00F03A94"/>
    <w:rsid w:val="00F03C57"/>
    <w:rsid w:val="00F04779"/>
    <w:rsid w:val="00F04A56"/>
    <w:rsid w:val="00F04FC9"/>
    <w:rsid w:val="00F05243"/>
    <w:rsid w:val="00F05574"/>
    <w:rsid w:val="00F0563A"/>
    <w:rsid w:val="00F06527"/>
    <w:rsid w:val="00F065B1"/>
    <w:rsid w:val="00F06A50"/>
    <w:rsid w:val="00F06D1B"/>
    <w:rsid w:val="00F072B7"/>
    <w:rsid w:val="00F10FA8"/>
    <w:rsid w:val="00F112B2"/>
    <w:rsid w:val="00F12783"/>
    <w:rsid w:val="00F129A0"/>
    <w:rsid w:val="00F12ABC"/>
    <w:rsid w:val="00F1301B"/>
    <w:rsid w:val="00F140C8"/>
    <w:rsid w:val="00F1471F"/>
    <w:rsid w:val="00F14879"/>
    <w:rsid w:val="00F14A0F"/>
    <w:rsid w:val="00F14F88"/>
    <w:rsid w:val="00F1520F"/>
    <w:rsid w:val="00F15824"/>
    <w:rsid w:val="00F159CC"/>
    <w:rsid w:val="00F16085"/>
    <w:rsid w:val="00F161C2"/>
    <w:rsid w:val="00F163AB"/>
    <w:rsid w:val="00F1665D"/>
    <w:rsid w:val="00F16D36"/>
    <w:rsid w:val="00F1705B"/>
    <w:rsid w:val="00F178BD"/>
    <w:rsid w:val="00F178F7"/>
    <w:rsid w:val="00F17922"/>
    <w:rsid w:val="00F21F34"/>
    <w:rsid w:val="00F223F7"/>
    <w:rsid w:val="00F231D3"/>
    <w:rsid w:val="00F233D7"/>
    <w:rsid w:val="00F23612"/>
    <w:rsid w:val="00F23792"/>
    <w:rsid w:val="00F237B4"/>
    <w:rsid w:val="00F23E56"/>
    <w:rsid w:val="00F2442B"/>
    <w:rsid w:val="00F24651"/>
    <w:rsid w:val="00F246BD"/>
    <w:rsid w:val="00F24D58"/>
    <w:rsid w:val="00F25CA4"/>
    <w:rsid w:val="00F27559"/>
    <w:rsid w:val="00F27623"/>
    <w:rsid w:val="00F27723"/>
    <w:rsid w:val="00F27743"/>
    <w:rsid w:val="00F279F6"/>
    <w:rsid w:val="00F27DEA"/>
    <w:rsid w:val="00F27E93"/>
    <w:rsid w:val="00F30829"/>
    <w:rsid w:val="00F31056"/>
    <w:rsid w:val="00F31247"/>
    <w:rsid w:val="00F31308"/>
    <w:rsid w:val="00F31830"/>
    <w:rsid w:val="00F323AD"/>
    <w:rsid w:val="00F326B9"/>
    <w:rsid w:val="00F32882"/>
    <w:rsid w:val="00F33153"/>
    <w:rsid w:val="00F3324F"/>
    <w:rsid w:val="00F34768"/>
    <w:rsid w:val="00F34E15"/>
    <w:rsid w:val="00F35D91"/>
    <w:rsid w:val="00F360CE"/>
    <w:rsid w:val="00F36FBC"/>
    <w:rsid w:val="00F40272"/>
    <w:rsid w:val="00F4061D"/>
    <w:rsid w:val="00F40C97"/>
    <w:rsid w:val="00F411AE"/>
    <w:rsid w:val="00F417A3"/>
    <w:rsid w:val="00F41872"/>
    <w:rsid w:val="00F41E36"/>
    <w:rsid w:val="00F439C8"/>
    <w:rsid w:val="00F43F02"/>
    <w:rsid w:val="00F4477E"/>
    <w:rsid w:val="00F4479B"/>
    <w:rsid w:val="00F44DC9"/>
    <w:rsid w:val="00F44F57"/>
    <w:rsid w:val="00F45A94"/>
    <w:rsid w:val="00F46C54"/>
    <w:rsid w:val="00F477D3"/>
    <w:rsid w:val="00F47CCF"/>
    <w:rsid w:val="00F502CE"/>
    <w:rsid w:val="00F50A1D"/>
    <w:rsid w:val="00F50B56"/>
    <w:rsid w:val="00F5104D"/>
    <w:rsid w:val="00F51432"/>
    <w:rsid w:val="00F53271"/>
    <w:rsid w:val="00F53518"/>
    <w:rsid w:val="00F53A49"/>
    <w:rsid w:val="00F53AED"/>
    <w:rsid w:val="00F53CED"/>
    <w:rsid w:val="00F540E5"/>
    <w:rsid w:val="00F548CD"/>
    <w:rsid w:val="00F55481"/>
    <w:rsid w:val="00F55936"/>
    <w:rsid w:val="00F55CD9"/>
    <w:rsid w:val="00F55FE7"/>
    <w:rsid w:val="00F568BE"/>
    <w:rsid w:val="00F573C8"/>
    <w:rsid w:val="00F57557"/>
    <w:rsid w:val="00F57EDE"/>
    <w:rsid w:val="00F6062F"/>
    <w:rsid w:val="00F608AF"/>
    <w:rsid w:val="00F60920"/>
    <w:rsid w:val="00F60A35"/>
    <w:rsid w:val="00F60AD3"/>
    <w:rsid w:val="00F61194"/>
    <w:rsid w:val="00F611A0"/>
    <w:rsid w:val="00F6185C"/>
    <w:rsid w:val="00F61BF4"/>
    <w:rsid w:val="00F62D11"/>
    <w:rsid w:val="00F62F63"/>
    <w:rsid w:val="00F6352E"/>
    <w:rsid w:val="00F63AA8"/>
    <w:rsid w:val="00F63E06"/>
    <w:rsid w:val="00F63FA9"/>
    <w:rsid w:val="00F64CDD"/>
    <w:rsid w:val="00F64D60"/>
    <w:rsid w:val="00F657D9"/>
    <w:rsid w:val="00F65EC1"/>
    <w:rsid w:val="00F66B41"/>
    <w:rsid w:val="00F66DD9"/>
    <w:rsid w:val="00F66FBF"/>
    <w:rsid w:val="00F67454"/>
    <w:rsid w:val="00F70363"/>
    <w:rsid w:val="00F7039A"/>
    <w:rsid w:val="00F7091F"/>
    <w:rsid w:val="00F70F75"/>
    <w:rsid w:val="00F71A29"/>
    <w:rsid w:val="00F72341"/>
    <w:rsid w:val="00F74245"/>
    <w:rsid w:val="00F745B1"/>
    <w:rsid w:val="00F75568"/>
    <w:rsid w:val="00F75FBF"/>
    <w:rsid w:val="00F76944"/>
    <w:rsid w:val="00F76DCC"/>
    <w:rsid w:val="00F77AC3"/>
    <w:rsid w:val="00F8141E"/>
    <w:rsid w:val="00F81768"/>
    <w:rsid w:val="00F82682"/>
    <w:rsid w:val="00F8312B"/>
    <w:rsid w:val="00F83952"/>
    <w:rsid w:val="00F8417F"/>
    <w:rsid w:val="00F84E15"/>
    <w:rsid w:val="00F85499"/>
    <w:rsid w:val="00F85EDB"/>
    <w:rsid w:val="00F865C6"/>
    <w:rsid w:val="00F86EEE"/>
    <w:rsid w:val="00F8794A"/>
    <w:rsid w:val="00F87EDB"/>
    <w:rsid w:val="00F87FC1"/>
    <w:rsid w:val="00F90480"/>
    <w:rsid w:val="00F90FF3"/>
    <w:rsid w:val="00F916A1"/>
    <w:rsid w:val="00F91AB3"/>
    <w:rsid w:val="00F92508"/>
    <w:rsid w:val="00F92B12"/>
    <w:rsid w:val="00F92FF8"/>
    <w:rsid w:val="00F9316E"/>
    <w:rsid w:val="00F94144"/>
    <w:rsid w:val="00F9542D"/>
    <w:rsid w:val="00F95960"/>
    <w:rsid w:val="00F95C7F"/>
    <w:rsid w:val="00F96652"/>
    <w:rsid w:val="00F9697A"/>
    <w:rsid w:val="00F97291"/>
    <w:rsid w:val="00F975A4"/>
    <w:rsid w:val="00F97745"/>
    <w:rsid w:val="00FA0BB8"/>
    <w:rsid w:val="00FA18EC"/>
    <w:rsid w:val="00FA1BB1"/>
    <w:rsid w:val="00FA1BFE"/>
    <w:rsid w:val="00FA23F1"/>
    <w:rsid w:val="00FA2A09"/>
    <w:rsid w:val="00FA2C15"/>
    <w:rsid w:val="00FA2F52"/>
    <w:rsid w:val="00FA38FB"/>
    <w:rsid w:val="00FA3CF8"/>
    <w:rsid w:val="00FA426A"/>
    <w:rsid w:val="00FA4C25"/>
    <w:rsid w:val="00FA5080"/>
    <w:rsid w:val="00FA5FD7"/>
    <w:rsid w:val="00FA6154"/>
    <w:rsid w:val="00FA616C"/>
    <w:rsid w:val="00FA61F5"/>
    <w:rsid w:val="00FA666F"/>
    <w:rsid w:val="00FA6AA2"/>
    <w:rsid w:val="00FA6EAB"/>
    <w:rsid w:val="00FA6F9E"/>
    <w:rsid w:val="00FA7019"/>
    <w:rsid w:val="00FA7307"/>
    <w:rsid w:val="00FA760A"/>
    <w:rsid w:val="00FA7868"/>
    <w:rsid w:val="00FB033E"/>
    <w:rsid w:val="00FB0BF4"/>
    <w:rsid w:val="00FB0CED"/>
    <w:rsid w:val="00FB10C3"/>
    <w:rsid w:val="00FB1135"/>
    <w:rsid w:val="00FB11AB"/>
    <w:rsid w:val="00FB2089"/>
    <w:rsid w:val="00FB2918"/>
    <w:rsid w:val="00FB2BF7"/>
    <w:rsid w:val="00FB2C5D"/>
    <w:rsid w:val="00FB2E6B"/>
    <w:rsid w:val="00FB345E"/>
    <w:rsid w:val="00FB34EB"/>
    <w:rsid w:val="00FB4073"/>
    <w:rsid w:val="00FB45A7"/>
    <w:rsid w:val="00FB5181"/>
    <w:rsid w:val="00FB5AA3"/>
    <w:rsid w:val="00FB69C9"/>
    <w:rsid w:val="00FB6E0A"/>
    <w:rsid w:val="00FB7058"/>
    <w:rsid w:val="00FB72E0"/>
    <w:rsid w:val="00FB736C"/>
    <w:rsid w:val="00FB7D30"/>
    <w:rsid w:val="00FC0C4E"/>
    <w:rsid w:val="00FC109B"/>
    <w:rsid w:val="00FC1812"/>
    <w:rsid w:val="00FC1BF4"/>
    <w:rsid w:val="00FC1D2B"/>
    <w:rsid w:val="00FC2FC4"/>
    <w:rsid w:val="00FC322F"/>
    <w:rsid w:val="00FC36EF"/>
    <w:rsid w:val="00FC3C89"/>
    <w:rsid w:val="00FC3FB8"/>
    <w:rsid w:val="00FC4999"/>
    <w:rsid w:val="00FC4D0B"/>
    <w:rsid w:val="00FC4DE2"/>
    <w:rsid w:val="00FC5437"/>
    <w:rsid w:val="00FC61E2"/>
    <w:rsid w:val="00FC6A84"/>
    <w:rsid w:val="00FC6AD5"/>
    <w:rsid w:val="00FC6C3F"/>
    <w:rsid w:val="00FC7441"/>
    <w:rsid w:val="00FC77CF"/>
    <w:rsid w:val="00FD048E"/>
    <w:rsid w:val="00FD0C43"/>
    <w:rsid w:val="00FD0D2E"/>
    <w:rsid w:val="00FD0D31"/>
    <w:rsid w:val="00FD1885"/>
    <w:rsid w:val="00FD1928"/>
    <w:rsid w:val="00FD377B"/>
    <w:rsid w:val="00FD3948"/>
    <w:rsid w:val="00FD3BEC"/>
    <w:rsid w:val="00FD400D"/>
    <w:rsid w:val="00FD424D"/>
    <w:rsid w:val="00FD43A1"/>
    <w:rsid w:val="00FD43B4"/>
    <w:rsid w:val="00FD47D9"/>
    <w:rsid w:val="00FD4802"/>
    <w:rsid w:val="00FD4F9A"/>
    <w:rsid w:val="00FD5835"/>
    <w:rsid w:val="00FD5882"/>
    <w:rsid w:val="00FD64CA"/>
    <w:rsid w:val="00FD66A1"/>
    <w:rsid w:val="00FD6B2A"/>
    <w:rsid w:val="00FD7AB1"/>
    <w:rsid w:val="00FD7B76"/>
    <w:rsid w:val="00FD7F8E"/>
    <w:rsid w:val="00FE103D"/>
    <w:rsid w:val="00FE2559"/>
    <w:rsid w:val="00FE33DD"/>
    <w:rsid w:val="00FE3513"/>
    <w:rsid w:val="00FE44F5"/>
    <w:rsid w:val="00FE49A5"/>
    <w:rsid w:val="00FE5B12"/>
    <w:rsid w:val="00FE5CC6"/>
    <w:rsid w:val="00FE60E6"/>
    <w:rsid w:val="00FE6265"/>
    <w:rsid w:val="00FE6882"/>
    <w:rsid w:val="00FE6A39"/>
    <w:rsid w:val="00FE6DA3"/>
    <w:rsid w:val="00FE71B4"/>
    <w:rsid w:val="00FF0154"/>
    <w:rsid w:val="00FF083D"/>
    <w:rsid w:val="00FF0C91"/>
    <w:rsid w:val="00FF0E99"/>
    <w:rsid w:val="00FF16E0"/>
    <w:rsid w:val="00FF1FED"/>
    <w:rsid w:val="00FF334A"/>
    <w:rsid w:val="00FF39EB"/>
    <w:rsid w:val="00FF3BEE"/>
    <w:rsid w:val="00FF3EAA"/>
    <w:rsid w:val="00FF4154"/>
    <w:rsid w:val="00FF49BD"/>
    <w:rsid w:val="00FF5669"/>
    <w:rsid w:val="00FF56A4"/>
    <w:rsid w:val="00FF5F2B"/>
    <w:rsid w:val="00FF6155"/>
    <w:rsid w:val="00FF6C0A"/>
    <w:rsid w:val="00FF70A9"/>
    <w:rsid w:val="00FF7497"/>
    <w:rsid w:val="024615DF"/>
    <w:rsid w:val="02466BCF"/>
    <w:rsid w:val="02BC2FA9"/>
    <w:rsid w:val="03421222"/>
    <w:rsid w:val="036514DB"/>
    <w:rsid w:val="03654DEA"/>
    <w:rsid w:val="037169B6"/>
    <w:rsid w:val="037E1A6A"/>
    <w:rsid w:val="03897693"/>
    <w:rsid w:val="0392607E"/>
    <w:rsid w:val="03945A50"/>
    <w:rsid w:val="040E0EBA"/>
    <w:rsid w:val="043D0C3C"/>
    <w:rsid w:val="0445552D"/>
    <w:rsid w:val="04512B41"/>
    <w:rsid w:val="04753247"/>
    <w:rsid w:val="050F7073"/>
    <w:rsid w:val="05D22B61"/>
    <w:rsid w:val="05E324CA"/>
    <w:rsid w:val="05FB7811"/>
    <w:rsid w:val="06136CE3"/>
    <w:rsid w:val="06255459"/>
    <w:rsid w:val="06670503"/>
    <w:rsid w:val="068108FF"/>
    <w:rsid w:val="06A4163A"/>
    <w:rsid w:val="06D210F0"/>
    <w:rsid w:val="06EF3966"/>
    <w:rsid w:val="06F91AE3"/>
    <w:rsid w:val="07F92A41"/>
    <w:rsid w:val="07FE5402"/>
    <w:rsid w:val="08053BEF"/>
    <w:rsid w:val="08084D56"/>
    <w:rsid w:val="081567AA"/>
    <w:rsid w:val="092E16D7"/>
    <w:rsid w:val="09683264"/>
    <w:rsid w:val="09A447FF"/>
    <w:rsid w:val="09AA0823"/>
    <w:rsid w:val="09AE27B6"/>
    <w:rsid w:val="09C91768"/>
    <w:rsid w:val="09F650C0"/>
    <w:rsid w:val="0A194C88"/>
    <w:rsid w:val="0A414831"/>
    <w:rsid w:val="0A474649"/>
    <w:rsid w:val="0A8C4A22"/>
    <w:rsid w:val="0AF30193"/>
    <w:rsid w:val="0B2436D4"/>
    <w:rsid w:val="0B2D4E23"/>
    <w:rsid w:val="0B867101"/>
    <w:rsid w:val="0BB63AEF"/>
    <w:rsid w:val="0BF32967"/>
    <w:rsid w:val="0C2F6E94"/>
    <w:rsid w:val="0C425CA8"/>
    <w:rsid w:val="0C436FAA"/>
    <w:rsid w:val="0C447E7A"/>
    <w:rsid w:val="0C93367A"/>
    <w:rsid w:val="0C9745EA"/>
    <w:rsid w:val="0CBF16E4"/>
    <w:rsid w:val="0CD75789"/>
    <w:rsid w:val="0CE55E4D"/>
    <w:rsid w:val="0D08623E"/>
    <w:rsid w:val="0D114AC9"/>
    <w:rsid w:val="0D1B5DC2"/>
    <w:rsid w:val="0D273D60"/>
    <w:rsid w:val="0D8E2D5A"/>
    <w:rsid w:val="0D9D43E6"/>
    <w:rsid w:val="0DA92AAE"/>
    <w:rsid w:val="0DC6537E"/>
    <w:rsid w:val="0DDD1AB2"/>
    <w:rsid w:val="0EC77D01"/>
    <w:rsid w:val="0F5106F5"/>
    <w:rsid w:val="0F755E47"/>
    <w:rsid w:val="0F9D1DDF"/>
    <w:rsid w:val="0FF40666"/>
    <w:rsid w:val="10043F08"/>
    <w:rsid w:val="10284D8A"/>
    <w:rsid w:val="103D6063"/>
    <w:rsid w:val="10612421"/>
    <w:rsid w:val="10910368"/>
    <w:rsid w:val="109A7B6A"/>
    <w:rsid w:val="10AB7D7E"/>
    <w:rsid w:val="10B343D3"/>
    <w:rsid w:val="10E42171"/>
    <w:rsid w:val="115708D4"/>
    <w:rsid w:val="11835321"/>
    <w:rsid w:val="11C27A25"/>
    <w:rsid w:val="11D37D36"/>
    <w:rsid w:val="11FB3D71"/>
    <w:rsid w:val="122B2ADC"/>
    <w:rsid w:val="12914A01"/>
    <w:rsid w:val="13846E24"/>
    <w:rsid w:val="1393427C"/>
    <w:rsid w:val="140A3A70"/>
    <w:rsid w:val="141E310E"/>
    <w:rsid w:val="144709B5"/>
    <w:rsid w:val="14474DBA"/>
    <w:rsid w:val="145466CC"/>
    <w:rsid w:val="145C3DB0"/>
    <w:rsid w:val="149D4D53"/>
    <w:rsid w:val="14AE29FF"/>
    <w:rsid w:val="14B422AA"/>
    <w:rsid w:val="151F43F0"/>
    <w:rsid w:val="15320515"/>
    <w:rsid w:val="15695EE0"/>
    <w:rsid w:val="157F1326"/>
    <w:rsid w:val="15987117"/>
    <w:rsid w:val="15D16B99"/>
    <w:rsid w:val="15F756D6"/>
    <w:rsid w:val="16060B8F"/>
    <w:rsid w:val="16AD2015"/>
    <w:rsid w:val="16C604CE"/>
    <w:rsid w:val="16C72A22"/>
    <w:rsid w:val="16D05A57"/>
    <w:rsid w:val="170B13E1"/>
    <w:rsid w:val="17432965"/>
    <w:rsid w:val="17865F60"/>
    <w:rsid w:val="17CB4F8C"/>
    <w:rsid w:val="17D66BEB"/>
    <w:rsid w:val="17F31A5C"/>
    <w:rsid w:val="185770CD"/>
    <w:rsid w:val="18646C17"/>
    <w:rsid w:val="18B028A7"/>
    <w:rsid w:val="18CE1259"/>
    <w:rsid w:val="18DF60EF"/>
    <w:rsid w:val="18FC6063"/>
    <w:rsid w:val="191249C9"/>
    <w:rsid w:val="193F415D"/>
    <w:rsid w:val="194546E0"/>
    <w:rsid w:val="194E5C15"/>
    <w:rsid w:val="195B574A"/>
    <w:rsid w:val="196C42AA"/>
    <w:rsid w:val="1A6628E7"/>
    <w:rsid w:val="1ABB7EB9"/>
    <w:rsid w:val="1AD34783"/>
    <w:rsid w:val="1B1A6825"/>
    <w:rsid w:val="1B2026B6"/>
    <w:rsid w:val="1B3B1627"/>
    <w:rsid w:val="1B50624A"/>
    <w:rsid w:val="1B6D2050"/>
    <w:rsid w:val="1B7E41BA"/>
    <w:rsid w:val="1BBF30BD"/>
    <w:rsid w:val="1BDB7C6C"/>
    <w:rsid w:val="1C1F1CBE"/>
    <w:rsid w:val="1CCC52B4"/>
    <w:rsid w:val="1CE416A5"/>
    <w:rsid w:val="1D0770F2"/>
    <w:rsid w:val="1D0E23E3"/>
    <w:rsid w:val="1D4E0AFC"/>
    <w:rsid w:val="1DBA0FE8"/>
    <w:rsid w:val="1E2823BE"/>
    <w:rsid w:val="1E420FF3"/>
    <w:rsid w:val="1E4848E4"/>
    <w:rsid w:val="1E4860D3"/>
    <w:rsid w:val="1E6A0564"/>
    <w:rsid w:val="1E8C776D"/>
    <w:rsid w:val="1F0F40F1"/>
    <w:rsid w:val="1F165B66"/>
    <w:rsid w:val="1F29182E"/>
    <w:rsid w:val="1F6F08EC"/>
    <w:rsid w:val="1FCC3372"/>
    <w:rsid w:val="1FF47F52"/>
    <w:rsid w:val="2022007A"/>
    <w:rsid w:val="203F2482"/>
    <w:rsid w:val="204B7024"/>
    <w:rsid w:val="2063600F"/>
    <w:rsid w:val="20880E19"/>
    <w:rsid w:val="208D6B8B"/>
    <w:rsid w:val="208F702E"/>
    <w:rsid w:val="20A1426C"/>
    <w:rsid w:val="20DE3BDA"/>
    <w:rsid w:val="21221F36"/>
    <w:rsid w:val="212C6332"/>
    <w:rsid w:val="21360D72"/>
    <w:rsid w:val="21435785"/>
    <w:rsid w:val="215D3984"/>
    <w:rsid w:val="21970C3F"/>
    <w:rsid w:val="21A402EF"/>
    <w:rsid w:val="21AD5412"/>
    <w:rsid w:val="2227684E"/>
    <w:rsid w:val="222E788B"/>
    <w:rsid w:val="228C4EBF"/>
    <w:rsid w:val="22927E32"/>
    <w:rsid w:val="22D469C9"/>
    <w:rsid w:val="22D95F00"/>
    <w:rsid w:val="22E95B38"/>
    <w:rsid w:val="2316432F"/>
    <w:rsid w:val="234E1658"/>
    <w:rsid w:val="238B7A98"/>
    <w:rsid w:val="239508CD"/>
    <w:rsid w:val="23FB0B73"/>
    <w:rsid w:val="24151F36"/>
    <w:rsid w:val="241A0E22"/>
    <w:rsid w:val="241F71FE"/>
    <w:rsid w:val="2440501F"/>
    <w:rsid w:val="24F613AA"/>
    <w:rsid w:val="254C7F40"/>
    <w:rsid w:val="258040D4"/>
    <w:rsid w:val="25B52236"/>
    <w:rsid w:val="25DA0428"/>
    <w:rsid w:val="26385F15"/>
    <w:rsid w:val="265771A9"/>
    <w:rsid w:val="265D6063"/>
    <w:rsid w:val="26895253"/>
    <w:rsid w:val="26C66DEA"/>
    <w:rsid w:val="2725414F"/>
    <w:rsid w:val="27371E93"/>
    <w:rsid w:val="278C323D"/>
    <w:rsid w:val="27950143"/>
    <w:rsid w:val="280B5DE7"/>
    <w:rsid w:val="28266E01"/>
    <w:rsid w:val="286407FD"/>
    <w:rsid w:val="28894BCD"/>
    <w:rsid w:val="28D56F90"/>
    <w:rsid w:val="28E2331B"/>
    <w:rsid w:val="28E71055"/>
    <w:rsid w:val="2910663C"/>
    <w:rsid w:val="2951058C"/>
    <w:rsid w:val="29886C8A"/>
    <w:rsid w:val="29B440C8"/>
    <w:rsid w:val="29E42300"/>
    <w:rsid w:val="29F13C30"/>
    <w:rsid w:val="2A3208D5"/>
    <w:rsid w:val="2A3C2744"/>
    <w:rsid w:val="2A4461A4"/>
    <w:rsid w:val="2A5D60B5"/>
    <w:rsid w:val="2A722EE7"/>
    <w:rsid w:val="2A896857"/>
    <w:rsid w:val="2AB02301"/>
    <w:rsid w:val="2B803723"/>
    <w:rsid w:val="2BF40323"/>
    <w:rsid w:val="2C3923B7"/>
    <w:rsid w:val="2CC55F19"/>
    <w:rsid w:val="2CD73673"/>
    <w:rsid w:val="2D724FCE"/>
    <w:rsid w:val="2D927022"/>
    <w:rsid w:val="2D9462AF"/>
    <w:rsid w:val="2DCA0DDD"/>
    <w:rsid w:val="2E16169C"/>
    <w:rsid w:val="2E361DA9"/>
    <w:rsid w:val="2E54235A"/>
    <w:rsid w:val="2E996551"/>
    <w:rsid w:val="2EFD08D9"/>
    <w:rsid w:val="2F26626E"/>
    <w:rsid w:val="2F88229B"/>
    <w:rsid w:val="2FA36B81"/>
    <w:rsid w:val="2FC27D9C"/>
    <w:rsid w:val="2FD24965"/>
    <w:rsid w:val="30173E2A"/>
    <w:rsid w:val="302140B0"/>
    <w:rsid w:val="30485469"/>
    <w:rsid w:val="307E2D9D"/>
    <w:rsid w:val="309978BD"/>
    <w:rsid w:val="30B35CAB"/>
    <w:rsid w:val="30BF763D"/>
    <w:rsid w:val="30DB5D4E"/>
    <w:rsid w:val="318D488C"/>
    <w:rsid w:val="31B93E55"/>
    <w:rsid w:val="324E4B58"/>
    <w:rsid w:val="32AF48EB"/>
    <w:rsid w:val="32BD5EBD"/>
    <w:rsid w:val="32CA353D"/>
    <w:rsid w:val="32DE5912"/>
    <w:rsid w:val="3339410F"/>
    <w:rsid w:val="3357706B"/>
    <w:rsid w:val="33766C41"/>
    <w:rsid w:val="340C37FC"/>
    <w:rsid w:val="34475C7D"/>
    <w:rsid w:val="34517EAB"/>
    <w:rsid w:val="34B9490B"/>
    <w:rsid w:val="34E162AB"/>
    <w:rsid w:val="350F7651"/>
    <w:rsid w:val="3531079D"/>
    <w:rsid w:val="353D4E57"/>
    <w:rsid w:val="355337A2"/>
    <w:rsid w:val="355B495A"/>
    <w:rsid w:val="3580388F"/>
    <w:rsid w:val="35A2680E"/>
    <w:rsid w:val="35FE4981"/>
    <w:rsid w:val="36042257"/>
    <w:rsid w:val="360B2F43"/>
    <w:rsid w:val="36623671"/>
    <w:rsid w:val="36CE12B8"/>
    <w:rsid w:val="36D27844"/>
    <w:rsid w:val="36D5600A"/>
    <w:rsid w:val="36DB0358"/>
    <w:rsid w:val="36F94F0F"/>
    <w:rsid w:val="3715712B"/>
    <w:rsid w:val="37260378"/>
    <w:rsid w:val="37274F24"/>
    <w:rsid w:val="375717A1"/>
    <w:rsid w:val="376056A0"/>
    <w:rsid w:val="378D5227"/>
    <w:rsid w:val="379917DD"/>
    <w:rsid w:val="37F61F0F"/>
    <w:rsid w:val="38003E41"/>
    <w:rsid w:val="383C30DB"/>
    <w:rsid w:val="383E68A2"/>
    <w:rsid w:val="391661CD"/>
    <w:rsid w:val="39470563"/>
    <w:rsid w:val="396C35CC"/>
    <w:rsid w:val="39703293"/>
    <w:rsid w:val="3981202D"/>
    <w:rsid w:val="39D33C63"/>
    <w:rsid w:val="39DD63D6"/>
    <w:rsid w:val="3A0D57D6"/>
    <w:rsid w:val="3A571394"/>
    <w:rsid w:val="3A58451F"/>
    <w:rsid w:val="3AE6487D"/>
    <w:rsid w:val="3AF7660E"/>
    <w:rsid w:val="3AF85023"/>
    <w:rsid w:val="3AFB65A5"/>
    <w:rsid w:val="3BB77968"/>
    <w:rsid w:val="3BD03234"/>
    <w:rsid w:val="3C0C27CE"/>
    <w:rsid w:val="3C1C53D7"/>
    <w:rsid w:val="3C545832"/>
    <w:rsid w:val="3C887025"/>
    <w:rsid w:val="3CA970C7"/>
    <w:rsid w:val="3CC02A22"/>
    <w:rsid w:val="3CCF66B7"/>
    <w:rsid w:val="3D846FA1"/>
    <w:rsid w:val="3DA42E74"/>
    <w:rsid w:val="3DB51302"/>
    <w:rsid w:val="3DF17400"/>
    <w:rsid w:val="3E85220E"/>
    <w:rsid w:val="3E8F189E"/>
    <w:rsid w:val="3EAB26E6"/>
    <w:rsid w:val="3EBE022F"/>
    <w:rsid w:val="3EC3640C"/>
    <w:rsid w:val="3EE928D2"/>
    <w:rsid w:val="3F026E76"/>
    <w:rsid w:val="3F116653"/>
    <w:rsid w:val="3F3A5FE1"/>
    <w:rsid w:val="3F4D1E07"/>
    <w:rsid w:val="3F684ED4"/>
    <w:rsid w:val="3FAF740B"/>
    <w:rsid w:val="3FD86541"/>
    <w:rsid w:val="40440D69"/>
    <w:rsid w:val="409134C6"/>
    <w:rsid w:val="40AE052B"/>
    <w:rsid w:val="40CB3846"/>
    <w:rsid w:val="40E864EC"/>
    <w:rsid w:val="4166206C"/>
    <w:rsid w:val="418D44AF"/>
    <w:rsid w:val="41A91C9B"/>
    <w:rsid w:val="41AE5809"/>
    <w:rsid w:val="41FE1C7F"/>
    <w:rsid w:val="42065DDD"/>
    <w:rsid w:val="423239AE"/>
    <w:rsid w:val="42441C1A"/>
    <w:rsid w:val="42A4728C"/>
    <w:rsid w:val="42E63FE6"/>
    <w:rsid w:val="42F2229A"/>
    <w:rsid w:val="43070F1C"/>
    <w:rsid w:val="43084C40"/>
    <w:rsid w:val="431817FD"/>
    <w:rsid w:val="433925FE"/>
    <w:rsid w:val="43B03B5D"/>
    <w:rsid w:val="43D526F6"/>
    <w:rsid w:val="43D54A1B"/>
    <w:rsid w:val="44026F3E"/>
    <w:rsid w:val="44681D80"/>
    <w:rsid w:val="4476776D"/>
    <w:rsid w:val="44A07DFC"/>
    <w:rsid w:val="44A84BB5"/>
    <w:rsid w:val="44D179B9"/>
    <w:rsid w:val="44FE2A66"/>
    <w:rsid w:val="45291415"/>
    <w:rsid w:val="4548650D"/>
    <w:rsid w:val="458F19C7"/>
    <w:rsid w:val="45932231"/>
    <w:rsid w:val="45CF11FA"/>
    <w:rsid w:val="45D91B22"/>
    <w:rsid w:val="45E5349A"/>
    <w:rsid w:val="45F57B6A"/>
    <w:rsid w:val="4604188A"/>
    <w:rsid w:val="463950B4"/>
    <w:rsid w:val="4663555D"/>
    <w:rsid w:val="46D32627"/>
    <w:rsid w:val="470B1781"/>
    <w:rsid w:val="47314C87"/>
    <w:rsid w:val="473B7CD8"/>
    <w:rsid w:val="47437821"/>
    <w:rsid w:val="47825F64"/>
    <w:rsid w:val="478837DE"/>
    <w:rsid w:val="478A6429"/>
    <w:rsid w:val="48765486"/>
    <w:rsid w:val="48832D6A"/>
    <w:rsid w:val="48876D35"/>
    <w:rsid w:val="48975ED0"/>
    <w:rsid w:val="489C6A36"/>
    <w:rsid w:val="48F41F80"/>
    <w:rsid w:val="496927B7"/>
    <w:rsid w:val="49C74EF0"/>
    <w:rsid w:val="49CE1D2C"/>
    <w:rsid w:val="49EC58E8"/>
    <w:rsid w:val="49F065FF"/>
    <w:rsid w:val="49F125A4"/>
    <w:rsid w:val="4A042B1B"/>
    <w:rsid w:val="4A5A4CA0"/>
    <w:rsid w:val="4A69504E"/>
    <w:rsid w:val="4A746DE0"/>
    <w:rsid w:val="4ACD21FB"/>
    <w:rsid w:val="4B1158A4"/>
    <w:rsid w:val="4B393D8A"/>
    <w:rsid w:val="4B464156"/>
    <w:rsid w:val="4B5F6050"/>
    <w:rsid w:val="4BE02FBF"/>
    <w:rsid w:val="4C021B53"/>
    <w:rsid w:val="4C2718E9"/>
    <w:rsid w:val="4C4C42F7"/>
    <w:rsid w:val="4C654AE6"/>
    <w:rsid w:val="4D467075"/>
    <w:rsid w:val="4D666722"/>
    <w:rsid w:val="4DB31E0B"/>
    <w:rsid w:val="4E453CA9"/>
    <w:rsid w:val="4E483100"/>
    <w:rsid w:val="4E7B12C6"/>
    <w:rsid w:val="4EE33CA7"/>
    <w:rsid w:val="4F5B039E"/>
    <w:rsid w:val="4F785FE7"/>
    <w:rsid w:val="4FC90C36"/>
    <w:rsid w:val="4FEC72AD"/>
    <w:rsid w:val="502B1CA3"/>
    <w:rsid w:val="50370FBF"/>
    <w:rsid w:val="50C52427"/>
    <w:rsid w:val="5134159B"/>
    <w:rsid w:val="5152400B"/>
    <w:rsid w:val="5174165C"/>
    <w:rsid w:val="51A24363"/>
    <w:rsid w:val="51D02298"/>
    <w:rsid w:val="51EC59A3"/>
    <w:rsid w:val="521313EA"/>
    <w:rsid w:val="52731702"/>
    <w:rsid w:val="52776896"/>
    <w:rsid w:val="52DF654E"/>
    <w:rsid w:val="52FC13B5"/>
    <w:rsid w:val="5330595C"/>
    <w:rsid w:val="5359013D"/>
    <w:rsid w:val="53986FF2"/>
    <w:rsid w:val="53AC2E48"/>
    <w:rsid w:val="53E32F27"/>
    <w:rsid w:val="53FE431D"/>
    <w:rsid w:val="54082A22"/>
    <w:rsid w:val="540B5509"/>
    <w:rsid w:val="541918FA"/>
    <w:rsid w:val="547C1F8F"/>
    <w:rsid w:val="5492296A"/>
    <w:rsid w:val="54B52D5E"/>
    <w:rsid w:val="553A48BC"/>
    <w:rsid w:val="55651EB4"/>
    <w:rsid w:val="55A70EEC"/>
    <w:rsid w:val="55A76273"/>
    <w:rsid w:val="55AA1223"/>
    <w:rsid w:val="55D02197"/>
    <w:rsid w:val="55D03F9B"/>
    <w:rsid w:val="561C738E"/>
    <w:rsid w:val="563A218E"/>
    <w:rsid w:val="565571EB"/>
    <w:rsid w:val="56703D65"/>
    <w:rsid w:val="56807928"/>
    <w:rsid w:val="5687719E"/>
    <w:rsid w:val="568A2EE7"/>
    <w:rsid w:val="56C52B87"/>
    <w:rsid w:val="56CB33E9"/>
    <w:rsid w:val="56E53BA6"/>
    <w:rsid w:val="56FF1C3B"/>
    <w:rsid w:val="57291B52"/>
    <w:rsid w:val="5736412E"/>
    <w:rsid w:val="576414A9"/>
    <w:rsid w:val="57815601"/>
    <w:rsid w:val="579073B4"/>
    <w:rsid w:val="58021C6A"/>
    <w:rsid w:val="58274B74"/>
    <w:rsid w:val="585A1FD6"/>
    <w:rsid w:val="586F66A4"/>
    <w:rsid w:val="5878188A"/>
    <w:rsid w:val="58AA58B4"/>
    <w:rsid w:val="58C73221"/>
    <w:rsid w:val="58CC4912"/>
    <w:rsid w:val="58D06C28"/>
    <w:rsid w:val="591467BB"/>
    <w:rsid w:val="593F0265"/>
    <w:rsid w:val="59480534"/>
    <w:rsid w:val="59527965"/>
    <w:rsid w:val="595C11B8"/>
    <w:rsid w:val="5A42280C"/>
    <w:rsid w:val="5A564CFD"/>
    <w:rsid w:val="5A98068B"/>
    <w:rsid w:val="5B542659"/>
    <w:rsid w:val="5B6422B7"/>
    <w:rsid w:val="5B75579D"/>
    <w:rsid w:val="5BA232C3"/>
    <w:rsid w:val="5BB17121"/>
    <w:rsid w:val="5C597DE1"/>
    <w:rsid w:val="5C6A3A97"/>
    <w:rsid w:val="5C9C3F73"/>
    <w:rsid w:val="5CAA3740"/>
    <w:rsid w:val="5CC40964"/>
    <w:rsid w:val="5D091914"/>
    <w:rsid w:val="5D2D2441"/>
    <w:rsid w:val="5D7F47FD"/>
    <w:rsid w:val="5D814856"/>
    <w:rsid w:val="5D8A6917"/>
    <w:rsid w:val="5D932C3F"/>
    <w:rsid w:val="5DC407FF"/>
    <w:rsid w:val="5DFA148F"/>
    <w:rsid w:val="5E1D1AAE"/>
    <w:rsid w:val="5E430951"/>
    <w:rsid w:val="5EA00912"/>
    <w:rsid w:val="5F1A759C"/>
    <w:rsid w:val="5F1F484F"/>
    <w:rsid w:val="5F3A1CA5"/>
    <w:rsid w:val="5F3D6FAB"/>
    <w:rsid w:val="5F6527E7"/>
    <w:rsid w:val="5F721895"/>
    <w:rsid w:val="5FB66CBE"/>
    <w:rsid w:val="5FEC25DC"/>
    <w:rsid w:val="6009554F"/>
    <w:rsid w:val="601257B9"/>
    <w:rsid w:val="60FA4364"/>
    <w:rsid w:val="60FF2A5F"/>
    <w:rsid w:val="617C266E"/>
    <w:rsid w:val="61AE70FD"/>
    <w:rsid w:val="61EB77DF"/>
    <w:rsid w:val="620E0B2E"/>
    <w:rsid w:val="62141927"/>
    <w:rsid w:val="623778EE"/>
    <w:rsid w:val="624E04CF"/>
    <w:rsid w:val="62581C36"/>
    <w:rsid w:val="625C1360"/>
    <w:rsid w:val="62C02C44"/>
    <w:rsid w:val="62DA4F29"/>
    <w:rsid w:val="63401C85"/>
    <w:rsid w:val="63792B6B"/>
    <w:rsid w:val="639D05EB"/>
    <w:rsid w:val="63CB6BE6"/>
    <w:rsid w:val="63EA189C"/>
    <w:rsid w:val="64135AB4"/>
    <w:rsid w:val="64212033"/>
    <w:rsid w:val="64245D29"/>
    <w:rsid w:val="64374505"/>
    <w:rsid w:val="644A6D9B"/>
    <w:rsid w:val="652C206E"/>
    <w:rsid w:val="652E6718"/>
    <w:rsid w:val="65384228"/>
    <w:rsid w:val="65392E4B"/>
    <w:rsid w:val="65784403"/>
    <w:rsid w:val="65F331A8"/>
    <w:rsid w:val="66443F82"/>
    <w:rsid w:val="66502698"/>
    <w:rsid w:val="666340D9"/>
    <w:rsid w:val="66882E08"/>
    <w:rsid w:val="66AA5571"/>
    <w:rsid w:val="66B25378"/>
    <w:rsid w:val="66B7471B"/>
    <w:rsid w:val="66F42BF1"/>
    <w:rsid w:val="66F74107"/>
    <w:rsid w:val="673E5E61"/>
    <w:rsid w:val="67777930"/>
    <w:rsid w:val="67AF17EF"/>
    <w:rsid w:val="67C06FF7"/>
    <w:rsid w:val="67DB5185"/>
    <w:rsid w:val="67F36695"/>
    <w:rsid w:val="68152F3E"/>
    <w:rsid w:val="6832299F"/>
    <w:rsid w:val="68564390"/>
    <w:rsid w:val="68C04E1A"/>
    <w:rsid w:val="68E577B3"/>
    <w:rsid w:val="68E876E0"/>
    <w:rsid w:val="68F56009"/>
    <w:rsid w:val="68F902FB"/>
    <w:rsid w:val="694B0DF6"/>
    <w:rsid w:val="6A283F24"/>
    <w:rsid w:val="6A642FD4"/>
    <w:rsid w:val="6A6647B3"/>
    <w:rsid w:val="6A7C6744"/>
    <w:rsid w:val="6A9B6E97"/>
    <w:rsid w:val="6AE96538"/>
    <w:rsid w:val="6B2C66DE"/>
    <w:rsid w:val="6B4540BB"/>
    <w:rsid w:val="6B6732E8"/>
    <w:rsid w:val="6B884631"/>
    <w:rsid w:val="6BA57C15"/>
    <w:rsid w:val="6BAC13AD"/>
    <w:rsid w:val="6BF00D65"/>
    <w:rsid w:val="6C3E4545"/>
    <w:rsid w:val="6C5B0EE5"/>
    <w:rsid w:val="6C662DFC"/>
    <w:rsid w:val="6C7E28AC"/>
    <w:rsid w:val="6CC81479"/>
    <w:rsid w:val="6CE66305"/>
    <w:rsid w:val="6D203847"/>
    <w:rsid w:val="6D381CD8"/>
    <w:rsid w:val="6D8B20D7"/>
    <w:rsid w:val="6DD305E7"/>
    <w:rsid w:val="6DF6226F"/>
    <w:rsid w:val="6DF939F9"/>
    <w:rsid w:val="6E18492F"/>
    <w:rsid w:val="6E3D4D1B"/>
    <w:rsid w:val="6E4C32EB"/>
    <w:rsid w:val="6E515CE9"/>
    <w:rsid w:val="6E5F0A02"/>
    <w:rsid w:val="6EBC1ECC"/>
    <w:rsid w:val="6EF660DF"/>
    <w:rsid w:val="6F132157"/>
    <w:rsid w:val="6F29578E"/>
    <w:rsid w:val="6F35459D"/>
    <w:rsid w:val="6F3C4832"/>
    <w:rsid w:val="6F5D163A"/>
    <w:rsid w:val="6F7563D9"/>
    <w:rsid w:val="6F7B15E7"/>
    <w:rsid w:val="6FBE5BC5"/>
    <w:rsid w:val="6FD5281F"/>
    <w:rsid w:val="701044D9"/>
    <w:rsid w:val="701815D8"/>
    <w:rsid w:val="70527F46"/>
    <w:rsid w:val="7091515B"/>
    <w:rsid w:val="70AA5E00"/>
    <w:rsid w:val="70DA7E97"/>
    <w:rsid w:val="70F351DB"/>
    <w:rsid w:val="71243379"/>
    <w:rsid w:val="71561C9C"/>
    <w:rsid w:val="7173227A"/>
    <w:rsid w:val="717F2980"/>
    <w:rsid w:val="718337C4"/>
    <w:rsid w:val="719818A7"/>
    <w:rsid w:val="71D7381E"/>
    <w:rsid w:val="71F34966"/>
    <w:rsid w:val="725753BD"/>
    <w:rsid w:val="725B1CE1"/>
    <w:rsid w:val="725C5CE9"/>
    <w:rsid w:val="726C25A5"/>
    <w:rsid w:val="72A45059"/>
    <w:rsid w:val="72A5126C"/>
    <w:rsid w:val="72B53590"/>
    <w:rsid w:val="72CB677E"/>
    <w:rsid w:val="72D116E1"/>
    <w:rsid w:val="72D33831"/>
    <w:rsid w:val="73A450DE"/>
    <w:rsid w:val="73ED1911"/>
    <w:rsid w:val="74322671"/>
    <w:rsid w:val="74573483"/>
    <w:rsid w:val="746348F3"/>
    <w:rsid w:val="74651E5D"/>
    <w:rsid w:val="74716C13"/>
    <w:rsid w:val="74996AE2"/>
    <w:rsid w:val="74A11CF9"/>
    <w:rsid w:val="752C56A6"/>
    <w:rsid w:val="75406EC8"/>
    <w:rsid w:val="75790AC5"/>
    <w:rsid w:val="7598357A"/>
    <w:rsid w:val="75BF061C"/>
    <w:rsid w:val="75F571C5"/>
    <w:rsid w:val="764B12F7"/>
    <w:rsid w:val="764B3199"/>
    <w:rsid w:val="764C1432"/>
    <w:rsid w:val="76625662"/>
    <w:rsid w:val="769A4DE4"/>
    <w:rsid w:val="76A87C9F"/>
    <w:rsid w:val="76B628E7"/>
    <w:rsid w:val="7701734C"/>
    <w:rsid w:val="774E5A37"/>
    <w:rsid w:val="776D1345"/>
    <w:rsid w:val="77D97AC3"/>
    <w:rsid w:val="782B015A"/>
    <w:rsid w:val="78390265"/>
    <w:rsid w:val="78630669"/>
    <w:rsid w:val="788C6507"/>
    <w:rsid w:val="78AF44C0"/>
    <w:rsid w:val="793B70C9"/>
    <w:rsid w:val="795F7F00"/>
    <w:rsid w:val="79761931"/>
    <w:rsid w:val="79803FD2"/>
    <w:rsid w:val="79DE25D6"/>
    <w:rsid w:val="7A623E2A"/>
    <w:rsid w:val="7AB77AF8"/>
    <w:rsid w:val="7B2034D5"/>
    <w:rsid w:val="7B213686"/>
    <w:rsid w:val="7B583203"/>
    <w:rsid w:val="7B814C2C"/>
    <w:rsid w:val="7BA77B3B"/>
    <w:rsid w:val="7BC11DE6"/>
    <w:rsid w:val="7C1D4471"/>
    <w:rsid w:val="7C234837"/>
    <w:rsid w:val="7C540465"/>
    <w:rsid w:val="7C5441A1"/>
    <w:rsid w:val="7C8431CB"/>
    <w:rsid w:val="7C990FF9"/>
    <w:rsid w:val="7CC4720F"/>
    <w:rsid w:val="7D4209B6"/>
    <w:rsid w:val="7D8041A7"/>
    <w:rsid w:val="7DF65E68"/>
    <w:rsid w:val="7E0617D1"/>
    <w:rsid w:val="7E183251"/>
    <w:rsid w:val="7E2D6010"/>
    <w:rsid w:val="7E57705F"/>
    <w:rsid w:val="7E5F6372"/>
    <w:rsid w:val="7E6A408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4"/>
    <w:qFormat/>
    <w:uiPriority w:val="99"/>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rPr>
  </w:style>
  <w:style w:type="paragraph" w:styleId="3">
    <w:name w:val="heading 2"/>
    <w:basedOn w:val="1"/>
    <w:next w:val="1"/>
    <w:link w:val="35"/>
    <w:qFormat/>
    <w:uiPriority w:val="99"/>
    <w:pPr>
      <w:keepNext/>
      <w:tabs>
        <w:tab w:val="left" w:pos="975"/>
      </w:tabs>
      <w:adjustRightInd w:val="0"/>
      <w:snapToGrid w:val="0"/>
      <w:ind w:left="975" w:hanging="420"/>
      <w:outlineLvl w:val="1"/>
    </w:pPr>
    <w:rPr>
      <w:rFonts w:ascii="仿宋_GB2312" w:eastAsia="仿宋_GB2312"/>
      <w:b/>
      <w:bCs/>
      <w:sz w:val="28"/>
    </w:rPr>
  </w:style>
  <w:style w:type="paragraph" w:styleId="4">
    <w:name w:val="heading 3"/>
    <w:basedOn w:val="1"/>
    <w:next w:val="1"/>
    <w:link w:val="36"/>
    <w:qFormat/>
    <w:uiPriority w:val="99"/>
    <w:pPr>
      <w:keepNext/>
      <w:keepLines/>
      <w:spacing w:before="260" w:after="260" w:line="416" w:lineRule="auto"/>
      <w:outlineLvl w:val="2"/>
    </w:pPr>
    <w:rPr>
      <w:b/>
      <w:bCs/>
      <w:sz w:val="32"/>
      <w:szCs w:val="32"/>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1260"/>
      <w:jc w:val="left"/>
    </w:pPr>
    <w:rPr>
      <w:szCs w:val="21"/>
    </w:rPr>
  </w:style>
  <w:style w:type="paragraph" w:styleId="6">
    <w:name w:val="Document Map"/>
    <w:basedOn w:val="1"/>
    <w:link w:val="37"/>
    <w:semiHidden/>
    <w:qFormat/>
    <w:uiPriority w:val="99"/>
    <w:pPr>
      <w:shd w:val="clear" w:color="auto" w:fill="000080"/>
    </w:pPr>
  </w:style>
  <w:style w:type="paragraph" w:styleId="7">
    <w:name w:val="Body Text"/>
    <w:basedOn w:val="1"/>
    <w:link w:val="38"/>
    <w:qFormat/>
    <w:uiPriority w:val="99"/>
    <w:pPr>
      <w:adjustRightInd w:val="0"/>
      <w:snapToGrid w:val="0"/>
    </w:pPr>
    <w:rPr>
      <w:rFonts w:ascii="仿宋_GB2312" w:eastAsia="仿宋_GB2312"/>
      <w:color w:val="FF0000"/>
      <w:sz w:val="28"/>
    </w:rPr>
  </w:style>
  <w:style w:type="paragraph" w:styleId="8">
    <w:name w:val="Body Text Indent"/>
    <w:basedOn w:val="1"/>
    <w:link w:val="39"/>
    <w:qFormat/>
    <w:uiPriority w:val="99"/>
    <w:pPr>
      <w:ind w:firstLine="540"/>
    </w:pPr>
    <w:rPr>
      <w:rFonts w:ascii="仿宋_GB2312" w:eastAsia="仿宋_GB2312"/>
      <w:spacing w:val="10"/>
      <w:sz w:val="28"/>
    </w:rPr>
  </w:style>
  <w:style w:type="paragraph" w:styleId="9">
    <w:name w:val="toc 5"/>
    <w:basedOn w:val="1"/>
    <w:next w:val="1"/>
    <w:semiHidden/>
    <w:qFormat/>
    <w:uiPriority w:val="99"/>
    <w:pPr>
      <w:ind w:left="840"/>
      <w:jc w:val="left"/>
    </w:pPr>
    <w:rPr>
      <w:szCs w:val="21"/>
    </w:rPr>
  </w:style>
  <w:style w:type="paragraph" w:styleId="10">
    <w:name w:val="toc 3"/>
    <w:basedOn w:val="1"/>
    <w:next w:val="1"/>
    <w:semiHidden/>
    <w:qFormat/>
    <w:uiPriority w:val="99"/>
    <w:pPr>
      <w:tabs>
        <w:tab w:val="right" w:leader="dot" w:pos="8524"/>
      </w:tabs>
      <w:spacing w:line="460" w:lineRule="exact"/>
      <w:ind w:left="779" w:leftChars="371" w:firstLine="275" w:firstLineChars="131"/>
      <w:jc w:val="left"/>
    </w:pPr>
    <w:rPr>
      <w:rFonts w:ascii="仿宋_GB2312" w:eastAsia="仿宋_GB2312"/>
      <w:kern w:val="0"/>
      <w:szCs w:val="24"/>
    </w:rPr>
  </w:style>
  <w:style w:type="paragraph" w:styleId="11">
    <w:name w:val="Plain Text"/>
    <w:basedOn w:val="1"/>
    <w:link w:val="40"/>
    <w:qFormat/>
    <w:uiPriority w:val="99"/>
    <w:rPr>
      <w:rFonts w:ascii="宋体" w:hAnsi="Courier New"/>
      <w:sz w:val="28"/>
    </w:rPr>
  </w:style>
  <w:style w:type="paragraph" w:styleId="12">
    <w:name w:val="toc 8"/>
    <w:basedOn w:val="1"/>
    <w:next w:val="1"/>
    <w:semiHidden/>
    <w:qFormat/>
    <w:uiPriority w:val="99"/>
    <w:pPr>
      <w:ind w:left="1470"/>
      <w:jc w:val="left"/>
    </w:pPr>
    <w:rPr>
      <w:szCs w:val="21"/>
    </w:rPr>
  </w:style>
  <w:style w:type="paragraph" w:styleId="13">
    <w:name w:val="Date"/>
    <w:basedOn w:val="1"/>
    <w:next w:val="1"/>
    <w:link w:val="41"/>
    <w:qFormat/>
    <w:uiPriority w:val="99"/>
    <w:pPr>
      <w:adjustRightInd w:val="0"/>
      <w:spacing w:line="312" w:lineRule="atLeast"/>
      <w:textAlignment w:val="baseline"/>
    </w:pPr>
    <w:rPr>
      <w:rFonts w:ascii="仿宋体" w:eastAsia="仿宋体"/>
      <w:kern w:val="0"/>
      <w:sz w:val="28"/>
    </w:rPr>
  </w:style>
  <w:style w:type="paragraph" w:styleId="14">
    <w:name w:val="Body Text Indent 2"/>
    <w:basedOn w:val="1"/>
    <w:link w:val="42"/>
    <w:qFormat/>
    <w:uiPriority w:val="99"/>
    <w:pPr>
      <w:adjustRightInd w:val="0"/>
      <w:spacing w:line="320" w:lineRule="atLeast"/>
      <w:ind w:right="-22" w:firstLine="600"/>
      <w:textAlignment w:val="baseline"/>
    </w:pPr>
    <w:rPr>
      <w:rFonts w:ascii="仿宋体" w:eastAsia="仿宋体"/>
      <w:spacing w:val="10"/>
      <w:kern w:val="0"/>
      <w:sz w:val="28"/>
    </w:rPr>
  </w:style>
  <w:style w:type="paragraph" w:styleId="15">
    <w:name w:val="Balloon Text"/>
    <w:basedOn w:val="1"/>
    <w:link w:val="43"/>
    <w:semiHidden/>
    <w:qFormat/>
    <w:uiPriority w:val="99"/>
    <w:rPr>
      <w:sz w:val="18"/>
      <w:szCs w:val="18"/>
    </w:rPr>
  </w:style>
  <w:style w:type="paragraph" w:styleId="16">
    <w:name w:val="footer"/>
    <w:basedOn w:val="1"/>
    <w:link w:val="44"/>
    <w:qFormat/>
    <w:uiPriority w:val="99"/>
    <w:pPr>
      <w:pBdr>
        <w:top w:val="single" w:color="auto" w:sz="4" w:space="1"/>
      </w:pBdr>
      <w:tabs>
        <w:tab w:val="center" w:pos="4153"/>
        <w:tab w:val="right" w:pos="8306"/>
      </w:tabs>
      <w:adjustRightInd w:val="0"/>
      <w:spacing w:line="240" w:lineRule="atLeast"/>
      <w:jc w:val="left"/>
      <w:textAlignment w:val="baseline"/>
    </w:pPr>
    <w:rPr>
      <w:kern w:val="0"/>
      <w:sz w:val="18"/>
    </w:rPr>
  </w:style>
  <w:style w:type="paragraph" w:styleId="17">
    <w:name w:val="header"/>
    <w:basedOn w:val="1"/>
    <w:link w:val="45"/>
    <w:qFormat/>
    <w:uiPriority w:val="99"/>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18">
    <w:name w:val="toc 1"/>
    <w:basedOn w:val="1"/>
    <w:next w:val="1"/>
    <w:qFormat/>
    <w:uiPriority w:val="39"/>
    <w:pPr>
      <w:tabs>
        <w:tab w:val="right" w:leader="dot" w:pos="9088"/>
      </w:tabs>
      <w:spacing w:line="320" w:lineRule="exact"/>
      <w:ind w:firstLine="315" w:firstLineChars="150"/>
      <w:jc w:val="left"/>
    </w:pPr>
    <w:rPr>
      <w:rFonts w:ascii="宋体" w:hAnsi="宋体"/>
      <w:b/>
      <w:bCs/>
      <w:caps/>
      <w:sz w:val="24"/>
      <w:szCs w:val="24"/>
    </w:rPr>
  </w:style>
  <w:style w:type="paragraph" w:styleId="19">
    <w:name w:val="toc 4"/>
    <w:basedOn w:val="1"/>
    <w:next w:val="1"/>
    <w:semiHidden/>
    <w:qFormat/>
    <w:uiPriority w:val="99"/>
    <w:pPr>
      <w:ind w:left="630"/>
      <w:jc w:val="left"/>
    </w:pPr>
    <w:rPr>
      <w:szCs w:val="21"/>
    </w:rPr>
  </w:style>
  <w:style w:type="paragraph" w:styleId="20">
    <w:name w:val="Subtitle"/>
    <w:basedOn w:val="1"/>
    <w:next w:val="1"/>
    <w:link w:val="46"/>
    <w:qFormat/>
    <w:uiPriority w:val="99"/>
    <w:pPr>
      <w:spacing w:before="240" w:after="60" w:line="360" w:lineRule="auto"/>
      <w:jc w:val="center"/>
    </w:pPr>
    <w:rPr>
      <w:rFonts w:ascii="Cambria" w:hAnsi="Cambria"/>
      <w:bCs/>
      <w:kern w:val="28"/>
      <w:sz w:val="24"/>
      <w:szCs w:val="32"/>
    </w:rPr>
  </w:style>
  <w:style w:type="paragraph" w:styleId="21">
    <w:name w:val="toc 6"/>
    <w:basedOn w:val="1"/>
    <w:next w:val="1"/>
    <w:semiHidden/>
    <w:qFormat/>
    <w:uiPriority w:val="99"/>
    <w:pPr>
      <w:ind w:left="1050"/>
      <w:jc w:val="left"/>
    </w:pPr>
    <w:rPr>
      <w:szCs w:val="21"/>
    </w:rPr>
  </w:style>
  <w:style w:type="paragraph" w:styleId="22">
    <w:name w:val="Body Text Indent 3"/>
    <w:basedOn w:val="1"/>
    <w:link w:val="47"/>
    <w:qFormat/>
    <w:uiPriority w:val="99"/>
    <w:pPr>
      <w:adjustRightInd w:val="0"/>
      <w:spacing w:line="312" w:lineRule="atLeast"/>
      <w:ind w:firstLine="555"/>
      <w:textAlignment w:val="baseline"/>
    </w:pPr>
    <w:rPr>
      <w:rFonts w:ascii="仿宋_GB2312" w:eastAsia="仿宋_GB2312"/>
      <w:color w:val="000000"/>
      <w:kern w:val="0"/>
      <w:sz w:val="28"/>
    </w:rPr>
  </w:style>
  <w:style w:type="paragraph" w:styleId="23">
    <w:name w:val="toc 2"/>
    <w:basedOn w:val="1"/>
    <w:next w:val="1"/>
    <w:qFormat/>
    <w:uiPriority w:val="99"/>
    <w:pPr>
      <w:tabs>
        <w:tab w:val="right" w:leader="dot" w:pos="9072"/>
      </w:tabs>
      <w:spacing w:line="560" w:lineRule="exact"/>
      <w:ind w:left="580" w:leftChars="123" w:right="-195" w:rightChars="-93" w:hanging="322" w:hangingChars="153"/>
      <w:jc w:val="left"/>
    </w:pPr>
    <w:rPr>
      <w:rFonts w:ascii="仿宋_GB2312" w:eastAsia="仿宋_GB2312"/>
      <w:b/>
      <w:bCs/>
      <w:smallCaps/>
      <w:kern w:val="0"/>
      <w:sz w:val="24"/>
      <w:szCs w:val="28"/>
    </w:rPr>
  </w:style>
  <w:style w:type="paragraph" w:styleId="24">
    <w:name w:val="toc 9"/>
    <w:basedOn w:val="1"/>
    <w:next w:val="1"/>
    <w:semiHidden/>
    <w:qFormat/>
    <w:uiPriority w:val="99"/>
    <w:pPr>
      <w:ind w:left="1680"/>
      <w:jc w:val="left"/>
    </w:pPr>
    <w:rPr>
      <w:szCs w:val="21"/>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48"/>
    <w:qFormat/>
    <w:uiPriority w:val="99"/>
    <w:pPr>
      <w:spacing w:before="240" w:after="60"/>
      <w:jc w:val="center"/>
      <w:outlineLvl w:val="0"/>
    </w:pPr>
    <w:rPr>
      <w:rFonts w:ascii="Cambria" w:hAnsi="Cambria"/>
      <w:b/>
      <w:bCs/>
      <w:sz w:val="32"/>
      <w:szCs w:val="32"/>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rFonts w:cs="Times New Roman"/>
      <w:b/>
    </w:rPr>
  </w:style>
  <w:style w:type="character" w:styleId="31">
    <w:name w:val="page number"/>
    <w:basedOn w:val="29"/>
    <w:qFormat/>
    <w:uiPriority w:val="99"/>
    <w:rPr>
      <w:rFonts w:cs="Times New Roman"/>
    </w:rPr>
  </w:style>
  <w:style w:type="character" w:styleId="32">
    <w:name w:val="FollowedHyperlink"/>
    <w:basedOn w:val="29"/>
    <w:qFormat/>
    <w:uiPriority w:val="99"/>
    <w:rPr>
      <w:rFonts w:cs="Times New Roman"/>
      <w:color w:val="800080"/>
      <w:u w:val="single"/>
    </w:rPr>
  </w:style>
  <w:style w:type="character" w:styleId="33">
    <w:name w:val="Hyperlink"/>
    <w:basedOn w:val="29"/>
    <w:qFormat/>
    <w:uiPriority w:val="99"/>
    <w:rPr>
      <w:rFonts w:cs="Times New Roman"/>
      <w:color w:val="0000FF"/>
      <w:u w:val="single"/>
    </w:rPr>
  </w:style>
  <w:style w:type="character" w:customStyle="1" w:styleId="34">
    <w:name w:val="标题 1 Char"/>
    <w:basedOn w:val="29"/>
    <w:link w:val="2"/>
    <w:qFormat/>
    <w:uiPriority w:val="9"/>
    <w:rPr>
      <w:b/>
      <w:bCs/>
      <w:kern w:val="44"/>
      <w:sz w:val="44"/>
      <w:szCs w:val="44"/>
    </w:rPr>
  </w:style>
  <w:style w:type="character" w:customStyle="1" w:styleId="35">
    <w:name w:val="标题 2 Char"/>
    <w:basedOn w:val="29"/>
    <w:link w:val="3"/>
    <w:semiHidden/>
    <w:qFormat/>
    <w:uiPriority w:val="9"/>
    <w:rPr>
      <w:rFonts w:ascii="Cambria" w:hAnsi="Cambria" w:eastAsia="宋体" w:cs="Times New Roman"/>
      <w:b/>
      <w:bCs/>
      <w:sz w:val="32"/>
      <w:szCs w:val="32"/>
    </w:rPr>
  </w:style>
  <w:style w:type="character" w:customStyle="1" w:styleId="36">
    <w:name w:val="标题 3 Char"/>
    <w:basedOn w:val="29"/>
    <w:link w:val="4"/>
    <w:semiHidden/>
    <w:qFormat/>
    <w:uiPriority w:val="9"/>
    <w:rPr>
      <w:b/>
      <w:bCs/>
      <w:sz w:val="32"/>
      <w:szCs w:val="32"/>
    </w:rPr>
  </w:style>
  <w:style w:type="character" w:customStyle="1" w:styleId="37">
    <w:name w:val="文档结构图 Char"/>
    <w:basedOn w:val="29"/>
    <w:link w:val="6"/>
    <w:semiHidden/>
    <w:qFormat/>
    <w:uiPriority w:val="99"/>
    <w:rPr>
      <w:sz w:val="0"/>
      <w:szCs w:val="0"/>
    </w:rPr>
  </w:style>
  <w:style w:type="character" w:customStyle="1" w:styleId="38">
    <w:name w:val="正文文本 Char"/>
    <w:basedOn w:val="29"/>
    <w:link w:val="7"/>
    <w:semiHidden/>
    <w:qFormat/>
    <w:uiPriority w:val="99"/>
    <w:rPr>
      <w:szCs w:val="20"/>
    </w:rPr>
  </w:style>
  <w:style w:type="character" w:customStyle="1" w:styleId="39">
    <w:name w:val="正文文本缩进 Char"/>
    <w:basedOn w:val="29"/>
    <w:link w:val="8"/>
    <w:semiHidden/>
    <w:qFormat/>
    <w:uiPriority w:val="99"/>
    <w:rPr>
      <w:szCs w:val="20"/>
    </w:rPr>
  </w:style>
  <w:style w:type="character" w:customStyle="1" w:styleId="40">
    <w:name w:val="纯文本 Char"/>
    <w:basedOn w:val="29"/>
    <w:link w:val="11"/>
    <w:semiHidden/>
    <w:qFormat/>
    <w:uiPriority w:val="99"/>
    <w:rPr>
      <w:rFonts w:ascii="宋体" w:hAnsi="Courier New" w:cs="Courier New"/>
      <w:szCs w:val="21"/>
    </w:rPr>
  </w:style>
  <w:style w:type="character" w:customStyle="1" w:styleId="41">
    <w:name w:val="日期 Char"/>
    <w:basedOn w:val="29"/>
    <w:link w:val="13"/>
    <w:semiHidden/>
    <w:qFormat/>
    <w:uiPriority w:val="99"/>
    <w:rPr>
      <w:szCs w:val="20"/>
    </w:rPr>
  </w:style>
  <w:style w:type="character" w:customStyle="1" w:styleId="42">
    <w:name w:val="正文文本缩进 2 Char"/>
    <w:basedOn w:val="29"/>
    <w:link w:val="14"/>
    <w:semiHidden/>
    <w:qFormat/>
    <w:uiPriority w:val="99"/>
    <w:rPr>
      <w:szCs w:val="20"/>
    </w:rPr>
  </w:style>
  <w:style w:type="character" w:customStyle="1" w:styleId="43">
    <w:name w:val="批注框文本 Char"/>
    <w:basedOn w:val="29"/>
    <w:link w:val="15"/>
    <w:semiHidden/>
    <w:qFormat/>
    <w:uiPriority w:val="99"/>
    <w:rPr>
      <w:sz w:val="0"/>
      <w:szCs w:val="0"/>
    </w:rPr>
  </w:style>
  <w:style w:type="character" w:customStyle="1" w:styleId="44">
    <w:name w:val="页脚 Char"/>
    <w:basedOn w:val="29"/>
    <w:link w:val="16"/>
    <w:semiHidden/>
    <w:qFormat/>
    <w:uiPriority w:val="99"/>
    <w:rPr>
      <w:sz w:val="18"/>
      <w:szCs w:val="18"/>
    </w:rPr>
  </w:style>
  <w:style w:type="character" w:customStyle="1" w:styleId="45">
    <w:name w:val="页眉 Char"/>
    <w:basedOn w:val="29"/>
    <w:link w:val="17"/>
    <w:semiHidden/>
    <w:qFormat/>
    <w:uiPriority w:val="99"/>
    <w:rPr>
      <w:sz w:val="18"/>
      <w:szCs w:val="18"/>
    </w:rPr>
  </w:style>
  <w:style w:type="character" w:customStyle="1" w:styleId="46">
    <w:name w:val="副标题 Char"/>
    <w:basedOn w:val="29"/>
    <w:link w:val="20"/>
    <w:qFormat/>
    <w:locked/>
    <w:uiPriority w:val="99"/>
    <w:rPr>
      <w:rFonts w:ascii="Cambria" w:hAnsi="Cambria"/>
      <w:kern w:val="28"/>
      <w:sz w:val="32"/>
    </w:rPr>
  </w:style>
  <w:style w:type="character" w:customStyle="1" w:styleId="47">
    <w:name w:val="正文文本缩进 3 Char"/>
    <w:basedOn w:val="29"/>
    <w:link w:val="22"/>
    <w:semiHidden/>
    <w:qFormat/>
    <w:uiPriority w:val="99"/>
    <w:rPr>
      <w:sz w:val="16"/>
      <w:szCs w:val="16"/>
    </w:rPr>
  </w:style>
  <w:style w:type="character" w:customStyle="1" w:styleId="48">
    <w:name w:val="标题 Char"/>
    <w:basedOn w:val="29"/>
    <w:link w:val="26"/>
    <w:qFormat/>
    <w:locked/>
    <w:uiPriority w:val="99"/>
    <w:rPr>
      <w:rFonts w:ascii="Cambria" w:hAnsi="Cambria"/>
      <w:b/>
      <w:kern w:val="2"/>
      <w:sz w:val="32"/>
    </w:rPr>
  </w:style>
  <w:style w:type="character" w:customStyle="1" w:styleId="49">
    <w:name w:val="zhengwen1"/>
    <w:qFormat/>
    <w:uiPriority w:val="99"/>
    <w:rPr>
      <w:color w:val="000000"/>
      <w:sz w:val="18"/>
      <w:u w:val="none"/>
    </w:rPr>
  </w:style>
  <w:style w:type="character" w:customStyle="1" w:styleId="50">
    <w:name w:val="apple-converted-space"/>
    <w:basedOn w:val="29"/>
    <w:qFormat/>
    <w:uiPriority w:val="99"/>
    <w:rPr>
      <w:rFonts w:cs="Times New Roman"/>
    </w:rPr>
  </w:style>
  <w:style w:type="character" w:customStyle="1" w:styleId="51">
    <w:name w:val="font31"/>
    <w:qFormat/>
    <w:uiPriority w:val="99"/>
    <w:rPr>
      <w:rFonts w:ascii="宋体" w:hAnsi="宋体" w:eastAsia="宋体"/>
      <w:color w:val="000000"/>
      <w:sz w:val="18"/>
      <w:u w:val="none"/>
    </w:rPr>
  </w:style>
  <w:style w:type="paragraph" w:customStyle="1" w:styleId="52">
    <w:name w:val="ST20_4"/>
    <w:basedOn w:val="1"/>
    <w:qFormat/>
    <w:uiPriority w:val="99"/>
    <w:pPr>
      <w:autoSpaceDE w:val="0"/>
      <w:autoSpaceDN w:val="0"/>
      <w:adjustRightInd w:val="0"/>
      <w:jc w:val="left"/>
      <w:textAlignment w:val="baseline"/>
    </w:pPr>
    <w:rPr>
      <w:rFonts w:ascii="宋体" w:hAnsi="Tms Rmn"/>
      <w:kern w:val="0"/>
      <w:sz w:val="24"/>
    </w:rPr>
  </w:style>
  <w:style w:type="paragraph" w:customStyle="1" w:styleId="53">
    <w:name w:val="xl3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rPr>
  </w:style>
  <w:style w:type="paragraph" w:customStyle="1" w:styleId="5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kern w:val="0"/>
      <w:sz w:val="20"/>
    </w:rPr>
  </w:style>
  <w:style w:type="paragraph" w:customStyle="1" w:styleId="55">
    <w:name w:val="xl28"/>
    <w:basedOn w:val="1"/>
    <w:qFormat/>
    <w:uiPriority w:val="99"/>
    <w:pPr>
      <w:widowControl/>
      <w:pBdr>
        <w:top w:val="single" w:color="auto" w:sz="4" w:space="0"/>
        <w:bottom w:val="single" w:color="auto" w:sz="4" w:space="0"/>
      </w:pBdr>
      <w:spacing w:before="100" w:beforeAutospacing="1" w:after="100" w:afterAutospacing="1"/>
      <w:jc w:val="center"/>
    </w:pPr>
    <w:rPr>
      <w:rFonts w:ascii="仿宋_GB2312" w:hAnsi="Arial Unicode MS" w:eastAsia="仿宋_GB2312" w:cs="Arial Unicode MS"/>
      <w:kern w:val="0"/>
      <w:sz w:val="20"/>
    </w:rPr>
  </w:style>
  <w:style w:type="paragraph" w:customStyle="1" w:styleId="56">
    <w:name w:val="xl2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20"/>
    </w:rPr>
  </w:style>
  <w:style w:type="paragraph" w:customStyle="1" w:styleId="57">
    <w:name w:val="样式7"/>
    <w:basedOn w:val="1"/>
    <w:qFormat/>
    <w:uiPriority w:val="99"/>
    <w:pPr>
      <w:spacing w:line="360" w:lineRule="auto"/>
      <w:ind w:firstLine="567"/>
    </w:pPr>
    <w:rPr>
      <w:rFonts w:ascii="仿宋_GB2312" w:eastAsia="仿宋_GB2312"/>
      <w:sz w:val="28"/>
    </w:rPr>
  </w:style>
  <w:style w:type="paragraph" w:customStyle="1" w:styleId="58">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20"/>
    </w:rPr>
  </w:style>
  <w:style w:type="paragraph" w:customStyle="1" w:styleId="5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20"/>
    </w:rPr>
  </w:style>
  <w:style w:type="paragraph" w:customStyle="1" w:styleId="60">
    <w:name w:val="xl2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Arial Unicode MS" w:eastAsia="仿宋_GB2312" w:cs="Arial Unicode MS"/>
      <w:kern w:val="0"/>
      <w:sz w:val="20"/>
    </w:rPr>
  </w:style>
  <w:style w:type="paragraph" w:customStyle="1" w:styleId="61">
    <w:name w:val="_Style 1"/>
    <w:basedOn w:val="1"/>
    <w:qFormat/>
    <w:uiPriority w:val="99"/>
    <w:pPr>
      <w:widowControl/>
      <w:spacing w:after="160" w:line="240" w:lineRule="exact"/>
      <w:jc w:val="left"/>
    </w:pPr>
    <w:rPr>
      <w:rFonts w:eastAsia="华文楷体"/>
      <w:sz w:val="24"/>
    </w:rPr>
  </w:style>
  <w:style w:type="paragraph" w:customStyle="1" w:styleId="62">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20"/>
    </w:rPr>
  </w:style>
  <w:style w:type="paragraph" w:customStyle="1" w:styleId="6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20"/>
    </w:rPr>
  </w:style>
  <w:style w:type="paragraph" w:customStyle="1" w:styleId="64">
    <w:name w:val="纯文本1"/>
    <w:basedOn w:val="1"/>
    <w:qFormat/>
    <w:uiPriority w:val="99"/>
    <w:pPr>
      <w:adjustRightInd w:val="0"/>
      <w:textAlignment w:val="baseline"/>
    </w:pPr>
    <w:rPr>
      <w:rFonts w:ascii="宋体"/>
      <w:kern w:val="0"/>
    </w:rPr>
  </w:style>
  <w:style w:type="paragraph" w:customStyle="1" w:styleId="6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20"/>
    </w:rPr>
  </w:style>
  <w:style w:type="paragraph" w:customStyle="1" w:styleId="66">
    <w:name w:val="a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7">
    <w:name w:val="xl3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cs="Arial Unicode MS"/>
      <w:kern w:val="0"/>
      <w:sz w:val="20"/>
    </w:rPr>
  </w:style>
  <w:style w:type="paragraph" w:customStyle="1" w:styleId="68">
    <w:name w:val="font7"/>
    <w:basedOn w:val="1"/>
    <w:qFormat/>
    <w:uiPriority w:val="99"/>
    <w:pPr>
      <w:widowControl/>
      <w:spacing w:before="100" w:beforeAutospacing="1" w:after="100" w:afterAutospacing="1"/>
      <w:jc w:val="left"/>
    </w:pPr>
    <w:rPr>
      <w:rFonts w:ascii="仿宋_GB2312" w:hAnsi="Arial Unicode MS" w:eastAsia="仿宋_GB2312" w:cs="Arial Unicode MS"/>
      <w:kern w:val="0"/>
      <w:sz w:val="20"/>
    </w:rPr>
  </w:style>
  <w:style w:type="paragraph" w:customStyle="1" w:styleId="6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20"/>
    </w:rPr>
  </w:style>
  <w:style w:type="paragraph" w:customStyle="1" w:styleId="70">
    <w:name w:val="ST20_1"/>
    <w:basedOn w:val="1"/>
    <w:qFormat/>
    <w:uiPriority w:val="99"/>
    <w:pPr>
      <w:autoSpaceDE w:val="0"/>
      <w:autoSpaceDN w:val="0"/>
      <w:adjustRightInd w:val="0"/>
      <w:spacing w:line="500" w:lineRule="atLeast"/>
      <w:jc w:val="left"/>
      <w:textAlignment w:val="baseline"/>
    </w:pPr>
    <w:rPr>
      <w:rFonts w:ascii="昆仑仿宋" w:hAnsi="Tms Rmn" w:eastAsia="昆仑仿宋"/>
      <w:kern w:val="0"/>
      <w:sz w:val="28"/>
    </w:rPr>
  </w:style>
  <w:style w:type="paragraph" w:customStyle="1" w:styleId="71">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72">
    <w:name w:val="Char"/>
    <w:basedOn w:val="6"/>
    <w:qFormat/>
    <w:uiPriority w:val="99"/>
    <w:rPr>
      <w:rFonts w:ascii="Tahoma" w:hAnsi="Tahoma"/>
      <w:sz w:val="24"/>
      <w:szCs w:val="24"/>
    </w:rPr>
  </w:style>
  <w:style w:type="paragraph" w:customStyle="1" w:styleId="73">
    <w:name w:val="font6"/>
    <w:basedOn w:val="1"/>
    <w:qFormat/>
    <w:uiPriority w:val="99"/>
    <w:pPr>
      <w:widowControl/>
      <w:spacing w:before="100" w:beforeAutospacing="1" w:after="100" w:afterAutospacing="1"/>
      <w:jc w:val="left"/>
    </w:pPr>
    <w:rPr>
      <w:rFonts w:ascii="仿宋_GB2312" w:hAnsi="Arial Unicode MS" w:eastAsia="仿宋_GB2312" w:cs="Arial Unicode MS"/>
      <w:kern w:val="0"/>
      <w:sz w:val="20"/>
    </w:rPr>
  </w:style>
  <w:style w:type="paragraph" w:customStyle="1" w:styleId="7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5D6958-50AC-44FC-BF23-DCAB7F6A9A5D}">
  <ds:schemaRefs/>
</ds:datastoreItem>
</file>

<file path=docProps/app.xml><?xml version="1.0" encoding="utf-8"?>
<Properties xmlns="http://schemas.openxmlformats.org/officeDocument/2006/extended-properties" xmlns:vt="http://schemas.openxmlformats.org/officeDocument/2006/docPropsVTypes">
  <Template>Normal</Template>
  <Company>中地不动产评估有限公司</Company>
  <Pages>31</Pages>
  <Words>17911</Words>
  <Characters>8840</Characters>
  <Lines>73</Lines>
  <Paragraphs>53</Paragraphs>
  <TotalTime>13</TotalTime>
  <ScaleCrop>false</ScaleCrop>
  <LinksUpToDate>false</LinksUpToDate>
  <CharactersWithSpaces>26698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2018-08-02T01:36:00Z</dcterms:created>
  <dc:creator>评估</dc:creator>
  <cp:lastModifiedBy>Administrator</cp:lastModifiedBy>
  <cp:lastPrinted>2020-08-12T06:23:29Z</cp:lastPrinted>
  <dcterms:modified xsi:type="dcterms:W3CDTF">2020-08-12T06:35:21Z</dcterms:modified>
  <cp:revision>278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