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cs="宋体"/>
          <w:spacing w:val="108"/>
          <w:sz w:val="52"/>
          <w:szCs w:val="52"/>
        </w:rPr>
      </w:pPr>
      <w:bookmarkStart w:id="0" w:name="OLE_LINK3"/>
      <w:bookmarkStart w:id="1" w:name="OLE_LINK4"/>
      <w:r>
        <w:rPr>
          <w:rFonts w:ascii="宋体" w:hAnsi="宋体" w:cs="宋体"/>
          <w:spacing w:val="108"/>
          <w:sz w:val="52"/>
          <w:szCs w:val="52"/>
        </w:rPr>
        <w:drawing>
          <wp:inline distT="0" distB="0" distL="0" distR="0">
            <wp:extent cx="1854200" cy="1511935"/>
            <wp:effectExtent l="19050" t="0" r="0" b="0"/>
            <wp:docPr id="40" name="图片 1" descr="\\192.168.28.10\众合共享\E\本地磁盘\2020年——众合\2020年房产\法院\泰山区法院--容郡国际\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 descr="\\192.168.28.10\众合共享\E\本地磁盘\2020年——众合\2020年房产\法院\泰山区法院--容郡国际\untitled.png"/>
                    <pic:cNvPicPr>
                      <a:picLocks noChangeAspect="1" noChangeArrowheads="1"/>
                    </pic:cNvPicPr>
                  </pic:nvPicPr>
                  <pic:blipFill>
                    <a:blip r:embed="rId16" cstate="print"/>
                    <a:srcRect/>
                    <a:stretch>
                      <a:fillRect/>
                    </a:stretch>
                  </pic:blipFill>
                  <pic:spPr>
                    <a:xfrm>
                      <a:off x="0" y="0"/>
                      <a:ext cx="1854472" cy="1512000"/>
                    </a:xfrm>
                    <a:prstGeom prst="rect">
                      <a:avLst/>
                    </a:prstGeom>
                    <a:noFill/>
                    <a:ln w="9525">
                      <a:noFill/>
                      <a:miter lim="800000"/>
                      <a:headEnd/>
                      <a:tailEnd/>
                    </a:ln>
                  </pic:spPr>
                </pic:pic>
              </a:graphicData>
            </a:graphic>
          </wp:inline>
        </w:drawing>
      </w:r>
    </w:p>
    <w:p>
      <w:pPr>
        <w:pStyle w:val="2"/>
      </w:pPr>
    </w:p>
    <w:p/>
    <w:p>
      <w:pPr>
        <w:jc w:val="center"/>
        <w:rPr>
          <w:rFonts w:ascii="宋体" w:hAnsi="宋体"/>
          <w:b/>
          <w:sz w:val="44"/>
          <w:szCs w:val="44"/>
        </w:rPr>
      </w:pPr>
      <w:r>
        <w:rPr>
          <w:rFonts w:hint="eastAsia" w:ascii="宋体" w:hAnsi="宋体"/>
          <w:b/>
          <w:sz w:val="44"/>
          <w:szCs w:val="44"/>
        </w:rPr>
        <w:t>涉执房地产处置司法估价报告</w:t>
      </w:r>
    </w:p>
    <w:p>
      <w:pPr>
        <w:tabs>
          <w:tab w:val="left" w:pos="9720"/>
        </w:tabs>
        <w:spacing w:line="360" w:lineRule="auto"/>
        <w:ind w:right="29" w:rightChars="14"/>
        <w:rPr>
          <w:rFonts w:ascii="宋体" w:hAnsi="宋体" w:cs="宋体"/>
          <w:bCs/>
          <w:sz w:val="27"/>
          <w:szCs w:val="27"/>
        </w:rPr>
      </w:pPr>
    </w:p>
    <w:p>
      <w:pPr>
        <w:tabs>
          <w:tab w:val="left" w:pos="9720"/>
        </w:tabs>
        <w:spacing w:line="360" w:lineRule="auto"/>
        <w:ind w:right="29" w:rightChars="14"/>
        <w:jc w:val="center"/>
        <w:rPr>
          <w:rFonts w:hint="eastAsia" w:ascii="宋体" w:hAnsi="宋体" w:cs="宋体"/>
          <w:bCs/>
          <w:sz w:val="27"/>
          <w:szCs w:val="27"/>
        </w:rPr>
      </w:pPr>
    </w:p>
    <w:p>
      <w:pPr>
        <w:pStyle w:val="2"/>
      </w:pPr>
    </w:p>
    <w:p>
      <w:pPr>
        <w:spacing w:line="500" w:lineRule="exact"/>
        <w:rPr>
          <w:rFonts w:ascii="楷体_GB2312" w:eastAsia="楷体_GB2312"/>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66" w:type="dxa"/>
          </w:tcPr>
          <w:p>
            <w:pPr>
              <w:spacing w:line="480" w:lineRule="exact"/>
              <w:jc w:val="left"/>
              <w:rPr>
                <w:rFonts w:ascii="楷体" w:hAnsi="楷体" w:eastAsia="楷体"/>
                <w:b/>
                <w:sz w:val="30"/>
                <w:szCs w:val="30"/>
              </w:rPr>
            </w:pPr>
            <w:r>
              <w:rPr>
                <w:rFonts w:hint="eastAsia" w:ascii="楷体" w:hAnsi="楷体" w:eastAsia="楷体"/>
                <w:b/>
                <w:sz w:val="30"/>
                <w:szCs w:val="30"/>
              </w:rPr>
              <w:t>重要提示：</w:t>
            </w:r>
            <w:r>
              <w:rPr>
                <w:rFonts w:hint="eastAsia" w:ascii="楷体" w:hAnsi="楷体" w:eastAsia="楷体"/>
                <w:sz w:val="30"/>
                <w:szCs w:val="30"/>
              </w:rPr>
              <w:t>若当事人、利害关系人对估价报告有异议，请在收到估价报告后五日内通过泰安市泰山区人民法院向我公司书面提出。</w:t>
            </w:r>
          </w:p>
        </w:tc>
      </w:tr>
    </w:tbl>
    <w:p>
      <w:pPr>
        <w:tabs>
          <w:tab w:val="left" w:pos="9720"/>
        </w:tabs>
        <w:spacing w:line="360" w:lineRule="auto"/>
        <w:ind w:right="29" w:rightChars="14"/>
        <w:jc w:val="center"/>
        <w:rPr>
          <w:rFonts w:ascii="宋体" w:hAnsi="宋体" w:cs="宋体"/>
          <w:bCs/>
          <w:sz w:val="27"/>
          <w:szCs w:val="27"/>
        </w:rPr>
      </w:pPr>
    </w:p>
    <w:p>
      <w:pPr>
        <w:spacing w:line="460" w:lineRule="exact"/>
        <w:ind w:left="2240" w:hanging="2240" w:hangingChars="700"/>
        <w:rPr>
          <w:rFonts w:ascii="楷体_GB2312" w:eastAsia="楷体_GB2312"/>
          <w:sz w:val="32"/>
          <w:szCs w:val="32"/>
        </w:rPr>
      </w:pPr>
    </w:p>
    <w:p>
      <w:pPr>
        <w:spacing w:line="460" w:lineRule="exact"/>
        <w:ind w:left="2240" w:hanging="2240" w:hangingChars="700"/>
        <w:rPr>
          <w:rFonts w:ascii="楷体_GB2312" w:eastAsia="楷体_GB2312"/>
          <w:sz w:val="32"/>
          <w:szCs w:val="32"/>
        </w:rPr>
      </w:pPr>
    </w:p>
    <w:p>
      <w:pPr>
        <w:spacing w:line="460" w:lineRule="exact"/>
        <w:ind w:left="2240" w:hanging="2240" w:hangingChars="700"/>
        <w:rPr>
          <w:rFonts w:ascii="楷体_GB2312" w:eastAsia="楷体_GB2312"/>
          <w:sz w:val="32"/>
          <w:szCs w:val="32"/>
        </w:rPr>
      </w:pPr>
    </w:p>
    <w:p>
      <w:pPr>
        <w:pStyle w:val="2"/>
      </w:pPr>
    </w:p>
    <w:p>
      <w:pPr>
        <w:spacing w:line="460" w:lineRule="exact"/>
        <w:ind w:left="2240" w:hanging="2240" w:hangingChars="700"/>
        <w:rPr>
          <w:rFonts w:ascii="楷体_GB2312" w:eastAsia="楷体_GB2312"/>
          <w:sz w:val="32"/>
          <w:szCs w:val="32"/>
        </w:rPr>
      </w:pPr>
    </w:p>
    <w:p>
      <w:pPr>
        <w:spacing w:line="460" w:lineRule="exact"/>
        <w:ind w:left="2240" w:hanging="2240" w:hangingChars="700"/>
        <w:rPr>
          <w:rFonts w:ascii="楷体_GB2312" w:eastAsia="楷体_GB2312"/>
          <w:sz w:val="32"/>
          <w:szCs w:val="32"/>
        </w:rPr>
      </w:pPr>
      <w:r>
        <w:rPr>
          <w:rFonts w:hint="eastAsia" w:ascii="楷体_GB2312" w:eastAsia="楷体_GB2312"/>
          <w:sz w:val="32"/>
          <w:szCs w:val="32"/>
        </w:rPr>
        <w:t>估价项目名称：</w:t>
      </w:r>
      <w:r>
        <w:rPr>
          <w:rFonts w:hint="eastAsia" w:ascii="楷体_GB2312" w:eastAsia="楷体_GB2312"/>
          <w:spacing w:val="-10"/>
          <w:sz w:val="32"/>
          <w:szCs w:val="32"/>
        </w:rPr>
        <w:t>泰安市东岳大街西段北侧容郡国际小区5号楼二单元502号房地产市场价值估价</w:t>
      </w:r>
    </w:p>
    <w:p>
      <w:pPr>
        <w:spacing w:line="460" w:lineRule="exact"/>
        <w:rPr>
          <w:rFonts w:ascii="楷体_GB2312" w:eastAsia="楷体_GB2312"/>
          <w:sz w:val="32"/>
          <w:szCs w:val="32"/>
        </w:rPr>
      </w:pPr>
      <w:r>
        <w:rPr>
          <w:rFonts w:hint="eastAsia" w:ascii="楷体_GB2312" w:eastAsia="楷体_GB2312"/>
          <w:sz w:val="32"/>
          <w:szCs w:val="32"/>
        </w:rPr>
        <w:t>估价委托人：泰安市泰山区人民法院</w:t>
      </w:r>
      <w:r>
        <w:rPr>
          <w:rFonts w:hint="eastAsia" w:ascii="楷体_GB2312" w:eastAsia="楷体_GB2312"/>
          <w:sz w:val="32"/>
          <w:szCs w:val="32"/>
        </w:rPr>
        <w:tab/>
      </w:r>
    </w:p>
    <w:p>
      <w:pPr>
        <w:spacing w:line="460" w:lineRule="exact"/>
        <w:rPr>
          <w:rFonts w:ascii="楷体_GB2312" w:hAnsi="仿宋" w:eastAsia="楷体_GB2312"/>
          <w:sz w:val="32"/>
          <w:szCs w:val="32"/>
        </w:rPr>
      </w:pPr>
      <w:r>
        <w:rPr>
          <w:rFonts w:hint="eastAsia" w:ascii="楷体_GB2312" w:eastAsia="楷体_GB2312"/>
          <w:sz w:val="32"/>
          <w:szCs w:val="32"/>
        </w:rPr>
        <w:t>房地产估价机构:</w:t>
      </w:r>
      <w:r>
        <w:rPr>
          <w:rFonts w:hint="eastAsia" w:ascii="楷体_GB2312" w:hAnsi="仿宋" w:eastAsia="楷体_GB2312"/>
          <w:sz w:val="32"/>
          <w:szCs w:val="32"/>
        </w:rPr>
        <w:t>山东众合土地房地产评估有限公司</w:t>
      </w:r>
    </w:p>
    <w:tbl>
      <w:tblPr>
        <w:tblStyle w:val="19"/>
        <w:tblW w:w="0" w:type="auto"/>
        <w:tblInd w:w="0" w:type="dxa"/>
        <w:tblLayout w:type="fixed"/>
        <w:tblCellMar>
          <w:top w:w="0" w:type="dxa"/>
          <w:left w:w="108" w:type="dxa"/>
          <w:bottom w:w="0" w:type="dxa"/>
          <w:right w:w="108" w:type="dxa"/>
        </w:tblCellMar>
      </w:tblPr>
      <w:tblGrid>
        <w:gridCol w:w="2995"/>
        <w:gridCol w:w="5770"/>
      </w:tblGrid>
      <w:tr>
        <w:tblPrEx>
          <w:tblCellMar>
            <w:top w:w="0" w:type="dxa"/>
            <w:left w:w="108" w:type="dxa"/>
            <w:bottom w:w="0" w:type="dxa"/>
            <w:right w:w="108" w:type="dxa"/>
          </w:tblCellMar>
        </w:tblPrEx>
        <w:tc>
          <w:tcPr>
            <w:tcW w:w="2995" w:type="dxa"/>
          </w:tcPr>
          <w:p>
            <w:pPr>
              <w:spacing w:line="360" w:lineRule="auto"/>
              <w:jc w:val="distribute"/>
              <w:rPr>
                <w:rFonts w:ascii="宋体" w:hAnsi="宋体" w:cs="宋体"/>
                <w:sz w:val="28"/>
                <w:szCs w:val="28"/>
              </w:rPr>
            </w:pPr>
            <w:r>
              <w:rPr>
                <w:rFonts w:hint="eastAsia" w:ascii="楷体_GB2312" w:hAnsi="仿宋" w:eastAsia="楷体_GB2312"/>
                <w:sz w:val="32"/>
                <w:szCs w:val="32"/>
              </w:rPr>
              <w:t>注册房地产估价师:</w:t>
            </w:r>
          </w:p>
        </w:tc>
        <w:tc>
          <w:tcPr>
            <w:tcW w:w="5770" w:type="dxa"/>
          </w:tcPr>
          <w:p>
            <w:pPr>
              <w:tabs>
                <w:tab w:val="left" w:pos="6037"/>
              </w:tabs>
              <w:spacing w:line="360" w:lineRule="auto"/>
              <w:ind w:right="420" w:rightChars="200"/>
              <w:jc w:val="left"/>
              <w:rPr>
                <w:rFonts w:ascii="楷体_GB2312" w:hAnsi="仿宋" w:eastAsia="楷体_GB2312"/>
                <w:sz w:val="32"/>
                <w:szCs w:val="32"/>
              </w:rPr>
            </w:pPr>
            <w:r>
              <w:rPr>
                <w:rFonts w:hint="eastAsia" w:ascii="楷体_GB2312" w:hAnsi="仿宋" w:eastAsia="楷体_GB2312"/>
                <w:sz w:val="32"/>
                <w:szCs w:val="32"/>
              </w:rPr>
              <w:t>赵乐焕（注册号：3720160054）</w:t>
            </w:r>
          </w:p>
          <w:p>
            <w:pPr>
              <w:spacing w:line="360" w:lineRule="auto"/>
              <w:rPr>
                <w:rFonts w:ascii="宋体" w:hAnsi="宋体" w:cs="宋体"/>
                <w:sz w:val="28"/>
                <w:szCs w:val="28"/>
              </w:rPr>
            </w:pPr>
            <w:r>
              <w:rPr>
                <w:rFonts w:hint="eastAsia" w:ascii="楷体_GB2312" w:hAnsi="仿宋" w:eastAsia="楷体_GB2312"/>
                <w:sz w:val="32"/>
                <w:szCs w:val="32"/>
              </w:rPr>
              <w:t>王国芹（注册号：</w:t>
            </w:r>
            <w:r>
              <w:rPr>
                <w:rFonts w:hint="eastAsia" w:ascii="楷体_GB2312" w:eastAsia="楷体_GB2312"/>
                <w:sz w:val="32"/>
                <w:szCs w:val="32"/>
              </w:rPr>
              <w:t>3720180076</w:t>
            </w:r>
            <w:r>
              <w:rPr>
                <w:rFonts w:hint="eastAsia" w:ascii="楷体_GB2312" w:hAnsi="仿宋" w:eastAsia="楷体_GB2312"/>
                <w:sz w:val="32"/>
                <w:szCs w:val="32"/>
              </w:rPr>
              <w:t>）</w:t>
            </w:r>
          </w:p>
        </w:tc>
      </w:tr>
    </w:tbl>
    <w:p>
      <w:pPr>
        <w:spacing w:line="460" w:lineRule="exact"/>
        <w:ind w:left="1"/>
        <w:rPr>
          <w:rFonts w:ascii="宋体" w:hAnsi="宋体" w:eastAsia="楷体_GB2312" w:cs="宋体"/>
          <w:bCs/>
          <w:sz w:val="27"/>
          <w:szCs w:val="27"/>
        </w:rPr>
      </w:pPr>
      <w:r>
        <w:rPr>
          <w:rFonts w:hint="eastAsia" w:ascii="楷体_GB2312" w:eastAsia="楷体_GB2312"/>
          <w:sz w:val="32"/>
          <w:szCs w:val="32"/>
        </w:rPr>
        <w:t>估价报告编号：众合评（鉴）字（2020）第077号</w:t>
      </w:r>
      <w:r>
        <w:rPr>
          <w:rFonts w:ascii="楷体_GB2312" w:eastAsia="楷体_GB2312"/>
          <w:sz w:val="32"/>
          <w:szCs w:val="32"/>
        </w:rPr>
        <w:br w:type="textWrapping"/>
      </w:r>
      <w:r>
        <w:rPr>
          <w:rFonts w:hint="eastAsia" w:ascii="楷体_GB2312" w:eastAsia="楷体_GB2312"/>
          <w:sz w:val="32"/>
          <w:szCs w:val="32"/>
        </w:rPr>
        <w:t>估价报告出具日期：二</w:t>
      </w:r>
      <w:r>
        <w:rPr>
          <w:rFonts w:hint="eastAsia" w:ascii="宋体" w:hAnsi="宋体" w:cs="宋体"/>
          <w:sz w:val="32"/>
          <w:szCs w:val="32"/>
        </w:rPr>
        <w:t>〇</w:t>
      </w:r>
      <w:r>
        <w:rPr>
          <w:rFonts w:hint="eastAsia" w:ascii="楷体_GB2312" w:hAnsi="楷体_GB2312" w:eastAsia="楷体_GB2312" w:cs="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年二月十四日</w:t>
      </w:r>
    </w:p>
    <w:p>
      <w:pPr>
        <w:ind w:right="420" w:rightChars="200" w:firstLine="1273" w:firstLineChars="604"/>
        <w:rPr>
          <w:rFonts w:ascii="宋体" w:hAnsi="宋体" w:cs="宋体"/>
          <w:b/>
          <w:szCs w:val="21"/>
          <w:u w:val="thick"/>
        </w:rPr>
      </w:pPr>
    </w:p>
    <w:p>
      <w:pPr>
        <w:rPr>
          <w:rFonts w:ascii="宋体" w:hAnsi="宋体" w:cs="宋体"/>
        </w:rPr>
        <w:sectPr>
          <w:headerReference r:id="rId5" w:type="first"/>
          <w:headerReference r:id="rId3" w:type="default"/>
          <w:headerReference r:id="rId4" w:type="even"/>
          <w:footerReference r:id="rId6" w:type="even"/>
          <w:pgSz w:w="11906" w:h="16838"/>
          <w:pgMar w:top="567" w:right="1588" w:bottom="567" w:left="1588" w:header="851" w:footer="992" w:gutter="0"/>
          <w:cols w:space="720" w:num="1"/>
          <w:titlePg/>
          <w:docGrid w:type="lines" w:linePitch="312" w:charSpace="0"/>
        </w:sectPr>
      </w:pPr>
    </w:p>
    <w:bookmarkEnd w:id="0"/>
    <w:bookmarkEnd w:id="1"/>
    <w:p>
      <w:pPr>
        <w:spacing w:line="460" w:lineRule="atLeast"/>
        <w:ind w:right="420" w:rightChars="200"/>
        <w:jc w:val="center"/>
      </w:pPr>
      <w:bookmarkStart w:id="2" w:name="_Toc323116694"/>
      <w:r>
        <w:rPr>
          <w:rFonts w:hint="eastAsia" w:ascii="宋体" w:hAnsi="宋体" w:cs="宋体"/>
          <w:b/>
          <w:sz w:val="32"/>
          <w:szCs w:val="32"/>
        </w:rPr>
        <w:t>致估价委托人函</w:t>
      </w:r>
    </w:p>
    <w:p>
      <w:pPr>
        <w:pStyle w:val="17"/>
        <w:snapToGrid w:val="0"/>
        <w:spacing w:before="0" w:beforeAutospacing="0" w:after="0" w:afterAutospacing="0" w:line="400" w:lineRule="exact"/>
        <w:jc w:val="both"/>
        <w:rPr>
          <w:rFonts w:ascii="仿宋_GB2312" w:eastAsia="仿宋_GB2312" w:cs="宋体"/>
          <w:kern w:val="2"/>
          <w:sz w:val="28"/>
          <w:szCs w:val="28"/>
        </w:rPr>
      </w:pPr>
      <w:r>
        <w:rPr>
          <w:rFonts w:hint="eastAsia" w:ascii="仿宋_GB2312" w:eastAsia="仿宋_GB2312" w:cs="宋体"/>
          <w:sz w:val="28"/>
          <w:szCs w:val="28"/>
        </w:rPr>
        <w:t>泰安市泰山区人民法院</w:t>
      </w:r>
      <w:r>
        <w:rPr>
          <w:rFonts w:hint="eastAsia" w:ascii="仿宋_GB2312" w:eastAsia="仿宋_GB2312" w:cs="宋体"/>
          <w:kern w:val="2"/>
          <w:sz w:val="28"/>
          <w:szCs w:val="28"/>
        </w:rPr>
        <w:t>：</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受贵院委托</w:t>
      </w:r>
      <w:r>
        <w:rPr>
          <w:rFonts w:hint="eastAsia" w:ascii="仿宋_GB2312" w:hAnsi="宋体" w:eastAsia="仿宋_GB2312" w:cs="宋体"/>
          <w:sz w:val="28"/>
          <w:szCs w:val="28"/>
        </w:rPr>
        <w:t>，我公司</w:t>
      </w:r>
      <w:r>
        <w:rPr>
          <w:rFonts w:hint="eastAsia" w:ascii="仿宋_GB2312" w:hAnsi="宋体" w:eastAsia="仿宋_GB2312" w:cs="宋体"/>
          <w:sz w:val="28"/>
          <w:szCs w:val="28"/>
          <w:lang w:val="zh-CN"/>
        </w:rPr>
        <w:t>委派</w:t>
      </w:r>
      <w:r>
        <w:rPr>
          <w:rFonts w:hint="eastAsia" w:ascii="仿宋_GB2312" w:hAnsi="宋体" w:eastAsia="仿宋_GB2312" w:cs="宋体"/>
          <w:sz w:val="28"/>
          <w:szCs w:val="28"/>
        </w:rPr>
        <w:t>估价人员</w:t>
      </w:r>
      <w:r>
        <w:rPr>
          <w:rFonts w:hint="eastAsia" w:ascii="仿宋_GB2312" w:hAnsi="宋体" w:eastAsia="仿宋_GB2312" w:cs="宋体"/>
          <w:sz w:val="28"/>
          <w:szCs w:val="28"/>
          <w:lang w:val="zh-CN"/>
        </w:rPr>
        <w:t>对位于</w:t>
      </w:r>
      <w:r>
        <w:rPr>
          <w:rFonts w:hint="eastAsia" w:ascii="仿宋_GB2312" w:hAnsi="宋体" w:eastAsia="仿宋_GB2312" w:cs="宋体"/>
          <w:sz w:val="28"/>
          <w:szCs w:val="28"/>
        </w:rPr>
        <w:t>泰安市东岳大街西段北侧容郡国际小区5号楼二单元502号房地产的市场</w:t>
      </w:r>
      <w:r>
        <w:rPr>
          <w:rFonts w:hint="eastAsia" w:ascii="仿宋_GB2312" w:hAnsi="宋体" w:eastAsia="仿宋_GB2312" w:cs="宋体"/>
          <w:sz w:val="28"/>
          <w:szCs w:val="28"/>
          <w:lang w:val="zh-CN"/>
        </w:rPr>
        <w:t>价值进行了估价，有关内容报告如下。</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估价目的</w:t>
      </w:r>
      <w:r>
        <w:rPr>
          <w:rFonts w:hint="eastAsia" w:ascii="仿宋_GB2312" w:hAnsi="宋体" w:eastAsia="仿宋_GB2312" w:cs="宋体"/>
          <w:sz w:val="28"/>
          <w:szCs w:val="28"/>
        </w:rPr>
        <w:t>：为泰安市泰山区人民法院确定财产处置参考价提供参考依据</w:t>
      </w:r>
      <w:r>
        <w:rPr>
          <w:rFonts w:hint="eastAsia" w:ascii="仿宋_GB2312" w:hAnsi="宋体" w:eastAsia="仿宋_GB2312" w:cs="宋体"/>
          <w:sz w:val="28"/>
          <w:szCs w:val="28"/>
          <w:lang w:val="zh-CN"/>
        </w:rPr>
        <w:t>。</w:t>
      </w:r>
    </w:p>
    <w:p>
      <w:pPr>
        <w:snapToGrid w:val="0"/>
        <w:spacing w:line="400" w:lineRule="exact"/>
        <w:ind w:firstLine="560" w:firstLineChars="200"/>
        <w:rPr>
          <w:rFonts w:ascii="仿宋_GB2312" w:hAnsi="宋体" w:eastAsia="仿宋_GB2312" w:cs="宋体"/>
          <w:sz w:val="28"/>
          <w:szCs w:val="28"/>
          <w:highlight w:val="yellow"/>
        </w:rPr>
      </w:pPr>
      <w:r>
        <w:rPr>
          <w:rFonts w:hint="eastAsia" w:ascii="仿宋_GB2312" w:hAnsi="宋体" w:eastAsia="仿宋_GB2312" w:cs="宋体"/>
          <w:sz w:val="28"/>
          <w:szCs w:val="28"/>
          <w:lang w:val="zh-CN"/>
        </w:rPr>
        <w:t>估价对象</w:t>
      </w:r>
      <w:r>
        <w:rPr>
          <w:rFonts w:hint="eastAsia" w:ascii="仿宋_GB2312" w:hAnsi="宋体" w:eastAsia="仿宋_GB2312" w:cs="宋体"/>
          <w:sz w:val="28"/>
          <w:szCs w:val="28"/>
        </w:rPr>
        <w:t>：泰安市东岳大街西段北侧容郡国际小区5号楼二单元502号房地产</w:t>
      </w:r>
      <w:r>
        <w:rPr>
          <w:rFonts w:hint="eastAsia" w:ascii="仿宋_GB2312" w:hAnsi="宋体" w:eastAsia="仿宋_GB2312" w:cs="宋体"/>
          <w:sz w:val="28"/>
          <w:szCs w:val="28"/>
          <w:lang w:val="zh-CN"/>
        </w:rPr>
        <w:t>，</w:t>
      </w:r>
      <w:r>
        <w:rPr>
          <w:rFonts w:hint="eastAsia" w:ascii="仿宋_GB2312" w:hAnsi="宋体" w:eastAsia="仿宋_GB2312" w:cs="宋体"/>
          <w:sz w:val="28"/>
          <w:szCs w:val="28"/>
        </w:rPr>
        <w:t>合同号为YS0008337号；财产范围包括建筑物、分摊的土地使用权及配套设施，不包括动产、债权债务等其他财产或权益；估价对象</w:t>
      </w:r>
      <w:r>
        <w:rPr>
          <w:rFonts w:hint="eastAsia" w:ascii="仿宋_GB2312" w:hAnsi="宋体" w:eastAsia="仿宋_GB2312" w:cs="宋体"/>
          <w:sz w:val="28"/>
          <w:szCs w:val="28"/>
          <w:lang w:val="zh-CN"/>
        </w:rPr>
        <w:t>建筑面积</w:t>
      </w:r>
      <w:r>
        <w:rPr>
          <w:rFonts w:hint="eastAsia" w:ascii="仿宋_GB2312" w:hAnsi="宋体" w:eastAsia="仿宋_GB2312" w:cs="宋体"/>
          <w:sz w:val="28"/>
          <w:szCs w:val="28"/>
        </w:rPr>
        <w:t>151.11平方米；估价对象</w:t>
      </w:r>
      <w:r>
        <w:rPr>
          <w:rFonts w:hint="eastAsia" w:ascii="仿宋_GB2312" w:hAnsi="宋体" w:eastAsia="仿宋_GB2312" w:cs="宋体"/>
          <w:sz w:val="28"/>
          <w:szCs w:val="28"/>
          <w:lang w:val="zh-CN"/>
        </w:rPr>
        <w:t>房屋用途为</w:t>
      </w:r>
      <w:r>
        <w:rPr>
          <w:rFonts w:hint="eastAsia" w:ascii="仿宋_GB2312" w:hAnsi="宋体" w:eastAsia="仿宋_GB2312" w:cs="宋体"/>
          <w:sz w:val="28"/>
          <w:szCs w:val="28"/>
        </w:rPr>
        <w:t>成套住宅；</w:t>
      </w:r>
      <w:r>
        <w:rPr>
          <w:rFonts w:hint="eastAsia" w:ascii="仿宋_GB2312" w:hAnsi="宋体" w:eastAsia="仿宋_GB2312" w:cs="宋体"/>
          <w:sz w:val="28"/>
          <w:szCs w:val="28"/>
          <w:lang w:val="zh-CN"/>
        </w:rPr>
        <w:t>位于楼幢</w:t>
      </w:r>
      <w:r>
        <w:rPr>
          <w:rFonts w:hint="eastAsia" w:ascii="仿宋_GB2312" w:hAnsi="宋体" w:eastAsia="仿宋_GB2312" w:cs="宋体"/>
          <w:sz w:val="28"/>
          <w:szCs w:val="28"/>
        </w:rPr>
        <w:t>（总层数7层（含阁楼层））</w:t>
      </w:r>
      <w:r>
        <w:rPr>
          <w:rFonts w:hint="eastAsia" w:ascii="仿宋_GB2312" w:hAnsi="宋体" w:eastAsia="仿宋_GB2312" w:cs="宋体"/>
          <w:sz w:val="28"/>
          <w:szCs w:val="28"/>
          <w:lang w:val="zh-CN"/>
        </w:rPr>
        <w:t>的第</w:t>
      </w:r>
      <w:r>
        <w:rPr>
          <w:rFonts w:hint="eastAsia" w:ascii="仿宋_GB2312" w:hAnsi="宋体" w:eastAsia="仿宋_GB2312" w:cs="宋体"/>
          <w:sz w:val="28"/>
          <w:szCs w:val="28"/>
        </w:rPr>
        <w:t>5层、第6</w:t>
      </w:r>
      <w:r>
        <w:rPr>
          <w:rFonts w:hint="eastAsia" w:ascii="仿宋_GB2312" w:hAnsi="宋体" w:eastAsia="仿宋_GB2312" w:cs="宋体"/>
          <w:sz w:val="28"/>
          <w:szCs w:val="28"/>
          <w:lang w:val="zh-CN"/>
        </w:rPr>
        <w:t>层（阁楼层）</w:t>
      </w:r>
      <w:r>
        <w:rPr>
          <w:rFonts w:hint="eastAsia" w:ascii="仿宋_GB2312" w:hAnsi="宋体" w:eastAsia="仿宋_GB2312" w:cs="宋体"/>
          <w:sz w:val="28"/>
          <w:szCs w:val="28"/>
        </w:rPr>
        <w:t>；建成于2010年；房屋权利人</w:t>
      </w:r>
      <w:r>
        <w:rPr>
          <w:rFonts w:hint="eastAsia" w:ascii="仿宋_GB2312" w:hAnsi="宋体" w:eastAsia="仿宋_GB2312" w:cs="宋体"/>
          <w:sz w:val="28"/>
          <w:szCs w:val="28"/>
          <w:lang w:val="zh-CN"/>
        </w:rPr>
        <w:t>为李振国</w:t>
      </w:r>
      <w:r>
        <w:rPr>
          <w:rFonts w:hint="eastAsia" w:ascii="仿宋_GB2312" w:hAnsi="宋体" w:eastAsia="仿宋_GB2312" w:cs="宋体"/>
          <w:sz w:val="28"/>
          <w:szCs w:val="28"/>
        </w:rPr>
        <w:t>，共有情况为单独所有</w:t>
      </w:r>
      <w:r>
        <w:rPr>
          <w:rFonts w:hint="eastAsia" w:ascii="仿宋_GB2312" w:hAnsi="宋体" w:eastAsia="仿宋_GB2312" w:cs="宋体"/>
          <w:sz w:val="28"/>
          <w:szCs w:val="28"/>
          <w:lang w:val="zh-CN"/>
        </w:rPr>
        <w:t>。</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价值时点</w:t>
      </w:r>
      <w:r>
        <w:rPr>
          <w:rFonts w:hint="eastAsia" w:ascii="仿宋_GB2312" w:hAnsi="宋体" w:eastAsia="仿宋_GB2312" w:cs="宋体"/>
          <w:sz w:val="28"/>
          <w:szCs w:val="28"/>
        </w:rPr>
        <w:t>：2020年1月14日</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价值类型</w:t>
      </w:r>
      <w:r>
        <w:rPr>
          <w:rFonts w:hint="eastAsia" w:ascii="仿宋_GB2312" w:hAnsi="宋体" w:eastAsia="仿宋_GB2312" w:cs="宋体"/>
          <w:sz w:val="28"/>
          <w:szCs w:val="28"/>
        </w:rPr>
        <w:t>：</w:t>
      </w:r>
      <w:r>
        <w:rPr>
          <w:rFonts w:hint="eastAsia" w:ascii="仿宋_GB2312" w:hAnsi="宋体" w:eastAsia="仿宋_GB2312" w:cs="宋体"/>
          <w:sz w:val="28"/>
          <w:szCs w:val="28"/>
          <w:lang w:val="zh-CN"/>
        </w:rPr>
        <w:t>市场价值</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估价方法</w:t>
      </w:r>
      <w:r>
        <w:rPr>
          <w:rFonts w:hint="eastAsia" w:ascii="仿宋_GB2312" w:hAnsi="宋体" w:eastAsia="仿宋_GB2312" w:cs="宋体"/>
          <w:sz w:val="28"/>
          <w:szCs w:val="28"/>
        </w:rPr>
        <w:t>：</w:t>
      </w:r>
      <w:r>
        <w:rPr>
          <w:rFonts w:hint="eastAsia" w:ascii="仿宋_GB2312" w:hAnsi="宋体" w:eastAsia="仿宋_GB2312" w:cs="宋体"/>
          <w:sz w:val="28"/>
          <w:szCs w:val="28"/>
          <w:lang w:val="zh-CN"/>
        </w:rPr>
        <w:t>比较法、收益法</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估价结果</w:t>
      </w:r>
      <w:r>
        <w:rPr>
          <w:rFonts w:hint="eastAsia" w:ascii="仿宋_GB2312" w:hAnsi="宋体" w:eastAsia="仿宋_GB2312" w:cs="宋体"/>
          <w:sz w:val="28"/>
          <w:szCs w:val="28"/>
        </w:rPr>
        <w:t>：</w:t>
      </w:r>
      <w:r>
        <w:rPr>
          <w:rFonts w:hint="eastAsia" w:ascii="仿宋_GB2312" w:hAnsi="宋体" w:eastAsia="仿宋_GB2312" w:cs="宋体"/>
          <w:sz w:val="28"/>
          <w:szCs w:val="28"/>
          <w:lang w:val="zh-CN"/>
        </w:rPr>
        <w:t>见下表</w:t>
      </w:r>
    </w:p>
    <w:p>
      <w:pPr>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 xml:space="preserve">                  估价对象房地产市场价值评估结果表                 表1</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54"/>
        <w:gridCol w:w="1941"/>
        <w:gridCol w:w="4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857" w:type="pct"/>
            <w:vMerge w:val="restart"/>
            <w:vAlign w:val="center"/>
          </w:tcPr>
          <w:p>
            <w:pPr>
              <w:spacing w:line="240" w:lineRule="exact"/>
              <w:jc w:val="center"/>
              <w:rPr>
                <w:rFonts w:ascii="仿宋_GB2312" w:hAnsi="宋体" w:eastAsia="仿宋_GB2312" w:cs="宋体"/>
                <w:sz w:val="24"/>
              </w:rPr>
            </w:pPr>
            <w:r>
              <w:rPr>
                <w:rFonts w:hint="eastAsia" w:ascii="仿宋_GB2312" w:hAnsi="宋体" w:eastAsia="仿宋_GB2312" w:cs="宋体"/>
                <w:b/>
                <w:bCs/>
                <w:sz w:val="24"/>
              </w:rPr>
              <w:t>项目</w:t>
            </w:r>
          </w:p>
        </w:tc>
        <w:tc>
          <w:tcPr>
            <w:tcW w:w="3143" w:type="pct"/>
            <w:gridSpan w:val="2"/>
            <w:vAlign w:val="center"/>
          </w:tcPr>
          <w:p>
            <w:pPr>
              <w:spacing w:line="240" w:lineRule="exact"/>
              <w:jc w:val="center"/>
              <w:rPr>
                <w:rFonts w:ascii="仿宋_GB2312" w:hAnsi="宋体" w:eastAsia="仿宋_GB2312" w:cs="宋体"/>
                <w:b/>
                <w:sz w:val="24"/>
              </w:rPr>
            </w:pPr>
            <w:r>
              <w:rPr>
                <w:rFonts w:hint="eastAsia" w:ascii="仿宋_GB2312" w:hAnsi="宋体" w:eastAsia="仿宋_GB2312" w:cs="宋体"/>
                <w:b/>
                <w:sz w:val="24"/>
              </w:rPr>
              <w:t>估价结果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857" w:type="pct"/>
            <w:vMerge w:val="continue"/>
          </w:tcPr>
          <w:p>
            <w:pPr>
              <w:spacing w:line="240" w:lineRule="exact"/>
              <w:rPr>
                <w:rFonts w:ascii="仿宋_GB2312" w:hAnsi="宋体" w:eastAsia="仿宋_GB2312" w:cs="宋体"/>
                <w:sz w:val="24"/>
              </w:rPr>
            </w:pPr>
          </w:p>
        </w:tc>
        <w:tc>
          <w:tcPr>
            <w:tcW w:w="1014" w:type="pct"/>
            <w:vAlign w:val="center"/>
          </w:tcPr>
          <w:p>
            <w:pPr>
              <w:spacing w:line="240" w:lineRule="exact"/>
              <w:jc w:val="center"/>
              <w:rPr>
                <w:rFonts w:ascii="仿宋_GB2312" w:hAnsi="宋体" w:eastAsia="仿宋_GB2312" w:cs="宋体"/>
                <w:b/>
                <w:sz w:val="24"/>
              </w:rPr>
            </w:pPr>
            <w:r>
              <w:rPr>
                <w:rFonts w:hint="eastAsia" w:ascii="仿宋_GB2312" w:hAnsi="宋体" w:eastAsia="仿宋_GB2312" w:cs="宋体"/>
                <w:b/>
                <w:sz w:val="24"/>
              </w:rPr>
              <w:t>单价（元/m</w:t>
            </w:r>
            <w:r>
              <w:rPr>
                <w:rFonts w:hint="eastAsia" w:ascii="仿宋_GB2312" w:hAnsi="宋体" w:eastAsia="仿宋_GB2312" w:cs="宋体"/>
                <w:b/>
                <w:sz w:val="24"/>
                <w:vertAlign w:val="superscript"/>
              </w:rPr>
              <w:t>2</w:t>
            </w:r>
            <w:r>
              <w:rPr>
                <w:rFonts w:hint="eastAsia" w:ascii="仿宋_GB2312" w:hAnsi="宋体" w:eastAsia="仿宋_GB2312" w:cs="宋体"/>
                <w:b/>
                <w:sz w:val="24"/>
              </w:rPr>
              <w:t>）</w:t>
            </w:r>
          </w:p>
        </w:tc>
        <w:tc>
          <w:tcPr>
            <w:tcW w:w="2129" w:type="pct"/>
            <w:vAlign w:val="center"/>
          </w:tcPr>
          <w:p>
            <w:pPr>
              <w:spacing w:line="240" w:lineRule="exact"/>
              <w:jc w:val="center"/>
              <w:rPr>
                <w:rFonts w:ascii="仿宋_GB2312" w:hAnsi="宋体" w:eastAsia="仿宋_GB2312" w:cs="宋体"/>
                <w:b/>
                <w:sz w:val="24"/>
              </w:rPr>
            </w:pPr>
            <w:r>
              <w:rPr>
                <w:rFonts w:hint="eastAsia" w:ascii="仿宋_GB2312" w:hAnsi="宋体" w:eastAsia="仿宋_GB2312" w:cs="宋体"/>
                <w:b/>
                <w:bCs/>
                <w:sz w:val="24"/>
              </w:rPr>
              <w:t>总价或总额</w:t>
            </w:r>
            <w:r>
              <w:rPr>
                <w:rFonts w:hint="eastAsia" w:ascii="仿宋_GB2312" w:hAnsi="宋体" w:eastAsia="仿宋_GB2312" w:cs="宋体"/>
                <w:b/>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857" w:type="pct"/>
            <w:vAlign w:val="center"/>
          </w:tcPr>
          <w:p>
            <w:pPr>
              <w:spacing w:line="240" w:lineRule="exact"/>
              <w:rPr>
                <w:rFonts w:ascii="仿宋_GB2312" w:hAnsi="宋体" w:eastAsia="仿宋_GB2312" w:cs="宋体"/>
                <w:sz w:val="24"/>
              </w:rPr>
            </w:pPr>
            <w:r>
              <w:rPr>
                <w:rFonts w:hint="eastAsia" w:ascii="仿宋_GB2312" w:hAnsi="宋体" w:eastAsia="仿宋_GB2312" w:cs="宋体"/>
                <w:sz w:val="24"/>
              </w:rPr>
              <w:t>泰安市东岳大街西段北侧容郡国际小区5号楼二单元502号房地产市场价值估价</w:t>
            </w:r>
          </w:p>
        </w:tc>
        <w:tc>
          <w:tcPr>
            <w:tcW w:w="1014" w:type="pct"/>
            <w:vAlign w:val="center"/>
          </w:tcPr>
          <w:p>
            <w:pPr>
              <w:spacing w:line="240" w:lineRule="exact"/>
              <w:jc w:val="center"/>
              <w:rPr>
                <w:rFonts w:ascii="仿宋_GB2312" w:hAnsi="宋体" w:eastAsia="仿宋_GB2312" w:cs="宋体"/>
                <w:sz w:val="24"/>
              </w:rPr>
            </w:pPr>
            <w:r>
              <w:rPr>
                <w:rFonts w:hint="eastAsia" w:ascii="仿宋_GB2312" w:hAnsi="宋体" w:eastAsia="仿宋_GB2312" w:cs="宋体"/>
                <w:sz w:val="24"/>
              </w:rPr>
              <w:t>17651</w:t>
            </w:r>
          </w:p>
        </w:tc>
        <w:tc>
          <w:tcPr>
            <w:tcW w:w="2129" w:type="pct"/>
            <w:vAlign w:val="center"/>
          </w:tcPr>
          <w:p>
            <w:pPr>
              <w:spacing w:line="240" w:lineRule="exact"/>
              <w:jc w:val="center"/>
              <w:rPr>
                <w:rFonts w:ascii="仿宋_GB2312" w:hAnsi="宋体" w:eastAsia="仿宋_GB2312" w:cs="宋体"/>
                <w:sz w:val="24"/>
              </w:rPr>
            </w:pPr>
            <w:r>
              <w:rPr>
                <w:rFonts w:hint="eastAsia" w:ascii="仿宋_GB2312" w:hAnsi="宋体" w:eastAsia="仿宋_GB2312" w:cs="宋体"/>
                <w:sz w:val="24"/>
              </w:rPr>
              <w:t>266.72（人民币贰佰陆拾陆万柒仟贰佰圆整）</w:t>
            </w:r>
          </w:p>
        </w:tc>
      </w:tr>
    </w:tbl>
    <w:p>
      <w:pPr>
        <w:spacing w:line="400" w:lineRule="exact"/>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特别提示：</w:t>
      </w:r>
    </w:p>
    <w:p>
      <w:pPr>
        <w:numPr>
          <w:ilvl w:val="0"/>
          <w:numId w:val="1"/>
        </w:numPr>
        <w:spacing w:line="400" w:lineRule="exact"/>
        <w:ind w:firstLine="560" w:firstLineChars="200"/>
        <w:rPr>
          <w:rFonts w:ascii="仿宋_GB2312" w:hAnsi="宋体" w:eastAsia="仿宋_GB2312" w:cs="Arial"/>
          <w:sz w:val="28"/>
          <w:szCs w:val="28"/>
          <w:lang w:val="zh-CN"/>
        </w:rPr>
      </w:pPr>
      <w:r>
        <w:rPr>
          <w:rFonts w:hint="eastAsia" w:ascii="仿宋_GB2312" w:hAnsi="宋体" w:eastAsia="仿宋_GB2312" w:cs="Arial"/>
          <w:sz w:val="28"/>
          <w:szCs w:val="28"/>
          <w:lang w:val="zh-CN"/>
        </w:rPr>
        <w:t>本次估价不考虑估价对象原有的担保物权、其他法定优先受偿权及租赁权对评估价值的影响。</w:t>
      </w:r>
    </w:p>
    <w:p>
      <w:pPr>
        <w:numPr>
          <w:ilvl w:val="0"/>
          <w:numId w:val="1"/>
        </w:numPr>
        <w:spacing w:line="400" w:lineRule="exact"/>
        <w:ind w:firstLine="560" w:firstLineChars="200"/>
        <w:rPr>
          <w:rFonts w:ascii="仿宋_GB2312" w:hAnsi="宋体" w:eastAsia="仿宋_GB2312" w:cs="Arial"/>
          <w:sz w:val="28"/>
          <w:szCs w:val="28"/>
          <w:lang w:val="zh-CN"/>
        </w:rPr>
      </w:pPr>
      <w:r>
        <w:rPr>
          <w:rFonts w:hint="eastAsia" w:ascii="仿宋_GB2312" w:hAnsi="宋体" w:eastAsia="仿宋_GB2312" w:cs="Arial"/>
          <w:sz w:val="28"/>
          <w:szCs w:val="28"/>
          <w:lang w:val="zh-CN"/>
        </w:rPr>
        <w:t>本估价结果不应作为价格实现的保证。</w:t>
      </w:r>
    </w:p>
    <w:p>
      <w:pPr>
        <w:numPr>
          <w:ilvl w:val="0"/>
          <w:numId w:val="1"/>
        </w:numPr>
        <w:spacing w:line="400" w:lineRule="exact"/>
        <w:ind w:firstLine="560" w:firstLineChars="200"/>
        <w:rPr>
          <w:rFonts w:ascii="仿宋_GB2312" w:hAnsi="宋体" w:eastAsia="仿宋_GB2312" w:cs="Arial"/>
          <w:sz w:val="28"/>
          <w:szCs w:val="28"/>
          <w:lang w:val="zh-CN"/>
        </w:rPr>
      </w:pPr>
      <w:r>
        <w:rPr>
          <w:rFonts w:hint="eastAsia" w:ascii="仿宋_GB2312" w:hAnsi="宋体" w:eastAsia="仿宋_GB2312" w:cs="Arial"/>
          <w:sz w:val="28"/>
          <w:szCs w:val="28"/>
        </w:rPr>
        <w:drawing>
          <wp:anchor distT="0" distB="0" distL="114300" distR="114300" simplePos="0" relativeHeight="251660288" behindDoc="0" locked="0" layoutInCell="1" allowOverlap="1">
            <wp:simplePos x="0" y="0"/>
            <wp:positionH relativeFrom="column">
              <wp:posOffset>438785</wp:posOffset>
            </wp:positionH>
            <wp:positionV relativeFrom="paragraph">
              <wp:posOffset>377190</wp:posOffset>
            </wp:positionV>
            <wp:extent cx="1852295" cy="1515745"/>
            <wp:effectExtent l="19050" t="0" r="0" b="0"/>
            <wp:wrapNone/>
            <wp:docPr id="41" name="图片 1" descr="\\192.168.28.10\众合共享\E\本地磁盘\2020年——众合\2020年房产\法院\泰山区法院--容郡国际\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192.168.28.10\众合共享\E\本地磁盘\2020年——众合\2020年房产\法院\泰山区法院--容郡国际\untitled.png"/>
                    <pic:cNvPicPr>
                      <a:picLocks noChangeAspect="1" noChangeArrowheads="1"/>
                    </pic:cNvPicPr>
                  </pic:nvPicPr>
                  <pic:blipFill>
                    <a:blip r:embed="rId16" cstate="print"/>
                    <a:srcRect/>
                    <a:stretch>
                      <a:fillRect/>
                    </a:stretch>
                  </pic:blipFill>
                  <pic:spPr>
                    <a:xfrm>
                      <a:off x="0" y="0"/>
                      <a:ext cx="1852084" cy="1515533"/>
                    </a:xfrm>
                    <a:prstGeom prst="rect">
                      <a:avLst/>
                    </a:prstGeom>
                    <a:noFill/>
                    <a:ln w="9525">
                      <a:noFill/>
                      <a:miter lim="800000"/>
                      <a:headEnd/>
                      <a:tailEnd/>
                    </a:ln>
                  </pic:spPr>
                </pic:pic>
              </a:graphicData>
            </a:graphic>
          </wp:anchor>
        </w:drawing>
      </w:r>
      <w:r>
        <w:rPr>
          <w:rFonts w:hint="eastAsia" w:ascii="仿宋_GB2312" w:hAnsi="宋体" w:eastAsia="仿宋_GB2312" w:cs="Arial"/>
          <w:sz w:val="28"/>
          <w:szCs w:val="28"/>
          <w:lang w:val="zh-CN"/>
        </w:rPr>
        <w:t>以上摘自本估价报告，本估价报告须完整使用，详细情况请阅读报告全文。</w:t>
      </w:r>
    </w:p>
    <w:p>
      <w:pPr>
        <w:spacing w:beforeLines="50" w:afterLines="50" w:line="440" w:lineRule="exact"/>
        <w:ind w:left="5320" w:right="387" w:hanging="5320" w:hangingChars="1900"/>
        <w:jc w:val="right"/>
        <w:rPr>
          <w:rFonts w:ascii="仿宋_GB2312" w:hAnsi="仿宋" w:eastAsia="仿宋_GB2312"/>
          <w:sz w:val="28"/>
          <w:szCs w:val="28"/>
        </w:rPr>
      </w:pPr>
      <w:r>
        <w:rPr>
          <w:rFonts w:hint="eastAsia" w:ascii="仿宋_GB2312" w:hAnsi="仿宋" w:eastAsia="仿宋_GB2312"/>
          <w:sz w:val="28"/>
          <w:szCs w:val="28"/>
        </w:rPr>
        <w:t>山东众合土地房地产评估有限公司</w:t>
      </w:r>
    </w:p>
    <w:p>
      <w:pPr>
        <w:spacing w:beforeLines="50" w:afterLines="50" w:line="440" w:lineRule="exact"/>
        <w:ind w:left="3990" w:leftChars="1900" w:right="947" w:firstLine="1820" w:firstLineChars="650"/>
        <w:rPr>
          <w:rFonts w:ascii="仿宋_GB2312" w:hAnsi="仿宋" w:eastAsia="仿宋_GB2312"/>
          <w:sz w:val="28"/>
          <w:szCs w:val="28"/>
        </w:rPr>
      </w:pPr>
      <w:r>
        <w:rPr>
          <w:rFonts w:hint="eastAsia" w:ascii="仿宋_GB2312" w:hAnsi="仿宋" w:eastAsia="仿宋_GB2312"/>
          <w:sz w:val="28"/>
          <w:szCs w:val="28"/>
        </w:rPr>
        <w:t xml:space="preserve">法定代表人：          </w:t>
      </w:r>
    </w:p>
    <w:p>
      <w:pPr>
        <w:spacing w:beforeLines="50" w:afterLines="50" w:line="440" w:lineRule="exact"/>
        <w:ind w:right="1054"/>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年二月十四日</w:t>
      </w:r>
    </w:p>
    <w:p>
      <w:pPr>
        <w:spacing w:line="360" w:lineRule="exact"/>
        <w:ind w:right="420" w:rightChars="200"/>
        <w:jc w:val="center"/>
        <w:rPr>
          <w:rFonts w:ascii="宋体" w:hAnsi="宋体" w:cs="宋体"/>
          <w:b/>
          <w:sz w:val="32"/>
          <w:szCs w:val="32"/>
        </w:rPr>
        <w:sectPr>
          <w:headerReference r:id="rId7" w:type="default"/>
          <w:footerReference r:id="rId8" w:type="default"/>
          <w:pgSz w:w="11906" w:h="16838"/>
          <w:pgMar w:top="1247" w:right="1134" w:bottom="1247" w:left="1418" w:header="851" w:footer="992" w:gutter="0"/>
          <w:pgNumType w:start="1"/>
          <w:cols w:space="720" w:num="1"/>
          <w:docGrid w:type="lines" w:linePitch="312" w:charSpace="0"/>
        </w:sectPr>
      </w:pPr>
    </w:p>
    <w:p>
      <w:pPr>
        <w:spacing w:line="460" w:lineRule="atLeast"/>
        <w:ind w:right="420" w:rightChars="200"/>
        <w:jc w:val="center"/>
        <w:rPr>
          <w:rFonts w:ascii="宋体" w:hAnsi="宋体" w:cs="宋体"/>
          <w:sz w:val="36"/>
          <w:szCs w:val="36"/>
        </w:rPr>
      </w:pPr>
      <w:r>
        <w:rPr>
          <w:rFonts w:hint="eastAsia" w:ascii="宋体" w:hAnsi="宋体" w:cs="宋体"/>
          <w:b/>
          <w:sz w:val="32"/>
          <w:szCs w:val="32"/>
        </w:rPr>
        <w:t>目  录</w:t>
      </w:r>
    </w:p>
    <w:p>
      <w:pPr>
        <w:pStyle w:val="2"/>
        <w:tabs>
          <w:tab w:val="right" w:leader="dot" w:pos="8823"/>
        </w:tabs>
        <w:spacing w:line="460" w:lineRule="exact"/>
        <w:rPr>
          <w:sz w:val="28"/>
          <w:szCs w:val="28"/>
        </w:rPr>
      </w:pPr>
      <w:bookmarkStart w:id="3" w:name="_Toc323116722"/>
      <w:bookmarkStart w:id="4" w:name="_Toc1123"/>
      <w:bookmarkStart w:id="5" w:name="OLE_LINK65"/>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TOC \o "1-3" \h \u </w:instrText>
      </w:r>
      <w:r>
        <w:rPr>
          <w:rFonts w:hint="eastAsia" w:ascii="仿宋_GB2312" w:hAnsi="宋体" w:eastAsia="仿宋_GB2312" w:cs="宋体"/>
          <w:sz w:val="28"/>
          <w:szCs w:val="28"/>
        </w:rPr>
        <w:fldChar w:fldCharType="separate"/>
      </w:r>
      <w:r>
        <w:fldChar w:fldCharType="begin"/>
      </w:r>
      <w:r>
        <w:instrText xml:space="preserve"> HYPERLINK \l "_Toc24822" </w:instrText>
      </w:r>
      <w:r>
        <w:fldChar w:fldCharType="separate"/>
      </w:r>
      <w:r>
        <w:rPr>
          <w:rFonts w:hint="eastAsia" w:ascii="宋体" w:hAnsi="宋体" w:cs="宋体"/>
          <w:sz w:val="28"/>
          <w:szCs w:val="28"/>
        </w:rPr>
        <w:t>估价师声明</w:t>
      </w:r>
      <w:r>
        <w:rPr>
          <w:sz w:val="28"/>
          <w:szCs w:val="28"/>
        </w:rPr>
        <w:tab/>
      </w:r>
      <w:r>
        <w:rPr>
          <w:sz w:val="28"/>
          <w:szCs w:val="28"/>
        </w:rPr>
        <w:fldChar w:fldCharType="begin"/>
      </w:r>
      <w:r>
        <w:rPr>
          <w:sz w:val="28"/>
          <w:szCs w:val="28"/>
        </w:rPr>
        <w:instrText xml:space="preserve"> PAGEREF _Toc24822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2"/>
        <w:tabs>
          <w:tab w:val="right" w:leader="dot" w:pos="8823"/>
        </w:tabs>
        <w:spacing w:line="460" w:lineRule="exact"/>
        <w:rPr>
          <w:sz w:val="28"/>
          <w:szCs w:val="28"/>
        </w:rPr>
      </w:pPr>
      <w:r>
        <w:fldChar w:fldCharType="begin"/>
      </w:r>
      <w:r>
        <w:instrText xml:space="preserve"> HYPERLINK \l "_Toc5397" </w:instrText>
      </w:r>
      <w:r>
        <w:fldChar w:fldCharType="separate"/>
      </w:r>
      <w:r>
        <w:rPr>
          <w:rFonts w:hint="eastAsia" w:ascii="宋体" w:hAnsi="宋体" w:cs="宋体"/>
          <w:sz w:val="28"/>
          <w:szCs w:val="28"/>
        </w:rPr>
        <w:t>估价假设和限制条件</w:t>
      </w:r>
      <w:r>
        <w:rPr>
          <w:sz w:val="28"/>
          <w:szCs w:val="28"/>
        </w:rPr>
        <w:tab/>
      </w:r>
      <w:r>
        <w:rPr>
          <w:sz w:val="28"/>
          <w:szCs w:val="28"/>
        </w:rPr>
        <w:fldChar w:fldCharType="begin"/>
      </w:r>
      <w:r>
        <w:rPr>
          <w:sz w:val="28"/>
          <w:szCs w:val="28"/>
        </w:rPr>
        <w:instrText xml:space="preserve"> PAGEREF _Toc5397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2"/>
        <w:tabs>
          <w:tab w:val="right" w:leader="dot" w:pos="8823"/>
        </w:tabs>
        <w:spacing w:line="460" w:lineRule="exact"/>
        <w:rPr>
          <w:sz w:val="28"/>
          <w:szCs w:val="28"/>
        </w:rPr>
      </w:pPr>
      <w:r>
        <w:fldChar w:fldCharType="begin"/>
      </w:r>
      <w:r>
        <w:instrText xml:space="preserve"> HYPERLINK \l "_Toc27411" </w:instrText>
      </w:r>
      <w:r>
        <w:fldChar w:fldCharType="separate"/>
      </w:r>
      <w:r>
        <w:rPr>
          <w:rFonts w:hint="eastAsia" w:ascii="宋体" w:hAnsi="宋体" w:cs="宋体"/>
          <w:sz w:val="28"/>
          <w:szCs w:val="28"/>
        </w:rPr>
        <w:t>估价结果报告</w:t>
      </w:r>
      <w:r>
        <w:rPr>
          <w:sz w:val="28"/>
          <w:szCs w:val="28"/>
        </w:rPr>
        <w:tab/>
      </w:r>
      <w:r>
        <w:rPr>
          <w:sz w:val="28"/>
          <w:szCs w:val="28"/>
        </w:rPr>
        <w:fldChar w:fldCharType="begin"/>
      </w:r>
      <w:r>
        <w:rPr>
          <w:sz w:val="28"/>
          <w:szCs w:val="28"/>
        </w:rPr>
        <w:instrText xml:space="preserve"> PAGEREF _Toc27411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"_Toc28542" </w:instrText>
      </w:r>
      <w:r>
        <w:fldChar w:fldCharType="separate"/>
      </w:r>
      <w:r>
        <w:rPr>
          <w:rFonts w:hint="eastAsia" w:ascii="仿宋_GB2312" w:hAnsi="宋体" w:eastAsia="仿宋_GB2312" w:cs="宋体"/>
          <w:sz w:val="28"/>
          <w:szCs w:val="28"/>
        </w:rPr>
        <w:t>一、 估价委托人</w:t>
      </w:r>
      <w:r>
        <w:rPr>
          <w:sz w:val="28"/>
          <w:szCs w:val="28"/>
        </w:rPr>
        <w:tab/>
      </w:r>
      <w:r>
        <w:rPr>
          <w:sz w:val="28"/>
          <w:szCs w:val="28"/>
        </w:rPr>
        <w:fldChar w:fldCharType="begin"/>
      </w:r>
      <w:r>
        <w:rPr>
          <w:sz w:val="28"/>
          <w:szCs w:val="28"/>
        </w:rPr>
        <w:instrText xml:space="preserve"> PAGEREF _Toc28542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"_Toc30393" </w:instrText>
      </w:r>
      <w:r>
        <w:fldChar w:fldCharType="separate"/>
      </w:r>
      <w:r>
        <w:rPr>
          <w:rFonts w:hint="eastAsia" w:ascii="仿宋_GB2312" w:hAnsi="宋体" w:eastAsia="仿宋_GB2312" w:cs="宋体"/>
          <w:sz w:val="28"/>
          <w:szCs w:val="28"/>
        </w:rPr>
        <w:t>二、 房地产估价机构</w:t>
      </w:r>
      <w:r>
        <w:rPr>
          <w:sz w:val="28"/>
          <w:szCs w:val="28"/>
        </w:rPr>
        <w:tab/>
      </w:r>
      <w:r>
        <w:rPr>
          <w:sz w:val="28"/>
          <w:szCs w:val="28"/>
        </w:rPr>
        <w:fldChar w:fldCharType="begin"/>
      </w:r>
      <w:r>
        <w:rPr>
          <w:sz w:val="28"/>
          <w:szCs w:val="28"/>
        </w:rPr>
        <w:instrText xml:space="preserve"> PAGEREF _Toc30393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"_Toc27777" </w:instrText>
      </w:r>
      <w:r>
        <w:fldChar w:fldCharType="separate"/>
      </w:r>
      <w:r>
        <w:rPr>
          <w:rFonts w:hint="eastAsia" w:ascii="仿宋_GB2312" w:hAnsi="宋体" w:eastAsia="仿宋_GB2312" w:cs="宋体"/>
          <w:sz w:val="28"/>
          <w:szCs w:val="28"/>
        </w:rPr>
        <w:t>三、 估价目的</w:t>
      </w:r>
      <w:r>
        <w:rPr>
          <w:sz w:val="28"/>
          <w:szCs w:val="28"/>
        </w:rPr>
        <w:tab/>
      </w:r>
      <w:r>
        <w:rPr>
          <w:sz w:val="28"/>
          <w:szCs w:val="28"/>
        </w:rPr>
        <w:fldChar w:fldCharType="begin"/>
      </w:r>
      <w:r>
        <w:rPr>
          <w:sz w:val="28"/>
          <w:szCs w:val="28"/>
        </w:rPr>
        <w:instrText xml:space="preserve"> PAGEREF _Toc27777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"_Toc19954" </w:instrText>
      </w:r>
      <w:r>
        <w:fldChar w:fldCharType="separate"/>
      </w:r>
      <w:r>
        <w:rPr>
          <w:rFonts w:hint="eastAsia" w:ascii="仿宋_GB2312" w:hAnsi="宋体" w:eastAsia="仿宋_GB2312" w:cs="宋体"/>
          <w:sz w:val="28"/>
          <w:szCs w:val="28"/>
        </w:rPr>
        <w:t>四、 估价对象</w:t>
      </w:r>
      <w:r>
        <w:rPr>
          <w:sz w:val="28"/>
          <w:szCs w:val="28"/>
        </w:rPr>
        <w:tab/>
      </w:r>
      <w:r>
        <w:rPr>
          <w:sz w:val="28"/>
          <w:szCs w:val="28"/>
        </w:rPr>
        <w:fldChar w:fldCharType="begin"/>
      </w:r>
      <w:r>
        <w:rPr>
          <w:sz w:val="28"/>
          <w:szCs w:val="28"/>
        </w:rPr>
        <w:instrText xml:space="preserve"> PAGEREF _Toc19954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"_Toc29106" </w:instrText>
      </w:r>
      <w:r>
        <w:fldChar w:fldCharType="separate"/>
      </w:r>
      <w:r>
        <w:rPr>
          <w:rFonts w:hint="eastAsia" w:ascii="仿宋_GB2312" w:hAnsi="宋体" w:eastAsia="仿宋_GB2312" w:cs="宋体"/>
          <w:sz w:val="28"/>
          <w:szCs w:val="28"/>
        </w:rPr>
        <w:t>五、 价值时点</w:t>
      </w:r>
      <w:r>
        <w:rPr>
          <w:sz w:val="28"/>
          <w:szCs w:val="28"/>
        </w:rPr>
        <w:tab/>
      </w:r>
      <w:r>
        <w:rPr>
          <w:sz w:val="28"/>
          <w:szCs w:val="28"/>
        </w:rPr>
        <w:fldChar w:fldCharType="begin"/>
      </w:r>
      <w:r>
        <w:rPr>
          <w:sz w:val="28"/>
          <w:szCs w:val="28"/>
        </w:rPr>
        <w:instrText xml:space="preserve"> PAGEREF _Toc29106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"_Toc15590" </w:instrText>
      </w:r>
      <w:r>
        <w:fldChar w:fldCharType="separate"/>
      </w:r>
      <w:r>
        <w:rPr>
          <w:rFonts w:hint="eastAsia" w:ascii="仿宋_GB2312" w:hAnsi="宋体" w:eastAsia="仿宋_GB2312" w:cs="宋体"/>
          <w:sz w:val="28"/>
          <w:szCs w:val="28"/>
        </w:rPr>
        <w:t>六、 价值类型</w:t>
      </w:r>
      <w:r>
        <w:rPr>
          <w:sz w:val="28"/>
          <w:szCs w:val="28"/>
        </w:rPr>
        <w:tab/>
      </w:r>
      <w:r>
        <w:rPr>
          <w:sz w:val="28"/>
          <w:szCs w:val="28"/>
        </w:rPr>
        <w:fldChar w:fldCharType="begin"/>
      </w:r>
      <w:r>
        <w:rPr>
          <w:sz w:val="28"/>
          <w:szCs w:val="28"/>
        </w:rPr>
        <w:instrText xml:space="preserve"> PAGEREF _Toc15590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"_Toc19422" </w:instrText>
      </w:r>
      <w:r>
        <w:fldChar w:fldCharType="separate"/>
      </w:r>
      <w:r>
        <w:rPr>
          <w:rFonts w:hint="eastAsia" w:ascii="仿宋_GB2312" w:hAnsi="宋体" w:eastAsia="仿宋_GB2312" w:cs="宋体"/>
          <w:sz w:val="28"/>
          <w:szCs w:val="28"/>
        </w:rPr>
        <w:t>七、 估价原则</w:t>
      </w:r>
      <w:r>
        <w:rPr>
          <w:sz w:val="28"/>
          <w:szCs w:val="28"/>
        </w:rPr>
        <w:tab/>
      </w:r>
      <w:r>
        <w:rPr>
          <w:sz w:val="28"/>
          <w:szCs w:val="28"/>
        </w:rPr>
        <w:fldChar w:fldCharType="begin"/>
      </w:r>
      <w:r>
        <w:rPr>
          <w:sz w:val="28"/>
          <w:szCs w:val="28"/>
        </w:rPr>
        <w:instrText xml:space="preserve"> PAGEREF _Toc19422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"_Toc20843" </w:instrText>
      </w:r>
      <w:r>
        <w:fldChar w:fldCharType="separate"/>
      </w:r>
      <w:r>
        <w:rPr>
          <w:rFonts w:hint="eastAsia" w:ascii="仿宋_GB2312" w:hAnsi="宋体" w:eastAsia="仿宋_GB2312" w:cs="宋体"/>
          <w:sz w:val="28"/>
          <w:szCs w:val="28"/>
        </w:rPr>
        <w:t>八、 估价依据</w:t>
      </w:r>
      <w:r>
        <w:rPr>
          <w:sz w:val="28"/>
          <w:szCs w:val="28"/>
        </w:rPr>
        <w:tab/>
      </w:r>
      <w:r>
        <w:rPr>
          <w:sz w:val="28"/>
          <w:szCs w:val="28"/>
        </w:rPr>
        <w:fldChar w:fldCharType="begin"/>
      </w:r>
      <w:r>
        <w:rPr>
          <w:sz w:val="28"/>
          <w:szCs w:val="28"/>
        </w:rPr>
        <w:instrText xml:space="preserve"> PAGEREF _Toc20843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"_Toc23763" </w:instrText>
      </w:r>
      <w:r>
        <w:fldChar w:fldCharType="separate"/>
      </w:r>
      <w:r>
        <w:rPr>
          <w:rFonts w:hint="eastAsia" w:ascii="仿宋_GB2312" w:hAnsi="宋体" w:eastAsia="仿宋_GB2312" w:cs="宋体"/>
          <w:sz w:val="28"/>
          <w:szCs w:val="28"/>
        </w:rPr>
        <w:t>九、 估价方法</w:t>
      </w:r>
      <w:r>
        <w:rPr>
          <w:sz w:val="28"/>
          <w:szCs w:val="28"/>
        </w:rPr>
        <w:tab/>
      </w:r>
      <w:r>
        <w:rPr>
          <w:sz w:val="28"/>
          <w:szCs w:val="28"/>
        </w:rPr>
        <w:fldChar w:fldCharType="begin"/>
      </w:r>
      <w:r>
        <w:rPr>
          <w:sz w:val="28"/>
          <w:szCs w:val="28"/>
        </w:rPr>
        <w:instrText xml:space="preserve"> PAGEREF _Toc23763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"_Toc3105" </w:instrText>
      </w:r>
      <w:r>
        <w:fldChar w:fldCharType="separate"/>
      </w:r>
      <w:r>
        <w:rPr>
          <w:rFonts w:hint="eastAsia" w:ascii="仿宋_GB2312" w:hAnsi="宋体" w:eastAsia="仿宋_GB2312" w:cs="宋体"/>
          <w:sz w:val="28"/>
          <w:szCs w:val="28"/>
        </w:rPr>
        <w:t>十、 估价结果</w:t>
      </w:r>
      <w:r>
        <w:rPr>
          <w:sz w:val="28"/>
          <w:szCs w:val="28"/>
        </w:rPr>
        <w:tab/>
      </w:r>
      <w:r>
        <w:rPr>
          <w:sz w:val="28"/>
          <w:szCs w:val="28"/>
        </w:rPr>
        <w:fldChar w:fldCharType="begin"/>
      </w:r>
      <w:r>
        <w:rPr>
          <w:sz w:val="28"/>
          <w:szCs w:val="28"/>
        </w:rPr>
        <w:instrText xml:space="preserve"> PAGEREF _Toc3105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"_Toc22675" </w:instrText>
      </w:r>
      <w:r>
        <w:fldChar w:fldCharType="separate"/>
      </w:r>
      <w:r>
        <w:rPr>
          <w:rFonts w:hint="eastAsia" w:ascii="仿宋_GB2312" w:hAnsi="宋体" w:eastAsia="仿宋_GB2312" w:cs="宋体"/>
          <w:sz w:val="28"/>
          <w:szCs w:val="28"/>
        </w:rPr>
        <w:t>十一、 注册房地产估价师</w:t>
      </w:r>
      <w:r>
        <w:rPr>
          <w:sz w:val="28"/>
          <w:szCs w:val="28"/>
        </w:rPr>
        <w:tab/>
      </w:r>
      <w:r>
        <w:rPr>
          <w:sz w:val="28"/>
          <w:szCs w:val="28"/>
        </w:rPr>
        <w:fldChar w:fldCharType="begin"/>
      </w:r>
      <w:r>
        <w:rPr>
          <w:sz w:val="28"/>
          <w:szCs w:val="28"/>
        </w:rPr>
        <w:instrText xml:space="preserve"> PAGEREF _Toc22675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"_Toc14173" </w:instrText>
      </w:r>
      <w:r>
        <w:fldChar w:fldCharType="separate"/>
      </w:r>
      <w:r>
        <w:rPr>
          <w:rFonts w:hint="eastAsia" w:ascii="仿宋_GB2312" w:hAnsi="宋体" w:eastAsia="仿宋_GB2312" w:cs="宋体"/>
          <w:sz w:val="28"/>
          <w:szCs w:val="28"/>
        </w:rPr>
        <w:t>十二、 实地查勘期</w:t>
      </w:r>
      <w:r>
        <w:rPr>
          <w:sz w:val="28"/>
          <w:szCs w:val="28"/>
        </w:rPr>
        <w:tab/>
      </w:r>
      <w:r>
        <w:rPr>
          <w:sz w:val="28"/>
          <w:szCs w:val="28"/>
        </w:rPr>
        <w:fldChar w:fldCharType="begin"/>
      </w:r>
      <w:r>
        <w:rPr>
          <w:sz w:val="28"/>
          <w:szCs w:val="28"/>
        </w:rPr>
        <w:instrText xml:space="preserve"> PAGEREF _Toc14173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"_Toc5393" </w:instrText>
      </w:r>
      <w:r>
        <w:fldChar w:fldCharType="separate"/>
      </w:r>
      <w:r>
        <w:rPr>
          <w:rFonts w:hint="eastAsia" w:ascii="仿宋_GB2312" w:hAnsi="宋体" w:eastAsia="仿宋_GB2312" w:cs="宋体"/>
          <w:sz w:val="28"/>
          <w:szCs w:val="28"/>
        </w:rPr>
        <w:t>十三、 估价作业期</w:t>
      </w:r>
      <w:r>
        <w:rPr>
          <w:sz w:val="28"/>
          <w:szCs w:val="28"/>
        </w:rPr>
        <w:tab/>
      </w:r>
      <w:r>
        <w:rPr>
          <w:sz w:val="28"/>
          <w:szCs w:val="28"/>
        </w:rPr>
        <w:fldChar w:fldCharType="begin"/>
      </w:r>
      <w:r>
        <w:rPr>
          <w:sz w:val="28"/>
          <w:szCs w:val="28"/>
        </w:rPr>
        <w:instrText xml:space="preserve"> PAGEREF _Toc5393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"_Toc31340" </w:instrText>
      </w:r>
      <w:r>
        <w:fldChar w:fldCharType="separate"/>
      </w:r>
      <w:r>
        <w:rPr>
          <w:rFonts w:hint="eastAsia" w:ascii="仿宋_GB2312" w:hAnsi="宋体" w:eastAsia="仿宋_GB2312" w:cs="宋体"/>
          <w:sz w:val="28"/>
          <w:szCs w:val="28"/>
        </w:rPr>
        <w:t>十四、 估价结果使用特别提示</w:t>
      </w:r>
      <w:r>
        <w:rPr>
          <w:sz w:val="28"/>
          <w:szCs w:val="28"/>
        </w:rPr>
        <w:tab/>
      </w:r>
      <w:r>
        <w:rPr>
          <w:sz w:val="28"/>
          <w:szCs w:val="28"/>
        </w:rPr>
        <w:fldChar w:fldCharType="begin"/>
      </w:r>
      <w:r>
        <w:rPr>
          <w:sz w:val="28"/>
          <w:szCs w:val="28"/>
        </w:rPr>
        <w:instrText xml:space="preserve"> PAGEREF _Toc31340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
        <w:tabs>
          <w:tab w:val="right" w:leader="dot" w:pos="8823"/>
        </w:tabs>
        <w:spacing w:line="460" w:lineRule="exact"/>
        <w:rPr>
          <w:sz w:val="28"/>
          <w:szCs w:val="28"/>
        </w:rPr>
      </w:pPr>
      <w:r>
        <w:fldChar w:fldCharType="begin"/>
      </w:r>
      <w:r>
        <w:instrText xml:space="preserve"> HYPERLINK \l "_Toc18664" </w:instrText>
      </w:r>
      <w:r>
        <w:fldChar w:fldCharType="separate"/>
      </w:r>
      <w:r>
        <w:rPr>
          <w:rFonts w:hint="eastAsia" w:ascii="宋体" w:hAnsi="宋体" w:cs="宋体"/>
          <w:sz w:val="28"/>
          <w:szCs w:val="28"/>
        </w:rPr>
        <w:t>附   件</w:t>
      </w:r>
      <w:r>
        <w:rPr>
          <w:sz w:val="28"/>
          <w:szCs w:val="28"/>
        </w:rPr>
        <w:tab/>
      </w:r>
      <w:r>
        <w:rPr>
          <w:sz w:val="28"/>
          <w:szCs w:val="28"/>
        </w:rPr>
        <w:fldChar w:fldCharType="begin"/>
      </w:r>
      <w:r>
        <w:rPr>
          <w:sz w:val="28"/>
          <w:szCs w:val="28"/>
        </w:rPr>
        <w:instrText xml:space="preserve"> PAGEREF _Toc18664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"_Toc14505" </w:instrText>
      </w:r>
      <w:r>
        <w:fldChar w:fldCharType="separate"/>
      </w:r>
      <w:r>
        <w:rPr>
          <w:rFonts w:ascii="仿宋_GB2312" w:hAnsi="宋体" w:eastAsia="仿宋_GB2312" w:cs="宋体"/>
          <w:sz w:val="28"/>
          <w:szCs w:val="28"/>
        </w:rPr>
        <w:t xml:space="preserve">1． </w:t>
      </w:r>
      <w:r>
        <w:rPr>
          <w:rFonts w:hint="eastAsia" w:ascii="仿宋_GB2312" w:hAnsi="宋体" w:eastAsia="仿宋_GB2312" w:cs="宋体"/>
          <w:sz w:val="28"/>
          <w:szCs w:val="28"/>
        </w:rPr>
        <w:t>估价对象位置示意图</w:t>
      </w:r>
      <w:r>
        <w:rPr>
          <w:sz w:val="28"/>
          <w:szCs w:val="28"/>
        </w:rPr>
        <w:tab/>
      </w:r>
      <w:r>
        <w:rPr>
          <w:sz w:val="28"/>
          <w:szCs w:val="28"/>
        </w:rPr>
        <w:fldChar w:fldCharType="begin"/>
      </w:r>
      <w:r>
        <w:rPr>
          <w:sz w:val="28"/>
          <w:szCs w:val="28"/>
        </w:rPr>
        <w:instrText xml:space="preserve"> PAGEREF _Toc14505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"_Toc15516" </w:instrText>
      </w:r>
      <w:r>
        <w:fldChar w:fldCharType="separate"/>
      </w:r>
      <w:r>
        <w:rPr>
          <w:rFonts w:ascii="仿宋_GB2312" w:hAnsi="宋体" w:eastAsia="仿宋_GB2312" w:cs="宋体"/>
          <w:sz w:val="28"/>
          <w:szCs w:val="28"/>
        </w:rPr>
        <w:t xml:space="preserve">2． </w:t>
      </w:r>
      <w:r>
        <w:rPr>
          <w:rFonts w:hint="eastAsia" w:ascii="仿宋_GB2312" w:hAnsi="宋体" w:eastAsia="仿宋_GB2312" w:cs="宋体"/>
          <w:sz w:val="28"/>
          <w:szCs w:val="28"/>
        </w:rPr>
        <w:t>估价对象内部状况、外部状况及周围环境照片</w:t>
      </w:r>
      <w:r>
        <w:rPr>
          <w:sz w:val="28"/>
          <w:szCs w:val="28"/>
        </w:rPr>
        <w:tab/>
      </w:r>
      <w:r>
        <w:rPr>
          <w:sz w:val="28"/>
          <w:szCs w:val="28"/>
        </w:rPr>
        <w:fldChar w:fldCharType="begin"/>
      </w:r>
      <w:r>
        <w:rPr>
          <w:sz w:val="28"/>
          <w:szCs w:val="28"/>
        </w:rPr>
        <w:instrText xml:space="preserve"> PAGEREF _Toc15516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"_Toc4017" </w:instrText>
      </w:r>
      <w:r>
        <w:fldChar w:fldCharType="separate"/>
      </w:r>
      <w:r>
        <w:rPr>
          <w:rFonts w:ascii="仿宋_GB2312" w:hAnsi="宋体" w:eastAsia="仿宋_GB2312" w:cs="宋体"/>
          <w:sz w:val="28"/>
          <w:szCs w:val="28"/>
        </w:rPr>
        <w:t xml:space="preserve">3． </w:t>
      </w:r>
      <w:r>
        <w:rPr>
          <w:rFonts w:hint="eastAsia" w:ascii="仿宋_GB2312" w:hAnsi="宋体" w:eastAsia="仿宋_GB2312" w:cs="宋体"/>
          <w:sz w:val="28"/>
          <w:szCs w:val="28"/>
        </w:rPr>
        <w:t>泰安市泰安区人民法院《委托书》（编号：（2019）鲁0902执恢262号）</w:t>
      </w:r>
      <w:r>
        <w:rPr>
          <w:sz w:val="28"/>
          <w:szCs w:val="28"/>
        </w:rPr>
        <w:tab/>
      </w:r>
      <w:r>
        <w:rPr>
          <w:sz w:val="28"/>
          <w:szCs w:val="28"/>
        </w:rPr>
        <w:fldChar w:fldCharType="begin"/>
      </w:r>
      <w:r>
        <w:rPr>
          <w:sz w:val="28"/>
          <w:szCs w:val="28"/>
        </w:rPr>
        <w:instrText xml:space="preserve"> PAGEREF _Toc4017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"_Toc31445" </w:instrText>
      </w:r>
      <w:r>
        <w:fldChar w:fldCharType="separate"/>
      </w:r>
      <w:r>
        <w:rPr>
          <w:rFonts w:ascii="仿宋_GB2312" w:hAnsi="宋体" w:eastAsia="仿宋_GB2312" w:cs="宋体"/>
          <w:sz w:val="28"/>
          <w:szCs w:val="28"/>
        </w:rPr>
        <w:t xml:space="preserve">4． </w:t>
      </w:r>
      <w:r>
        <w:rPr>
          <w:rFonts w:hint="eastAsia" w:ascii="仿宋_GB2312" w:hAnsi="宋体" w:eastAsia="仿宋_GB2312" w:cs="宋体"/>
          <w:sz w:val="28"/>
          <w:szCs w:val="28"/>
        </w:rPr>
        <w:t>《不动产登记资料查询结果证明》复印件</w:t>
      </w:r>
      <w:r>
        <w:rPr>
          <w:sz w:val="28"/>
          <w:szCs w:val="28"/>
        </w:rPr>
        <w:tab/>
      </w:r>
      <w:r>
        <w:rPr>
          <w:sz w:val="28"/>
          <w:szCs w:val="28"/>
        </w:rPr>
        <w:fldChar w:fldCharType="begin"/>
      </w:r>
      <w:r>
        <w:rPr>
          <w:sz w:val="28"/>
          <w:szCs w:val="28"/>
        </w:rPr>
        <w:instrText xml:space="preserve"> PAGEREF _Toc31445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6"/>
        <w:tabs>
          <w:tab w:val="right" w:leader="dot" w:pos="8823"/>
        </w:tabs>
        <w:spacing w:line="460" w:lineRule="exact"/>
        <w:ind w:left="210" w:right="210"/>
        <w:rPr>
          <w:sz w:val="28"/>
          <w:szCs w:val="28"/>
        </w:rPr>
      </w:pPr>
      <w:r>
        <w:fldChar w:fldCharType="begin"/>
      </w:r>
      <w:r>
        <w:instrText xml:space="preserve"> HYPERLINK \l "_Toc18606" </w:instrText>
      </w:r>
      <w:r>
        <w:fldChar w:fldCharType="separate"/>
      </w:r>
      <w:r>
        <w:rPr>
          <w:rFonts w:ascii="仿宋_GB2312" w:hAnsi="宋体" w:eastAsia="仿宋_GB2312" w:cs="宋体"/>
          <w:sz w:val="28"/>
          <w:szCs w:val="28"/>
        </w:rPr>
        <w:t xml:space="preserve">5． </w:t>
      </w:r>
      <w:r>
        <w:rPr>
          <w:rFonts w:hint="eastAsia" w:ascii="仿宋_GB2312" w:hAnsi="宋体" w:eastAsia="仿宋_GB2312" w:cs="宋体"/>
          <w:sz w:val="28"/>
          <w:szCs w:val="28"/>
        </w:rPr>
        <w:t>估价机构的企业法人营业执照、备案证书及估价人员资格证明等复印件</w:t>
      </w:r>
      <w:r>
        <w:rPr>
          <w:sz w:val="28"/>
          <w:szCs w:val="28"/>
        </w:rPr>
        <w:tab/>
      </w:r>
      <w:r>
        <w:rPr>
          <w:sz w:val="28"/>
          <w:szCs w:val="28"/>
        </w:rPr>
        <w:fldChar w:fldCharType="begin"/>
      </w:r>
      <w:r>
        <w:rPr>
          <w:sz w:val="28"/>
          <w:szCs w:val="28"/>
        </w:rPr>
        <w:instrText xml:space="preserve"> PAGEREF _Toc18606 </w:instrText>
      </w:r>
      <w:r>
        <w:rPr>
          <w:sz w:val="28"/>
          <w:szCs w:val="28"/>
        </w:rPr>
        <w:fldChar w:fldCharType="separate"/>
      </w:r>
      <w:r>
        <w:rPr>
          <w:sz w:val="28"/>
          <w:szCs w:val="28"/>
        </w:rPr>
        <w:t>18</w:t>
      </w:r>
      <w:r>
        <w:rPr>
          <w:sz w:val="28"/>
          <w:szCs w:val="28"/>
        </w:rPr>
        <w:fldChar w:fldCharType="end"/>
      </w:r>
      <w:r>
        <w:rPr>
          <w:sz w:val="28"/>
          <w:szCs w:val="28"/>
        </w:rPr>
        <w:fldChar w:fldCharType="end"/>
      </w:r>
    </w:p>
    <w:p>
      <w:pPr>
        <w:spacing w:beforeLines="50" w:afterLines="50" w:line="460" w:lineRule="exact"/>
        <w:ind w:left="176" w:leftChars="84"/>
        <w:jc w:val="center"/>
        <w:outlineLvl w:val="0"/>
        <w:rPr>
          <w:rFonts w:ascii="宋体" w:hAnsi="宋体" w:cs="宋体"/>
          <w:b/>
          <w:bCs/>
          <w:sz w:val="32"/>
          <w:szCs w:val="32"/>
        </w:rPr>
      </w:pPr>
      <w:r>
        <w:rPr>
          <w:rFonts w:hint="eastAsia" w:ascii="仿宋_GB2312" w:hAnsi="宋体" w:eastAsia="仿宋_GB2312" w:cs="宋体"/>
          <w:sz w:val="28"/>
          <w:szCs w:val="28"/>
        </w:rPr>
        <w:fldChar w:fldCharType="end"/>
      </w:r>
      <w:bookmarkEnd w:id="2"/>
      <w:bookmarkEnd w:id="3"/>
      <w:bookmarkEnd w:id="4"/>
      <w:bookmarkEnd w:id="5"/>
      <w:bookmarkStart w:id="6" w:name="_Toc5533"/>
      <w:bookmarkStart w:id="7" w:name="_Toc3277"/>
      <w:bookmarkStart w:id="8" w:name="_Toc16300"/>
      <w:bookmarkStart w:id="9" w:name="_Toc13156"/>
      <w:bookmarkStart w:id="10" w:name="_Toc32409"/>
      <w:bookmarkStart w:id="11" w:name="_Toc15605"/>
      <w:bookmarkStart w:id="12" w:name="_Toc24704792"/>
      <w:bookmarkStart w:id="13" w:name="_Toc1320"/>
      <w:bookmarkStart w:id="14" w:name="_Toc399921375"/>
      <w:bookmarkStart w:id="15" w:name="_Toc24725326"/>
      <w:bookmarkStart w:id="16" w:name="_Toc24717511"/>
      <w:r>
        <w:rPr>
          <w:rFonts w:ascii="宋体" w:hAnsi="宋体" w:cs="宋体"/>
          <w:sz w:val="32"/>
          <w:szCs w:val="32"/>
        </w:rPr>
        <w:br w:type="page"/>
      </w:r>
      <w:bookmarkStart w:id="17" w:name="_Toc32347801"/>
      <w:bookmarkStart w:id="18" w:name="_Toc32409042"/>
      <w:bookmarkStart w:id="19" w:name="_Toc24822"/>
      <w:r>
        <w:rPr>
          <w:rFonts w:hint="eastAsia" w:ascii="宋体" w:hAnsi="宋体" w:cs="宋体"/>
          <w:b/>
          <w:bCs/>
          <w:sz w:val="32"/>
          <w:szCs w:val="32"/>
        </w:rPr>
        <w:t>估价师声明</w:t>
      </w:r>
      <w:bookmarkEnd w:id="6"/>
      <w:bookmarkEnd w:id="7"/>
      <w:bookmarkEnd w:id="8"/>
      <w:bookmarkEnd w:id="9"/>
      <w:bookmarkEnd w:id="10"/>
      <w:bookmarkEnd w:id="11"/>
      <w:bookmarkEnd w:id="12"/>
      <w:bookmarkEnd w:id="13"/>
      <w:bookmarkEnd w:id="14"/>
      <w:bookmarkEnd w:id="15"/>
      <w:bookmarkEnd w:id="16"/>
      <w:bookmarkEnd w:id="17"/>
      <w:bookmarkEnd w:id="18"/>
      <w:bookmarkEnd w:id="19"/>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注册房地产估价师根据自己的专业知识和职业道德，在此郑重声明：</w:t>
      </w:r>
    </w:p>
    <w:p>
      <w:pPr>
        <w:numPr>
          <w:ilvl w:val="0"/>
          <w:numId w:val="2"/>
        </w:numPr>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我们在估价报告中对事实的说明是真实的和准确的，没有虚假记载、误导性陈述和重大遗漏。</w:t>
      </w:r>
    </w:p>
    <w:p>
      <w:pPr>
        <w:numPr>
          <w:ilvl w:val="0"/>
          <w:numId w:val="2"/>
        </w:numPr>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本估价报告中的分析、意见和结论是我们独立、客观、公正的专业分析、意见和结论，但受到估价报告中已说明的估价假设和限制条件的限制。</w:t>
      </w:r>
    </w:p>
    <w:p>
      <w:pPr>
        <w:numPr>
          <w:ilvl w:val="0"/>
          <w:numId w:val="2"/>
        </w:numPr>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我们与估价报告中的估价对象没有现实或潜在的利益，与估价委托人及估价利害关系人没有利害关系，也对估价对象、估价委托人及估价利害关系人没有偏见。</w:t>
      </w:r>
    </w:p>
    <w:p>
      <w:pPr>
        <w:numPr>
          <w:ilvl w:val="0"/>
          <w:numId w:val="2"/>
        </w:numPr>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我们依照《房地产估价规范》（中华人民共和国国家标准GB/T 50291-2015）、《房地产估价基本术语标准》（中华人民共和国国家标准GB/T 50899-2013），形成意见和结论，撰写本估价报告。</w:t>
      </w:r>
    </w:p>
    <w:p>
      <w:pPr>
        <w:numPr>
          <w:ilvl w:val="0"/>
          <w:numId w:val="2"/>
        </w:numPr>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注册房地产估价师王国芹于2020年1月14日会同法院工作人员对估价对象进行了实地查勘记录。</w:t>
      </w:r>
    </w:p>
    <w:p>
      <w:pPr>
        <w:numPr>
          <w:ilvl w:val="0"/>
          <w:numId w:val="2"/>
        </w:numPr>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没有外部专家和单位对本估价报告提供重要专业帮助。</w:t>
      </w:r>
    </w:p>
    <w:p>
      <w:pPr>
        <w:numPr>
          <w:ilvl w:val="0"/>
          <w:numId w:val="2"/>
        </w:numPr>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本估价报告由山东众合土地房地产评估有限公司负责解释。若当事人、利害关系人对估价报告有异议，请在收到估价报告后五日内通过泰安市泰山区人民法院向我公司书面提出。</w:t>
      </w:r>
    </w:p>
    <w:p>
      <w:pPr>
        <w:pStyle w:val="2"/>
        <w:rPr>
          <w:highlight w:val="yellow"/>
        </w:rPr>
      </w:pPr>
    </w:p>
    <w:p>
      <w:pPr>
        <w:snapToGrid w:val="0"/>
        <w:spacing w:line="400" w:lineRule="exact"/>
        <w:rPr>
          <w:rFonts w:ascii="仿宋_GB2312" w:hAnsi="宋体" w:eastAsia="仿宋_GB2312" w:cs="宋体"/>
          <w:sz w:val="28"/>
          <w:szCs w:val="28"/>
          <w:highlight w:val="yellow"/>
        </w:rPr>
      </w:pPr>
    </w:p>
    <w:p>
      <w:pPr>
        <w:pStyle w:val="3"/>
        <w:spacing w:beforeLines="50" w:after="156"/>
        <w:jc w:val="center"/>
        <w:rPr>
          <w:rFonts w:ascii="宋体" w:hAnsi="宋体" w:cs="宋体"/>
          <w:kern w:val="2"/>
          <w:sz w:val="32"/>
          <w:szCs w:val="32"/>
        </w:rPr>
      </w:pPr>
      <w:r>
        <w:rPr>
          <w:rFonts w:hint="eastAsia" w:ascii="宋体" w:hAnsi="宋体" w:cs="宋体"/>
          <w:highlight w:val="yellow"/>
        </w:rPr>
        <w:br w:type="page"/>
      </w:r>
      <w:bookmarkStart w:id="20" w:name="_Toc32347802"/>
      <w:bookmarkStart w:id="21" w:name="_Toc5397"/>
      <w:bookmarkStart w:id="22" w:name="_Toc32409043"/>
      <w:bookmarkStart w:id="23" w:name="_Toc19927"/>
      <w:bookmarkStart w:id="24" w:name="_Toc24717512"/>
      <w:bookmarkStart w:id="25" w:name="_Toc27044"/>
      <w:bookmarkStart w:id="26" w:name="_Toc24704793"/>
      <w:bookmarkStart w:id="27" w:name="_Toc10973"/>
      <w:bookmarkStart w:id="28" w:name="_Toc30879"/>
      <w:bookmarkStart w:id="29" w:name="_Toc24725327"/>
      <w:bookmarkStart w:id="30" w:name="_Toc399921376"/>
      <w:bookmarkStart w:id="31" w:name="_Toc6794"/>
      <w:bookmarkStart w:id="32" w:name="_Toc24718"/>
      <w:bookmarkStart w:id="33" w:name="_Toc32655"/>
      <w:r>
        <w:rPr>
          <w:rFonts w:hint="eastAsia" w:ascii="宋体" w:hAnsi="宋体" w:cs="宋体"/>
          <w:kern w:val="2"/>
          <w:sz w:val="32"/>
          <w:szCs w:val="32"/>
        </w:rPr>
        <w:t>估价假设和限制条件</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spacing w:line="400" w:lineRule="exact"/>
        <w:ind w:firstLine="540"/>
        <w:rPr>
          <w:rFonts w:ascii="仿宋_GB2312" w:hAnsi="宋体" w:eastAsia="仿宋_GB2312" w:cs="宋体"/>
          <w:b/>
          <w:sz w:val="28"/>
          <w:szCs w:val="28"/>
        </w:rPr>
      </w:pPr>
      <w:r>
        <w:rPr>
          <w:rFonts w:hint="eastAsia" w:ascii="仿宋_GB2312" w:hAnsi="宋体" w:eastAsia="仿宋_GB2312" w:cs="宋体"/>
          <w:b/>
          <w:sz w:val="28"/>
          <w:szCs w:val="28"/>
        </w:rPr>
        <w:t>一、本次估价的各项估价假设</w:t>
      </w:r>
    </w:p>
    <w:p>
      <w:pPr>
        <w:numPr>
          <w:ilvl w:val="0"/>
          <w:numId w:val="3"/>
        </w:numPr>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一般假设</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本次估价设定估价委托人提供的资料合法、属实，并且提供了与本次估价有关的所有资料，没有保留及隐瞒。</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在价值时点的房地产市场为公开、平等、自愿的交易市场。</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任何有关估价对象的运作方式、程序均符合国家、地方的有关法律、法规。</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本次估价设定估价对象的国有出让建设用地使用权和房屋所有权为合法方式取得，估价对象能够正常上市交易。</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估价对象建筑面积以估价委托人提供的《不动产登记资料查询结果证明》复印件上载明的为依据确定。</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本估价假定人民法院拍卖（或者变卖）财产之日的估价对象状况和房地产市场状况与实地查勘完成之日的状况相同。</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估价对象在价值时点的房地产市场为公开、平等、自愿的交易市场，即能满足以下条件：</w:t>
      </w:r>
    </w:p>
    <w:p>
      <w:pPr>
        <w:pStyle w:val="49"/>
        <w:numPr>
          <w:ilvl w:val="0"/>
          <w:numId w:val="5"/>
        </w:numPr>
        <w:tabs>
          <w:tab w:val="left" w:pos="0"/>
          <w:tab w:val="left" w:pos="1020"/>
        </w:tabs>
        <w:spacing w:line="400" w:lineRule="exact"/>
        <w:ind w:left="0" w:firstLine="560"/>
        <w:rPr>
          <w:rFonts w:ascii="仿宋_GB2312" w:hAnsi="仿宋" w:eastAsia="仿宋_GB2312"/>
          <w:sz w:val="28"/>
          <w:szCs w:val="28"/>
        </w:rPr>
      </w:pPr>
      <w:r>
        <w:rPr>
          <w:rFonts w:hint="eastAsia" w:ascii="仿宋_GB2312" w:hAnsi="仿宋" w:eastAsia="仿宋_GB2312"/>
          <w:sz w:val="28"/>
          <w:szCs w:val="28"/>
        </w:rPr>
        <w:t>交易双方自愿的进行交易；</w:t>
      </w:r>
    </w:p>
    <w:p>
      <w:pPr>
        <w:pStyle w:val="49"/>
        <w:numPr>
          <w:ilvl w:val="0"/>
          <w:numId w:val="5"/>
        </w:numPr>
        <w:tabs>
          <w:tab w:val="left" w:pos="1020"/>
        </w:tabs>
        <w:spacing w:line="400" w:lineRule="exact"/>
        <w:ind w:left="0" w:firstLine="560"/>
        <w:rPr>
          <w:rFonts w:ascii="仿宋_GB2312" w:hAnsi="仿宋" w:eastAsia="仿宋_GB2312"/>
          <w:sz w:val="28"/>
          <w:szCs w:val="28"/>
        </w:rPr>
      </w:pPr>
      <w:r>
        <w:rPr>
          <w:rFonts w:hint="eastAsia" w:ascii="仿宋_GB2312" w:hAnsi="仿宋" w:eastAsia="仿宋_GB2312"/>
          <w:sz w:val="28"/>
          <w:szCs w:val="28"/>
        </w:rPr>
        <w:t>交易双方处于利己动机进行交易；</w:t>
      </w:r>
    </w:p>
    <w:p>
      <w:pPr>
        <w:pStyle w:val="49"/>
        <w:numPr>
          <w:ilvl w:val="0"/>
          <w:numId w:val="5"/>
        </w:numPr>
        <w:tabs>
          <w:tab w:val="left" w:pos="1020"/>
        </w:tabs>
        <w:spacing w:line="400" w:lineRule="exact"/>
        <w:ind w:left="0" w:firstLine="560"/>
        <w:rPr>
          <w:rFonts w:ascii="仿宋_GB2312" w:hAnsi="仿宋" w:eastAsia="仿宋_GB2312"/>
          <w:sz w:val="28"/>
          <w:szCs w:val="28"/>
        </w:rPr>
      </w:pPr>
      <w:r>
        <w:rPr>
          <w:rFonts w:hint="eastAsia" w:ascii="仿宋_GB2312" w:hAnsi="仿宋" w:eastAsia="仿宋_GB2312"/>
          <w:sz w:val="28"/>
          <w:szCs w:val="28"/>
        </w:rPr>
        <w:t>交易双方理性、谨慎行事，并了解交易对象、知晓市场行情；</w:t>
      </w:r>
    </w:p>
    <w:p>
      <w:pPr>
        <w:pStyle w:val="49"/>
        <w:numPr>
          <w:ilvl w:val="0"/>
          <w:numId w:val="5"/>
        </w:numPr>
        <w:tabs>
          <w:tab w:val="left" w:pos="1020"/>
        </w:tabs>
        <w:spacing w:line="400" w:lineRule="exact"/>
        <w:ind w:left="0" w:firstLine="560"/>
        <w:rPr>
          <w:rFonts w:ascii="仿宋_GB2312" w:hAnsi="仿宋" w:eastAsia="仿宋_GB2312"/>
          <w:sz w:val="28"/>
          <w:szCs w:val="28"/>
        </w:rPr>
      </w:pPr>
      <w:r>
        <w:rPr>
          <w:rFonts w:hint="eastAsia" w:ascii="仿宋_GB2312" w:hAnsi="仿宋" w:eastAsia="仿宋_GB2312"/>
          <w:sz w:val="28"/>
          <w:szCs w:val="28"/>
        </w:rPr>
        <w:t>交易双方有较充裕的时间进行交易；</w:t>
      </w:r>
    </w:p>
    <w:p>
      <w:pPr>
        <w:pStyle w:val="49"/>
        <w:numPr>
          <w:ilvl w:val="0"/>
          <w:numId w:val="5"/>
        </w:numPr>
        <w:tabs>
          <w:tab w:val="left" w:pos="1020"/>
        </w:tabs>
        <w:spacing w:line="400" w:lineRule="exact"/>
        <w:ind w:left="0" w:firstLine="560"/>
        <w:rPr>
          <w:rFonts w:ascii="仿宋_GB2312" w:hAnsi="仿宋" w:eastAsia="仿宋_GB2312"/>
          <w:sz w:val="28"/>
          <w:szCs w:val="28"/>
        </w:rPr>
      </w:pPr>
      <w:r>
        <w:rPr>
          <w:rFonts w:hint="eastAsia" w:ascii="仿宋_GB2312" w:hAnsi="仿宋" w:eastAsia="仿宋_GB2312"/>
          <w:sz w:val="28"/>
          <w:szCs w:val="28"/>
        </w:rPr>
        <w:t>不存在买者因特殊兴趣而给予附加出价。</w:t>
      </w:r>
    </w:p>
    <w:p>
      <w:pPr>
        <w:numPr>
          <w:ilvl w:val="0"/>
          <w:numId w:val="4"/>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受托估价方对估价对象的现场查勘仅限于其外观和使用现状，对被遮盖、未暴露及难以接触到的隐蔽工程，是依据委托方提供的资料进行评估的。我们对建筑安全、环境污染等重大影响估价对象价值的因素予以了关注，在无理由怀疑存在安全隐患且无相应的专业机构检测或鉴定的情况下，我们假设建筑安全及环境安全。</w:t>
      </w:r>
    </w:p>
    <w:p>
      <w:pPr>
        <w:pStyle w:val="2"/>
        <w:numPr>
          <w:ilvl w:val="0"/>
          <w:numId w:val="4"/>
        </w:numPr>
        <w:spacing w:line="400" w:lineRule="exact"/>
        <w:ind w:firstLine="560" w:firstLineChars="200"/>
        <w:rPr>
          <w:rFonts w:ascii="仿宋_GB2312" w:hAnsi="宋体" w:eastAsia="仿宋_GB2312" w:cs="宋体"/>
          <w:b w:val="0"/>
          <w:sz w:val="28"/>
          <w:szCs w:val="28"/>
        </w:rPr>
      </w:pPr>
      <w:r>
        <w:rPr>
          <w:rFonts w:hint="eastAsia" w:ascii="仿宋_GB2312" w:hAnsi="宋体" w:eastAsia="仿宋_GB2312" w:cs="宋体"/>
          <w:b w:val="0"/>
          <w:sz w:val="28"/>
          <w:szCs w:val="28"/>
        </w:rPr>
        <w:t>估价对象应享有公共部位的通行权及水电等共用设施的使用权。</w:t>
      </w:r>
    </w:p>
    <w:p>
      <w:pPr>
        <w:numPr>
          <w:ilvl w:val="0"/>
          <w:numId w:val="3"/>
        </w:numPr>
        <w:spacing w:line="400" w:lineRule="exact"/>
        <w:rPr>
          <w:rFonts w:ascii="仿宋_GB2312" w:hAnsi="宋体" w:eastAsia="仿宋_GB2312" w:cs="宋体"/>
          <w:b/>
          <w:sz w:val="28"/>
          <w:szCs w:val="28"/>
        </w:rPr>
      </w:pPr>
      <w:bookmarkStart w:id="34" w:name="_Toc372878831"/>
      <w:bookmarkStart w:id="35" w:name="_Toc383791133"/>
      <w:bookmarkStart w:id="36" w:name="_Toc380501933"/>
      <w:r>
        <w:rPr>
          <w:rFonts w:hint="eastAsia" w:ascii="仿宋_GB2312" w:hAnsi="宋体" w:eastAsia="仿宋_GB2312" w:cs="宋体"/>
          <w:b/>
          <w:sz w:val="28"/>
          <w:szCs w:val="28"/>
        </w:rPr>
        <w:t>背离事实假设</w:t>
      </w:r>
      <w:bookmarkEnd w:id="34"/>
      <w:bookmarkEnd w:id="35"/>
    </w:p>
    <w:bookmarkEnd w:id="36"/>
    <w:p>
      <w:pPr>
        <w:pStyle w:val="7"/>
        <w:numPr>
          <w:ilvl w:val="0"/>
          <w:numId w:val="6"/>
        </w:numPr>
        <w:spacing w:line="400" w:lineRule="exact"/>
        <w:ind w:firstLine="560" w:firstLineChars="200"/>
        <w:rPr>
          <w:rFonts w:ascii="仿宋_GB2312" w:hAnsi="仿宋" w:eastAsia="仿宋_GB2312"/>
          <w:sz w:val="28"/>
          <w:szCs w:val="28"/>
        </w:rPr>
      </w:pPr>
      <w:bookmarkStart w:id="37" w:name="_Toc380501934"/>
      <w:bookmarkStart w:id="38" w:name="_Toc383791134"/>
      <w:r>
        <w:rPr>
          <w:rFonts w:hint="eastAsia" w:ascii="仿宋_GB2312" w:hAnsi="仿宋" w:eastAsia="仿宋_GB2312"/>
          <w:sz w:val="28"/>
          <w:szCs w:val="28"/>
        </w:rPr>
        <w:t>依据估价委托人提供的《</w:t>
      </w:r>
      <w:r>
        <w:rPr>
          <w:rFonts w:hint="eastAsia" w:ascii="仿宋_GB2312" w:hAnsi="宋体" w:eastAsia="仿宋_GB2312" w:cs="宋体"/>
          <w:sz w:val="28"/>
          <w:szCs w:val="28"/>
        </w:rPr>
        <w:t>不动产登记资料查询结果证明</w:t>
      </w:r>
      <w:r>
        <w:rPr>
          <w:rFonts w:hint="eastAsia" w:ascii="仿宋_GB2312" w:hAnsi="仿宋" w:eastAsia="仿宋_GB2312"/>
          <w:sz w:val="28"/>
          <w:szCs w:val="28"/>
        </w:rPr>
        <w:t>》复印件，估价对象存在查封情况，本次估价是为估价委托人确定财产处置参考价提供参考依据，不考虑估价对象查封情况对评估价值的影响。</w:t>
      </w:r>
    </w:p>
    <w:p>
      <w:pPr>
        <w:pStyle w:val="7"/>
        <w:numPr>
          <w:ilvl w:val="0"/>
          <w:numId w:val="6"/>
        </w:num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估价结果未考虑未来处置风险。</w:t>
      </w:r>
    </w:p>
    <w:bookmarkEnd w:id="37"/>
    <w:bookmarkEnd w:id="38"/>
    <w:p>
      <w:pPr>
        <w:numPr>
          <w:ilvl w:val="0"/>
          <w:numId w:val="3"/>
        </w:numPr>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依据不足假设</w:t>
      </w:r>
    </w:p>
    <w:p>
      <w:pPr>
        <w:pStyle w:val="49"/>
        <w:numPr>
          <w:ilvl w:val="0"/>
          <w:numId w:val="7"/>
        </w:numPr>
        <w:spacing w:line="400" w:lineRule="exact"/>
        <w:ind w:firstLine="520"/>
        <w:rPr>
          <w:rFonts w:ascii="仿宋_GB2312" w:hAnsi="宋体" w:eastAsia="仿宋_GB2312" w:cs="宋体"/>
          <w:spacing w:val="-10"/>
          <w:sz w:val="28"/>
          <w:szCs w:val="28"/>
        </w:rPr>
      </w:pPr>
      <w:r>
        <w:rPr>
          <w:rFonts w:hint="eastAsia" w:ascii="仿宋_GB2312" w:hAnsi="宋体" w:eastAsia="仿宋_GB2312" w:cs="宋体"/>
          <w:spacing w:val="-10"/>
          <w:sz w:val="28"/>
          <w:szCs w:val="28"/>
        </w:rPr>
        <w:t>因估价委托人不能提供反映估价对象租赁、法定优先受偿权等状况的相关证明材料，估价人员虽进行了尽职调查仍然难以取得该材料。本次估价假设估价对象不存在优先受偿权及租约等限制。如果估价对象存在优先受偿权或设立租赁权，则对估价对象的变现价值有一定影响，特提醒报告使用人注意。</w:t>
      </w:r>
    </w:p>
    <w:p>
      <w:pPr>
        <w:pStyle w:val="49"/>
        <w:numPr>
          <w:ilvl w:val="0"/>
          <w:numId w:val="7"/>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可比实例的规划条件、室内装修年份等资料，因调查难度极大，其有关描述及调整只能根据估价人员的经验判断。</w:t>
      </w:r>
    </w:p>
    <w:p>
      <w:pPr>
        <w:pStyle w:val="49"/>
        <w:numPr>
          <w:ilvl w:val="0"/>
          <w:numId w:val="7"/>
        </w:numPr>
        <w:spacing w:line="400" w:lineRule="exact"/>
        <w:ind w:firstLine="520"/>
        <w:rPr>
          <w:rFonts w:ascii="仿宋_GB2312" w:hAnsi="宋体" w:eastAsia="仿宋_GB2312" w:cs="宋体"/>
          <w:spacing w:val="-10"/>
          <w:sz w:val="28"/>
          <w:szCs w:val="28"/>
        </w:rPr>
      </w:pPr>
      <w:r>
        <w:rPr>
          <w:rFonts w:hint="eastAsia" w:ascii="仿宋_GB2312" w:hAnsi="宋体" w:eastAsia="仿宋_GB2312" w:cs="宋体"/>
          <w:spacing w:val="-10"/>
          <w:sz w:val="28"/>
          <w:szCs w:val="28"/>
        </w:rPr>
        <w:t>房地产估价师无法掌握估价对象是否存在欠缴税费，拖欠物业费、水电费等情况及金额，本次估价未考虑拖欠上述费用金额对评估价值的影响。</w:t>
      </w:r>
    </w:p>
    <w:p>
      <w:pPr>
        <w:pStyle w:val="49"/>
        <w:numPr>
          <w:ilvl w:val="0"/>
          <w:numId w:val="7"/>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估价委托人提供的相关资料均未载明房屋建成年代，本次估价对象的建成年代由估价人员咨询及调查得出，确定其建成年代为2010年，如本次估价确定的建成年代与实际建成年代相差较大，则估价对象的价值应重新调整，特提醒报告使用人注意。</w:t>
      </w:r>
    </w:p>
    <w:p>
      <w:pPr>
        <w:snapToGrid w:val="0"/>
        <w:spacing w:line="400" w:lineRule="exact"/>
        <w:ind w:firstLine="560" w:firstLineChars="200"/>
        <w:rPr>
          <w:rFonts w:ascii="仿宋_GB2312" w:hAnsi="宋体" w:eastAsia="仿宋_GB2312" w:cs="宋体"/>
          <w:b/>
          <w:sz w:val="28"/>
          <w:szCs w:val="28"/>
        </w:rPr>
      </w:pPr>
      <w:r>
        <w:rPr>
          <w:rFonts w:hint="eastAsia" w:ascii="仿宋_GB2312" w:hAnsi="宋体" w:eastAsia="仿宋_GB2312" w:cs="宋体"/>
          <w:b/>
          <w:sz w:val="28"/>
          <w:szCs w:val="28"/>
        </w:rPr>
        <w:t>二、估价报告使用限制</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本次估价未考虑价值时点后国家宏观政策发生重大变化以及遇有自然力和其他不可抗力对估价结果的影响。</w:t>
      </w:r>
    </w:p>
    <w:p>
      <w:pPr>
        <w:pStyle w:val="49"/>
        <w:numPr>
          <w:ilvl w:val="0"/>
          <w:numId w:val="8"/>
        </w:numPr>
        <w:spacing w:line="400" w:lineRule="exact"/>
        <w:ind w:firstLine="560"/>
        <w:rPr>
          <w:rFonts w:ascii="仿宋_GB2312" w:hAnsi="宋体" w:eastAsia="仿宋_GB2312" w:cs="宋体"/>
          <w:sz w:val="28"/>
          <w:szCs w:val="28"/>
        </w:rPr>
      </w:pPr>
      <w:bookmarkStart w:id="39" w:name="OLE_LINK21"/>
      <w:bookmarkStart w:id="40" w:name="OLE_LINK22"/>
      <w:r>
        <w:rPr>
          <w:rFonts w:hint="eastAsia" w:ascii="仿宋_GB2312" w:hAnsi="宋体" w:eastAsia="仿宋_GB2312" w:cs="宋体"/>
          <w:sz w:val="28"/>
          <w:szCs w:val="28"/>
        </w:rPr>
        <w:t>估价对象的房屋用途为成套住宅，按照合法性原则，本估价报告以成套住宅为估价对象的法定用途，并产生相应的房地收益。</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估价目的、价值时点不变。</w:t>
      </w:r>
      <w:bookmarkEnd w:id="39"/>
      <w:bookmarkEnd w:id="40"/>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未经估价方和估价委托人书面同意,本报告的全部或部分及任何参考资料均不允许在任何公开发表的文件、通告或声明中引用,亦不得以其他任何方式公开发表。</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本报告估价结果为价值时点下估价对象在现状规划条件、建筑物在现状条件下的房地产正常市场价值，如估价对象规划用途、建筑面积或建筑物使用状况发生变化，估价结果需要做相应的调整甚至重新评估。</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本报告所依据的权属及其它证明材料，由估价委托人提供并对其真实性、合法性、有效性负责。如因资料失实或估价委托人有所隐匿而导致估价结果失真，估价机构不承担相应的责任。</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本报告估价目的是为估价委托人确定财产处置参考价提供参考依据，不做其他估价目的之用。如果估价对象的估价条件或目的发生变化，需重新进行估价。</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本估价报告在估价机构盖章和房地产估价师签字的条件下有效。</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本估价报告须完整使用，任何肢解或部分使用本报告所造成的损失由报告使用人承担。</w:t>
      </w:r>
    </w:p>
    <w:p>
      <w:pPr>
        <w:pStyle w:val="49"/>
        <w:numPr>
          <w:ilvl w:val="0"/>
          <w:numId w:val="8"/>
        </w:numPr>
        <w:spacing w:line="400" w:lineRule="exact"/>
        <w:ind w:firstLine="560"/>
        <w:rPr>
          <w:rFonts w:ascii="仿宋_GB2312" w:hAnsi="宋体" w:eastAsia="仿宋_GB2312" w:cs="宋体"/>
          <w:sz w:val="28"/>
          <w:szCs w:val="28"/>
        </w:rPr>
      </w:pPr>
      <w:r>
        <w:rPr>
          <w:rFonts w:hint="eastAsia" w:ascii="仿宋_GB2312" w:hAnsi="宋体" w:eastAsia="仿宋_GB2312" w:cs="宋体"/>
          <w:sz w:val="28"/>
          <w:szCs w:val="28"/>
        </w:rPr>
        <w:t>本估价报告自出具日起壹年内使用有效。</w:t>
      </w:r>
    </w:p>
    <w:p>
      <w:pPr>
        <w:pStyle w:val="3"/>
        <w:spacing w:after="156" w:line="440" w:lineRule="exact"/>
        <w:jc w:val="center"/>
        <w:rPr>
          <w:rFonts w:ascii="宋体" w:hAnsi="宋体" w:cs="宋体"/>
          <w:sz w:val="32"/>
          <w:szCs w:val="32"/>
        </w:rPr>
      </w:pPr>
      <w:r>
        <w:rPr>
          <w:rFonts w:hint="eastAsia" w:ascii="宋体" w:hAnsi="宋体" w:cs="宋体"/>
          <w:sz w:val="24"/>
          <w:highlight w:val="yellow"/>
        </w:rPr>
        <w:br w:type="page"/>
      </w:r>
      <w:bookmarkStart w:id="41" w:name="_Toc23400"/>
      <w:bookmarkStart w:id="42" w:name="_Toc24725328"/>
      <w:bookmarkStart w:id="43" w:name="_Toc24704794"/>
      <w:bookmarkStart w:id="44" w:name="_Toc32347803"/>
      <w:bookmarkStart w:id="45" w:name="_Toc26851"/>
      <w:bookmarkStart w:id="46" w:name="_Toc14675"/>
      <w:bookmarkStart w:id="47" w:name="_Toc399921377"/>
      <w:bookmarkStart w:id="48" w:name="_Toc5073"/>
      <w:bookmarkStart w:id="49" w:name="_Toc23691"/>
      <w:bookmarkStart w:id="50" w:name="_Toc12476"/>
      <w:bookmarkStart w:id="51" w:name="_Toc32409044"/>
      <w:bookmarkStart w:id="52" w:name="_Toc24717513"/>
      <w:bookmarkStart w:id="53" w:name="_Toc388427137"/>
      <w:bookmarkStart w:id="54" w:name="_Toc27411"/>
      <w:bookmarkStart w:id="55" w:name="_Toc19528"/>
      <w:r>
        <w:rPr>
          <w:rFonts w:hint="eastAsia" w:ascii="宋体" w:hAnsi="宋体" w:cs="宋体"/>
          <w:kern w:val="2"/>
          <w:sz w:val="32"/>
          <w:szCs w:val="32"/>
        </w:rPr>
        <w:t>估价结果报告</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4"/>
        <w:numPr>
          <w:ilvl w:val="0"/>
          <w:numId w:val="9"/>
        </w:numPr>
        <w:snapToGrid w:val="0"/>
        <w:spacing w:before="0" w:after="0" w:line="400" w:lineRule="exact"/>
        <w:ind w:left="0"/>
        <w:rPr>
          <w:rFonts w:ascii="仿宋_GB2312" w:hAnsi="宋体" w:eastAsia="仿宋_GB2312" w:cs="宋体"/>
          <w:sz w:val="28"/>
          <w:szCs w:val="28"/>
        </w:rPr>
      </w:pPr>
      <w:bookmarkStart w:id="56" w:name="_Toc26062"/>
      <w:bookmarkStart w:id="57" w:name="_Toc30508"/>
      <w:bookmarkStart w:id="58" w:name="_Toc388427138"/>
      <w:bookmarkStart w:id="59" w:name="_Toc24725329"/>
      <w:bookmarkStart w:id="60" w:name="_Toc31004"/>
      <w:bookmarkStart w:id="61" w:name="_Toc24717514"/>
      <w:bookmarkStart w:id="62" w:name="_Toc9972"/>
      <w:bookmarkStart w:id="63" w:name="_Toc3415"/>
      <w:bookmarkStart w:id="64" w:name="_Toc32347804"/>
      <w:bookmarkStart w:id="65" w:name="_Toc399921378"/>
      <w:bookmarkStart w:id="66" w:name="_Toc32409045"/>
      <w:bookmarkStart w:id="67" w:name="_Toc20072"/>
      <w:bookmarkStart w:id="68" w:name="_Toc24704795"/>
      <w:bookmarkStart w:id="69" w:name="_Toc20897"/>
      <w:bookmarkStart w:id="70" w:name="_Toc28542"/>
      <w:r>
        <w:rPr>
          <w:rFonts w:hint="eastAsia" w:ascii="仿宋_GB2312" w:hAnsi="宋体" w:eastAsia="仿宋_GB2312" w:cs="宋体"/>
          <w:sz w:val="28"/>
          <w:szCs w:val="28"/>
        </w:rPr>
        <w:t>估价委托人</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adjustRightInd w:val="0"/>
        <w:snapToGrid w:val="0"/>
        <w:spacing w:line="430" w:lineRule="atLeas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单位名称：泰安市泰山区人民法院</w:t>
      </w:r>
    </w:p>
    <w:p>
      <w:pPr>
        <w:adjustRightInd w:val="0"/>
        <w:snapToGrid w:val="0"/>
        <w:spacing w:line="430" w:lineRule="atLeas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单位地址：山东省泰安市泰山区东岳大街5号</w:t>
      </w:r>
    </w:p>
    <w:p>
      <w:pPr>
        <w:adjustRightInd w:val="0"/>
        <w:snapToGrid w:val="0"/>
        <w:spacing w:line="430" w:lineRule="atLeas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联系人：韩光宏</w:t>
      </w:r>
    </w:p>
    <w:p>
      <w:pPr>
        <w:adjustRightInd w:val="0"/>
        <w:snapToGrid w:val="0"/>
        <w:spacing w:line="430" w:lineRule="atLeas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联系电话：0538-8625193</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71" w:name="_Toc30393"/>
      <w:bookmarkStart w:id="72" w:name="_Toc24725330"/>
      <w:bookmarkStart w:id="73" w:name="_Toc24717515"/>
      <w:bookmarkStart w:id="74" w:name="_Toc32409046"/>
      <w:bookmarkStart w:id="75" w:name="_Toc32347805"/>
      <w:bookmarkStart w:id="76" w:name="_Toc24704796"/>
      <w:bookmarkStart w:id="77" w:name="_Toc15558"/>
      <w:bookmarkStart w:id="78" w:name="_Toc19199"/>
      <w:bookmarkStart w:id="79" w:name="_Toc13800"/>
      <w:bookmarkStart w:id="80" w:name="_Toc20848"/>
      <w:r>
        <w:rPr>
          <w:rFonts w:hint="eastAsia" w:ascii="仿宋_GB2312" w:hAnsi="宋体" w:eastAsia="仿宋_GB2312" w:cs="宋体"/>
          <w:sz w:val="28"/>
          <w:szCs w:val="28"/>
        </w:rPr>
        <w:t>房地产估价机构</w:t>
      </w:r>
      <w:bookmarkEnd w:id="71"/>
      <w:bookmarkEnd w:id="72"/>
      <w:bookmarkEnd w:id="73"/>
      <w:bookmarkEnd w:id="74"/>
      <w:bookmarkEnd w:id="75"/>
      <w:bookmarkEnd w:id="76"/>
      <w:bookmarkEnd w:id="77"/>
      <w:bookmarkEnd w:id="78"/>
      <w:bookmarkEnd w:id="79"/>
      <w:bookmarkEnd w:id="80"/>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名   称：山东众合土地房地产评估有限公司</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住   所: 济南市历下区经十路13777号中润世纪广场18号楼14层</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法定代表人: 李坚昱</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统一社会信用代码：913701027478445359</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备 案 等 级:贰级</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备案证书编号：鲁评002026</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联  系  人：王国芹</w:t>
      </w:r>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联系电话：0531-81666272</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81" w:name="_Toc24717516"/>
      <w:bookmarkStart w:id="82" w:name="_Toc6753"/>
      <w:bookmarkStart w:id="83" w:name="_Toc24725331"/>
      <w:bookmarkStart w:id="84" w:name="_Toc399921380"/>
      <w:bookmarkStart w:id="85" w:name="_Toc13988"/>
      <w:bookmarkStart w:id="86" w:name="_Toc32409047"/>
      <w:bookmarkStart w:id="87" w:name="_Toc323116701"/>
      <w:bookmarkStart w:id="88" w:name="_Toc8359"/>
      <w:bookmarkStart w:id="89" w:name="_Toc323043783"/>
      <w:bookmarkStart w:id="90" w:name="_Toc388427140"/>
      <w:bookmarkStart w:id="91" w:name="_Toc32347806"/>
      <w:bookmarkStart w:id="92" w:name="_Toc5519"/>
      <w:bookmarkStart w:id="93" w:name="_Toc24704797"/>
      <w:bookmarkStart w:id="94" w:name="_Toc21211"/>
      <w:bookmarkStart w:id="95" w:name="_Toc24457"/>
      <w:bookmarkStart w:id="96" w:name="_Toc27777"/>
      <w:bookmarkStart w:id="97" w:name="_Toc9162"/>
      <w:r>
        <w:rPr>
          <w:rFonts w:hint="eastAsia" w:ascii="仿宋_GB2312" w:hAnsi="宋体" w:eastAsia="仿宋_GB2312" w:cs="宋体"/>
          <w:sz w:val="28"/>
          <w:szCs w:val="28"/>
        </w:rPr>
        <w:t>估价目的</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hint="eastAsia" w:ascii="仿宋_GB2312" w:hAnsi="宋体" w:eastAsia="仿宋_GB2312" w:cs="宋体"/>
          <w:sz w:val="28"/>
          <w:szCs w:val="28"/>
        </w:rPr>
        <w:t xml:space="preserve">  </w:t>
      </w:r>
    </w:p>
    <w:p>
      <w:pPr>
        <w:adjustRightInd w:val="0"/>
        <w:snapToGrid w:val="0"/>
        <w:spacing w:line="420" w:lineRule="atLeast"/>
        <w:ind w:firstLine="560" w:firstLineChars="200"/>
        <w:rPr>
          <w:rFonts w:ascii="仿宋_GB2312" w:hAnsi="宋体" w:eastAsia="仿宋_GB2312" w:cs="宋体"/>
          <w:sz w:val="28"/>
          <w:szCs w:val="28"/>
        </w:rPr>
      </w:pPr>
      <w:bookmarkStart w:id="98" w:name="_Toc399921381"/>
      <w:bookmarkStart w:id="99" w:name="_Toc23785"/>
      <w:bookmarkStart w:id="100" w:name="_Toc388427141"/>
      <w:bookmarkStart w:id="101" w:name="_Toc1926"/>
      <w:bookmarkStart w:id="102" w:name="_Toc323116700"/>
      <w:bookmarkStart w:id="103" w:name="_Toc323043782"/>
      <w:bookmarkStart w:id="104" w:name="_Toc11980"/>
      <w:bookmarkStart w:id="105" w:name="_Toc12172"/>
      <w:bookmarkStart w:id="106" w:name="_Toc323116699"/>
      <w:bookmarkStart w:id="107" w:name="_Toc388427139"/>
      <w:bookmarkStart w:id="108" w:name="_Toc24164"/>
      <w:bookmarkStart w:id="109" w:name="_Toc323043781"/>
      <w:bookmarkStart w:id="110" w:name="_Toc24784"/>
      <w:bookmarkStart w:id="111" w:name="_Toc399921379"/>
      <w:r>
        <w:rPr>
          <w:rFonts w:hint="eastAsia" w:ascii="仿宋_GB2312" w:hAnsi="宋体" w:eastAsia="仿宋_GB2312" w:cs="宋体"/>
          <w:sz w:val="28"/>
          <w:szCs w:val="28"/>
        </w:rPr>
        <w:t>为泰安市泰山区人民法院确定财产处置参考价提供参考依据。</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112" w:name="_Toc32409048"/>
      <w:bookmarkStart w:id="113" w:name="_Toc19194"/>
      <w:bookmarkStart w:id="114" w:name="_Toc32347807"/>
      <w:bookmarkStart w:id="115" w:name="_Toc11698"/>
      <w:bookmarkStart w:id="116" w:name="_Toc24725332"/>
      <w:bookmarkStart w:id="117" w:name="_Toc24704798"/>
      <w:bookmarkStart w:id="118" w:name="_Toc19954"/>
      <w:bookmarkStart w:id="119" w:name="_Toc24717517"/>
      <w:bookmarkStart w:id="120" w:name="_Toc21741"/>
      <w:bookmarkStart w:id="121" w:name="_Toc25356"/>
      <w:r>
        <w:rPr>
          <w:rFonts w:hint="eastAsia" w:ascii="仿宋_GB2312" w:hAnsi="宋体" w:eastAsia="仿宋_GB2312" w:cs="宋体"/>
          <w:sz w:val="28"/>
          <w:szCs w:val="28"/>
        </w:rPr>
        <w:t>估价对象</w:t>
      </w:r>
      <w:bookmarkEnd w:id="98"/>
      <w:bookmarkEnd w:id="99"/>
      <w:bookmarkEnd w:id="100"/>
      <w:bookmarkEnd w:id="101"/>
      <w:bookmarkEnd w:id="102"/>
      <w:bookmarkEnd w:id="103"/>
      <w:bookmarkEnd w:id="104"/>
      <w:bookmarkEnd w:id="112"/>
      <w:bookmarkEnd w:id="113"/>
      <w:bookmarkEnd w:id="114"/>
      <w:bookmarkEnd w:id="115"/>
      <w:bookmarkEnd w:id="116"/>
      <w:bookmarkEnd w:id="117"/>
      <w:bookmarkEnd w:id="118"/>
      <w:bookmarkEnd w:id="119"/>
      <w:bookmarkEnd w:id="120"/>
      <w:bookmarkEnd w:id="121"/>
    </w:p>
    <w:p>
      <w:pPr>
        <w:numPr>
          <w:ilvl w:val="0"/>
          <w:numId w:val="10"/>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估价对象财产范围</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估价对象财产范围包括建筑物、分摊的土地使用权及配套设施，不包括动产、债权债务等其他财产或权益。</w:t>
      </w:r>
    </w:p>
    <w:p>
      <w:pPr>
        <w:numPr>
          <w:ilvl w:val="0"/>
          <w:numId w:val="10"/>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估价对象基本状况</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估价对象为泰安市东岳大街西段北侧容郡国际小区5号楼二单元502号房地产；建成于2010年，总层数为7层（含阁楼层）；估价对象位于地上</w:t>
      </w:r>
      <w:r>
        <w:rPr>
          <w:rFonts w:hint="eastAsia" w:ascii="仿宋_GB2312" w:hAnsi="宋体" w:eastAsia="仿宋_GB2312" w:cs="宋体"/>
          <w:sz w:val="28"/>
          <w:szCs w:val="28"/>
          <w:lang w:val="zh-CN"/>
        </w:rPr>
        <w:t>第</w:t>
      </w:r>
      <w:r>
        <w:rPr>
          <w:rFonts w:hint="eastAsia" w:ascii="仿宋_GB2312" w:hAnsi="宋体" w:eastAsia="仿宋_GB2312" w:cs="宋体"/>
          <w:sz w:val="28"/>
          <w:szCs w:val="28"/>
        </w:rPr>
        <w:t>5层、第6</w:t>
      </w:r>
      <w:r>
        <w:rPr>
          <w:rFonts w:hint="eastAsia" w:ascii="仿宋_GB2312" w:hAnsi="宋体" w:eastAsia="仿宋_GB2312" w:cs="宋体"/>
          <w:sz w:val="28"/>
          <w:szCs w:val="28"/>
          <w:lang w:val="zh-CN"/>
        </w:rPr>
        <w:t>层（阁楼层）</w:t>
      </w:r>
      <w:r>
        <w:rPr>
          <w:rFonts w:hint="eastAsia" w:ascii="仿宋_GB2312" w:hAnsi="宋体" w:eastAsia="仿宋_GB2312" w:cs="宋体"/>
          <w:sz w:val="28"/>
          <w:szCs w:val="28"/>
        </w:rPr>
        <w:t>，估价对象</w:t>
      </w:r>
      <w:r>
        <w:rPr>
          <w:rFonts w:hint="eastAsia" w:ascii="仿宋_GB2312" w:hAnsi="宋体" w:eastAsia="仿宋_GB2312" w:cs="宋体"/>
          <w:sz w:val="28"/>
          <w:szCs w:val="28"/>
          <w:lang w:val="zh-CN"/>
        </w:rPr>
        <w:t>建筑面积</w:t>
      </w:r>
      <w:r>
        <w:rPr>
          <w:rFonts w:hint="eastAsia" w:ascii="仿宋_GB2312" w:hAnsi="宋体" w:eastAsia="仿宋_GB2312" w:cs="宋体"/>
          <w:sz w:val="28"/>
          <w:szCs w:val="28"/>
        </w:rPr>
        <w:t>151.11平方米，房屋用途为成套住宅，权利人为</w:t>
      </w:r>
      <w:r>
        <w:rPr>
          <w:rFonts w:hint="eastAsia" w:ascii="仿宋_GB2312" w:hAnsi="宋体" w:eastAsia="仿宋_GB2312" w:cs="宋体"/>
          <w:sz w:val="28"/>
          <w:szCs w:val="28"/>
          <w:lang w:val="zh-CN"/>
        </w:rPr>
        <w:t>李振国</w:t>
      </w:r>
      <w:r>
        <w:rPr>
          <w:rFonts w:hint="eastAsia" w:ascii="仿宋_GB2312" w:hAnsi="宋体" w:eastAsia="仿宋_GB2312" w:cs="宋体"/>
          <w:sz w:val="28"/>
          <w:szCs w:val="28"/>
        </w:rPr>
        <w:t>，共有情况为单独所有。</w:t>
      </w:r>
    </w:p>
    <w:tbl>
      <w:tblPr>
        <w:tblStyle w:val="19"/>
        <w:tblW w:w="91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3"/>
        <w:gridCol w:w="6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117" w:type="dxa"/>
            <w:gridSpan w:val="2"/>
            <w:tcBorders>
              <w:top w:val="nil"/>
              <w:left w:val="nil"/>
              <w:bottom w:val="single" w:color="auto" w:sz="12" w:space="0"/>
              <w:right w:val="nil"/>
            </w:tcBorders>
            <w:vAlign w:val="center"/>
          </w:tcPr>
          <w:p>
            <w:pPr>
              <w:adjustRightInd w:val="0"/>
              <w:snapToGrid w:val="0"/>
              <w:spacing w:line="400" w:lineRule="exact"/>
              <w:rPr>
                <w:rFonts w:ascii="仿宋_GB2312" w:hAnsi="宋体" w:eastAsia="仿宋_GB2312" w:cs="宋体"/>
                <w:sz w:val="24"/>
              </w:rPr>
            </w:pPr>
            <w:r>
              <w:rPr>
                <w:rFonts w:hint="eastAsia" w:ascii="仿宋_GB2312" w:hAnsi="宋体" w:eastAsia="仿宋_GB2312" w:cs="宋体"/>
                <w:b/>
                <w:bCs/>
                <w:sz w:val="24"/>
              </w:rPr>
              <w:t xml:space="preserve">                       不动产登记信息摘录表                          表2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33" w:type="dxa"/>
            <w:tcBorders>
              <w:top w:val="single" w:color="auto" w:sz="12" w:space="0"/>
              <w:bottom w:val="single" w:color="auto" w:sz="2" w:space="0"/>
              <w:right w:val="single" w:color="auto" w:sz="6" w:space="0"/>
            </w:tcBorders>
            <w:vAlign w:val="center"/>
          </w:tcPr>
          <w:p>
            <w:pPr>
              <w:adjustRightInd w:val="0"/>
              <w:snapToGrid w:val="0"/>
              <w:spacing w:line="400" w:lineRule="exact"/>
              <w:jc w:val="center"/>
              <w:rPr>
                <w:rFonts w:ascii="仿宋_GB2312" w:hAnsi="宋体" w:eastAsia="仿宋_GB2312" w:cs="宋体"/>
                <w:sz w:val="24"/>
              </w:rPr>
            </w:pPr>
            <w:r>
              <w:rPr>
                <w:rFonts w:hint="eastAsia" w:ascii="仿宋_GB2312" w:hAnsi="宋体" w:eastAsia="仿宋_GB2312" w:cs="宋体"/>
                <w:sz w:val="24"/>
              </w:rPr>
              <w:t>合同号</w:t>
            </w:r>
          </w:p>
        </w:tc>
        <w:tc>
          <w:tcPr>
            <w:tcW w:w="6884" w:type="dxa"/>
            <w:tcBorders>
              <w:top w:val="single" w:color="auto" w:sz="12" w:space="0"/>
              <w:left w:val="single" w:color="auto" w:sz="6" w:space="0"/>
              <w:bottom w:val="single" w:color="auto" w:sz="2" w:space="0"/>
            </w:tcBorders>
            <w:vAlign w:val="center"/>
          </w:tcPr>
          <w:p>
            <w:pPr>
              <w:adjustRightInd w:val="0"/>
              <w:snapToGrid w:val="0"/>
              <w:spacing w:line="400" w:lineRule="exact"/>
              <w:rPr>
                <w:rFonts w:ascii="仿宋_GB2312" w:hAnsi="宋体" w:eastAsia="仿宋_GB2312" w:cs="宋体"/>
                <w:sz w:val="24"/>
              </w:rPr>
            </w:pPr>
            <w:r>
              <w:rPr>
                <w:rFonts w:hint="eastAsia" w:ascii="仿宋_GB2312" w:hAnsi="宋体" w:eastAsia="仿宋_GB2312" w:cs="宋体"/>
                <w:sz w:val="24"/>
              </w:rPr>
              <w:t>YS0008337号（依据《不动产登记资料查询结果证明》复印件确定）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33" w:type="dxa"/>
            <w:tcBorders>
              <w:top w:val="single" w:color="auto" w:sz="2" w:space="0"/>
              <w:bottom w:val="single" w:color="auto" w:sz="6" w:space="0"/>
              <w:right w:val="single" w:color="auto" w:sz="6" w:space="0"/>
            </w:tcBorders>
            <w:vAlign w:val="center"/>
          </w:tcPr>
          <w:p>
            <w:pPr>
              <w:adjustRightInd w:val="0"/>
              <w:snapToGrid w:val="0"/>
              <w:spacing w:line="400" w:lineRule="exact"/>
              <w:jc w:val="center"/>
              <w:rPr>
                <w:rFonts w:ascii="仿宋_GB2312" w:hAnsi="宋体" w:eastAsia="仿宋_GB2312" w:cs="宋体"/>
                <w:sz w:val="24"/>
              </w:rPr>
            </w:pPr>
            <w:r>
              <w:rPr>
                <w:rFonts w:hint="eastAsia" w:ascii="仿宋_GB2312" w:hAnsi="宋体" w:eastAsia="仿宋_GB2312" w:cs="宋体"/>
                <w:sz w:val="24"/>
              </w:rPr>
              <w:t>权利人</w:t>
            </w:r>
          </w:p>
        </w:tc>
        <w:tc>
          <w:tcPr>
            <w:tcW w:w="6884" w:type="dxa"/>
            <w:tcBorders>
              <w:top w:val="single" w:color="auto" w:sz="2" w:space="0"/>
              <w:left w:val="single" w:color="auto" w:sz="6" w:space="0"/>
              <w:bottom w:val="single" w:color="auto" w:sz="6" w:space="0"/>
            </w:tcBorders>
            <w:vAlign w:val="center"/>
          </w:tcPr>
          <w:p>
            <w:pPr>
              <w:adjustRightInd w:val="0"/>
              <w:snapToGrid w:val="0"/>
              <w:spacing w:line="400" w:lineRule="exact"/>
              <w:rPr>
                <w:rFonts w:ascii="仿宋_GB2312" w:hAnsi="宋体" w:eastAsia="仿宋_GB2312" w:cs="宋体"/>
                <w:sz w:val="24"/>
              </w:rPr>
            </w:pPr>
            <w:r>
              <w:rPr>
                <w:rFonts w:hint="eastAsia" w:ascii="仿宋_GB2312" w:hAnsi="宋体" w:eastAsia="仿宋_GB2312" w:cs="宋体"/>
                <w:sz w:val="24"/>
              </w:rPr>
              <w:t>李振国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33" w:type="dxa"/>
            <w:tcBorders>
              <w:top w:val="single" w:color="auto" w:sz="2" w:space="0"/>
              <w:bottom w:val="single" w:color="auto" w:sz="6" w:space="0"/>
              <w:right w:val="single" w:color="auto" w:sz="6" w:space="0"/>
            </w:tcBorders>
            <w:vAlign w:val="center"/>
          </w:tcPr>
          <w:p>
            <w:pPr>
              <w:adjustRightInd w:val="0"/>
              <w:snapToGrid w:val="0"/>
              <w:spacing w:line="400" w:lineRule="exact"/>
              <w:jc w:val="center"/>
              <w:rPr>
                <w:rFonts w:ascii="仿宋_GB2312" w:hAnsi="宋体" w:eastAsia="仿宋_GB2312" w:cs="宋体"/>
                <w:sz w:val="24"/>
              </w:rPr>
            </w:pPr>
            <w:r>
              <w:rPr>
                <w:rFonts w:hint="eastAsia" w:ascii="仿宋_GB2312" w:hAnsi="宋体" w:eastAsia="仿宋_GB2312" w:cs="宋体"/>
                <w:sz w:val="24"/>
              </w:rPr>
              <w:t>权利状况</w:t>
            </w:r>
          </w:p>
        </w:tc>
        <w:tc>
          <w:tcPr>
            <w:tcW w:w="6884" w:type="dxa"/>
            <w:tcBorders>
              <w:top w:val="single" w:color="auto" w:sz="2" w:space="0"/>
              <w:left w:val="single" w:color="auto" w:sz="6" w:space="0"/>
              <w:bottom w:val="single" w:color="auto" w:sz="6" w:space="0"/>
            </w:tcBorders>
            <w:vAlign w:val="center"/>
          </w:tcPr>
          <w:p>
            <w:pPr>
              <w:adjustRightInd w:val="0"/>
              <w:snapToGrid w:val="0"/>
              <w:spacing w:line="400" w:lineRule="exact"/>
              <w:rPr>
                <w:rFonts w:ascii="仿宋_GB2312" w:hAnsi="宋体" w:eastAsia="仿宋_GB2312" w:cs="宋体"/>
                <w:sz w:val="24"/>
              </w:rPr>
            </w:pPr>
            <w:r>
              <w:rPr>
                <w:rFonts w:hint="eastAsia" w:ascii="仿宋_GB2312" w:hAnsi="宋体" w:eastAsia="仿宋_GB2312" w:cs="宋体"/>
                <w:sz w:val="24"/>
              </w:rPr>
              <w:t>预售合同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33" w:type="dxa"/>
            <w:tcBorders>
              <w:top w:val="single" w:color="auto" w:sz="6" w:space="0"/>
              <w:bottom w:val="single" w:color="auto" w:sz="6" w:space="0"/>
              <w:right w:val="single" w:color="auto" w:sz="6" w:space="0"/>
            </w:tcBorders>
            <w:vAlign w:val="center"/>
          </w:tcPr>
          <w:p>
            <w:pPr>
              <w:adjustRightInd w:val="0"/>
              <w:snapToGrid w:val="0"/>
              <w:spacing w:line="400" w:lineRule="exact"/>
              <w:jc w:val="center"/>
              <w:rPr>
                <w:rFonts w:ascii="仿宋_GB2312" w:hAnsi="宋体" w:eastAsia="仿宋_GB2312" w:cs="宋体"/>
                <w:sz w:val="24"/>
                <w:highlight w:val="yellow"/>
              </w:rPr>
            </w:pPr>
            <w:r>
              <w:rPr>
                <w:rFonts w:hint="eastAsia" w:ascii="仿宋_GB2312" w:hAnsi="宋体" w:eastAsia="仿宋_GB2312" w:cs="宋体"/>
                <w:sz w:val="24"/>
              </w:rPr>
              <w:t>房屋坐落</w:t>
            </w:r>
          </w:p>
        </w:tc>
        <w:tc>
          <w:tcPr>
            <w:tcW w:w="6884" w:type="dxa"/>
            <w:tcBorders>
              <w:top w:val="single" w:color="auto" w:sz="6" w:space="0"/>
              <w:left w:val="single" w:color="auto" w:sz="6" w:space="0"/>
              <w:bottom w:val="single" w:color="auto" w:sz="6" w:space="0"/>
            </w:tcBorders>
            <w:vAlign w:val="center"/>
          </w:tcPr>
          <w:p>
            <w:pPr>
              <w:adjustRightInd w:val="0"/>
              <w:snapToGrid w:val="0"/>
              <w:spacing w:line="400" w:lineRule="exact"/>
              <w:rPr>
                <w:rFonts w:ascii="仿宋_GB2312" w:hAnsi="宋体" w:eastAsia="仿宋_GB2312" w:cs="宋体"/>
                <w:sz w:val="24"/>
                <w:highlight w:val="yellow"/>
              </w:rPr>
            </w:pPr>
            <w:r>
              <w:rPr>
                <w:rFonts w:hint="eastAsia" w:ascii="仿宋_GB2312" w:hAnsi="宋体" w:eastAsia="仿宋_GB2312" w:cs="宋体"/>
                <w:sz w:val="24"/>
              </w:rPr>
              <w:t>泰安市东岳大街西段北侧容郡国际小区5号楼二单元502号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2233" w:type="dxa"/>
            <w:tcBorders>
              <w:top w:val="single" w:color="auto" w:sz="6" w:space="0"/>
              <w:bottom w:val="single" w:color="auto" w:sz="6" w:space="0"/>
              <w:right w:val="single" w:color="auto" w:sz="6" w:space="0"/>
            </w:tcBorders>
            <w:vAlign w:val="center"/>
          </w:tcPr>
          <w:p>
            <w:pPr>
              <w:adjustRightInd w:val="0"/>
              <w:snapToGrid w:val="0"/>
              <w:spacing w:line="400" w:lineRule="exact"/>
              <w:jc w:val="center"/>
              <w:rPr>
                <w:rFonts w:ascii="仿宋_GB2312" w:hAnsi="宋体" w:eastAsia="仿宋_GB2312" w:cs="宋体"/>
                <w:sz w:val="24"/>
              </w:rPr>
            </w:pPr>
            <w:r>
              <w:rPr>
                <w:rFonts w:hint="eastAsia" w:ascii="仿宋_GB2312" w:hAnsi="宋体" w:eastAsia="仿宋_GB2312" w:cs="宋体"/>
                <w:sz w:val="24"/>
              </w:rPr>
              <w:t>建筑面积</w:t>
            </w:r>
          </w:p>
        </w:tc>
        <w:tc>
          <w:tcPr>
            <w:tcW w:w="6884"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仿宋_GB2312" w:hAnsi="宋体" w:cs="宋体"/>
                <w:sz w:val="24"/>
              </w:rPr>
            </w:pPr>
            <w:r>
              <w:rPr>
                <w:rFonts w:hint="eastAsia" w:ascii="仿宋_GB2312" w:hAnsi="宋体" w:eastAsia="仿宋_GB2312" w:cs="宋体"/>
                <w:sz w:val="24"/>
              </w:rPr>
              <w:t>151.11</w:t>
            </w:r>
            <w:r>
              <w:rPr>
                <w:rFonts w:hint="eastAsia" w:ascii="宋体" w:hAnsi="宋体" w:cs="宋体"/>
                <w:sz w:val="24"/>
              </w:rPr>
              <w:t>㎡</w:t>
            </w:r>
            <w:r>
              <w:rPr>
                <w:rFonts w:ascii="仿宋_GB2312" w:hAnsi="宋体" w:cs="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33" w:type="dxa"/>
            <w:tcBorders>
              <w:top w:val="single" w:color="auto" w:sz="6" w:space="0"/>
              <w:bottom w:val="single" w:color="auto" w:sz="6" w:space="0"/>
              <w:right w:val="single" w:color="auto" w:sz="6" w:space="0"/>
            </w:tcBorders>
            <w:vAlign w:val="center"/>
          </w:tcPr>
          <w:p>
            <w:pPr>
              <w:adjustRightInd w:val="0"/>
              <w:snapToGrid w:val="0"/>
              <w:spacing w:line="400" w:lineRule="exact"/>
              <w:jc w:val="center"/>
              <w:rPr>
                <w:rFonts w:ascii="仿宋_GB2312" w:hAnsi="宋体" w:eastAsia="仿宋_GB2312" w:cs="宋体"/>
                <w:sz w:val="24"/>
              </w:rPr>
            </w:pPr>
            <w:r>
              <w:rPr>
                <w:rFonts w:hint="eastAsia" w:ascii="仿宋_GB2312" w:hAnsi="宋体" w:eastAsia="仿宋_GB2312" w:cs="宋体"/>
                <w:sz w:val="24"/>
              </w:rPr>
              <w:t>共有情况</w:t>
            </w:r>
          </w:p>
        </w:tc>
        <w:tc>
          <w:tcPr>
            <w:tcW w:w="6884"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仿宋_GB2312" w:hAnsi="宋体" w:eastAsia="仿宋_GB2312" w:cs="宋体"/>
                <w:sz w:val="24"/>
              </w:rPr>
            </w:pPr>
            <w:r>
              <w:rPr>
                <w:rFonts w:hint="eastAsia" w:ascii="仿宋_GB2312" w:hAnsi="宋体" w:eastAsia="仿宋_GB2312" w:cs="宋体"/>
                <w:sz w:val="24"/>
              </w:rPr>
              <w:t>单独所有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33" w:type="dxa"/>
            <w:tcBorders>
              <w:top w:val="single" w:color="auto" w:sz="6" w:space="0"/>
              <w:bottom w:val="single" w:color="auto" w:sz="12" w:space="0"/>
              <w:right w:val="single" w:color="auto" w:sz="6" w:space="0"/>
            </w:tcBorders>
            <w:vAlign w:val="center"/>
          </w:tcPr>
          <w:p>
            <w:pPr>
              <w:adjustRightInd w:val="0"/>
              <w:snapToGrid w:val="0"/>
              <w:spacing w:line="400" w:lineRule="exact"/>
              <w:jc w:val="center"/>
              <w:rPr>
                <w:rFonts w:ascii="仿宋_GB2312" w:hAnsi="宋体" w:eastAsia="仿宋_GB2312" w:cs="宋体"/>
                <w:sz w:val="24"/>
              </w:rPr>
            </w:pPr>
            <w:r>
              <w:rPr>
                <w:rFonts w:hint="eastAsia" w:ascii="仿宋_GB2312" w:hAnsi="宋体" w:eastAsia="仿宋_GB2312" w:cs="宋体"/>
                <w:sz w:val="24"/>
              </w:rPr>
              <w:t>土地信息</w:t>
            </w:r>
          </w:p>
        </w:tc>
        <w:tc>
          <w:tcPr>
            <w:tcW w:w="6884"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400" w:lineRule="exact"/>
              <w:rPr>
                <w:rFonts w:ascii="仿宋_GB2312" w:hAnsi="宋体" w:eastAsia="仿宋_GB2312" w:cs="宋体"/>
                <w:sz w:val="24"/>
              </w:rPr>
            </w:pPr>
            <w:r>
              <w:rPr>
                <w:rFonts w:hint="eastAsia" w:ascii="仿宋_GB2312" w:hAnsi="宋体" w:eastAsia="仿宋_GB2312" w:cs="宋体"/>
                <w:sz w:val="24"/>
              </w:rPr>
              <w:t>土地用途：城镇住宅用地、其他商服用地</w:t>
            </w:r>
          </w:p>
        </w:tc>
      </w:tr>
    </w:tbl>
    <w:p>
      <w:pPr>
        <w:numPr>
          <w:ilvl w:val="0"/>
          <w:numId w:val="10"/>
        </w:numPr>
        <w:adjustRightInd w:val="0"/>
        <w:snapToGrid w:val="0"/>
        <w:spacing w:beforeLines="50" w:line="400" w:lineRule="exact"/>
        <w:rPr>
          <w:rFonts w:ascii="仿宋_GB2312" w:hAnsi="宋体" w:eastAsia="仿宋_GB2312" w:cs="宋体"/>
          <w:b/>
          <w:sz w:val="28"/>
          <w:szCs w:val="28"/>
        </w:rPr>
      </w:pPr>
      <w:r>
        <w:rPr>
          <w:rFonts w:hint="eastAsia" w:ascii="仿宋_GB2312" w:hAnsi="宋体" w:eastAsia="仿宋_GB2312" w:cs="宋体"/>
          <w:b/>
          <w:sz w:val="28"/>
          <w:szCs w:val="28"/>
        </w:rPr>
        <w:t>土地基本状况</w:t>
      </w:r>
    </w:p>
    <w:p>
      <w:pPr>
        <w:numPr>
          <w:ilvl w:val="0"/>
          <w:numId w:val="11"/>
        </w:numPr>
        <w:adjustRightInd w:val="0"/>
        <w:snapToGrid w:val="0"/>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小区四至：上库公路以南，东岳大街以东，支路以北，泰棉小区以西。</w:t>
      </w:r>
    </w:p>
    <w:p>
      <w:pPr>
        <w:numPr>
          <w:ilvl w:val="0"/>
          <w:numId w:val="11"/>
        </w:numPr>
        <w:adjustRightInd w:val="0"/>
        <w:snapToGrid w:val="0"/>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土地使用权类型：土地使用权类型为国有建设用地使用权。</w:t>
      </w:r>
    </w:p>
    <w:p>
      <w:pPr>
        <w:numPr>
          <w:ilvl w:val="0"/>
          <w:numId w:val="11"/>
        </w:numPr>
        <w:adjustRightInd w:val="0"/>
        <w:snapToGrid w:val="0"/>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开发程度：估价对象所在小区一期地块于2010年已开发完成。</w:t>
      </w:r>
    </w:p>
    <w:p>
      <w:pPr>
        <w:numPr>
          <w:ilvl w:val="0"/>
          <w:numId w:val="10"/>
        </w:numPr>
        <w:adjustRightInd w:val="0"/>
        <w:snapToGrid w:val="0"/>
        <w:spacing w:line="420" w:lineRule="exact"/>
        <w:rPr>
          <w:rFonts w:ascii="仿宋_GB2312" w:hAnsi="宋体" w:eastAsia="仿宋_GB2312" w:cs="宋体"/>
          <w:b/>
          <w:sz w:val="28"/>
          <w:szCs w:val="28"/>
        </w:rPr>
      </w:pPr>
      <w:r>
        <w:rPr>
          <w:rFonts w:hint="eastAsia" w:ascii="仿宋_GB2312" w:hAnsi="宋体" w:eastAsia="仿宋_GB2312" w:cs="宋体"/>
          <w:b/>
          <w:sz w:val="28"/>
          <w:szCs w:val="28"/>
        </w:rPr>
        <w:t>建筑物基本状况</w:t>
      </w:r>
    </w:p>
    <w:tbl>
      <w:tblPr>
        <w:tblStyle w:val="19"/>
        <w:tblW w:w="89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6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966" w:type="dxa"/>
            <w:gridSpan w:val="2"/>
            <w:tcBorders>
              <w:top w:val="nil"/>
              <w:left w:val="nil"/>
              <w:bottom w:val="single" w:color="auto" w:sz="12" w:space="0"/>
              <w:right w:val="nil"/>
            </w:tcBorders>
            <w:vAlign w:val="center"/>
          </w:tcPr>
          <w:p>
            <w:pPr>
              <w:spacing w:line="360" w:lineRule="atLeast"/>
              <w:jc w:val="center"/>
              <w:rPr>
                <w:rFonts w:ascii="仿宋_GB2312" w:hAnsi="宋体" w:eastAsia="仿宋_GB2312" w:cs="宋体"/>
                <w:sz w:val="24"/>
              </w:rPr>
            </w:pPr>
            <w:r>
              <w:rPr>
                <w:rFonts w:hint="eastAsia" w:ascii="仿宋_GB2312" w:hAnsi="宋体" w:eastAsia="仿宋_GB2312" w:cs="宋体"/>
                <w:b/>
                <w:sz w:val="24"/>
              </w:rPr>
              <w:t xml:space="preserve">                           建筑物基本状况说明表                      </w:t>
            </w:r>
            <w:r>
              <w:rPr>
                <w:rFonts w:hint="eastAsia" w:ascii="仿宋_GB2312" w:hAnsi="宋体" w:eastAsia="仿宋_GB2312" w:cs="宋体"/>
                <w:b/>
                <w:bCs/>
                <w:sz w:val="24"/>
              </w:rPr>
              <w:t>表3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exact"/>
          <w:jc w:val="center"/>
        </w:trPr>
        <w:tc>
          <w:tcPr>
            <w:tcW w:w="1989" w:type="dxa"/>
            <w:tcBorders>
              <w:top w:val="single" w:color="auto" w:sz="12" w:space="0"/>
              <w:bottom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建筑结构</w:t>
            </w:r>
          </w:p>
        </w:tc>
        <w:tc>
          <w:tcPr>
            <w:tcW w:w="6977" w:type="dxa"/>
            <w:tcBorders>
              <w:top w:val="single" w:color="auto" w:sz="12" w:space="0"/>
              <w:bottom w:val="single" w:color="auto" w:sz="6" w:space="0"/>
            </w:tcBorders>
            <w:vAlign w:val="center"/>
          </w:tcPr>
          <w:p>
            <w:pPr>
              <w:rPr>
                <w:rFonts w:ascii="仿宋_GB2312" w:hAnsi="宋体" w:eastAsia="仿宋_GB2312" w:cs="宋体"/>
                <w:sz w:val="24"/>
              </w:rPr>
            </w:pPr>
            <w:r>
              <w:rPr>
                <w:rFonts w:hint="eastAsia" w:ascii="仿宋_GB2312" w:hAnsi="宋体" w:eastAsia="仿宋_GB2312" w:cs="宋体"/>
                <w:sz w:val="24"/>
              </w:rPr>
              <w:t>钢筋混凝土结构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exact"/>
          <w:jc w:val="center"/>
        </w:trPr>
        <w:tc>
          <w:tcPr>
            <w:tcW w:w="1989" w:type="dxa"/>
            <w:tcBorders>
              <w:top w:val="single" w:color="auto" w:sz="6" w:space="0"/>
              <w:bottom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设施设备</w:t>
            </w:r>
          </w:p>
        </w:tc>
        <w:tc>
          <w:tcPr>
            <w:tcW w:w="6977" w:type="dxa"/>
            <w:tcBorders>
              <w:top w:val="single" w:color="auto" w:sz="6" w:space="0"/>
              <w:bottom w:val="single" w:color="auto" w:sz="6" w:space="0"/>
            </w:tcBorders>
            <w:vAlign w:val="center"/>
          </w:tcPr>
          <w:p>
            <w:pPr>
              <w:rPr>
                <w:rFonts w:ascii="仿宋_GB2312" w:hAnsi="宋体" w:eastAsia="仿宋_GB2312" w:cs="宋体"/>
                <w:sz w:val="24"/>
              </w:rPr>
            </w:pPr>
            <w:r>
              <w:rPr>
                <w:rFonts w:hint="eastAsia" w:ascii="仿宋_GB2312" w:hAnsi="宋体" w:eastAsia="仿宋_GB2312" w:cs="宋体"/>
                <w:sz w:val="24"/>
              </w:rPr>
              <w:t>带电梯，水电、双气等设施齐全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kern w:val="0"/>
                <w:sz w:val="24"/>
              </w:rPr>
              <w:t>装饰装修</w:t>
            </w:r>
          </w:p>
        </w:tc>
        <w:tc>
          <w:tcPr>
            <w:tcW w:w="6977" w:type="dxa"/>
            <w:tcBorders>
              <w:top w:val="single" w:color="auto" w:sz="6" w:space="0"/>
              <w:bottom w:val="single" w:color="auto" w:sz="6" w:space="0"/>
            </w:tcBorders>
          </w:tcPr>
          <w:p>
            <w:pPr>
              <w:rPr>
                <w:rFonts w:ascii="仿宋_GB2312" w:hAnsi="宋体" w:eastAsia="仿宋_GB2312" w:cs="宋体"/>
                <w:sz w:val="24"/>
              </w:rPr>
            </w:pPr>
            <w:r>
              <w:rPr>
                <w:rFonts w:hint="eastAsia" w:ascii="仿宋_GB2312" w:hAnsi="宋体" w:eastAsia="仿宋_GB2312" w:cs="宋体"/>
                <w:sz w:val="24"/>
              </w:rPr>
              <w:t>外墙面贴瓷砖，铝合金窗；楼梯间石材地面，涂料墙面；室内装修情况详见表4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kern w:val="0"/>
                <w:sz w:val="24"/>
              </w:rPr>
              <w:t>建成时间</w:t>
            </w:r>
          </w:p>
        </w:tc>
        <w:tc>
          <w:tcPr>
            <w:tcW w:w="6977" w:type="dxa"/>
            <w:tcBorders>
              <w:top w:val="single" w:color="auto" w:sz="6" w:space="0"/>
              <w:bottom w:val="single" w:color="auto" w:sz="6" w:space="0"/>
            </w:tcBorders>
            <w:vAlign w:val="center"/>
          </w:tcPr>
          <w:p>
            <w:pPr>
              <w:spacing w:line="360" w:lineRule="atLeast"/>
              <w:rPr>
                <w:rFonts w:ascii="仿宋_GB2312" w:hAnsi="宋体" w:eastAsia="仿宋_GB2312" w:cs="宋体"/>
                <w:sz w:val="24"/>
              </w:rPr>
            </w:pPr>
            <w:r>
              <w:rPr>
                <w:rFonts w:hint="eastAsia" w:ascii="仿宋_GB2312" w:hAnsi="宋体" w:eastAsia="仿宋_GB2312" w:cs="宋体"/>
                <w:sz w:val="24"/>
              </w:rPr>
              <w:t>2010年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kern w:val="0"/>
                <w:sz w:val="24"/>
              </w:rPr>
              <w:t>使用及维护状况</w:t>
            </w:r>
          </w:p>
        </w:tc>
        <w:tc>
          <w:tcPr>
            <w:tcW w:w="6977" w:type="dxa"/>
            <w:tcBorders>
              <w:top w:val="single" w:color="auto" w:sz="6" w:space="0"/>
              <w:bottom w:val="single" w:color="auto" w:sz="6" w:space="0"/>
            </w:tcBorders>
            <w:vAlign w:val="center"/>
          </w:tcPr>
          <w:p>
            <w:pPr>
              <w:spacing w:line="360" w:lineRule="atLeast"/>
              <w:rPr>
                <w:rFonts w:ascii="仿宋_GB2312" w:hAnsi="宋体" w:eastAsia="仿宋_GB2312" w:cs="宋体"/>
                <w:sz w:val="24"/>
              </w:rPr>
            </w:pPr>
            <w:r>
              <w:rPr>
                <w:rFonts w:hint="eastAsia" w:ascii="仿宋_GB2312" w:hAnsi="宋体" w:eastAsia="仿宋_GB2312" w:cs="宋体"/>
                <w:sz w:val="24"/>
              </w:rPr>
              <w:t>使用中，维护状况较好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kern w:val="0"/>
                <w:sz w:val="24"/>
              </w:rPr>
              <w:t>新旧程度</w:t>
            </w:r>
          </w:p>
        </w:tc>
        <w:tc>
          <w:tcPr>
            <w:tcW w:w="6977" w:type="dxa"/>
            <w:tcBorders>
              <w:top w:val="single" w:color="auto" w:sz="6" w:space="0"/>
              <w:bottom w:val="single" w:color="auto" w:sz="6" w:space="0"/>
            </w:tcBorders>
            <w:vAlign w:val="center"/>
          </w:tcPr>
          <w:p>
            <w:pPr>
              <w:spacing w:line="360" w:lineRule="atLeast"/>
              <w:rPr>
                <w:rFonts w:ascii="仿宋_GB2312" w:hAnsi="宋体" w:eastAsia="仿宋_GB2312" w:cs="宋体"/>
                <w:sz w:val="24"/>
              </w:rPr>
            </w:pPr>
            <w:r>
              <w:rPr>
                <w:rFonts w:hint="eastAsia" w:ascii="仿宋_GB2312" w:hAnsi="宋体" w:eastAsia="仿宋_GB2312" w:cs="宋体"/>
                <w:sz w:val="24"/>
              </w:rPr>
              <w:t>成新率较好；功能折旧不明显，无外部性折旧。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exact"/>
          <w:jc w:val="center"/>
        </w:trPr>
        <w:tc>
          <w:tcPr>
            <w:tcW w:w="1989" w:type="dxa"/>
            <w:tcBorders>
              <w:top w:val="single" w:color="auto" w:sz="6" w:space="0"/>
              <w:bottom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外观</w:t>
            </w:r>
          </w:p>
        </w:tc>
        <w:tc>
          <w:tcPr>
            <w:tcW w:w="6977" w:type="dxa"/>
            <w:tcBorders>
              <w:top w:val="single" w:color="auto" w:sz="6" w:space="0"/>
              <w:bottom w:val="single" w:color="auto" w:sz="6" w:space="0"/>
            </w:tcBorders>
            <w:vAlign w:val="center"/>
          </w:tcPr>
          <w:p>
            <w:pPr>
              <w:rPr>
                <w:rFonts w:ascii="仿宋_GB2312" w:hAnsi="宋体" w:eastAsia="仿宋_GB2312" w:cs="宋体"/>
                <w:sz w:val="24"/>
              </w:rPr>
            </w:pPr>
            <w:r>
              <w:rPr>
                <w:rFonts w:hint="eastAsia" w:ascii="仿宋_GB2312" w:hAnsi="宋体" w:eastAsia="仿宋_GB2312" w:cs="宋体"/>
                <w:sz w:val="24"/>
              </w:rPr>
              <w:t>建筑物外观较好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sz w:val="24"/>
              </w:rPr>
              <w:t>建筑面积</w:t>
            </w:r>
          </w:p>
        </w:tc>
        <w:tc>
          <w:tcPr>
            <w:tcW w:w="6977" w:type="dxa"/>
            <w:tcBorders>
              <w:top w:val="single" w:color="auto" w:sz="6" w:space="0"/>
              <w:bottom w:val="single" w:color="auto" w:sz="6" w:space="0"/>
            </w:tcBorders>
            <w:vAlign w:val="center"/>
          </w:tcPr>
          <w:p>
            <w:pPr>
              <w:adjustRightInd w:val="0"/>
              <w:snapToGrid w:val="0"/>
              <w:spacing w:line="340" w:lineRule="exact"/>
              <w:rPr>
                <w:rFonts w:ascii="仿宋_GB2312" w:hAnsi="宋体" w:eastAsia="仿宋_GB2312" w:cs="宋体"/>
                <w:sz w:val="24"/>
              </w:rPr>
            </w:pPr>
            <w:r>
              <w:rPr>
                <w:rFonts w:hint="eastAsia" w:ascii="仿宋_GB2312" w:hAnsi="宋体" w:eastAsia="仿宋_GB2312" w:cs="宋体"/>
                <w:sz w:val="24"/>
              </w:rPr>
              <w:t>151.11</w:t>
            </w:r>
            <w:r>
              <w:rPr>
                <w:rFonts w:hint="eastAsia" w:ascii="宋体" w:hAnsi="宋体" w:cs="宋体"/>
                <w:sz w:val="24"/>
              </w:rPr>
              <w:t>㎡</w:t>
            </w:r>
            <w:r>
              <w:rPr>
                <w:rFonts w:hint="eastAsia" w:ascii="仿宋_GB2312" w:hAnsi="宋体" w:eastAsia="仿宋_GB2312" w:cs="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sz w:val="24"/>
              </w:rPr>
            </w:pPr>
            <w:r>
              <w:rPr>
                <w:rFonts w:hint="eastAsia" w:ascii="仿宋_GB2312" w:hAnsi="宋体" w:eastAsia="仿宋_GB2312" w:cs="宋体"/>
                <w:sz w:val="24"/>
              </w:rPr>
              <w:t>层高</w:t>
            </w:r>
          </w:p>
        </w:tc>
        <w:tc>
          <w:tcPr>
            <w:tcW w:w="6977" w:type="dxa"/>
            <w:tcBorders>
              <w:top w:val="single" w:color="auto" w:sz="6" w:space="0"/>
              <w:bottom w:val="single" w:color="auto" w:sz="6" w:space="0"/>
            </w:tcBorders>
            <w:vAlign w:val="center"/>
          </w:tcPr>
          <w:p>
            <w:pPr>
              <w:rPr>
                <w:rFonts w:ascii="仿宋_GB2312" w:hAnsi="宋体" w:eastAsia="仿宋_GB2312" w:cs="宋体"/>
                <w:sz w:val="24"/>
              </w:rPr>
            </w:pPr>
            <w:r>
              <w:rPr>
                <w:rFonts w:hint="eastAsia" w:ascii="仿宋_GB2312" w:hAnsi="宋体" w:eastAsia="仿宋_GB2312" w:cs="宋体"/>
                <w:sz w:val="24"/>
              </w:rPr>
              <w:t>地上5层正常层高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kern w:val="0"/>
                <w:sz w:val="24"/>
              </w:rPr>
              <w:t>楼幢位置</w:t>
            </w:r>
          </w:p>
        </w:tc>
        <w:tc>
          <w:tcPr>
            <w:tcW w:w="6977" w:type="dxa"/>
            <w:tcBorders>
              <w:top w:val="single" w:color="auto" w:sz="6" w:space="0"/>
              <w:bottom w:val="single" w:color="auto" w:sz="6" w:space="0"/>
            </w:tcBorders>
            <w:vAlign w:val="center"/>
          </w:tcPr>
          <w:p>
            <w:pPr>
              <w:spacing w:line="360" w:lineRule="atLeast"/>
              <w:rPr>
                <w:rFonts w:ascii="仿宋_GB2312" w:hAnsi="宋体" w:eastAsia="仿宋_GB2312" w:cs="宋体"/>
                <w:sz w:val="24"/>
              </w:rPr>
            </w:pPr>
            <w:r>
              <w:rPr>
                <w:rFonts w:hint="eastAsia" w:ascii="仿宋_GB2312" w:hAnsi="宋体" w:eastAsia="仿宋_GB2312" w:cs="宋体"/>
                <w:sz w:val="24"/>
              </w:rPr>
              <w:t>临路，楼幢位置一般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exact"/>
          <w:jc w:val="center"/>
        </w:trPr>
        <w:tc>
          <w:tcPr>
            <w:tcW w:w="1989" w:type="dxa"/>
            <w:tcBorders>
              <w:top w:val="single" w:color="auto" w:sz="6" w:space="0"/>
              <w:bottom w:val="single" w:color="auto" w:sz="6"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kern w:val="0"/>
                <w:sz w:val="24"/>
              </w:rPr>
              <w:t>朝向</w:t>
            </w:r>
          </w:p>
        </w:tc>
        <w:tc>
          <w:tcPr>
            <w:tcW w:w="6977" w:type="dxa"/>
            <w:tcBorders>
              <w:top w:val="single" w:color="auto" w:sz="6" w:space="0"/>
              <w:bottom w:val="single" w:color="auto" w:sz="6" w:space="0"/>
            </w:tcBorders>
            <w:vAlign w:val="center"/>
          </w:tcPr>
          <w:p>
            <w:pPr>
              <w:spacing w:line="360" w:lineRule="atLeast"/>
              <w:rPr>
                <w:rFonts w:ascii="仿宋_GB2312" w:hAnsi="宋体" w:eastAsia="仿宋_GB2312" w:cs="宋体"/>
                <w:sz w:val="24"/>
              </w:rPr>
            </w:pPr>
            <w:r>
              <w:rPr>
                <w:rFonts w:hint="eastAsia" w:ascii="仿宋_GB2312" w:hAnsi="宋体" w:eastAsia="仿宋_GB2312" w:cs="宋体"/>
                <w:sz w:val="24"/>
              </w:rPr>
              <w:t>估价对象为南北朝向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exact"/>
          <w:jc w:val="center"/>
        </w:trPr>
        <w:tc>
          <w:tcPr>
            <w:tcW w:w="1989" w:type="dxa"/>
            <w:tcBorders>
              <w:top w:val="single" w:color="auto" w:sz="6" w:space="0"/>
              <w:bottom w:val="single" w:color="auto" w:sz="12" w:space="0"/>
            </w:tcBorders>
            <w:vAlign w:val="center"/>
          </w:tcPr>
          <w:p>
            <w:pPr>
              <w:widowControl/>
              <w:spacing w:line="360" w:lineRule="atLeast"/>
              <w:rPr>
                <w:rFonts w:ascii="仿宋_GB2312" w:hAnsi="宋体" w:eastAsia="仿宋_GB2312" w:cs="宋体"/>
                <w:kern w:val="0"/>
                <w:sz w:val="24"/>
              </w:rPr>
            </w:pPr>
            <w:r>
              <w:rPr>
                <w:rFonts w:hint="eastAsia" w:ascii="仿宋_GB2312" w:hAnsi="宋体" w:eastAsia="仿宋_GB2312" w:cs="宋体"/>
                <w:kern w:val="0"/>
                <w:sz w:val="24"/>
              </w:rPr>
              <w:t>总楼层及层次</w:t>
            </w:r>
          </w:p>
        </w:tc>
        <w:tc>
          <w:tcPr>
            <w:tcW w:w="6977" w:type="dxa"/>
            <w:tcBorders>
              <w:top w:val="single" w:color="auto" w:sz="6" w:space="0"/>
              <w:bottom w:val="single" w:color="auto" w:sz="12" w:space="0"/>
            </w:tcBorders>
            <w:vAlign w:val="center"/>
          </w:tcPr>
          <w:p>
            <w:pPr>
              <w:spacing w:line="360" w:lineRule="atLeast"/>
              <w:rPr>
                <w:rFonts w:ascii="仿宋_GB2312" w:hAnsi="宋体" w:eastAsia="仿宋_GB2312" w:cs="宋体"/>
                <w:sz w:val="24"/>
              </w:rPr>
            </w:pPr>
            <w:r>
              <w:rPr>
                <w:rFonts w:hint="eastAsia" w:ascii="仿宋_GB2312" w:hAnsi="宋体" w:eastAsia="仿宋_GB2312" w:cs="宋体"/>
                <w:sz w:val="24"/>
              </w:rPr>
              <w:t>楼宇总层数为7层</w:t>
            </w:r>
            <w:r>
              <w:rPr>
                <w:rStyle w:val="25"/>
                <w:rFonts w:hint="eastAsia" w:ascii="仿宋_GB2312" w:hAnsi="仿宋_GB2312" w:eastAsia="仿宋_GB2312" w:cs="仿宋_GB2312"/>
                <w:sz w:val="24"/>
                <w:szCs w:val="24"/>
              </w:rPr>
              <w:t>（地上6层（含阁楼层），地下1层）</w:t>
            </w:r>
            <w:r>
              <w:rPr>
                <w:rFonts w:hint="eastAsia" w:ascii="仿宋_GB2312" w:hAnsi="仿宋_GB2312" w:eastAsia="仿宋_GB2312" w:cs="仿宋_GB2312"/>
                <w:sz w:val="24"/>
              </w:rPr>
              <w:t>，</w:t>
            </w:r>
            <w:r>
              <w:rPr>
                <w:rFonts w:hint="eastAsia" w:ascii="仿宋_GB2312" w:hAnsi="宋体" w:eastAsia="仿宋_GB2312" w:cs="宋体"/>
                <w:sz w:val="24"/>
              </w:rPr>
              <w:t xml:space="preserve">估价对象位于地上5层、6层（阁楼层）。 </w:t>
            </w:r>
          </w:p>
        </w:tc>
      </w:tr>
      <w:bookmarkEnd w:id="105"/>
      <w:bookmarkEnd w:id="106"/>
      <w:bookmarkEnd w:id="107"/>
      <w:bookmarkEnd w:id="108"/>
      <w:bookmarkEnd w:id="109"/>
      <w:bookmarkEnd w:id="110"/>
      <w:bookmarkEnd w:id="111"/>
    </w:tbl>
    <w:p>
      <w:pPr>
        <w:adjustRightInd w:val="0"/>
        <w:snapToGrid w:val="0"/>
        <w:spacing w:line="440" w:lineRule="exact"/>
        <w:ind w:firstLine="3801" w:firstLineChars="1584"/>
        <w:rPr>
          <w:rFonts w:ascii="仿宋_GB2312" w:hAnsi="宋体" w:eastAsia="仿宋_GB2312" w:cs="宋体"/>
          <w:b/>
          <w:sz w:val="24"/>
        </w:rPr>
      </w:pPr>
      <w:bookmarkStart w:id="122" w:name="_Toc24704799"/>
      <w:bookmarkStart w:id="123" w:name="_Toc8506"/>
      <w:bookmarkStart w:id="124" w:name="_Toc26602"/>
      <w:bookmarkStart w:id="125" w:name="_Toc388427142"/>
      <w:bookmarkStart w:id="126" w:name="_Toc399921382"/>
      <w:bookmarkStart w:id="127" w:name="_Toc323043784"/>
      <w:bookmarkStart w:id="128" w:name="_Toc323116702"/>
      <w:bookmarkStart w:id="129" w:name="_Toc32216"/>
      <w:bookmarkStart w:id="130" w:name="_Toc24725333"/>
      <w:bookmarkStart w:id="131" w:name="_Toc6543"/>
      <w:bookmarkStart w:id="132" w:name="_Toc24717518"/>
      <w:r>
        <w:rPr>
          <w:rFonts w:hint="eastAsia" w:ascii="仿宋_GB2312" w:hAnsi="宋体" w:eastAsia="仿宋_GB2312" w:cs="宋体"/>
          <w:b/>
          <w:sz w:val="24"/>
        </w:rPr>
        <w:t xml:space="preserve">室内装修一览表                        </w:t>
      </w:r>
      <w:r>
        <w:rPr>
          <w:rFonts w:hint="eastAsia" w:ascii="仿宋_GB2312" w:hAnsi="宋体" w:eastAsia="仿宋_GB2312" w:cs="宋体"/>
          <w:b/>
          <w:bCs/>
          <w:sz w:val="24"/>
        </w:rPr>
        <w:t>表4</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99"/>
        <w:gridCol w:w="1049"/>
        <w:gridCol w:w="2638"/>
        <w:gridCol w:w="1843"/>
        <w:gridCol w:w="241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1099" w:type="dxa"/>
            <w:tcBorders>
              <w:top w:val="single" w:color="auto" w:sz="12" w:space="0"/>
            </w:tcBorders>
            <w:vAlign w:val="center"/>
          </w:tcPr>
          <w:p>
            <w:pPr>
              <w:jc w:val="center"/>
              <w:rPr>
                <w:rFonts w:ascii="仿宋_GB2312" w:hAnsi="宋体" w:eastAsia="仿宋_GB2312" w:cs="宋体"/>
                <w:sz w:val="24"/>
              </w:rPr>
            </w:pPr>
            <w:r>
              <w:rPr>
                <w:rFonts w:ascii="仿宋_GB2312" w:hAnsi="宋体" w:eastAsia="仿宋_GB2312" w:cs="宋体"/>
                <w:sz w:val="24"/>
              </w:rPr>
              <w:pict>
                <v:shape id="_x0000_s1069" o:spid="_x0000_s1069" o:spt="202" type="#_x0000_t202" style="position:absolute;left:0pt;margin-left:-12pt;margin-top:6.35pt;height:12.95pt;width:35.05pt;z-index:251658240;mso-width-relative:page;mso-height-relative:page;" filled="f" stroked="f" coordsize="21600,21600">
                  <v:path/>
                  <v:fill on="f" focussize="0,0"/>
                  <v:stroke on="f" joinstyle="miter"/>
                  <v:imagedata o:title=""/>
                  <o:lock v:ext="edit"/>
                  <v:textbox inset="0mm,0mm,0mm,0mm">
                    <w:txbxContent>
                      <w:p>
                        <w:pPr>
                          <w:snapToGrid w:val="0"/>
                          <w:rPr>
                            <w:rFonts w:ascii="仿宋_GB2312" w:eastAsia="仿宋_GB2312"/>
                          </w:rPr>
                        </w:pPr>
                        <w:r>
                          <w:rPr>
                            <w:rFonts w:hint="eastAsia"/>
                          </w:rPr>
                          <w:t xml:space="preserve">  </w:t>
                        </w:r>
                        <w:r>
                          <w:rPr>
                            <w:rFonts w:hint="eastAsia" w:ascii="仿宋_GB2312" w:eastAsia="仿宋_GB2312"/>
                          </w:rPr>
                          <w:t>厅室</w:t>
                        </w:r>
                      </w:p>
                    </w:txbxContent>
                  </v:textbox>
                </v:shape>
              </w:pict>
            </w:r>
            <w:r>
              <w:rPr>
                <w:rFonts w:ascii="仿宋_GB2312" w:hAnsi="宋体" w:eastAsia="仿宋_GB2312" w:cs="宋体"/>
                <w:sz w:val="24"/>
              </w:rPr>
              <w:pict>
                <v:shape id="__TH_B1114" o:spid="_x0000_s1068" o:spt="202" type="#_x0000_t202" style="position:absolute;left:0pt;margin-left:19.15pt;margin-top:0.2pt;height:13.95pt;width:25pt;z-index:251657216;mso-width-relative:page;mso-height-relative:page;" filled="f" stroked="f" coordsize="21600,21600">
                  <v:path/>
                  <v:fill on="f" focussize="0,0"/>
                  <v:stroke on="f" joinstyle="miter"/>
                  <v:imagedata o:title=""/>
                  <o:lock v:ext="edit"/>
                  <v:textbox inset="0mm,0mm,0mm,0mm">
                    <w:txbxContent>
                      <w:p>
                        <w:pPr>
                          <w:snapToGrid w:val="0"/>
                          <w:rPr>
                            <w:rFonts w:ascii="仿宋_GB2312" w:eastAsia="仿宋_GB2312"/>
                          </w:rPr>
                        </w:pPr>
                        <w:r>
                          <w:rPr>
                            <w:rFonts w:hint="eastAsia" w:ascii="仿宋_GB2312" w:eastAsia="仿宋_GB2312"/>
                          </w:rPr>
                          <w:t>项目</w:t>
                        </w:r>
                      </w:p>
                    </w:txbxContent>
                  </v:textbox>
                </v:shape>
              </w:pict>
            </w:r>
            <w:r>
              <w:rPr>
                <w:rFonts w:ascii="仿宋_GB2312" w:hAnsi="宋体" w:eastAsia="仿宋_GB2312" w:cs="宋体"/>
                <w:sz w:val="24"/>
              </w:rPr>
              <w:pict>
                <v:line id="__TH_L13" o:spid="_x0000_s1070" o:spt="20" style="position:absolute;left:0pt;margin-left:-4.65pt;margin-top:0pt;height:13.85pt;width:51.65pt;z-index:251656192;mso-width-relative:page;mso-height-relative:page;" coordsize="21600,21600">
                  <v:path arrowok="t"/>
                  <v:fill focussize="0,0"/>
                  <v:stroke weight="0.25pt"/>
                  <v:imagedata o:title=""/>
                  <o:lock v:ext="edit"/>
                </v:line>
              </w:pict>
            </w:r>
          </w:p>
        </w:tc>
        <w:tc>
          <w:tcPr>
            <w:tcW w:w="1049" w:type="dxa"/>
            <w:tcBorders>
              <w:top w:val="single" w:color="auto" w:sz="1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地面</w:t>
            </w:r>
          </w:p>
        </w:tc>
        <w:tc>
          <w:tcPr>
            <w:tcW w:w="2638" w:type="dxa"/>
            <w:tcBorders>
              <w:top w:val="single" w:color="auto" w:sz="1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墙面</w:t>
            </w:r>
          </w:p>
        </w:tc>
        <w:tc>
          <w:tcPr>
            <w:tcW w:w="1843" w:type="dxa"/>
            <w:tcBorders>
              <w:top w:val="single" w:color="auto" w:sz="1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天棚</w:t>
            </w:r>
          </w:p>
        </w:tc>
        <w:tc>
          <w:tcPr>
            <w:tcW w:w="2410" w:type="dxa"/>
            <w:tcBorders>
              <w:top w:val="single" w:color="auto" w:sz="1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备  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7" w:hRule="exact"/>
          <w:jc w:val="center"/>
        </w:trPr>
        <w:tc>
          <w:tcPr>
            <w:tcW w:w="1099" w:type="dxa"/>
            <w:vAlign w:val="center"/>
          </w:tcPr>
          <w:p>
            <w:pPr>
              <w:jc w:val="center"/>
              <w:rPr>
                <w:rFonts w:ascii="仿宋_GB2312" w:hAnsi="宋体" w:eastAsia="仿宋_GB2312" w:cs="宋体"/>
                <w:sz w:val="24"/>
              </w:rPr>
            </w:pPr>
            <w:r>
              <w:rPr>
                <w:rFonts w:hint="eastAsia" w:ascii="仿宋_GB2312" w:hAnsi="宋体" w:eastAsia="仿宋_GB2312" w:cs="宋体"/>
                <w:sz w:val="24"/>
              </w:rPr>
              <w:t>客  厅</w:t>
            </w:r>
          </w:p>
        </w:tc>
        <w:tc>
          <w:tcPr>
            <w:tcW w:w="1049" w:type="dxa"/>
            <w:vAlign w:val="center"/>
          </w:tcPr>
          <w:p>
            <w:pPr>
              <w:jc w:val="center"/>
              <w:rPr>
                <w:rFonts w:ascii="仿宋_GB2312" w:hAnsi="宋体" w:eastAsia="仿宋_GB2312" w:cs="宋体"/>
                <w:sz w:val="24"/>
              </w:rPr>
            </w:pPr>
            <w:r>
              <w:rPr>
                <w:rFonts w:hint="eastAsia" w:ascii="仿宋_GB2312" w:hAnsi="宋体" w:eastAsia="仿宋_GB2312" w:cs="宋体"/>
                <w:sz w:val="24"/>
              </w:rPr>
              <w:t>地砖</w:t>
            </w:r>
          </w:p>
        </w:tc>
        <w:tc>
          <w:tcPr>
            <w:tcW w:w="2638" w:type="dxa"/>
            <w:vAlign w:val="center"/>
          </w:tcPr>
          <w:p>
            <w:pPr>
              <w:jc w:val="center"/>
              <w:rPr>
                <w:rFonts w:ascii="仿宋_GB2312" w:hAnsi="宋体" w:eastAsia="仿宋_GB2312" w:cs="宋体"/>
                <w:sz w:val="24"/>
              </w:rPr>
            </w:pPr>
            <w:r>
              <w:rPr>
                <w:rFonts w:hint="eastAsia" w:ascii="仿宋_GB2312" w:hAnsi="宋体" w:eastAsia="仿宋_GB2312" w:cs="宋体"/>
                <w:sz w:val="24"/>
              </w:rPr>
              <w:t>壁纸</w:t>
            </w:r>
          </w:p>
        </w:tc>
        <w:tc>
          <w:tcPr>
            <w:tcW w:w="1843" w:type="dxa"/>
            <w:vAlign w:val="center"/>
          </w:tcPr>
          <w:p>
            <w:pPr>
              <w:jc w:val="center"/>
              <w:rPr>
                <w:rFonts w:ascii="仿宋_GB2312" w:hAnsi="宋体" w:eastAsia="仿宋_GB2312" w:cs="宋体"/>
                <w:sz w:val="24"/>
              </w:rPr>
            </w:pPr>
            <w:r>
              <w:rPr>
                <w:rFonts w:hint="eastAsia" w:ascii="仿宋_GB2312" w:hAnsi="宋体" w:eastAsia="仿宋_GB2312" w:cs="宋体"/>
                <w:sz w:val="24"/>
              </w:rPr>
              <w:t>灯池装饰</w:t>
            </w:r>
          </w:p>
        </w:tc>
        <w:tc>
          <w:tcPr>
            <w:tcW w:w="2410" w:type="dxa"/>
            <w:vMerge w:val="restart"/>
            <w:vAlign w:val="center"/>
          </w:tcPr>
          <w:p>
            <w:pPr>
              <w:jc w:val="center"/>
              <w:rPr>
                <w:rFonts w:ascii="仿宋_GB2312" w:hAnsi="宋体" w:eastAsia="仿宋_GB2312" w:cs="宋体"/>
                <w:sz w:val="24"/>
              </w:rPr>
            </w:pPr>
            <w:r>
              <w:rPr>
                <w:rFonts w:hint="eastAsia" w:ascii="仿宋_GB2312" w:hAnsi="宋体" w:eastAsia="仿宋_GB2312" w:cs="宋体"/>
                <w:sz w:val="24"/>
              </w:rPr>
              <w:t>地上5层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7" w:hRule="exact"/>
          <w:jc w:val="center"/>
        </w:trPr>
        <w:tc>
          <w:tcPr>
            <w:tcW w:w="1099" w:type="dxa"/>
            <w:vAlign w:val="center"/>
          </w:tcPr>
          <w:p>
            <w:pPr>
              <w:jc w:val="center"/>
              <w:rPr>
                <w:rFonts w:ascii="仿宋_GB2312" w:hAnsi="宋体" w:eastAsia="仿宋_GB2312" w:cs="宋体"/>
                <w:sz w:val="24"/>
              </w:rPr>
            </w:pPr>
            <w:r>
              <w:rPr>
                <w:rFonts w:hint="eastAsia" w:ascii="仿宋_GB2312" w:hAnsi="宋体" w:eastAsia="仿宋_GB2312" w:cs="宋体"/>
                <w:sz w:val="24"/>
              </w:rPr>
              <w:t>餐  厅</w:t>
            </w:r>
          </w:p>
        </w:tc>
        <w:tc>
          <w:tcPr>
            <w:tcW w:w="1049" w:type="dxa"/>
            <w:vAlign w:val="center"/>
          </w:tcPr>
          <w:p>
            <w:pPr>
              <w:jc w:val="center"/>
              <w:rPr>
                <w:rFonts w:ascii="仿宋_GB2312" w:hAnsi="宋体" w:eastAsia="仿宋_GB2312" w:cs="宋体"/>
                <w:sz w:val="24"/>
              </w:rPr>
            </w:pPr>
            <w:r>
              <w:rPr>
                <w:rFonts w:hint="eastAsia" w:ascii="仿宋_GB2312" w:hAnsi="宋体" w:eastAsia="仿宋_GB2312" w:cs="宋体"/>
                <w:sz w:val="24"/>
              </w:rPr>
              <w:t>地砖</w:t>
            </w:r>
          </w:p>
        </w:tc>
        <w:tc>
          <w:tcPr>
            <w:tcW w:w="2638" w:type="dxa"/>
            <w:vAlign w:val="center"/>
          </w:tcPr>
          <w:p>
            <w:pPr>
              <w:jc w:val="center"/>
              <w:rPr>
                <w:rFonts w:ascii="仿宋_GB2312" w:hAnsi="宋体" w:eastAsia="仿宋_GB2312" w:cs="宋体"/>
                <w:sz w:val="24"/>
              </w:rPr>
            </w:pPr>
            <w:r>
              <w:rPr>
                <w:rFonts w:hint="eastAsia" w:ascii="仿宋_GB2312" w:hAnsi="宋体" w:eastAsia="仿宋_GB2312" w:cs="宋体"/>
                <w:sz w:val="24"/>
              </w:rPr>
              <w:t>壁纸</w:t>
            </w:r>
          </w:p>
        </w:tc>
        <w:tc>
          <w:tcPr>
            <w:tcW w:w="1843" w:type="dxa"/>
            <w:vAlign w:val="center"/>
          </w:tcPr>
          <w:p>
            <w:pPr>
              <w:jc w:val="center"/>
              <w:rPr>
                <w:rFonts w:ascii="仿宋_GB2312" w:hAnsi="宋体" w:eastAsia="仿宋_GB2312" w:cs="宋体"/>
                <w:sz w:val="24"/>
              </w:rPr>
            </w:pPr>
            <w:r>
              <w:rPr>
                <w:rFonts w:hint="eastAsia" w:ascii="仿宋_GB2312" w:hAnsi="宋体" w:eastAsia="仿宋_GB2312" w:cs="宋体"/>
                <w:sz w:val="24"/>
              </w:rPr>
              <w:t>灯池装饰</w:t>
            </w:r>
          </w:p>
        </w:tc>
        <w:tc>
          <w:tcPr>
            <w:tcW w:w="2410" w:type="dxa"/>
            <w:vMerge w:val="continue"/>
            <w:vAlign w:val="center"/>
          </w:tcPr>
          <w:p>
            <w:pPr>
              <w:jc w:val="center"/>
              <w:rPr>
                <w:rFonts w:ascii="仿宋_GB2312" w:hAnsi="宋体" w:eastAsia="仿宋_GB2312" w:cs="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7" w:hRule="exact"/>
          <w:jc w:val="center"/>
        </w:trPr>
        <w:tc>
          <w:tcPr>
            <w:tcW w:w="1099" w:type="dxa"/>
            <w:vAlign w:val="center"/>
          </w:tcPr>
          <w:p>
            <w:pPr>
              <w:jc w:val="center"/>
              <w:rPr>
                <w:rFonts w:ascii="仿宋_GB2312" w:hAnsi="宋体" w:eastAsia="仿宋_GB2312" w:cs="宋体"/>
                <w:sz w:val="24"/>
              </w:rPr>
            </w:pPr>
            <w:r>
              <w:rPr>
                <w:rFonts w:hint="eastAsia" w:ascii="仿宋_GB2312" w:hAnsi="宋体" w:eastAsia="仿宋_GB2312" w:cs="宋体"/>
                <w:sz w:val="24"/>
              </w:rPr>
              <w:t>卧  室</w:t>
            </w:r>
          </w:p>
        </w:tc>
        <w:tc>
          <w:tcPr>
            <w:tcW w:w="1049" w:type="dxa"/>
            <w:vAlign w:val="center"/>
          </w:tcPr>
          <w:p>
            <w:pPr>
              <w:jc w:val="center"/>
              <w:rPr>
                <w:rFonts w:ascii="仿宋_GB2312" w:hAnsi="宋体" w:eastAsia="仿宋_GB2312" w:cs="宋体"/>
                <w:sz w:val="24"/>
              </w:rPr>
            </w:pPr>
            <w:r>
              <w:rPr>
                <w:rFonts w:hint="eastAsia" w:ascii="仿宋_GB2312" w:hAnsi="宋体" w:eastAsia="仿宋_GB2312" w:cs="宋体"/>
                <w:sz w:val="24"/>
              </w:rPr>
              <w:t>木地板</w:t>
            </w:r>
          </w:p>
        </w:tc>
        <w:tc>
          <w:tcPr>
            <w:tcW w:w="2638" w:type="dxa"/>
            <w:vAlign w:val="center"/>
          </w:tcPr>
          <w:p>
            <w:pPr>
              <w:jc w:val="center"/>
              <w:rPr>
                <w:rFonts w:ascii="仿宋_GB2312" w:hAnsi="宋体" w:eastAsia="仿宋_GB2312" w:cs="宋体"/>
                <w:sz w:val="24"/>
              </w:rPr>
            </w:pPr>
            <w:r>
              <w:rPr>
                <w:rFonts w:hint="eastAsia" w:ascii="仿宋_GB2312" w:hAnsi="宋体" w:eastAsia="仿宋_GB2312" w:cs="宋体"/>
                <w:sz w:val="24"/>
              </w:rPr>
              <w:t>乳胶漆、壁纸</w:t>
            </w:r>
          </w:p>
        </w:tc>
        <w:tc>
          <w:tcPr>
            <w:tcW w:w="1843" w:type="dxa"/>
            <w:vAlign w:val="center"/>
          </w:tcPr>
          <w:p>
            <w:pPr>
              <w:jc w:val="center"/>
              <w:rPr>
                <w:rFonts w:ascii="仿宋_GB2312" w:hAnsi="宋体" w:eastAsia="仿宋_GB2312" w:cs="宋体"/>
                <w:sz w:val="24"/>
              </w:rPr>
            </w:pPr>
            <w:r>
              <w:rPr>
                <w:rFonts w:hint="eastAsia" w:ascii="仿宋_GB2312" w:hAnsi="宋体" w:eastAsia="仿宋_GB2312" w:cs="宋体"/>
                <w:sz w:val="24"/>
              </w:rPr>
              <w:t>灯池装饰</w:t>
            </w:r>
          </w:p>
        </w:tc>
        <w:tc>
          <w:tcPr>
            <w:tcW w:w="2410" w:type="dxa"/>
            <w:vMerge w:val="continue"/>
            <w:vAlign w:val="center"/>
          </w:tcPr>
          <w:p>
            <w:pPr>
              <w:jc w:val="center"/>
              <w:rPr>
                <w:rFonts w:ascii="仿宋_GB2312" w:hAnsi="宋体" w:eastAsia="仿宋_GB2312" w:cs="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2" w:hRule="exact"/>
          <w:jc w:val="center"/>
        </w:trPr>
        <w:tc>
          <w:tcPr>
            <w:tcW w:w="1099"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卫生间</w:t>
            </w:r>
          </w:p>
        </w:tc>
        <w:tc>
          <w:tcPr>
            <w:tcW w:w="1049"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地砖</w:t>
            </w:r>
          </w:p>
        </w:tc>
        <w:tc>
          <w:tcPr>
            <w:tcW w:w="2638"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墙砖</w:t>
            </w:r>
          </w:p>
        </w:tc>
        <w:tc>
          <w:tcPr>
            <w:tcW w:w="1843"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集成吊顶</w:t>
            </w:r>
          </w:p>
        </w:tc>
        <w:tc>
          <w:tcPr>
            <w:tcW w:w="2410" w:type="dxa"/>
            <w:vMerge w:val="continue"/>
            <w:vAlign w:val="center"/>
          </w:tcPr>
          <w:p>
            <w:pPr>
              <w:jc w:val="center"/>
              <w:rPr>
                <w:rFonts w:ascii="仿宋_GB2312" w:hAnsi="宋体" w:eastAsia="仿宋_GB2312" w:cs="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2" w:hRule="exact"/>
          <w:jc w:val="center"/>
        </w:trPr>
        <w:tc>
          <w:tcPr>
            <w:tcW w:w="1099"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厨房</w:t>
            </w:r>
          </w:p>
        </w:tc>
        <w:tc>
          <w:tcPr>
            <w:tcW w:w="1049"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地砖</w:t>
            </w:r>
          </w:p>
        </w:tc>
        <w:tc>
          <w:tcPr>
            <w:tcW w:w="2638"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墙砖</w:t>
            </w:r>
          </w:p>
        </w:tc>
        <w:tc>
          <w:tcPr>
            <w:tcW w:w="1843"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集成吊顶</w:t>
            </w:r>
          </w:p>
        </w:tc>
        <w:tc>
          <w:tcPr>
            <w:tcW w:w="2410" w:type="dxa"/>
            <w:vMerge w:val="continue"/>
            <w:vAlign w:val="center"/>
          </w:tcPr>
          <w:p>
            <w:pPr>
              <w:jc w:val="center"/>
              <w:rPr>
                <w:rFonts w:ascii="仿宋_GB2312" w:hAnsi="宋体" w:eastAsia="仿宋_GB2312" w:cs="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2" w:hRule="exact"/>
          <w:jc w:val="center"/>
        </w:trPr>
        <w:tc>
          <w:tcPr>
            <w:tcW w:w="1099"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阳台</w:t>
            </w:r>
          </w:p>
        </w:tc>
        <w:tc>
          <w:tcPr>
            <w:tcW w:w="1049"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地砖</w:t>
            </w:r>
          </w:p>
        </w:tc>
        <w:tc>
          <w:tcPr>
            <w:tcW w:w="2638"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墙砖</w:t>
            </w:r>
          </w:p>
        </w:tc>
        <w:tc>
          <w:tcPr>
            <w:tcW w:w="1843" w:type="dxa"/>
            <w:tcBorders>
              <w:bottom w:val="single" w:color="auto" w:sz="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玻璃</w:t>
            </w:r>
          </w:p>
        </w:tc>
        <w:tc>
          <w:tcPr>
            <w:tcW w:w="2410" w:type="dxa"/>
            <w:vMerge w:val="continue"/>
            <w:tcBorders>
              <w:bottom w:val="single" w:color="auto" w:sz="2" w:space="0"/>
            </w:tcBorders>
            <w:vAlign w:val="center"/>
          </w:tcPr>
          <w:p>
            <w:pPr>
              <w:jc w:val="center"/>
              <w:rPr>
                <w:rFonts w:ascii="仿宋_GB2312" w:hAnsi="宋体" w:eastAsia="仿宋_GB2312" w:cs="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00" w:hRule="exact"/>
          <w:jc w:val="center"/>
        </w:trPr>
        <w:tc>
          <w:tcPr>
            <w:tcW w:w="1099" w:type="dxa"/>
            <w:tcBorders>
              <w:top w:val="single" w:color="auto" w:sz="2" w:space="0"/>
              <w:bottom w:val="single" w:color="auto" w:sz="12"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其  它</w:t>
            </w:r>
          </w:p>
        </w:tc>
        <w:tc>
          <w:tcPr>
            <w:tcW w:w="7940" w:type="dxa"/>
            <w:gridSpan w:val="4"/>
            <w:tcBorders>
              <w:top w:val="single" w:color="auto" w:sz="2" w:space="0"/>
              <w:bottom w:val="single" w:color="auto" w:sz="12" w:space="0"/>
            </w:tcBorders>
            <w:vAlign w:val="center"/>
          </w:tcPr>
          <w:p>
            <w:pPr>
              <w:ind w:firstLine="480" w:firstLineChars="200"/>
              <w:jc w:val="left"/>
              <w:rPr>
                <w:rFonts w:ascii="仿宋_GB2312" w:hAnsi="宋体" w:eastAsia="仿宋_GB2312" w:cs="宋体"/>
                <w:sz w:val="24"/>
              </w:rPr>
            </w:pPr>
            <w:r>
              <w:rPr>
                <w:rFonts w:hint="eastAsia" w:ascii="仿宋_GB2312" w:hAnsi="宋体" w:eastAsia="仿宋_GB2312" w:cs="宋体"/>
                <w:sz w:val="24"/>
              </w:rPr>
              <w:t>阁楼层客厅和卧室室内地面铺地砖，墙面刷乳胶漆，卫生间地面铺地砖，墙面贴墙砖，顶部为木吊顶。露台地面铺地砖，安装防护栏杆。</w:t>
            </w:r>
          </w:p>
          <w:p>
            <w:pPr>
              <w:ind w:firstLine="480" w:firstLineChars="200"/>
              <w:jc w:val="left"/>
              <w:rPr>
                <w:rFonts w:ascii="仿宋_GB2312" w:hAnsi="宋体" w:eastAsia="仿宋_GB2312" w:cs="宋体"/>
                <w:sz w:val="24"/>
              </w:rPr>
            </w:pPr>
            <w:r>
              <w:rPr>
                <w:rFonts w:hint="eastAsia" w:ascii="仿宋_GB2312" w:hAnsi="宋体" w:eastAsia="仿宋_GB2312" w:cs="宋体"/>
                <w:sz w:val="24"/>
              </w:rPr>
              <w:t xml:space="preserve">入户门为普通防盗门，外窗为铝合金窗，户内成套门；水、电、双气等配套设施安装到户。 </w:t>
            </w:r>
          </w:p>
        </w:tc>
      </w:tr>
    </w:tbl>
    <w:p>
      <w:pPr>
        <w:pStyle w:val="4"/>
        <w:numPr>
          <w:ilvl w:val="0"/>
          <w:numId w:val="9"/>
        </w:numPr>
        <w:snapToGrid w:val="0"/>
        <w:spacing w:before="0" w:after="0" w:line="400" w:lineRule="exact"/>
        <w:ind w:left="0"/>
        <w:rPr>
          <w:rFonts w:ascii="仿宋_GB2312" w:hAnsi="宋体" w:eastAsia="仿宋_GB2312" w:cs="宋体"/>
          <w:sz w:val="28"/>
          <w:szCs w:val="28"/>
        </w:rPr>
      </w:pPr>
      <w:bookmarkStart w:id="133" w:name="_Toc29106"/>
      <w:bookmarkStart w:id="134" w:name="_Toc13567"/>
      <w:bookmarkStart w:id="135" w:name="_Toc21092"/>
      <w:bookmarkStart w:id="136" w:name="_Toc32409049"/>
      <w:bookmarkStart w:id="137" w:name="_Toc24776"/>
      <w:bookmarkStart w:id="138" w:name="_Toc32347808"/>
      <w:r>
        <w:rPr>
          <w:rFonts w:hint="eastAsia" w:ascii="仿宋_GB2312" w:hAnsi="宋体" w:eastAsia="仿宋_GB2312" w:cs="宋体"/>
          <w:sz w:val="28"/>
          <w:szCs w:val="28"/>
        </w:rPr>
        <w:t>价值时点</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adjustRightInd w:val="0"/>
        <w:snapToGrid w:val="0"/>
        <w:spacing w:line="400" w:lineRule="exact"/>
        <w:ind w:firstLine="599" w:firstLineChars="214"/>
        <w:rPr>
          <w:rFonts w:ascii="仿宋_GB2312" w:hAnsi="宋体" w:eastAsia="仿宋_GB2312" w:cs="宋体"/>
          <w:sz w:val="28"/>
          <w:szCs w:val="28"/>
        </w:rPr>
      </w:pPr>
      <w:bookmarkStart w:id="139" w:name="_Toc323043785"/>
      <w:bookmarkStart w:id="140" w:name="_Toc388427143"/>
      <w:bookmarkStart w:id="141" w:name="_Toc28113"/>
      <w:bookmarkStart w:id="142" w:name="_Toc399921383"/>
      <w:bookmarkStart w:id="143" w:name="_Toc323116703"/>
      <w:bookmarkStart w:id="144" w:name="_Toc24350"/>
      <w:bookmarkStart w:id="145" w:name="_Toc12683"/>
      <w:r>
        <w:rPr>
          <w:rFonts w:hint="eastAsia" w:ascii="仿宋_GB2312" w:hAnsi="宋体" w:eastAsia="仿宋_GB2312"/>
          <w:sz w:val="28"/>
          <w:szCs w:val="28"/>
        </w:rPr>
        <w:t>价值时点为2020年1月14日</w:t>
      </w:r>
      <w:r>
        <w:rPr>
          <w:rFonts w:hint="eastAsia" w:ascii="仿宋_GB2312" w:hAnsi="宋体" w:eastAsia="仿宋_GB2312" w:cs="宋体"/>
          <w:sz w:val="28"/>
          <w:szCs w:val="28"/>
          <w:lang w:bidi="en-US"/>
        </w:rPr>
        <w:t>（</w:t>
      </w:r>
      <w:r>
        <w:rPr>
          <w:rFonts w:hint="eastAsia" w:ascii="仿宋_GB2312" w:hAnsi="宋体" w:eastAsia="仿宋_GB2312"/>
          <w:sz w:val="28"/>
          <w:szCs w:val="28"/>
        </w:rPr>
        <w:t>估价人员实地查勘之日</w:t>
      </w:r>
      <w:r>
        <w:rPr>
          <w:rFonts w:hint="eastAsia" w:ascii="仿宋_GB2312" w:hAnsi="宋体" w:eastAsia="仿宋_GB2312" w:cs="宋体"/>
          <w:sz w:val="28"/>
          <w:szCs w:val="28"/>
          <w:lang w:bidi="en-US"/>
        </w:rPr>
        <w:t>）</w:t>
      </w:r>
      <w:r>
        <w:rPr>
          <w:rFonts w:hint="eastAsia" w:ascii="仿宋_GB2312" w:hAnsi="宋体" w:eastAsia="仿宋_GB2312" w:cs="宋体"/>
          <w:sz w:val="28"/>
          <w:szCs w:val="28"/>
        </w:rPr>
        <w:t>。</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146" w:name="_Toc24717519"/>
      <w:bookmarkStart w:id="147" w:name="_Toc20653"/>
      <w:bookmarkStart w:id="148" w:name="_Toc32347809"/>
      <w:bookmarkStart w:id="149" w:name="_Toc6660"/>
      <w:bookmarkStart w:id="150" w:name="_Toc24704800"/>
      <w:bookmarkStart w:id="151" w:name="_Toc32409050"/>
      <w:bookmarkStart w:id="152" w:name="_Toc20536"/>
      <w:bookmarkStart w:id="153" w:name="_Toc16754"/>
      <w:bookmarkStart w:id="154" w:name="_Toc24725334"/>
      <w:bookmarkStart w:id="155" w:name="_Toc15590"/>
      <w:r>
        <w:rPr>
          <w:rFonts w:hint="eastAsia" w:ascii="仿宋_GB2312" w:hAnsi="宋体" w:eastAsia="仿宋_GB2312" w:cs="宋体"/>
          <w:sz w:val="28"/>
          <w:szCs w:val="28"/>
        </w:rPr>
        <w:t>价值类型</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hint="eastAsia" w:ascii="仿宋_GB2312" w:hAnsi="宋体" w:eastAsia="仿宋_GB2312" w:cs="宋体"/>
          <w:sz w:val="28"/>
          <w:szCs w:val="28"/>
        </w:rPr>
        <w:tab/>
      </w:r>
    </w:p>
    <w:p>
      <w:pPr>
        <w:adjustRightInd w:val="0"/>
        <w:snapToGrid w:val="0"/>
        <w:spacing w:line="400" w:lineRule="exact"/>
        <w:ind w:firstLine="599" w:firstLineChars="214"/>
        <w:rPr>
          <w:rFonts w:ascii="仿宋_GB2312" w:hAnsi="宋体" w:eastAsia="仿宋_GB2312" w:cs="宋体"/>
          <w:b/>
          <w:sz w:val="28"/>
          <w:szCs w:val="28"/>
        </w:rPr>
      </w:pPr>
      <w:r>
        <w:rPr>
          <w:rFonts w:hint="eastAsia" w:ascii="仿宋_GB2312" w:hAnsi="宋体" w:eastAsia="仿宋_GB2312" w:cs="宋体"/>
          <w:b/>
          <w:sz w:val="28"/>
          <w:szCs w:val="28"/>
        </w:rPr>
        <w:t>（一）价值类型名称</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本次估价的价值类型为市场价值。</w:t>
      </w:r>
    </w:p>
    <w:p>
      <w:pPr>
        <w:adjustRightInd w:val="0"/>
        <w:snapToGrid w:val="0"/>
        <w:spacing w:line="400" w:lineRule="exact"/>
        <w:ind w:firstLine="599" w:firstLineChars="214"/>
        <w:rPr>
          <w:rFonts w:ascii="仿宋_GB2312" w:hAnsi="宋体" w:eastAsia="仿宋_GB2312" w:cs="宋体"/>
          <w:b/>
          <w:sz w:val="28"/>
          <w:szCs w:val="28"/>
        </w:rPr>
      </w:pPr>
      <w:r>
        <w:rPr>
          <w:rFonts w:hint="eastAsia" w:ascii="仿宋_GB2312" w:hAnsi="宋体" w:eastAsia="仿宋_GB2312" w:cs="宋体"/>
          <w:b/>
          <w:sz w:val="28"/>
          <w:szCs w:val="28"/>
        </w:rPr>
        <w:t>（二）价值定义</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市场价值为估价对象经适当营销后，由熟悉情况、谨慎行事且不受强迫的交易双方，以公平交易方式在价值时点自愿进行交易的金额。</w:t>
      </w:r>
    </w:p>
    <w:p>
      <w:pPr>
        <w:adjustRightInd w:val="0"/>
        <w:snapToGrid w:val="0"/>
        <w:spacing w:line="400" w:lineRule="exact"/>
        <w:ind w:firstLine="599" w:firstLineChars="214"/>
        <w:rPr>
          <w:rFonts w:ascii="仿宋_GB2312" w:hAnsi="宋体" w:eastAsia="仿宋_GB2312" w:cs="宋体"/>
          <w:b/>
          <w:sz w:val="28"/>
          <w:szCs w:val="28"/>
        </w:rPr>
      </w:pPr>
      <w:r>
        <w:rPr>
          <w:rFonts w:hint="eastAsia" w:ascii="仿宋_GB2312" w:hAnsi="宋体" w:eastAsia="仿宋_GB2312" w:cs="宋体"/>
          <w:b/>
          <w:sz w:val="28"/>
          <w:szCs w:val="28"/>
        </w:rPr>
        <w:t>（三）价值内涵</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kern w:val="0"/>
          <w:sz w:val="28"/>
          <w:szCs w:val="28"/>
        </w:rPr>
        <w:t>价值内涵是估价对象在价值时点，满足本次估价假设和限制条件下包括建筑物、分摊的土地使用权及配套设施的价值</w:t>
      </w:r>
      <w:r>
        <w:rPr>
          <w:rFonts w:hint="eastAsia" w:ascii="仿宋_GB2312" w:hAnsi="宋体" w:eastAsia="仿宋_GB2312" w:cs="宋体"/>
          <w:sz w:val="28"/>
          <w:szCs w:val="28"/>
        </w:rPr>
        <w:t>；付款方式是一次性付清房价款；房屋面积内涵是建筑面积；</w:t>
      </w:r>
      <w:r>
        <w:rPr>
          <w:rFonts w:hint="eastAsia" w:ascii="仿宋_GB2312" w:hAnsi="宋体" w:eastAsia="仿宋_GB2312" w:cs="宋体"/>
          <w:sz w:val="28"/>
          <w:szCs w:val="28"/>
          <w:lang w:bidi="en-US"/>
        </w:rPr>
        <w:t>开发程度为现房</w:t>
      </w:r>
      <w:r>
        <w:rPr>
          <w:rFonts w:hint="eastAsia" w:ascii="仿宋_GB2312" w:hAnsi="宋体" w:eastAsia="仿宋_GB2312" w:cs="宋体"/>
          <w:sz w:val="28"/>
          <w:szCs w:val="28"/>
        </w:rPr>
        <w:t>。</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156" w:name="_Toc24704801"/>
      <w:bookmarkStart w:id="157" w:name="_Toc7810"/>
      <w:bookmarkStart w:id="158" w:name="_Toc6843"/>
      <w:bookmarkStart w:id="159" w:name="_Toc15218"/>
      <w:bookmarkStart w:id="160" w:name="_Toc27803"/>
      <w:bookmarkStart w:id="161" w:name="_Toc18710"/>
      <w:bookmarkStart w:id="162" w:name="_Toc32409051"/>
      <w:bookmarkStart w:id="163" w:name="_Toc24725335"/>
      <w:bookmarkStart w:id="164" w:name="_Toc388427144"/>
      <w:bookmarkStart w:id="165" w:name="_Toc24717520"/>
      <w:bookmarkStart w:id="166" w:name="_Toc13640"/>
      <w:bookmarkStart w:id="167" w:name="_Toc32347810"/>
      <w:bookmarkStart w:id="168" w:name="_Toc399921384"/>
      <w:bookmarkStart w:id="169" w:name="_Toc18175"/>
      <w:bookmarkStart w:id="170" w:name="_Toc19422"/>
      <w:bookmarkStart w:id="171" w:name="_Toc323043786"/>
      <w:bookmarkStart w:id="172" w:name="_Toc323116704"/>
      <w:bookmarkStart w:id="173" w:name="_Toc357083686"/>
      <w:r>
        <w:rPr>
          <w:rFonts w:hint="eastAsia" w:ascii="仿宋_GB2312" w:hAnsi="宋体" w:eastAsia="仿宋_GB2312" w:cs="宋体"/>
          <w:sz w:val="28"/>
          <w:szCs w:val="28"/>
        </w:rPr>
        <w:t>估价原则</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ascii="仿宋_GB2312" w:hAnsi="宋体" w:eastAsia="仿宋_GB2312" w:cs="宋体"/>
          <w:sz w:val="28"/>
          <w:szCs w:val="28"/>
        </w:rPr>
        <w:tab/>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本次估价遵循以下原则：</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1.独立、客观、公正原则。要求站在中立的立场上，实事求是、公平正直地评估出对各方估价利害关系人均是公平合理的价值或价格的原则。</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2.合法原则。要求估价结果是在依法判定的估价对象状况下的价值或价格的原则。</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3.价值时点原则。要求估价结果是在依据估价目的确定的某个特定时间的价值或价格的原则。</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4.替代原则。要求估价结果与估价对象的类似房地产在同等条件下的价值或价格偏差在合理范围内的原则。</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5.最高最佳利用原则。要求估价结果在估价对象最高最佳利用状况下的价值或价格的原则。</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174" w:name="_Toc24704802"/>
      <w:bookmarkStart w:id="175" w:name="_Toc6812"/>
      <w:bookmarkStart w:id="176" w:name="_Toc20007"/>
      <w:bookmarkStart w:id="177" w:name="_Toc24725336"/>
      <w:bookmarkStart w:id="178" w:name="_Toc4930"/>
      <w:bookmarkStart w:id="179" w:name="_Toc10450"/>
      <w:bookmarkStart w:id="180" w:name="_Toc24717521"/>
      <w:bookmarkStart w:id="181" w:name="_Toc15086"/>
      <w:bookmarkStart w:id="182" w:name="_Toc32347811"/>
      <w:bookmarkStart w:id="183" w:name="_Toc9965"/>
      <w:bookmarkStart w:id="184" w:name="_Toc2512"/>
      <w:bookmarkStart w:id="185" w:name="_Toc399921385"/>
      <w:bookmarkStart w:id="186" w:name="_Toc388427145"/>
      <w:bookmarkStart w:id="187" w:name="_Toc32409052"/>
      <w:bookmarkStart w:id="188" w:name="_Toc20843"/>
      <w:r>
        <w:rPr>
          <w:rFonts w:hint="eastAsia" w:ascii="仿宋_GB2312" w:hAnsi="宋体" w:eastAsia="仿宋_GB2312" w:cs="宋体"/>
          <w:sz w:val="28"/>
          <w:szCs w:val="28"/>
        </w:rPr>
        <w:t>估价依据</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hint="eastAsia" w:ascii="仿宋_GB2312" w:hAnsi="宋体" w:eastAsia="仿宋_GB2312" w:cs="宋体"/>
          <w:sz w:val="28"/>
          <w:szCs w:val="28"/>
        </w:rPr>
        <w:tab/>
      </w:r>
    </w:p>
    <w:p>
      <w:pPr>
        <w:numPr>
          <w:ilvl w:val="0"/>
          <w:numId w:val="12"/>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有关法律、法规及文件依据</w:t>
      </w:r>
    </w:p>
    <w:p>
      <w:pPr>
        <w:numPr>
          <w:ilvl w:val="0"/>
          <w:numId w:val="13"/>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《中华人民共和国物权法》；</w:t>
      </w:r>
    </w:p>
    <w:p>
      <w:pPr>
        <w:numPr>
          <w:ilvl w:val="0"/>
          <w:numId w:val="13"/>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《中华人民共和国城市房地产管理法》；</w:t>
      </w:r>
    </w:p>
    <w:p>
      <w:pPr>
        <w:numPr>
          <w:ilvl w:val="0"/>
          <w:numId w:val="13"/>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《中华人民共和国土地管理法》；</w:t>
      </w:r>
    </w:p>
    <w:p>
      <w:pPr>
        <w:numPr>
          <w:ilvl w:val="0"/>
          <w:numId w:val="13"/>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《中华人民共和国担保法》</w:t>
      </w:r>
    </w:p>
    <w:p>
      <w:pPr>
        <w:numPr>
          <w:ilvl w:val="0"/>
          <w:numId w:val="13"/>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《中华人民共和国资产评估法》；</w:t>
      </w:r>
    </w:p>
    <w:p>
      <w:pPr>
        <w:numPr>
          <w:ilvl w:val="0"/>
          <w:numId w:val="13"/>
        </w:numPr>
        <w:adjustRightInd w:val="0"/>
        <w:snapToGrid w:val="0"/>
        <w:spacing w:line="400" w:lineRule="exact"/>
        <w:ind w:firstLine="567"/>
        <w:rPr>
          <w:rFonts w:ascii="仿宋_GB2312" w:hAnsi="宋体" w:eastAsia="仿宋_GB2312" w:cs="宋体"/>
          <w:sz w:val="28"/>
          <w:szCs w:val="28"/>
        </w:rPr>
      </w:pPr>
      <w:r>
        <w:rPr>
          <w:rFonts w:hint="eastAsia" w:ascii="仿宋_GB2312" w:hAnsi="宋体" w:eastAsia="仿宋_GB2312" w:cs="宋体"/>
          <w:sz w:val="28"/>
          <w:szCs w:val="28"/>
        </w:rPr>
        <w:t>《最高人民法院关于人民法院委托评估、拍卖和变卖工作的若干规定》（法释[2009]16号）；</w:t>
      </w:r>
    </w:p>
    <w:p>
      <w:pPr>
        <w:numPr>
          <w:ilvl w:val="0"/>
          <w:numId w:val="13"/>
        </w:numPr>
        <w:adjustRightInd w:val="0"/>
        <w:snapToGrid w:val="0"/>
        <w:spacing w:line="400" w:lineRule="exact"/>
      </w:pPr>
      <w:r>
        <w:rPr>
          <w:rFonts w:hint="eastAsia" w:ascii="仿宋_GB2312" w:hAnsi="宋体" w:eastAsia="仿宋_GB2312" w:cs="宋体"/>
          <w:sz w:val="28"/>
          <w:szCs w:val="28"/>
        </w:rPr>
        <w:t>《最高人民法院关于人民法院确定财产处置参考价若干问题的规定》（法释[2018]15号）；</w:t>
      </w:r>
    </w:p>
    <w:p>
      <w:pPr>
        <w:numPr>
          <w:ilvl w:val="0"/>
          <w:numId w:val="13"/>
        </w:numPr>
        <w:adjustRightInd w:val="0"/>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住房和城乡建设部、自然资源部等部门规章；</w:t>
      </w:r>
    </w:p>
    <w:p>
      <w:pPr>
        <w:numPr>
          <w:ilvl w:val="0"/>
          <w:numId w:val="13"/>
        </w:numPr>
        <w:adjustRightInd w:val="0"/>
        <w:snapToGrid w:val="0"/>
        <w:spacing w:line="400" w:lineRule="exact"/>
        <w:rPr>
          <w:rFonts w:ascii="仿宋_GB2312" w:hAnsi="宋体" w:eastAsia="仿宋_GB2312" w:cs="宋体"/>
          <w:sz w:val="28"/>
          <w:szCs w:val="28"/>
        </w:rPr>
      </w:pPr>
      <w:r>
        <w:rPr>
          <w:rFonts w:hint="eastAsia" w:ascii="仿宋_GB2312" w:hAnsi="宋体" w:eastAsia="仿宋_GB2312" w:cs="宋体"/>
          <w:sz w:val="28"/>
          <w:szCs w:val="28"/>
        </w:rPr>
        <w:t>省、市及有关部门颁布的有关房地产价格评估的法规及政策性文件。</w:t>
      </w:r>
    </w:p>
    <w:p>
      <w:pPr>
        <w:numPr>
          <w:ilvl w:val="0"/>
          <w:numId w:val="12"/>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估价标准依据</w:t>
      </w:r>
    </w:p>
    <w:p>
      <w:pPr>
        <w:numPr>
          <w:ilvl w:val="0"/>
          <w:numId w:val="14"/>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《房地产估价规范》（国标GB/T 50291-2015）；</w:t>
      </w:r>
    </w:p>
    <w:p>
      <w:pPr>
        <w:numPr>
          <w:ilvl w:val="0"/>
          <w:numId w:val="14"/>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《房地产估价基本术语标准》（国标GB/T 50899-2013）。</w:t>
      </w:r>
    </w:p>
    <w:p>
      <w:pPr>
        <w:numPr>
          <w:ilvl w:val="0"/>
          <w:numId w:val="12"/>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估价委托人提供的资料依据</w:t>
      </w:r>
    </w:p>
    <w:p>
      <w:pPr>
        <w:numPr>
          <w:ilvl w:val="0"/>
          <w:numId w:val="15"/>
        </w:numPr>
        <w:adjustRightInd w:val="0"/>
        <w:snapToGrid w:val="0"/>
        <w:spacing w:line="400" w:lineRule="exact"/>
        <w:ind w:left="0" w:firstLine="560" w:firstLineChars="200"/>
        <w:rPr>
          <w:rFonts w:ascii="仿宋_GB2312" w:hAnsi="宋体" w:eastAsia="仿宋_GB2312" w:cs="宋体"/>
          <w:sz w:val="28"/>
          <w:szCs w:val="28"/>
        </w:rPr>
      </w:pPr>
      <w:r>
        <w:rPr>
          <w:rFonts w:hint="eastAsia" w:ascii="仿宋_GB2312" w:hAnsi="宋体" w:eastAsia="仿宋_GB2312" w:cs="宋体"/>
          <w:sz w:val="28"/>
          <w:szCs w:val="28"/>
        </w:rPr>
        <w:t>泰安市泰安区人民法院《委托书》（编号：（2019）鲁0902执恢262号）；</w:t>
      </w:r>
    </w:p>
    <w:p>
      <w:pPr>
        <w:numPr>
          <w:ilvl w:val="0"/>
          <w:numId w:val="15"/>
        </w:numPr>
        <w:adjustRightInd w:val="0"/>
        <w:snapToGrid w:val="0"/>
        <w:spacing w:line="400" w:lineRule="exact"/>
        <w:ind w:left="0" w:firstLine="560" w:firstLineChars="200"/>
        <w:rPr>
          <w:rFonts w:ascii="仿宋_GB2312" w:hAnsi="宋体" w:eastAsia="仿宋_GB2312" w:cs="宋体"/>
          <w:sz w:val="28"/>
          <w:szCs w:val="28"/>
        </w:rPr>
      </w:pPr>
      <w:r>
        <w:rPr>
          <w:rFonts w:hint="eastAsia" w:ascii="仿宋_GB2312" w:hAnsi="宋体" w:eastAsia="仿宋_GB2312" w:cs="宋体"/>
          <w:sz w:val="28"/>
          <w:szCs w:val="28"/>
        </w:rPr>
        <w:t>《不动产登记资料查询结果证明》复印件。</w:t>
      </w:r>
    </w:p>
    <w:p>
      <w:pPr>
        <w:numPr>
          <w:ilvl w:val="0"/>
          <w:numId w:val="12"/>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估价机构及注册房地产估价师搜集的资料依据</w:t>
      </w:r>
    </w:p>
    <w:p>
      <w:pPr>
        <w:numPr>
          <w:ilvl w:val="0"/>
          <w:numId w:val="16"/>
        </w:numPr>
        <w:adjustRightInd w:val="0"/>
        <w:snapToGrid w:val="0"/>
        <w:spacing w:line="400" w:lineRule="exact"/>
        <w:ind w:firstLine="560" w:firstLineChars="200"/>
        <w:rPr>
          <w:rFonts w:ascii="仿宋_GB2312" w:hAnsi="宋体" w:eastAsia="仿宋_GB2312" w:cs="宋体"/>
          <w:sz w:val="28"/>
          <w:szCs w:val="28"/>
          <w:lang w:val="zh-CN"/>
        </w:rPr>
      </w:pPr>
      <w:bookmarkStart w:id="189" w:name="_Toc323043788"/>
      <w:bookmarkStart w:id="190" w:name="_Toc323116706"/>
      <w:bookmarkStart w:id="191" w:name="_Toc399921386"/>
      <w:bookmarkStart w:id="192" w:name="_Toc357083688"/>
      <w:bookmarkStart w:id="193" w:name="_Toc388427146"/>
      <w:bookmarkStart w:id="194" w:name="_Toc2175"/>
      <w:r>
        <w:rPr>
          <w:rFonts w:hint="eastAsia" w:ascii="仿宋_GB2312" w:hAnsi="宋体" w:eastAsia="仿宋_GB2312" w:cs="宋体"/>
          <w:sz w:val="28"/>
          <w:szCs w:val="28"/>
          <w:lang w:val="zh-CN"/>
        </w:rPr>
        <w:t>估价对象照片；</w:t>
      </w:r>
    </w:p>
    <w:p>
      <w:pPr>
        <w:numPr>
          <w:ilvl w:val="0"/>
          <w:numId w:val="16"/>
        </w:numPr>
        <w:adjustRightInd w:val="0"/>
        <w:snapToGrid w:val="0"/>
        <w:spacing w:line="400" w:lineRule="exact"/>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实地查勘记录；</w:t>
      </w:r>
    </w:p>
    <w:p>
      <w:pPr>
        <w:numPr>
          <w:ilvl w:val="0"/>
          <w:numId w:val="16"/>
        </w:numPr>
        <w:adjustRightInd w:val="0"/>
        <w:snapToGrid w:val="0"/>
        <w:spacing w:line="400" w:lineRule="exact"/>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估价人员调查和搜集的泰安市房地产有关资料；</w:t>
      </w:r>
    </w:p>
    <w:p>
      <w:pPr>
        <w:numPr>
          <w:ilvl w:val="0"/>
          <w:numId w:val="16"/>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估价机构及估价人员掌握的其他相关信息资料</w:t>
      </w:r>
      <w:r>
        <w:rPr>
          <w:rFonts w:hint="eastAsia" w:ascii="仿宋_GB2312" w:hAnsi="宋体" w:eastAsia="仿宋_GB2312" w:cs="宋体"/>
          <w:sz w:val="28"/>
          <w:szCs w:val="28"/>
        </w:rPr>
        <w:t>。</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195" w:name="_Toc24717522"/>
      <w:bookmarkStart w:id="196" w:name="_Toc1353"/>
      <w:bookmarkStart w:id="197" w:name="_Toc32347812"/>
      <w:bookmarkStart w:id="198" w:name="_Toc31732"/>
      <w:bookmarkStart w:id="199" w:name="_Toc10567"/>
      <w:bookmarkStart w:id="200" w:name="_Toc31323"/>
      <w:bookmarkStart w:id="201" w:name="_Toc7161"/>
      <w:bookmarkStart w:id="202" w:name="_Toc24725337"/>
      <w:bookmarkStart w:id="203" w:name="_Toc24704803"/>
      <w:bookmarkStart w:id="204" w:name="_Toc17333"/>
      <w:bookmarkStart w:id="205" w:name="_Toc32409053"/>
      <w:bookmarkStart w:id="206" w:name="_Toc23763"/>
      <w:r>
        <w:rPr>
          <w:rFonts w:hint="eastAsia" w:ascii="仿宋_GB2312" w:hAnsi="宋体" w:eastAsia="仿宋_GB2312" w:cs="宋体"/>
          <w:sz w:val="28"/>
          <w:szCs w:val="28"/>
        </w:rPr>
        <w:t>估价方法</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hint="eastAsia" w:ascii="仿宋_GB2312" w:hAnsi="宋体" w:eastAsia="仿宋_GB2312" w:cs="宋体"/>
          <w:sz w:val="28"/>
          <w:szCs w:val="28"/>
        </w:rPr>
        <w:tab/>
      </w:r>
    </w:p>
    <w:p>
      <w:p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根据《房地产估价规范》（GB/T 50291-2015），通行的估价方法有比较法、收益法、成本法、假设开发法等。估价方法的选择应根据当地房地产市场发展情况并结合估价对象的具体特点及估价目的等，选择适当的估价方法。本次估价中，估价人员在认真分析所掌握的资料，并对估价对象进行了实地查勘以及对周边房地产市场进行调查后，最终选用比较法、收益法进行估价。</w:t>
      </w:r>
    </w:p>
    <w:p>
      <w:pPr>
        <w:numPr>
          <w:ilvl w:val="0"/>
          <w:numId w:val="17"/>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本次选用估价方法定义及基本公式</w:t>
      </w:r>
    </w:p>
    <w:p>
      <w:pPr>
        <w:pStyle w:val="15"/>
        <w:numPr>
          <w:ilvl w:val="0"/>
          <w:numId w:val="18"/>
        </w:numPr>
        <w:snapToGrid w:val="0"/>
        <w:spacing w:line="400" w:lineRule="exact"/>
        <w:ind w:firstLine="560" w:firstLineChars="200"/>
        <w:rPr>
          <w:rFonts w:ascii="仿宋_GB2312" w:hAnsi="宋体" w:eastAsia="仿宋_GB2312"/>
          <w:spacing w:val="0"/>
          <w:kern w:val="2"/>
        </w:rPr>
      </w:pPr>
      <w:r>
        <w:rPr>
          <w:rFonts w:hint="eastAsia" w:ascii="仿宋_GB2312" w:hAnsi="宋体" w:eastAsia="仿宋_GB2312"/>
          <w:spacing w:val="0"/>
          <w:kern w:val="2"/>
        </w:rPr>
        <w:t>比较法</w:t>
      </w:r>
    </w:p>
    <w:p>
      <w:pPr>
        <w:pStyle w:val="15"/>
        <w:snapToGrid w:val="0"/>
        <w:spacing w:line="400" w:lineRule="exact"/>
        <w:ind w:firstLine="590"/>
        <w:rPr>
          <w:rFonts w:ascii="仿宋_GB2312" w:hAnsi="宋体" w:eastAsia="仿宋_GB2312"/>
          <w:spacing w:val="0"/>
          <w:kern w:val="2"/>
        </w:rPr>
      </w:pPr>
      <w:r>
        <w:rPr>
          <w:rFonts w:hint="eastAsia" w:ascii="仿宋_GB2312" w:hAnsi="宋体" w:eastAsia="仿宋_GB2312"/>
          <w:spacing w:val="0"/>
          <w:kern w:val="2"/>
        </w:rPr>
        <w:t>比较法是选取一定数量的可比实例，将它们与估价对象进行比较，根据其间的差异对可比实例成交价格进行处理后得到估价对象价值或价格的方法。</w:t>
      </w:r>
    </w:p>
    <w:p>
      <w:pPr>
        <w:pStyle w:val="15"/>
        <w:snapToGrid w:val="0"/>
        <w:spacing w:line="400" w:lineRule="exact"/>
        <w:ind w:firstLine="590"/>
        <w:rPr>
          <w:rFonts w:ascii="仿宋_GB2312" w:hAnsi="宋体" w:eastAsia="仿宋_GB2312"/>
          <w:spacing w:val="0"/>
          <w:kern w:val="2"/>
        </w:rPr>
      </w:pPr>
      <w:r>
        <w:rPr>
          <w:rFonts w:hint="eastAsia" w:ascii="仿宋_GB2312" w:hAnsi="宋体" w:eastAsia="仿宋_GB2312"/>
          <w:spacing w:val="0"/>
          <w:kern w:val="2"/>
        </w:rPr>
        <w:t>运用比较法求取估价对象之比较价值的基本公式如下：</w:t>
      </w:r>
    </w:p>
    <w:p>
      <w:pPr>
        <w:pStyle w:val="15"/>
        <w:snapToGrid w:val="0"/>
        <w:spacing w:line="400" w:lineRule="exact"/>
        <w:ind w:firstLine="590"/>
        <w:rPr>
          <w:rFonts w:ascii="仿宋_GB2312" w:hAnsi="宋体" w:eastAsia="仿宋_GB2312"/>
        </w:rPr>
      </w:pPr>
      <w:r>
        <w:rPr>
          <w:rFonts w:hint="eastAsia" w:ascii="仿宋_GB2312" w:hAnsi="宋体" w:eastAsia="仿宋_GB2312"/>
          <w:spacing w:val="0"/>
          <w:kern w:val="2"/>
        </w:rPr>
        <w:t>比较价值＝可比实例成交价格×交易情况修正系数×市场状况调整系数×房地产状况调整系数</w:t>
      </w:r>
    </w:p>
    <w:p>
      <w:pPr>
        <w:pStyle w:val="15"/>
        <w:numPr>
          <w:ilvl w:val="0"/>
          <w:numId w:val="18"/>
        </w:numPr>
        <w:snapToGrid w:val="0"/>
        <w:spacing w:line="400" w:lineRule="exact"/>
        <w:ind w:firstLine="560" w:firstLineChars="200"/>
        <w:rPr>
          <w:rFonts w:ascii="仿宋_GB2312" w:hAnsi="宋体" w:eastAsia="仿宋_GB2312"/>
          <w:spacing w:val="0"/>
          <w:kern w:val="2"/>
        </w:rPr>
      </w:pPr>
      <w:r>
        <w:rPr>
          <w:rFonts w:hint="eastAsia" w:ascii="仿宋_GB2312" w:hAnsi="宋体" w:eastAsia="仿宋_GB2312"/>
          <w:spacing w:val="0"/>
          <w:kern w:val="2"/>
        </w:rPr>
        <w:t>收益法</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收益法是预测估价对象的未来收益，利用报酬率或资本化率、收益乘数将未来收益转换为价值得到估价对象价值或价格的方法。本次估价采用报酬资本化法的持有加转售模式。</w:t>
      </w:r>
    </w:p>
    <w:p>
      <w:pPr>
        <w:adjustRightInd w:val="0"/>
        <w:snapToGrid w:val="0"/>
        <w:spacing w:line="400" w:lineRule="exact"/>
        <w:ind w:firstLine="599" w:firstLineChars="214"/>
        <w:rPr>
          <w:rFonts w:ascii="仿宋_GB2312" w:hAnsi="宋体" w:eastAsia="仿宋_GB2312" w:cs="宋体"/>
          <w:sz w:val="28"/>
          <w:szCs w:val="28"/>
        </w:rPr>
      </w:pPr>
      <w:r>
        <w:rPr>
          <w:rFonts w:hint="eastAsia" w:ascii="仿宋_GB2312" w:hAnsi="宋体" w:eastAsia="仿宋_GB2312" w:cs="宋体"/>
          <w:sz w:val="28"/>
          <w:szCs w:val="28"/>
        </w:rPr>
        <w:t>采用持有加转售模式求取估价对象之收益价值的基本公式如下：</w:t>
      </w:r>
    </w:p>
    <w:p>
      <w:pPr>
        <w:spacing w:line="360" w:lineRule="atLeast"/>
        <w:ind w:firstLine="480" w:firstLineChars="200"/>
        <w:jc w:val="left"/>
        <w:rPr>
          <w:rFonts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0" distR="0">
            <wp:extent cx="2702560" cy="586740"/>
            <wp:effectExtent l="19050" t="0" r="2540" b="0"/>
            <wp:docPr id="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
                    <pic:cNvPicPr>
                      <a:picLocks noChangeAspect="1" noChangeArrowheads="1"/>
                    </pic:cNvPicPr>
                  </pic:nvPicPr>
                  <pic:blipFill>
                    <a:blip r:embed="rId17" cstate="print"/>
                    <a:srcRect/>
                    <a:stretch>
                      <a:fillRect/>
                    </a:stretch>
                  </pic:blipFill>
                  <pic:spPr>
                    <a:xfrm>
                      <a:off x="0" y="0"/>
                      <a:ext cx="2702560" cy="586740"/>
                    </a:xfrm>
                    <a:prstGeom prst="rect">
                      <a:avLst/>
                    </a:prstGeom>
                    <a:noFill/>
                    <a:ln w="9525">
                      <a:noFill/>
                      <a:miter lim="800000"/>
                      <a:headEnd/>
                      <a:tailEnd/>
                    </a:ln>
                  </pic:spPr>
                </pic:pic>
              </a:graphicData>
            </a:graphic>
          </wp:inline>
        </w:drawing>
      </w:r>
    </w:p>
    <w:p>
      <w:pPr>
        <w:tabs>
          <w:tab w:val="left" w:pos="1290"/>
        </w:tabs>
        <w:snapToGrid w:val="0"/>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其中：V——收益价值（元或元/m</w:t>
      </w:r>
      <w:r>
        <w:rPr>
          <w:rFonts w:hint="eastAsia" w:ascii="仿宋_GB2312" w:hAnsi="宋体" w:eastAsia="仿宋_GB2312" w:cs="宋体"/>
          <w:sz w:val="28"/>
          <w:szCs w:val="28"/>
          <w:vertAlign w:val="superscript"/>
        </w:rPr>
        <w:t>2</w:t>
      </w:r>
      <w:r>
        <w:rPr>
          <w:rFonts w:hint="eastAsia" w:ascii="仿宋_GB2312" w:hAnsi="宋体" w:eastAsia="仿宋_GB2312" w:cs="宋体"/>
          <w:sz w:val="28"/>
          <w:szCs w:val="28"/>
        </w:rPr>
        <w:t>）；</w:t>
      </w:r>
    </w:p>
    <w:p>
      <w:pPr>
        <w:snapToGrid w:val="0"/>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      A</w:t>
      </w:r>
      <w:r>
        <w:rPr>
          <w:rFonts w:hint="eastAsia" w:ascii="仿宋_GB2312" w:hAnsi="宋体" w:eastAsia="仿宋_GB2312" w:cs="宋体"/>
          <w:sz w:val="28"/>
          <w:szCs w:val="28"/>
          <w:vertAlign w:val="subscript"/>
        </w:rPr>
        <w:t>i</w:t>
      </w:r>
      <w:r>
        <w:rPr>
          <w:rFonts w:hint="eastAsia" w:ascii="仿宋_GB2312" w:hAnsi="宋体" w:eastAsia="仿宋_GB2312" w:cs="宋体"/>
          <w:sz w:val="28"/>
          <w:szCs w:val="28"/>
        </w:rPr>
        <w:t>——期间收益（元或元/m</w:t>
      </w:r>
      <w:r>
        <w:rPr>
          <w:rFonts w:hint="eastAsia" w:ascii="仿宋_GB2312" w:hAnsi="宋体" w:eastAsia="仿宋_GB2312" w:cs="宋体"/>
          <w:sz w:val="28"/>
          <w:szCs w:val="28"/>
          <w:vertAlign w:val="superscript"/>
        </w:rPr>
        <w:t>2</w:t>
      </w:r>
      <w:r>
        <w:rPr>
          <w:rFonts w:hint="eastAsia" w:ascii="仿宋_GB2312" w:hAnsi="宋体" w:eastAsia="仿宋_GB2312" w:cs="宋体"/>
          <w:sz w:val="28"/>
          <w:szCs w:val="28"/>
        </w:rPr>
        <w:t>）；</w:t>
      </w:r>
    </w:p>
    <w:p>
      <w:pPr>
        <w:snapToGrid w:val="0"/>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      V</w:t>
      </w:r>
      <w:r>
        <w:rPr>
          <w:rFonts w:hint="eastAsia" w:ascii="仿宋_GB2312" w:hAnsi="宋体" w:eastAsia="仿宋_GB2312" w:cs="宋体"/>
          <w:sz w:val="28"/>
          <w:szCs w:val="28"/>
          <w:vertAlign w:val="subscript"/>
        </w:rPr>
        <w:t>t</w:t>
      </w:r>
      <w:r>
        <w:rPr>
          <w:rFonts w:hint="eastAsia" w:ascii="仿宋_GB2312" w:hAnsi="宋体" w:eastAsia="仿宋_GB2312" w:cs="宋体"/>
          <w:sz w:val="28"/>
          <w:szCs w:val="28"/>
        </w:rPr>
        <w:t>——期末转售收益（元或元/m</w:t>
      </w:r>
      <w:r>
        <w:rPr>
          <w:rFonts w:hint="eastAsia" w:ascii="仿宋_GB2312" w:hAnsi="宋体" w:eastAsia="仿宋_GB2312" w:cs="宋体"/>
          <w:sz w:val="28"/>
          <w:szCs w:val="28"/>
          <w:vertAlign w:val="superscript"/>
        </w:rPr>
        <w:t>2</w:t>
      </w:r>
      <w:r>
        <w:rPr>
          <w:rFonts w:hint="eastAsia" w:ascii="仿宋_GB2312" w:hAnsi="宋体" w:eastAsia="仿宋_GB2312" w:cs="宋体"/>
          <w:sz w:val="28"/>
          <w:szCs w:val="28"/>
        </w:rPr>
        <w:t>）；</w:t>
      </w:r>
    </w:p>
    <w:p>
      <w:pPr>
        <w:snapToGrid w:val="0"/>
        <w:spacing w:line="440" w:lineRule="exact"/>
        <w:ind w:firstLine="1383" w:firstLineChars="494"/>
        <w:rPr>
          <w:rFonts w:ascii="仿宋_GB2312" w:hAnsi="宋体" w:eastAsia="仿宋_GB2312" w:cs="宋体"/>
          <w:sz w:val="28"/>
          <w:szCs w:val="28"/>
        </w:rPr>
      </w:pPr>
      <w:r>
        <w:rPr>
          <w:rFonts w:hint="eastAsia" w:ascii="仿宋_GB2312" w:hAnsi="宋体" w:eastAsia="仿宋_GB2312" w:cs="宋体"/>
          <w:sz w:val="28"/>
          <w:szCs w:val="28"/>
        </w:rPr>
        <w:t>Y</w:t>
      </w:r>
      <w:r>
        <w:rPr>
          <w:rFonts w:hint="eastAsia" w:ascii="仿宋_GB2312" w:hAnsi="宋体" w:eastAsia="仿宋_GB2312" w:cs="宋体"/>
          <w:sz w:val="28"/>
          <w:szCs w:val="28"/>
          <w:vertAlign w:val="subscript"/>
        </w:rPr>
        <w:t>i</w:t>
      </w:r>
      <w:r>
        <w:rPr>
          <w:rFonts w:hint="eastAsia" w:ascii="仿宋_GB2312" w:hAnsi="宋体" w:eastAsia="仿宋_GB2312" w:cs="宋体"/>
          <w:sz w:val="28"/>
          <w:szCs w:val="28"/>
        </w:rPr>
        <w:t>——未来第i年的报酬率（%）；</w:t>
      </w:r>
    </w:p>
    <w:p>
      <w:pPr>
        <w:snapToGrid w:val="0"/>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      Y</w:t>
      </w:r>
      <w:r>
        <w:rPr>
          <w:rFonts w:hint="eastAsia" w:ascii="仿宋_GB2312" w:hAnsi="宋体" w:eastAsia="仿宋_GB2312" w:cs="宋体"/>
          <w:sz w:val="28"/>
          <w:szCs w:val="28"/>
          <w:vertAlign w:val="subscript"/>
        </w:rPr>
        <w:t>t</w:t>
      </w:r>
      <w:r>
        <w:rPr>
          <w:rFonts w:hint="eastAsia" w:ascii="仿宋_GB2312" w:hAnsi="宋体" w:eastAsia="仿宋_GB2312" w:cs="宋体"/>
          <w:sz w:val="28"/>
          <w:szCs w:val="28"/>
        </w:rPr>
        <w:t>——期末报酬率（%）；</w:t>
      </w:r>
    </w:p>
    <w:p>
      <w:pPr>
        <w:snapToGrid w:val="0"/>
        <w:spacing w:line="440" w:lineRule="exact"/>
        <w:ind w:firstLine="560" w:firstLineChars="200"/>
      </w:pPr>
      <w:r>
        <w:rPr>
          <w:rFonts w:hint="eastAsia" w:ascii="仿宋_GB2312" w:hAnsi="宋体" w:eastAsia="仿宋_GB2312" w:cs="宋体"/>
          <w:sz w:val="28"/>
          <w:szCs w:val="28"/>
        </w:rPr>
        <w:t xml:space="preserve">      t——持有期。</w:t>
      </w:r>
    </w:p>
    <w:p>
      <w:pPr>
        <w:numPr>
          <w:ilvl w:val="0"/>
          <w:numId w:val="17"/>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不选用的估价方法及理由</w:t>
      </w:r>
    </w:p>
    <w:p>
      <w:pPr>
        <w:numPr>
          <w:ilvl w:val="0"/>
          <w:numId w:val="19"/>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不选用成本法的理由</w:t>
      </w:r>
    </w:p>
    <w:p>
      <w:p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虽然估价对象理论上适用成本法，但受到运用的客观条件限制，特别是现时成套住宅价格主要受市场供求关系左右，成本法的均衡原理已被淡化，在这种背景下，成套住宅房地产价格与开发成本的关联性弱，房地产的开发成本根本不能反映出房地产的现时的市场价格，加之成本法所需的规划、设计等基础资料无法获取，故不适合选用成本法。</w:t>
      </w:r>
    </w:p>
    <w:p>
      <w:pPr>
        <w:numPr>
          <w:ilvl w:val="0"/>
          <w:numId w:val="19"/>
        </w:num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不选用假设开发法的理由</w:t>
      </w:r>
    </w:p>
    <w:p>
      <w:pPr>
        <w:adjustRightInd w:val="0"/>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由于估价对象为非待开发的不动产，不产生后续开发成本，理论上不适用假设开发法，故不适合选用假设开发法。</w:t>
      </w:r>
    </w:p>
    <w:p>
      <w:pPr>
        <w:numPr>
          <w:ilvl w:val="0"/>
          <w:numId w:val="17"/>
        </w:numPr>
        <w:adjustRightInd w:val="0"/>
        <w:snapToGrid w:val="0"/>
        <w:spacing w:line="400" w:lineRule="exact"/>
        <w:rPr>
          <w:rFonts w:ascii="仿宋_GB2312" w:hAnsi="宋体" w:eastAsia="仿宋_GB2312" w:cs="宋体"/>
          <w:b/>
          <w:sz w:val="28"/>
          <w:szCs w:val="28"/>
        </w:rPr>
      </w:pPr>
      <w:r>
        <w:rPr>
          <w:rFonts w:hint="eastAsia" w:ascii="仿宋_GB2312" w:hAnsi="宋体" w:eastAsia="仿宋_GB2312" w:cs="宋体"/>
          <w:b/>
          <w:sz w:val="28"/>
          <w:szCs w:val="28"/>
        </w:rPr>
        <w:t>估价技术路线</w:t>
      </w:r>
    </w:p>
    <w:p>
      <w:pPr>
        <w:numPr>
          <w:ilvl w:val="0"/>
          <w:numId w:val="20"/>
        </w:numPr>
        <w:spacing w:line="400" w:lineRule="exact"/>
        <w:ind w:firstLine="560" w:firstLineChars="200"/>
        <w:rPr>
          <w:rFonts w:ascii="仿宋_GB2312" w:hAnsi="宋体" w:eastAsia="仿宋_GB2312" w:cs="宋体"/>
          <w:sz w:val="28"/>
          <w:szCs w:val="28"/>
        </w:rPr>
      </w:pPr>
      <w:bookmarkStart w:id="207" w:name="_Toc4346"/>
      <w:bookmarkStart w:id="208" w:name="_Toc388427147"/>
      <w:bookmarkStart w:id="209" w:name="_Toc1722"/>
      <w:bookmarkStart w:id="210" w:name="_Toc5701"/>
      <w:bookmarkStart w:id="211" w:name="_Toc24704804"/>
      <w:bookmarkStart w:id="212" w:name="_Toc323116707"/>
      <w:bookmarkStart w:id="213" w:name="_Toc323043789"/>
      <w:bookmarkStart w:id="214" w:name="_Toc399921387"/>
      <w:r>
        <w:rPr>
          <w:rFonts w:hint="eastAsia" w:ascii="仿宋_GB2312" w:hAnsi="宋体" w:eastAsia="仿宋_GB2312" w:cs="宋体"/>
          <w:sz w:val="28"/>
          <w:szCs w:val="28"/>
        </w:rPr>
        <w:t>运用比较法求取估价对象比较价值。</w:t>
      </w:r>
    </w:p>
    <w:p>
      <w:pPr>
        <w:numPr>
          <w:ilvl w:val="0"/>
          <w:numId w:val="20"/>
        </w:num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运用收益法求取估价对象收益价值。</w:t>
      </w:r>
    </w:p>
    <w:p>
      <w:pPr>
        <w:numPr>
          <w:ilvl w:val="0"/>
          <w:numId w:val="20"/>
        </w:numPr>
        <w:adjustRightIn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根据上述两种方法求取的估价对象价值综合确定估价对象房地产市场价值。</w:t>
      </w:r>
    </w:p>
    <w:p>
      <w:pPr>
        <w:pStyle w:val="4"/>
        <w:numPr>
          <w:ilvl w:val="0"/>
          <w:numId w:val="9"/>
        </w:numPr>
        <w:spacing w:before="0" w:after="0" w:line="400" w:lineRule="exact"/>
        <w:ind w:left="0"/>
        <w:rPr>
          <w:rFonts w:ascii="仿宋_GB2312" w:hAnsi="宋体" w:eastAsia="仿宋_GB2312" w:cs="宋体"/>
          <w:sz w:val="28"/>
          <w:szCs w:val="28"/>
        </w:rPr>
      </w:pPr>
      <w:bookmarkStart w:id="215" w:name="_Toc30586"/>
      <w:bookmarkStart w:id="216" w:name="_Toc24717523"/>
      <w:bookmarkStart w:id="217" w:name="_Toc24725338"/>
      <w:bookmarkStart w:id="218" w:name="_Toc17429"/>
      <w:bookmarkStart w:id="219" w:name="_Toc8212"/>
      <w:bookmarkStart w:id="220" w:name="_Toc32347813"/>
      <w:bookmarkStart w:id="221" w:name="_Toc32409054"/>
      <w:bookmarkStart w:id="222" w:name="_Toc18063"/>
      <w:bookmarkStart w:id="223" w:name="_Toc3105"/>
      <w:r>
        <w:rPr>
          <w:rFonts w:hint="eastAsia" w:ascii="仿宋_GB2312" w:hAnsi="宋体" w:eastAsia="仿宋_GB2312" w:cs="宋体"/>
          <w:sz w:val="28"/>
          <w:szCs w:val="28"/>
        </w:rPr>
        <w:t>估价结果</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估价人员</w:t>
      </w:r>
      <w:r>
        <w:rPr>
          <w:rFonts w:hint="eastAsia" w:ascii="仿宋_GB2312" w:hAnsi="宋体" w:eastAsia="仿宋_GB2312" w:cs="宋体"/>
          <w:sz w:val="28"/>
          <w:szCs w:val="28"/>
          <w:lang w:val="zh-CN"/>
        </w:rPr>
        <w:t>遵照有关的法律法规、政策文件和估价标准，根据估价委托人提供的相关资料以及本估价机构及注册房地产估价师掌握的资料，按照估价目的，遵循估价原则，采用比较法及收益法进行了分析、测算和判断，在满足估价假设和限制条件下，估价对象于价值时点（</w:t>
      </w:r>
      <w:r>
        <w:rPr>
          <w:rFonts w:hint="eastAsia" w:ascii="仿宋_GB2312" w:hAnsi="宋体" w:eastAsia="仿宋_GB2312" w:cs="宋体"/>
          <w:sz w:val="28"/>
          <w:szCs w:val="28"/>
        </w:rPr>
        <w:t>2020年1月14日</w:t>
      </w:r>
      <w:r>
        <w:rPr>
          <w:rFonts w:hint="eastAsia" w:ascii="仿宋_GB2312" w:hAnsi="宋体" w:eastAsia="仿宋_GB2312" w:cs="宋体"/>
          <w:sz w:val="28"/>
          <w:szCs w:val="28"/>
          <w:lang w:val="zh-CN"/>
        </w:rPr>
        <w:t>）的最终估价结果见下表。</w:t>
      </w:r>
    </w:p>
    <w:p>
      <w:pPr>
        <w:spacing w:line="440" w:lineRule="exact"/>
        <w:ind w:firstLine="480" w:firstLineChars="200"/>
        <w:jc w:val="right"/>
        <w:rPr>
          <w:rFonts w:ascii="仿宋_GB2312" w:hAnsi="宋体" w:eastAsia="仿宋_GB2312" w:cs="宋体"/>
          <w:b/>
          <w:bCs/>
          <w:sz w:val="24"/>
        </w:rPr>
      </w:pPr>
      <w:r>
        <w:rPr>
          <w:rFonts w:hint="eastAsia" w:ascii="仿宋_GB2312" w:hAnsi="宋体" w:eastAsia="仿宋_GB2312" w:cs="宋体"/>
          <w:b/>
          <w:bCs/>
          <w:sz w:val="24"/>
        </w:rPr>
        <w:t xml:space="preserve">              </w:t>
      </w:r>
      <w:r>
        <w:rPr>
          <w:rFonts w:ascii="仿宋_GB2312" w:hAnsi="宋体" w:eastAsia="仿宋_GB2312" w:cs="宋体"/>
          <w:b/>
          <w:bCs/>
          <w:sz w:val="24"/>
        </w:rPr>
        <w:br w:type="page"/>
      </w:r>
      <w:r>
        <w:rPr>
          <w:rFonts w:hint="eastAsia" w:ascii="仿宋_GB2312" w:hAnsi="宋体" w:eastAsia="仿宋_GB2312" w:cs="宋体"/>
          <w:b/>
          <w:bCs/>
          <w:sz w:val="24"/>
        </w:rPr>
        <w:t xml:space="preserve"> 估价对象房地产市场价值评估结果表                 表5</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1875"/>
        <w:gridCol w:w="3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7" w:type="pct"/>
            <w:vMerge w:val="restart"/>
            <w:vAlign w:val="center"/>
          </w:tcPr>
          <w:p>
            <w:pPr>
              <w:spacing w:line="240" w:lineRule="exact"/>
              <w:jc w:val="center"/>
              <w:rPr>
                <w:rFonts w:ascii="仿宋_GB2312" w:hAnsi="宋体" w:eastAsia="仿宋_GB2312" w:cs="宋体"/>
                <w:sz w:val="24"/>
              </w:rPr>
            </w:pPr>
            <w:r>
              <w:rPr>
                <w:rFonts w:hint="eastAsia" w:ascii="仿宋_GB2312" w:hAnsi="宋体" w:eastAsia="仿宋_GB2312" w:cs="宋体"/>
                <w:b/>
                <w:bCs/>
                <w:sz w:val="24"/>
              </w:rPr>
              <w:t>项目</w:t>
            </w:r>
          </w:p>
        </w:tc>
        <w:tc>
          <w:tcPr>
            <w:tcW w:w="3143" w:type="pct"/>
            <w:gridSpan w:val="2"/>
            <w:vAlign w:val="center"/>
          </w:tcPr>
          <w:p>
            <w:pPr>
              <w:spacing w:line="240" w:lineRule="exact"/>
              <w:jc w:val="center"/>
              <w:rPr>
                <w:rFonts w:ascii="仿宋_GB2312" w:hAnsi="宋体" w:eastAsia="仿宋_GB2312" w:cs="宋体"/>
                <w:b/>
                <w:sz w:val="24"/>
              </w:rPr>
            </w:pPr>
            <w:r>
              <w:rPr>
                <w:rFonts w:hint="eastAsia" w:ascii="仿宋_GB2312" w:hAnsi="宋体" w:eastAsia="仿宋_GB2312" w:cs="宋体"/>
                <w:b/>
                <w:sz w:val="24"/>
              </w:rPr>
              <w:t>估价结果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857" w:type="pct"/>
            <w:vMerge w:val="continue"/>
          </w:tcPr>
          <w:p>
            <w:pPr>
              <w:spacing w:line="240" w:lineRule="exact"/>
              <w:rPr>
                <w:rFonts w:ascii="仿宋_GB2312" w:hAnsi="宋体" w:eastAsia="仿宋_GB2312" w:cs="宋体"/>
                <w:sz w:val="24"/>
              </w:rPr>
            </w:pPr>
          </w:p>
        </w:tc>
        <w:tc>
          <w:tcPr>
            <w:tcW w:w="1014" w:type="pct"/>
            <w:vAlign w:val="center"/>
          </w:tcPr>
          <w:p>
            <w:pPr>
              <w:spacing w:line="240" w:lineRule="exact"/>
              <w:jc w:val="center"/>
              <w:rPr>
                <w:rFonts w:ascii="仿宋_GB2312" w:hAnsi="宋体" w:eastAsia="仿宋_GB2312" w:cs="宋体"/>
                <w:b/>
                <w:sz w:val="24"/>
              </w:rPr>
            </w:pPr>
            <w:r>
              <w:rPr>
                <w:rFonts w:hint="eastAsia" w:ascii="仿宋_GB2312" w:hAnsi="宋体" w:eastAsia="仿宋_GB2312" w:cs="宋体"/>
                <w:b/>
                <w:sz w:val="24"/>
              </w:rPr>
              <w:t>单价（元/m</w:t>
            </w:r>
            <w:r>
              <w:rPr>
                <w:rFonts w:hint="eastAsia" w:ascii="仿宋_GB2312" w:hAnsi="宋体" w:eastAsia="仿宋_GB2312" w:cs="宋体"/>
                <w:b/>
                <w:sz w:val="24"/>
                <w:vertAlign w:val="superscript"/>
              </w:rPr>
              <w:t>2</w:t>
            </w:r>
            <w:r>
              <w:rPr>
                <w:rFonts w:hint="eastAsia" w:ascii="仿宋_GB2312" w:hAnsi="宋体" w:eastAsia="仿宋_GB2312" w:cs="宋体"/>
                <w:b/>
                <w:sz w:val="24"/>
              </w:rPr>
              <w:t>）</w:t>
            </w:r>
          </w:p>
        </w:tc>
        <w:tc>
          <w:tcPr>
            <w:tcW w:w="2129" w:type="pct"/>
            <w:vAlign w:val="center"/>
          </w:tcPr>
          <w:p>
            <w:pPr>
              <w:spacing w:line="240" w:lineRule="exact"/>
              <w:jc w:val="center"/>
              <w:rPr>
                <w:rFonts w:ascii="仿宋_GB2312" w:hAnsi="宋体" w:eastAsia="仿宋_GB2312" w:cs="宋体"/>
                <w:b/>
                <w:sz w:val="24"/>
              </w:rPr>
            </w:pPr>
            <w:r>
              <w:rPr>
                <w:rFonts w:hint="eastAsia" w:ascii="仿宋_GB2312" w:hAnsi="宋体" w:eastAsia="仿宋_GB2312" w:cs="宋体"/>
                <w:b/>
                <w:bCs/>
                <w:sz w:val="24"/>
              </w:rPr>
              <w:t>总价或总额</w:t>
            </w:r>
            <w:r>
              <w:rPr>
                <w:rFonts w:hint="eastAsia" w:ascii="仿宋_GB2312" w:hAnsi="宋体" w:eastAsia="仿宋_GB2312" w:cs="宋体"/>
                <w:b/>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857" w:type="pct"/>
            <w:vAlign w:val="center"/>
          </w:tcPr>
          <w:p>
            <w:pPr>
              <w:spacing w:line="240" w:lineRule="exact"/>
              <w:rPr>
                <w:rFonts w:ascii="仿宋_GB2312" w:hAnsi="宋体" w:eastAsia="仿宋_GB2312" w:cs="宋体"/>
                <w:sz w:val="24"/>
              </w:rPr>
            </w:pPr>
            <w:r>
              <w:rPr>
                <w:rFonts w:hint="eastAsia" w:ascii="仿宋_GB2312" w:hAnsi="宋体" w:eastAsia="仿宋_GB2312" w:cs="宋体"/>
                <w:sz w:val="24"/>
              </w:rPr>
              <w:t>泰安市东岳大街西段北侧容郡国际小区5号楼二单元502号房地产市场价值估价</w:t>
            </w:r>
          </w:p>
        </w:tc>
        <w:tc>
          <w:tcPr>
            <w:tcW w:w="1014" w:type="pct"/>
            <w:vAlign w:val="center"/>
          </w:tcPr>
          <w:p>
            <w:pPr>
              <w:spacing w:line="240" w:lineRule="exact"/>
              <w:jc w:val="center"/>
              <w:rPr>
                <w:rFonts w:ascii="仿宋_GB2312" w:hAnsi="宋体" w:eastAsia="仿宋_GB2312" w:cs="宋体"/>
                <w:sz w:val="24"/>
              </w:rPr>
            </w:pPr>
            <w:r>
              <w:rPr>
                <w:rFonts w:hint="eastAsia" w:ascii="仿宋_GB2312" w:hAnsi="宋体" w:eastAsia="仿宋_GB2312" w:cs="宋体"/>
                <w:sz w:val="24"/>
              </w:rPr>
              <w:t>17651</w:t>
            </w:r>
          </w:p>
        </w:tc>
        <w:tc>
          <w:tcPr>
            <w:tcW w:w="2129" w:type="pct"/>
            <w:vAlign w:val="center"/>
          </w:tcPr>
          <w:p>
            <w:pPr>
              <w:spacing w:line="240" w:lineRule="exact"/>
              <w:jc w:val="center"/>
              <w:rPr>
                <w:rFonts w:ascii="仿宋_GB2312" w:hAnsi="宋体" w:eastAsia="仿宋_GB2312" w:cs="宋体"/>
                <w:sz w:val="24"/>
              </w:rPr>
            </w:pPr>
            <w:r>
              <w:rPr>
                <w:rFonts w:hint="eastAsia" w:ascii="仿宋_GB2312" w:hAnsi="宋体" w:eastAsia="仿宋_GB2312" w:cs="宋体"/>
                <w:sz w:val="24"/>
              </w:rPr>
              <w:t>266.72（人民币贰佰陆拾陆万柒仟贰佰圆整）</w:t>
            </w:r>
          </w:p>
        </w:tc>
      </w:tr>
    </w:tbl>
    <w:p>
      <w:pPr>
        <w:snapToGrid w:val="0"/>
        <w:spacing w:line="4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估价结果内涵为在满足本估价假设和限制条件下，包括建筑物、分摊的土地使用权及配套设施的价值，</w:t>
      </w:r>
      <w:r>
        <w:rPr>
          <w:rFonts w:hint="eastAsia" w:ascii="仿宋_GB2312" w:hAnsi="宋体" w:eastAsia="仿宋_GB2312" w:cs="宋体"/>
          <w:sz w:val="28"/>
          <w:szCs w:val="28"/>
          <w:lang w:val="zh-CN"/>
        </w:rPr>
        <w:t>付款方式为一次性付清房价款，</w:t>
      </w:r>
      <w:r>
        <w:rPr>
          <w:rFonts w:hint="eastAsia" w:ascii="仿宋_GB2312" w:hAnsi="宋体" w:eastAsia="仿宋_GB2312" w:cs="宋体"/>
          <w:sz w:val="28"/>
          <w:szCs w:val="28"/>
        </w:rPr>
        <w:t>房屋面积内涵是建筑面积，开发程度为现房。</w:t>
      </w:r>
    </w:p>
    <w:p>
      <w:pPr>
        <w:pStyle w:val="4"/>
        <w:numPr>
          <w:ilvl w:val="0"/>
          <w:numId w:val="9"/>
        </w:numPr>
        <w:spacing w:before="0" w:after="0" w:line="400" w:lineRule="exact"/>
        <w:ind w:left="0"/>
        <w:rPr>
          <w:rFonts w:ascii="仿宋_GB2312" w:hAnsi="宋体" w:eastAsia="仿宋_GB2312" w:cs="宋体"/>
          <w:sz w:val="28"/>
          <w:szCs w:val="28"/>
        </w:rPr>
      </w:pPr>
      <w:bookmarkStart w:id="224" w:name="_Toc357083690"/>
      <w:bookmarkStart w:id="225" w:name="_Toc24725339"/>
      <w:bookmarkStart w:id="226" w:name="_Toc28910"/>
      <w:bookmarkStart w:id="227" w:name="_Toc399921388"/>
      <w:bookmarkStart w:id="228" w:name="_Toc4109"/>
      <w:bookmarkStart w:id="229" w:name="_Toc26567"/>
      <w:bookmarkStart w:id="230" w:name="_Toc388427148"/>
      <w:bookmarkStart w:id="231" w:name="_Toc31939"/>
      <w:bookmarkStart w:id="232" w:name="_Toc32409055"/>
      <w:bookmarkStart w:id="233" w:name="_Toc24704805"/>
      <w:bookmarkStart w:id="234" w:name="_Toc32347814"/>
      <w:bookmarkStart w:id="235" w:name="_Toc24717524"/>
      <w:bookmarkStart w:id="236" w:name="_Toc22675"/>
      <w:r>
        <w:rPr>
          <w:rFonts w:hint="eastAsia" w:ascii="仿宋_GB2312" w:hAnsi="宋体" w:eastAsia="仿宋_GB2312" w:cs="宋体"/>
          <w:sz w:val="28"/>
          <w:szCs w:val="28"/>
        </w:rPr>
        <w:t>注册房地产估价</w:t>
      </w:r>
      <w:bookmarkEnd w:id="224"/>
      <w:r>
        <w:rPr>
          <w:rFonts w:hint="eastAsia" w:ascii="仿宋_GB2312" w:hAnsi="宋体" w:eastAsia="仿宋_GB2312" w:cs="宋体"/>
          <w:sz w:val="28"/>
          <w:szCs w:val="28"/>
        </w:rPr>
        <w:t>师</w:t>
      </w:r>
      <w:bookmarkEnd w:id="225"/>
      <w:bookmarkEnd w:id="226"/>
      <w:bookmarkEnd w:id="227"/>
      <w:bookmarkEnd w:id="228"/>
      <w:bookmarkEnd w:id="229"/>
      <w:bookmarkEnd w:id="230"/>
      <w:bookmarkEnd w:id="231"/>
      <w:bookmarkEnd w:id="232"/>
      <w:bookmarkEnd w:id="233"/>
      <w:bookmarkEnd w:id="234"/>
      <w:bookmarkEnd w:id="235"/>
      <w:bookmarkEnd w:id="236"/>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3"/>
        <w:gridCol w:w="1929"/>
        <w:gridCol w:w="3375"/>
        <w:gridCol w:w="22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43" w:type="dxa"/>
            <w:vAlign w:val="center"/>
          </w:tcPr>
          <w:p>
            <w:pPr>
              <w:pStyle w:val="9"/>
              <w:spacing w:line="460" w:lineRule="atLeast"/>
              <w:jc w:val="center"/>
              <w:rPr>
                <w:rFonts w:ascii="仿宋_GB2312" w:hAnsi="宋体" w:eastAsia="仿宋_GB2312" w:cs="宋体"/>
                <w:sz w:val="28"/>
                <w:szCs w:val="28"/>
              </w:rPr>
            </w:pPr>
            <w:bookmarkStart w:id="237" w:name="_Toc388427149"/>
            <w:bookmarkStart w:id="238" w:name="_Toc399921389"/>
            <w:bookmarkStart w:id="239" w:name="_Toc15894"/>
            <w:r>
              <w:rPr>
                <w:rFonts w:hint="eastAsia" w:ascii="仿宋_GB2312" w:hAnsi="宋体" w:eastAsia="仿宋_GB2312" w:cs="宋体"/>
                <w:sz w:val="28"/>
                <w:szCs w:val="28"/>
              </w:rPr>
              <w:t>姓 名</w:t>
            </w:r>
          </w:p>
        </w:tc>
        <w:tc>
          <w:tcPr>
            <w:tcW w:w="1929" w:type="dxa"/>
            <w:vAlign w:val="center"/>
          </w:tcPr>
          <w:p>
            <w:pPr>
              <w:pStyle w:val="9"/>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注册号</w:t>
            </w:r>
          </w:p>
        </w:tc>
        <w:tc>
          <w:tcPr>
            <w:tcW w:w="3375" w:type="dxa"/>
            <w:vAlign w:val="center"/>
          </w:tcPr>
          <w:p>
            <w:pPr>
              <w:pStyle w:val="9"/>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签  名</w:t>
            </w:r>
          </w:p>
        </w:tc>
        <w:tc>
          <w:tcPr>
            <w:tcW w:w="2251" w:type="dxa"/>
            <w:vAlign w:val="center"/>
          </w:tcPr>
          <w:p>
            <w:pPr>
              <w:pStyle w:val="9"/>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7" w:hRule="atLeast"/>
        </w:trPr>
        <w:tc>
          <w:tcPr>
            <w:tcW w:w="1443" w:type="dxa"/>
            <w:vAlign w:val="center"/>
          </w:tcPr>
          <w:p>
            <w:pPr>
              <w:pStyle w:val="9"/>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赵乐焕</w:t>
            </w:r>
          </w:p>
        </w:tc>
        <w:tc>
          <w:tcPr>
            <w:tcW w:w="1929" w:type="dxa"/>
            <w:vAlign w:val="center"/>
          </w:tcPr>
          <w:p>
            <w:pPr>
              <w:pStyle w:val="9"/>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3720160054</w:t>
            </w:r>
          </w:p>
        </w:tc>
        <w:tc>
          <w:tcPr>
            <w:tcW w:w="3375" w:type="dxa"/>
            <w:vAlign w:val="center"/>
          </w:tcPr>
          <w:p>
            <w:pPr>
              <w:pStyle w:val="9"/>
              <w:spacing w:line="400" w:lineRule="exact"/>
              <w:jc w:val="center"/>
              <w:rPr>
                <w:rFonts w:ascii="仿宋_GB2312" w:hAnsi="宋体" w:eastAsia="仿宋_GB2312" w:cs="宋体"/>
                <w:sz w:val="28"/>
                <w:szCs w:val="28"/>
              </w:rPr>
            </w:pPr>
          </w:p>
        </w:tc>
        <w:tc>
          <w:tcPr>
            <w:tcW w:w="2251" w:type="dxa"/>
            <w:vAlign w:val="center"/>
          </w:tcPr>
          <w:p>
            <w:pPr>
              <w:pStyle w:val="9"/>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4" w:hRule="atLeast"/>
        </w:trPr>
        <w:tc>
          <w:tcPr>
            <w:tcW w:w="1443" w:type="dxa"/>
            <w:vAlign w:val="center"/>
          </w:tcPr>
          <w:p>
            <w:pPr>
              <w:pStyle w:val="9"/>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王国芹</w:t>
            </w:r>
          </w:p>
        </w:tc>
        <w:tc>
          <w:tcPr>
            <w:tcW w:w="1929" w:type="dxa"/>
            <w:vAlign w:val="center"/>
          </w:tcPr>
          <w:p>
            <w:pPr>
              <w:pStyle w:val="9"/>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3720180076</w:t>
            </w:r>
          </w:p>
        </w:tc>
        <w:tc>
          <w:tcPr>
            <w:tcW w:w="3375" w:type="dxa"/>
            <w:vAlign w:val="center"/>
          </w:tcPr>
          <w:p>
            <w:pPr>
              <w:pStyle w:val="9"/>
              <w:spacing w:line="400" w:lineRule="exact"/>
              <w:rPr>
                <w:rFonts w:ascii="仿宋_GB2312" w:hAnsi="宋体" w:eastAsia="仿宋_GB2312" w:cs="宋体"/>
                <w:sz w:val="28"/>
                <w:szCs w:val="28"/>
              </w:rPr>
            </w:pPr>
          </w:p>
        </w:tc>
        <w:tc>
          <w:tcPr>
            <w:tcW w:w="2251" w:type="dxa"/>
            <w:vAlign w:val="center"/>
          </w:tcPr>
          <w:p>
            <w:pPr>
              <w:pStyle w:val="9"/>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年  月  日</w:t>
            </w:r>
          </w:p>
        </w:tc>
      </w:tr>
    </w:tbl>
    <w:p>
      <w:pPr>
        <w:pStyle w:val="4"/>
        <w:numPr>
          <w:ilvl w:val="0"/>
          <w:numId w:val="9"/>
        </w:numPr>
        <w:snapToGrid w:val="0"/>
        <w:spacing w:before="0" w:after="0" w:line="400" w:lineRule="exact"/>
        <w:ind w:left="0"/>
        <w:rPr>
          <w:rFonts w:ascii="仿宋_GB2312" w:hAnsi="宋体" w:eastAsia="仿宋_GB2312" w:cs="宋体"/>
          <w:sz w:val="28"/>
          <w:szCs w:val="28"/>
        </w:rPr>
      </w:pPr>
      <w:bookmarkStart w:id="240" w:name="_Toc18027"/>
      <w:bookmarkStart w:id="241" w:name="_Toc24717525"/>
      <w:bookmarkStart w:id="242" w:name="_Toc27276"/>
      <w:bookmarkStart w:id="243" w:name="_Toc27085"/>
      <w:bookmarkStart w:id="244" w:name="_Toc24704806"/>
      <w:bookmarkStart w:id="245" w:name="_Toc24725340"/>
      <w:bookmarkStart w:id="246" w:name="_Toc4633"/>
      <w:bookmarkStart w:id="247" w:name="_Toc16246"/>
      <w:bookmarkStart w:id="248" w:name="_Toc32347815"/>
      <w:bookmarkStart w:id="249" w:name="_Toc6452"/>
      <w:bookmarkStart w:id="250" w:name="_Toc32409056"/>
      <w:bookmarkStart w:id="251" w:name="_Toc14173"/>
      <w:r>
        <w:rPr>
          <w:rFonts w:hint="eastAsia" w:ascii="仿宋_GB2312" w:hAnsi="宋体" w:eastAsia="仿宋_GB2312" w:cs="宋体"/>
          <w:sz w:val="28"/>
          <w:szCs w:val="28"/>
        </w:rPr>
        <w:t>实地查勘</w:t>
      </w:r>
      <w:bookmarkEnd w:id="237"/>
      <w:bookmarkEnd w:id="238"/>
      <w:bookmarkEnd w:id="239"/>
      <w:r>
        <w:rPr>
          <w:rFonts w:hint="eastAsia" w:ascii="仿宋_GB2312" w:hAnsi="宋体" w:eastAsia="仿宋_GB2312" w:cs="宋体"/>
          <w:sz w:val="28"/>
          <w:szCs w:val="28"/>
        </w:rPr>
        <w:t>期</w:t>
      </w:r>
      <w:bookmarkEnd w:id="240"/>
      <w:bookmarkEnd w:id="241"/>
      <w:bookmarkEnd w:id="242"/>
      <w:bookmarkEnd w:id="243"/>
      <w:bookmarkEnd w:id="244"/>
      <w:bookmarkEnd w:id="245"/>
      <w:bookmarkEnd w:id="246"/>
      <w:bookmarkEnd w:id="247"/>
      <w:bookmarkEnd w:id="248"/>
      <w:bookmarkEnd w:id="249"/>
      <w:bookmarkEnd w:id="250"/>
      <w:bookmarkEnd w:id="251"/>
    </w:p>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实地查勘日：2020年1月14日。</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252" w:name="_Toc388427150"/>
      <w:bookmarkStart w:id="253" w:name="_Toc24569"/>
      <w:bookmarkStart w:id="254" w:name="_Toc387220237"/>
      <w:bookmarkStart w:id="255" w:name="_Toc5848"/>
      <w:bookmarkStart w:id="256" w:name="_Toc12284"/>
      <w:bookmarkStart w:id="257" w:name="_Toc399921390"/>
      <w:bookmarkStart w:id="258" w:name="_Toc20460"/>
      <w:bookmarkStart w:id="259" w:name="_Toc24725341"/>
      <w:bookmarkStart w:id="260" w:name="_Toc24704807"/>
      <w:bookmarkStart w:id="261" w:name="_Toc26525"/>
      <w:bookmarkStart w:id="262" w:name="_Toc19224"/>
      <w:bookmarkStart w:id="263" w:name="_Toc17414"/>
      <w:bookmarkStart w:id="264" w:name="_Toc32409057"/>
      <w:bookmarkStart w:id="265" w:name="_Toc24717526"/>
      <w:bookmarkStart w:id="266" w:name="_Toc32347816"/>
      <w:bookmarkStart w:id="267" w:name="_Toc5393"/>
      <w:bookmarkStart w:id="268" w:name="_Toc323043791"/>
      <w:bookmarkStart w:id="269" w:name="_Toc357083693"/>
      <w:bookmarkStart w:id="270" w:name="_Toc323116709"/>
      <w:r>
        <w:rPr>
          <w:rFonts w:hint="eastAsia" w:ascii="仿宋_GB2312" w:hAnsi="宋体" w:eastAsia="仿宋_GB2312" w:cs="宋体"/>
          <w:sz w:val="28"/>
          <w:szCs w:val="28"/>
        </w:rPr>
        <w:t>估价作业期</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bookmarkEnd w:id="268"/>
    <w:bookmarkEnd w:id="269"/>
    <w:bookmarkEnd w:id="270"/>
    <w:p>
      <w:pPr>
        <w:snapToGrid w:val="0"/>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估价作业期：2020年1月14日至2020年2月14日。</w:t>
      </w:r>
    </w:p>
    <w:p>
      <w:pPr>
        <w:pStyle w:val="4"/>
        <w:numPr>
          <w:ilvl w:val="0"/>
          <w:numId w:val="9"/>
        </w:numPr>
        <w:snapToGrid w:val="0"/>
        <w:spacing w:before="0" w:after="0" w:line="400" w:lineRule="exact"/>
        <w:ind w:left="0"/>
        <w:rPr>
          <w:rFonts w:ascii="仿宋_GB2312" w:hAnsi="宋体" w:eastAsia="仿宋_GB2312" w:cs="宋体"/>
          <w:sz w:val="28"/>
          <w:szCs w:val="28"/>
        </w:rPr>
      </w:pPr>
      <w:bookmarkStart w:id="271" w:name="_Toc18575108"/>
      <w:bookmarkStart w:id="272" w:name="_Toc32409058"/>
      <w:bookmarkStart w:id="273" w:name="_Toc22070"/>
      <w:bookmarkStart w:id="274" w:name="_Toc26357"/>
      <w:bookmarkStart w:id="275" w:name="_Toc5201"/>
      <w:bookmarkStart w:id="276" w:name="_Toc15292"/>
      <w:bookmarkStart w:id="277" w:name="_Toc32347817"/>
      <w:bookmarkStart w:id="278" w:name="_Toc18655134"/>
      <w:bookmarkStart w:id="279" w:name="_Toc7035"/>
      <w:bookmarkStart w:id="280" w:name="_Toc22621"/>
      <w:bookmarkStart w:id="281" w:name="_Toc2676215"/>
      <w:bookmarkStart w:id="282" w:name="_Toc5121"/>
      <w:bookmarkStart w:id="283" w:name="_Toc31340"/>
      <w:r>
        <w:rPr>
          <w:rFonts w:hint="eastAsia" w:ascii="仿宋_GB2312" w:hAnsi="宋体" w:eastAsia="仿宋_GB2312" w:cs="宋体"/>
          <w:sz w:val="28"/>
          <w:szCs w:val="28"/>
        </w:rPr>
        <w:t>估价结果使用特别提示</w:t>
      </w:r>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53"/>
        <w:numPr>
          <w:ilvl w:val="0"/>
          <w:numId w:val="21"/>
        </w:numPr>
        <w:spacing w:line="400" w:lineRule="exact"/>
        <w:ind w:left="15" w:firstLine="500" w:firstLineChars="0"/>
        <w:rPr>
          <w:rFonts w:ascii="仿宋_GB2312" w:hAnsi="仿宋"/>
        </w:rPr>
      </w:pPr>
      <w:r>
        <w:rPr>
          <w:rFonts w:hint="eastAsia" w:ascii="仿宋_GB2312" w:hAnsi="仿宋"/>
        </w:rPr>
        <w:t>涉执房地产拍卖日期与估价报告载明的价值时点不一致的，估价对象状况或者房地产市场状况的变化会对估价结果产生影响。</w:t>
      </w:r>
    </w:p>
    <w:p>
      <w:pPr>
        <w:pStyle w:val="53"/>
        <w:numPr>
          <w:ilvl w:val="0"/>
          <w:numId w:val="21"/>
        </w:numPr>
        <w:spacing w:line="400" w:lineRule="exact"/>
        <w:ind w:left="15" w:firstLine="500" w:firstLineChars="0"/>
        <w:rPr>
          <w:rFonts w:ascii="仿宋_GB2312" w:hAnsi="仿宋"/>
        </w:rPr>
      </w:pPr>
      <w:r>
        <w:rPr>
          <w:rFonts w:hint="eastAsia" w:ascii="仿宋_GB2312" w:hAnsi="仿宋"/>
        </w:rPr>
        <w:t>在估价报告使用有效期内，估价对象状况或者房地产市场发生明显变化的，估价结果应当进行相应调整。</w:t>
      </w:r>
    </w:p>
    <w:p>
      <w:pPr>
        <w:pStyle w:val="53"/>
        <w:numPr>
          <w:ilvl w:val="0"/>
          <w:numId w:val="21"/>
        </w:numPr>
        <w:spacing w:line="400" w:lineRule="exact"/>
        <w:ind w:left="15" w:firstLine="500" w:firstLineChars="0"/>
        <w:rPr>
          <w:rFonts w:ascii="仿宋_GB2312" w:hAnsi="仿宋"/>
        </w:rPr>
      </w:pPr>
      <w:r>
        <w:rPr>
          <w:rFonts w:hint="eastAsia" w:ascii="仿宋_GB2312" w:hAnsi="仿宋"/>
        </w:rPr>
        <w:t>估价委托人或报告使用者应当按照法律规定和估价报告载明的使用范围使用估价报告，违反规定使用估价报告的，房地产估价机构和注册房地产估价师依法不承担责任。</w:t>
      </w:r>
    </w:p>
    <w:p>
      <w:pPr>
        <w:pStyle w:val="53"/>
        <w:numPr>
          <w:ilvl w:val="0"/>
          <w:numId w:val="21"/>
        </w:numPr>
        <w:spacing w:line="400" w:lineRule="exact"/>
        <w:ind w:left="15" w:firstLine="500" w:firstLineChars="0"/>
        <w:rPr>
          <w:rFonts w:ascii="仿宋_GB2312" w:hAnsi="仿宋"/>
        </w:rPr>
      </w:pPr>
      <w:r>
        <w:rPr>
          <w:rFonts w:hint="eastAsia" w:ascii="仿宋_GB2312" w:hAnsi="仿宋"/>
        </w:rPr>
        <w:t>估价结果不等于估价对象处置可实现的成交价，不应被认为是对估价对象处置成交价的保证。</w:t>
      </w:r>
    </w:p>
    <w:p>
      <w:pPr>
        <w:spacing w:line="400" w:lineRule="exact"/>
        <w:ind w:left="10" w:leftChars="5"/>
        <w:jc w:val="right"/>
        <w:rPr>
          <w:rFonts w:ascii="仿宋_GB2312" w:hAnsi="宋体" w:eastAsia="仿宋_GB2312" w:cs="宋体"/>
          <w:sz w:val="28"/>
          <w:szCs w:val="28"/>
        </w:rPr>
      </w:pPr>
      <w:bookmarkStart w:id="284" w:name="_Toc17263"/>
      <w:bookmarkStart w:id="285" w:name="_Toc22973"/>
      <w:bookmarkStart w:id="286" w:name="_Toc323116712"/>
      <w:bookmarkStart w:id="287" w:name="_Toc158188041"/>
      <w:bookmarkStart w:id="288" w:name="_Toc20059"/>
      <w:bookmarkStart w:id="289" w:name="_Toc28344"/>
      <w:bookmarkStart w:id="290" w:name="_Toc26315"/>
      <w:bookmarkStart w:id="291" w:name="_Toc10337"/>
      <w:bookmarkStart w:id="292" w:name="_Toc32171"/>
      <w:bookmarkStart w:id="293" w:name="_Toc28433"/>
      <w:bookmarkStart w:id="294" w:name="_Toc323043794"/>
      <w:bookmarkStart w:id="295" w:name="_Toc14398"/>
      <w:bookmarkStart w:id="296" w:name="_Toc7951"/>
      <w:r>
        <w:rPr>
          <w:rFonts w:hint="eastAsia" w:ascii="仿宋_GB2312" w:hAnsi="宋体" w:eastAsia="仿宋_GB2312" w:cs="宋体"/>
          <w:sz w:val="28"/>
          <w:szCs w:val="28"/>
        </w:rPr>
        <w:t>山东众合土地房地产评估有限公司</w:t>
      </w:r>
    </w:p>
    <w:p>
      <w:pPr>
        <w:spacing w:line="400" w:lineRule="exact"/>
        <w:ind w:left="10" w:leftChars="5" w:firstLine="409"/>
        <w:rPr>
          <w:rFonts w:ascii="仿宋_GB2312" w:hAnsi="宋体" w:eastAsia="仿宋_GB2312" w:cs="宋体"/>
          <w:sz w:val="28"/>
          <w:szCs w:val="28"/>
        </w:rPr>
      </w:pPr>
      <w:r>
        <w:rPr>
          <w:rFonts w:hint="eastAsia" w:ascii="仿宋_GB2312" w:hAnsi="宋体" w:eastAsia="仿宋_GB2312" w:cs="宋体"/>
          <w:sz w:val="28"/>
          <w:szCs w:val="28"/>
        </w:rPr>
        <w:t xml:space="preserve">                                    二</w:t>
      </w:r>
      <w:r>
        <w:rPr>
          <w:rFonts w:hint="eastAsia" w:ascii="宋体" w:hAnsi="宋体" w:cs="宋体"/>
          <w:sz w:val="28"/>
          <w:szCs w:val="28"/>
        </w:rPr>
        <w:t>〇</w:t>
      </w:r>
      <w:r>
        <w:rPr>
          <w:rFonts w:hint="eastAsia" w:ascii="仿宋_GB2312" w:hAnsi="仿宋_GB2312" w:eastAsia="仿宋_GB2312" w:cs="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年二月十四日</w:t>
      </w:r>
      <w:r>
        <w:rPr>
          <w:rFonts w:hint="eastAsia" w:ascii="仿宋_GB2312" w:hAnsi="宋体" w:eastAsia="仿宋_GB2312" w:cs="宋体"/>
          <w:sz w:val="28"/>
          <w:szCs w:val="28"/>
        </w:rPr>
        <w:t xml:space="preserve">     </w:t>
      </w:r>
      <w:bookmarkEnd w:id="284"/>
      <w:bookmarkEnd w:id="285"/>
      <w:bookmarkEnd w:id="286"/>
      <w:bookmarkEnd w:id="287"/>
      <w:bookmarkEnd w:id="288"/>
      <w:bookmarkEnd w:id="289"/>
      <w:bookmarkEnd w:id="290"/>
      <w:bookmarkEnd w:id="291"/>
      <w:bookmarkEnd w:id="292"/>
      <w:bookmarkEnd w:id="293"/>
      <w:bookmarkEnd w:id="294"/>
      <w:bookmarkEnd w:id="295"/>
      <w:bookmarkEnd w:id="296"/>
    </w:p>
    <w:p>
      <w:pPr>
        <w:spacing w:line="400" w:lineRule="exact"/>
        <w:jc w:val="center"/>
        <w:outlineLvl w:val="0"/>
        <w:rPr>
          <w:rFonts w:ascii="宋体" w:hAnsi="宋体" w:cs="宋体"/>
          <w:sz w:val="32"/>
          <w:szCs w:val="32"/>
        </w:rPr>
      </w:pPr>
      <w:bookmarkStart w:id="297" w:name="_Toc7074"/>
      <w:bookmarkStart w:id="298" w:name="_Toc399921401"/>
      <w:bookmarkStart w:id="299" w:name="_Toc22780"/>
      <w:bookmarkStart w:id="300" w:name="_Toc23705"/>
      <w:bookmarkStart w:id="301" w:name="_Toc24717527"/>
      <w:bookmarkStart w:id="302" w:name="_Toc24725342"/>
      <w:bookmarkStart w:id="303" w:name="_Toc28385"/>
      <w:bookmarkStart w:id="304" w:name="_Toc32347818"/>
      <w:bookmarkStart w:id="305" w:name="_Toc24704808"/>
      <w:bookmarkStart w:id="306" w:name="_Toc18427"/>
      <w:bookmarkStart w:id="307" w:name="_Toc3323"/>
      <w:bookmarkStart w:id="308" w:name="_Toc32409059"/>
      <w:bookmarkStart w:id="309" w:name="_Toc18664"/>
      <w:bookmarkStart w:id="310" w:name="_Toc17215"/>
      <w:bookmarkStart w:id="311" w:name="_Toc14981"/>
      <w:bookmarkStart w:id="312" w:name="_Toc21153"/>
      <w:bookmarkStart w:id="313" w:name="_Toc26238"/>
      <w:bookmarkStart w:id="314" w:name="_Toc30698"/>
      <w:bookmarkStart w:id="315" w:name="_Toc23236"/>
      <w:bookmarkStart w:id="316" w:name="_Toc10964"/>
      <w:bookmarkStart w:id="317" w:name="_Toc323043803"/>
      <w:bookmarkStart w:id="318" w:name="_Toc21318"/>
      <w:bookmarkStart w:id="319" w:name="_Toc1399"/>
      <w:bookmarkStart w:id="320" w:name="_Toc323116721"/>
      <w:r>
        <w:rPr>
          <w:rFonts w:hint="eastAsia" w:ascii="宋体" w:hAnsi="宋体" w:cs="宋体"/>
          <w:sz w:val="32"/>
          <w:szCs w:val="32"/>
        </w:rPr>
        <w:t>附   件</w:t>
      </w:r>
      <w:bookmarkEnd w:id="297"/>
      <w:bookmarkEnd w:id="298"/>
      <w:bookmarkEnd w:id="299"/>
      <w:bookmarkEnd w:id="300"/>
      <w:bookmarkEnd w:id="301"/>
      <w:bookmarkEnd w:id="302"/>
      <w:bookmarkEnd w:id="303"/>
      <w:bookmarkEnd w:id="304"/>
      <w:bookmarkEnd w:id="305"/>
      <w:bookmarkEnd w:id="306"/>
      <w:bookmarkEnd w:id="307"/>
      <w:bookmarkEnd w:id="308"/>
      <w:bookmarkEnd w:id="309"/>
    </w:p>
    <w:bookmarkEnd w:id="310"/>
    <w:bookmarkEnd w:id="311"/>
    <w:bookmarkEnd w:id="312"/>
    <w:bookmarkEnd w:id="313"/>
    <w:bookmarkEnd w:id="314"/>
    <w:bookmarkEnd w:id="315"/>
    <w:bookmarkEnd w:id="316"/>
    <w:bookmarkEnd w:id="317"/>
    <w:bookmarkEnd w:id="318"/>
    <w:bookmarkEnd w:id="319"/>
    <w:bookmarkEnd w:id="320"/>
    <w:p>
      <w:pPr>
        <w:numPr>
          <w:ilvl w:val="0"/>
          <w:numId w:val="22"/>
        </w:numPr>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估价对象位置示意图</w:t>
      </w:r>
    </w:p>
    <w:p>
      <w:pPr>
        <w:numPr>
          <w:ilvl w:val="0"/>
          <w:numId w:val="22"/>
        </w:numPr>
        <w:spacing w:line="440" w:lineRule="exact"/>
        <w:ind w:firstLine="560" w:firstLineChars="200"/>
        <w:rPr>
          <w:rFonts w:ascii="仿宋_GB2312" w:hAnsi="宋体" w:eastAsia="仿宋_GB2312" w:cs="宋体"/>
          <w:sz w:val="28"/>
          <w:szCs w:val="28"/>
        </w:rPr>
      </w:pPr>
      <w:bookmarkStart w:id="321" w:name="_Toc7142"/>
      <w:bookmarkStart w:id="322" w:name="_Toc8961"/>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HYPERLINK \l _Toc26663 </w:instrText>
      </w:r>
      <w:r>
        <w:rPr>
          <w:rFonts w:hint="eastAsia" w:ascii="仿宋_GB2312" w:hAnsi="宋体" w:eastAsia="仿宋_GB2312" w:cs="宋体"/>
          <w:sz w:val="28"/>
          <w:szCs w:val="28"/>
        </w:rPr>
        <w:fldChar w:fldCharType="separate"/>
      </w:r>
      <w:r>
        <w:rPr>
          <w:rFonts w:hint="eastAsia" w:ascii="仿宋_GB2312" w:hAnsi="宋体" w:eastAsia="仿宋_GB2312" w:cs="宋体"/>
          <w:sz w:val="28"/>
          <w:szCs w:val="28"/>
        </w:rPr>
        <w:t>估价对象内部状况、外部状况和周围环境照片</w:t>
      </w:r>
      <w:r>
        <w:rPr>
          <w:rFonts w:hint="eastAsia" w:ascii="仿宋_GB2312" w:hAnsi="宋体" w:eastAsia="仿宋_GB2312" w:cs="宋体"/>
          <w:sz w:val="28"/>
          <w:szCs w:val="28"/>
        </w:rPr>
        <w:fldChar w:fldCharType="end"/>
      </w:r>
      <w:bookmarkEnd w:id="321"/>
      <w:bookmarkEnd w:id="322"/>
    </w:p>
    <w:p>
      <w:pPr>
        <w:numPr>
          <w:ilvl w:val="0"/>
          <w:numId w:val="22"/>
        </w:numPr>
        <w:spacing w:line="440" w:lineRule="exact"/>
        <w:ind w:firstLine="560" w:firstLineChars="200"/>
        <w:rPr>
          <w:rFonts w:ascii="仿宋_GB2312" w:hAnsi="宋体" w:eastAsia="仿宋_GB2312" w:cs="宋体"/>
          <w:sz w:val="28"/>
          <w:szCs w:val="28"/>
        </w:rPr>
      </w:pPr>
      <w:bookmarkStart w:id="323" w:name="_Toc28883"/>
      <w:bookmarkStart w:id="324" w:name="_Toc13138"/>
      <w:r>
        <w:rPr>
          <w:rFonts w:hint="eastAsia" w:ascii="仿宋_GB2312" w:hAnsi="宋体" w:eastAsia="仿宋_GB2312" w:cs="宋体"/>
          <w:sz w:val="28"/>
          <w:szCs w:val="28"/>
        </w:rPr>
        <w:t>泰安市泰安区人民法院《委托书》（编号：（2019）鲁0902执恢262号）</w:t>
      </w:r>
    </w:p>
    <w:p>
      <w:pPr>
        <w:numPr>
          <w:ilvl w:val="0"/>
          <w:numId w:val="22"/>
        </w:numPr>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《不动产登记资料查询结果证明》复印件</w:t>
      </w:r>
    </w:p>
    <w:p>
      <w:pPr>
        <w:numPr>
          <w:ilvl w:val="0"/>
          <w:numId w:val="22"/>
        </w:numPr>
        <w:spacing w:line="440" w:lineRule="exact"/>
        <w:ind w:firstLine="567" w:firstLineChars="270"/>
        <w:rPr>
          <w:rFonts w:ascii="仿宋_GB2312" w:hAnsi="宋体" w:eastAsia="仿宋_GB2312" w:cs="宋体"/>
          <w:sz w:val="28"/>
          <w:szCs w:val="28"/>
        </w:rPr>
      </w:pPr>
      <w:r>
        <w:fldChar w:fldCharType="begin"/>
      </w:r>
      <w:r>
        <w:instrText xml:space="preserve"> HYPERLINK \l "_Toc508892767" </w:instrText>
      </w:r>
      <w:r>
        <w:fldChar w:fldCharType="separate"/>
      </w:r>
      <w:r>
        <w:rPr>
          <w:rFonts w:hint="eastAsia" w:ascii="仿宋_GB2312" w:hAnsi="宋体" w:eastAsia="仿宋_GB2312" w:cs="宋体"/>
          <w:sz w:val="28"/>
          <w:szCs w:val="28"/>
        </w:rPr>
        <w:t>估价机构的企业法人营业执照、备案证书及估价人员资格证明等复印件</w:t>
      </w:r>
      <w:r>
        <w:rPr>
          <w:rFonts w:hint="eastAsia" w:ascii="仿宋_GB2312" w:hAnsi="宋体" w:eastAsia="仿宋_GB2312" w:cs="宋体"/>
          <w:sz w:val="28"/>
          <w:szCs w:val="28"/>
        </w:rPr>
        <w:fldChar w:fldCharType="end"/>
      </w:r>
      <w:bookmarkEnd w:id="323"/>
      <w:bookmarkEnd w:id="324"/>
    </w:p>
    <w:p>
      <w:pPr>
        <w:widowControl w:val="0"/>
        <w:numPr>
          <w:numId w:val="0"/>
        </w:numPr>
        <w:spacing w:line="440" w:lineRule="exact"/>
        <w:jc w:val="both"/>
        <w:outlineLvl w:val="1"/>
        <w:rPr>
          <w:rFonts w:ascii="仿宋_GB2312" w:hAnsi="宋体" w:eastAsia="仿宋_GB2312" w:cs="宋体"/>
          <w:sz w:val="28"/>
          <w:szCs w:val="28"/>
        </w:rPr>
      </w:pPr>
    </w:p>
    <w:p>
      <w:pPr>
        <w:pStyle w:val="2"/>
        <w:rPr>
          <w:rFonts w:ascii="仿宋_GB2312" w:hAnsi="宋体" w:eastAsia="仿宋_GB2312" w:cs="宋体"/>
          <w:sz w:val="28"/>
          <w:szCs w:val="28"/>
        </w:rPr>
      </w:pPr>
    </w:p>
    <w:p>
      <w:pPr>
        <w:spacing w:line="360" w:lineRule="auto"/>
        <w:jc w:val="both"/>
        <w:rPr>
          <w:rFonts w:ascii="宋体" w:hAnsi="宋体" w:cs="宋体"/>
          <w:spacing w:val="108"/>
          <w:sz w:val="52"/>
          <w:szCs w:val="52"/>
        </w:rPr>
      </w:pPr>
      <w:bookmarkStart w:id="325" w:name="_GoBack"/>
      <w:bookmarkEnd w:id="325"/>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361" w:bottom="1440" w:left="1514" w:header="851" w:footer="992" w:gutter="0"/>
      <w:pgNumType w:start="1"/>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jc w:val="center"/>
    </w:pPr>
    <w:r>
      <w:pict>
        <v:shape id="_x0000_s2063" o:spid="_x0000_s2063"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13"/>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w:t>
                </w:r>
              </w:p>
            </w:txbxContent>
          </v:textbox>
        </v:shape>
      </w:pict>
    </w:r>
    <w:r>
      <w:rPr>
        <w:rFonts w:hint="eastAsia" w:ascii="宋体" w:hAnsi="宋体"/>
        <w:kern w:val="0"/>
      </w:rPr>
      <w:t>邮箱：sdzhonghe@vip.126.com</w:t>
    </w:r>
    <w:r>
      <w:rPr>
        <w:rFonts w:hint="eastAsia"/>
        <w:kern w:val="0"/>
      </w:rPr>
      <w:t xml:space="preserve">                                                 电话：0531 81666276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jc w:val="center"/>
    </w:pPr>
    <w:r>
      <w:pict>
        <v:shape id="_x0000_s2068" o:spid="_x0000_s206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3"/>
                </w:pPr>
                <w:r>
                  <w:rPr>
                    <w:rFonts w:hint="eastAsia"/>
                  </w:rPr>
                  <w:t xml:space="preserve">第 </w:t>
                </w:r>
                <w:r>
                  <w:fldChar w:fldCharType="begin"/>
                </w:r>
                <w:r>
                  <w:instrText xml:space="preserve"> PAGE  \* MERGEFORMAT </w:instrText>
                </w:r>
                <w:r>
                  <w:fldChar w:fldCharType="separate"/>
                </w:r>
                <w:r>
                  <w:t>18</w:t>
                </w:r>
                <w:r>
                  <w:fldChar w:fldCharType="end"/>
                </w:r>
                <w:r>
                  <w:rPr>
                    <w:rFonts w:hint="eastAsia"/>
                  </w:rPr>
                  <w:t xml:space="preserve"> 页</w:t>
                </w:r>
              </w:p>
            </w:txbxContent>
          </v:textbox>
        </v:shape>
      </w:pict>
    </w:r>
    <w:r>
      <w:rPr>
        <w:rFonts w:hint="eastAsia" w:ascii="宋体" w:hAnsi="宋体"/>
        <w:kern w:val="0"/>
      </w:rPr>
      <w:t>邮箱：sdzhonghe@vip.126.com</w:t>
    </w:r>
    <w:r>
      <w:rPr>
        <w:rFonts w:hint="eastAsia"/>
        <w:kern w:val="0"/>
      </w:rPr>
      <w:t xml:space="preserve">                                             电话：0531 81666276</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drawing>
        <wp:inline distT="0" distB="0" distL="0" distR="0">
          <wp:extent cx="368300" cy="368300"/>
          <wp:effectExtent l="19050" t="0" r="0" b="0"/>
          <wp:docPr id="33" name="图片 2" descr="E:\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descr="E:\公司LOGO.jpg"/>
                  <pic:cNvPicPr>
                    <a:picLocks noChangeAspect="1" noChangeArrowheads="1"/>
                  </pic:cNvPicPr>
                </pic:nvPicPr>
                <pic:blipFill>
                  <a:blip r:embed="rId1"/>
                  <a:srcRect/>
                  <a:stretch>
                    <a:fillRect/>
                  </a:stretch>
                </pic:blipFill>
                <pic:spPr>
                  <a:xfrm>
                    <a:off x="0" y="0"/>
                    <a:ext cx="368300" cy="368300"/>
                  </a:xfrm>
                  <a:prstGeom prst="rect">
                    <a:avLst/>
                  </a:prstGeom>
                  <a:noFill/>
                  <a:ln w="9525">
                    <a:noFill/>
                    <a:miter lim="800000"/>
                    <a:headEnd/>
                    <a:tailEnd/>
                  </a:ln>
                </pic:spPr>
              </pic:pic>
            </a:graphicData>
          </a:graphic>
        </wp:inline>
      </w:drawing>
    </w:r>
    <w:r>
      <w:rPr>
        <w:rFonts w:hint="eastAsia" w:ascii="宋体" w:hAnsi="宋体"/>
      </w:rPr>
      <w:t xml:space="preserve">    山东众合土地房地产评估有限公司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tabs>
        <w:tab w:val="right" w:pos="8958"/>
      </w:tabs>
      <w:jc w:val="left"/>
    </w:pPr>
    <w:r>
      <w:drawing>
        <wp:inline distT="0" distB="0" distL="0" distR="0">
          <wp:extent cx="368300" cy="368300"/>
          <wp:effectExtent l="19050" t="0" r="0" b="0"/>
          <wp:docPr id="38" name="图片 2" descr="E:\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descr="E:\公司LOGO.jpg"/>
                  <pic:cNvPicPr>
                    <a:picLocks noChangeAspect="1" noChangeArrowheads="1"/>
                  </pic:cNvPicPr>
                </pic:nvPicPr>
                <pic:blipFill>
                  <a:blip r:embed="rId1"/>
                  <a:srcRect/>
                  <a:stretch>
                    <a:fillRect/>
                  </a:stretch>
                </pic:blipFill>
                <pic:spPr>
                  <a:xfrm>
                    <a:off x="0" y="0"/>
                    <a:ext cx="368300" cy="368300"/>
                  </a:xfrm>
                  <a:prstGeom prst="rect">
                    <a:avLst/>
                  </a:prstGeom>
                  <a:noFill/>
                  <a:ln w="9525">
                    <a:noFill/>
                    <a:miter lim="800000"/>
                    <a:headEnd/>
                    <a:tailEnd/>
                  </a:ln>
                </pic:spPr>
              </pic:pic>
            </a:graphicData>
          </a:graphic>
        </wp:inline>
      </w:drawing>
    </w:r>
    <w:r>
      <w:rPr>
        <w:rFonts w:hint="eastAsia"/>
      </w:rPr>
      <w:t xml:space="preserve">    </w:t>
    </w:r>
    <w:r>
      <w:rPr>
        <w:rFonts w:hint="eastAsia" w:ascii="宋体" w:hAnsi="宋体"/>
      </w:rPr>
      <w:t>山东众合土地房地产评估有限公司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right" w:pos="8958"/>
      </w:tabs>
      <w:jc w:val="left"/>
    </w:pPr>
    <w:r>
      <w:drawing>
        <wp:inline distT="0" distB="0" distL="0" distR="0">
          <wp:extent cx="368300" cy="368300"/>
          <wp:effectExtent l="19050" t="0" r="0" b="0"/>
          <wp:docPr id="39" name="图片 2" descr="E:\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descr="E:\公司LOGO.jpg"/>
                  <pic:cNvPicPr>
                    <a:picLocks noChangeAspect="1" noChangeArrowheads="1"/>
                  </pic:cNvPicPr>
                </pic:nvPicPr>
                <pic:blipFill>
                  <a:blip r:embed="rId1"/>
                  <a:srcRect/>
                  <a:stretch>
                    <a:fillRect/>
                  </a:stretch>
                </pic:blipFill>
                <pic:spPr>
                  <a:xfrm>
                    <a:off x="0" y="0"/>
                    <a:ext cx="368300" cy="368300"/>
                  </a:xfrm>
                  <a:prstGeom prst="rect">
                    <a:avLst/>
                  </a:prstGeom>
                  <a:noFill/>
                  <a:ln w="9525">
                    <a:noFill/>
                    <a:miter lim="800000"/>
                    <a:headEnd/>
                    <a:tailEnd/>
                  </a:ln>
                </pic:spPr>
              </pic:pic>
            </a:graphicData>
          </a:graphic>
        </wp:inline>
      </w:drawing>
    </w:r>
    <w:r>
      <w:rPr>
        <w:rFonts w:hint="eastAsia"/>
      </w:rPr>
      <w:t xml:space="preserve">    </w:t>
    </w:r>
    <w:r>
      <w:rPr>
        <w:rFonts w:hint="eastAsia" w:ascii="宋体" w:hAnsi="宋体"/>
      </w:rPr>
      <w:t>山东众合土地房地产评估有限公司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9472C"/>
    <w:multiLevelType w:val="singleLevel"/>
    <w:tmpl w:val="B309472C"/>
    <w:lvl w:ilvl="0" w:tentative="0">
      <w:start w:val="1"/>
      <w:numFmt w:val="decimal"/>
      <w:suff w:val="nothing"/>
      <w:lvlText w:val="%1．"/>
      <w:lvlJc w:val="left"/>
      <w:pPr>
        <w:ind w:left="0" w:firstLine="400"/>
      </w:pPr>
      <w:rPr>
        <w:rFonts w:hint="default"/>
      </w:rPr>
    </w:lvl>
  </w:abstractNum>
  <w:abstractNum w:abstractNumId="1">
    <w:nsid w:val="B4EE059E"/>
    <w:multiLevelType w:val="singleLevel"/>
    <w:tmpl w:val="B4EE059E"/>
    <w:lvl w:ilvl="0" w:tentative="0">
      <w:start w:val="1"/>
      <w:numFmt w:val="decimal"/>
      <w:suff w:val="nothing"/>
      <w:lvlText w:val="%1．"/>
      <w:lvlJc w:val="left"/>
      <w:pPr>
        <w:ind w:left="0" w:firstLine="400"/>
      </w:pPr>
      <w:rPr>
        <w:rFonts w:hint="default"/>
      </w:rPr>
    </w:lvl>
  </w:abstractNum>
  <w:abstractNum w:abstractNumId="2">
    <w:nsid w:val="C3B3651E"/>
    <w:multiLevelType w:val="singleLevel"/>
    <w:tmpl w:val="C3B3651E"/>
    <w:lvl w:ilvl="0" w:tentative="0">
      <w:start w:val="1"/>
      <w:numFmt w:val="decimal"/>
      <w:suff w:val="nothing"/>
      <w:lvlText w:val="%1．"/>
      <w:lvlJc w:val="left"/>
      <w:pPr>
        <w:ind w:left="0" w:firstLine="400"/>
      </w:pPr>
      <w:rPr>
        <w:rFonts w:hint="default"/>
      </w:rPr>
    </w:lvl>
  </w:abstractNum>
  <w:abstractNum w:abstractNumId="3">
    <w:nsid w:val="DE51E40F"/>
    <w:multiLevelType w:val="singleLevel"/>
    <w:tmpl w:val="DE51E40F"/>
    <w:lvl w:ilvl="0" w:tentative="0">
      <w:start w:val="1"/>
      <w:numFmt w:val="decimal"/>
      <w:suff w:val="nothing"/>
      <w:lvlText w:val="%1．"/>
      <w:lvlJc w:val="left"/>
      <w:pPr>
        <w:ind w:left="0" w:firstLine="400"/>
      </w:pPr>
      <w:rPr>
        <w:rFonts w:hint="default"/>
      </w:rPr>
    </w:lvl>
  </w:abstractNum>
  <w:abstractNum w:abstractNumId="4">
    <w:nsid w:val="E6E80DC9"/>
    <w:multiLevelType w:val="singleLevel"/>
    <w:tmpl w:val="E6E80DC9"/>
    <w:lvl w:ilvl="0" w:tentative="0">
      <w:start w:val="1"/>
      <w:numFmt w:val="chineseCounting"/>
      <w:suff w:val="nothing"/>
      <w:lvlText w:val="（%1）"/>
      <w:lvlJc w:val="left"/>
      <w:pPr>
        <w:ind w:left="0" w:firstLine="420"/>
      </w:pPr>
      <w:rPr>
        <w:rFonts w:hint="eastAsia"/>
      </w:rPr>
    </w:lvl>
  </w:abstractNum>
  <w:abstractNum w:abstractNumId="5">
    <w:nsid w:val="ECA04E30"/>
    <w:multiLevelType w:val="singleLevel"/>
    <w:tmpl w:val="ECA04E30"/>
    <w:lvl w:ilvl="0" w:tentative="0">
      <w:start w:val="1"/>
      <w:numFmt w:val="decimal"/>
      <w:suff w:val="nothing"/>
      <w:lvlText w:val="%1．"/>
      <w:lvlJc w:val="left"/>
      <w:pPr>
        <w:ind w:left="451" w:firstLine="400"/>
      </w:pPr>
      <w:rPr>
        <w:rFonts w:hint="default"/>
      </w:rPr>
    </w:lvl>
  </w:abstractNum>
  <w:abstractNum w:abstractNumId="6">
    <w:nsid w:val="FCE8EE3A"/>
    <w:multiLevelType w:val="singleLevel"/>
    <w:tmpl w:val="FCE8EE3A"/>
    <w:lvl w:ilvl="0" w:tentative="0">
      <w:start w:val="1"/>
      <w:numFmt w:val="decimal"/>
      <w:suff w:val="nothing"/>
      <w:lvlText w:val="%1．"/>
      <w:lvlJc w:val="left"/>
      <w:pPr>
        <w:ind w:left="0" w:firstLine="400"/>
      </w:pPr>
      <w:rPr>
        <w:rFonts w:hint="default"/>
      </w:rPr>
    </w:lvl>
  </w:abstractNum>
  <w:abstractNum w:abstractNumId="7">
    <w:nsid w:val="164F0218"/>
    <w:multiLevelType w:val="multilevel"/>
    <w:tmpl w:val="164F0218"/>
    <w:lvl w:ilvl="0" w:tentative="0">
      <w:start w:val="1"/>
      <w:numFmt w:val="decimal"/>
      <w:suff w:val="nothing"/>
      <w:lvlText w:val="%1．"/>
      <w:lvlJc w:val="left"/>
      <w:pPr>
        <w:ind w:left="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66D175"/>
    <w:multiLevelType w:val="singleLevel"/>
    <w:tmpl w:val="2166D175"/>
    <w:lvl w:ilvl="0" w:tentative="0">
      <w:start w:val="1"/>
      <w:numFmt w:val="chineseCounting"/>
      <w:suff w:val="nothing"/>
      <w:lvlText w:val="（%1）"/>
      <w:lvlJc w:val="left"/>
      <w:pPr>
        <w:ind w:left="0" w:firstLine="420"/>
      </w:pPr>
      <w:rPr>
        <w:rFonts w:hint="eastAsia"/>
      </w:rPr>
    </w:lvl>
  </w:abstractNum>
  <w:abstractNum w:abstractNumId="9">
    <w:nsid w:val="219F6623"/>
    <w:multiLevelType w:val="singleLevel"/>
    <w:tmpl w:val="219F6623"/>
    <w:lvl w:ilvl="0" w:tentative="0">
      <w:start w:val="1"/>
      <w:numFmt w:val="decimal"/>
      <w:suff w:val="nothing"/>
      <w:lvlText w:val="%1．"/>
      <w:lvlJc w:val="left"/>
      <w:pPr>
        <w:ind w:left="0" w:firstLine="400"/>
      </w:pPr>
      <w:rPr>
        <w:rFonts w:hint="default"/>
      </w:rPr>
    </w:lvl>
  </w:abstractNum>
  <w:abstractNum w:abstractNumId="10">
    <w:nsid w:val="2CD6D8F7"/>
    <w:multiLevelType w:val="singleLevel"/>
    <w:tmpl w:val="2CD6D8F7"/>
    <w:lvl w:ilvl="0" w:tentative="0">
      <w:start w:val="1"/>
      <w:numFmt w:val="decimal"/>
      <w:suff w:val="nothing"/>
      <w:lvlText w:val="%1．"/>
      <w:lvlJc w:val="left"/>
      <w:pPr>
        <w:ind w:left="0" w:firstLine="400"/>
      </w:pPr>
      <w:rPr>
        <w:rFonts w:hint="default"/>
      </w:rPr>
    </w:lvl>
  </w:abstractNum>
  <w:abstractNum w:abstractNumId="11">
    <w:nsid w:val="2F3BCCB6"/>
    <w:multiLevelType w:val="singleLevel"/>
    <w:tmpl w:val="2F3BCCB6"/>
    <w:lvl w:ilvl="0" w:tentative="0">
      <w:start w:val="1"/>
      <w:numFmt w:val="decimal"/>
      <w:lvlText w:val="%1)"/>
      <w:lvlJc w:val="left"/>
      <w:pPr>
        <w:ind w:left="820" w:hanging="420"/>
      </w:pPr>
      <w:rPr>
        <w:rFonts w:hint="default"/>
      </w:rPr>
    </w:lvl>
  </w:abstractNum>
  <w:abstractNum w:abstractNumId="12">
    <w:nsid w:val="3C53E838"/>
    <w:multiLevelType w:val="singleLevel"/>
    <w:tmpl w:val="3C53E838"/>
    <w:lvl w:ilvl="0" w:tentative="0">
      <w:start w:val="1"/>
      <w:numFmt w:val="decimal"/>
      <w:suff w:val="nothing"/>
      <w:lvlText w:val="%1．"/>
      <w:lvlJc w:val="left"/>
      <w:pPr>
        <w:ind w:left="0" w:firstLine="400"/>
      </w:pPr>
      <w:rPr>
        <w:rFonts w:hint="default"/>
      </w:rPr>
    </w:lvl>
  </w:abstractNum>
  <w:abstractNum w:abstractNumId="13">
    <w:nsid w:val="4AA006E2"/>
    <w:multiLevelType w:val="singleLevel"/>
    <w:tmpl w:val="4AA006E2"/>
    <w:lvl w:ilvl="0" w:tentative="0">
      <w:start w:val="1"/>
      <w:numFmt w:val="decimal"/>
      <w:suff w:val="nothing"/>
      <w:lvlText w:val="%1．"/>
      <w:lvlJc w:val="left"/>
      <w:pPr>
        <w:ind w:left="0" w:firstLine="400"/>
      </w:pPr>
      <w:rPr>
        <w:rFonts w:hint="default"/>
      </w:rPr>
    </w:lvl>
  </w:abstractNum>
  <w:abstractNum w:abstractNumId="14">
    <w:nsid w:val="4AC00939"/>
    <w:multiLevelType w:val="singleLevel"/>
    <w:tmpl w:val="4AC00939"/>
    <w:lvl w:ilvl="0" w:tentative="0">
      <w:start w:val="1"/>
      <w:numFmt w:val="decimal"/>
      <w:suff w:val="nothing"/>
      <w:lvlText w:val="%1．"/>
      <w:lvlJc w:val="left"/>
      <w:pPr>
        <w:ind w:left="0" w:firstLine="400"/>
      </w:pPr>
      <w:rPr>
        <w:rFonts w:hint="default"/>
      </w:rPr>
    </w:lvl>
  </w:abstractNum>
  <w:abstractNum w:abstractNumId="15">
    <w:nsid w:val="4B714975"/>
    <w:multiLevelType w:val="singleLevel"/>
    <w:tmpl w:val="4B714975"/>
    <w:lvl w:ilvl="0" w:tentative="0">
      <w:start w:val="1"/>
      <w:numFmt w:val="chineseCounting"/>
      <w:suff w:val="nothing"/>
      <w:lvlText w:val="（%1）"/>
      <w:lvlJc w:val="left"/>
      <w:pPr>
        <w:ind w:left="0" w:firstLine="420"/>
      </w:pPr>
      <w:rPr>
        <w:rFonts w:hint="eastAsia"/>
      </w:rPr>
    </w:lvl>
  </w:abstractNum>
  <w:abstractNum w:abstractNumId="16">
    <w:nsid w:val="57CDFCCB"/>
    <w:multiLevelType w:val="singleLevel"/>
    <w:tmpl w:val="57CDFCCB"/>
    <w:lvl w:ilvl="0" w:tentative="0">
      <w:start w:val="1"/>
      <w:numFmt w:val="decimal"/>
      <w:suff w:val="nothing"/>
      <w:lvlText w:val="%1．"/>
      <w:lvlJc w:val="left"/>
      <w:pPr>
        <w:ind w:left="0" w:firstLine="400"/>
      </w:pPr>
      <w:rPr>
        <w:rFonts w:hint="default"/>
      </w:rPr>
    </w:lvl>
  </w:abstractNum>
  <w:abstractNum w:abstractNumId="17">
    <w:nsid w:val="6AB8D448"/>
    <w:multiLevelType w:val="singleLevel"/>
    <w:tmpl w:val="6AB8D448"/>
    <w:lvl w:ilvl="0" w:tentative="0">
      <w:start w:val="1"/>
      <w:numFmt w:val="chineseCounting"/>
      <w:suff w:val="nothing"/>
      <w:lvlText w:val="%1、"/>
      <w:lvlJc w:val="left"/>
      <w:pPr>
        <w:ind w:left="6810" w:firstLine="420"/>
      </w:pPr>
      <w:rPr>
        <w:rFonts w:hint="eastAsia"/>
      </w:rPr>
    </w:lvl>
  </w:abstractNum>
  <w:abstractNum w:abstractNumId="18">
    <w:nsid w:val="7171AC03"/>
    <w:multiLevelType w:val="singleLevel"/>
    <w:tmpl w:val="7171AC03"/>
    <w:lvl w:ilvl="0" w:tentative="0">
      <w:start w:val="1"/>
      <w:numFmt w:val="decimal"/>
      <w:suff w:val="nothing"/>
      <w:lvlText w:val="%1．"/>
      <w:lvlJc w:val="left"/>
      <w:pPr>
        <w:ind w:left="0" w:firstLine="400"/>
      </w:pPr>
      <w:rPr>
        <w:rFonts w:hint="default"/>
      </w:rPr>
    </w:lvl>
  </w:abstractNum>
  <w:abstractNum w:abstractNumId="19">
    <w:nsid w:val="75A1D56D"/>
    <w:multiLevelType w:val="singleLevel"/>
    <w:tmpl w:val="75A1D56D"/>
    <w:lvl w:ilvl="0" w:tentative="0">
      <w:start w:val="1"/>
      <w:numFmt w:val="decimal"/>
      <w:suff w:val="nothing"/>
      <w:lvlText w:val="%1．"/>
      <w:lvlJc w:val="left"/>
      <w:pPr>
        <w:ind w:left="0" w:firstLine="400"/>
      </w:pPr>
      <w:rPr>
        <w:rFonts w:hint="default"/>
      </w:rPr>
    </w:lvl>
  </w:abstractNum>
  <w:abstractNum w:abstractNumId="20">
    <w:nsid w:val="75D42274"/>
    <w:multiLevelType w:val="multilevel"/>
    <w:tmpl w:val="75D42274"/>
    <w:lvl w:ilvl="0" w:tentative="0">
      <w:start w:val="1"/>
      <w:numFmt w:val="decimal"/>
      <w:lvlText w:val="%1."/>
      <w:lvlJc w:val="left"/>
      <w:pPr>
        <w:ind w:left="935" w:hanging="420"/>
      </w:pPr>
      <w:rPr>
        <w:rFonts w:hint="eastAsia"/>
      </w:rPr>
    </w:lvl>
    <w:lvl w:ilvl="1" w:tentative="0">
      <w:start w:val="1"/>
      <w:numFmt w:val="lowerLetter"/>
      <w:lvlText w:val="%2)"/>
      <w:lvlJc w:val="left"/>
      <w:pPr>
        <w:ind w:left="1355" w:hanging="420"/>
      </w:pPr>
    </w:lvl>
    <w:lvl w:ilvl="2" w:tentative="0">
      <w:start w:val="1"/>
      <w:numFmt w:val="lowerRoman"/>
      <w:lvlText w:val="%3."/>
      <w:lvlJc w:val="right"/>
      <w:pPr>
        <w:ind w:left="1775" w:hanging="420"/>
      </w:pPr>
    </w:lvl>
    <w:lvl w:ilvl="3" w:tentative="0">
      <w:start w:val="1"/>
      <w:numFmt w:val="decimal"/>
      <w:lvlText w:val="%4."/>
      <w:lvlJc w:val="left"/>
      <w:pPr>
        <w:ind w:left="2195" w:hanging="420"/>
      </w:pPr>
    </w:lvl>
    <w:lvl w:ilvl="4" w:tentative="0">
      <w:start w:val="1"/>
      <w:numFmt w:val="lowerLetter"/>
      <w:lvlText w:val="%5)"/>
      <w:lvlJc w:val="left"/>
      <w:pPr>
        <w:ind w:left="2615" w:hanging="420"/>
      </w:pPr>
    </w:lvl>
    <w:lvl w:ilvl="5" w:tentative="0">
      <w:start w:val="1"/>
      <w:numFmt w:val="lowerRoman"/>
      <w:lvlText w:val="%6."/>
      <w:lvlJc w:val="right"/>
      <w:pPr>
        <w:ind w:left="3035" w:hanging="420"/>
      </w:pPr>
    </w:lvl>
    <w:lvl w:ilvl="6" w:tentative="0">
      <w:start w:val="1"/>
      <w:numFmt w:val="decimal"/>
      <w:lvlText w:val="%7."/>
      <w:lvlJc w:val="left"/>
      <w:pPr>
        <w:ind w:left="3455" w:hanging="420"/>
      </w:pPr>
    </w:lvl>
    <w:lvl w:ilvl="7" w:tentative="0">
      <w:start w:val="1"/>
      <w:numFmt w:val="lowerLetter"/>
      <w:lvlText w:val="%8)"/>
      <w:lvlJc w:val="left"/>
      <w:pPr>
        <w:ind w:left="3875" w:hanging="420"/>
      </w:pPr>
    </w:lvl>
    <w:lvl w:ilvl="8" w:tentative="0">
      <w:start w:val="1"/>
      <w:numFmt w:val="lowerRoman"/>
      <w:lvlText w:val="%9."/>
      <w:lvlJc w:val="right"/>
      <w:pPr>
        <w:ind w:left="4295" w:hanging="420"/>
      </w:pPr>
    </w:lvl>
  </w:abstractNum>
  <w:abstractNum w:abstractNumId="21">
    <w:nsid w:val="7D9C9BEA"/>
    <w:multiLevelType w:val="singleLevel"/>
    <w:tmpl w:val="7D9C9BEA"/>
    <w:lvl w:ilvl="0" w:tentative="0">
      <w:start w:val="1"/>
      <w:numFmt w:val="chineseCounting"/>
      <w:suff w:val="nothing"/>
      <w:lvlText w:val="（%1）"/>
      <w:lvlJc w:val="left"/>
      <w:pPr>
        <w:ind w:left="0" w:firstLine="420"/>
      </w:pPr>
      <w:rPr>
        <w:rFonts w:hint="eastAsia"/>
      </w:rPr>
    </w:lvl>
  </w:abstractNum>
  <w:num w:numId="1">
    <w:abstractNumId w:val="6"/>
  </w:num>
  <w:num w:numId="2">
    <w:abstractNumId w:val="10"/>
  </w:num>
  <w:num w:numId="3">
    <w:abstractNumId w:val="15"/>
  </w:num>
  <w:num w:numId="4">
    <w:abstractNumId w:val="0"/>
  </w:num>
  <w:num w:numId="5">
    <w:abstractNumId w:val="11"/>
  </w:num>
  <w:num w:numId="6">
    <w:abstractNumId w:val="18"/>
  </w:num>
  <w:num w:numId="7">
    <w:abstractNumId w:val="3"/>
  </w:num>
  <w:num w:numId="8">
    <w:abstractNumId w:val="7"/>
  </w:num>
  <w:num w:numId="9">
    <w:abstractNumId w:val="17"/>
  </w:num>
  <w:num w:numId="10">
    <w:abstractNumId w:val="8"/>
  </w:num>
  <w:num w:numId="11">
    <w:abstractNumId w:val="16"/>
  </w:num>
  <w:num w:numId="12">
    <w:abstractNumId w:val="4"/>
  </w:num>
  <w:num w:numId="13">
    <w:abstractNumId w:val="19"/>
  </w:num>
  <w:num w:numId="14">
    <w:abstractNumId w:val="9"/>
  </w:num>
  <w:num w:numId="15">
    <w:abstractNumId w:val="5"/>
  </w:num>
  <w:num w:numId="16">
    <w:abstractNumId w:val="1"/>
  </w:num>
  <w:num w:numId="17">
    <w:abstractNumId w:val="21"/>
  </w:num>
  <w:num w:numId="18">
    <w:abstractNumId w:val="14"/>
  </w:num>
  <w:num w:numId="19">
    <w:abstractNumId w:val="12"/>
  </w:num>
  <w:num w:numId="20">
    <w:abstractNumId w:val="1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F2BA8"/>
    <w:rsid w:val="0000237B"/>
    <w:rsid w:val="000024C4"/>
    <w:rsid w:val="0000324A"/>
    <w:rsid w:val="00004965"/>
    <w:rsid w:val="000055A1"/>
    <w:rsid w:val="00005813"/>
    <w:rsid w:val="00005D50"/>
    <w:rsid w:val="00006A63"/>
    <w:rsid w:val="00007740"/>
    <w:rsid w:val="00010942"/>
    <w:rsid w:val="00011E7D"/>
    <w:rsid w:val="00012514"/>
    <w:rsid w:val="00012FF8"/>
    <w:rsid w:val="00013159"/>
    <w:rsid w:val="00013C18"/>
    <w:rsid w:val="000145CC"/>
    <w:rsid w:val="00014B1C"/>
    <w:rsid w:val="00015E9C"/>
    <w:rsid w:val="00016952"/>
    <w:rsid w:val="0002061F"/>
    <w:rsid w:val="000209B3"/>
    <w:rsid w:val="000217C4"/>
    <w:rsid w:val="00021CCB"/>
    <w:rsid w:val="00023231"/>
    <w:rsid w:val="00024558"/>
    <w:rsid w:val="0002484C"/>
    <w:rsid w:val="000258E5"/>
    <w:rsid w:val="000259BB"/>
    <w:rsid w:val="00027286"/>
    <w:rsid w:val="0002785B"/>
    <w:rsid w:val="00027C29"/>
    <w:rsid w:val="0003267D"/>
    <w:rsid w:val="00033DA1"/>
    <w:rsid w:val="00034293"/>
    <w:rsid w:val="00035431"/>
    <w:rsid w:val="000363B7"/>
    <w:rsid w:val="00036C7D"/>
    <w:rsid w:val="0004037E"/>
    <w:rsid w:val="00042BD0"/>
    <w:rsid w:val="00044872"/>
    <w:rsid w:val="00045F83"/>
    <w:rsid w:val="00050D10"/>
    <w:rsid w:val="0005144D"/>
    <w:rsid w:val="00051F47"/>
    <w:rsid w:val="0005544E"/>
    <w:rsid w:val="00056B12"/>
    <w:rsid w:val="00056F7E"/>
    <w:rsid w:val="000602F6"/>
    <w:rsid w:val="000611F7"/>
    <w:rsid w:val="00061B4B"/>
    <w:rsid w:val="00061B8D"/>
    <w:rsid w:val="000624D2"/>
    <w:rsid w:val="000652F5"/>
    <w:rsid w:val="00071FC5"/>
    <w:rsid w:val="00073A83"/>
    <w:rsid w:val="00075339"/>
    <w:rsid w:val="00075C1F"/>
    <w:rsid w:val="0007723E"/>
    <w:rsid w:val="0007726D"/>
    <w:rsid w:val="000803AC"/>
    <w:rsid w:val="00081E1D"/>
    <w:rsid w:val="000838A9"/>
    <w:rsid w:val="00083A07"/>
    <w:rsid w:val="00083CFA"/>
    <w:rsid w:val="000843BE"/>
    <w:rsid w:val="00087105"/>
    <w:rsid w:val="0008752E"/>
    <w:rsid w:val="00087A8D"/>
    <w:rsid w:val="0009002F"/>
    <w:rsid w:val="00090055"/>
    <w:rsid w:val="0009095B"/>
    <w:rsid w:val="00090E5B"/>
    <w:rsid w:val="00090E6C"/>
    <w:rsid w:val="000910BF"/>
    <w:rsid w:val="00091696"/>
    <w:rsid w:val="00091A07"/>
    <w:rsid w:val="00091E25"/>
    <w:rsid w:val="00092ED6"/>
    <w:rsid w:val="00093367"/>
    <w:rsid w:val="000951C5"/>
    <w:rsid w:val="00095F21"/>
    <w:rsid w:val="000971D1"/>
    <w:rsid w:val="00097353"/>
    <w:rsid w:val="00097421"/>
    <w:rsid w:val="00097A3C"/>
    <w:rsid w:val="000A05A1"/>
    <w:rsid w:val="000A1520"/>
    <w:rsid w:val="000A2203"/>
    <w:rsid w:val="000A3847"/>
    <w:rsid w:val="000A4AE9"/>
    <w:rsid w:val="000A53D2"/>
    <w:rsid w:val="000A6AFD"/>
    <w:rsid w:val="000A79F0"/>
    <w:rsid w:val="000A7C96"/>
    <w:rsid w:val="000A7E18"/>
    <w:rsid w:val="000B0181"/>
    <w:rsid w:val="000B0804"/>
    <w:rsid w:val="000B0E38"/>
    <w:rsid w:val="000B3D03"/>
    <w:rsid w:val="000B4257"/>
    <w:rsid w:val="000B53DF"/>
    <w:rsid w:val="000B5C9C"/>
    <w:rsid w:val="000B6A49"/>
    <w:rsid w:val="000B7794"/>
    <w:rsid w:val="000C040F"/>
    <w:rsid w:val="000C184D"/>
    <w:rsid w:val="000C1D23"/>
    <w:rsid w:val="000C3346"/>
    <w:rsid w:val="000C4510"/>
    <w:rsid w:val="000C4D45"/>
    <w:rsid w:val="000C4F1C"/>
    <w:rsid w:val="000C75AD"/>
    <w:rsid w:val="000D382A"/>
    <w:rsid w:val="000D494D"/>
    <w:rsid w:val="000D6443"/>
    <w:rsid w:val="000D681B"/>
    <w:rsid w:val="000D7D79"/>
    <w:rsid w:val="000E038F"/>
    <w:rsid w:val="000E178C"/>
    <w:rsid w:val="000E1DBB"/>
    <w:rsid w:val="000E244F"/>
    <w:rsid w:val="000E2CD4"/>
    <w:rsid w:val="000E3694"/>
    <w:rsid w:val="000E4D5D"/>
    <w:rsid w:val="000E5180"/>
    <w:rsid w:val="000E52B5"/>
    <w:rsid w:val="000E6CAA"/>
    <w:rsid w:val="000F0C4E"/>
    <w:rsid w:val="000F0E81"/>
    <w:rsid w:val="000F300A"/>
    <w:rsid w:val="000F33C5"/>
    <w:rsid w:val="000F3D2D"/>
    <w:rsid w:val="000F45E3"/>
    <w:rsid w:val="000F478B"/>
    <w:rsid w:val="000F5F05"/>
    <w:rsid w:val="000F638C"/>
    <w:rsid w:val="000F646F"/>
    <w:rsid w:val="000F6998"/>
    <w:rsid w:val="00100FE2"/>
    <w:rsid w:val="00102D77"/>
    <w:rsid w:val="00102D91"/>
    <w:rsid w:val="00103EB6"/>
    <w:rsid w:val="00104448"/>
    <w:rsid w:val="00104532"/>
    <w:rsid w:val="0010468B"/>
    <w:rsid w:val="0010568D"/>
    <w:rsid w:val="00106DFD"/>
    <w:rsid w:val="00107745"/>
    <w:rsid w:val="0010785C"/>
    <w:rsid w:val="0011374F"/>
    <w:rsid w:val="001149D1"/>
    <w:rsid w:val="00115535"/>
    <w:rsid w:val="00116806"/>
    <w:rsid w:val="00120FE4"/>
    <w:rsid w:val="00121430"/>
    <w:rsid w:val="0012271C"/>
    <w:rsid w:val="0012308E"/>
    <w:rsid w:val="00123660"/>
    <w:rsid w:val="00124E15"/>
    <w:rsid w:val="00125A5A"/>
    <w:rsid w:val="001266C3"/>
    <w:rsid w:val="00126A89"/>
    <w:rsid w:val="001301F3"/>
    <w:rsid w:val="00131086"/>
    <w:rsid w:val="0013168E"/>
    <w:rsid w:val="00132BB4"/>
    <w:rsid w:val="0013472B"/>
    <w:rsid w:val="0013481A"/>
    <w:rsid w:val="001408E7"/>
    <w:rsid w:val="00140AE8"/>
    <w:rsid w:val="00141E3B"/>
    <w:rsid w:val="00143C2C"/>
    <w:rsid w:val="001457BD"/>
    <w:rsid w:val="00145E32"/>
    <w:rsid w:val="00145E94"/>
    <w:rsid w:val="00146447"/>
    <w:rsid w:val="00147029"/>
    <w:rsid w:val="00150654"/>
    <w:rsid w:val="00151201"/>
    <w:rsid w:val="001513C2"/>
    <w:rsid w:val="00151EE9"/>
    <w:rsid w:val="00154558"/>
    <w:rsid w:val="001547DA"/>
    <w:rsid w:val="00155F13"/>
    <w:rsid w:val="001563F1"/>
    <w:rsid w:val="00156E07"/>
    <w:rsid w:val="0015701D"/>
    <w:rsid w:val="00157418"/>
    <w:rsid w:val="001607A3"/>
    <w:rsid w:val="00161869"/>
    <w:rsid w:val="001626C7"/>
    <w:rsid w:val="00163249"/>
    <w:rsid w:val="00165AA5"/>
    <w:rsid w:val="00165FB2"/>
    <w:rsid w:val="00167227"/>
    <w:rsid w:val="00170F72"/>
    <w:rsid w:val="00171446"/>
    <w:rsid w:val="00171986"/>
    <w:rsid w:val="0017257B"/>
    <w:rsid w:val="00172D2B"/>
    <w:rsid w:val="0017322F"/>
    <w:rsid w:val="00173BF6"/>
    <w:rsid w:val="001741D2"/>
    <w:rsid w:val="001762E1"/>
    <w:rsid w:val="00180474"/>
    <w:rsid w:val="00181672"/>
    <w:rsid w:val="00181753"/>
    <w:rsid w:val="00183310"/>
    <w:rsid w:val="0018412F"/>
    <w:rsid w:val="0018434D"/>
    <w:rsid w:val="001847E7"/>
    <w:rsid w:val="00186A19"/>
    <w:rsid w:val="00190629"/>
    <w:rsid w:val="0019090C"/>
    <w:rsid w:val="00190FD3"/>
    <w:rsid w:val="0019116E"/>
    <w:rsid w:val="001928C1"/>
    <w:rsid w:val="001929A7"/>
    <w:rsid w:val="00192DF4"/>
    <w:rsid w:val="00193378"/>
    <w:rsid w:val="00193B28"/>
    <w:rsid w:val="00195A0B"/>
    <w:rsid w:val="001979CC"/>
    <w:rsid w:val="001A0A55"/>
    <w:rsid w:val="001A0CC9"/>
    <w:rsid w:val="001A1ED8"/>
    <w:rsid w:val="001A23D9"/>
    <w:rsid w:val="001A34F1"/>
    <w:rsid w:val="001A366A"/>
    <w:rsid w:val="001A63A4"/>
    <w:rsid w:val="001A7EDD"/>
    <w:rsid w:val="001B043F"/>
    <w:rsid w:val="001B2495"/>
    <w:rsid w:val="001B291D"/>
    <w:rsid w:val="001B3C7E"/>
    <w:rsid w:val="001B3EFB"/>
    <w:rsid w:val="001B44AF"/>
    <w:rsid w:val="001B4D18"/>
    <w:rsid w:val="001B5D78"/>
    <w:rsid w:val="001B670B"/>
    <w:rsid w:val="001C21FC"/>
    <w:rsid w:val="001C3430"/>
    <w:rsid w:val="001C4029"/>
    <w:rsid w:val="001C5291"/>
    <w:rsid w:val="001D1CFD"/>
    <w:rsid w:val="001D2AAD"/>
    <w:rsid w:val="001D36CA"/>
    <w:rsid w:val="001D4340"/>
    <w:rsid w:val="001D5DDD"/>
    <w:rsid w:val="001D68FD"/>
    <w:rsid w:val="001D75EB"/>
    <w:rsid w:val="001E40CD"/>
    <w:rsid w:val="001E4D3D"/>
    <w:rsid w:val="001E7CF3"/>
    <w:rsid w:val="001F0012"/>
    <w:rsid w:val="001F02B8"/>
    <w:rsid w:val="001F157E"/>
    <w:rsid w:val="001F2313"/>
    <w:rsid w:val="001F288D"/>
    <w:rsid w:val="001F4103"/>
    <w:rsid w:val="001F50F2"/>
    <w:rsid w:val="001F6C68"/>
    <w:rsid w:val="001F755C"/>
    <w:rsid w:val="00200A82"/>
    <w:rsid w:val="00200D6B"/>
    <w:rsid w:val="00202648"/>
    <w:rsid w:val="00203A66"/>
    <w:rsid w:val="00204BED"/>
    <w:rsid w:val="00207379"/>
    <w:rsid w:val="00211F02"/>
    <w:rsid w:val="00212B8A"/>
    <w:rsid w:val="00214B3C"/>
    <w:rsid w:val="002154E9"/>
    <w:rsid w:val="002168C6"/>
    <w:rsid w:val="002179B7"/>
    <w:rsid w:val="00221550"/>
    <w:rsid w:val="00221830"/>
    <w:rsid w:val="0022422B"/>
    <w:rsid w:val="002250A9"/>
    <w:rsid w:val="00225B23"/>
    <w:rsid w:val="0022732A"/>
    <w:rsid w:val="002310C7"/>
    <w:rsid w:val="002312EE"/>
    <w:rsid w:val="00231566"/>
    <w:rsid w:val="00231919"/>
    <w:rsid w:val="002321C7"/>
    <w:rsid w:val="00232AE1"/>
    <w:rsid w:val="002333CE"/>
    <w:rsid w:val="00234734"/>
    <w:rsid w:val="00234B7E"/>
    <w:rsid w:val="00234BEB"/>
    <w:rsid w:val="00235832"/>
    <w:rsid w:val="002359D7"/>
    <w:rsid w:val="002361ED"/>
    <w:rsid w:val="00236829"/>
    <w:rsid w:val="00237470"/>
    <w:rsid w:val="00237719"/>
    <w:rsid w:val="00237CD4"/>
    <w:rsid w:val="00240FEC"/>
    <w:rsid w:val="00241A17"/>
    <w:rsid w:val="002471A9"/>
    <w:rsid w:val="002472E1"/>
    <w:rsid w:val="002505D2"/>
    <w:rsid w:val="00251129"/>
    <w:rsid w:val="0025216B"/>
    <w:rsid w:val="00252335"/>
    <w:rsid w:val="00253606"/>
    <w:rsid w:val="0025468F"/>
    <w:rsid w:val="002551AD"/>
    <w:rsid w:val="002554AD"/>
    <w:rsid w:val="00255534"/>
    <w:rsid w:val="00255AE1"/>
    <w:rsid w:val="002563A0"/>
    <w:rsid w:val="00256854"/>
    <w:rsid w:val="00257557"/>
    <w:rsid w:val="00260228"/>
    <w:rsid w:val="002607AF"/>
    <w:rsid w:val="0026163A"/>
    <w:rsid w:val="0026612B"/>
    <w:rsid w:val="0027124F"/>
    <w:rsid w:val="002714EB"/>
    <w:rsid w:val="002716B5"/>
    <w:rsid w:val="00271D86"/>
    <w:rsid w:val="00271FE8"/>
    <w:rsid w:val="002721E8"/>
    <w:rsid w:val="0027281D"/>
    <w:rsid w:val="00272FCE"/>
    <w:rsid w:val="00273E19"/>
    <w:rsid w:val="00275D68"/>
    <w:rsid w:val="00276DFF"/>
    <w:rsid w:val="002805FC"/>
    <w:rsid w:val="00280B45"/>
    <w:rsid w:val="00283832"/>
    <w:rsid w:val="00283DCF"/>
    <w:rsid w:val="00284DBC"/>
    <w:rsid w:val="00285966"/>
    <w:rsid w:val="002862E7"/>
    <w:rsid w:val="002933DE"/>
    <w:rsid w:val="00294F33"/>
    <w:rsid w:val="002952C9"/>
    <w:rsid w:val="00296527"/>
    <w:rsid w:val="00296B6C"/>
    <w:rsid w:val="002A1751"/>
    <w:rsid w:val="002A2137"/>
    <w:rsid w:val="002A27EB"/>
    <w:rsid w:val="002A31E2"/>
    <w:rsid w:val="002A470D"/>
    <w:rsid w:val="002A48E3"/>
    <w:rsid w:val="002A5497"/>
    <w:rsid w:val="002A64BE"/>
    <w:rsid w:val="002A6663"/>
    <w:rsid w:val="002B00DA"/>
    <w:rsid w:val="002B0D3F"/>
    <w:rsid w:val="002B25B0"/>
    <w:rsid w:val="002B578A"/>
    <w:rsid w:val="002B5AC5"/>
    <w:rsid w:val="002C0141"/>
    <w:rsid w:val="002C1CA3"/>
    <w:rsid w:val="002C3D2D"/>
    <w:rsid w:val="002C5963"/>
    <w:rsid w:val="002C5C5F"/>
    <w:rsid w:val="002C6B1D"/>
    <w:rsid w:val="002C7E86"/>
    <w:rsid w:val="002C7FFC"/>
    <w:rsid w:val="002D13EE"/>
    <w:rsid w:val="002D1623"/>
    <w:rsid w:val="002D2E30"/>
    <w:rsid w:val="002D6A8D"/>
    <w:rsid w:val="002D7083"/>
    <w:rsid w:val="002E0FAF"/>
    <w:rsid w:val="002E2CD6"/>
    <w:rsid w:val="002E4C3E"/>
    <w:rsid w:val="002E5E9C"/>
    <w:rsid w:val="002E75DE"/>
    <w:rsid w:val="002F0333"/>
    <w:rsid w:val="002F0417"/>
    <w:rsid w:val="002F0AA6"/>
    <w:rsid w:val="002F36DC"/>
    <w:rsid w:val="002F51FA"/>
    <w:rsid w:val="002F5375"/>
    <w:rsid w:val="002F6491"/>
    <w:rsid w:val="002F6539"/>
    <w:rsid w:val="003006F5"/>
    <w:rsid w:val="0030432B"/>
    <w:rsid w:val="00304C1E"/>
    <w:rsid w:val="00306353"/>
    <w:rsid w:val="00307A99"/>
    <w:rsid w:val="00310560"/>
    <w:rsid w:val="00312BBF"/>
    <w:rsid w:val="00313F62"/>
    <w:rsid w:val="00315280"/>
    <w:rsid w:val="00320D42"/>
    <w:rsid w:val="0032137D"/>
    <w:rsid w:val="0032199C"/>
    <w:rsid w:val="00322146"/>
    <w:rsid w:val="00322271"/>
    <w:rsid w:val="0032317F"/>
    <w:rsid w:val="0032725C"/>
    <w:rsid w:val="003274FD"/>
    <w:rsid w:val="00330055"/>
    <w:rsid w:val="00332180"/>
    <w:rsid w:val="00333395"/>
    <w:rsid w:val="00335E06"/>
    <w:rsid w:val="0033663D"/>
    <w:rsid w:val="00340F5B"/>
    <w:rsid w:val="00341A28"/>
    <w:rsid w:val="00341F70"/>
    <w:rsid w:val="003427CE"/>
    <w:rsid w:val="00344FDB"/>
    <w:rsid w:val="00346843"/>
    <w:rsid w:val="00347D64"/>
    <w:rsid w:val="00350C84"/>
    <w:rsid w:val="00351880"/>
    <w:rsid w:val="00352400"/>
    <w:rsid w:val="00352456"/>
    <w:rsid w:val="00352DEF"/>
    <w:rsid w:val="00353416"/>
    <w:rsid w:val="003535EC"/>
    <w:rsid w:val="0035634C"/>
    <w:rsid w:val="00356B3E"/>
    <w:rsid w:val="00363556"/>
    <w:rsid w:val="00364606"/>
    <w:rsid w:val="00364B93"/>
    <w:rsid w:val="003650B5"/>
    <w:rsid w:val="00365315"/>
    <w:rsid w:val="0036557B"/>
    <w:rsid w:val="00371345"/>
    <w:rsid w:val="00372232"/>
    <w:rsid w:val="00372D04"/>
    <w:rsid w:val="00372E2E"/>
    <w:rsid w:val="0037639E"/>
    <w:rsid w:val="003769B9"/>
    <w:rsid w:val="00377521"/>
    <w:rsid w:val="003803C5"/>
    <w:rsid w:val="0038074F"/>
    <w:rsid w:val="00383C7C"/>
    <w:rsid w:val="0038443A"/>
    <w:rsid w:val="00385909"/>
    <w:rsid w:val="00385E51"/>
    <w:rsid w:val="00386F3B"/>
    <w:rsid w:val="00387D75"/>
    <w:rsid w:val="00392252"/>
    <w:rsid w:val="00394CB7"/>
    <w:rsid w:val="003950F2"/>
    <w:rsid w:val="00395418"/>
    <w:rsid w:val="0039595D"/>
    <w:rsid w:val="003973D8"/>
    <w:rsid w:val="0039783E"/>
    <w:rsid w:val="003A0DDF"/>
    <w:rsid w:val="003A20DC"/>
    <w:rsid w:val="003A30BE"/>
    <w:rsid w:val="003A4073"/>
    <w:rsid w:val="003A464E"/>
    <w:rsid w:val="003B001A"/>
    <w:rsid w:val="003B1194"/>
    <w:rsid w:val="003B142A"/>
    <w:rsid w:val="003B1A1A"/>
    <w:rsid w:val="003B4590"/>
    <w:rsid w:val="003B68FD"/>
    <w:rsid w:val="003B73A1"/>
    <w:rsid w:val="003B771F"/>
    <w:rsid w:val="003C1A15"/>
    <w:rsid w:val="003C39DD"/>
    <w:rsid w:val="003C5C9E"/>
    <w:rsid w:val="003C74DE"/>
    <w:rsid w:val="003D1FA7"/>
    <w:rsid w:val="003D3458"/>
    <w:rsid w:val="003E0099"/>
    <w:rsid w:val="003E01D8"/>
    <w:rsid w:val="003E0D1D"/>
    <w:rsid w:val="003E0FCB"/>
    <w:rsid w:val="003E2D6C"/>
    <w:rsid w:val="003E3598"/>
    <w:rsid w:val="003E5101"/>
    <w:rsid w:val="003E62E8"/>
    <w:rsid w:val="003E6A72"/>
    <w:rsid w:val="003F1269"/>
    <w:rsid w:val="003F2C9C"/>
    <w:rsid w:val="003F6C9E"/>
    <w:rsid w:val="0040216D"/>
    <w:rsid w:val="00402273"/>
    <w:rsid w:val="00402443"/>
    <w:rsid w:val="00403EEE"/>
    <w:rsid w:val="00404797"/>
    <w:rsid w:val="004061DB"/>
    <w:rsid w:val="00406382"/>
    <w:rsid w:val="00407968"/>
    <w:rsid w:val="00407B86"/>
    <w:rsid w:val="00410A4E"/>
    <w:rsid w:val="00411366"/>
    <w:rsid w:val="00411A3A"/>
    <w:rsid w:val="00417D0B"/>
    <w:rsid w:val="0042049F"/>
    <w:rsid w:val="00427964"/>
    <w:rsid w:val="00430B4C"/>
    <w:rsid w:val="00430C31"/>
    <w:rsid w:val="00430DAB"/>
    <w:rsid w:val="0043180C"/>
    <w:rsid w:val="00432F0D"/>
    <w:rsid w:val="00434F4C"/>
    <w:rsid w:val="004369C9"/>
    <w:rsid w:val="00437987"/>
    <w:rsid w:val="00437E08"/>
    <w:rsid w:val="00440503"/>
    <w:rsid w:val="00440876"/>
    <w:rsid w:val="00441107"/>
    <w:rsid w:val="00441576"/>
    <w:rsid w:val="004423E0"/>
    <w:rsid w:val="00442712"/>
    <w:rsid w:val="004466B8"/>
    <w:rsid w:val="00446811"/>
    <w:rsid w:val="004468F8"/>
    <w:rsid w:val="00447425"/>
    <w:rsid w:val="00450755"/>
    <w:rsid w:val="004515E8"/>
    <w:rsid w:val="0045545A"/>
    <w:rsid w:val="00455556"/>
    <w:rsid w:val="004567F6"/>
    <w:rsid w:val="00457B7D"/>
    <w:rsid w:val="00457BBF"/>
    <w:rsid w:val="00457F4F"/>
    <w:rsid w:val="0046728D"/>
    <w:rsid w:val="004677D3"/>
    <w:rsid w:val="00471801"/>
    <w:rsid w:val="00472F24"/>
    <w:rsid w:val="00483225"/>
    <w:rsid w:val="00484E83"/>
    <w:rsid w:val="00485750"/>
    <w:rsid w:val="004857C8"/>
    <w:rsid w:val="004859F3"/>
    <w:rsid w:val="004874C8"/>
    <w:rsid w:val="00490B41"/>
    <w:rsid w:val="00491988"/>
    <w:rsid w:val="0049209F"/>
    <w:rsid w:val="00492AEA"/>
    <w:rsid w:val="00492AF0"/>
    <w:rsid w:val="00493BD8"/>
    <w:rsid w:val="004949AC"/>
    <w:rsid w:val="00495DE9"/>
    <w:rsid w:val="0049623E"/>
    <w:rsid w:val="004966AE"/>
    <w:rsid w:val="00496B1B"/>
    <w:rsid w:val="004A00B2"/>
    <w:rsid w:val="004A3D77"/>
    <w:rsid w:val="004A3FBD"/>
    <w:rsid w:val="004A4240"/>
    <w:rsid w:val="004A4D55"/>
    <w:rsid w:val="004A64DF"/>
    <w:rsid w:val="004A7B6A"/>
    <w:rsid w:val="004B034F"/>
    <w:rsid w:val="004B040A"/>
    <w:rsid w:val="004B2E21"/>
    <w:rsid w:val="004B6BF4"/>
    <w:rsid w:val="004B6FAA"/>
    <w:rsid w:val="004C00E4"/>
    <w:rsid w:val="004C13B8"/>
    <w:rsid w:val="004C2138"/>
    <w:rsid w:val="004C67D8"/>
    <w:rsid w:val="004C6F68"/>
    <w:rsid w:val="004D1592"/>
    <w:rsid w:val="004D184D"/>
    <w:rsid w:val="004D2A04"/>
    <w:rsid w:val="004D3CD8"/>
    <w:rsid w:val="004D6247"/>
    <w:rsid w:val="004D62C8"/>
    <w:rsid w:val="004D748C"/>
    <w:rsid w:val="004E03B8"/>
    <w:rsid w:val="004E5078"/>
    <w:rsid w:val="004E6944"/>
    <w:rsid w:val="004F025B"/>
    <w:rsid w:val="004F0A4A"/>
    <w:rsid w:val="004F2398"/>
    <w:rsid w:val="004F28E2"/>
    <w:rsid w:val="004F44AD"/>
    <w:rsid w:val="004F44D1"/>
    <w:rsid w:val="004F46F1"/>
    <w:rsid w:val="004F4D94"/>
    <w:rsid w:val="004F5583"/>
    <w:rsid w:val="004F7CE2"/>
    <w:rsid w:val="005010BA"/>
    <w:rsid w:val="00501BEE"/>
    <w:rsid w:val="00502C1A"/>
    <w:rsid w:val="005041A8"/>
    <w:rsid w:val="005041F0"/>
    <w:rsid w:val="0050491A"/>
    <w:rsid w:val="00504A72"/>
    <w:rsid w:val="0050584C"/>
    <w:rsid w:val="00505A7F"/>
    <w:rsid w:val="005060F9"/>
    <w:rsid w:val="00507660"/>
    <w:rsid w:val="005078DD"/>
    <w:rsid w:val="00507A21"/>
    <w:rsid w:val="0051413A"/>
    <w:rsid w:val="00514185"/>
    <w:rsid w:val="00516097"/>
    <w:rsid w:val="005164CB"/>
    <w:rsid w:val="005164D0"/>
    <w:rsid w:val="00516D22"/>
    <w:rsid w:val="00517D7F"/>
    <w:rsid w:val="005207CE"/>
    <w:rsid w:val="005216D4"/>
    <w:rsid w:val="0052309E"/>
    <w:rsid w:val="0052332E"/>
    <w:rsid w:val="00523666"/>
    <w:rsid w:val="005244D9"/>
    <w:rsid w:val="00524513"/>
    <w:rsid w:val="00525629"/>
    <w:rsid w:val="005264C0"/>
    <w:rsid w:val="005268A5"/>
    <w:rsid w:val="00527D70"/>
    <w:rsid w:val="0053041C"/>
    <w:rsid w:val="0053045F"/>
    <w:rsid w:val="005320FC"/>
    <w:rsid w:val="00532FA1"/>
    <w:rsid w:val="005334B4"/>
    <w:rsid w:val="00533EBA"/>
    <w:rsid w:val="00533FA5"/>
    <w:rsid w:val="00536224"/>
    <w:rsid w:val="005364DD"/>
    <w:rsid w:val="00540DD0"/>
    <w:rsid w:val="00542842"/>
    <w:rsid w:val="00542A87"/>
    <w:rsid w:val="00546171"/>
    <w:rsid w:val="005466DB"/>
    <w:rsid w:val="0054696E"/>
    <w:rsid w:val="00547B60"/>
    <w:rsid w:val="00554984"/>
    <w:rsid w:val="00554AE8"/>
    <w:rsid w:val="00557391"/>
    <w:rsid w:val="00562E71"/>
    <w:rsid w:val="0056315A"/>
    <w:rsid w:val="00571A21"/>
    <w:rsid w:val="00571F97"/>
    <w:rsid w:val="00574EFC"/>
    <w:rsid w:val="00575530"/>
    <w:rsid w:val="00575939"/>
    <w:rsid w:val="00581314"/>
    <w:rsid w:val="005819B0"/>
    <w:rsid w:val="005848FB"/>
    <w:rsid w:val="0058519B"/>
    <w:rsid w:val="005865B3"/>
    <w:rsid w:val="00587B0A"/>
    <w:rsid w:val="00587D57"/>
    <w:rsid w:val="00587E2E"/>
    <w:rsid w:val="005918F0"/>
    <w:rsid w:val="00593CC2"/>
    <w:rsid w:val="00593F32"/>
    <w:rsid w:val="00594BEB"/>
    <w:rsid w:val="00595671"/>
    <w:rsid w:val="00595784"/>
    <w:rsid w:val="005A1087"/>
    <w:rsid w:val="005A2900"/>
    <w:rsid w:val="005A3F10"/>
    <w:rsid w:val="005A4780"/>
    <w:rsid w:val="005A62B5"/>
    <w:rsid w:val="005A6799"/>
    <w:rsid w:val="005B2F25"/>
    <w:rsid w:val="005B4AEC"/>
    <w:rsid w:val="005C183F"/>
    <w:rsid w:val="005C2213"/>
    <w:rsid w:val="005C3DDE"/>
    <w:rsid w:val="005C4E95"/>
    <w:rsid w:val="005C5B61"/>
    <w:rsid w:val="005C5D23"/>
    <w:rsid w:val="005C6793"/>
    <w:rsid w:val="005C68E8"/>
    <w:rsid w:val="005C7464"/>
    <w:rsid w:val="005C7638"/>
    <w:rsid w:val="005C7969"/>
    <w:rsid w:val="005D207F"/>
    <w:rsid w:val="005D2FBC"/>
    <w:rsid w:val="005D37EA"/>
    <w:rsid w:val="005D386E"/>
    <w:rsid w:val="005D38B0"/>
    <w:rsid w:val="005D3DE8"/>
    <w:rsid w:val="005D4288"/>
    <w:rsid w:val="005D51E8"/>
    <w:rsid w:val="005D5F82"/>
    <w:rsid w:val="005D6E03"/>
    <w:rsid w:val="005D7288"/>
    <w:rsid w:val="005D794A"/>
    <w:rsid w:val="005D7C9F"/>
    <w:rsid w:val="005E068A"/>
    <w:rsid w:val="005E468B"/>
    <w:rsid w:val="005E5F54"/>
    <w:rsid w:val="005E762C"/>
    <w:rsid w:val="005E7AA7"/>
    <w:rsid w:val="005F00FA"/>
    <w:rsid w:val="005F01B2"/>
    <w:rsid w:val="005F093B"/>
    <w:rsid w:val="005F1E38"/>
    <w:rsid w:val="005F2C39"/>
    <w:rsid w:val="005F34C6"/>
    <w:rsid w:val="005F499F"/>
    <w:rsid w:val="005F56AA"/>
    <w:rsid w:val="005F5B4C"/>
    <w:rsid w:val="00601254"/>
    <w:rsid w:val="00603082"/>
    <w:rsid w:val="006045F4"/>
    <w:rsid w:val="00604699"/>
    <w:rsid w:val="00604FE4"/>
    <w:rsid w:val="00605BCA"/>
    <w:rsid w:val="00606460"/>
    <w:rsid w:val="00607859"/>
    <w:rsid w:val="006108AE"/>
    <w:rsid w:val="006109DA"/>
    <w:rsid w:val="006112E1"/>
    <w:rsid w:val="00611395"/>
    <w:rsid w:val="00612E63"/>
    <w:rsid w:val="00613509"/>
    <w:rsid w:val="00614372"/>
    <w:rsid w:val="00615667"/>
    <w:rsid w:val="006156B3"/>
    <w:rsid w:val="00620F9D"/>
    <w:rsid w:val="006211F2"/>
    <w:rsid w:val="00622A8E"/>
    <w:rsid w:val="00623C20"/>
    <w:rsid w:val="0062404C"/>
    <w:rsid w:val="00624436"/>
    <w:rsid w:val="0062503C"/>
    <w:rsid w:val="00625BC5"/>
    <w:rsid w:val="00625D19"/>
    <w:rsid w:val="006270A0"/>
    <w:rsid w:val="00627503"/>
    <w:rsid w:val="00627E0D"/>
    <w:rsid w:val="0063045B"/>
    <w:rsid w:val="00631156"/>
    <w:rsid w:val="00631FDB"/>
    <w:rsid w:val="00632A1E"/>
    <w:rsid w:val="006341E4"/>
    <w:rsid w:val="0063458B"/>
    <w:rsid w:val="00635397"/>
    <w:rsid w:val="006366B7"/>
    <w:rsid w:val="0063729D"/>
    <w:rsid w:val="0063791D"/>
    <w:rsid w:val="00641327"/>
    <w:rsid w:val="00641F04"/>
    <w:rsid w:val="0064686E"/>
    <w:rsid w:val="00647A54"/>
    <w:rsid w:val="00651572"/>
    <w:rsid w:val="00651B2F"/>
    <w:rsid w:val="00653D8A"/>
    <w:rsid w:val="00653DF3"/>
    <w:rsid w:val="0065504C"/>
    <w:rsid w:val="00655EA7"/>
    <w:rsid w:val="00656E8E"/>
    <w:rsid w:val="00661156"/>
    <w:rsid w:val="00661681"/>
    <w:rsid w:val="00661B65"/>
    <w:rsid w:val="006630AA"/>
    <w:rsid w:val="0066353A"/>
    <w:rsid w:val="0066387C"/>
    <w:rsid w:val="0066448D"/>
    <w:rsid w:val="00664AC0"/>
    <w:rsid w:val="00665D58"/>
    <w:rsid w:val="00666254"/>
    <w:rsid w:val="006666DE"/>
    <w:rsid w:val="00666917"/>
    <w:rsid w:val="006674BD"/>
    <w:rsid w:val="00670B48"/>
    <w:rsid w:val="006726CE"/>
    <w:rsid w:val="00673581"/>
    <w:rsid w:val="006739F5"/>
    <w:rsid w:val="006762C7"/>
    <w:rsid w:val="00682395"/>
    <w:rsid w:val="006828CB"/>
    <w:rsid w:val="00682CC2"/>
    <w:rsid w:val="00683698"/>
    <w:rsid w:val="00683B77"/>
    <w:rsid w:val="00684824"/>
    <w:rsid w:val="0068545E"/>
    <w:rsid w:val="00690BF5"/>
    <w:rsid w:val="00692341"/>
    <w:rsid w:val="00693DB8"/>
    <w:rsid w:val="00693ED6"/>
    <w:rsid w:val="00696653"/>
    <w:rsid w:val="00696C89"/>
    <w:rsid w:val="006A0DA5"/>
    <w:rsid w:val="006A1B18"/>
    <w:rsid w:val="006A2FF8"/>
    <w:rsid w:val="006A429F"/>
    <w:rsid w:val="006A4AD6"/>
    <w:rsid w:val="006A4F30"/>
    <w:rsid w:val="006A5160"/>
    <w:rsid w:val="006A5708"/>
    <w:rsid w:val="006A6AE8"/>
    <w:rsid w:val="006B052E"/>
    <w:rsid w:val="006B31FC"/>
    <w:rsid w:val="006B3B95"/>
    <w:rsid w:val="006B436C"/>
    <w:rsid w:val="006B457C"/>
    <w:rsid w:val="006B45E9"/>
    <w:rsid w:val="006B5200"/>
    <w:rsid w:val="006B5235"/>
    <w:rsid w:val="006B524F"/>
    <w:rsid w:val="006B5C62"/>
    <w:rsid w:val="006C2588"/>
    <w:rsid w:val="006C31A6"/>
    <w:rsid w:val="006C45EE"/>
    <w:rsid w:val="006C4A9C"/>
    <w:rsid w:val="006C582B"/>
    <w:rsid w:val="006C7690"/>
    <w:rsid w:val="006D08E7"/>
    <w:rsid w:val="006D10BD"/>
    <w:rsid w:val="006D12B3"/>
    <w:rsid w:val="006D2084"/>
    <w:rsid w:val="006D242E"/>
    <w:rsid w:val="006D2B6C"/>
    <w:rsid w:val="006D542A"/>
    <w:rsid w:val="006D5870"/>
    <w:rsid w:val="006D59B8"/>
    <w:rsid w:val="006D6D89"/>
    <w:rsid w:val="006E2D36"/>
    <w:rsid w:val="006E3495"/>
    <w:rsid w:val="006E35F7"/>
    <w:rsid w:val="006E4A12"/>
    <w:rsid w:val="006E5CA1"/>
    <w:rsid w:val="006E6194"/>
    <w:rsid w:val="006E6BA5"/>
    <w:rsid w:val="006F10EA"/>
    <w:rsid w:val="006F11BC"/>
    <w:rsid w:val="006F24F0"/>
    <w:rsid w:val="006F409F"/>
    <w:rsid w:val="006F6C26"/>
    <w:rsid w:val="006F6C77"/>
    <w:rsid w:val="006F6EA6"/>
    <w:rsid w:val="006F7A2E"/>
    <w:rsid w:val="00700F0F"/>
    <w:rsid w:val="007014B6"/>
    <w:rsid w:val="00701AC1"/>
    <w:rsid w:val="00707C25"/>
    <w:rsid w:val="00710072"/>
    <w:rsid w:val="007146AB"/>
    <w:rsid w:val="0071597F"/>
    <w:rsid w:val="0071739B"/>
    <w:rsid w:val="00721C70"/>
    <w:rsid w:val="00721F31"/>
    <w:rsid w:val="00723F37"/>
    <w:rsid w:val="00725179"/>
    <w:rsid w:val="0072589F"/>
    <w:rsid w:val="0072647F"/>
    <w:rsid w:val="007267F0"/>
    <w:rsid w:val="00730938"/>
    <w:rsid w:val="00733424"/>
    <w:rsid w:val="00733CC4"/>
    <w:rsid w:val="00734D09"/>
    <w:rsid w:val="00735631"/>
    <w:rsid w:val="007401A0"/>
    <w:rsid w:val="007403C0"/>
    <w:rsid w:val="00740FF4"/>
    <w:rsid w:val="00741384"/>
    <w:rsid w:val="00741788"/>
    <w:rsid w:val="00741A63"/>
    <w:rsid w:val="00743357"/>
    <w:rsid w:val="0074434A"/>
    <w:rsid w:val="007444DD"/>
    <w:rsid w:val="00744FCE"/>
    <w:rsid w:val="00747B1A"/>
    <w:rsid w:val="0075044A"/>
    <w:rsid w:val="00750FD0"/>
    <w:rsid w:val="00754218"/>
    <w:rsid w:val="00754C0E"/>
    <w:rsid w:val="007551E9"/>
    <w:rsid w:val="00755A58"/>
    <w:rsid w:val="00755F95"/>
    <w:rsid w:val="0075728C"/>
    <w:rsid w:val="00757440"/>
    <w:rsid w:val="0075767A"/>
    <w:rsid w:val="00757CF1"/>
    <w:rsid w:val="00760791"/>
    <w:rsid w:val="00760C4E"/>
    <w:rsid w:val="0076145B"/>
    <w:rsid w:val="00761ECF"/>
    <w:rsid w:val="007625AD"/>
    <w:rsid w:val="0076311A"/>
    <w:rsid w:val="00763D41"/>
    <w:rsid w:val="00764934"/>
    <w:rsid w:val="00764A6F"/>
    <w:rsid w:val="00765795"/>
    <w:rsid w:val="0076653B"/>
    <w:rsid w:val="00766AB1"/>
    <w:rsid w:val="00767DD1"/>
    <w:rsid w:val="007749DB"/>
    <w:rsid w:val="00775890"/>
    <w:rsid w:val="00777082"/>
    <w:rsid w:val="007770EC"/>
    <w:rsid w:val="00777B2F"/>
    <w:rsid w:val="007819DB"/>
    <w:rsid w:val="007820E0"/>
    <w:rsid w:val="0078250E"/>
    <w:rsid w:val="00783A86"/>
    <w:rsid w:val="007846CD"/>
    <w:rsid w:val="00784C00"/>
    <w:rsid w:val="00785AEA"/>
    <w:rsid w:val="00786266"/>
    <w:rsid w:val="007868C3"/>
    <w:rsid w:val="0078765D"/>
    <w:rsid w:val="007937ED"/>
    <w:rsid w:val="0079598F"/>
    <w:rsid w:val="00795EAE"/>
    <w:rsid w:val="00796921"/>
    <w:rsid w:val="00796CFC"/>
    <w:rsid w:val="0079725A"/>
    <w:rsid w:val="007A1842"/>
    <w:rsid w:val="007A1B8F"/>
    <w:rsid w:val="007A58D2"/>
    <w:rsid w:val="007A651F"/>
    <w:rsid w:val="007A7A74"/>
    <w:rsid w:val="007B0597"/>
    <w:rsid w:val="007B0B4B"/>
    <w:rsid w:val="007B2361"/>
    <w:rsid w:val="007B2403"/>
    <w:rsid w:val="007B2803"/>
    <w:rsid w:val="007B68E3"/>
    <w:rsid w:val="007B6BD7"/>
    <w:rsid w:val="007C1A88"/>
    <w:rsid w:val="007C1C42"/>
    <w:rsid w:val="007C2405"/>
    <w:rsid w:val="007C29FD"/>
    <w:rsid w:val="007C2D6B"/>
    <w:rsid w:val="007C3B59"/>
    <w:rsid w:val="007C3C08"/>
    <w:rsid w:val="007C4045"/>
    <w:rsid w:val="007C5781"/>
    <w:rsid w:val="007C5A62"/>
    <w:rsid w:val="007C6473"/>
    <w:rsid w:val="007C64AE"/>
    <w:rsid w:val="007C6675"/>
    <w:rsid w:val="007C6F1F"/>
    <w:rsid w:val="007D140B"/>
    <w:rsid w:val="007D26EC"/>
    <w:rsid w:val="007D2BF5"/>
    <w:rsid w:val="007D5572"/>
    <w:rsid w:val="007D590D"/>
    <w:rsid w:val="007D5FBC"/>
    <w:rsid w:val="007E44CF"/>
    <w:rsid w:val="007E575A"/>
    <w:rsid w:val="007F0A63"/>
    <w:rsid w:val="007F1955"/>
    <w:rsid w:val="007F4AEE"/>
    <w:rsid w:val="007F4F44"/>
    <w:rsid w:val="007F58CA"/>
    <w:rsid w:val="007F5C6F"/>
    <w:rsid w:val="007F6275"/>
    <w:rsid w:val="007F62F1"/>
    <w:rsid w:val="00800148"/>
    <w:rsid w:val="00800420"/>
    <w:rsid w:val="00800C5D"/>
    <w:rsid w:val="00802ED0"/>
    <w:rsid w:val="0080673F"/>
    <w:rsid w:val="00806A1C"/>
    <w:rsid w:val="008077D6"/>
    <w:rsid w:val="008100F6"/>
    <w:rsid w:val="00810901"/>
    <w:rsid w:val="00810967"/>
    <w:rsid w:val="00811D1B"/>
    <w:rsid w:val="00812E8B"/>
    <w:rsid w:val="0081302A"/>
    <w:rsid w:val="00814C48"/>
    <w:rsid w:val="008160D0"/>
    <w:rsid w:val="00816C7E"/>
    <w:rsid w:val="00817083"/>
    <w:rsid w:val="00820DC9"/>
    <w:rsid w:val="0082161F"/>
    <w:rsid w:val="00821B81"/>
    <w:rsid w:val="00822D14"/>
    <w:rsid w:val="008232B2"/>
    <w:rsid w:val="00823F0E"/>
    <w:rsid w:val="00823FCD"/>
    <w:rsid w:val="008248A7"/>
    <w:rsid w:val="00825724"/>
    <w:rsid w:val="008257ED"/>
    <w:rsid w:val="00825A0E"/>
    <w:rsid w:val="00825BCF"/>
    <w:rsid w:val="008263EE"/>
    <w:rsid w:val="0082726B"/>
    <w:rsid w:val="0083024E"/>
    <w:rsid w:val="00831ED0"/>
    <w:rsid w:val="00832C19"/>
    <w:rsid w:val="00833601"/>
    <w:rsid w:val="00833847"/>
    <w:rsid w:val="00833947"/>
    <w:rsid w:val="00833BF8"/>
    <w:rsid w:val="00836829"/>
    <w:rsid w:val="0084086D"/>
    <w:rsid w:val="00840A0A"/>
    <w:rsid w:val="00840ABA"/>
    <w:rsid w:val="0084152B"/>
    <w:rsid w:val="00843DF8"/>
    <w:rsid w:val="00843E12"/>
    <w:rsid w:val="00843E30"/>
    <w:rsid w:val="0084672B"/>
    <w:rsid w:val="00850C39"/>
    <w:rsid w:val="00850DDC"/>
    <w:rsid w:val="00851439"/>
    <w:rsid w:val="008516E8"/>
    <w:rsid w:val="0085330E"/>
    <w:rsid w:val="0085356D"/>
    <w:rsid w:val="008569C4"/>
    <w:rsid w:val="00857384"/>
    <w:rsid w:val="008575F3"/>
    <w:rsid w:val="00857759"/>
    <w:rsid w:val="008578AE"/>
    <w:rsid w:val="00857B57"/>
    <w:rsid w:val="00860586"/>
    <w:rsid w:val="00861C73"/>
    <w:rsid w:val="0086256E"/>
    <w:rsid w:val="008631DD"/>
    <w:rsid w:val="0086426D"/>
    <w:rsid w:val="00865244"/>
    <w:rsid w:val="00872020"/>
    <w:rsid w:val="00872320"/>
    <w:rsid w:val="00872EB4"/>
    <w:rsid w:val="00873B12"/>
    <w:rsid w:val="00874F3D"/>
    <w:rsid w:val="008754A4"/>
    <w:rsid w:val="00876842"/>
    <w:rsid w:val="008769B9"/>
    <w:rsid w:val="008775D0"/>
    <w:rsid w:val="00877C55"/>
    <w:rsid w:val="00880B0D"/>
    <w:rsid w:val="008818D7"/>
    <w:rsid w:val="00882B2A"/>
    <w:rsid w:val="0088334A"/>
    <w:rsid w:val="0088553C"/>
    <w:rsid w:val="0088611E"/>
    <w:rsid w:val="0088625E"/>
    <w:rsid w:val="00890480"/>
    <w:rsid w:val="00892863"/>
    <w:rsid w:val="00894EA6"/>
    <w:rsid w:val="00895570"/>
    <w:rsid w:val="0089570B"/>
    <w:rsid w:val="00896003"/>
    <w:rsid w:val="0089646F"/>
    <w:rsid w:val="00896604"/>
    <w:rsid w:val="00897117"/>
    <w:rsid w:val="008A1D27"/>
    <w:rsid w:val="008A3B95"/>
    <w:rsid w:val="008A45E2"/>
    <w:rsid w:val="008A4F89"/>
    <w:rsid w:val="008B039B"/>
    <w:rsid w:val="008B11E8"/>
    <w:rsid w:val="008B2A40"/>
    <w:rsid w:val="008B4029"/>
    <w:rsid w:val="008B5367"/>
    <w:rsid w:val="008B72E7"/>
    <w:rsid w:val="008C06E1"/>
    <w:rsid w:val="008C147E"/>
    <w:rsid w:val="008C1995"/>
    <w:rsid w:val="008C1E3B"/>
    <w:rsid w:val="008C21DC"/>
    <w:rsid w:val="008C27DE"/>
    <w:rsid w:val="008C2F7F"/>
    <w:rsid w:val="008C5B0F"/>
    <w:rsid w:val="008C6007"/>
    <w:rsid w:val="008D17DA"/>
    <w:rsid w:val="008D2555"/>
    <w:rsid w:val="008D29AB"/>
    <w:rsid w:val="008D4367"/>
    <w:rsid w:val="008D48E9"/>
    <w:rsid w:val="008D6938"/>
    <w:rsid w:val="008E1060"/>
    <w:rsid w:val="008E27AA"/>
    <w:rsid w:val="008E44A4"/>
    <w:rsid w:val="008E506B"/>
    <w:rsid w:val="008E5621"/>
    <w:rsid w:val="008E6DEC"/>
    <w:rsid w:val="008E7195"/>
    <w:rsid w:val="008F2826"/>
    <w:rsid w:val="008F3D6F"/>
    <w:rsid w:val="008F42A1"/>
    <w:rsid w:val="008F43F1"/>
    <w:rsid w:val="008F4D71"/>
    <w:rsid w:val="008F591F"/>
    <w:rsid w:val="008F5F43"/>
    <w:rsid w:val="008F676B"/>
    <w:rsid w:val="008F6BEA"/>
    <w:rsid w:val="008F6C3F"/>
    <w:rsid w:val="008F74D5"/>
    <w:rsid w:val="009017C4"/>
    <w:rsid w:val="009020B1"/>
    <w:rsid w:val="00902212"/>
    <w:rsid w:val="00902885"/>
    <w:rsid w:val="00910EE5"/>
    <w:rsid w:val="00911158"/>
    <w:rsid w:val="00911A9D"/>
    <w:rsid w:val="00911FC4"/>
    <w:rsid w:val="009124F2"/>
    <w:rsid w:val="00914E68"/>
    <w:rsid w:val="00917DB2"/>
    <w:rsid w:val="00920A44"/>
    <w:rsid w:val="00920B88"/>
    <w:rsid w:val="00921993"/>
    <w:rsid w:val="009241B2"/>
    <w:rsid w:val="0092560A"/>
    <w:rsid w:val="009303CA"/>
    <w:rsid w:val="0093157F"/>
    <w:rsid w:val="0093381A"/>
    <w:rsid w:val="0093414E"/>
    <w:rsid w:val="00934B52"/>
    <w:rsid w:val="00935738"/>
    <w:rsid w:val="00936069"/>
    <w:rsid w:val="009360BF"/>
    <w:rsid w:val="009376EA"/>
    <w:rsid w:val="009407F2"/>
    <w:rsid w:val="00940A6A"/>
    <w:rsid w:val="0094419D"/>
    <w:rsid w:val="009455CC"/>
    <w:rsid w:val="009477AE"/>
    <w:rsid w:val="00947835"/>
    <w:rsid w:val="00950DD1"/>
    <w:rsid w:val="00952C5C"/>
    <w:rsid w:val="00952CA0"/>
    <w:rsid w:val="00952CC8"/>
    <w:rsid w:val="009530FE"/>
    <w:rsid w:val="00953ADD"/>
    <w:rsid w:val="0095465E"/>
    <w:rsid w:val="00954B9E"/>
    <w:rsid w:val="00955785"/>
    <w:rsid w:val="00957B86"/>
    <w:rsid w:val="00960508"/>
    <w:rsid w:val="00960CF2"/>
    <w:rsid w:val="009616F3"/>
    <w:rsid w:val="0096267F"/>
    <w:rsid w:val="009627F7"/>
    <w:rsid w:val="009633BE"/>
    <w:rsid w:val="009641BC"/>
    <w:rsid w:val="00964AB0"/>
    <w:rsid w:val="009658C4"/>
    <w:rsid w:val="00965DD9"/>
    <w:rsid w:val="00966024"/>
    <w:rsid w:val="00972178"/>
    <w:rsid w:val="0097311F"/>
    <w:rsid w:val="0097392B"/>
    <w:rsid w:val="00975510"/>
    <w:rsid w:val="00975702"/>
    <w:rsid w:val="00975CAF"/>
    <w:rsid w:val="00981133"/>
    <w:rsid w:val="009829A1"/>
    <w:rsid w:val="00983769"/>
    <w:rsid w:val="00983925"/>
    <w:rsid w:val="009841C8"/>
    <w:rsid w:val="00985ECC"/>
    <w:rsid w:val="009870C8"/>
    <w:rsid w:val="009907FE"/>
    <w:rsid w:val="00991130"/>
    <w:rsid w:val="009916E6"/>
    <w:rsid w:val="009933CA"/>
    <w:rsid w:val="009942AF"/>
    <w:rsid w:val="0099447E"/>
    <w:rsid w:val="009958CC"/>
    <w:rsid w:val="009A08A8"/>
    <w:rsid w:val="009A09F7"/>
    <w:rsid w:val="009A1269"/>
    <w:rsid w:val="009A13B5"/>
    <w:rsid w:val="009A1D51"/>
    <w:rsid w:val="009A2C7D"/>
    <w:rsid w:val="009A2D58"/>
    <w:rsid w:val="009A45F8"/>
    <w:rsid w:val="009A78FD"/>
    <w:rsid w:val="009B1D13"/>
    <w:rsid w:val="009B42F1"/>
    <w:rsid w:val="009B46C1"/>
    <w:rsid w:val="009B558C"/>
    <w:rsid w:val="009B5623"/>
    <w:rsid w:val="009B651C"/>
    <w:rsid w:val="009B66EB"/>
    <w:rsid w:val="009C1433"/>
    <w:rsid w:val="009C3621"/>
    <w:rsid w:val="009C3869"/>
    <w:rsid w:val="009C3BD3"/>
    <w:rsid w:val="009C5E0E"/>
    <w:rsid w:val="009C6509"/>
    <w:rsid w:val="009D2B2E"/>
    <w:rsid w:val="009D4481"/>
    <w:rsid w:val="009D4733"/>
    <w:rsid w:val="009E0081"/>
    <w:rsid w:val="009E0D05"/>
    <w:rsid w:val="009E0EA9"/>
    <w:rsid w:val="009E1469"/>
    <w:rsid w:val="009E2562"/>
    <w:rsid w:val="009E3018"/>
    <w:rsid w:val="009E37FF"/>
    <w:rsid w:val="009E3978"/>
    <w:rsid w:val="009E41FC"/>
    <w:rsid w:val="009E6306"/>
    <w:rsid w:val="009E64D1"/>
    <w:rsid w:val="009E7636"/>
    <w:rsid w:val="009F097D"/>
    <w:rsid w:val="009F28AE"/>
    <w:rsid w:val="009F37BA"/>
    <w:rsid w:val="009F4983"/>
    <w:rsid w:val="009F610F"/>
    <w:rsid w:val="009F694C"/>
    <w:rsid w:val="00A007C7"/>
    <w:rsid w:val="00A014A5"/>
    <w:rsid w:val="00A025E0"/>
    <w:rsid w:val="00A028A8"/>
    <w:rsid w:val="00A05364"/>
    <w:rsid w:val="00A0612A"/>
    <w:rsid w:val="00A06DD2"/>
    <w:rsid w:val="00A07028"/>
    <w:rsid w:val="00A112A3"/>
    <w:rsid w:val="00A12622"/>
    <w:rsid w:val="00A142B0"/>
    <w:rsid w:val="00A158FD"/>
    <w:rsid w:val="00A16662"/>
    <w:rsid w:val="00A21435"/>
    <w:rsid w:val="00A2178F"/>
    <w:rsid w:val="00A2465F"/>
    <w:rsid w:val="00A266E2"/>
    <w:rsid w:val="00A26CC7"/>
    <w:rsid w:val="00A26FA3"/>
    <w:rsid w:val="00A30FC9"/>
    <w:rsid w:val="00A310EB"/>
    <w:rsid w:val="00A31F07"/>
    <w:rsid w:val="00A32156"/>
    <w:rsid w:val="00A34F22"/>
    <w:rsid w:val="00A3670E"/>
    <w:rsid w:val="00A40228"/>
    <w:rsid w:val="00A417DF"/>
    <w:rsid w:val="00A41B3D"/>
    <w:rsid w:val="00A41F9B"/>
    <w:rsid w:val="00A4298A"/>
    <w:rsid w:val="00A431C9"/>
    <w:rsid w:val="00A434A4"/>
    <w:rsid w:val="00A44DCF"/>
    <w:rsid w:val="00A44E8A"/>
    <w:rsid w:val="00A469B3"/>
    <w:rsid w:val="00A46DE9"/>
    <w:rsid w:val="00A50489"/>
    <w:rsid w:val="00A5115F"/>
    <w:rsid w:val="00A52752"/>
    <w:rsid w:val="00A568DB"/>
    <w:rsid w:val="00A634B5"/>
    <w:rsid w:val="00A64E4E"/>
    <w:rsid w:val="00A653CC"/>
    <w:rsid w:val="00A66F02"/>
    <w:rsid w:val="00A66FAD"/>
    <w:rsid w:val="00A67742"/>
    <w:rsid w:val="00A67FB6"/>
    <w:rsid w:val="00A71360"/>
    <w:rsid w:val="00A73004"/>
    <w:rsid w:val="00A73857"/>
    <w:rsid w:val="00A739A5"/>
    <w:rsid w:val="00A751B5"/>
    <w:rsid w:val="00A76C42"/>
    <w:rsid w:val="00A80775"/>
    <w:rsid w:val="00A80DE7"/>
    <w:rsid w:val="00A8281B"/>
    <w:rsid w:val="00A84796"/>
    <w:rsid w:val="00A8558B"/>
    <w:rsid w:val="00A8635D"/>
    <w:rsid w:val="00A86D83"/>
    <w:rsid w:val="00A8745D"/>
    <w:rsid w:val="00A87E6D"/>
    <w:rsid w:val="00A90C50"/>
    <w:rsid w:val="00A91263"/>
    <w:rsid w:val="00A917B6"/>
    <w:rsid w:val="00A91E42"/>
    <w:rsid w:val="00A9209A"/>
    <w:rsid w:val="00A921B9"/>
    <w:rsid w:val="00A92469"/>
    <w:rsid w:val="00A92D97"/>
    <w:rsid w:val="00A92F18"/>
    <w:rsid w:val="00A9500B"/>
    <w:rsid w:val="00A95EC0"/>
    <w:rsid w:val="00A96FC1"/>
    <w:rsid w:val="00A97ABE"/>
    <w:rsid w:val="00AA0900"/>
    <w:rsid w:val="00AA57E3"/>
    <w:rsid w:val="00AA590D"/>
    <w:rsid w:val="00AA6357"/>
    <w:rsid w:val="00AB1992"/>
    <w:rsid w:val="00AB2A44"/>
    <w:rsid w:val="00AB2A56"/>
    <w:rsid w:val="00AB3EE1"/>
    <w:rsid w:val="00AB3EF8"/>
    <w:rsid w:val="00AB53C2"/>
    <w:rsid w:val="00AC0C86"/>
    <w:rsid w:val="00AC2249"/>
    <w:rsid w:val="00AC32AD"/>
    <w:rsid w:val="00AC4F26"/>
    <w:rsid w:val="00AC4FB9"/>
    <w:rsid w:val="00AC57D3"/>
    <w:rsid w:val="00AC5D9D"/>
    <w:rsid w:val="00AC6352"/>
    <w:rsid w:val="00AC6F49"/>
    <w:rsid w:val="00AC70E0"/>
    <w:rsid w:val="00AC73A1"/>
    <w:rsid w:val="00AD276E"/>
    <w:rsid w:val="00AD6F9A"/>
    <w:rsid w:val="00AD70A8"/>
    <w:rsid w:val="00AE0989"/>
    <w:rsid w:val="00AE3A3D"/>
    <w:rsid w:val="00AE72E1"/>
    <w:rsid w:val="00AF0E03"/>
    <w:rsid w:val="00AF123B"/>
    <w:rsid w:val="00AF2D88"/>
    <w:rsid w:val="00AF3140"/>
    <w:rsid w:val="00AF3943"/>
    <w:rsid w:val="00B014F6"/>
    <w:rsid w:val="00B01D0F"/>
    <w:rsid w:val="00B046F6"/>
    <w:rsid w:val="00B04BDD"/>
    <w:rsid w:val="00B0530C"/>
    <w:rsid w:val="00B05334"/>
    <w:rsid w:val="00B054DF"/>
    <w:rsid w:val="00B0645D"/>
    <w:rsid w:val="00B0651B"/>
    <w:rsid w:val="00B0744D"/>
    <w:rsid w:val="00B0751B"/>
    <w:rsid w:val="00B0799A"/>
    <w:rsid w:val="00B10328"/>
    <w:rsid w:val="00B10E04"/>
    <w:rsid w:val="00B11633"/>
    <w:rsid w:val="00B11D50"/>
    <w:rsid w:val="00B12E03"/>
    <w:rsid w:val="00B12F73"/>
    <w:rsid w:val="00B1363F"/>
    <w:rsid w:val="00B13B5E"/>
    <w:rsid w:val="00B14540"/>
    <w:rsid w:val="00B1538B"/>
    <w:rsid w:val="00B158E7"/>
    <w:rsid w:val="00B15DC3"/>
    <w:rsid w:val="00B15E77"/>
    <w:rsid w:val="00B1648B"/>
    <w:rsid w:val="00B17B6E"/>
    <w:rsid w:val="00B20654"/>
    <w:rsid w:val="00B22120"/>
    <w:rsid w:val="00B2591B"/>
    <w:rsid w:val="00B2745C"/>
    <w:rsid w:val="00B27FD7"/>
    <w:rsid w:val="00B330E7"/>
    <w:rsid w:val="00B33ACB"/>
    <w:rsid w:val="00B340FE"/>
    <w:rsid w:val="00B34182"/>
    <w:rsid w:val="00B349FB"/>
    <w:rsid w:val="00B34F3E"/>
    <w:rsid w:val="00B3555D"/>
    <w:rsid w:val="00B36DE4"/>
    <w:rsid w:val="00B37474"/>
    <w:rsid w:val="00B37867"/>
    <w:rsid w:val="00B40FE3"/>
    <w:rsid w:val="00B412DF"/>
    <w:rsid w:val="00B41B3D"/>
    <w:rsid w:val="00B4377B"/>
    <w:rsid w:val="00B46601"/>
    <w:rsid w:val="00B46ED2"/>
    <w:rsid w:val="00B515F4"/>
    <w:rsid w:val="00B51BE0"/>
    <w:rsid w:val="00B56C64"/>
    <w:rsid w:val="00B56E48"/>
    <w:rsid w:val="00B57082"/>
    <w:rsid w:val="00B6076C"/>
    <w:rsid w:val="00B61B93"/>
    <w:rsid w:val="00B622EF"/>
    <w:rsid w:val="00B62F79"/>
    <w:rsid w:val="00B6395F"/>
    <w:rsid w:val="00B64A9D"/>
    <w:rsid w:val="00B65140"/>
    <w:rsid w:val="00B653B2"/>
    <w:rsid w:val="00B65DF4"/>
    <w:rsid w:val="00B66807"/>
    <w:rsid w:val="00B7031B"/>
    <w:rsid w:val="00B7280A"/>
    <w:rsid w:val="00B72C44"/>
    <w:rsid w:val="00B73290"/>
    <w:rsid w:val="00B76C3C"/>
    <w:rsid w:val="00B77F6B"/>
    <w:rsid w:val="00B82437"/>
    <w:rsid w:val="00B82517"/>
    <w:rsid w:val="00B82A2E"/>
    <w:rsid w:val="00B82F1E"/>
    <w:rsid w:val="00B8333A"/>
    <w:rsid w:val="00B83C06"/>
    <w:rsid w:val="00B87C48"/>
    <w:rsid w:val="00B9066A"/>
    <w:rsid w:val="00B92852"/>
    <w:rsid w:val="00B96D4B"/>
    <w:rsid w:val="00BA402D"/>
    <w:rsid w:val="00BA4AFF"/>
    <w:rsid w:val="00BA5ED3"/>
    <w:rsid w:val="00BA77DC"/>
    <w:rsid w:val="00BA7CDA"/>
    <w:rsid w:val="00BB31E4"/>
    <w:rsid w:val="00BB4531"/>
    <w:rsid w:val="00BB5B80"/>
    <w:rsid w:val="00BB7B6B"/>
    <w:rsid w:val="00BC0532"/>
    <w:rsid w:val="00BC0FA4"/>
    <w:rsid w:val="00BC11A4"/>
    <w:rsid w:val="00BC1A13"/>
    <w:rsid w:val="00BC32A8"/>
    <w:rsid w:val="00BC5A8E"/>
    <w:rsid w:val="00BD04C9"/>
    <w:rsid w:val="00BD52B5"/>
    <w:rsid w:val="00BD5E48"/>
    <w:rsid w:val="00BD6820"/>
    <w:rsid w:val="00BD6EBF"/>
    <w:rsid w:val="00BD7188"/>
    <w:rsid w:val="00BD75B3"/>
    <w:rsid w:val="00BE77AB"/>
    <w:rsid w:val="00BF01E2"/>
    <w:rsid w:val="00BF0E26"/>
    <w:rsid w:val="00BF115E"/>
    <w:rsid w:val="00BF17FE"/>
    <w:rsid w:val="00BF2059"/>
    <w:rsid w:val="00BF28A9"/>
    <w:rsid w:val="00BF2BA8"/>
    <w:rsid w:val="00BF4A00"/>
    <w:rsid w:val="00BF5106"/>
    <w:rsid w:val="00BF51CE"/>
    <w:rsid w:val="00BF6C75"/>
    <w:rsid w:val="00BF714E"/>
    <w:rsid w:val="00BF7ACA"/>
    <w:rsid w:val="00BF7CD7"/>
    <w:rsid w:val="00BF7DC3"/>
    <w:rsid w:val="00C01075"/>
    <w:rsid w:val="00C011B5"/>
    <w:rsid w:val="00C02848"/>
    <w:rsid w:val="00C03542"/>
    <w:rsid w:val="00C0427C"/>
    <w:rsid w:val="00C04A27"/>
    <w:rsid w:val="00C05BEC"/>
    <w:rsid w:val="00C06CA5"/>
    <w:rsid w:val="00C10F74"/>
    <w:rsid w:val="00C1102F"/>
    <w:rsid w:val="00C11F45"/>
    <w:rsid w:val="00C12AB8"/>
    <w:rsid w:val="00C14C20"/>
    <w:rsid w:val="00C169CA"/>
    <w:rsid w:val="00C16D83"/>
    <w:rsid w:val="00C170B8"/>
    <w:rsid w:val="00C1738B"/>
    <w:rsid w:val="00C207CC"/>
    <w:rsid w:val="00C212BB"/>
    <w:rsid w:val="00C213FA"/>
    <w:rsid w:val="00C2250A"/>
    <w:rsid w:val="00C22722"/>
    <w:rsid w:val="00C24BC5"/>
    <w:rsid w:val="00C26033"/>
    <w:rsid w:val="00C26DD4"/>
    <w:rsid w:val="00C27204"/>
    <w:rsid w:val="00C27C86"/>
    <w:rsid w:val="00C31603"/>
    <w:rsid w:val="00C32E7A"/>
    <w:rsid w:val="00C37312"/>
    <w:rsid w:val="00C37DBA"/>
    <w:rsid w:val="00C40CE7"/>
    <w:rsid w:val="00C46B54"/>
    <w:rsid w:val="00C46C49"/>
    <w:rsid w:val="00C472B4"/>
    <w:rsid w:val="00C50BE5"/>
    <w:rsid w:val="00C50EFC"/>
    <w:rsid w:val="00C5143A"/>
    <w:rsid w:val="00C51F78"/>
    <w:rsid w:val="00C52D0A"/>
    <w:rsid w:val="00C52D22"/>
    <w:rsid w:val="00C53399"/>
    <w:rsid w:val="00C537C8"/>
    <w:rsid w:val="00C542E5"/>
    <w:rsid w:val="00C54E51"/>
    <w:rsid w:val="00C5673D"/>
    <w:rsid w:val="00C567A7"/>
    <w:rsid w:val="00C57C32"/>
    <w:rsid w:val="00C57C9B"/>
    <w:rsid w:val="00C6004B"/>
    <w:rsid w:val="00C62B8C"/>
    <w:rsid w:val="00C6378E"/>
    <w:rsid w:val="00C63DB2"/>
    <w:rsid w:val="00C645EF"/>
    <w:rsid w:val="00C64F9B"/>
    <w:rsid w:val="00C650CD"/>
    <w:rsid w:val="00C65E34"/>
    <w:rsid w:val="00C6693C"/>
    <w:rsid w:val="00C70BA5"/>
    <w:rsid w:val="00C716EC"/>
    <w:rsid w:val="00C71868"/>
    <w:rsid w:val="00C76AC1"/>
    <w:rsid w:val="00C808EF"/>
    <w:rsid w:val="00C81E0A"/>
    <w:rsid w:val="00C823D0"/>
    <w:rsid w:val="00C8341B"/>
    <w:rsid w:val="00C83836"/>
    <w:rsid w:val="00C83D20"/>
    <w:rsid w:val="00C8630D"/>
    <w:rsid w:val="00C8656A"/>
    <w:rsid w:val="00C87969"/>
    <w:rsid w:val="00C91B4D"/>
    <w:rsid w:val="00C92FB0"/>
    <w:rsid w:val="00C932EA"/>
    <w:rsid w:val="00C93349"/>
    <w:rsid w:val="00C93963"/>
    <w:rsid w:val="00C94B57"/>
    <w:rsid w:val="00C950F1"/>
    <w:rsid w:val="00C96BE5"/>
    <w:rsid w:val="00C96CFF"/>
    <w:rsid w:val="00C97CBF"/>
    <w:rsid w:val="00CA0878"/>
    <w:rsid w:val="00CA09A0"/>
    <w:rsid w:val="00CA260C"/>
    <w:rsid w:val="00CA3288"/>
    <w:rsid w:val="00CA61EF"/>
    <w:rsid w:val="00CA6650"/>
    <w:rsid w:val="00CA7152"/>
    <w:rsid w:val="00CB190D"/>
    <w:rsid w:val="00CB1A0C"/>
    <w:rsid w:val="00CB27BE"/>
    <w:rsid w:val="00CB2DF3"/>
    <w:rsid w:val="00CB3BC9"/>
    <w:rsid w:val="00CB5156"/>
    <w:rsid w:val="00CB59F4"/>
    <w:rsid w:val="00CB6404"/>
    <w:rsid w:val="00CC1C96"/>
    <w:rsid w:val="00CC23D9"/>
    <w:rsid w:val="00CC357E"/>
    <w:rsid w:val="00CC429F"/>
    <w:rsid w:val="00CC799F"/>
    <w:rsid w:val="00CD00D6"/>
    <w:rsid w:val="00CD00E8"/>
    <w:rsid w:val="00CD1069"/>
    <w:rsid w:val="00CD199B"/>
    <w:rsid w:val="00CD3ACE"/>
    <w:rsid w:val="00CD41EE"/>
    <w:rsid w:val="00CD5143"/>
    <w:rsid w:val="00CD5158"/>
    <w:rsid w:val="00CD697E"/>
    <w:rsid w:val="00CD7335"/>
    <w:rsid w:val="00CE2430"/>
    <w:rsid w:val="00CE2B96"/>
    <w:rsid w:val="00CE37EA"/>
    <w:rsid w:val="00CE4039"/>
    <w:rsid w:val="00CE54FC"/>
    <w:rsid w:val="00CE6338"/>
    <w:rsid w:val="00CE6BCB"/>
    <w:rsid w:val="00CE70CA"/>
    <w:rsid w:val="00CF19EF"/>
    <w:rsid w:val="00CF236B"/>
    <w:rsid w:val="00CF45BA"/>
    <w:rsid w:val="00CF50E3"/>
    <w:rsid w:val="00CF6AF3"/>
    <w:rsid w:val="00CF7E6A"/>
    <w:rsid w:val="00D0020C"/>
    <w:rsid w:val="00D03247"/>
    <w:rsid w:val="00D038D0"/>
    <w:rsid w:val="00D06438"/>
    <w:rsid w:val="00D07A3D"/>
    <w:rsid w:val="00D10932"/>
    <w:rsid w:val="00D12AB1"/>
    <w:rsid w:val="00D17085"/>
    <w:rsid w:val="00D17858"/>
    <w:rsid w:val="00D20BEB"/>
    <w:rsid w:val="00D21F7C"/>
    <w:rsid w:val="00D22640"/>
    <w:rsid w:val="00D2358F"/>
    <w:rsid w:val="00D241A0"/>
    <w:rsid w:val="00D25574"/>
    <w:rsid w:val="00D25A2D"/>
    <w:rsid w:val="00D26526"/>
    <w:rsid w:val="00D27618"/>
    <w:rsid w:val="00D27D17"/>
    <w:rsid w:val="00D3046D"/>
    <w:rsid w:val="00D310EE"/>
    <w:rsid w:val="00D31F33"/>
    <w:rsid w:val="00D32EB7"/>
    <w:rsid w:val="00D34646"/>
    <w:rsid w:val="00D35BE2"/>
    <w:rsid w:val="00D4180C"/>
    <w:rsid w:val="00D41D9D"/>
    <w:rsid w:val="00D41DD2"/>
    <w:rsid w:val="00D41ECC"/>
    <w:rsid w:val="00D4207F"/>
    <w:rsid w:val="00D43799"/>
    <w:rsid w:val="00D43DB3"/>
    <w:rsid w:val="00D47098"/>
    <w:rsid w:val="00D477C7"/>
    <w:rsid w:val="00D52701"/>
    <w:rsid w:val="00D528F8"/>
    <w:rsid w:val="00D52E6E"/>
    <w:rsid w:val="00D55425"/>
    <w:rsid w:val="00D56203"/>
    <w:rsid w:val="00D566D8"/>
    <w:rsid w:val="00D56EDA"/>
    <w:rsid w:val="00D60060"/>
    <w:rsid w:val="00D605F3"/>
    <w:rsid w:val="00D61489"/>
    <w:rsid w:val="00D66176"/>
    <w:rsid w:val="00D66C64"/>
    <w:rsid w:val="00D70EAA"/>
    <w:rsid w:val="00D735B7"/>
    <w:rsid w:val="00D74CA2"/>
    <w:rsid w:val="00D75A9F"/>
    <w:rsid w:val="00D766C9"/>
    <w:rsid w:val="00D7742A"/>
    <w:rsid w:val="00D8013D"/>
    <w:rsid w:val="00D82C63"/>
    <w:rsid w:val="00D84E35"/>
    <w:rsid w:val="00D8535B"/>
    <w:rsid w:val="00D9207B"/>
    <w:rsid w:val="00D922CB"/>
    <w:rsid w:val="00D9285F"/>
    <w:rsid w:val="00D93D50"/>
    <w:rsid w:val="00D94F59"/>
    <w:rsid w:val="00D95313"/>
    <w:rsid w:val="00D95BB3"/>
    <w:rsid w:val="00D95BD1"/>
    <w:rsid w:val="00D966D6"/>
    <w:rsid w:val="00D96ADF"/>
    <w:rsid w:val="00D96EC5"/>
    <w:rsid w:val="00D97401"/>
    <w:rsid w:val="00D97FBE"/>
    <w:rsid w:val="00DA021E"/>
    <w:rsid w:val="00DA0A57"/>
    <w:rsid w:val="00DA1417"/>
    <w:rsid w:val="00DA1FC9"/>
    <w:rsid w:val="00DA69A8"/>
    <w:rsid w:val="00DB0072"/>
    <w:rsid w:val="00DB1DF1"/>
    <w:rsid w:val="00DB36C6"/>
    <w:rsid w:val="00DB4EBB"/>
    <w:rsid w:val="00DB50EC"/>
    <w:rsid w:val="00DB7362"/>
    <w:rsid w:val="00DB7626"/>
    <w:rsid w:val="00DC0C05"/>
    <w:rsid w:val="00DC15D7"/>
    <w:rsid w:val="00DC1DA2"/>
    <w:rsid w:val="00DC1E0A"/>
    <w:rsid w:val="00DC34EF"/>
    <w:rsid w:val="00DC35C8"/>
    <w:rsid w:val="00DC3ABA"/>
    <w:rsid w:val="00DC3C86"/>
    <w:rsid w:val="00DC4893"/>
    <w:rsid w:val="00DC72BF"/>
    <w:rsid w:val="00DC7421"/>
    <w:rsid w:val="00DD1328"/>
    <w:rsid w:val="00DD2F16"/>
    <w:rsid w:val="00DD3173"/>
    <w:rsid w:val="00DD3180"/>
    <w:rsid w:val="00DD464C"/>
    <w:rsid w:val="00DD4841"/>
    <w:rsid w:val="00DD50EC"/>
    <w:rsid w:val="00DD53E7"/>
    <w:rsid w:val="00DD581A"/>
    <w:rsid w:val="00DD6216"/>
    <w:rsid w:val="00DD733E"/>
    <w:rsid w:val="00DE03A2"/>
    <w:rsid w:val="00DE08F1"/>
    <w:rsid w:val="00DE0D04"/>
    <w:rsid w:val="00DE1C55"/>
    <w:rsid w:val="00DE223E"/>
    <w:rsid w:val="00DE2351"/>
    <w:rsid w:val="00DE2E98"/>
    <w:rsid w:val="00DE31D7"/>
    <w:rsid w:val="00DE3384"/>
    <w:rsid w:val="00DE3D0D"/>
    <w:rsid w:val="00DE416F"/>
    <w:rsid w:val="00DE554C"/>
    <w:rsid w:val="00DE62DF"/>
    <w:rsid w:val="00DE71EE"/>
    <w:rsid w:val="00DF2BA3"/>
    <w:rsid w:val="00DF3C2C"/>
    <w:rsid w:val="00DF40A9"/>
    <w:rsid w:val="00DF44BB"/>
    <w:rsid w:val="00DF47D9"/>
    <w:rsid w:val="00DF4B5F"/>
    <w:rsid w:val="00DF621E"/>
    <w:rsid w:val="00DF684C"/>
    <w:rsid w:val="00DF6D1B"/>
    <w:rsid w:val="00DF7191"/>
    <w:rsid w:val="00DF7BDD"/>
    <w:rsid w:val="00E00EC9"/>
    <w:rsid w:val="00E03623"/>
    <w:rsid w:val="00E043E9"/>
    <w:rsid w:val="00E051F8"/>
    <w:rsid w:val="00E052D4"/>
    <w:rsid w:val="00E064CB"/>
    <w:rsid w:val="00E074BD"/>
    <w:rsid w:val="00E11219"/>
    <w:rsid w:val="00E12990"/>
    <w:rsid w:val="00E13088"/>
    <w:rsid w:val="00E137AC"/>
    <w:rsid w:val="00E14597"/>
    <w:rsid w:val="00E14A30"/>
    <w:rsid w:val="00E14ACA"/>
    <w:rsid w:val="00E2035F"/>
    <w:rsid w:val="00E22886"/>
    <w:rsid w:val="00E22B65"/>
    <w:rsid w:val="00E235CD"/>
    <w:rsid w:val="00E23D85"/>
    <w:rsid w:val="00E242C9"/>
    <w:rsid w:val="00E24E91"/>
    <w:rsid w:val="00E25BF4"/>
    <w:rsid w:val="00E26D65"/>
    <w:rsid w:val="00E276C2"/>
    <w:rsid w:val="00E30493"/>
    <w:rsid w:val="00E316BE"/>
    <w:rsid w:val="00E318F0"/>
    <w:rsid w:val="00E32E9D"/>
    <w:rsid w:val="00E35143"/>
    <w:rsid w:val="00E3627C"/>
    <w:rsid w:val="00E37737"/>
    <w:rsid w:val="00E40852"/>
    <w:rsid w:val="00E44A55"/>
    <w:rsid w:val="00E45912"/>
    <w:rsid w:val="00E46DD8"/>
    <w:rsid w:val="00E47B6B"/>
    <w:rsid w:val="00E50183"/>
    <w:rsid w:val="00E5095C"/>
    <w:rsid w:val="00E51241"/>
    <w:rsid w:val="00E52003"/>
    <w:rsid w:val="00E53313"/>
    <w:rsid w:val="00E53B00"/>
    <w:rsid w:val="00E5539A"/>
    <w:rsid w:val="00E563CC"/>
    <w:rsid w:val="00E56445"/>
    <w:rsid w:val="00E56AF7"/>
    <w:rsid w:val="00E6064A"/>
    <w:rsid w:val="00E624DC"/>
    <w:rsid w:val="00E63CDE"/>
    <w:rsid w:val="00E652F9"/>
    <w:rsid w:val="00E66C3D"/>
    <w:rsid w:val="00E70E5A"/>
    <w:rsid w:val="00E714B9"/>
    <w:rsid w:val="00E717D3"/>
    <w:rsid w:val="00E72320"/>
    <w:rsid w:val="00E72EDA"/>
    <w:rsid w:val="00E752F8"/>
    <w:rsid w:val="00E75577"/>
    <w:rsid w:val="00E76DC4"/>
    <w:rsid w:val="00E77A01"/>
    <w:rsid w:val="00E800C8"/>
    <w:rsid w:val="00E804F6"/>
    <w:rsid w:val="00E81130"/>
    <w:rsid w:val="00E8150B"/>
    <w:rsid w:val="00E833C7"/>
    <w:rsid w:val="00E848C4"/>
    <w:rsid w:val="00E848C9"/>
    <w:rsid w:val="00E86B6E"/>
    <w:rsid w:val="00E906E3"/>
    <w:rsid w:val="00E9135F"/>
    <w:rsid w:val="00E91707"/>
    <w:rsid w:val="00E92D01"/>
    <w:rsid w:val="00E942EC"/>
    <w:rsid w:val="00E94ABD"/>
    <w:rsid w:val="00E94CB6"/>
    <w:rsid w:val="00E94E6B"/>
    <w:rsid w:val="00E94EFA"/>
    <w:rsid w:val="00E95569"/>
    <w:rsid w:val="00E96268"/>
    <w:rsid w:val="00E96376"/>
    <w:rsid w:val="00E96BBE"/>
    <w:rsid w:val="00E97723"/>
    <w:rsid w:val="00EA15AC"/>
    <w:rsid w:val="00EA222E"/>
    <w:rsid w:val="00EA3BF5"/>
    <w:rsid w:val="00EA6723"/>
    <w:rsid w:val="00EA730D"/>
    <w:rsid w:val="00EB0EDA"/>
    <w:rsid w:val="00EB1303"/>
    <w:rsid w:val="00EB3101"/>
    <w:rsid w:val="00EB3B63"/>
    <w:rsid w:val="00EB3B9F"/>
    <w:rsid w:val="00EB628B"/>
    <w:rsid w:val="00EC06CE"/>
    <w:rsid w:val="00EC204F"/>
    <w:rsid w:val="00EC2EA5"/>
    <w:rsid w:val="00EC3671"/>
    <w:rsid w:val="00EC3712"/>
    <w:rsid w:val="00EC4751"/>
    <w:rsid w:val="00EC4BC1"/>
    <w:rsid w:val="00ED0CD1"/>
    <w:rsid w:val="00ED272B"/>
    <w:rsid w:val="00ED47E6"/>
    <w:rsid w:val="00ED610D"/>
    <w:rsid w:val="00EE1169"/>
    <w:rsid w:val="00EE25ED"/>
    <w:rsid w:val="00EE2F3F"/>
    <w:rsid w:val="00EE32B1"/>
    <w:rsid w:val="00EE343B"/>
    <w:rsid w:val="00EE3ABC"/>
    <w:rsid w:val="00EE3DD2"/>
    <w:rsid w:val="00EE3DF6"/>
    <w:rsid w:val="00EE4683"/>
    <w:rsid w:val="00EE5EE0"/>
    <w:rsid w:val="00EE77E8"/>
    <w:rsid w:val="00EF2EEC"/>
    <w:rsid w:val="00EF3937"/>
    <w:rsid w:val="00EF4C3F"/>
    <w:rsid w:val="00EF4DB4"/>
    <w:rsid w:val="00EF573B"/>
    <w:rsid w:val="00EF5F76"/>
    <w:rsid w:val="00EF67EF"/>
    <w:rsid w:val="00EF76BE"/>
    <w:rsid w:val="00EF7958"/>
    <w:rsid w:val="00F0132D"/>
    <w:rsid w:val="00F02087"/>
    <w:rsid w:val="00F02472"/>
    <w:rsid w:val="00F0257F"/>
    <w:rsid w:val="00F02716"/>
    <w:rsid w:val="00F038F1"/>
    <w:rsid w:val="00F03C3E"/>
    <w:rsid w:val="00F10DAB"/>
    <w:rsid w:val="00F1114B"/>
    <w:rsid w:val="00F113BD"/>
    <w:rsid w:val="00F125A5"/>
    <w:rsid w:val="00F12795"/>
    <w:rsid w:val="00F12856"/>
    <w:rsid w:val="00F137AB"/>
    <w:rsid w:val="00F13A8F"/>
    <w:rsid w:val="00F1471A"/>
    <w:rsid w:val="00F154D0"/>
    <w:rsid w:val="00F16528"/>
    <w:rsid w:val="00F17BF7"/>
    <w:rsid w:val="00F17CBE"/>
    <w:rsid w:val="00F208CB"/>
    <w:rsid w:val="00F21414"/>
    <w:rsid w:val="00F22300"/>
    <w:rsid w:val="00F23976"/>
    <w:rsid w:val="00F23AF2"/>
    <w:rsid w:val="00F243B7"/>
    <w:rsid w:val="00F257C7"/>
    <w:rsid w:val="00F26DAB"/>
    <w:rsid w:val="00F27624"/>
    <w:rsid w:val="00F302BF"/>
    <w:rsid w:val="00F30BD5"/>
    <w:rsid w:val="00F32105"/>
    <w:rsid w:val="00F32ACC"/>
    <w:rsid w:val="00F3395D"/>
    <w:rsid w:val="00F4075A"/>
    <w:rsid w:val="00F42107"/>
    <w:rsid w:val="00F43BE7"/>
    <w:rsid w:val="00F43F1F"/>
    <w:rsid w:val="00F43F80"/>
    <w:rsid w:val="00F452AC"/>
    <w:rsid w:val="00F47574"/>
    <w:rsid w:val="00F47B97"/>
    <w:rsid w:val="00F50A03"/>
    <w:rsid w:val="00F51EF9"/>
    <w:rsid w:val="00F52CD9"/>
    <w:rsid w:val="00F52D92"/>
    <w:rsid w:val="00F539F3"/>
    <w:rsid w:val="00F53A38"/>
    <w:rsid w:val="00F54DCE"/>
    <w:rsid w:val="00F563E6"/>
    <w:rsid w:val="00F57E04"/>
    <w:rsid w:val="00F601FD"/>
    <w:rsid w:val="00F60D7A"/>
    <w:rsid w:val="00F61969"/>
    <w:rsid w:val="00F61F0B"/>
    <w:rsid w:val="00F645B7"/>
    <w:rsid w:val="00F65CEA"/>
    <w:rsid w:val="00F673FF"/>
    <w:rsid w:val="00F702E9"/>
    <w:rsid w:val="00F70469"/>
    <w:rsid w:val="00F70A85"/>
    <w:rsid w:val="00F710C3"/>
    <w:rsid w:val="00F71D75"/>
    <w:rsid w:val="00F72600"/>
    <w:rsid w:val="00F731A8"/>
    <w:rsid w:val="00F7364C"/>
    <w:rsid w:val="00F736DB"/>
    <w:rsid w:val="00F73CF5"/>
    <w:rsid w:val="00F74AC9"/>
    <w:rsid w:val="00F755BB"/>
    <w:rsid w:val="00F75740"/>
    <w:rsid w:val="00F76B94"/>
    <w:rsid w:val="00F76CE3"/>
    <w:rsid w:val="00F77CF7"/>
    <w:rsid w:val="00F77DD9"/>
    <w:rsid w:val="00F8099B"/>
    <w:rsid w:val="00F80FCB"/>
    <w:rsid w:val="00F81443"/>
    <w:rsid w:val="00F81C08"/>
    <w:rsid w:val="00F84805"/>
    <w:rsid w:val="00F84EC5"/>
    <w:rsid w:val="00F86FE9"/>
    <w:rsid w:val="00F93290"/>
    <w:rsid w:val="00F93C8C"/>
    <w:rsid w:val="00F94D20"/>
    <w:rsid w:val="00F95CBB"/>
    <w:rsid w:val="00F96C00"/>
    <w:rsid w:val="00FA0BA9"/>
    <w:rsid w:val="00FA19F9"/>
    <w:rsid w:val="00FA1F74"/>
    <w:rsid w:val="00FA3091"/>
    <w:rsid w:val="00FA3B93"/>
    <w:rsid w:val="00FA3CF4"/>
    <w:rsid w:val="00FA3D2D"/>
    <w:rsid w:val="00FA4370"/>
    <w:rsid w:val="00FA653A"/>
    <w:rsid w:val="00FA75C3"/>
    <w:rsid w:val="00FB1EF3"/>
    <w:rsid w:val="00FB3C35"/>
    <w:rsid w:val="00FB4D5A"/>
    <w:rsid w:val="00FB530F"/>
    <w:rsid w:val="00FB6170"/>
    <w:rsid w:val="00FB774A"/>
    <w:rsid w:val="00FC090F"/>
    <w:rsid w:val="00FC11E0"/>
    <w:rsid w:val="00FC3061"/>
    <w:rsid w:val="00FC3ABF"/>
    <w:rsid w:val="00FC3D18"/>
    <w:rsid w:val="00FC3EE8"/>
    <w:rsid w:val="00FC572A"/>
    <w:rsid w:val="00FD0816"/>
    <w:rsid w:val="00FD10B9"/>
    <w:rsid w:val="00FD2DB5"/>
    <w:rsid w:val="00FD48F4"/>
    <w:rsid w:val="00FD549C"/>
    <w:rsid w:val="00FD6BE7"/>
    <w:rsid w:val="00FD71D6"/>
    <w:rsid w:val="00FD7E82"/>
    <w:rsid w:val="00FE0088"/>
    <w:rsid w:val="00FE07B3"/>
    <w:rsid w:val="00FE127C"/>
    <w:rsid w:val="00FE14D2"/>
    <w:rsid w:val="00FE1E94"/>
    <w:rsid w:val="00FE2285"/>
    <w:rsid w:val="00FE334C"/>
    <w:rsid w:val="00FE5FF9"/>
    <w:rsid w:val="00FE6A6E"/>
    <w:rsid w:val="00FF03D6"/>
    <w:rsid w:val="00FF0C66"/>
    <w:rsid w:val="00FF3090"/>
    <w:rsid w:val="00FF3862"/>
    <w:rsid w:val="00FF3982"/>
    <w:rsid w:val="00FF3A90"/>
    <w:rsid w:val="00FF3E3D"/>
    <w:rsid w:val="00FF4524"/>
    <w:rsid w:val="00FF6047"/>
    <w:rsid w:val="00FF65FA"/>
    <w:rsid w:val="00FF670A"/>
    <w:rsid w:val="00FF7C7C"/>
    <w:rsid w:val="01177867"/>
    <w:rsid w:val="012E0F14"/>
    <w:rsid w:val="01644601"/>
    <w:rsid w:val="016A2104"/>
    <w:rsid w:val="0190296A"/>
    <w:rsid w:val="01A52A28"/>
    <w:rsid w:val="02266343"/>
    <w:rsid w:val="02377679"/>
    <w:rsid w:val="0246415E"/>
    <w:rsid w:val="029B505E"/>
    <w:rsid w:val="02AD07F0"/>
    <w:rsid w:val="02C82051"/>
    <w:rsid w:val="030E22EA"/>
    <w:rsid w:val="03296980"/>
    <w:rsid w:val="0355431C"/>
    <w:rsid w:val="035B45E9"/>
    <w:rsid w:val="035D243E"/>
    <w:rsid w:val="03620C27"/>
    <w:rsid w:val="03683554"/>
    <w:rsid w:val="03700794"/>
    <w:rsid w:val="03795819"/>
    <w:rsid w:val="039B3E68"/>
    <w:rsid w:val="03AB5AAA"/>
    <w:rsid w:val="03D07B20"/>
    <w:rsid w:val="03D66F53"/>
    <w:rsid w:val="03D87680"/>
    <w:rsid w:val="04001560"/>
    <w:rsid w:val="040E238A"/>
    <w:rsid w:val="04163F26"/>
    <w:rsid w:val="041C734A"/>
    <w:rsid w:val="042332EE"/>
    <w:rsid w:val="04292F0C"/>
    <w:rsid w:val="04686261"/>
    <w:rsid w:val="046966E9"/>
    <w:rsid w:val="04922745"/>
    <w:rsid w:val="049317A0"/>
    <w:rsid w:val="04963DB2"/>
    <w:rsid w:val="04AA03DD"/>
    <w:rsid w:val="04E41A58"/>
    <w:rsid w:val="04F36717"/>
    <w:rsid w:val="054E5035"/>
    <w:rsid w:val="054F0CFB"/>
    <w:rsid w:val="05784BC2"/>
    <w:rsid w:val="057F398B"/>
    <w:rsid w:val="061B6FE1"/>
    <w:rsid w:val="0638093B"/>
    <w:rsid w:val="0651283A"/>
    <w:rsid w:val="06563B49"/>
    <w:rsid w:val="068C0C6D"/>
    <w:rsid w:val="0691140A"/>
    <w:rsid w:val="069E763C"/>
    <w:rsid w:val="07282E75"/>
    <w:rsid w:val="077E11FB"/>
    <w:rsid w:val="07B07E06"/>
    <w:rsid w:val="08796893"/>
    <w:rsid w:val="08A4471C"/>
    <w:rsid w:val="08A673FB"/>
    <w:rsid w:val="08EC219B"/>
    <w:rsid w:val="08F43160"/>
    <w:rsid w:val="09001F8E"/>
    <w:rsid w:val="090B1680"/>
    <w:rsid w:val="094A461D"/>
    <w:rsid w:val="096266BD"/>
    <w:rsid w:val="097B7667"/>
    <w:rsid w:val="09CF503B"/>
    <w:rsid w:val="09D258FF"/>
    <w:rsid w:val="09EA509B"/>
    <w:rsid w:val="0A1614AD"/>
    <w:rsid w:val="0A462BA1"/>
    <w:rsid w:val="0A5C266E"/>
    <w:rsid w:val="0A76101E"/>
    <w:rsid w:val="0A94485F"/>
    <w:rsid w:val="0B2422A0"/>
    <w:rsid w:val="0B4A60C4"/>
    <w:rsid w:val="0B503940"/>
    <w:rsid w:val="0B6A73E7"/>
    <w:rsid w:val="0B74074B"/>
    <w:rsid w:val="0B7F4417"/>
    <w:rsid w:val="0B8931AA"/>
    <w:rsid w:val="0BAA3312"/>
    <w:rsid w:val="0BE1223C"/>
    <w:rsid w:val="0C007D31"/>
    <w:rsid w:val="0C2C63D0"/>
    <w:rsid w:val="0C3816BD"/>
    <w:rsid w:val="0C3A3C24"/>
    <w:rsid w:val="0C6C7DE8"/>
    <w:rsid w:val="0C8642DB"/>
    <w:rsid w:val="0C8B09D2"/>
    <w:rsid w:val="0C9B0F16"/>
    <w:rsid w:val="0C9D16F9"/>
    <w:rsid w:val="0CA6739A"/>
    <w:rsid w:val="0CAB6BD8"/>
    <w:rsid w:val="0CAD1CF2"/>
    <w:rsid w:val="0CC22C78"/>
    <w:rsid w:val="0CE532AB"/>
    <w:rsid w:val="0CE9099A"/>
    <w:rsid w:val="0CF03FCB"/>
    <w:rsid w:val="0D072E2C"/>
    <w:rsid w:val="0D157D4C"/>
    <w:rsid w:val="0D1A5559"/>
    <w:rsid w:val="0D462CC9"/>
    <w:rsid w:val="0D4E7367"/>
    <w:rsid w:val="0D67324F"/>
    <w:rsid w:val="0D82184B"/>
    <w:rsid w:val="0DCF1AF1"/>
    <w:rsid w:val="0DF01645"/>
    <w:rsid w:val="0E014C75"/>
    <w:rsid w:val="0E0C0F02"/>
    <w:rsid w:val="0E1033C5"/>
    <w:rsid w:val="0E3F1E19"/>
    <w:rsid w:val="0E492600"/>
    <w:rsid w:val="0EA212EA"/>
    <w:rsid w:val="0ECC7800"/>
    <w:rsid w:val="0ED01004"/>
    <w:rsid w:val="0F2F26EA"/>
    <w:rsid w:val="0F335444"/>
    <w:rsid w:val="0F537CBE"/>
    <w:rsid w:val="0FDD63FA"/>
    <w:rsid w:val="0FF32A88"/>
    <w:rsid w:val="103A0FDA"/>
    <w:rsid w:val="106521C8"/>
    <w:rsid w:val="106A5A3A"/>
    <w:rsid w:val="1079010B"/>
    <w:rsid w:val="108E1744"/>
    <w:rsid w:val="10D40027"/>
    <w:rsid w:val="10EB64C1"/>
    <w:rsid w:val="10F17616"/>
    <w:rsid w:val="1135356A"/>
    <w:rsid w:val="113963C5"/>
    <w:rsid w:val="11482BEB"/>
    <w:rsid w:val="116B135E"/>
    <w:rsid w:val="11CC5F0B"/>
    <w:rsid w:val="11E30772"/>
    <w:rsid w:val="11E96682"/>
    <w:rsid w:val="11F2343F"/>
    <w:rsid w:val="11FB46D0"/>
    <w:rsid w:val="122E74F3"/>
    <w:rsid w:val="12536F5D"/>
    <w:rsid w:val="12734D99"/>
    <w:rsid w:val="12911185"/>
    <w:rsid w:val="12B25787"/>
    <w:rsid w:val="12CC2427"/>
    <w:rsid w:val="12E632FA"/>
    <w:rsid w:val="12EC1B43"/>
    <w:rsid w:val="12ED26E9"/>
    <w:rsid w:val="132F112B"/>
    <w:rsid w:val="13387835"/>
    <w:rsid w:val="134646CE"/>
    <w:rsid w:val="136C1089"/>
    <w:rsid w:val="13950927"/>
    <w:rsid w:val="139E24C1"/>
    <w:rsid w:val="13DF427E"/>
    <w:rsid w:val="13FF5EAF"/>
    <w:rsid w:val="14043B58"/>
    <w:rsid w:val="14153363"/>
    <w:rsid w:val="143E7253"/>
    <w:rsid w:val="14633BFB"/>
    <w:rsid w:val="1478152A"/>
    <w:rsid w:val="14824F25"/>
    <w:rsid w:val="149E70D2"/>
    <w:rsid w:val="14B81BA3"/>
    <w:rsid w:val="14E54F2D"/>
    <w:rsid w:val="15243099"/>
    <w:rsid w:val="1532791F"/>
    <w:rsid w:val="156263EB"/>
    <w:rsid w:val="15835BB1"/>
    <w:rsid w:val="15927B34"/>
    <w:rsid w:val="15BF5701"/>
    <w:rsid w:val="15D8675C"/>
    <w:rsid w:val="16452D0F"/>
    <w:rsid w:val="16722D77"/>
    <w:rsid w:val="16B5012E"/>
    <w:rsid w:val="16B56398"/>
    <w:rsid w:val="16E42DD8"/>
    <w:rsid w:val="17103DEC"/>
    <w:rsid w:val="173A40AC"/>
    <w:rsid w:val="173B542A"/>
    <w:rsid w:val="174228B7"/>
    <w:rsid w:val="1746646F"/>
    <w:rsid w:val="175724DC"/>
    <w:rsid w:val="17601E1C"/>
    <w:rsid w:val="17690A74"/>
    <w:rsid w:val="179219A2"/>
    <w:rsid w:val="17DB2503"/>
    <w:rsid w:val="17DD1D7B"/>
    <w:rsid w:val="17EF1E1A"/>
    <w:rsid w:val="182059B9"/>
    <w:rsid w:val="184E148B"/>
    <w:rsid w:val="1856643F"/>
    <w:rsid w:val="18730E04"/>
    <w:rsid w:val="18996F82"/>
    <w:rsid w:val="18E9729F"/>
    <w:rsid w:val="194B3803"/>
    <w:rsid w:val="197B1E0B"/>
    <w:rsid w:val="19937771"/>
    <w:rsid w:val="19B35529"/>
    <w:rsid w:val="19BE0C41"/>
    <w:rsid w:val="19DB7F6F"/>
    <w:rsid w:val="1A1A7352"/>
    <w:rsid w:val="1A923EE4"/>
    <w:rsid w:val="1A9701EA"/>
    <w:rsid w:val="1AE977A5"/>
    <w:rsid w:val="1AEC79EF"/>
    <w:rsid w:val="1AF31EF5"/>
    <w:rsid w:val="1B124CF4"/>
    <w:rsid w:val="1B465706"/>
    <w:rsid w:val="1B813692"/>
    <w:rsid w:val="1B86392E"/>
    <w:rsid w:val="1BAD4533"/>
    <w:rsid w:val="1C060D73"/>
    <w:rsid w:val="1C202974"/>
    <w:rsid w:val="1C245F85"/>
    <w:rsid w:val="1C996846"/>
    <w:rsid w:val="1CA56F4E"/>
    <w:rsid w:val="1CAA3160"/>
    <w:rsid w:val="1CB427B1"/>
    <w:rsid w:val="1CD5779D"/>
    <w:rsid w:val="1D174FCB"/>
    <w:rsid w:val="1D2A5D39"/>
    <w:rsid w:val="1D5D1F5A"/>
    <w:rsid w:val="1D63115F"/>
    <w:rsid w:val="1DC224B0"/>
    <w:rsid w:val="1E3F7BD2"/>
    <w:rsid w:val="1E733B1A"/>
    <w:rsid w:val="1EA70FFC"/>
    <w:rsid w:val="1EC90246"/>
    <w:rsid w:val="1EDB2F22"/>
    <w:rsid w:val="1EDD056A"/>
    <w:rsid w:val="1F262F8F"/>
    <w:rsid w:val="1F55795C"/>
    <w:rsid w:val="1FB07C6E"/>
    <w:rsid w:val="1FCF45D1"/>
    <w:rsid w:val="1FEB0E54"/>
    <w:rsid w:val="20132772"/>
    <w:rsid w:val="20162713"/>
    <w:rsid w:val="20184E16"/>
    <w:rsid w:val="20440072"/>
    <w:rsid w:val="20567F4D"/>
    <w:rsid w:val="205E5A96"/>
    <w:rsid w:val="20610B1B"/>
    <w:rsid w:val="20A65302"/>
    <w:rsid w:val="20B80990"/>
    <w:rsid w:val="20E04E50"/>
    <w:rsid w:val="20E7302A"/>
    <w:rsid w:val="2108176E"/>
    <w:rsid w:val="2147668D"/>
    <w:rsid w:val="215C136E"/>
    <w:rsid w:val="217E7F73"/>
    <w:rsid w:val="21853118"/>
    <w:rsid w:val="21B255ED"/>
    <w:rsid w:val="21D33CE6"/>
    <w:rsid w:val="22851EE6"/>
    <w:rsid w:val="2292209A"/>
    <w:rsid w:val="22AE4003"/>
    <w:rsid w:val="22C27A40"/>
    <w:rsid w:val="22CE7F6D"/>
    <w:rsid w:val="23443FA0"/>
    <w:rsid w:val="241C045B"/>
    <w:rsid w:val="244F7B57"/>
    <w:rsid w:val="24694C0B"/>
    <w:rsid w:val="24CF427F"/>
    <w:rsid w:val="24D14B04"/>
    <w:rsid w:val="252315CF"/>
    <w:rsid w:val="25BF266F"/>
    <w:rsid w:val="25D26321"/>
    <w:rsid w:val="26026A20"/>
    <w:rsid w:val="261809EB"/>
    <w:rsid w:val="26254559"/>
    <w:rsid w:val="262C7032"/>
    <w:rsid w:val="26362F28"/>
    <w:rsid w:val="269F40D7"/>
    <w:rsid w:val="26CC4B97"/>
    <w:rsid w:val="26E07CDA"/>
    <w:rsid w:val="26E4387D"/>
    <w:rsid w:val="270D648B"/>
    <w:rsid w:val="270F6050"/>
    <w:rsid w:val="271717BE"/>
    <w:rsid w:val="271D3C2A"/>
    <w:rsid w:val="273A0804"/>
    <w:rsid w:val="27511BAE"/>
    <w:rsid w:val="2753050D"/>
    <w:rsid w:val="276176AC"/>
    <w:rsid w:val="27815370"/>
    <w:rsid w:val="27817E19"/>
    <w:rsid w:val="279A014A"/>
    <w:rsid w:val="279D2BBC"/>
    <w:rsid w:val="27AD68DE"/>
    <w:rsid w:val="27CD1432"/>
    <w:rsid w:val="27CE5EB2"/>
    <w:rsid w:val="27EF1A7B"/>
    <w:rsid w:val="280E2D68"/>
    <w:rsid w:val="28314EB0"/>
    <w:rsid w:val="285242AD"/>
    <w:rsid w:val="28707CCA"/>
    <w:rsid w:val="287632C4"/>
    <w:rsid w:val="28A4608C"/>
    <w:rsid w:val="28AF213A"/>
    <w:rsid w:val="28B54750"/>
    <w:rsid w:val="293F6025"/>
    <w:rsid w:val="297C2D80"/>
    <w:rsid w:val="29A2214F"/>
    <w:rsid w:val="29D72E75"/>
    <w:rsid w:val="2A235ED6"/>
    <w:rsid w:val="2A4D5784"/>
    <w:rsid w:val="2A986817"/>
    <w:rsid w:val="2AF477EC"/>
    <w:rsid w:val="2B183D03"/>
    <w:rsid w:val="2B1B5938"/>
    <w:rsid w:val="2B1E22DA"/>
    <w:rsid w:val="2B3914A2"/>
    <w:rsid w:val="2BB45042"/>
    <w:rsid w:val="2C135CCC"/>
    <w:rsid w:val="2C425586"/>
    <w:rsid w:val="2C491EC7"/>
    <w:rsid w:val="2CBB585F"/>
    <w:rsid w:val="2CC07BCB"/>
    <w:rsid w:val="2CD2528B"/>
    <w:rsid w:val="2CE46DD4"/>
    <w:rsid w:val="2CF516C6"/>
    <w:rsid w:val="2D150C0F"/>
    <w:rsid w:val="2D5525D6"/>
    <w:rsid w:val="2D580EF3"/>
    <w:rsid w:val="2D6B217E"/>
    <w:rsid w:val="2D7E48FF"/>
    <w:rsid w:val="2D9D3542"/>
    <w:rsid w:val="2DC962B5"/>
    <w:rsid w:val="2E3C6379"/>
    <w:rsid w:val="2E5B7F22"/>
    <w:rsid w:val="2E9747D8"/>
    <w:rsid w:val="2ED615FC"/>
    <w:rsid w:val="2EF437A5"/>
    <w:rsid w:val="2F046B2A"/>
    <w:rsid w:val="2F2D0C44"/>
    <w:rsid w:val="2F3E31D1"/>
    <w:rsid w:val="2F4C3631"/>
    <w:rsid w:val="2FAA1A9D"/>
    <w:rsid w:val="2FB13DF0"/>
    <w:rsid w:val="2FCF1812"/>
    <w:rsid w:val="2FF322D6"/>
    <w:rsid w:val="30123C5F"/>
    <w:rsid w:val="3026275F"/>
    <w:rsid w:val="304A3CA2"/>
    <w:rsid w:val="30A7745D"/>
    <w:rsid w:val="316D0814"/>
    <w:rsid w:val="319951AD"/>
    <w:rsid w:val="31A65DA6"/>
    <w:rsid w:val="31B551BC"/>
    <w:rsid w:val="31B84093"/>
    <w:rsid w:val="31DB3E64"/>
    <w:rsid w:val="320C48D2"/>
    <w:rsid w:val="3212789C"/>
    <w:rsid w:val="32336176"/>
    <w:rsid w:val="32407202"/>
    <w:rsid w:val="32414FF6"/>
    <w:rsid w:val="327002B6"/>
    <w:rsid w:val="32C74326"/>
    <w:rsid w:val="32C75A8B"/>
    <w:rsid w:val="32EA3DDF"/>
    <w:rsid w:val="32F139EF"/>
    <w:rsid w:val="33135901"/>
    <w:rsid w:val="33314874"/>
    <w:rsid w:val="333D77A7"/>
    <w:rsid w:val="33416DA1"/>
    <w:rsid w:val="334C1B19"/>
    <w:rsid w:val="33645117"/>
    <w:rsid w:val="33882265"/>
    <w:rsid w:val="33892CF2"/>
    <w:rsid w:val="33931C7C"/>
    <w:rsid w:val="33967969"/>
    <w:rsid w:val="339A5204"/>
    <w:rsid w:val="33A8318B"/>
    <w:rsid w:val="34244397"/>
    <w:rsid w:val="34332E25"/>
    <w:rsid w:val="34517F94"/>
    <w:rsid w:val="34565456"/>
    <w:rsid w:val="349F09E1"/>
    <w:rsid w:val="34A57FE3"/>
    <w:rsid w:val="34BE24A0"/>
    <w:rsid w:val="34C862D8"/>
    <w:rsid w:val="34E36A45"/>
    <w:rsid w:val="34E548A3"/>
    <w:rsid w:val="350C38DC"/>
    <w:rsid w:val="35943E09"/>
    <w:rsid w:val="359A377C"/>
    <w:rsid w:val="35BB5C59"/>
    <w:rsid w:val="366028A7"/>
    <w:rsid w:val="3684653D"/>
    <w:rsid w:val="36BC666D"/>
    <w:rsid w:val="36F75117"/>
    <w:rsid w:val="371D396D"/>
    <w:rsid w:val="372F56CE"/>
    <w:rsid w:val="374A7D76"/>
    <w:rsid w:val="374B7751"/>
    <w:rsid w:val="37624579"/>
    <w:rsid w:val="378249D3"/>
    <w:rsid w:val="37A05D7B"/>
    <w:rsid w:val="37A7033E"/>
    <w:rsid w:val="382D7D17"/>
    <w:rsid w:val="383E0352"/>
    <w:rsid w:val="385C1FB7"/>
    <w:rsid w:val="38AD0371"/>
    <w:rsid w:val="38E86134"/>
    <w:rsid w:val="38F90BC5"/>
    <w:rsid w:val="3923637A"/>
    <w:rsid w:val="39293B47"/>
    <w:rsid w:val="393314ED"/>
    <w:rsid w:val="39333001"/>
    <w:rsid w:val="39676A9E"/>
    <w:rsid w:val="3A08510A"/>
    <w:rsid w:val="3A0F4059"/>
    <w:rsid w:val="3A175D0A"/>
    <w:rsid w:val="3A412A00"/>
    <w:rsid w:val="3A8B0EBF"/>
    <w:rsid w:val="3A9B4931"/>
    <w:rsid w:val="3AAB15EA"/>
    <w:rsid w:val="3AB56FEA"/>
    <w:rsid w:val="3AD76BF6"/>
    <w:rsid w:val="3B422B8B"/>
    <w:rsid w:val="3B5F0A30"/>
    <w:rsid w:val="3B89327D"/>
    <w:rsid w:val="3BCB7C16"/>
    <w:rsid w:val="3C6C0E8D"/>
    <w:rsid w:val="3C801F93"/>
    <w:rsid w:val="3C81687D"/>
    <w:rsid w:val="3C9C12C7"/>
    <w:rsid w:val="3CE01B51"/>
    <w:rsid w:val="3CF13335"/>
    <w:rsid w:val="3D091913"/>
    <w:rsid w:val="3DA47D72"/>
    <w:rsid w:val="3DAE1958"/>
    <w:rsid w:val="3DBA468E"/>
    <w:rsid w:val="3DD64072"/>
    <w:rsid w:val="3E34130F"/>
    <w:rsid w:val="3E3D23DA"/>
    <w:rsid w:val="3E4C773F"/>
    <w:rsid w:val="3E572325"/>
    <w:rsid w:val="3E6155CA"/>
    <w:rsid w:val="3E7075B0"/>
    <w:rsid w:val="3E8323C4"/>
    <w:rsid w:val="3E8762B6"/>
    <w:rsid w:val="3E9F0345"/>
    <w:rsid w:val="3EAD1A5A"/>
    <w:rsid w:val="3ED76BE1"/>
    <w:rsid w:val="3EE4034C"/>
    <w:rsid w:val="3F174848"/>
    <w:rsid w:val="3F2475E3"/>
    <w:rsid w:val="3F28055F"/>
    <w:rsid w:val="3F80021D"/>
    <w:rsid w:val="3F835180"/>
    <w:rsid w:val="3F855E4F"/>
    <w:rsid w:val="3F8672FA"/>
    <w:rsid w:val="3F9732D3"/>
    <w:rsid w:val="3FA52434"/>
    <w:rsid w:val="4041483A"/>
    <w:rsid w:val="40917F1C"/>
    <w:rsid w:val="409A1C3D"/>
    <w:rsid w:val="40C32EEC"/>
    <w:rsid w:val="40ED60D9"/>
    <w:rsid w:val="41190EE9"/>
    <w:rsid w:val="41343C0D"/>
    <w:rsid w:val="41467F3A"/>
    <w:rsid w:val="41872A21"/>
    <w:rsid w:val="41B55460"/>
    <w:rsid w:val="41F26EEF"/>
    <w:rsid w:val="420255B9"/>
    <w:rsid w:val="420F5A3B"/>
    <w:rsid w:val="4227399B"/>
    <w:rsid w:val="4245575F"/>
    <w:rsid w:val="424F06BA"/>
    <w:rsid w:val="42612CA3"/>
    <w:rsid w:val="4261600B"/>
    <w:rsid w:val="4267544F"/>
    <w:rsid w:val="426A6CEB"/>
    <w:rsid w:val="426E254B"/>
    <w:rsid w:val="42C00CC0"/>
    <w:rsid w:val="42EF5185"/>
    <w:rsid w:val="43105F73"/>
    <w:rsid w:val="43256BAE"/>
    <w:rsid w:val="433B2E00"/>
    <w:rsid w:val="4355023C"/>
    <w:rsid w:val="439E31EA"/>
    <w:rsid w:val="43D8642A"/>
    <w:rsid w:val="43E5277D"/>
    <w:rsid w:val="441B78A7"/>
    <w:rsid w:val="4420506F"/>
    <w:rsid w:val="443A1A8D"/>
    <w:rsid w:val="445504EA"/>
    <w:rsid w:val="447556CC"/>
    <w:rsid w:val="448738A7"/>
    <w:rsid w:val="449F7F82"/>
    <w:rsid w:val="44D9013C"/>
    <w:rsid w:val="44E364D6"/>
    <w:rsid w:val="44E977BC"/>
    <w:rsid w:val="45140B9E"/>
    <w:rsid w:val="4523601B"/>
    <w:rsid w:val="453146D3"/>
    <w:rsid w:val="455921DD"/>
    <w:rsid w:val="45832C8C"/>
    <w:rsid w:val="45A53308"/>
    <w:rsid w:val="45AC252E"/>
    <w:rsid w:val="45C52F35"/>
    <w:rsid w:val="45CB185B"/>
    <w:rsid w:val="45F90E19"/>
    <w:rsid w:val="4630266C"/>
    <w:rsid w:val="467A7C9C"/>
    <w:rsid w:val="468671F9"/>
    <w:rsid w:val="46AE028B"/>
    <w:rsid w:val="46B57488"/>
    <w:rsid w:val="46EA3AA2"/>
    <w:rsid w:val="46EB7D86"/>
    <w:rsid w:val="46FD54A8"/>
    <w:rsid w:val="470F02D7"/>
    <w:rsid w:val="474A54F8"/>
    <w:rsid w:val="475E548B"/>
    <w:rsid w:val="476E0239"/>
    <w:rsid w:val="477E5421"/>
    <w:rsid w:val="47A12704"/>
    <w:rsid w:val="47C34B8F"/>
    <w:rsid w:val="47EB5406"/>
    <w:rsid w:val="47EE05FA"/>
    <w:rsid w:val="47FD4111"/>
    <w:rsid w:val="481F224C"/>
    <w:rsid w:val="482B3251"/>
    <w:rsid w:val="48846975"/>
    <w:rsid w:val="48DE7BB5"/>
    <w:rsid w:val="49046D82"/>
    <w:rsid w:val="490E50E8"/>
    <w:rsid w:val="49253BA5"/>
    <w:rsid w:val="49261DBA"/>
    <w:rsid w:val="493B7B12"/>
    <w:rsid w:val="498247F4"/>
    <w:rsid w:val="49921F05"/>
    <w:rsid w:val="49AA2D1E"/>
    <w:rsid w:val="49EE7BF0"/>
    <w:rsid w:val="49FE1F22"/>
    <w:rsid w:val="4A214A05"/>
    <w:rsid w:val="4A2C2AA8"/>
    <w:rsid w:val="4A2E482F"/>
    <w:rsid w:val="4A2F31BC"/>
    <w:rsid w:val="4A4E5A64"/>
    <w:rsid w:val="4A556DC2"/>
    <w:rsid w:val="4A6034A5"/>
    <w:rsid w:val="4A735ED8"/>
    <w:rsid w:val="4A7E6027"/>
    <w:rsid w:val="4AA57F50"/>
    <w:rsid w:val="4AAC0173"/>
    <w:rsid w:val="4AB42686"/>
    <w:rsid w:val="4AC23670"/>
    <w:rsid w:val="4AEC6664"/>
    <w:rsid w:val="4AEE0F63"/>
    <w:rsid w:val="4B141624"/>
    <w:rsid w:val="4B2A66B0"/>
    <w:rsid w:val="4B540E50"/>
    <w:rsid w:val="4BAF2854"/>
    <w:rsid w:val="4BD525E6"/>
    <w:rsid w:val="4BD53B39"/>
    <w:rsid w:val="4BD55E71"/>
    <w:rsid w:val="4BE11A3D"/>
    <w:rsid w:val="4C016B98"/>
    <w:rsid w:val="4C5B7B7A"/>
    <w:rsid w:val="4C67794A"/>
    <w:rsid w:val="4C9A40F2"/>
    <w:rsid w:val="4CB91B4E"/>
    <w:rsid w:val="4CC30540"/>
    <w:rsid w:val="4CC5731E"/>
    <w:rsid w:val="4CCE0005"/>
    <w:rsid w:val="4D0B2C23"/>
    <w:rsid w:val="4D145921"/>
    <w:rsid w:val="4D327112"/>
    <w:rsid w:val="4D533374"/>
    <w:rsid w:val="4D552523"/>
    <w:rsid w:val="4D7E4ED5"/>
    <w:rsid w:val="4D9B7D9F"/>
    <w:rsid w:val="4DAD4EEA"/>
    <w:rsid w:val="4DD14853"/>
    <w:rsid w:val="4E1B7E8D"/>
    <w:rsid w:val="4E4D29E9"/>
    <w:rsid w:val="4E7E009C"/>
    <w:rsid w:val="4F1A357E"/>
    <w:rsid w:val="4F1E74FA"/>
    <w:rsid w:val="4F85771D"/>
    <w:rsid w:val="4F8E22B2"/>
    <w:rsid w:val="4FC44FD9"/>
    <w:rsid w:val="4FD233C2"/>
    <w:rsid w:val="5004548E"/>
    <w:rsid w:val="505B1786"/>
    <w:rsid w:val="50C839AE"/>
    <w:rsid w:val="50EC3991"/>
    <w:rsid w:val="50F60396"/>
    <w:rsid w:val="510E513D"/>
    <w:rsid w:val="51185F3D"/>
    <w:rsid w:val="51382F3B"/>
    <w:rsid w:val="51531C5D"/>
    <w:rsid w:val="519B111F"/>
    <w:rsid w:val="519C1814"/>
    <w:rsid w:val="51B46144"/>
    <w:rsid w:val="51C543AB"/>
    <w:rsid w:val="51EE592C"/>
    <w:rsid w:val="528D1DCB"/>
    <w:rsid w:val="52A2016C"/>
    <w:rsid w:val="52BC076D"/>
    <w:rsid w:val="52F31AA8"/>
    <w:rsid w:val="531E191C"/>
    <w:rsid w:val="531E4919"/>
    <w:rsid w:val="53687840"/>
    <w:rsid w:val="538442F8"/>
    <w:rsid w:val="53865B0B"/>
    <w:rsid w:val="53B97A04"/>
    <w:rsid w:val="53DD5306"/>
    <w:rsid w:val="540272D7"/>
    <w:rsid w:val="54107206"/>
    <w:rsid w:val="54805E87"/>
    <w:rsid w:val="54A41CCA"/>
    <w:rsid w:val="54AF38E2"/>
    <w:rsid w:val="54CC178A"/>
    <w:rsid w:val="54DC1F12"/>
    <w:rsid w:val="54F8217B"/>
    <w:rsid w:val="55417F9C"/>
    <w:rsid w:val="554975A6"/>
    <w:rsid w:val="554F12EF"/>
    <w:rsid w:val="55CA52DC"/>
    <w:rsid w:val="55D01436"/>
    <w:rsid w:val="55D72AC5"/>
    <w:rsid w:val="55E6574E"/>
    <w:rsid w:val="55E73A5D"/>
    <w:rsid w:val="55E8229B"/>
    <w:rsid w:val="55FE0A29"/>
    <w:rsid w:val="56012247"/>
    <w:rsid w:val="560227E6"/>
    <w:rsid w:val="56605F4E"/>
    <w:rsid w:val="568B3CBC"/>
    <w:rsid w:val="56AA4893"/>
    <w:rsid w:val="56D66598"/>
    <w:rsid w:val="570A378E"/>
    <w:rsid w:val="575546BC"/>
    <w:rsid w:val="577B7711"/>
    <w:rsid w:val="57AD38F0"/>
    <w:rsid w:val="580551DC"/>
    <w:rsid w:val="583649A8"/>
    <w:rsid w:val="58387181"/>
    <w:rsid w:val="583F37AF"/>
    <w:rsid w:val="586D6C56"/>
    <w:rsid w:val="58984424"/>
    <w:rsid w:val="58A57744"/>
    <w:rsid w:val="59165954"/>
    <w:rsid w:val="591D10B9"/>
    <w:rsid w:val="592A60B0"/>
    <w:rsid w:val="592C054E"/>
    <w:rsid w:val="592D0BEF"/>
    <w:rsid w:val="593A4460"/>
    <w:rsid w:val="59416642"/>
    <w:rsid w:val="59805F24"/>
    <w:rsid w:val="59A95F00"/>
    <w:rsid w:val="5A0A50B2"/>
    <w:rsid w:val="5A354E1E"/>
    <w:rsid w:val="5A6500FA"/>
    <w:rsid w:val="5AA366FB"/>
    <w:rsid w:val="5ACC2922"/>
    <w:rsid w:val="5AE617AB"/>
    <w:rsid w:val="5AF976FF"/>
    <w:rsid w:val="5B014B33"/>
    <w:rsid w:val="5B1800A2"/>
    <w:rsid w:val="5B204F56"/>
    <w:rsid w:val="5B3A0D14"/>
    <w:rsid w:val="5B445AFA"/>
    <w:rsid w:val="5B833B1E"/>
    <w:rsid w:val="5C1F69D9"/>
    <w:rsid w:val="5C2D1308"/>
    <w:rsid w:val="5C4B1276"/>
    <w:rsid w:val="5C9A197E"/>
    <w:rsid w:val="5CB66BB5"/>
    <w:rsid w:val="5CBF0130"/>
    <w:rsid w:val="5CDF67F6"/>
    <w:rsid w:val="5CE22C15"/>
    <w:rsid w:val="5D116EC8"/>
    <w:rsid w:val="5D1C16C1"/>
    <w:rsid w:val="5D406AF5"/>
    <w:rsid w:val="5D7942F1"/>
    <w:rsid w:val="5D881388"/>
    <w:rsid w:val="5DA44778"/>
    <w:rsid w:val="5DCF0FC5"/>
    <w:rsid w:val="5DF12DCD"/>
    <w:rsid w:val="5E5D484A"/>
    <w:rsid w:val="5E6659A2"/>
    <w:rsid w:val="5E7C287C"/>
    <w:rsid w:val="5E7D18CB"/>
    <w:rsid w:val="5E820A14"/>
    <w:rsid w:val="5E8F0334"/>
    <w:rsid w:val="5EFA395E"/>
    <w:rsid w:val="5FDB3407"/>
    <w:rsid w:val="600A2BC8"/>
    <w:rsid w:val="60106814"/>
    <w:rsid w:val="603719B8"/>
    <w:rsid w:val="60391F79"/>
    <w:rsid w:val="603D2B51"/>
    <w:rsid w:val="604709B3"/>
    <w:rsid w:val="60516CA5"/>
    <w:rsid w:val="606C79A0"/>
    <w:rsid w:val="60C10816"/>
    <w:rsid w:val="60DD4BB5"/>
    <w:rsid w:val="6106240D"/>
    <w:rsid w:val="61124CC2"/>
    <w:rsid w:val="61254AD1"/>
    <w:rsid w:val="61385A3B"/>
    <w:rsid w:val="615C78AF"/>
    <w:rsid w:val="6190453A"/>
    <w:rsid w:val="619716E2"/>
    <w:rsid w:val="61D151B8"/>
    <w:rsid w:val="61FB61EE"/>
    <w:rsid w:val="62063980"/>
    <w:rsid w:val="624425AE"/>
    <w:rsid w:val="62DA39CB"/>
    <w:rsid w:val="62DF60A7"/>
    <w:rsid w:val="630B3237"/>
    <w:rsid w:val="63131D60"/>
    <w:rsid w:val="631F0B77"/>
    <w:rsid w:val="637E4D95"/>
    <w:rsid w:val="63931C37"/>
    <w:rsid w:val="63B03491"/>
    <w:rsid w:val="63D81F49"/>
    <w:rsid w:val="63F961FA"/>
    <w:rsid w:val="64625882"/>
    <w:rsid w:val="647B58EC"/>
    <w:rsid w:val="64BF7CA6"/>
    <w:rsid w:val="64CA797F"/>
    <w:rsid w:val="64D27146"/>
    <w:rsid w:val="65097201"/>
    <w:rsid w:val="650F13A0"/>
    <w:rsid w:val="6531086A"/>
    <w:rsid w:val="653E0CA8"/>
    <w:rsid w:val="65935E3C"/>
    <w:rsid w:val="66317567"/>
    <w:rsid w:val="666C06AE"/>
    <w:rsid w:val="66944A23"/>
    <w:rsid w:val="66B83654"/>
    <w:rsid w:val="66D95E85"/>
    <w:rsid w:val="67125896"/>
    <w:rsid w:val="677A7790"/>
    <w:rsid w:val="67A84F1A"/>
    <w:rsid w:val="67B34157"/>
    <w:rsid w:val="67BE18C7"/>
    <w:rsid w:val="67ED2BC0"/>
    <w:rsid w:val="67F327B5"/>
    <w:rsid w:val="67F81F4F"/>
    <w:rsid w:val="68164AF5"/>
    <w:rsid w:val="68246E12"/>
    <w:rsid w:val="68273303"/>
    <w:rsid w:val="68331DA0"/>
    <w:rsid w:val="68942FFA"/>
    <w:rsid w:val="68A64F41"/>
    <w:rsid w:val="68D44DF7"/>
    <w:rsid w:val="6927394B"/>
    <w:rsid w:val="69374B0E"/>
    <w:rsid w:val="6940442F"/>
    <w:rsid w:val="694F3BEC"/>
    <w:rsid w:val="695C4D69"/>
    <w:rsid w:val="698367DC"/>
    <w:rsid w:val="699F0E66"/>
    <w:rsid w:val="69A42F3F"/>
    <w:rsid w:val="69CA46D5"/>
    <w:rsid w:val="6A3F048A"/>
    <w:rsid w:val="6A475D55"/>
    <w:rsid w:val="6A6B1AF8"/>
    <w:rsid w:val="6A6D172A"/>
    <w:rsid w:val="6AA62548"/>
    <w:rsid w:val="6AD0325E"/>
    <w:rsid w:val="6ADA2E12"/>
    <w:rsid w:val="6AEA7D1B"/>
    <w:rsid w:val="6AF12E19"/>
    <w:rsid w:val="6BC92D87"/>
    <w:rsid w:val="6BFF2CD4"/>
    <w:rsid w:val="6C01651F"/>
    <w:rsid w:val="6C387F88"/>
    <w:rsid w:val="6C4A387F"/>
    <w:rsid w:val="6C517910"/>
    <w:rsid w:val="6C832E16"/>
    <w:rsid w:val="6CF82501"/>
    <w:rsid w:val="6D1560AF"/>
    <w:rsid w:val="6D79568B"/>
    <w:rsid w:val="6D7C3494"/>
    <w:rsid w:val="6D9D7072"/>
    <w:rsid w:val="6DA86143"/>
    <w:rsid w:val="6DDD0530"/>
    <w:rsid w:val="6DE43360"/>
    <w:rsid w:val="6DEF7D98"/>
    <w:rsid w:val="6E116D61"/>
    <w:rsid w:val="6E3B2641"/>
    <w:rsid w:val="6E7143D3"/>
    <w:rsid w:val="6EC0778B"/>
    <w:rsid w:val="6EC17086"/>
    <w:rsid w:val="6F1B39E7"/>
    <w:rsid w:val="6F4506DA"/>
    <w:rsid w:val="6F6C5B22"/>
    <w:rsid w:val="6F777A68"/>
    <w:rsid w:val="6F851489"/>
    <w:rsid w:val="6FCE5570"/>
    <w:rsid w:val="6FD72793"/>
    <w:rsid w:val="700352F4"/>
    <w:rsid w:val="700A5644"/>
    <w:rsid w:val="70134B68"/>
    <w:rsid w:val="7062355D"/>
    <w:rsid w:val="706D19FD"/>
    <w:rsid w:val="706E530E"/>
    <w:rsid w:val="70F54765"/>
    <w:rsid w:val="71130782"/>
    <w:rsid w:val="71237F60"/>
    <w:rsid w:val="71262F72"/>
    <w:rsid w:val="712B5CED"/>
    <w:rsid w:val="715F64C7"/>
    <w:rsid w:val="71F52DDF"/>
    <w:rsid w:val="72111147"/>
    <w:rsid w:val="72264611"/>
    <w:rsid w:val="72286EE6"/>
    <w:rsid w:val="722E7EE1"/>
    <w:rsid w:val="72306D1E"/>
    <w:rsid w:val="72377AFC"/>
    <w:rsid w:val="7287012A"/>
    <w:rsid w:val="728B1824"/>
    <w:rsid w:val="72BE5AEE"/>
    <w:rsid w:val="73434F1A"/>
    <w:rsid w:val="73551636"/>
    <w:rsid w:val="73786261"/>
    <w:rsid w:val="73863549"/>
    <w:rsid w:val="738C7596"/>
    <w:rsid w:val="738D44FB"/>
    <w:rsid w:val="73971027"/>
    <w:rsid w:val="741C7896"/>
    <w:rsid w:val="74212727"/>
    <w:rsid w:val="742725F0"/>
    <w:rsid w:val="74582B1E"/>
    <w:rsid w:val="745E47C0"/>
    <w:rsid w:val="74883F9D"/>
    <w:rsid w:val="74B75455"/>
    <w:rsid w:val="74B94D28"/>
    <w:rsid w:val="74DE0C0C"/>
    <w:rsid w:val="754F2295"/>
    <w:rsid w:val="75C8282F"/>
    <w:rsid w:val="75F27DDC"/>
    <w:rsid w:val="75F87EF5"/>
    <w:rsid w:val="75FF298B"/>
    <w:rsid w:val="760A2A3B"/>
    <w:rsid w:val="761B1BBC"/>
    <w:rsid w:val="76303EBE"/>
    <w:rsid w:val="7632183B"/>
    <w:rsid w:val="764375EE"/>
    <w:rsid w:val="764510C0"/>
    <w:rsid w:val="765C4EC2"/>
    <w:rsid w:val="766251B0"/>
    <w:rsid w:val="76B8719F"/>
    <w:rsid w:val="76BE6A29"/>
    <w:rsid w:val="76DE0D95"/>
    <w:rsid w:val="76E57D0B"/>
    <w:rsid w:val="770B00AC"/>
    <w:rsid w:val="77127338"/>
    <w:rsid w:val="775935FD"/>
    <w:rsid w:val="775F1D68"/>
    <w:rsid w:val="777D3500"/>
    <w:rsid w:val="778226D3"/>
    <w:rsid w:val="779A5E13"/>
    <w:rsid w:val="77B97B86"/>
    <w:rsid w:val="77D8514B"/>
    <w:rsid w:val="77DF52CE"/>
    <w:rsid w:val="783B0D11"/>
    <w:rsid w:val="783F296F"/>
    <w:rsid w:val="785038E8"/>
    <w:rsid w:val="786E6E7F"/>
    <w:rsid w:val="78737587"/>
    <w:rsid w:val="78D46FCC"/>
    <w:rsid w:val="78E4311A"/>
    <w:rsid w:val="795B7061"/>
    <w:rsid w:val="797B6FBD"/>
    <w:rsid w:val="79982461"/>
    <w:rsid w:val="79992875"/>
    <w:rsid w:val="799C69D3"/>
    <w:rsid w:val="79B854C0"/>
    <w:rsid w:val="79C27109"/>
    <w:rsid w:val="79C45468"/>
    <w:rsid w:val="79D85475"/>
    <w:rsid w:val="7A1C59DB"/>
    <w:rsid w:val="7A571230"/>
    <w:rsid w:val="7A92776A"/>
    <w:rsid w:val="7AD3099A"/>
    <w:rsid w:val="7B3B4C28"/>
    <w:rsid w:val="7B712BB8"/>
    <w:rsid w:val="7B8B3BC6"/>
    <w:rsid w:val="7BA13458"/>
    <w:rsid w:val="7BDD43F1"/>
    <w:rsid w:val="7BFD365E"/>
    <w:rsid w:val="7C3E6CA4"/>
    <w:rsid w:val="7C4474CA"/>
    <w:rsid w:val="7C4B6788"/>
    <w:rsid w:val="7C51062C"/>
    <w:rsid w:val="7C733B97"/>
    <w:rsid w:val="7CCA53BF"/>
    <w:rsid w:val="7D2C3A43"/>
    <w:rsid w:val="7D68621A"/>
    <w:rsid w:val="7D6952E0"/>
    <w:rsid w:val="7D7C6EED"/>
    <w:rsid w:val="7D9F7660"/>
    <w:rsid w:val="7DEB3756"/>
    <w:rsid w:val="7DF11108"/>
    <w:rsid w:val="7E140A70"/>
    <w:rsid w:val="7E24212C"/>
    <w:rsid w:val="7E3D0D81"/>
    <w:rsid w:val="7E8A6FDC"/>
    <w:rsid w:val="7E8B240D"/>
    <w:rsid w:val="7EAA1C4A"/>
    <w:rsid w:val="7EFC303A"/>
    <w:rsid w:val="7EFE13FE"/>
    <w:rsid w:val="7F2B26D1"/>
    <w:rsid w:val="7F3F6866"/>
    <w:rsid w:val="7F4401B6"/>
    <w:rsid w:val="7F7A1B7D"/>
    <w:rsid w:val="7FBA321D"/>
    <w:rsid w:val="7FDD5DF6"/>
    <w:rsid w:val="7FE56B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keepLines/>
      <w:spacing w:afterLines="50" w:line="360" w:lineRule="auto"/>
      <w:outlineLvl w:val="0"/>
    </w:pPr>
    <w:rPr>
      <w:b/>
      <w:bCs/>
      <w:kern w:val="44"/>
      <w:sz w:val="44"/>
      <w:szCs w:val="44"/>
    </w:rPr>
  </w:style>
  <w:style w:type="paragraph" w:styleId="4">
    <w:name w:val="heading 2"/>
    <w:basedOn w:val="1"/>
    <w:next w:val="1"/>
    <w:link w:val="39"/>
    <w:qFormat/>
    <w:uiPriority w:val="0"/>
    <w:pPr>
      <w:keepNext/>
      <w:keepLines/>
      <w:adjustRightInd w:val="0"/>
      <w:spacing w:before="260" w:after="260" w:line="416" w:lineRule="atLeast"/>
      <w:textAlignment w:val="baseline"/>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b/>
      <w:sz w:val="24"/>
    </w:rPr>
  </w:style>
  <w:style w:type="paragraph" w:styleId="6">
    <w:name w:val="Document Map"/>
    <w:basedOn w:val="1"/>
    <w:link w:val="41"/>
    <w:qFormat/>
    <w:uiPriority w:val="0"/>
    <w:rPr>
      <w:rFonts w:ascii="宋体"/>
      <w:sz w:val="18"/>
      <w:szCs w:val="18"/>
    </w:rPr>
  </w:style>
  <w:style w:type="paragraph" w:styleId="7">
    <w:name w:val="annotation text"/>
    <w:basedOn w:val="1"/>
    <w:link w:val="46"/>
    <w:qFormat/>
    <w:uiPriority w:val="0"/>
    <w:pPr>
      <w:jc w:val="left"/>
    </w:pPr>
  </w:style>
  <w:style w:type="paragraph" w:styleId="8">
    <w:name w:val="Body Text Indent"/>
    <w:basedOn w:val="1"/>
    <w:qFormat/>
    <w:uiPriority w:val="0"/>
    <w:pPr>
      <w:snapToGrid w:val="0"/>
      <w:spacing w:line="500" w:lineRule="atLeast"/>
      <w:ind w:firstLine="570"/>
    </w:pPr>
    <w:rPr>
      <w:sz w:val="28"/>
      <w:szCs w:val="20"/>
    </w:rPr>
  </w:style>
  <w:style w:type="paragraph" w:styleId="9">
    <w:name w:val="Plain Text"/>
    <w:basedOn w:val="1"/>
    <w:link w:val="35"/>
    <w:qFormat/>
    <w:uiPriority w:val="0"/>
    <w:rPr>
      <w:rFonts w:ascii="宋体" w:hAnsi="Courier New"/>
      <w:szCs w:val="20"/>
    </w:rPr>
  </w:style>
  <w:style w:type="paragraph" w:styleId="10">
    <w:name w:val="Date"/>
    <w:basedOn w:val="1"/>
    <w:next w:val="1"/>
    <w:link w:val="37"/>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adjustRightInd w:val="0"/>
      <w:spacing w:line="360" w:lineRule="auto"/>
      <w:ind w:firstLine="660"/>
      <w:jc w:val="left"/>
      <w:textAlignment w:val="baseline"/>
    </w:pPr>
    <w:rPr>
      <w:rFonts w:ascii="宋体" w:cs="宋体"/>
      <w:spacing w:val="20"/>
      <w:kern w:val="0"/>
      <w:sz w:val="28"/>
      <w:szCs w:val="28"/>
    </w:rPr>
  </w:style>
  <w:style w:type="paragraph" w:styleId="16">
    <w:name w:val="toc 2"/>
    <w:basedOn w:val="1"/>
    <w:next w:val="1"/>
    <w:qFormat/>
    <w:uiPriority w:val="39"/>
    <w:pPr>
      <w:ind w:left="630" w:leftChars="100" w:right="100" w:rightChars="100"/>
      <w:jc w:val="left"/>
    </w:pPr>
    <w:rPr>
      <w:sz w:val="24"/>
    </w:r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paragraph" w:styleId="18">
    <w:name w:val="annotation subject"/>
    <w:basedOn w:val="7"/>
    <w:next w:val="7"/>
    <w:link w:val="45"/>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character" w:customStyle="1" w:styleId="26">
    <w:name w:val="font91"/>
    <w:basedOn w:val="21"/>
    <w:qFormat/>
    <w:uiPriority w:val="0"/>
    <w:rPr>
      <w:rFonts w:hint="default" w:ascii="仿宋_GB2312" w:eastAsia="仿宋_GB2312" w:cs="仿宋_GB2312"/>
      <w:color w:val="FF0000"/>
      <w:sz w:val="21"/>
      <w:szCs w:val="21"/>
      <w:u w:val="none"/>
    </w:rPr>
  </w:style>
  <w:style w:type="character" w:customStyle="1" w:styleId="27">
    <w:name w:val="font21"/>
    <w:qFormat/>
    <w:uiPriority w:val="0"/>
    <w:rPr>
      <w:rFonts w:hint="eastAsia" w:ascii="宋体" w:hAnsi="宋体" w:eastAsia="宋体" w:cs="宋体"/>
      <w:color w:val="000000"/>
      <w:sz w:val="21"/>
      <w:szCs w:val="21"/>
    </w:rPr>
  </w:style>
  <w:style w:type="character" w:customStyle="1" w:styleId="28">
    <w:name w:val="font31"/>
    <w:qFormat/>
    <w:uiPriority w:val="0"/>
    <w:rPr>
      <w:rFonts w:hint="eastAsia" w:ascii="宋体" w:hAnsi="宋体" w:eastAsia="宋体" w:cs="宋体"/>
      <w:b/>
      <w:color w:val="000000"/>
      <w:sz w:val="21"/>
      <w:szCs w:val="21"/>
    </w:rPr>
  </w:style>
  <w:style w:type="character" w:customStyle="1" w:styleId="29">
    <w:name w:val="标题 1 Char"/>
    <w:link w:val="3"/>
    <w:qFormat/>
    <w:uiPriority w:val="0"/>
    <w:rPr>
      <w:rFonts w:eastAsia="宋体"/>
      <w:b/>
      <w:bCs/>
      <w:kern w:val="44"/>
      <w:sz w:val="44"/>
      <w:szCs w:val="44"/>
      <w:lang w:val="en-US" w:eastAsia="zh-CN" w:bidi="ar-SA"/>
    </w:rPr>
  </w:style>
  <w:style w:type="character" w:customStyle="1" w:styleId="30">
    <w:name w:val="页眉 Char"/>
    <w:basedOn w:val="21"/>
    <w:link w:val="14"/>
    <w:qFormat/>
    <w:uiPriority w:val="99"/>
    <w:rPr>
      <w:kern w:val="2"/>
      <w:sz w:val="18"/>
      <w:szCs w:val="18"/>
    </w:rPr>
  </w:style>
  <w:style w:type="character" w:customStyle="1" w:styleId="31">
    <w:name w:val="纯文本 Char"/>
    <w:qFormat/>
    <w:locked/>
    <w:uiPriority w:val="0"/>
    <w:rPr>
      <w:rFonts w:ascii="宋体" w:hAnsi="Courier New" w:eastAsia="宋体" w:cs="Courier New"/>
      <w:kern w:val="2"/>
      <w:sz w:val="21"/>
      <w:szCs w:val="21"/>
      <w:lang w:val="en-US" w:eastAsia="zh-CN" w:bidi="ar-SA"/>
    </w:rPr>
  </w:style>
  <w:style w:type="character" w:customStyle="1" w:styleId="32">
    <w:name w:val="页脚 Char"/>
    <w:basedOn w:val="21"/>
    <w:link w:val="13"/>
    <w:qFormat/>
    <w:uiPriority w:val="99"/>
    <w:rPr>
      <w:kern w:val="2"/>
      <w:sz w:val="18"/>
      <w:szCs w:val="18"/>
    </w:rPr>
  </w:style>
  <w:style w:type="character" w:customStyle="1" w:styleId="33">
    <w:name w:val="font81"/>
    <w:basedOn w:val="21"/>
    <w:qFormat/>
    <w:uiPriority w:val="0"/>
    <w:rPr>
      <w:rFonts w:hint="default" w:ascii="仿宋_GB2312" w:eastAsia="仿宋_GB2312" w:cs="仿宋_GB2312"/>
      <w:color w:val="000000"/>
      <w:sz w:val="21"/>
      <w:szCs w:val="21"/>
      <w:u w:val="none"/>
      <w:vertAlign w:val="superscript"/>
    </w:rPr>
  </w:style>
  <w:style w:type="character" w:customStyle="1" w:styleId="34">
    <w:name w:val="CharAttribute1"/>
    <w:uiPriority w:val="0"/>
    <w:rPr>
      <w:rFonts w:ascii="Times New Roman" w:eastAsia="Times New Roman"/>
    </w:rPr>
  </w:style>
  <w:style w:type="character" w:customStyle="1" w:styleId="35">
    <w:name w:val="纯文本 Char1"/>
    <w:link w:val="9"/>
    <w:qFormat/>
    <w:uiPriority w:val="0"/>
    <w:rPr>
      <w:rFonts w:ascii="宋体" w:hAnsi="Courier New" w:eastAsia="宋体"/>
      <w:kern w:val="2"/>
      <w:sz w:val="21"/>
      <w:lang w:val="en-US" w:eastAsia="zh-CN" w:bidi="ar-SA"/>
    </w:rPr>
  </w:style>
  <w:style w:type="character" w:customStyle="1" w:styleId="36">
    <w:name w:val="普通文字 Char2"/>
    <w:qFormat/>
    <w:locked/>
    <w:uiPriority w:val="0"/>
    <w:rPr>
      <w:rFonts w:ascii="宋体" w:hAnsi="Courier New" w:eastAsia="宋体"/>
      <w:kern w:val="2"/>
      <w:sz w:val="21"/>
      <w:lang w:val="en-US" w:eastAsia="zh-CN" w:bidi="ar-SA"/>
    </w:rPr>
  </w:style>
  <w:style w:type="character" w:customStyle="1" w:styleId="37">
    <w:name w:val="日期 Char"/>
    <w:basedOn w:val="21"/>
    <w:link w:val="10"/>
    <w:qFormat/>
    <w:uiPriority w:val="0"/>
    <w:rPr>
      <w:kern w:val="2"/>
      <w:sz w:val="21"/>
      <w:szCs w:val="24"/>
    </w:rPr>
  </w:style>
  <w:style w:type="character" w:customStyle="1" w:styleId="38">
    <w:name w:val="font11"/>
    <w:basedOn w:val="21"/>
    <w:qFormat/>
    <w:uiPriority w:val="0"/>
    <w:rPr>
      <w:rFonts w:hint="eastAsia" w:ascii="仿宋_GB2312" w:eastAsia="仿宋_GB2312" w:cs="仿宋_GB2312"/>
      <w:color w:val="000000"/>
      <w:sz w:val="21"/>
      <w:szCs w:val="21"/>
      <w:u w:val="none"/>
    </w:rPr>
  </w:style>
  <w:style w:type="character" w:customStyle="1" w:styleId="39">
    <w:name w:val="标题 2 Char"/>
    <w:link w:val="4"/>
    <w:qFormat/>
    <w:uiPriority w:val="0"/>
    <w:rPr>
      <w:rFonts w:ascii="Arial" w:hAnsi="Arial" w:eastAsia="黑体"/>
      <w:b/>
      <w:bCs/>
      <w:sz w:val="32"/>
      <w:szCs w:val="32"/>
    </w:rPr>
  </w:style>
  <w:style w:type="character" w:customStyle="1" w:styleId="40">
    <w:name w:val="hei141"/>
    <w:qFormat/>
    <w:uiPriority w:val="0"/>
    <w:rPr>
      <w:color w:val="000000"/>
      <w:sz w:val="21"/>
      <w:szCs w:val="21"/>
    </w:rPr>
  </w:style>
  <w:style w:type="character" w:customStyle="1" w:styleId="41">
    <w:name w:val="文档结构图 Char"/>
    <w:basedOn w:val="21"/>
    <w:link w:val="6"/>
    <w:qFormat/>
    <w:uiPriority w:val="0"/>
    <w:rPr>
      <w:rFonts w:ascii="宋体"/>
      <w:kern w:val="2"/>
      <w:sz w:val="18"/>
      <w:szCs w:val="18"/>
    </w:rPr>
  </w:style>
  <w:style w:type="character" w:customStyle="1" w:styleId="42">
    <w:name w:val="font01"/>
    <w:basedOn w:val="21"/>
    <w:qFormat/>
    <w:uiPriority w:val="0"/>
    <w:rPr>
      <w:rFonts w:hint="eastAsia" w:ascii="仿宋_GB2312" w:eastAsia="仿宋_GB2312" w:cs="仿宋_GB2312"/>
      <w:color w:val="FF0000"/>
      <w:sz w:val="21"/>
      <w:szCs w:val="21"/>
      <w:u w:val="none"/>
    </w:rPr>
  </w:style>
  <w:style w:type="character" w:customStyle="1" w:styleId="43">
    <w:name w:val="font51"/>
    <w:basedOn w:val="21"/>
    <w:qFormat/>
    <w:uiPriority w:val="0"/>
    <w:rPr>
      <w:rFonts w:hint="default" w:ascii="仿宋_GB2312" w:eastAsia="仿宋_GB2312" w:cs="仿宋_GB2312"/>
      <w:color w:val="000000"/>
      <w:sz w:val="21"/>
      <w:szCs w:val="21"/>
      <w:u w:val="none"/>
      <w:vertAlign w:val="subscript"/>
    </w:rPr>
  </w:style>
  <w:style w:type="character" w:customStyle="1" w:styleId="44">
    <w:name w:val="font61"/>
    <w:basedOn w:val="21"/>
    <w:qFormat/>
    <w:uiPriority w:val="0"/>
    <w:rPr>
      <w:rFonts w:hint="default" w:ascii="仿宋_GB2312" w:eastAsia="仿宋_GB2312" w:cs="仿宋_GB2312"/>
      <w:color w:val="000000"/>
      <w:sz w:val="21"/>
      <w:szCs w:val="21"/>
      <w:u w:val="none"/>
      <w:vertAlign w:val="superscript"/>
    </w:rPr>
  </w:style>
  <w:style w:type="character" w:customStyle="1" w:styleId="45">
    <w:name w:val="批注主题 Char"/>
    <w:basedOn w:val="46"/>
    <w:link w:val="18"/>
    <w:qFormat/>
    <w:uiPriority w:val="0"/>
  </w:style>
  <w:style w:type="character" w:customStyle="1" w:styleId="46">
    <w:name w:val="批注文字 Char"/>
    <w:basedOn w:val="21"/>
    <w:link w:val="7"/>
    <w:qFormat/>
    <w:uiPriority w:val="0"/>
    <w:rPr>
      <w:kern w:val="2"/>
      <w:sz w:val="21"/>
      <w:szCs w:val="24"/>
    </w:rPr>
  </w:style>
  <w:style w:type="character" w:customStyle="1" w:styleId="47">
    <w:name w:val="font41"/>
    <w:qFormat/>
    <w:uiPriority w:val="0"/>
    <w:rPr>
      <w:rFonts w:hint="eastAsia" w:ascii="宋体" w:hAnsi="宋体" w:eastAsia="宋体" w:cs="宋体"/>
      <w:b/>
      <w:color w:val="000000"/>
      <w:sz w:val="21"/>
      <w:szCs w:val="21"/>
      <w:u w:val="single"/>
    </w:rPr>
  </w:style>
  <w:style w:type="paragraph" w:customStyle="1" w:styleId="48">
    <w:name w:val="Char Char Char1 Char Char Char Char"/>
    <w:basedOn w:val="1"/>
    <w:qFormat/>
    <w:uiPriority w:val="0"/>
    <w:rPr>
      <w:rFonts w:ascii="Tahoma" w:hAnsi="Tahoma"/>
      <w:sz w:val="24"/>
      <w:szCs w:val="20"/>
    </w:rPr>
  </w:style>
  <w:style w:type="paragraph" w:customStyle="1" w:styleId="49">
    <w:name w:val="列出段落1"/>
    <w:basedOn w:val="1"/>
    <w:qFormat/>
    <w:uiPriority w:val="34"/>
    <w:pPr>
      <w:ind w:firstLine="420" w:firstLineChars="200"/>
    </w:pPr>
  </w:style>
  <w:style w:type="paragraph" w:customStyle="1" w:styleId="50">
    <w:name w:val="a4"/>
    <w:basedOn w:val="9"/>
    <w:qFormat/>
    <w:uiPriority w:val="0"/>
    <w:pPr>
      <w:spacing w:line="460" w:lineRule="exact"/>
      <w:ind w:firstLine="480" w:firstLineChars="200"/>
    </w:pPr>
    <w:rPr>
      <w:rFonts w:ascii="Arial Narrow" w:hAnsi="Arial Narrow" w:eastAsia="楷体_GB2312"/>
      <w:sz w:val="24"/>
      <w:szCs w:val="24"/>
    </w:rPr>
  </w:style>
  <w:style w:type="paragraph" w:customStyle="1" w:styleId="51">
    <w:name w:val="List Paragraph1"/>
    <w:basedOn w:val="1"/>
    <w:qFormat/>
    <w:uiPriority w:val="0"/>
    <w:pPr>
      <w:ind w:firstLine="420" w:firstLineChars="200"/>
    </w:pPr>
  </w:style>
  <w:style w:type="paragraph" w:customStyle="1" w:styleId="52">
    <w:name w:val="ParaAttribute0"/>
    <w:qFormat/>
    <w:uiPriority w:val="0"/>
    <w:pPr>
      <w:widowControl w:val="0"/>
    </w:pPr>
    <w:rPr>
      <w:rFonts w:ascii="Times New Roman" w:hAnsi="Times New Roman" w:eastAsia="宋体" w:cs="Times New Roman"/>
      <w:lang w:val="en-US" w:eastAsia="zh-CN" w:bidi="ar-SA"/>
    </w:rPr>
  </w:style>
  <w:style w:type="paragraph" w:styleId="53">
    <w:name w:val="List Paragraph"/>
    <w:basedOn w:val="1"/>
    <w:qFormat/>
    <w:uiPriority w:val="99"/>
    <w:pPr>
      <w:ind w:firstLine="420" w:firstLineChars="200"/>
    </w:pPr>
    <w:rPr>
      <w:rFonts w:eastAsia="仿宋_GB2312"/>
      <w:sz w:val="28"/>
      <w:szCs w:val="28"/>
    </w:rPr>
  </w:style>
  <w:style w:type="paragraph" w:customStyle="1" w:styleId="54">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3"/>
    <customShpInfo spid="_x0000_s2068"/>
    <customShpInfo spid="_x0000_s1069"/>
    <customShpInfo spid="_x0000_s1068"/>
    <customShpInfo spid="_x0000_s1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BA32B-CE57-4FBE-970F-FC217ADA103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6810</Words>
  <Characters>2242</Characters>
  <Lines>18</Lines>
  <Paragraphs>18</Paragraphs>
  <TotalTime>65</TotalTime>
  <ScaleCrop>false</ScaleCrop>
  <LinksUpToDate>false</LinksUpToDate>
  <CharactersWithSpaces>9034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2020-02-13T03:02:00Z</dcterms:created>
  <dc:creator>周天天</dc:creator>
  <cp:lastModifiedBy>Windya</cp:lastModifiedBy>
  <cp:lastPrinted>2020-02-16T10:22:00Z</cp:lastPrinted>
  <dcterms:modified xsi:type="dcterms:W3CDTF">2020-06-18T07:31:04Z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