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s>
        <w:rPr>
          <w:rFonts w:ascii="宋体" w:hAnsi="宋体"/>
        </w:rPr>
      </w:pPr>
      <w:bookmarkStart w:id="0" w:name="_Toc291861676"/>
      <w:bookmarkStart w:id="1" w:name="_Toc100475017"/>
      <w:r>
        <w:rPr>
          <w:rFonts w:ascii="宋体" w:hAnsi="宋体"/>
        </w:rPr>
        <w:pict>
          <v:shape id="文本框 22" o:spid="_x0000_s1026" o:spt="202" type="#_x0000_t202" style="position:absolute;left:0pt;margin-left:95.15pt;margin-top:3.2pt;height:42.7pt;width:461.85pt;z-index:2516766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uEAIAAOQDAAAOAAAAZHJzL2Uyb0RvYy54bWysU8GO0zAQvSPxD5bvNG21qaqo6arsApcF&#10;VtqiPU9tpwnEHmO7TfoD8AecuHDnu/odjN20rOCGyMFKxvab9968LK573bK9cr5BU/LJaMyZMgJl&#10;Y7Yl/7B+/WLOmQ9gJLRoVMkPyvPr5fNni84Waoo1tlI5RiDGF50teR2CLbLMi1pp8CO0ytBmhU5D&#10;oE+3zaSDjtB1m03H41nWoZPWoVDeU/X2tMmXCb+qlAjvq8qrwNqSE7eQVpfWTVyz5QKKrQNbN2Kg&#10;Af/AQkNjqOkF6hYCsJ1r/oLSjXDosQojgTrDqmqEShpIzWT8h5qHGqxKWsgcby82+f8HK97t7x1r&#10;ZMmnU84MaJrR8dvX4/efxx9fGNXIoM76gs49WDoZ+pfY06CTWG/vUHzyzOBNDWarVs5hVyuQRHBC&#10;aEM5yVgfLEGn6lr14ZVsaBaTCJ89wT8187HTpnuLkq7ALmDq1ldOR4vJNEYUaJqHywQJkQkq5vNZ&#10;ns+oi6C9/GqaX+WpBRTn29b58EahZvGl5I4SktBhf+dDZAPF+chALbI58Qr9pk9ezc+2bFAeiGtH&#10;ASq5/7wDp0j3Tt8g5Y1oVA71IyV05ZLaSD+ir/tHcHagEIj8fXsOUOKRkiSHcYD8SEC6pVzuoWX5&#10;mJ5B1HB44HxCjXcNrsi1qkmCor0nnoMgilLSOcQ+ZvXpdzr1++dc/gIAAP//AwBQSwMEFAAGAAgA&#10;AAAhALW6hLrcAAAACQEAAA8AAABkcnMvZG93bnJldi54bWxMj8FOwzAQRO9I/QdrK3GjdiBUTYhT&#10;IRBXqhao1Jsbb5OIeB3FbhP+nu0JjqMZzbwp1pPrxAWH0HrSkCwUCKTK25ZqDZ8fb3crECEasqbz&#10;hBp+MMC6nN0UJrd+pC1edrEWXEIhNxqaGPtcylA16ExY+B6JvZMfnIksh1rawYxc7jp5r9RSOtMS&#10;LzSmx5cGq+/d2Wn4ej8d9qna1K/usR/9pCS5TGp9O5+en0BEnOJfGK74jA4lMx39mWwQHetMPXBU&#10;wzIFcfWTJOVzRw1ZsgJZFvL/g/IXAAD//wMAUEsBAi0AFAAGAAgAAAAhALaDOJL+AAAA4QEAABMA&#10;AAAAAAAAAAAAAAAAAAAAAFtDb250ZW50X1R5cGVzXS54bWxQSwECLQAUAAYACAAAACEAOP0h/9YA&#10;AACUAQAACwAAAAAAAAAAAAAAAAAvAQAAX3JlbHMvLnJlbHNQSwECLQAUAAYACAAAACEAM0PgLhAC&#10;AADkAwAADgAAAAAAAAAAAAAAAAAuAgAAZHJzL2Uyb0RvYy54bWxQSwECLQAUAAYACAAAACEAtbqE&#10;utwAAAAJAQAADwAAAAAAAAAAAAAAAABqBAAAZHJzL2Rvd25yZXYueG1sUEsFBgAAAAAEAAQA8wAA&#10;AHMFAAAAAA==&#10;">
            <v:path/>
            <v:fill on="f" focussize="0,0"/>
            <v:stroke on="f" joinstyle="miter"/>
            <v:imagedata o:title=""/>
            <o:lock v:ext="edit"/>
            <v:textbox>
              <w:txbxContent>
                <w:p>
                  <w:pPr>
                    <w:pStyle w:val="18"/>
                    <w:spacing w:before="0" w:beforeAutospacing="0" w:after="0" w:afterAutospacing="0"/>
                    <w:jc w:val="center"/>
                    <w:rPr>
                      <w:sz w:val="44"/>
                      <w:szCs w:val="44"/>
                    </w:rPr>
                  </w:pPr>
                  <w:r>
                    <w:rPr>
                      <w:rFonts w:hint="eastAsia" w:ascii="华文行楷" w:eastAsia="华文行楷"/>
                      <w:outline/>
                      <w:color w:val="000000"/>
                      <w:sz w:val="44"/>
                      <w:szCs w:val="44"/>
                    </w:rPr>
                    <w:t>云南雨涵房地产评估有限责任公司</w:t>
                  </w:r>
                </w:p>
              </w:txbxContent>
            </v:textbox>
          </v:shape>
        </w:pict>
      </w:r>
      <w:r>
        <w:rPr>
          <w:rFonts w:ascii="宋体" w:hAnsi="宋体"/>
        </w:rPr>
        <w:drawing>
          <wp:anchor distT="0" distB="0" distL="114300" distR="114300" simplePos="0" relativeHeight="251664384" behindDoc="0" locked="0" layoutInCell="1" allowOverlap="1">
            <wp:simplePos x="0" y="0"/>
            <wp:positionH relativeFrom="column">
              <wp:posOffset>318770</wp:posOffset>
            </wp:positionH>
            <wp:positionV relativeFrom="paragraph">
              <wp:posOffset>59690</wp:posOffset>
            </wp:positionV>
            <wp:extent cx="935990" cy="51879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935990" cy="518795"/>
                    </a:xfrm>
                    <a:prstGeom prst="rect">
                      <a:avLst/>
                    </a:prstGeom>
                    <a:noFill/>
                    <a:ln w="9525">
                      <a:noFill/>
                      <a:miter lim="800000"/>
                      <a:headEnd/>
                      <a:tailEnd/>
                    </a:ln>
                  </pic:spPr>
                </pic:pic>
              </a:graphicData>
            </a:graphic>
          </wp:anchor>
        </w:drawing>
      </w:r>
    </w:p>
    <w:p>
      <w:pPr>
        <w:rPr>
          <w:rFonts w:ascii="宋体" w:hAnsi="宋体"/>
        </w:rPr>
      </w:pPr>
    </w:p>
    <w:p>
      <w:pPr>
        <w:rPr>
          <w:rFonts w:ascii="宋体" w:hAnsi="宋体"/>
        </w:rPr>
      </w:pPr>
    </w:p>
    <w:p>
      <w:pPr>
        <w:rPr>
          <w:rFonts w:ascii="宋体" w:hAnsi="宋体"/>
        </w:rPr>
      </w:pPr>
      <w:r>
        <w:rPr>
          <w:rFonts w:ascii="宋体" w:hAnsi="宋体"/>
        </w:rPr>
        <w:pict>
          <v:shape id="_x0000_i1025" o:spt="75" type="#_x0000_t75" style="height:15.25pt;width:489.05pt;" fillcolor="#808080" filled="t" o:preferrelative="t" stroked="f" coordsize="21600,21600" o:hr="t" o:hrpct="0" o:hralign="center">
            <v:path/>
            <v:fill on="t" focussize="0,0"/>
            <v:stroke on="f" joinstyle="miter"/>
            <v:imagedata r:id="rId9" o:title="BD21328_"/>
            <o:lock v:ext="edit" aspectratio="t"/>
            <w10:wrap type="none"/>
            <w10:anchorlock/>
          </v:shape>
        </w:pict>
      </w:r>
    </w:p>
    <w:p>
      <w:pPr>
        <w:rPr>
          <w:rFonts w:ascii="宋体" w:hAnsi="宋体"/>
        </w:rPr>
      </w:pPr>
      <w:r>
        <w:rPr>
          <w:rFonts w:ascii="宋体" w:hAnsi="宋体"/>
          <w:sz w:val="20"/>
        </w:rPr>
        <w:pict>
          <v:shape id="WordArt 233" o:spid="_x0000_s1027" o:spt="202" type="#_x0000_t202" style="position:absolute;left:0pt;margin-left:40.7pt;margin-top:8.4pt;height:114.65pt;width:505.85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uggIAAPcEAAAOAAAAZHJzL2Uyb0RvYy54bWysVMlu2zAQvRfoPxC8O1oiO5YQOcjmXtI2&#10;QFzkTIuUxVZcStKWjKL/3iFFp2l7KYr6QHMZvpl571GXV6Po0YEZy5WscXaWYsRkoyiXuxp/2qxn&#10;S4ysI5KSXklW4yOz+Gr19s3loCuWq071lBkEINJWg65x55yuksQ2HRPEninNJBy2ygjiYGl2CTVk&#10;AHTRJ3maLpJBGaqNapi1sHs3HeJVwG9b1riPbWuZQ32NoTYXRhPGrR+T1SWpdobojjexDPIPVQjC&#10;JSR9gbojjqC94X9ACd4YZVXrzholEtW2vGGhB+gmS3/r5qkjmoVegByrX2iy/w+2+XB4NIjTGudA&#10;jyQCNHoGSq+NQ/n5uedn0LaCsCcNgW68USPoHHq1+kE1XyyS6rYjcseujVFDxwiF+jIAi9uhi81R&#10;A3LY3bDR3VMOUmQePnmFPyWzPtN2eK8oXCF7p0K2sTXCMwycISgBqj2+CAiIqIHNRZEX8zlkaeAs&#10;g2m5mHKQ6nRdG+veMSWQn9TYgEMCPDk8WOfLIdUpxGcDZNiPs0nRb2WWF+lNXs7Wi+XFrFgX81l5&#10;kS5naVbelIu0KIu79XcPmhVVxyll8oFLdnJXVvydetHnky+Cv9BQ43KezyfyVc/pmve9r82a3fa2&#10;N+hAvM3DL1ALJ6/DjNpLGhzvVbqPc0d4P82TXysOZAABp/9ARJDLKzRp5cbtGOxzcbLKVtEj6DfA&#10;m6qx/bonhoEX9uJWQW0gTWuUiA7za1++J3wzPhOjoyoOsj72pzcVpPFxOxodSuhnABI9PFVoGc19&#10;x7HhGBxlnFD9XamuwUktDxp7y011Rv/B6wpdxi+Bf76v1yHq5/dq9QMAAP//AwBQSwMEFAAGAAgA&#10;AAAhAHcFykXeAAAACgEAAA8AAABkcnMvZG93bnJldi54bWxMj81OwzAQhO9IvIO1SNyonRKiNsSp&#10;EIgrVX9A4ubG2yQiXkex24S3Z3uix50ZzX5TrCbXiTMOofWkIZkpEEiVty3VGva794cFiBANWdN5&#10;Qg2/GGBV3t4UJrd+pA2et7EWXEIhNxqaGPtcylA16EyY+R6JvaMfnIl8DrW0gxm53HVyrlQmnWmJ&#10;PzSmx9cGq5/tyWn4/Dh+f6VqXb+5p370k5LkllLr+7vp5RlExCn+h+GCz+hQMtPBn8gG0WlYJCkn&#10;Wc94wcVXy8cExEHDPM0SkGUhryeUfwAAAP//AwBQSwECLQAUAAYACAAAACEAtoM4kv4AAADhAQAA&#10;EwAAAAAAAAAAAAAAAAAAAAAAW0NvbnRlbnRfVHlwZXNdLnhtbFBLAQItABQABgAIAAAAIQA4/SH/&#10;1gAAAJQBAAALAAAAAAAAAAAAAAAAAC8BAABfcmVscy8ucmVsc1BLAQItABQABgAIAAAAIQDHB/hu&#10;ggIAAPcEAAAOAAAAAAAAAAAAAAAAAC4CAABkcnMvZTJvRG9jLnhtbFBLAQItABQABgAIAAAAIQB3&#10;BcpF3gAAAAoBAAAPAAAAAAAAAAAAAAAAANwEAABkcnMvZG93bnJldi54bWxQSwUGAAAAAAQABADz&#10;AAAA5wUAAAAA&#10;">
            <v:path/>
            <v:fill on="f" focussize="0,0"/>
            <v:stroke on="f" joinstyle="round"/>
            <v:imagedata o:title=""/>
            <o:lock v:ext="edit"/>
            <v:textbox>
              <w:txbxContent>
                <w:p>
                  <w:pPr>
                    <w:pStyle w:val="18"/>
                    <w:spacing w:before="0" w:beforeAutospacing="0" w:after="0" w:afterAutospacing="0"/>
                    <w:jc w:val="center"/>
                    <w:rPr>
                      <w:sz w:val="84"/>
                      <w:szCs w:val="84"/>
                    </w:rPr>
                  </w:pPr>
                  <w:r>
                    <w:rPr>
                      <w:rFonts w:hint="eastAsia" w:ascii="华文行楷" w:eastAsia="华文行楷"/>
                      <w:shadow/>
                      <w:color w:val="0000FF"/>
                      <w:sz w:val="84"/>
                      <w:szCs w:val="84"/>
                    </w:rPr>
                    <w:t>房地产司法鉴定估价报告</w:t>
                  </w:r>
                </w:p>
              </w:txbxContent>
            </v:textbox>
          </v:shape>
        </w:pict>
      </w:r>
    </w:p>
    <w:p>
      <w:pPr>
        <w:tabs>
          <w:tab w:val="left" w:pos="7055"/>
        </w:tabs>
        <w:ind w:firstLine="210" w:firstLineChars="100"/>
        <w:rPr>
          <w:rFonts w:ascii="宋体" w:hAnsi="宋体"/>
        </w:rPr>
      </w:pPr>
      <w:r>
        <w:rPr>
          <w:rFonts w:ascii="宋体" w:hAnsi="宋体"/>
        </w:rPr>
        <w:tab/>
      </w:r>
    </w:p>
    <w:p>
      <w:pPr>
        <w:tabs>
          <w:tab w:val="left" w:pos="7055"/>
        </w:tabs>
        <w:snapToGrid w:val="0"/>
        <w:spacing w:line="360" w:lineRule="auto"/>
        <w:ind w:left="1682" w:leftChars="342" w:hanging="964" w:hangingChars="400"/>
        <w:rPr>
          <w:rFonts w:ascii="宋体" w:hAnsi="宋体"/>
          <w:b/>
          <w:sz w:val="24"/>
        </w:rPr>
      </w:pPr>
      <w:r>
        <w:rPr>
          <w:rFonts w:ascii="宋体" w:hAnsi="宋体"/>
          <w:b/>
          <w:sz w:val="24"/>
        </w:rPr>
        <w:tab/>
      </w:r>
      <w:r>
        <w:rPr>
          <w:rFonts w:ascii="宋体" w:hAnsi="宋体"/>
          <w:b/>
          <w:sz w:val="24"/>
        </w:rPr>
        <w:tab/>
      </w:r>
    </w:p>
    <w:p>
      <w:pPr>
        <w:snapToGrid w:val="0"/>
        <w:spacing w:line="360" w:lineRule="auto"/>
        <w:ind w:left="1682" w:leftChars="342" w:hanging="964" w:hangingChars="400"/>
        <w:rPr>
          <w:rFonts w:ascii="宋体" w:hAnsi="宋体"/>
          <w:b/>
          <w:sz w:val="24"/>
        </w:rPr>
      </w:pPr>
    </w:p>
    <w:p>
      <w:pPr>
        <w:snapToGrid w:val="0"/>
        <w:spacing w:line="360" w:lineRule="auto"/>
        <w:ind w:left="1682" w:leftChars="342" w:hanging="964" w:hangingChars="400"/>
        <w:rPr>
          <w:rFonts w:ascii="宋体" w:hAnsi="宋体"/>
          <w:b/>
          <w:sz w:val="24"/>
        </w:rPr>
      </w:pPr>
    </w:p>
    <w:p>
      <w:pPr>
        <w:snapToGrid w:val="0"/>
        <w:spacing w:line="360" w:lineRule="auto"/>
        <w:ind w:left="1682" w:leftChars="342" w:hanging="964" w:hangingChars="400"/>
        <w:rPr>
          <w:rFonts w:ascii="宋体" w:hAnsi="宋体"/>
          <w:b/>
          <w:sz w:val="24"/>
        </w:rPr>
      </w:pPr>
    </w:p>
    <w:p>
      <w:pPr>
        <w:snapToGrid w:val="0"/>
        <w:spacing w:line="360" w:lineRule="auto"/>
        <w:ind w:left="1682" w:leftChars="342" w:hanging="964" w:hangingChars="400"/>
        <w:rPr>
          <w:rFonts w:ascii="宋体" w:hAnsi="宋体"/>
          <w:b/>
          <w:sz w:val="24"/>
        </w:rPr>
      </w:pPr>
    </w:p>
    <w:p>
      <w:pPr>
        <w:adjustRightInd w:val="0"/>
        <w:snapToGrid w:val="0"/>
        <w:spacing w:line="500" w:lineRule="exact"/>
        <w:ind w:left="850" w:leftChars="405" w:firstLine="3" w:firstLineChars="1"/>
        <w:jc w:val="left"/>
        <w:rPr>
          <w:rFonts w:ascii="宋体" w:hAnsi="宋体"/>
          <w:b/>
          <w:kern w:val="0"/>
          <w:sz w:val="28"/>
        </w:rPr>
      </w:pPr>
      <w:r>
        <w:rPr>
          <w:rFonts w:hint="eastAsia" w:ascii="宋体" w:hAnsi="宋体"/>
          <w:b/>
          <w:kern w:val="0"/>
          <w:sz w:val="28"/>
        </w:rPr>
        <w:t>估价报告编号:云雨涵[2020]房评字第B005号</w:t>
      </w:r>
    </w:p>
    <w:p>
      <w:pPr>
        <w:adjustRightInd w:val="0"/>
        <w:snapToGrid w:val="0"/>
        <w:spacing w:line="500" w:lineRule="exact"/>
        <w:ind w:left="850" w:leftChars="405" w:firstLine="3" w:firstLineChars="1"/>
        <w:jc w:val="left"/>
        <w:rPr>
          <w:rFonts w:ascii="宋体" w:hAnsi="宋体"/>
          <w:b/>
          <w:kern w:val="0"/>
          <w:sz w:val="28"/>
        </w:rPr>
      </w:pPr>
    </w:p>
    <w:p>
      <w:pPr>
        <w:adjustRightInd w:val="0"/>
        <w:snapToGrid w:val="0"/>
        <w:spacing w:line="500" w:lineRule="exact"/>
        <w:ind w:left="850" w:leftChars="405"/>
        <w:jc w:val="left"/>
        <w:rPr>
          <w:rFonts w:ascii="宋体" w:hAnsi="宋体"/>
          <w:b/>
          <w:kern w:val="0"/>
          <w:sz w:val="28"/>
        </w:rPr>
      </w:pPr>
      <w:r>
        <w:rPr>
          <w:rFonts w:hint="eastAsia" w:ascii="宋体" w:hAnsi="宋体"/>
          <w:b/>
          <w:kern w:val="0"/>
          <w:sz w:val="28"/>
        </w:rPr>
        <w:t>估价项目名称</w:t>
      </w:r>
      <w:r>
        <w:rPr>
          <w:rFonts w:ascii="宋体" w:hAnsi="宋体"/>
          <w:b/>
          <w:kern w:val="0"/>
          <w:sz w:val="28"/>
        </w:rPr>
        <w:pict>
          <v:shape id="AutoShape 240" o:spid="_x0000_s1028" o:spt="61" type="#_x0000_t61" style="position:absolute;left:0pt;margin-left:797.35pt;margin-top:46.7pt;height:31.8pt;width:136.5pt;z-index:251669504;mso-width-relative:page;mso-height-relative:page;" fillcolor="#92CDDC"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I6AIAAA8GAAAOAAAAZHJzL2Uyb0RvYy54bWysVMlu2zAQvRfoPxC8J1q8C5GDwE6KAmkb&#10;NC16pklKYkuRLElbTr6+Q0p27CanojoIHA5n5r3Zrq73rUQ7bp3QqsTZZYoRV1QzoeoSf/92dzHH&#10;yHmiGJFa8RI/cYevl+/fXXWm4LlutGTcInCiXNGZEjfemyJJHG14S9ylNlyBstK2JR5EWyfMkg68&#10;tzLJ03SadNoyYzXlzsHtulfiZfRfVZz6L1XluEeyxIDNx7+N/034J8srUtSWmEbQAQb5BxQtEQqC&#10;Hl2tiSdoa8UrV62gVjtd+Uuq20RXlaA8cgA2WfoXm8eGGB65QHKcOabJ/T+39PPuwSLBoHYLjBRp&#10;oUY3W69jaJSPY4Y64wp4+GgebODozL2mvxxSetUQVfMba3XXcMIAVxYympwZBMGBKdp0nzQD/wT8&#10;x2TtK9sGh5AGtI81eTrWhO89onCZzUajyQRKR0E3TkfzaYSUkOJgbazzH7huUTiUuOOs5l+h8Csi&#10;pd76GIns7p2P9WEDScJ+ZhhVrYRy74hEF9PxbDoe+uHkUX76KF9MJ+M8UiTF4BOQHBAMDcDuhJTI&#10;av9D+CYmMrCKSneA4ZDRkK7+2tl6s5IWAY4SL/LVer0aYtSuN+tfT1L4oqMzi/XN7e3d6E2LLFi8&#10;YfIqCLCoD+CkUAjqCrmfL3p75CiRPDTJIYolkWVAJxXqQJPPDoG0FEflGdCzqO70WSs8rAEp2hLP&#10;+5BxMENT3SoWz54I2Z8Bq1QhMo8DPqQUSs3tY8M6xETog3w+WsDyYQKmfTRPp+lihhGRNawp6i1+&#10;sz5naPN0Mp/O+vaRpiF9efoahCaHQejrFs/H8FE6QRaHIfR/2Emu8PvNHqzDcaPZE4wFNEpohLBF&#10;4dBo+4xRBxupxO73lliOkfyooFcW2RjGEfkojCezHAR7qtmcaoii4KrEHkjH48r3a29rrKgbiJRF&#10;akqHca+ED5ReUA0CbJ3IZ9iQYa2dyvHVyx5f/gEAAP//AwBQSwMEFAAGAAgAAAAhAM4olK7iAAAA&#10;DAEAAA8AAABkcnMvZG93bnJldi54bWxMj81OwzAQhO9IvIO1SNyoUwhNG+JUCERVqRWiPwiObrzE&#10;EfE6st02vD3OCY6z82l2ppj3pmUndL6xJGA8SoAhVVY1VAvY715upsB8kKRkawkF/KCHeXl5Uchc&#10;2TNt8LQNNYsh5HMpQIfQ5Zz7SqORfmQ7pOh9WWdkiNLVXDl5juGm5bdJMuFGNhQ/aNnhk8bqe3s0&#10;AhYf9L5b0efbQq2X9Xr8unx2OhXi+qp/fAAWsA9/MAz1Y3UoY6eDPZLyrI36fpZmkRUwu0uBDcR0&#10;ksXLYfCyBHhZ8P8jyl8AAAD//wMAUEsBAi0AFAAGAAgAAAAhALaDOJL+AAAA4QEAABMAAAAAAAAA&#10;AAAAAAAAAAAAAFtDb250ZW50X1R5cGVzXS54bWxQSwECLQAUAAYACAAAACEAOP0h/9YAAACUAQAA&#10;CwAAAAAAAAAAAAAAAAAvAQAAX3JlbHMvLnJlbHNQSwECLQAUAAYACAAAACEA+f0MCOgCAAAPBgAA&#10;DgAAAAAAAAAAAAAAAAAuAgAAZHJzL2Uyb0RvYy54bWxQSwECLQAUAAYACAAAACEAziiUruIAAAAM&#10;AQAADwAAAAAAAAAAAAAAAABCBQAAZHJzL2Rvd25yZXYueG1sUEsFBgAAAAAEAAQA8wAAAFEGAAAA&#10;AA==&#10;" adj="-3189,74853">
            <v:path/>
            <v:fill type="gradient" on="t" color2="#DAEEF3" angle="135" focus="50%" focussize="0,0"/>
            <v:stroke weight="1pt" color="#92CDDC" joinstyle="miter"/>
            <v:imagedata o:title=""/>
            <o:lock v:ext="edit"/>
            <v:shadow on="t" color="#205867" opacity="32768f" offset="1pt,2pt"/>
            <v:textbox>
              <w:txbxContent>
                <w:p>
                  <w:pPr>
                    <w:jc w:val="center"/>
                    <w:rPr>
                      <w:color w:val="002060"/>
                      <w:sz w:val="28"/>
                      <w:szCs w:val="28"/>
                    </w:rPr>
                  </w:pPr>
                  <w:r>
                    <w:rPr>
                      <w:rFonts w:hint="eastAsia"/>
                      <w:color w:val="002060"/>
                      <w:sz w:val="28"/>
                      <w:szCs w:val="28"/>
                    </w:rPr>
                    <w:t>估价对象所在地块</w:t>
                  </w:r>
                </w:p>
              </w:txbxContent>
            </v:textbox>
          </v:shape>
        </w:pict>
      </w:r>
      <w:r>
        <w:rPr>
          <w:rFonts w:ascii="宋体" w:hAnsi="宋体"/>
          <w:b/>
          <w:kern w:val="0"/>
          <w:sz w:val="28"/>
        </w:rPr>
        <w:pict>
          <v:shape id="AutoShape 237" o:spid="_x0000_s1280" style="position:absolute;left:0pt;margin-left:843.9pt;margin-top:216.55pt;height:16.5pt;width:14.25pt;z-index:251665408;mso-width-relative:page;mso-height-relative:page;" fillcolor="#FF0000" filled="t" stroked="f"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KufQIAAP4EAAAOAAAAZHJzL2Uyb0RvYy54bWysVNuO0zAQfUfiHyy/d3Mh2TbRpqu9EIS0&#10;wEoLH+DaTmPh2MZ2my6If2fstKUFHhCiD64nMx7PmXPGV9e7QaItt05o1eDsIsWIK6qZUOsGf/rY&#10;zhYYOU8UI1Ir3uBn7vD18uWLq9HUPNe9loxbBEmUq0fT4N57UyeJoz0fiLvQhitwdtoOxINp1wmz&#10;ZITsg0zyNL1MRm2ZsZpy5+Dr/eTEy5i/6zj1H7rOcY9kg6E2H1cb11VYk+UVqdeWmF7QfRnkH6oY&#10;iFBw6THVPfEEbaz4LdUgqNVOd/6C6iHRXScojxgATZb+guapJ4ZHLNAcZ45tcv8vLX2/fbRIMOAO&#10;mFJkAI5uNl7Hq1H+ah46NBpXQ+CTebQBozMPmn52SOm7nqg1v7FWjz0nDOrKQnxydiAYDo6i1fhO&#10;M8hPIH9s1q6zQ0gIbUC7yMnzkRO+84jCx2yRVvMSIwquPK3KMnKWkPpw2Fjn33A9oLBpMIjNljE7&#10;2T44H6oh9SEmVq+lYK2QMhp2vbqTFm0J6KNtU/hFAADyNEyqEKx0ODZlnL5AkXBH8IVyI9/fqiwv&#10;0tu8mrWXi/msaItyVs3TxSzNqtvqMi2q4r79HgrMiroXjHH1IBQ/aC8r/o7b/RRMqonqQ2ODqzKf&#10;sJ9V705BBoh/BjkID6MoxdDgxTGI1IHY14oBbFJ7IuS0T87Lj12GHhz+Y1eiDALzk4JWmj2DCqwG&#10;lmAU4dGATa/tV4xGGECg7suGWI6RfKtASVVWFGFio1GU8xwMe+pZnXqIopCqwR6jaXvnpynfGCvW&#10;PdyURVEoHdTdiSiMoMypqr1mYcgigv2DEKb41I5RP5+t5Q8AAAD//wMAUEsDBBQABgAIAAAAIQA0&#10;8Gj04wAAAA0BAAAPAAAAZHJzL2Rvd25yZXYueG1sTI/NTsMwEITvSLyDtUjcqJMGuVWIU6Hyc6qE&#10;GqjUoxNvk0C8TmM3Td8e9wTH2RnNfJutJtOxEQfXWpIQzyJgSJXVLdUSvj7fHpbAnFekVWcJJVzQ&#10;wSq/vclUqu2ZtjgWvmahhFyqJDTe9ynnrmrQKDezPVLwDnYwygc51FwP6hzKTcfnUSS4US2FhUb1&#10;uG6w+ilORsJhfanLYnf8/nj3x5e9m29eR7eR8v5uen4C5nHyf2G44gd0yANTaU+kHeuCFstFYPcS&#10;HpMkBnaNLGKRACvDSYgYeJ7x/1/kvwAAAP//AwBQSwECLQAUAAYACAAAACEAtoM4kv4AAADhAQAA&#10;EwAAAAAAAAAAAAAAAAAAAAAAW0NvbnRlbnRfVHlwZXNdLnhtbFBLAQItABQABgAIAAAAIQA4/SH/&#10;1gAAAJQBAAALAAAAAAAAAAAAAAAAAC8BAABfcmVscy8ucmVsc1BLAQItABQABgAIAAAAIQAifyKu&#10;fQIAAP4EAAAOAAAAAAAAAAAAAAAAAC4CAABkcnMvZTJvRG9jLnhtbFBLAQItABQABgAIAAAAIQA0&#10;8Gj04wAAAA0BAAAPAAAAAAAAAAAAAAAAANcEAABkcnMvZG93bnJldi54bWxQSwUGAAAAAAQABADz&#10;AAAA5wUAAAAA&#10;" path="m0,80041l69127,80041,90488,0,111848,80041,180975,80041,125050,129508,146412,209549,90488,160081,34563,209549,55925,129508,0,80041xe">
            <v:path o:connecttype="custom" o:connectlocs="0,80041;69127,80041;90488,0;111848,80041;180975,80041;125050,129508;146412,209549;90488,160081;34563,209549;55925,129508;0,80041" o:connectangles="0,0,0,0,0,0,0,0,0,0,0"/>
            <v:fill on="t" focussize="0,0"/>
            <v:stroke on="f" joinstyle="miter"/>
            <v:imagedata o:title=""/>
            <o:lock v:ext="edit"/>
          </v:shape>
        </w:pict>
      </w:r>
      <w:r>
        <w:rPr>
          <w:rFonts w:ascii="宋体" w:hAnsi="宋体"/>
          <w:b/>
          <w:kern w:val="0"/>
          <w:sz w:val="28"/>
        </w:rPr>
        <w:pict>
          <v:shape id="AutoShape 241" o:spid="_x0000_s1279" style="position:absolute;left:0pt;margin-left:843.9pt;margin-top:211.05pt;height:16.5pt;width:14.25pt;z-index:251670528;mso-width-relative:page;mso-height-relative:page;" fillcolor="#FF0000" filled="t" stroked="f"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GfQIAAP4EAAAOAAAAZHJzL2Uyb0RvYy54bWysVG1v0zAQ/o7Ef7D8vcuLkrWJmk5bRxDS&#10;gEmDH+DaTmPh2MZ2mw60/87ZWUsHfECIfnB9ufP5ee6e8/LqMEi059YJrRqcXaQYcUU1E2rb4M+f&#10;2tkCI+eJYkRqxRv8yB2+Wr1+tRxNzXPda8m4RZBEuXo0De69N3WSONrzgbgLbbgCZ6ftQDyYdpsw&#10;S0bIPsgkT9PLZNSWGaspdw6+3k5OvIr5u45T/7HrHPdINhiw+bjauG7CmqyWpN5aYnpBn2GQf0Ax&#10;EKHg0lOqW+IJ2lnxW6pBUKud7vwF1UOiu05QHjkAmyz9hc1DTwyPXKA4zpzK5P5fWvphf2+RYNC7&#10;OUaKDNCj653X8WqUF1mo0GhcDYEP5t4Gjs7cafrFIaXXPVFbfm2tHntOGOCK8cmLA8FwcBRtxvea&#10;QX4C+WOxDp0dQkIoAzrEnjyeesIPHlH4mC3Sal5iRMGVp1VZxp4lpD4eNtb5t1wPKGwaDGKzZcxO&#10;9nfOA3qIPcZE9FoK1gopo2G3m7W0aE9AH22bwi8QhiPuPEyqEKx0ODa5py8AEu4IvgA39vt7leVF&#10;epNXs/ZyMZ8VbVHOqnm6mKVZdVNdpkVV3LZPAWBW1L1gjKs7ofhRe1nxd719noJJNVF9aGxwVeYT&#10;9xfo3TnJQPHPJAfhYRSlGBq8OAWROjT2jWJAm9SeCDntk5fwY8mgBsf/WJUog9D5SUEbzR5BBVZD&#10;l2AU4dGATa/tN4xGGEBo3dcdsRwj+U6BkqqsKMLERqMo5zkY9tyzOfcQRSFVgz1G03btpynfGSu2&#10;PdyURVEoHdTdiSiMoMwJFeAOBgxZZPD8IIQpPrdj1M9na/UDAAD//wMAUEsDBBQABgAIAAAAIQDz&#10;phLB4wAAAA0BAAAPAAAAZHJzL2Rvd25yZXYueG1sTI9PT4NAEMXvJn6HzZh4swtoaYMsjal/Tk2M&#10;aJMeF5gCys5Sdkvpt3d60uOb9/Leb9LVZDox4uBaSwrCWQACqbRVS7WCr8/XuyUI5zVVurOECs7o&#10;YJVdX6U6qeyJPnDMfS24hFyiFTTe94mUrmzQaDezPRJ7ezsY7VkOtawGfeJy08koCGJpdEu80Oge&#10;1w2WP/nRKNivz3WRbw/f72/+8Lxz0eZldBulbm+mp0cQHif/F4YLPqNDxkyFPVLlRMc6Xi6Y3St4&#10;iKIQxCWyCON7EAWf5vMQZJbK/19kvwAAAP//AwBQSwECLQAUAAYACAAAACEAtoM4kv4AAADhAQAA&#10;EwAAAAAAAAAAAAAAAAAAAAAAW0NvbnRlbnRfVHlwZXNdLnhtbFBLAQItABQABgAIAAAAIQA4/SH/&#10;1gAAAJQBAAALAAAAAAAAAAAAAAAAAC8BAABfcmVscy8ucmVsc1BLAQItABQABgAIAAAAIQB8mf+G&#10;fQIAAP4EAAAOAAAAAAAAAAAAAAAAAC4CAABkcnMvZTJvRG9jLnhtbFBLAQItABQABgAIAAAAIQDz&#10;phLB4wAAAA0BAAAPAAAAAAAAAAAAAAAAANcEAABkcnMvZG93bnJldi54bWxQSwUGAAAAAAQABADz&#10;AAAA5wUAAAAA&#10;" path="m0,80041l69127,80041,90488,0,111848,80041,180975,80041,125050,129508,146412,209549,90488,160081,34563,209549,55925,129508,0,80041xe">
            <v:path o:connecttype="custom" o:connectlocs="0,80041;69127,80041;90488,0;111848,80041;180975,80041;125050,129508;146412,209549;90488,160081;34563,209549;55925,129508;0,80041" o:connectangles="0,0,0,0,0,0,0,0,0,0,0"/>
            <v:fill on="t" focussize="0,0"/>
            <v:stroke on="f" joinstyle="miter"/>
            <v:imagedata o:title=""/>
            <o:lock v:ext="edit"/>
          </v:shape>
        </w:pict>
      </w:r>
      <w:r>
        <w:rPr>
          <w:rFonts w:ascii="宋体" w:hAnsi="宋体"/>
          <w:b/>
          <w:kern w:val="0"/>
          <w:sz w:val="28"/>
        </w:rPr>
        <w:pict>
          <v:shape id="AutoShape 239" o:spid="_x0000_s1278" style="position:absolute;left:0pt;margin-left:829.65pt;margin-top:182.55pt;height:16.5pt;width:14.25pt;z-index:251668480;mso-width-relative:page;mso-height-relative:page;" fillcolor="#FF0000" filled="t" stroked="f"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19fQIAAP4EAAAOAAAAZHJzL2Uyb0RvYy54bWysVNuO0zAQfUfiHyy/d3MhaZto09VeCEJa&#10;YKWFD3Btp7FwbGO7TRfEvzN22tIFHhCiD64nMz6eM3PGl1f7QaIdt05o1eDsIsWIK6qZUJsGf/rY&#10;zpYYOU8UI1Ir3uAn7vDV6uWLy9HUPNe9loxbBCDK1aNpcO+9qZPE0Z4PxF1owxU4O20H4sG0m4RZ&#10;MgL6IJM8TefJqC0zVlPuHHy9m5x4FfG7jlP/oesc90g2GHLzcbVxXYc1WV2SemOJ6QU9pEH+IYuB&#10;CAWXnqDuiCdoa8VvUIOgVjvd+Quqh0R3naA8cgA2WfoLm8eeGB65QHGcOZXJ/T9Y+n73YJFg0Ls5&#10;RooM0KPrrdfxapS/qkKFRuNqCHw0DzZwdOZe088OKX3bE7Xh19bqseeEQV5ZiE+eHQiGg6NoPb7T&#10;DPAJ4Mdi7Ts7BEAoA9rHnjydesL3HlH4mC3TalFiRMGVp1VZxp4lpD4eNtb5N1wPKGwaDGKzZUQn&#10;u3vnQzakPsbE7LUUrBVSRsNu1rfSoh0BfbRtCr9IAEieh0kVgpUOxybE6QskCXcEX0g39vtbleVF&#10;epNXs3a+XMyKtihn1SJdztKsuqnmaVEVd+33kGBW1L1gjKt7ofhRe1nxd709TMGkmqg+NDa4KvOJ&#10;+7Ps3TnJQPHPJAfhYRSlGBq8PAWROjT2tWJAm9SeCDntk+fpxypDDY7/sSpRBqHzk4LWmj2BCqyG&#10;LsEowqMBm17brxiNMIDQui9bYjlG8q0CJVVZUYSJjUZRLnIw7Llnfe4higJUgz1G0/bWT1O+NVZs&#10;ergpi6JQOqi7E1EYQZlTVgfNwpBFBocHIUzxuR2jfj5bqx8AAAD//wMAUEsDBBQABgAIAAAAIQBr&#10;ihvX4wAAAA0BAAAPAAAAZHJzL2Rvd25yZXYueG1sTI9PT4NAEMXvJn6HzZh4swttihRZGlP/nJo0&#10;oiYeF5gCys5Sdkvpt3d60uN788ub99L1ZDox4uBaSwrCWQACqbRVS7WCj/eXuxiE85oq3VlCBWd0&#10;sM6ur1KdVPZEbzjmvhYcQi7RChrv+0RKVzZotJvZHolvezsY7VkOtawGfeJw08l5EETS6Jb4Q6N7&#10;3DRY/uRHo2C/OddF/nn43r36w9OXm2+fR7dV6vZmenwA4XHyfzBc6nN1yLhTYY9UOdGxjparBbMK&#10;FtEyBHFBovie5xRsreIQZJbK/yuyXwAAAP//AwBQSwECLQAUAAYACAAAACEAtoM4kv4AAADhAQAA&#10;EwAAAAAAAAAAAAAAAAAAAAAAW0NvbnRlbnRfVHlwZXNdLnhtbFBLAQItABQABgAIAAAAIQA4/SH/&#10;1gAAAJQBAAALAAAAAAAAAAAAAAAAAC8BAABfcmVscy8ucmVsc1BLAQItABQABgAIAAAAIQCmAd19&#10;fQIAAP4EAAAOAAAAAAAAAAAAAAAAAC4CAABkcnMvZTJvRG9jLnhtbFBLAQItABQABgAIAAAAIQBr&#10;ihvX4wAAAA0BAAAPAAAAAAAAAAAAAAAAANcEAABkcnMvZG93bnJldi54bWxQSwUGAAAAAAQABADz&#10;AAAA5wUAAAAA&#10;" path="m0,80041l69127,80041,90488,0,111848,80041,180975,80041,125050,129508,146412,209549,90488,160081,34563,209549,55925,129508,0,80041xe">
            <v:path o:connecttype="custom" o:connectlocs="0,80041;69127,80041;90488,0;111848,80041;180975,80041;125050,129508;146412,209549;90488,160081;34563,209549;55925,129508;0,80041" o:connectangles="0,0,0,0,0,0,0,0,0,0,0"/>
            <v:fill on="t" focussize="0,0"/>
            <v:stroke on="f" joinstyle="miter"/>
            <v:imagedata o:title=""/>
            <o:lock v:ext="edit"/>
          </v:shape>
        </w:pict>
      </w:r>
      <w:r>
        <w:rPr>
          <w:rFonts w:ascii="宋体" w:hAnsi="宋体"/>
          <w:b/>
          <w:kern w:val="0"/>
          <w:sz w:val="28"/>
        </w:rPr>
        <w:pict>
          <v:shape id="AutoShape 238" o:spid="_x0000_s1029" o:spt="61" type="#_x0000_t61" style="position:absolute;left:0pt;margin-left:797.35pt;margin-top:110.3pt;height:31.8pt;width:136.5pt;z-index:251666432;mso-width-relative:page;mso-height-relative:page;" fillcolor="#92CDDC"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mh7AIAABYGAAAOAAAAZHJzL2Uyb0RvYy54bWysVEtv2zAMvg/YfxB0b/3IywnqFEXSDgO6&#10;rVg37KxIsq1NljRJidP++lGykyZrT8N8MERRJD/yI3l1vW8l2nHrhFYlzi5TjLiimglVl/j7t7uL&#10;AiPniWJEasVL/MQdvl6+f3fVmQXPdaMl4xaBE+UWnSlx471ZJImjDW+Ju9SGK1BW2rbEg2jrhFnS&#10;gfdWJnmaTpNOW2asptw5uF33SryM/quKU/+lqhz3SJYYsPn4t/G/Cf9keUUWtSWmEXSAQf4BRUuE&#10;gqBHV2viCdpa8cpVK6jVTlf+kuo20VUlKI85QDZZ+lc2jw0xPOYCxXHmWCb3/9zSz7sHiwQD7iYY&#10;KdICRzdbr2NolI+KUKHOuAU8fDQPNuTozL2mvxxSetUQVfMba3XXcMIAVxbeJ2cGQXBgijbdJ83A&#10;PwH/sVj7yrbBIZQB7SMnT0dO+N4jCpfZbDSaTIA6CrpxOiqmkbSELA7Wxjr/gesWhUOJO85q/hWI&#10;XxEp9dbHSGR373zkhw1JEvYzw6hqJdC9IxJdTMez6Xjoh5NH+emjfD6djPOYIlkMPgHJAcHQAOxO&#10;SIms9j+Eb2IhQ1ZR6Q4wHDIaytVfO1tvVtIiwFHieb5ar1dDjNr1Zv3rSQpfdHRmsb65vb0bvWmR&#10;BYs3TF4FgSzqAzgpFAJeofbFvLdHjhLJQ5McolgSswzopEIdaPLZIZCW4qg8A3oW1Z0+a4WHNSBF&#10;W+KiDxkHMzTVrWLx7ImQ/RmwShUi8zjgQ0mBam4fG9YhJkIf5MVoDsuHCZj2UZFO0/kMIyJrWFPU&#10;W/wmP2do83RSTGd9+0jTkJ6enoPQ5DAIPW/xfAwfpRNkcRhC//dz5PebfT9voZRhNjaaPcF0QL+E&#10;fgjLFA6Nts8YdbCYSux+b4nlGMmPClpmno3HYZNFYTyZ5SDYU83mVEMUBVcl9pB7PK58v/22xoq6&#10;gUhZzFDpMPWV8CGzF1SDAMsnpjUsyrDdTuX46mWdL/8AAAD//wMAUEsDBBQABgAIAAAAIQANXtPv&#10;4wAAAA0BAAAPAAAAZHJzL2Rvd25yZXYueG1sTI/BTsMwEETvSPyDtUjcqNMopGmIUyEQVSUqRFsQ&#10;HN3YxBHxOrLdNvw92xMcZ/ZpdqZajLZnR+1D51DAdJIA09g41WEr4G33dFMAC1Gikr1DLeBHB1jU&#10;lxeVLJU74UYft7FlFIKhlAJMjEPJeWiMtjJM3KCRbl/OWxlJ+pYrL08UbnueJknOreyQPhg56Aej&#10;m+/twQpYfuD77hk/X5dqvWrX05fVozeZENdX4/0dsKjH+AfDuT5Vh5o67d0BVWA96dt5NiNWQJom&#10;ObAzUuQzsvZkFVkKvK74/xX1LwAAAP//AwBQSwECLQAUAAYACAAAACEAtoM4kv4AAADhAQAAEwAA&#10;AAAAAAAAAAAAAAAAAAAAW0NvbnRlbnRfVHlwZXNdLnhtbFBLAQItABQABgAIAAAAIQA4/SH/1gAA&#10;AJQBAAALAAAAAAAAAAAAAAAAAC8BAABfcmVscy8ucmVsc1BLAQItABQABgAIAAAAIQDkfWmh7AIA&#10;ABYGAAAOAAAAAAAAAAAAAAAAAC4CAABkcnMvZTJvRG9jLnhtbFBLAQItABQABgAIAAAAIQANXtPv&#10;4wAAAA0BAAAPAAAAAAAAAAAAAAAAAEYFAABkcnMvZG93bnJldi54bWxQSwUGAAAAAAQABADzAAAA&#10;VgYAAAAA&#10;" adj="-3189,74853">
            <v:path/>
            <v:fill type="gradient" on="t" color2="#DAEEF3" angle="135" focus="50%" focussize="0,0"/>
            <v:stroke weight="1pt" color="#92CDDC" joinstyle="miter"/>
            <v:imagedata o:title=""/>
            <o:lock v:ext="edit"/>
            <v:shadow on="t" color="#205867" opacity="32768f" offset="1pt,2pt"/>
            <v:textbox>
              <w:txbxContent>
                <w:p>
                  <w:pPr>
                    <w:jc w:val="center"/>
                    <w:rPr>
                      <w:color w:val="002060"/>
                      <w:sz w:val="28"/>
                      <w:szCs w:val="28"/>
                    </w:rPr>
                  </w:pPr>
                  <w:r>
                    <w:rPr>
                      <w:rFonts w:hint="eastAsia"/>
                      <w:color w:val="002060"/>
                      <w:sz w:val="28"/>
                      <w:szCs w:val="28"/>
                    </w:rPr>
                    <w:t>估价对象所在地块</w:t>
                  </w:r>
                </w:p>
              </w:txbxContent>
            </v:textbox>
          </v:shape>
        </w:pict>
      </w:r>
      <w:r>
        <w:rPr>
          <w:rFonts w:hint="eastAsia" w:ascii="宋体" w:hAnsi="宋体"/>
          <w:b/>
          <w:kern w:val="0"/>
          <w:sz w:val="28"/>
        </w:rPr>
        <w:drawing>
          <wp:anchor distT="0" distB="0" distL="114300" distR="114300" simplePos="0" relativeHeight="251667456" behindDoc="0" locked="0" layoutInCell="1" allowOverlap="1">
            <wp:simplePos x="0" y="0"/>
            <wp:positionH relativeFrom="column">
              <wp:posOffset>10302240</wp:posOffset>
            </wp:positionH>
            <wp:positionV relativeFrom="paragraph">
              <wp:posOffset>426085</wp:posOffset>
            </wp:positionV>
            <wp:extent cx="1019175" cy="1056640"/>
            <wp:effectExtent l="152400" t="133350" r="142875" b="124460"/>
            <wp:wrapNone/>
            <wp:docPr id="2" name="图片 1" descr="\\192.168.0.2\software (d)\2009\2009报告\经济开发区管委会-良方制药厂（优化）\估价对象趣味图\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2.168.0.2\software (d)\2009\2009报告\经济开发区管委会-良方制药厂（优化）\估价对象趣味图\111.bmp"/>
                    <pic:cNvPicPr>
                      <a:picLocks noChangeAspect="1" noChangeArrowheads="1"/>
                    </pic:cNvPicPr>
                  </pic:nvPicPr>
                  <pic:blipFill>
                    <a:blip r:embed="rId10" cstate="print"/>
                    <a:srcRect/>
                    <a:stretch>
                      <a:fillRect/>
                    </a:stretch>
                  </pic:blipFill>
                  <pic:spPr>
                    <a:xfrm rot="1088016">
                      <a:off x="0" y="0"/>
                      <a:ext cx="1019175" cy="1056640"/>
                    </a:xfrm>
                    <a:prstGeom prst="rect">
                      <a:avLst/>
                    </a:prstGeom>
                    <a:noFill/>
                    <a:ln w="9525">
                      <a:noFill/>
                      <a:miter lim="800000"/>
                      <a:headEnd/>
                      <a:tailEnd/>
                    </a:ln>
                  </pic:spPr>
                </pic:pic>
              </a:graphicData>
            </a:graphic>
          </wp:anchor>
        </w:drawing>
      </w:r>
      <w:r>
        <w:rPr>
          <w:rFonts w:hint="eastAsia" w:ascii="宋体" w:hAnsi="宋体"/>
          <w:b/>
          <w:kern w:val="0"/>
          <w:sz w:val="28"/>
        </w:rPr>
        <w:t>：玉溪市红塔区研和街道南湖路1号汇海佳苑小区共15套房地产、</w:t>
      </w:r>
    </w:p>
    <w:p>
      <w:pPr>
        <w:adjustRightInd w:val="0"/>
        <w:snapToGrid w:val="0"/>
        <w:spacing w:line="500" w:lineRule="exact"/>
        <w:ind w:left="850" w:leftChars="405" w:firstLine="1968" w:firstLineChars="700"/>
        <w:jc w:val="left"/>
        <w:rPr>
          <w:rFonts w:ascii="宋体" w:hAnsi="宋体"/>
          <w:b/>
          <w:kern w:val="0"/>
          <w:sz w:val="28"/>
        </w:rPr>
      </w:pPr>
      <w:r>
        <w:rPr>
          <w:rFonts w:hint="eastAsia" w:ascii="宋体" w:hAnsi="宋体"/>
          <w:b/>
          <w:kern w:val="0"/>
          <w:sz w:val="28"/>
        </w:rPr>
        <w:t>281个车位市场价值评估</w:t>
      </w:r>
    </w:p>
    <w:p>
      <w:pPr>
        <w:adjustRightInd w:val="0"/>
        <w:snapToGrid w:val="0"/>
        <w:spacing w:line="500" w:lineRule="exact"/>
        <w:ind w:left="850" w:leftChars="405" w:firstLine="3" w:firstLineChars="1"/>
        <w:jc w:val="left"/>
        <w:rPr>
          <w:rFonts w:ascii="宋体" w:hAnsi="宋体"/>
          <w:b/>
          <w:bCs/>
          <w:kern w:val="0"/>
          <w:sz w:val="28"/>
        </w:rPr>
      </w:pPr>
    </w:p>
    <w:p>
      <w:pPr>
        <w:adjustRightInd w:val="0"/>
        <w:snapToGrid w:val="0"/>
        <w:spacing w:line="500" w:lineRule="exact"/>
        <w:ind w:left="850" w:leftChars="405" w:firstLine="3" w:firstLineChars="1"/>
        <w:jc w:val="left"/>
        <w:rPr>
          <w:rFonts w:ascii="宋体" w:hAnsi="宋体"/>
          <w:b/>
          <w:kern w:val="0"/>
          <w:sz w:val="28"/>
        </w:rPr>
      </w:pPr>
      <w:r>
        <w:rPr>
          <w:rFonts w:ascii="宋体" w:hAnsi="宋体"/>
          <w:b/>
          <w:kern w:val="0"/>
          <w:sz w:val="28"/>
        </w:rPr>
        <w:pict>
          <v:shape id="文本框 26" o:spid="_x0000_s1030" o:spt="202" type="#_x0000_t202" style="position:absolute;left:0pt;margin-left:278.8pt;margin-top:682.9pt;height:46.8pt;width:45pt;z-index:2516797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t0lgIAAPcEAAAOAAAAZHJzL2Uyb0RvYy54bWysVMty0zAU3TPDP2i0T20HJ409dTp9mU2B&#10;zjRM14olxwLrgaTEzjBs4Q9YsWHPd/U7uJKdtsCGYchCkaXrc+8951yfnPaiRTtmLFeywMlRjBGT&#10;laJcbgr8dlVOFhhZRyQlrZKswHtm8eny+bOTTudsqhrVUmYQgEibd7rAjXM6jyJbNUwQe6Q0k3BZ&#10;KyOIg0eziaghHaCLNprG8TzqlKHaqIpZC6eXwyVeBvy6ZpV7U9eWOdQWGGpzYTVhXfs1Wp6QfGOI&#10;bng1lkH+oQpBuISkD1CXxBG0NfwPKMEro6yq3VGlRKTqmlcs9ADdJPFv3dw2RLPQC5Bj9QNN9v/B&#10;Vq93NwZxWuDpHCNJBGh0//XL/bcf998/IzgDgjptc4i71RDp+nPVg9ChWauvVfXeIqkuGiI37MwY&#10;1TWMUCgwAbTxOLSx2muADqcr1rsrykGLxMNHT/CHZNZnWnevFIVXyNapkK2vjfAUA2kISgA19w8K&#10;AiKq4HB2nMxiuKngapalL+ZB4Yjkh5e1se4lUwL5TYENGCSAk921db4Ykh9CfC7AhfNxNwj6MUum&#10;aXw+zSblfHE8Sct0NsmO48UkTrLzbB6nWXpZfvKgSZo3nFImr7lkB3Ml6d+JN9p8sEWwF+oKnM2m&#10;s4F61XJa8rb1tVmzWV+0Bu2Idzn8yjIQCzdPw4zaShoM7zW6GveO8HbYR79WHMgAAg7/gYggltdn&#10;UMr16z64JwlEeyXXiu5Bvg5mqsD2w5YYBlbYigsFxYH+tVHiDob2zAQD+Po946v+jhg9yuIg7U17&#10;mKmgjY/b0NGhhL4DINHCqELPCCQH0Qf1xuBRxwE1cKTPwEglDyI/1jnaD6YrtDl+Cfz4Pn0OUY/f&#10;q+VP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Ijg+3SWAgAA9wQAAA4AAAAAAAAAAAAAAAAALgIAAGRycy9lMm9E&#10;b2MueG1sUEsBAi0AFAAGAAgAAAAhAAcP/eDhAAAADQEAAA8AAAAAAAAAAAAAAAAA8AQAAGRycy9k&#10;b3ducmV2LnhtbFBLBQYAAAAABAAEAPMAAAD+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r>
        <w:rPr>
          <w:rFonts w:hint="eastAsia" w:ascii="宋体" w:hAnsi="宋体"/>
          <w:b/>
          <w:kern w:val="0"/>
          <w:sz w:val="28"/>
        </w:rPr>
        <w:t xml:space="preserve"> 估价委托方:昆明市中级人民法院</w:t>
      </w:r>
    </w:p>
    <w:p>
      <w:pPr>
        <w:adjustRightInd w:val="0"/>
        <w:snapToGrid w:val="0"/>
        <w:spacing w:line="500" w:lineRule="exact"/>
        <w:ind w:left="850" w:leftChars="405" w:firstLine="3" w:firstLineChars="1"/>
        <w:jc w:val="left"/>
        <w:rPr>
          <w:rFonts w:ascii="宋体" w:hAnsi="宋体"/>
          <w:b/>
          <w:kern w:val="0"/>
          <w:sz w:val="28"/>
        </w:rPr>
      </w:pPr>
    </w:p>
    <w:p>
      <w:pPr>
        <w:adjustRightInd w:val="0"/>
        <w:snapToGrid w:val="0"/>
        <w:spacing w:line="500" w:lineRule="exact"/>
        <w:ind w:left="850" w:leftChars="405" w:firstLine="3" w:firstLineChars="1"/>
        <w:jc w:val="left"/>
        <w:rPr>
          <w:rFonts w:ascii="宋体" w:hAnsi="宋体"/>
          <w:b/>
          <w:kern w:val="0"/>
          <w:sz w:val="28"/>
        </w:rPr>
      </w:pPr>
      <w:r>
        <w:rPr>
          <w:rFonts w:hint="eastAsia" w:ascii="宋体" w:hAnsi="宋体"/>
          <w:b/>
          <w:kern w:val="0"/>
          <w:sz w:val="28"/>
        </w:rPr>
        <w:t xml:space="preserve"> 估价机构: 云南雨涵房地产评估有限责任公司</w:t>
      </w:r>
    </w:p>
    <w:p>
      <w:pPr>
        <w:adjustRightInd w:val="0"/>
        <w:snapToGrid w:val="0"/>
        <w:spacing w:line="500" w:lineRule="exact"/>
        <w:ind w:left="850" w:leftChars="405" w:firstLine="3" w:firstLineChars="1"/>
        <w:jc w:val="left"/>
        <w:rPr>
          <w:rFonts w:ascii="宋体" w:hAnsi="宋体"/>
          <w:b/>
          <w:kern w:val="0"/>
          <w:sz w:val="28"/>
        </w:rPr>
      </w:pPr>
    </w:p>
    <w:p>
      <w:pPr>
        <w:adjustRightInd w:val="0"/>
        <w:snapToGrid w:val="0"/>
        <w:spacing w:line="500" w:lineRule="exact"/>
        <w:ind w:left="850" w:leftChars="405" w:firstLine="3" w:firstLineChars="1"/>
        <w:jc w:val="left"/>
        <w:rPr>
          <w:rFonts w:ascii="宋体" w:hAnsi="宋体"/>
          <w:b/>
          <w:kern w:val="0"/>
          <w:sz w:val="28"/>
        </w:rPr>
      </w:pPr>
      <w:r>
        <w:rPr>
          <w:rFonts w:hint="eastAsia" w:ascii="宋体" w:hAnsi="宋体"/>
          <w:b/>
          <w:kern w:val="0"/>
          <w:sz w:val="28"/>
        </w:rPr>
        <w:t xml:space="preserve"> 注册房地产估价师: 马海波   注册号：</w:t>
      </w:r>
      <w:r>
        <w:rPr>
          <w:rFonts w:ascii="宋体" w:hAnsi="宋体"/>
          <w:b/>
          <w:kern w:val="0"/>
          <w:sz w:val="28"/>
        </w:rPr>
        <w:t>5320120022</w:t>
      </w:r>
    </w:p>
    <w:p>
      <w:pPr>
        <w:adjustRightInd w:val="0"/>
        <w:snapToGrid w:val="0"/>
        <w:spacing w:line="500" w:lineRule="exact"/>
        <w:ind w:firstLine="3545" w:firstLineChars="1261"/>
        <w:jc w:val="left"/>
        <w:rPr>
          <w:rFonts w:ascii="宋体" w:hAnsi="宋体"/>
          <w:b/>
          <w:kern w:val="0"/>
          <w:sz w:val="28"/>
        </w:rPr>
      </w:pPr>
      <w:r>
        <w:rPr>
          <w:rFonts w:hint="eastAsia" w:ascii="宋体" w:hAnsi="宋体"/>
          <w:b/>
          <w:kern w:val="0"/>
          <w:sz w:val="28"/>
        </w:rPr>
        <w:t>陶  凯   注册号：</w:t>
      </w:r>
      <w:r>
        <w:rPr>
          <w:rFonts w:ascii="宋体" w:hAnsi="宋体"/>
          <w:b/>
          <w:kern w:val="0"/>
          <w:sz w:val="28"/>
        </w:rPr>
        <w:t>532012002</w:t>
      </w:r>
      <w:r>
        <w:rPr>
          <w:rFonts w:hint="eastAsia" w:ascii="宋体" w:hAnsi="宋体"/>
          <w:b/>
          <w:kern w:val="0"/>
          <w:sz w:val="28"/>
        </w:rPr>
        <w:t>3</w:t>
      </w:r>
    </w:p>
    <w:p>
      <w:pPr>
        <w:adjustRightInd w:val="0"/>
        <w:snapToGrid w:val="0"/>
        <w:spacing w:line="500" w:lineRule="exact"/>
        <w:ind w:firstLine="3486" w:firstLineChars="1240"/>
        <w:jc w:val="left"/>
        <w:rPr>
          <w:rFonts w:ascii="宋体" w:hAnsi="宋体"/>
          <w:b/>
          <w:kern w:val="0"/>
          <w:sz w:val="28"/>
        </w:rPr>
      </w:pPr>
    </w:p>
    <w:p>
      <w:pPr>
        <w:adjustRightInd w:val="0"/>
        <w:snapToGrid w:val="0"/>
        <w:spacing w:line="500" w:lineRule="exact"/>
        <w:ind w:left="850" w:leftChars="405" w:firstLine="3" w:firstLineChars="1"/>
        <w:jc w:val="left"/>
        <w:rPr>
          <w:rFonts w:ascii="宋体" w:hAnsi="宋体"/>
          <w:b/>
          <w:kern w:val="0"/>
          <w:sz w:val="28"/>
        </w:rPr>
      </w:pPr>
      <w:r>
        <w:rPr>
          <w:rFonts w:ascii="宋体" w:hAnsi="宋体"/>
          <w:b/>
          <w:kern w:val="0"/>
          <w:sz w:val="28"/>
        </w:rPr>
        <w:pict>
          <v:shape id="文本框 25" o:spid="_x0000_s1031" o:spt="202" type="#_x0000_t202" style="position:absolute;left:0pt;margin-left:278.8pt;margin-top:682.9pt;height:46.8pt;width:45pt;z-index:2516787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g/kwIAAPYEAAAOAAAAZHJzL2Uyb0RvYy54bWysVMty0zAU3TPDP2i0T20HJ409dTp9mU2B&#10;zjRM14olxwLrgaTEzjBs4Q9YsWHPd/U7uJKdUsqGYfBClq6uz32cc31y2osW7ZixXMkCJ0cxRkxW&#10;inK5KfDbVTlZYGQdkZS0SrIC75nFp8vnz046nbOpalRLmUEAIm3e6QI3zuk8imzVMEHskdJMwmWt&#10;jCAOjmYTUUM6QBdtNI3jedQpQ7VRFbMWrJfDJV4G/LpmlXtT15Y51BYYcnNhNWFd+zVanpB8Y4hu&#10;eDWmQf4hC0G4hKAPUJfEEbQ1/A8owSujrKrdUaVEpOqaVyzUANUk8ZNqbhuiWagFmmP1Q5vs/4Ot&#10;Xu9uDOK0wNMZRpII4Oj+65f7bz/uv39GYIMGddrm4HerwdP156oHokOxVl+r6r1FUl00RG7YmTGq&#10;axihkGACaKM5lLHaa4AO1hXr3RXlwEXi4aNH+EMw6yOtu1eKwidk61SI1tdG+BZD0xCkAGzuHxgE&#10;RFSBcXaczGK4qeBqlqUv5oHhiOSHj7Wx7iVTAvlNgQ0IJICT3bV1PhmSH1x8LMAF+7gbCP2YJdM0&#10;Pp9mk3K+OJ6kZTqbZMfxYhIn2Xk2j9MsvSw/edAkzRtOKZPXXLKDuJL078gbZT7IIsgLdQXOZkCJ&#10;T8eqltOSt204mM36ojVoR7zK4SnL0NgnbkZtJQ2C9xxdjXtHeDvso98zDs2ABhzeoRGBLM/PwJTr&#10;131QT3YQylrRPbDXwUgV2H7YEsNACVtxoSA3oL82StzBzJ6ZwL9P3zd81d8Ro0dWHES9aQ8jFajx&#10;fhs6CpTQdwAkWphUKBkB48D5QN7oPNI4oIYW6TPQUckDx15wQ56j+mC4QpXjj8BP7+Nz8Pr1u1r+&#10;BAAA//8DAFBLAwQUAAYACAAAACEABw/94OEAAAANAQAADwAAAGRycy9kb3ducmV2LnhtbEyPwU7D&#10;MBBE70j8g7VI3KgDTQwNcaoKCVEkECL0A5zYJBHx2oqdNP17tic47szT7EyxXezAZjOG3qGE21UC&#10;zGDjdI+thMPX880DsBAVajU4NBJOJsC2vLwoVK7dET/NXMWWUQiGXEnoYvQ556HpjFVh5bxB8r7d&#10;aFWkc2y5HtWRwu3A75JEcKt6pA+d8uapM81PNVkJ++l1t9n7qX4/vAhfifn08bbupby+WnaPwKJZ&#10;4h8M5/pUHUrqVLsJdWCDhCy7F4SSsRYZjSBEpGepJinNNinwsuD/V5S/AAAA//8DAFBLAQItABQA&#10;BgAIAAAAIQC2gziS/gAAAOEBAAATAAAAAAAAAAAAAAAAAAAAAABbQ29udGVudF9UeXBlc10ueG1s&#10;UEsBAi0AFAAGAAgAAAAhADj9If/WAAAAlAEAAAsAAAAAAAAAAAAAAAAALwEAAF9yZWxzLy5yZWxz&#10;UEsBAi0AFAAGAAgAAAAhANtVuD+TAgAA9gQAAA4AAAAAAAAAAAAAAAAALgIAAGRycy9lMm9Eb2Mu&#10;eG1sUEsBAi0AFAAGAAgAAAAhAAcP/eDhAAAADQEAAA8AAAAAAAAAAAAAAAAA7QQAAGRycy9kb3du&#10;cmV2LnhtbFBLBQYAAAAABAAEAPMAAAD7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r>
        <w:rPr>
          <w:rFonts w:hint="eastAsia" w:ascii="宋体" w:hAnsi="宋体"/>
          <w:b/>
          <w:kern w:val="0"/>
          <w:sz w:val="28"/>
        </w:rPr>
        <w:t xml:space="preserve"> 估价报告出具日期:  2020年04月29日</w:t>
      </w:r>
    </w:p>
    <w:p>
      <w:pPr>
        <w:rPr>
          <w:rFonts w:ascii="宋体" w:hAnsi="宋体"/>
          <w:sz w:val="10"/>
          <w:szCs w:val="10"/>
        </w:rPr>
      </w:pPr>
    </w:p>
    <w:p>
      <w:pPr>
        <w:rPr>
          <w:rFonts w:ascii="宋体" w:hAnsi="宋体"/>
          <w:sz w:val="10"/>
          <w:szCs w:val="10"/>
        </w:rPr>
      </w:pPr>
      <w:r>
        <w:rPr>
          <w:rFonts w:ascii="宋体" w:hAnsi="宋体"/>
          <w:sz w:val="10"/>
          <w:szCs w:val="10"/>
        </w:rPr>
        <w:drawing>
          <wp:anchor distT="0" distB="0" distL="114300" distR="114300" simplePos="0" relativeHeight="251682816" behindDoc="1" locked="0" layoutInCell="1" allowOverlap="1">
            <wp:simplePos x="0" y="0"/>
            <wp:positionH relativeFrom="column">
              <wp:posOffset>3260090</wp:posOffset>
            </wp:positionH>
            <wp:positionV relativeFrom="paragraph">
              <wp:posOffset>163195</wp:posOffset>
            </wp:positionV>
            <wp:extent cx="1089660" cy="1033145"/>
            <wp:effectExtent l="0" t="0" r="0" b="0"/>
            <wp:wrapTight wrapText="bothSides">
              <wp:wrapPolygon>
                <wp:start x="0" y="0"/>
                <wp:lineTo x="0" y="21109"/>
                <wp:lineTo x="21147" y="21109"/>
                <wp:lineTo x="21147" y="0"/>
                <wp:lineTo x="0" y="0"/>
              </wp:wrapPolygon>
            </wp:wrapTight>
            <wp:docPr id="31" name="图片 31" descr="C:\Users\ADMINI~1\AppData\Local\Temp\156499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DMINI~1\AppData\Local\Temp\1564992019(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089660" cy="1033145"/>
                    </a:xfrm>
                    <a:prstGeom prst="rect">
                      <a:avLst/>
                    </a:prstGeom>
                    <a:noFill/>
                    <a:ln>
                      <a:noFill/>
                    </a:ln>
                  </pic:spPr>
                </pic:pic>
              </a:graphicData>
            </a:graphic>
          </wp:anchor>
        </w:drawing>
      </w:r>
    </w:p>
    <w:p>
      <w:pPr>
        <w:rPr>
          <w:rFonts w:ascii="宋体" w:hAnsi="宋体"/>
          <w:sz w:val="10"/>
          <w:szCs w:val="10"/>
        </w:rPr>
      </w:pPr>
      <w:r>
        <w:rPr>
          <w:rFonts w:ascii="宋体" w:hAnsi="宋体"/>
          <w:b/>
          <w:kern w:val="0"/>
          <w:sz w:val="28"/>
        </w:rPr>
        <w:pict>
          <v:shape id="文本框 28" o:spid="_x0000_s1032" o:spt="202" type="#_x0000_t202" style="position:absolute;left:0pt;margin-left:278.8pt;margin-top:682.9pt;height:46.8pt;width:45pt;z-index:2516817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8RlgIAAPcEAAAOAAAAZHJzL2Uyb0RvYy54bWysVMty0zAU3TPDP2i0T/3ASWtPnU4fmE2B&#10;zjRM14olxwLrgaTEzjBs4Q9YsWHPd/U7uJKdUmDDMGShyNL1ufeec65PzwbRoR0zlitZ4uQoxojJ&#10;WlEuNyV+s6pmJxhZRyQlnZKsxHtm8dny6ZPTXhcsVa3qKDMIQKQtel3i1jldRJGtWyaIPVKaSbhs&#10;lBHEwaPZRNSQHtBFF6VxvIh6Zag2qmbWwunVeImXAb9pWO1eN41lDnUlhtpcWE1Y136Nlqek2Bii&#10;W15PZZB/qEIQLiHpA9QVcQRtDf8DSvDaKKsad1QrEamm4TULPUA3SfxbN7ct0Sz0AuRY/UCT/X+w&#10;9avdjUGcljgFpSQRoNH9l8/3X7/ff/uE4AwI6rUtIO5WQ6QbLtQAQodmrb5W9TuLpLpsidywc2NU&#10;3zJCocAE0Kbj0MZqrwE6nK7Y4J5TDlokHj56hD8msz7Tun+pKLxCtk6FbENjhKcYSENQAqi5f1AQ&#10;EFENh/PjZB7DTQ1X8zx7tggKR6Q4vKyNdS+YEshvSmzAIAGc7K6t88WQ4hDicwEunE+7UdAPeZJm&#10;8UWaz6rFyfEsq7L5LD+OT2Zxkl/kizjLs6vqowdNsqLllDJ5zSU7mCvJ/k68yeajLYK9UF/ifJ7O&#10;R+pVx2nFu87XZs1mfdkZtCPe5fCrqkAs3DwOM2oraTC81+j5tHeEd+M++rXiQAYQcPgPRASxvD6j&#10;Um5YD8E9SXpwylrRPcjXw0yV2L7fEsPACltxqaA40L8xStzB0J6bYABfv2d8NdwRoydZHKS96Q4z&#10;FbTxcRs6OZTQtwAkOhhV6BmB5CD6qN4UPOk4ogaO9DkYqeJBZO+4sc7JfjBdoc3pS+DH9/FziPr5&#10;vVr+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CvsfxGWAgAA9wQAAA4AAAAAAAAAAAAAAAAALgIAAGRycy9lMm9E&#10;b2MueG1sUEsBAi0AFAAGAAgAAAAhAAcP/eDhAAAADQEAAA8AAAAAAAAAAAAAAAAA8AQAAGRycy9k&#10;b3ducmV2LnhtbFBLBQYAAAAABAAEAPMAAAD+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r>
        <w:rPr>
          <w:rFonts w:ascii="宋体" w:hAnsi="宋体"/>
          <w:b/>
          <w:kern w:val="0"/>
          <w:sz w:val="28"/>
        </w:rPr>
        <w:pict>
          <v:shape id="文本框 27" o:spid="_x0000_s1033" o:spt="202" type="#_x0000_t202" style="position:absolute;left:0pt;margin-left:292.8pt;margin-top:684.7pt;height:46.8pt;width:45pt;z-index:2516807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YlgIAAPcEAAAOAAAAZHJzL2Uyb0RvYy54bWysVMty0zAU3TPDP2i0T20HJ6k9dTp9mU2B&#10;zjRM14olxwLrgaTEzjBs4Q9YsWHPd/U7uJKdtsCGYchCkaXrc+8951yfnPaiRTtmLFeywMlRjBGT&#10;laJcbgr8dlVOjjGyjkhKWiVZgffM4tPl82cnnc7ZVDWqpcwgAJE273SBG+d0HkW2apgg9khpJuGy&#10;VkYQB49mE1FDOkAXbTSN43nUKUO1URWzFk4vh0u8DPh1zSr3pq4tc6gtMNTmwmrCuvZrtDwh+cYQ&#10;3fBqLIP8QxWCcAlJH6AuiSNoa/gfUIJXRllVu6NKiUjVNa9Y6AG6SeLfurltiGahFyDH6gea7P+D&#10;rV7vbgzitMDTBUaSCNDo/uuX+28/7r9/RnAGBHXa5hB3qyHS9eeqB6FDs1Zfq+q9RVJdNERu2Jkx&#10;qmsYoVBgAmjjcWhjtdcAHU5XrHdXlIMWiYePnuAPyazPtO5eKQqvkK1TIVtfG+EpBtIQlABq7h8U&#10;BERUweFskcxiuKngapalL+ZB4Yjkh5e1se4lUwL5TYENGCSAk921db4Ykh9CfC7AhfNxNwj6MUum&#10;aXw+zSbl/HgxSct0NskW8fEkTrLzbB6nWXpZfvKgSZo3nFImr7lkB3Ml6d+JN9p8sEWwF+oKnM2m&#10;s4F61XJa8rb1tVmzWV+0Bu2Idzn8yjIQCzdPw4zaShoM7zW6GveO8HbYR79WHMgAAg7/gYggltdn&#10;UMr16z64JwlSeiXXiu5Bvg5mqsD2w5YYBlbYigsFxYH+tVHiDob2zAQD+Po946v+jhg9yuIg7U17&#10;mKmgjY/b0NGhhL4DINHCqELPCCQH0Qf1xuBRxwE1cKTPwEglDyI/1jnaD6YrtDl+Cfz4Pn0OUY/f&#10;q+VPAAAA//8DAFBLAwQUAAYACAAAACEAd1EhnOEAAAANAQAADwAAAGRycy9kb3ducmV2LnhtbEyP&#10;wU7DMBBE70j8g7VI3KgDaU0b4lQVEqJIRYjQD3Bik0TEayt20vTv2Z7guDNPszP5drY9m8wQOocS&#10;7hcJMIO10x02Eo5fL3drYCEq1Kp3aCScTYBtcX2Vq0y7E36aqYwNoxAMmZLQxugzzkPdGqvCwnmD&#10;5H27wapI59BwPagThduePySJ4FZ1SB9a5c1za+qfcrQS9uPbbrP3Y/V+fBW+FNP545B2Ut7ezLsn&#10;YNHM8Q+GS32qDgV1qtyIOrBewmq9EoSSkYrNEhgh4vEiVSQtRZoAL3L+f0XxCwAA//8DAFBLAQIt&#10;ABQABgAIAAAAIQC2gziS/gAAAOEBAAATAAAAAAAAAAAAAAAAAAAAAABbQ29udGVudF9UeXBlc10u&#10;eG1sUEsBAi0AFAAGAAgAAAAhADj9If/WAAAAlAEAAAsAAAAAAAAAAAAAAAAALwEAAF9yZWxzLy5y&#10;ZWxzUEsBAi0AFAAGAAgAAAAhAJD4z1iWAgAA9wQAAA4AAAAAAAAAAAAAAAAALgIAAGRycy9lMm9E&#10;b2MueG1sUEsBAi0AFAAGAAgAAAAhAHdRIZzhAAAADQEAAA8AAAAAAAAAAAAAAAAA8AQAAGRycy9k&#10;b3ducmV2LnhtbFBLBQYAAAAABAAEAPMAAAD+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r>
        <w:rPr>
          <w:rFonts w:ascii="宋体" w:hAnsi="宋体"/>
          <w:sz w:val="20"/>
        </w:rPr>
        <w:pict>
          <v:shape id="文本框 24" o:spid="_x0000_s1034" o:spt="202" type="#_x0000_t202" style="position:absolute;left:0pt;margin-left:278.8pt;margin-top:682.9pt;height:46.8pt;width:45pt;z-index:2516776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BlgIAAPYEAAAOAAAAZHJzL2Uyb0RvYy54bWysVMty0zAU3TPDP2i0T20HJ409dTp9mU2B&#10;zjRM14olxwLrgaTEznTYwh+wYsOe7+p3cCU7pcCGYchCkaXrc+8951yfnPaiRTtmLFeywMlRjBGT&#10;laJcbgr8dlVOFhhZRyQlrZKswHtm8eny+bOTTudsqhrVUmYQgEibd7rAjXM6jyJbNUwQe6Q0k3BZ&#10;KyOIg0eziaghHaCLNprG8TzqlKHaqIpZC6eXwyVeBvy6ZpV7U9eWOdQWGGpzYTVhXfs1Wp6QfGOI&#10;bng1lkH+oQpBuISkj1CXxBG0NfwPKMEro6yq3VGlRKTqmlcs9ADdJPFv3dw2RLPQC5Bj9SNN9v/B&#10;Vq93NwZxWuBpipEkAjR6+PL54ev3h2+fEJwBQZ22OcTdaoh0/bnqQejQrNXXqnpvkVQXDZEbdmaM&#10;6hpGKBSYANp4HNpY7TVAh9MV690V5aBF4uGjJ/hDMuszrbtXisIrZOtUyNbXRniKgTQEJYCa+0cF&#10;ARFVcDg7TmYx3FRwNcvSF/OgcETyw8vaWPeSKYH8psAGDBLAye7aOl8MyQ8hPhfgwvm4GwS9z5Jp&#10;Gp9Ps0k5XxxP0jKdTbLjeDGJk+w8m8dpll6WHz1okuYNp5TJay7ZwVxJ+nfijTYfbBHshboCZ7Pp&#10;bKBetZyWvG19bdZs1hetQTviXQ6/sgzEws3TMKO2kgbDe42uxr0jvB320a8VBzKAgMN/ICKI5fUZ&#10;lHL9ug/umR+MslZ0D+p1MFIFth+2xDBwwlZcKKgN5K+NEncws2cm6O/L94Sv+jti9KiKg6w37WGk&#10;gjQ+bkNHgxL6DoBEC5MKLSNQHDQfxBuDRxkH1ECRPgMflTxo7A031Dm6D4YrdDl+CPz0Pn0OUT8/&#10;V8sfAAAA//8DAFBLAwQUAAYACAAAACEABw/94OEAAAANAQAADwAAAGRycy9kb3ducmV2LnhtbEyP&#10;wU7DMBBE70j8g7VI3KgDTQwNcaoKCVEkECL0A5zYJBHx2oqdNP17tic47szT7EyxXezAZjOG3qGE&#10;21UCzGDjdI+thMPX880DsBAVajU4NBJOJsC2vLwoVK7dET/NXMWWUQiGXEnoYvQ556HpjFVh5bxB&#10;8r7daFWkc2y5HtWRwu3A75JEcKt6pA+d8uapM81PNVkJ++l1t9n7qX4/vAhfifn08bbupby+WnaP&#10;wKJZ4h8M5/pUHUrqVLsJdWCDhCy7F4SSsRYZjSBEpGepJinNNinwsuD/V5S/AAAA//8DAFBLAQIt&#10;ABQABgAIAAAAIQC2gziS/gAAAOEBAAATAAAAAAAAAAAAAAAAAAAAAABbQ29udGVudF9UeXBlc10u&#10;eG1sUEsBAi0AFAAGAAgAAAAhADj9If/WAAAAlAEAAAsAAAAAAAAAAAAAAAAALwEAAF9yZWxzLy5y&#10;ZWxzUEsBAi0AFAAGAAgAAAAhAJIlRMGWAgAA9gQAAA4AAAAAAAAAAAAAAAAALgIAAGRycy9lMm9E&#10;b2MueG1sUEsBAi0AFAAGAAgAAAAhAAcP/eDhAAAADQEAAA8AAAAAAAAAAAAAAAAA8AQAAGRycy9k&#10;b3ducmV2LnhtbFBLBQYAAAAABAAEAPMAAAD+BQAAAAA=&#10;">
            <v:path/>
            <v:fill on="f" focussize="0,0"/>
            <v:stroke on="f" color="#0000FF" joinstyle="round"/>
            <v:imagedata o:title=""/>
            <o:lock v:ext="edit"/>
            <v:textbox style="mso-fit-shape-to-text:t;">
              <w:txbxContent>
                <w:p>
                  <w:pPr>
                    <w:pStyle w:val="18"/>
                    <w:spacing w:before="0" w:beforeAutospacing="0" w:after="0" w:afterAutospacing="0"/>
                    <w:jc w:val="center"/>
                  </w:pPr>
                  <w:r>
                    <w:rPr>
                      <w:rFonts w:hint="eastAsia" w:ascii="华文行楷" w:eastAsia="华文行楷"/>
                      <w:color w:val="FF0000"/>
                      <w:sz w:val="80"/>
                      <w:szCs w:val="80"/>
                    </w:rPr>
                    <w:t>评雨</w:t>
                  </w:r>
                </w:p>
                <w:p>
                  <w:pPr>
                    <w:pStyle w:val="18"/>
                    <w:spacing w:before="0" w:beforeAutospacing="0" w:after="0" w:afterAutospacing="0"/>
                    <w:jc w:val="center"/>
                  </w:pPr>
                  <w:r>
                    <w:rPr>
                      <w:rFonts w:hint="eastAsia" w:ascii="华文行楷" w:eastAsia="华文行楷"/>
                      <w:color w:val="FF0000"/>
                      <w:sz w:val="80"/>
                      <w:szCs w:val="80"/>
                    </w:rPr>
                    <w:t>估涵</w:t>
                  </w:r>
                </w:p>
              </w:txbxContent>
            </v:textbox>
          </v:shape>
        </w:pict>
      </w:r>
    </w:p>
    <w:p>
      <w:pPr>
        <w:ind w:left="424" w:leftChars="202"/>
        <w:rPr>
          <w:rFonts w:ascii="宋体" w:hAnsi="宋体"/>
          <w:sz w:val="10"/>
          <w:szCs w:val="10"/>
        </w:rPr>
      </w:pPr>
    </w:p>
    <w:p>
      <w:pPr>
        <w:ind w:left="424" w:leftChars="202"/>
        <w:rPr>
          <w:rFonts w:ascii="宋体" w:hAnsi="宋体"/>
          <w:sz w:val="10"/>
          <w:szCs w:val="10"/>
        </w:rPr>
      </w:pPr>
    </w:p>
    <w:p>
      <w:pPr>
        <w:rPr>
          <w:rFonts w:ascii="宋体" w:hAnsi="宋体"/>
          <w:sz w:val="10"/>
          <w:szCs w:val="10"/>
        </w:rPr>
      </w:pPr>
    </w:p>
    <w:p>
      <w:pPr>
        <w:rPr>
          <w:rFonts w:ascii="宋体" w:hAnsi="宋体"/>
          <w:sz w:val="10"/>
          <w:szCs w:val="10"/>
        </w:rPr>
      </w:pPr>
    </w:p>
    <w:p>
      <w:pPr>
        <w:rPr>
          <w:rFonts w:ascii="宋体" w:hAnsi="宋体"/>
          <w:sz w:val="10"/>
          <w:szCs w:val="10"/>
        </w:rPr>
      </w:pPr>
    </w:p>
    <w:p>
      <w:pPr>
        <w:jc w:val="center"/>
        <w:rPr>
          <w:rFonts w:ascii="宋体" w:hAnsi="宋体"/>
        </w:rPr>
        <w:sectPr>
          <w:footerReference r:id="rId3" w:type="first"/>
          <w:pgSz w:w="11906" w:h="16838"/>
          <w:pgMar w:top="1021" w:right="397" w:bottom="1247" w:left="397" w:header="851" w:footer="992" w:gutter="0"/>
          <w:cols w:space="425" w:num="1"/>
          <w:docGrid w:type="lines" w:linePitch="312" w:charSpace="0"/>
        </w:sectPr>
      </w:pPr>
      <w:r>
        <w:rPr>
          <w:rFonts w:ascii="宋体" w:hAnsi="宋体"/>
        </w:rPr>
        <w:pict>
          <v:shape id="_x0000_i1026" o:spt="75" type="#_x0000_t75" style="height:17.05pt;width:490.55pt;" fillcolor="#808080" filled="t" o:preferrelative="t" stroked="f" coordsize="21600,21600" o:hr="t" o:hrpct="0" o:hralign="center">
            <v:path/>
            <v:fill on="t" focussize="0,0"/>
            <v:stroke on="f" joinstyle="miter"/>
            <v:imagedata r:id="rId9" o:title="BD21328_"/>
            <o:lock v:ext="edit" aspectratio="t"/>
            <w10:wrap type="none"/>
            <w10:anchorlock/>
          </v:shape>
        </w:pict>
      </w:r>
    </w:p>
    <w:p>
      <w:pPr>
        <w:ind w:firstLine="883" w:firstLineChars="200"/>
        <w:jc w:val="center"/>
        <w:rPr>
          <w:rFonts w:cs="Times New Roman"/>
        </w:rPr>
      </w:pPr>
      <w:r>
        <w:rPr>
          <w:rFonts w:hint="eastAsia" w:ascii="宋体" w:hAnsi="宋体" w:cs="宋体"/>
          <w:b/>
          <w:bCs/>
          <w:sz w:val="44"/>
          <w:szCs w:val="44"/>
        </w:rPr>
        <w:t>致估价委托人函</w:t>
      </w:r>
    </w:p>
    <w:p>
      <w:pPr>
        <w:spacing w:before="240" w:line="520" w:lineRule="exact"/>
        <w:rPr>
          <w:rFonts w:ascii="宋体" w:cs="Times New Roman"/>
          <w:b/>
          <w:bCs/>
          <w:sz w:val="28"/>
          <w:szCs w:val="28"/>
        </w:rPr>
      </w:pPr>
      <w:r>
        <w:rPr>
          <w:rFonts w:hint="eastAsia" w:ascii="宋体" w:hAnsi="宋体" w:cs="宋体"/>
          <w:sz w:val="28"/>
          <w:szCs w:val="28"/>
        </w:rPr>
        <w:t>昆明市中级人民法院</w:t>
      </w:r>
      <w:r>
        <w:rPr>
          <w:rFonts w:hint="eastAsia" w:ascii="宋体" w:hAnsi="宋体" w:cs="宋体"/>
          <w:spacing w:val="-2"/>
          <w:sz w:val="28"/>
          <w:szCs w:val="28"/>
        </w:rPr>
        <w:t>：</w:t>
      </w:r>
    </w:p>
    <w:p>
      <w:pPr>
        <w:spacing w:line="520" w:lineRule="exact"/>
        <w:ind w:firstLine="524" w:firstLineChars="200"/>
        <w:jc w:val="left"/>
        <w:rPr>
          <w:rFonts w:ascii="宋体" w:hAnsi="宋体" w:cs="宋体"/>
          <w:spacing w:val="-9"/>
          <w:sz w:val="28"/>
          <w:szCs w:val="28"/>
        </w:rPr>
      </w:pPr>
      <w:r>
        <w:rPr>
          <w:rFonts w:hint="eastAsia" w:ascii="宋体" w:hAnsi="宋体" w:cs="宋体"/>
          <w:spacing w:val="-9"/>
          <w:sz w:val="28"/>
          <w:szCs w:val="28"/>
        </w:rPr>
        <w:t>受贵院的委托，我公司对玉溪市红塔区研和街道南湖路1号汇海佳苑小区共15套房地产、281个车位的市场</w:t>
      </w:r>
      <w:r>
        <w:rPr>
          <w:rFonts w:hint="eastAsia" w:ascii="宋体" w:hAnsi="宋体" w:cs="宋体"/>
          <w:sz w:val="28"/>
          <w:szCs w:val="28"/>
        </w:rPr>
        <w:t>价值</w:t>
      </w:r>
      <w:r>
        <w:rPr>
          <w:rFonts w:hint="eastAsia" w:ascii="宋体" w:hAnsi="宋体" w:cs="宋体"/>
          <w:spacing w:val="-9"/>
          <w:sz w:val="28"/>
          <w:szCs w:val="28"/>
        </w:rPr>
        <w:t>进行了评估。</w:t>
      </w:r>
    </w:p>
    <w:p>
      <w:pPr>
        <w:spacing w:line="520" w:lineRule="exact"/>
        <w:ind w:firstLine="526" w:firstLineChars="200"/>
        <w:jc w:val="left"/>
        <w:rPr>
          <w:rFonts w:ascii="宋体" w:hAnsi="宋体" w:cs="宋体"/>
          <w:spacing w:val="-9"/>
          <w:sz w:val="28"/>
          <w:szCs w:val="28"/>
        </w:rPr>
      </w:pPr>
      <w:r>
        <w:rPr>
          <w:rFonts w:hint="eastAsia" w:ascii="宋体" w:hAnsi="宋体" w:cs="宋体"/>
          <w:b/>
          <w:spacing w:val="-9"/>
          <w:sz w:val="28"/>
          <w:szCs w:val="28"/>
        </w:rPr>
        <w:t>估价目的:</w:t>
      </w:r>
      <w:r>
        <w:rPr>
          <w:rFonts w:hint="eastAsia" w:ascii="宋体" w:hAnsi="宋体" w:cs="宋体"/>
          <w:spacing w:val="-9"/>
          <w:sz w:val="28"/>
          <w:szCs w:val="28"/>
        </w:rPr>
        <w:t>为人民法院确定财产处置参考价提供参考依据而评估房地产市场价值。</w:t>
      </w:r>
    </w:p>
    <w:p>
      <w:pPr>
        <w:spacing w:line="520" w:lineRule="exact"/>
        <w:ind w:firstLine="526" w:firstLineChars="200"/>
        <w:jc w:val="left"/>
        <w:rPr>
          <w:rFonts w:ascii="宋体" w:hAnsi="宋体" w:cs="宋体"/>
          <w:spacing w:val="-9"/>
          <w:sz w:val="28"/>
          <w:szCs w:val="28"/>
        </w:rPr>
      </w:pPr>
      <w:r>
        <w:rPr>
          <w:rFonts w:hint="eastAsia" w:ascii="宋体" w:hAnsi="宋体" w:cs="宋体"/>
          <w:b/>
          <w:spacing w:val="-9"/>
          <w:sz w:val="28"/>
          <w:szCs w:val="28"/>
        </w:rPr>
        <w:t>估价对象</w:t>
      </w:r>
      <w:r>
        <w:rPr>
          <w:rFonts w:hint="eastAsia" w:ascii="宋体" w:hAnsi="宋体" w:cs="宋体"/>
          <w:spacing w:val="-9"/>
          <w:sz w:val="28"/>
          <w:szCs w:val="28"/>
        </w:rPr>
        <w:t>：本次估价对象为玉溪市红塔区研和街道南湖路1号汇海佳苑小区1套非住宅、14套住宅及281个车位（详见估价结果明细表），财产范围为估价对象证载或登记面积的地上建筑物及其独用或应分摊的土地使用权价值，含配套房屋使用功能存在且不可分</w:t>
      </w:r>
      <w:bookmarkStart w:id="33" w:name="_GoBack"/>
      <w:bookmarkEnd w:id="33"/>
      <w:r>
        <w:rPr>
          <w:rFonts w:hint="eastAsia" w:ascii="宋体" w:hAnsi="宋体" w:cs="宋体"/>
          <w:spacing w:val="-9"/>
          <w:sz w:val="28"/>
          <w:szCs w:val="28"/>
        </w:rPr>
        <w:t>割的设施设备等，不含其他存在的建（构）筑物及室内可移动物品、其他债权债务。</w:t>
      </w:r>
    </w:p>
    <w:p>
      <w:pPr>
        <w:spacing w:line="520" w:lineRule="exact"/>
        <w:ind w:firstLine="524" w:firstLineChars="200"/>
        <w:jc w:val="left"/>
        <w:rPr>
          <w:rFonts w:ascii="宋体" w:hAnsi="宋体" w:cs="宋体"/>
          <w:spacing w:val="-9"/>
          <w:sz w:val="28"/>
          <w:szCs w:val="28"/>
        </w:rPr>
      </w:pPr>
      <w:r>
        <w:rPr>
          <w:rFonts w:hint="eastAsia" w:ascii="宋体" w:hAnsi="宋体" w:cs="宋体"/>
          <w:spacing w:val="-9"/>
          <w:sz w:val="28"/>
          <w:szCs w:val="28"/>
        </w:rPr>
        <w:t>汇海佳苑小区约建成于2013年，由云南汇海（集团）房地产开发有限公司开发建设，本次估价对象均未备案登记，小区所在地块土地证“（2010）1613号”已由玉溪市不动产登记中心回收，原登记信息为：土地使用权人为云南汇海（集团）房地产开发有限公司，土地用途为城镇住宅用地，土地使用年限至2080年03月09日止。</w:t>
      </w:r>
    </w:p>
    <w:p>
      <w:pPr>
        <w:spacing w:line="520" w:lineRule="exact"/>
        <w:ind w:firstLine="526" w:firstLineChars="200"/>
        <w:jc w:val="left"/>
        <w:rPr>
          <w:rFonts w:ascii="宋体" w:hAnsi="宋体" w:cs="宋体"/>
          <w:spacing w:val="-9"/>
          <w:sz w:val="28"/>
          <w:szCs w:val="28"/>
        </w:rPr>
      </w:pPr>
      <w:r>
        <w:rPr>
          <w:rFonts w:hint="eastAsia" w:ascii="宋体" w:hAnsi="宋体" w:cs="宋体"/>
          <w:b/>
          <w:spacing w:val="-9"/>
          <w:sz w:val="28"/>
          <w:szCs w:val="28"/>
        </w:rPr>
        <w:t>价值时点</w:t>
      </w:r>
      <w:r>
        <w:rPr>
          <w:rFonts w:hint="eastAsia" w:ascii="宋体" w:hAnsi="宋体" w:cs="宋体"/>
          <w:spacing w:val="-9"/>
          <w:sz w:val="28"/>
          <w:szCs w:val="28"/>
        </w:rPr>
        <w:t>：</w:t>
      </w:r>
      <w:r>
        <w:rPr>
          <w:rFonts w:ascii="宋体" w:hAnsi="宋体" w:cs="宋体"/>
          <w:spacing w:val="-9"/>
          <w:sz w:val="28"/>
          <w:szCs w:val="28"/>
        </w:rPr>
        <w:t>2020年04月07日</w:t>
      </w:r>
      <w:r>
        <w:rPr>
          <w:rFonts w:hint="eastAsia" w:ascii="宋体" w:hAnsi="宋体" w:cs="宋体"/>
          <w:spacing w:val="-9"/>
          <w:sz w:val="28"/>
          <w:szCs w:val="28"/>
        </w:rPr>
        <w:t xml:space="preserve">。 </w:t>
      </w:r>
    </w:p>
    <w:p>
      <w:pPr>
        <w:spacing w:line="520" w:lineRule="exact"/>
        <w:ind w:firstLine="526" w:firstLineChars="200"/>
        <w:jc w:val="left"/>
        <w:rPr>
          <w:rFonts w:ascii="宋体" w:hAnsi="宋体" w:cs="宋体"/>
          <w:spacing w:val="-9"/>
          <w:sz w:val="28"/>
          <w:szCs w:val="28"/>
        </w:rPr>
      </w:pPr>
      <w:r>
        <w:rPr>
          <w:rFonts w:hint="eastAsia" w:ascii="宋体" w:hAnsi="宋体" w:cs="宋体"/>
          <w:b/>
          <w:spacing w:val="-9"/>
          <w:sz w:val="28"/>
          <w:szCs w:val="28"/>
        </w:rPr>
        <w:t>价值类型</w:t>
      </w:r>
      <w:r>
        <w:rPr>
          <w:rFonts w:hint="eastAsia" w:ascii="宋体" w:hAnsi="宋体" w:cs="宋体"/>
          <w:spacing w:val="-9"/>
          <w:sz w:val="28"/>
          <w:szCs w:val="28"/>
        </w:rPr>
        <w:t>：房地产市场价值，估价的价值标准为公开市场价值，不考虑抵押、查封等因素的影响。</w:t>
      </w:r>
    </w:p>
    <w:p>
      <w:pPr>
        <w:spacing w:line="520" w:lineRule="exact"/>
        <w:ind w:firstLine="526" w:firstLineChars="200"/>
        <w:jc w:val="left"/>
        <w:rPr>
          <w:rFonts w:ascii="宋体" w:hAnsi="宋体" w:cs="宋体"/>
          <w:spacing w:val="-9"/>
          <w:sz w:val="28"/>
          <w:szCs w:val="28"/>
        </w:rPr>
      </w:pPr>
      <w:r>
        <w:rPr>
          <w:rFonts w:hint="eastAsia" w:ascii="宋体" w:hAnsi="宋体" w:cs="宋体"/>
          <w:b/>
          <w:spacing w:val="-9"/>
          <w:sz w:val="28"/>
          <w:szCs w:val="28"/>
        </w:rPr>
        <w:t>估价对象方法</w:t>
      </w:r>
      <w:r>
        <w:rPr>
          <w:rFonts w:hint="eastAsia" w:ascii="宋体" w:hAnsi="宋体" w:cs="宋体"/>
          <w:spacing w:val="-9"/>
          <w:sz w:val="28"/>
          <w:szCs w:val="28"/>
        </w:rPr>
        <w:t>：比较法、收益法。</w:t>
      </w:r>
    </w:p>
    <w:p>
      <w:pPr>
        <w:spacing w:line="520" w:lineRule="exact"/>
        <w:ind w:firstLine="526" w:firstLineChars="200"/>
        <w:jc w:val="left"/>
        <w:rPr>
          <w:rFonts w:ascii="宋体" w:hAnsi="宋体" w:cs="宋体"/>
          <w:spacing w:val="-9"/>
          <w:sz w:val="28"/>
          <w:szCs w:val="28"/>
        </w:rPr>
      </w:pPr>
      <w:r>
        <w:rPr>
          <w:rFonts w:hint="eastAsia" w:ascii="宋体" w:hAnsi="宋体" w:cs="宋体"/>
          <w:b/>
          <w:spacing w:val="-9"/>
          <w:sz w:val="28"/>
          <w:szCs w:val="28"/>
        </w:rPr>
        <w:t>估价结果</w:t>
      </w:r>
      <w:r>
        <w:rPr>
          <w:rFonts w:hint="eastAsia" w:ascii="宋体" w:hAnsi="宋体" w:cs="宋体"/>
          <w:spacing w:val="-9"/>
          <w:sz w:val="28"/>
          <w:szCs w:val="28"/>
        </w:rPr>
        <w:t>：经过实地查勘和市场调查，注册房地产估价师根据估价目的，遵照《中华人民共和国城市房地产管理法》、</w:t>
      </w:r>
      <w:r>
        <w:rPr>
          <w:rFonts w:hint="eastAsia" w:ascii="宋体" w:hAnsi="宋体" w:cs="宋体"/>
          <w:sz w:val="28"/>
          <w:szCs w:val="28"/>
        </w:rPr>
        <w:t>《人民法院委托评估工作规范》、</w:t>
      </w:r>
      <w:r>
        <w:rPr>
          <w:rFonts w:hint="eastAsia" w:ascii="宋体" w:hAnsi="宋体" w:cs="宋体"/>
          <w:spacing w:val="-9"/>
          <w:sz w:val="28"/>
          <w:szCs w:val="28"/>
        </w:rPr>
        <w:t>国家标准《房地产估价规范》等法律法规和技术标准，遵循独立、客观、公正、合法的估价原则，在认真分析所掌握资料与影响估价对象价值诸多因素的基础上，运用比较法、收益法进行评估，最终确定估价对象在价值时点的房地产</w:t>
      </w:r>
      <w:r>
        <w:rPr>
          <w:rFonts w:hint="eastAsia" w:ascii="宋体" w:hAnsi="宋体" w:cs="宋体"/>
          <w:b/>
          <w:spacing w:val="-9"/>
          <w:sz w:val="28"/>
          <w:szCs w:val="28"/>
        </w:rPr>
        <w:t>市场价值为人民币1875.38万元（取整至佰位），大写金额人民币壹仟捌佰柒拾伍万叁仟捌佰元整。</w:t>
      </w:r>
      <w:r>
        <w:rPr>
          <w:rFonts w:hint="eastAsia" w:ascii="宋体" w:hAnsi="宋体" w:cs="宋体"/>
          <w:spacing w:val="-9"/>
          <w:sz w:val="28"/>
          <w:szCs w:val="28"/>
        </w:rPr>
        <w:t>评估单价详见《估价结果明细表》。</w:t>
      </w:r>
    </w:p>
    <w:tbl>
      <w:tblPr>
        <w:tblStyle w:val="20"/>
        <w:tblW w:w="5000" w:type="pct"/>
        <w:tblInd w:w="0" w:type="dxa"/>
        <w:tblLayout w:type="fixed"/>
        <w:tblCellMar>
          <w:top w:w="0" w:type="dxa"/>
          <w:left w:w="108" w:type="dxa"/>
          <w:bottom w:w="0" w:type="dxa"/>
          <w:right w:w="108" w:type="dxa"/>
        </w:tblCellMar>
      </w:tblPr>
      <w:tblGrid>
        <w:gridCol w:w="618"/>
        <w:gridCol w:w="1191"/>
        <w:gridCol w:w="1134"/>
        <w:gridCol w:w="807"/>
        <w:gridCol w:w="895"/>
        <w:gridCol w:w="1134"/>
        <w:gridCol w:w="1417"/>
        <w:gridCol w:w="1332"/>
      </w:tblGrid>
      <w:tr>
        <w:tblPrEx>
          <w:tblCellMar>
            <w:top w:w="0" w:type="dxa"/>
            <w:left w:w="108" w:type="dxa"/>
            <w:bottom w:w="0" w:type="dxa"/>
            <w:right w:w="108" w:type="dxa"/>
          </w:tblCellMar>
        </w:tblPrEx>
        <w:trPr>
          <w:trHeight w:val="312"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估价结果明细表</w:t>
            </w:r>
          </w:p>
        </w:tc>
      </w:tr>
      <w:tr>
        <w:tblPrEx>
          <w:tblCellMar>
            <w:top w:w="0" w:type="dxa"/>
            <w:left w:w="108" w:type="dxa"/>
            <w:bottom w:w="0" w:type="dxa"/>
            <w:right w:w="108" w:type="dxa"/>
          </w:tblCellMar>
        </w:tblPrEx>
        <w:trPr>
          <w:trHeight w:val="312"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所有权人：云南汇海（集团）房地产开发有限公司</w:t>
            </w:r>
          </w:p>
        </w:tc>
      </w:tr>
      <w:tr>
        <w:tblPrEx>
          <w:tblCellMar>
            <w:top w:w="0" w:type="dxa"/>
            <w:left w:w="108" w:type="dxa"/>
            <w:bottom w:w="0" w:type="dxa"/>
            <w:right w:w="108" w:type="dxa"/>
          </w:tblCellMar>
        </w:tblPrEx>
        <w:trPr>
          <w:trHeight w:val="312"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坐落：玉溪市红塔区研和街道南湖路1号汇海佳苑</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房号</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所在层数/总层数</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结构</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用途</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建筑面积（㎡）</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评估单价</w:t>
            </w:r>
          </w:p>
          <w:p>
            <w:pPr>
              <w:widowControl/>
              <w:jc w:val="center"/>
              <w:rPr>
                <w:rFonts w:ascii="宋体" w:hAnsi="宋体" w:cs="宋体"/>
                <w:b/>
                <w:bCs/>
                <w:kern w:val="0"/>
                <w:sz w:val="20"/>
                <w:szCs w:val="20"/>
              </w:rPr>
            </w:pPr>
            <w:r>
              <w:rPr>
                <w:rFonts w:hint="eastAsia" w:ascii="宋体" w:hAnsi="宋体" w:cs="宋体"/>
                <w:b/>
                <w:bCs/>
                <w:kern w:val="0"/>
                <w:sz w:val="20"/>
                <w:szCs w:val="20"/>
              </w:rPr>
              <w:t>（元/㎡）</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评估总价</w:t>
            </w:r>
          </w:p>
          <w:p>
            <w:pPr>
              <w:widowControl/>
              <w:jc w:val="center"/>
              <w:rPr>
                <w:rFonts w:ascii="宋体" w:hAnsi="宋体" w:cs="宋体"/>
                <w:b/>
                <w:bCs/>
                <w:kern w:val="0"/>
                <w:sz w:val="20"/>
                <w:szCs w:val="20"/>
              </w:rPr>
            </w:pPr>
            <w:r>
              <w:rPr>
                <w:rFonts w:hint="eastAsia" w:ascii="宋体" w:hAnsi="宋体" w:cs="宋体"/>
                <w:b/>
                <w:bCs/>
                <w:kern w:val="0"/>
                <w:sz w:val="20"/>
                <w:szCs w:val="20"/>
              </w:rPr>
              <w:t>（万元）</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B-4-1301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88.95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2586.00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23.00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B-5-1801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268.95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2560.00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68.85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D-2-1302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60.92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2586.00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15.75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D-3-1603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86.04</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2612.00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22.47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E-4-304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63.53</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2534.00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16.10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E-4-404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63.53</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2534.00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16.10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E-4-701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65.22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2560.00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16.70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E-2-1402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103.2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2612.00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26.96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G-4-301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153.55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2509.00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38.53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G-2-1401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95.57</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2612.00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24.96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G-1-1502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60.91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2612.00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15.91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I-1-702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83.31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2560.00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21.33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J-1-303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103.72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2560.00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26.55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J-2-1802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18-19/19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183.97</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2663.00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48.99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I-9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非住宅</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153.73</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4047.00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62.21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A01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A03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A04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A05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A06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A08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A09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25.92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29</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28.04</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30</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25.63</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31</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nil"/>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25.05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32</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25.59</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33</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A19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22.55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34</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24.52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35</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36</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37</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38</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39</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40</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41</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42</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43</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A29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44</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45</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46</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47</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48</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49</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50</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51</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52</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53</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A39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54</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55</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56</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57</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58</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59</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60</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61</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62</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63</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A49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64</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65</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66</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67</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68</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69</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70</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71</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72</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73</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A59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74</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A60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75</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A61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76</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A62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77</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A63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78</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A64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79</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A65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80</w:t>
            </w:r>
          </w:p>
        </w:tc>
        <w:tc>
          <w:tcPr>
            <w:tcW w:w="698"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A66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B09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109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B29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27.16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26.06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B39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26.06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26.06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53.22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9.11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B49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129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B59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139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B69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149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B79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B89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169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27.16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B99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179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B109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189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B119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199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B129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209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23.99</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23.99</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24.52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52.15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7.59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26.06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23.69</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33.07</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B139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23.92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C02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219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C03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C04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C05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C06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C07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C08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C09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229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C19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239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C29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27.16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C39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259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C49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C59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C67</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C69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287</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28.06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288</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C72</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27.16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289</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C73</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290</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C74</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52.15</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7.59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291</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C75</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292</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C76</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26.06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293</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C78</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27.72</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294</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C79</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24.16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295</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C80</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28.61</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312" w:hRule="atLeast"/>
        </w:trPr>
        <w:tc>
          <w:tcPr>
            <w:tcW w:w="3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296</w:t>
            </w:r>
          </w:p>
        </w:tc>
        <w:tc>
          <w:tcPr>
            <w:tcW w:w="69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C81</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-1/19</w:t>
            </w:r>
          </w:p>
        </w:tc>
        <w:tc>
          <w:tcPr>
            <w:tcW w:w="4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钢混</w:t>
            </w: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车位</w:t>
            </w:r>
          </w:p>
        </w:tc>
        <w:tc>
          <w:tcPr>
            <w:tcW w:w="664"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24.16</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5.06 </w:t>
            </w:r>
          </w:p>
        </w:tc>
      </w:tr>
      <w:tr>
        <w:tblPrEx>
          <w:tblCellMar>
            <w:top w:w="0" w:type="dxa"/>
            <w:left w:w="108" w:type="dxa"/>
            <w:bottom w:w="0" w:type="dxa"/>
            <w:right w:w="108" w:type="dxa"/>
          </w:tblCellMar>
        </w:tblPrEx>
        <w:trPr>
          <w:trHeight w:val="546" w:hRule="atLeast"/>
        </w:trPr>
        <w:tc>
          <w:tcPr>
            <w:tcW w:w="2723" w:type="pct"/>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合计</w:t>
            </w:r>
          </w:p>
        </w:tc>
        <w:tc>
          <w:tcPr>
            <w:tcW w:w="6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 xml:space="preserve">9433.68 </w:t>
            </w:r>
          </w:p>
        </w:tc>
        <w:tc>
          <w:tcPr>
            <w:tcW w:w="83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　</w:t>
            </w:r>
          </w:p>
        </w:tc>
        <w:tc>
          <w:tcPr>
            <w:tcW w:w="7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szCs w:val="20"/>
              </w:rPr>
            </w:pPr>
            <w:r>
              <w:rPr>
                <w:rFonts w:hint="eastAsia" w:ascii="宋体" w:hAnsi="宋体" w:cs="宋体"/>
                <w:b/>
                <w:bCs/>
                <w:kern w:val="0"/>
                <w:sz w:val="24"/>
                <w:szCs w:val="20"/>
              </w:rPr>
              <w:t xml:space="preserve">1875.38 </w:t>
            </w:r>
          </w:p>
        </w:tc>
      </w:tr>
    </w:tbl>
    <w:p>
      <w:pPr>
        <w:spacing w:before="240"/>
        <w:ind w:firstLine="526" w:firstLineChars="200"/>
        <w:rPr>
          <w:rFonts w:ascii="宋体" w:hAnsi="宋体" w:cs="宋体"/>
          <w:b/>
          <w:spacing w:val="-9"/>
          <w:sz w:val="28"/>
          <w:szCs w:val="28"/>
        </w:rPr>
      </w:pPr>
      <w:r>
        <w:rPr>
          <w:rFonts w:hint="eastAsia" w:ascii="宋体" w:hAnsi="宋体" w:cs="宋体"/>
          <w:b/>
          <w:spacing w:val="-9"/>
          <w:sz w:val="28"/>
          <w:szCs w:val="28"/>
        </w:rPr>
        <w:t>特别提示：</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（一）、本报告估价结果中不包含司法诉讼费用、拍卖佣金、过户税费及其他应付费用。</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二）、本次估价所依据的《评估鉴定机构选定通知书》《评估财产清单》原件、“汇海佳苑未备案房源（地下车位）”复印件、《昆明市中级人民法院司法技术评估委托书》原件均由委托人昆明市中级人民法院提供。</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关于汇海佳苑小区房产（未备案登记房源）及查封情况调查回复的函”复印件由本案申请人昆明三建建设（集团）有限公司的代理人荣律师提供，我公司注册房地产估价师马海波已于2020年04月07日前往玉溪市住房和城乡建设局房地产管理局信息办进行核实，该函件内容至价值时点无变化。</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汇海佳苑小区地块登记信息由我公司注册房地产估价师马海波于2020年04月07日前往玉溪市不动产登记中心调查并记录。</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本次估价对象的物业缴费情况及物业费收费标准由玉溪市汇海物业服务有限公司工作人员协助提供，并协助我司注册房地产估价师对标的物B-4-1301、G-4-301、G-2-1401、G-1-1502四套住宅进行室内查勘。</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（三）、估价对象E-2-1402号住宅入户门上粘贴已有业主，我司注册房地产估价师电联后得知该业主已和开发商签订购房协议（未备案），该情况待核实。</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根据物业管理处查询结果，估价对象J-2-1802、E-4-701号住宅在物业管理处已登记接房，且自2015年起至本报告价值时点尚有物业管理费未结清，详见附件。</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本次估价对象中的部分车位已出租，租金为700元/年，具体已出租车位待查。以上内容为估价人员实际调查情况，提醒报告使用人注意！</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四）、附件“关于汇海佳苑小区房产（未备案登记房源）及查封情况调查回复的函”中装有云南汇海（集团）房地产开发有限公司回复的“关于《汇海佳苑项目调查告知函》的复函”，记录了本次估价对象中部分标的物的权属状况，提醒报告使用人注意，仅作为参考！</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（五）、经注册房地产估价师实地调查，估价对象所在项目的物业管理方为玉溪市汇海物业服务有限公司，物业管理费缴费情况及收费标准详询0877-6178411。</w:t>
      </w:r>
    </w:p>
    <w:p>
      <w:pPr>
        <w:spacing w:line="520" w:lineRule="exact"/>
        <w:ind w:firstLine="393" w:firstLineChars="150"/>
        <w:jc w:val="left"/>
        <w:rPr>
          <w:rFonts w:ascii="宋体" w:hAnsi="宋体" w:cs="宋体"/>
          <w:spacing w:val="-9"/>
          <w:sz w:val="28"/>
          <w:szCs w:val="28"/>
        </w:rPr>
      </w:pPr>
      <w:r>
        <w:rPr>
          <w:rFonts w:hint="eastAsia" w:ascii="宋体" w:hAnsi="宋体" w:cs="宋体"/>
          <w:spacing w:val="-9"/>
          <w:sz w:val="28"/>
          <w:szCs w:val="28"/>
        </w:rPr>
        <w:t>（六）、</w:t>
      </w:r>
      <w:r>
        <w:rPr>
          <w:rFonts w:hint="eastAsia" w:ascii="宋体" w:hAnsi="宋体" w:cs="宋体"/>
          <w:sz w:val="28"/>
          <w:szCs w:val="28"/>
        </w:rPr>
        <w:t>报告使用人在使用本报告之前需对报告全文，特别是“特别提示”、“估价的假设和限制条件”认真阅读，以免使用不当，造成损失！</w:t>
      </w:r>
      <w:r>
        <w:rPr>
          <w:rFonts w:ascii="宋体" w:hAnsi="宋体"/>
          <w:sz w:val="28"/>
          <w:szCs w:val="28"/>
        </w:rPr>
        <w:t>欲全面了解本估价项目情况，</w:t>
      </w:r>
      <w:r>
        <w:rPr>
          <w:rFonts w:hint="eastAsia" w:ascii="宋体" w:hAnsi="宋体"/>
          <w:sz w:val="28"/>
          <w:szCs w:val="28"/>
        </w:rPr>
        <w:t>请见附</w:t>
      </w:r>
      <w:r>
        <w:rPr>
          <w:rFonts w:hint="eastAsia" w:ascii="宋体" w:hAnsi="宋体" w:cs="宋体"/>
          <w:sz w:val="28"/>
          <w:szCs w:val="28"/>
        </w:rPr>
        <w:t>后《估价结果报告》。</w:t>
      </w:r>
    </w:p>
    <w:p>
      <w:pPr>
        <w:spacing w:line="520" w:lineRule="exact"/>
        <w:ind w:left="420" w:leftChars="200" w:firstLine="526" w:firstLineChars="200"/>
        <w:jc w:val="left"/>
        <w:rPr>
          <w:rFonts w:ascii="宋体" w:hAnsi="宋体" w:cs="宋体"/>
          <w:b/>
          <w:spacing w:val="-9"/>
          <w:sz w:val="28"/>
          <w:szCs w:val="28"/>
        </w:rPr>
      </w:pPr>
    </w:p>
    <w:p>
      <w:pPr>
        <w:spacing w:line="520" w:lineRule="exact"/>
        <w:ind w:left="420" w:leftChars="200" w:firstLine="526" w:firstLineChars="200"/>
        <w:jc w:val="left"/>
        <w:rPr>
          <w:rFonts w:ascii="宋体" w:hAnsi="宋体" w:cs="宋体"/>
          <w:b/>
          <w:spacing w:val="-9"/>
          <w:sz w:val="28"/>
          <w:szCs w:val="28"/>
        </w:rPr>
      </w:pPr>
    </w:p>
    <w:p>
      <w:pPr>
        <w:spacing w:line="520" w:lineRule="exact"/>
        <w:ind w:left="420" w:leftChars="200" w:firstLine="526" w:firstLineChars="200"/>
        <w:jc w:val="left"/>
        <w:rPr>
          <w:rFonts w:ascii="宋体" w:hAnsi="宋体" w:cs="宋体"/>
          <w:b/>
          <w:spacing w:val="-9"/>
          <w:sz w:val="28"/>
          <w:szCs w:val="28"/>
        </w:rPr>
      </w:pPr>
    </w:p>
    <w:p>
      <w:pPr>
        <w:spacing w:line="520" w:lineRule="exact"/>
        <w:ind w:left="420" w:leftChars="200" w:firstLine="526" w:firstLineChars="200"/>
        <w:jc w:val="left"/>
        <w:rPr>
          <w:rFonts w:ascii="宋体" w:hAnsi="宋体" w:cs="宋体"/>
          <w:b/>
          <w:spacing w:val="-9"/>
          <w:sz w:val="28"/>
          <w:szCs w:val="28"/>
        </w:rPr>
      </w:pPr>
    </w:p>
    <w:p>
      <w:pPr>
        <w:spacing w:before="240" w:line="520" w:lineRule="exact"/>
        <w:ind w:right="560" w:firstLine="560" w:firstLineChars="200"/>
        <w:jc w:val="center"/>
        <w:rPr>
          <w:rFonts w:ascii="宋体" w:cs="Times New Roman"/>
          <w:sz w:val="28"/>
          <w:szCs w:val="28"/>
        </w:rPr>
      </w:pPr>
      <w:r>
        <w:rPr>
          <w:rFonts w:hint="eastAsia" w:ascii="宋体" w:hAnsi="宋体" w:cs="宋体"/>
          <w:sz w:val="28"/>
          <w:szCs w:val="28"/>
        </w:rPr>
        <w:t xml:space="preserve">                     云南雨涵房地产评估有限责任公司</w:t>
      </w:r>
    </w:p>
    <w:p>
      <w:pPr>
        <w:spacing w:line="520" w:lineRule="exact"/>
        <w:ind w:right="1400" w:firstLine="560" w:firstLineChars="200"/>
        <w:jc w:val="center"/>
        <w:rPr>
          <w:rFonts w:ascii="宋体" w:hAnsi="宋体" w:cs="宋体"/>
          <w:sz w:val="28"/>
          <w:szCs w:val="28"/>
        </w:rPr>
      </w:pPr>
    </w:p>
    <w:p>
      <w:pPr>
        <w:spacing w:line="520" w:lineRule="exact"/>
        <w:ind w:right="1400" w:firstLine="560" w:firstLineChars="200"/>
        <w:jc w:val="center"/>
        <w:rPr>
          <w:rFonts w:ascii="宋体" w:hAnsi="宋体" w:cs="宋体"/>
          <w:sz w:val="28"/>
          <w:szCs w:val="28"/>
        </w:rPr>
      </w:pPr>
      <w:r>
        <w:rPr>
          <w:rFonts w:hint="eastAsia" w:ascii="宋体" w:hAnsi="宋体" w:cs="宋体"/>
          <w:sz w:val="28"/>
          <w:szCs w:val="28"/>
        </w:rPr>
        <w:t xml:space="preserve">                       法定代表人（签名或盖章）：</w:t>
      </w:r>
    </w:p>
    <w:p>
      <w:pPr>
        <w:spacing w:line="520" w:lineRule="exact"/>
        <w:ind w:right="840" w:firstLine="560" w:firstLineChars="200"/>
        <w:jc w:val="right"/>
        <w:rPr>
          <w:rFonts w:ascii="宋体" w:cs="Times New Roman"/>
          <w:sz w:val="28"/>
          <w:szCs w:val="28"/>
        </w:rPr>
      </w:pPr>
    </w:p>
    <w:p>
      <w:pPr>
        <w:ind w:firstLine="560" w:firstLineChars="200"/>
        <w:jc w:val="center"/>
        <w:rPr>
          <w:rFonts w:ascii="宋体" w:hAnsi="宋体" w:cs="宋体"/>
          <w:sz w:val="28"/>
          <w:szCs w:val="28"/>
        </w:rPr>
      </w:pPr>
      <w:r>
        <w:rPr>
          <w:rFonts w:hint="eastAsia" w:ascii="宋体" w:hAnsi="宋体" w:cs="宋体"/>
          <w:sz w:val="28"/>
          <w:szCs w:val="28"/>
        </w:rPr>
        <w:t xml:space="preserve">                 二○二○年四月二十九日</w:t>
      </w:r>
    </w:p>
    <w:p>
      <w:pPr>
        <w:spacing w:line="520" w:lineRule="exact"/>
        <w:ind w:firstLine="420" w:firstLineChars="150"/>
        <w:jc w:val="left"/>
        <w:rPr>
          <w:rFonts w:ascii="宋体" w:hAnsi="宋体" w:cs="宋体"/>
          <w:sz w:val="28"/>
          <w:szCs w:val="28"/>
        </w:rPr>
      </w:pPr>
    </w:p>
    <w:p>
      <w:pPr>
        <w:spacing w:line="520" w:lineRule="exact"/>
        <w:ind w:firstLine="420" w:firstLineChars="150"/>
        <w:jc w:val="left"/>
        <w:rPr>
          <w:rFonts w:ascii="宋体" w:hAnsi="宋体" w:cs="宋体"/>
          <w:sz w:val="28"/>
          <w:szCs w:val="28"/>
        </w:rPr>
      </w:pPr>
    </w:p>
    <w:p>
      <w:pPr>
        <w:spacing w:line="520" w:lineRule="exact"/>
        <w:ind w:firstLine="420" w:firstLineChars="150"/>
        <w:jc w:val="left"/>
        <w:rPr>
          <w:rFonts w:ascii="宋体" w:hAnsi="宋体" w:cs="宋体"/>
          <w:sz w:val="28"/>
          <w:szCs w:val="28"/>
        </w:rPr>
      </w:pPr>
    </w:p>
    <w:p>
      <w:pPr>
        <w:spacing w:line="520" w:lineRule="exact"/>
        <w:ind w:firstLine="420" w:firstLineChars="150"/>
        <w:jc w:val="left"/>
        <w:rPr>
          <w:rFonts w:ascii="宋体" w:hAnsi="宋体" w:cs="宋体"/>
          <w:sz w:val="28"/>
          <w:szCs w:val="28"/>
        </w:rPr>
      </w:pPr>
    </w:p>
    <w:p>
      <w:pPr>
        <w:spacing w:line="520" w:lineRule="exact"/>
        <w:ind w:firstLine="420" w:firstLineChars="150"/>
        <w:jc w:val="left"/>
        <w:rPr>
          <w:rFonts w:ascii="宋体" w:hAnsi="宋体" w:cs="宋体"/>
          <w:sz w:val="28"/>
          <w:szCs w:val="28"/>
        </w:rPr>
      </w:pPr>
    </w:p>
    <w:p>
      <w:pPr>
        <w:spacing w:line="520" w:lineRule="exact"/>
        <w:ind w:firstLine="420" w:firstLineChars="150"/>
        <w:jc w:val="left"/>
        <w:rPr>
          <w:rFonts w:ascii="宋体" w:hAnsi="宋体" w:cs="宋体"/>
          <w:sz w:val="28"/>
          <w:szCs w:val="28"/>
        </w:rPr>
      </w:pPr>
    </w:p>
    <w:p>
      <w:pPr>
        <w:spacing w:line="520" w:lineRule="exact"/>
        <w:ind w:firstLine="420" w:firstLineChars="150"/>
        <w:jc w:val="left"/>
        <w:rPr>
          <w:rFonts w:ascii="宋体" w:hAnsi="宋体" w:cs="宋体"/>
          <w:sz w:val="28"/>
          <w:szCs w:val="28"/>
        </w:rPr>
      </w:pPr>
    </w:p>
    <w:p>
      <w:pPr>
        <w:spacing w:line="520" w:lineRule="exact"/>
        <w:ind w:firstLine="420" w:firstLineChars="150"/>
        <w:jc w:val="left"/>
        <w:rPr>
          <w:rFonts w:ascii="宋体" w:hAnsi="宋体" w:cs="宋体"/>
          <w:sz w:val="28"/>
          <w:szCs w:val="28"/>
        </w:rPr>
      </w:pPr>
    </w:p>
    <w:p>
      <w:pPr>
        <w:spacing w:line="520" w:lineRule="exact"/>
        <w:jc w:val="left"/>
        <w:rPr>
          <w:rFonts w:ascii="宋体" w:hAnsi="宋体" w:cs="宋体"/>
          <w:sz w:val="28"/>
          <w:szCs w:val="28"/>
        </w:rPr>
      </w:pPr>
    </w:p>
    <w:p>
      <w:pPr>
        <w:spacing w:line="520" w:lineRule="exact"/>
        <w:jc w:val="left"/>
        <w:rPr>
          <w:rFonts w:ascii="宋体" w:hAnsi="宋体" w:cs="宋体"/>
          <w:spacing w:val="-9"/>
          <w:sz w:val="28"/>
          <w:szCs w:val="28"/>
        </w:rPr>
      </w:pPr>
    </w:p>
    <w:p>
      <w:pPr>
        <w:spacing w:before="240" w:line="520" w:lineRule="exact"/>
        <w:ind w:right="560" w:firstLine="560" w:firstLineChars="200"/>
        <w:jc w:val="center"/>
        <w:rPr>
          <w:rFonts w:ascii="宋体" w:hAnsi="宋体" w:cs="宋体"/>
          <w:b/>
          <w:bCs/>
          <w:sz w:val="44"/>
          <w:szCs w:val="44"/>
        </w:rPr>
      </w:pPr>
      <w:r>
        <w:rPr>
          <w:rFonts w:hint="eastAsia" w:ascii="宋体" w:hAnsi="宋体" w:cs="宋体"/>
          <w:sz w:val="28"/>
          <w:szCs w:val="28"/>
        </w:rPr>
        <w:t xml:space="preserve">         </w:t>
      </w:r>
      <w:r>
        <w:rPr>
          <w:rFonts w:hint="eastAsia" w:ascii="宋体" w:hAnsi="宋体" w:cs="宋体"/>
          <w:b/>
          <w:bCs/>
          <w:sz w:val="44"/>
          <w:szCs w:val="44"/>
        </w:rPr>
        <w:t>目录</w:t>
      </w:r>
    </w:p>
    <w:p>
      <w:pPr>
        <w:ind w:firstLine="422" w:firstLineChars="200"/>
        <w:jc w:val="center"/>
        <w:rPr>
          <w:rFonts w:ascii="宋体" w:cs="Times New Roman"/>
          <w:b/>
          <w:bCs/>
          <w:szCs w:val="44"/>
        </w:rPr>
      </w:pPr>
    </w:p>
    <w:p>
      <w:pPr>
        <w:pStyle w:val="13"/>
        <w:rPr>
          <w:rFonts w:asciiTheme="minorHAnsi" w:hAnsiTheme="minorHAnsi" w:eastAsiaTheme="minorEastAsia" w:cstheme="minorBidi"/>
          <w:b w:val="0"/>
          <w:bCs w:val="0"/>
          <w:spacing w:val="0"/>
          <w:szCs w:val="22"/>
        </w:rPr>
      </w:pPr>
      <w:r>
        <w:rPr>
          <w:sz w:val="28"/>
          <w:szCs w:val="28"/>
        </w:rPr>
        <w:fldChar w:fldCharType="begin"/>
      </w:r>
      <w:r>
        <w:rPr>
          <w:rFonts w:hint="eastAsia"/>
          <w:sz w:val="28"/>
          <w:szCs w:val="28"/>
        </w:rPr>
        <w:instrText xml:space="preserve">TOC \o "1-2" \h \z \u</w:instrText>
      </w:r>
      <w:r>
        <w:rPr>
          <w:sz w:val="28"/>
          <w:szCs w:val="28"/>
        </w:rPr>
        <w:fldChar w:fldCharType="separate"/>
      </w:r>
      <w:r>
        <w:fldChar w:fldCharType="begin"/>
      </w:r>
      <w:r>
        <w:instrText xml:space="preserve"> HYPERLINK \l "_Toc38971980" </w:instrText>
      </w:r>
      <w:r>
        <w:fldChar w:fldCharType="separate"/>
      </w:r>
      <w:r>
        <w:rPr>
          <w:rStyle w:val="23"/>
          <w:rFonts w:hint="eastAsia"/>
        </w:rPr>
        <w:t>估价师声明</w:t>
      </w:r>
      <w:r>
        <w:tab/>
      </w:r>
      <w:r>
        <w:fldChar w:fldCharType="begin"/>
      </w:r>
      <w:r>
        <w:instrText xml:space="preserve"> PAGEREF _Toc38971980 \h </w:instrText>
      </w:r>
      <w:r>
        <w:fldChar w:fldCharType="separate"/>
      </w:r>
      <w:r>
        <w:t>12</w:t>
      </w:r>
      <w:r>
        <w:fldChar w:fldCharType="end"/>
      </w:r>
      <w:r>
        <w:fldChar w:fldCharType="end"/>
      </w:r>
    </w:p>
    <w:p>
      <w:pPr>
        <w:pStyle w:val="13"/>
        <w:rPr>
          <w:rFonts w:asciiTheme="minorHAnsi" w:hAnsiTheme="minorHAnsi" w:eastAsiaTheme="minorEastAsia" w:cstheme="minorBidi"/>
          <w:b w:val="0"/>
          <w:bCs w:val="0"/>
          <w:spacing w:val="0"/>
          <w:szCs w:val="22"/>
        </w:rPr>
      </w:pPr>
      <w:r>
        <w:fldChar w:fldCharType="begin"/>
      </w:r>
      <w:r>
        <w:instrText xml:space="preserve"> HYPERLINK \l "_Toc38971981" </w:instrText>
      </w:r>
      <w:r>
        <w:fldChar w:fldCharType="separate"/>
      </w:r>
      <w:r>
        <w:rPr>
          <w:rStyle w:val="23"/>
          <w:rFonts w:hint="eastAsia"/>
        </w:rPr>
        <w:t>估价假设和限制条件</w:t>
      </w:r>
      <w:r>
        <w:tab/>
      </w:r>
      <w:r>
        <w:fldChar w:fldCharType="begin"/>
      </w:r>
      <w:r>
        <w:instrText xml:space="preserve"> PAGEREF _Toc38971981 \h </w:instrText>
      </w:r>
      <w:r>
        <w:fldChar w:fldCharType="separate"/>
      </w:r>
      <w:r>
        <w:t>13</w:t>
      </w:r>
      <w:r>
        <w:fldChar w:fldCharType="end"/>
      </w:r>
      <w:r>
        <w:fldChar w:fldCharType="end"/>
      </w:r>
    </w:p>
    <w:p>
      <w:pPr>
        <w:pStyle w:val="13"/>
        <w:rPr>
          <w:rFonts w:asciiTheme="minorHAnsi" w:hAnsiTheme="minorHAnsi" w:eastAsiaTheme="minorEastAsia" w:cstheme="minorBidi"/>
          <w:b w:val="0"/>
          <w:bCs w:val="0"/>
          <w:spacing w:val="0"/>
          <w:szCs w:val="22"/>
        </w:rPr>
      </w:pPr>
      <w:r>
        <w:fldChar w:fldCharType="begin"/>
      </w:r>
      <w:r>
        <w:instrText xml:space="preserve"> HYPERLINK \l "_Toc38971982" </w:instrText>
      </w:r>
      <w:r>
        <w:fldChar w:fldCharType="separate"/>
      </w:r>
      <w:r>
        <w:rPr>
          <w:rStyle w:val="23"/>
          <w:rFonts w:hint="eastAsia"/>
        </w:rPr>
        <w:t>估价结果报告</w:t>
      </w:r>
      <w:r>
        <w:tab/>
      </w:r>
      <w:r>
        <w:fldChar w:fldCharType="begin"/>
      </w:r>
      <w:r>
        <w:instrText xml:space="preserve"> PAGEREF _Toc38971982 \h </w:instrText>
      </w:r>
      <w:r>
        <w:fldChar w:fldCharType="separate"/>
      </w:r>
      <w:r>
        <w:t>17</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"_Toc38971983" </w:instrText>
      </w:r>
      <w:r>
        <w:fldChar w:fldCharType="separate"/>
      </w:r>
      <w:r>
        <w:rPr>
          <w:rStyle w:val="23"/>
          <w:rFonts w:hint="eastAsia" w:ascii="宋体" w:hAnsi="宋体" w:cs="宋体"/>
          <w:b/>
          <w:bCs/>
        </w:rPr>
        <w:t>一、估价委托人</w:t>
      </w:r>
      <w:r>
        <w:tab/>
      </w:r>
      <w:r>
        <w:fldChar w:fldCharType="begin"/>
      </w:r>
      <w:r>
        <w:instrText xml:space="preserve"> PAGEREF _Toc38971983 \h </w:instrText>
      </w:r>
      <w:r>
        <w:fldChar w:fldCharType="separate"/>
      </w:r>
      <w:r>
        <w:t>17</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"_Toc38971984" </w:instrText>
      </w:r>
      <w:r>
        <w:fldChar w:fldCharType="separate"/>
      </w:r>
      <w:r>
        <w:rPr>
          <w:rStyle w:val="23"/>
          <w:rFonts w:hint="eastAsia" w:ascii="宋体" w:hAnsi="宋体" w:cs="宋体"/>
          <w:b/>
          <w:bCs/>
        </w:rPr>
        <w:t>二、房地产估价机构</w:t>
      </w:r>
      <w:r>
        <w:tab/>
      </w:r>
      <w:r>
        <w:fldChar w:fldCharType="begin"/>
      </w:r>
      <w:r>
        <w:instrText xml:space="preserve"> PAGEREF _Toc38971984 \h </w:instrText>
      </w:r>
      <w:r>
        <w:fldChar w:fldCharType="separate"/>
      </w:r>
      <w:r>
        <w:t>17</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"_Toc38971985" </w:instrText>
      </w:r>
      <w:r>
        <w:fldChar w:fldCharType="separate"/>
      </w:r>
      <w:r>
        <w:rPr>
          <w:rStyle w:val="23"/>
          <w:rFonts w:hint="eastAsia" w:ascii="宋体" w:hAnsi="宋体" w:cs="宋体"/>
          <w:b/>
          <w:bCs/>
        </w:rPr>
        <w:t>三、估价目的</w:t>
      </w:r>
      <w:r>
        <w:tab/>
      </w:r>
      <w:r>
        <w:fldChar w:fldCharType="begin"/>
      </w:r>
      <w:r>
        <w:instrText xml:space="preserve"> PAGEREF _Toc38971985 \h </w:instrText>
      </w:r>
      <w:r>
        <w:fldChar w:fldCharType="separate"/>
      </w:r>
      <w:r>
        <w:t>17</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"_Toc38971986" </w:instrText>
      </w:r>
      <w:r>
        <w:fldChar w:fldCharType="separate"/>
      </w:r>
      <w:r>
        <w:rPr>
          <w:rStyle w:val="23"/>
          <w:rFonts w:hint="eastAsia" w:ascii="宋体" w:hAnsi="宋体" w:cs="宋体"/>
          <w:b/>
          <w:bCs/>
        </w:rPr>
        <w:t>四、估价对象</w:t>
      </w:r>
      <w:r>
        <w:tab/>
      </w:r>
      <w:r>
        <w:fldChar w:fldCharType="begin"/>
      </w:r>
      <w:r>
        <w:instrText xml:space="preserve"> PAGEREF _Toc38971986 \h </w:instrText>
      </w:r>
      <w:r>
        <w:fldChar w:fldCharType="separate"/>
      </w:r>
      <w:r>
        <w:t>17</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"_Toc38971987" </w:instrText>
      </w:r>
      <w:r>
        <w:fldChar w:fldCharType="separate"/>
      </w:r>
      <w:r>
        <w:rPr>
          <w:rStyle w:val="23"/>
          <w:rFonts w:hint="eastAsia" w:ascii="宋体" w:hAnsi="宋体" w:cs="宋体"/>
          <w:b/>
          <w:bCs/>
        </w:rPr>
        <w:t>五、价值时点</w:t>
      </w:r>
      <w:r>
        <w:tab/>
      </w:r>
      <w:r>
        <w:fldChar w:fldCharType="begin"/>
      </w:r>
      <w:r>
        <w:instrText xml:space="preserve"> PAGEREF _Toc38971987 \h </w:instrText>
      </w:r>
      <w:r>
        <w:fldChar w:fldCharType="separate"/>
      </w:r>
      <w:r>
        <w:t>40</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"_Toc38971988" </w:instrText>
      </w:r>
      <w:r>
        <w:fldChar w:fldCharType="separate"/>
      </w:r>
      <w:r>
        <w:rPr>
          <w:rStyle w:val="23"/>
          <w:rFonts w:hint="eastAsia" w:ascii="宋体" w:hAnsi="宋体" w:cs="宋体"/>
          <w:b/>
          <w:bCs/>
        </w:rPr>
        <w:t>六、价值类型</w:t>
      </w:r>
      <w:r>
        <w:tab/>
      </w:r>
      <w:r>
        <w:fldChar w:fldCharType="begin"/>
      </w:r>
      <w:r>
        <w:instrText xml:space="preserve"> PAGEREF _Toc38971988 \h </w:instrText>
      </w:r>
      <w:r>
        <w:fldChar w:fldCharType="separate"/>
      </w:r>
      <w:r>
        <w:t>40</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"_Toc38971989" </w:instrText>
      </w:r>
      <w:r>
        <w:fldChar w:fldCharType="separate"/>
      </w:r>
      <w:r>
        <w:rPr>
          <w:rStyle w:val="23"/>
          <w:rFonts w:hint="eastAsia" w:ascii="宋体" w:hAnsi="宋体" w:cs="宋体"/>
          <w:b/>
          <w:bCs/>
          <w:spacing w:val="-9"/>
        </w:rPr>
        <w:t>七、估价原则</w:t>
      </w:r>
      <w:r>
        <w:tab/>
      </w:r>
      <w:r>
        <w:fldChar w:fldCharType="begin"/>
      </w:r>
      <w:r>
        <w:instrText xml:space="preserve"> PAGEREF _Toc38971989 \h </w:instrText>
      </w:r>
      <w:r>
        <w:fldChar w:fldCharType="separate"/>
      </w:r>
      <w:r>
        <w:t>40</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"_Toc38971990" </w:instrText>
      </w:r>
      <w:r>
        <w:fldChar w:fldCharType="separate"/>
      </w:r>
      <w:r>
        <w:rPr>
          <w:rStyle w:val="23"/>
          <w:rFonts w:hint="eastAsia" w:ascii="宋体" w:hAnsi="宋体" w:cs="宋体"/>
          <w:b/>
          <w:bCs/>
          <w:spacing w:val="-9"/>
        </w:rPr>
        <w:t>八、价值依据</w:t>
      </w:r>
      <w:r>
        <w:tab/>
      </w:r>
      <w:r>
        <w:fldChar w:fldCharType="begin"/>
      </w:r>
      <w:r>
        <w:instrText xml:space="preserve"> PAGEREF _Toc38971990 \h </w:instrText>
      </w:r>
      <w:r>
        <w:fldChar w:fldCharType="separate"/>
      </w:r>
      <w:r>
        <w:t>42</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"_Toc38971991" </w:instrText>
      </w:r>
      <w:r>
        <w:fldChar w:fldCharType="separate"/>
      </w:r>
      <w:r>
        <w:rPr>
          <w:rStyle w:val="23"/>
          <w:rFonts w:hint="eastAsia" w:ascii="宋体" w:hAnsi="宋体" w:cs="宋体"/>
          <w:b/>
          <w:bCs/>
        </w:rPr>
        <w:t>九、估价方法</w:t>
      </w:r>
      <w:r>
        <w:tab/>
      </w:r>
      <w:r>
        <w:fldChar w:fldCharType="begin"/>
      </w:r>
      <w:r>
        <w:instrText xml:space="preserve"> PAGEREF _Toc38971991 \h </w:instrText>
      </w:r>
      <w:r>
        <w:fldChar w:fldCharType="separate"/>
      </w:r>
      <w:r>
        <w:t>44</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"_Toc38971992" </w:instrText>
      </w:r>
      <w:r>
        <w:fldChar w:fldCharType="separate"/>
      </w:r>
      <w:r>
        <w:rPr>
          <w:rStyle w:val="23"/>
          <w:rFonts w:hint="eastAsia" w:ascii="宋体" w:hAnsi="宋体" w:cs="宋体"/>
          <w:b/>
          <w:bCs/>
          <w:spacing w:val="-9"/>
        </w:rPr>
        <w:t>十、估价结果</w:t>
      </w:r>
      <w:r>
        <w:tab/>
      </w:r>
      <w:r>
        <w:fldChar w:fldCharType="begin"/>
      </w:r>
      <w:r>
        <w:instrText xml:space="preserve"> PAGEREF _Toc38971992 \h </w:instrText>
      </w:r>
      <w:r>
        <w:fldChar w:fldCharType="separate"/>
      </w:r>
      <w:r>
        <w:t>46</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"_Toc38971993" </w:instrText>
      </w:r>
      <w:r>
        <w:fldChar w:fldCharType="separate"/>
      </w:r>
      <w:r>
        <w:rPr>
          <w:rStyle w:val="23"/>
          <w:rFonts w:hint="eastAsia" w:ascii="宋体" w:hAnsi="宋体" w:cs="宋体"/>
          <w:b/>
          <w:bCs/>
          <w:spacing w:val="-9"/>
        </w:rPr>
        <w:t>十一、注册房地产估价师</w:t>
      </w:r>
      <w:r>
        <w:tab/>
      </w:r>
      <w:r>
        <w:fldChar w:fldCharType="begin"/>
      </w:r>
      <w:r>
        <w:instrText xml:space="preserve"> PAGEREF _Toc38971993 \h </w:instrText>
      </w:r>
      <w:r>
        <w:fldChar w:fldCharType="separate"/>
      </w:r>
      <w:r>
        <w:t>47</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"_Toc38971994" </w:instrText>
      </w:r>
      <w:r>
        <w:fldChar w:fldCharType="separate"/>
      </w:r>
      <w:r>
        <w:rPr>
          <w:rStyle w:val="23"/>
          <w:rFonts w:hint="eastAsia" w:ascii="宋体" w:hAnsi="宋体" w:cs="宋体"/>
          <w:b/>
          <w:bCs/>
          <w:spacing w:val="-9"/>
        </w:rPr>
        <w:t>十二、实地查勘期</w:t>
      </w:r>
      <w:r>
        <w:tab/>
      </w:r>
      <w:r>
        <w:fldChar w:fldCharType="begin"/>
      </w:r>
      <w:r>
        <w:instrText xml:space="preserve"> PAGEREF _Toc38971994 \h </w:instrText>
      </w:r>
      <w:r>
        <w:fldChar w:fldCharType="separate"/>
      </w:r>
      <w:r>
        <w:t>47</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"_Toc38971995" </w:instrText>
      </w:r>
      <w:r>
        <w:fldChar w:fldCharType="separate"/>
      </w:r>
      <w:r>
        <w:rPr>
          <w:rStyle w:val="23"/>
          <w:rFonts w:hint="eastAsia" w:ascii="宋体" w:hAnsi="宋体" w:cs="宋体"/>
          <w:b/>
          <w:bCs/>
          <w:spacing w:val="-9"/>
        </w:rPr>
        <w:t>十三、估价作业日期</w:t>
      </w:r>
      <w:r>
        <w:tab/>
      </w:r>
      <w:r>
        <w:fldChar w:fldCharType="begin"/>
      </w:r>
      <w:r>
        <w:instrText xml:space="preserve"> PAGEREF _Toc38971995 \h </w:instrText>
      </w:r>
      <w:r>
        <w:fldChar w:fldCharType="separate"/>
      </w:r>
      <w:r>
        <w:t>47</w:t>
      </w:r>
      <w:r>
        <w:fldChar w:fldCharType="end"/>
      </w:r>
      <w:r>
        <w:fldChar w:fldCharType="end"/>
      </w:r>
    </w:p>
    <w:p>
      <w:pPr>
        <w:pStyle w:val="16"/>
        <w:tabs>
          <w:tab w:val="right" w:leader="dot" w:pos="8302"/>
        </w:tabs>
        <w:rPr>
          <w:rFonts w:asciiTheme="minorHAnsi" w:hAnsiTheme="minorHAnsi" w:eastAsiaTheme="minorEastAsia" w:cstheme="minorBidi"/>
          <w:szCs w:val="22"/>
        </w:rPr>
      </w:pPr>
      <w:r>
        <w:fldChar w:fldCharType="begin"/>
      </w:r>
      <w:r>
        <w:instrText xml:space="preserve"> HYPERLINK \l "_Toc38971996" </w:instrText>
      </w:r>
      <w:r>
        <w:fldChar w:fldCharType="separate"/>
      </w:r>
      <w:r>
        <w:rPr>
          <w:rStyle w:val="23"/>
          <w:rFonts w:hint="eastAsia" w:ascii="宋体" w:hAnsi="宋体" w:cs="宋体"/>
          <w:b/>
          <w:bCs/>
          <w:spacing w:val="-9"/>
        </w:rPr>
        <w:t>十四、</w:t>
      </w:r>
      <w:r>
        <w:rPr>
          <w:rStyle w:val="23"/>
          <w:rFonts w:hint="eastAsia" w:ascii="宋体" w:hAnsi="宋体"/>
          <w:b/>
          <w:bCs/>
        </w:rPr>
        <w:t>估价报告应用的有效期</w:t>
      </w:r>
      <w:r>
        <w:tab/>
      </w:r>
      <w:r>
        <w:fldChar w:fldCharType="begin"/>
      </w:r>
      <w:r>
        <w:instrText xml:space="preserve"> PAGEREF _Toc38971996 \h </w:instrText>
      </w:r>
      <w:r>
        <w:fldChar w:fldCharType="separate"/>
      </w:r>
      <w:r>
        <w:t>47</w:t>
      </w:r>
      <w:r>
        <w:fldChar w:fldCharType="end"/>
      </w:r>
      <w:r>
        <w:fldChar w:fldCharType="end"/>
      </w:r>
    </w:p>
    <w:p>
      <w:pPr>
        <w:pStyle w:val="13"/>
        <w:rPr>
          <w:rFonts w:asciiTheme="minorHAnsi" w:hAnsiTheme="minorHAnsi" w:eastAsiaTheme="minorEastAsia" w:cstheme="minorBidi"/>
          <w:b w:val="0"/>
          <w:bCs w:val="0"/>
          <w:spacing w:val="0"/>
          <w:szCs w:val="22"/>
        </w:rPr>
      </w:pPr>
      <w:r>
        <w:fldChar w:fldCharType="begin"/>
      </w:r>
      <w:r>
        <w:instrText xml:space="preserve"> HYPERLINK \l "_Toc38971997" </w:instrText>
      </w:r>
      <w:r>
        <w:fldChar w:fldCharType="separate"/>
      </w:r>
      <w:r>
        <w:rPr>
          <w:rStyle w:val="23"/>
          <w:rFonts w:hint="eastAsia"/>
        </w:rPr>
        <w:t>附件</w:t>
      </w:r>
      <w:r>
        <w:tab/>
      </w:r>
      <w:r>
        <w:fldChar w:fldCharType="begin"/>
      </w:r>
      <w:r>
        <w:instrText xml:space="preserve"> PAGEREF _Toc38971997 \h </w:instrText>
      </w:r>
      <w:r>
        <w:fldChar w:fldCharType="separate"/>
      </w:r>
      <w:r>
        <w:t>48</w:t>
      </w:r>
      <w:r>
        <w:fldChar w:fldCharType="end"/>
      </w:r>
      <w:r>
        <w:fldChar w:fldCharType="end"/>
      </w:r>
    </w:p>
    <w:p>
      <w:pPr>
        <w:pStyle w:val="13"/>
        <w:rPr>
          <w:color w:val="FF0000"/>
        </w:rPr>
      </w:pPr>
      <w:r>
        <w:rPr>
          <w:b w:val="0"/>
          <w:sz w:val="28"/>
          <w:szCs w:val="28"/>
        </w:rPr>
        <w:fldChar w:fldCharType="end"/>
      </w:r>
    </w:p>
    <w:p>
      <w:pPr>
        <w:numPr>
          <w:ilvl w:val="0"/>
          <w:numId w:val="1"/>
        </w:numPr>
        <w:ind w:left="424" w:leftChars="136" w:hanging="138" w:hangingChars="66"/>
        <w:rPr>
          <w:rFonts w:ascii="宋体" w:hAnsi="宋体" w:cs="宋体"/>
          <w:bCs/>
        </w:rPr>
      </w:pPr>
      <w:bookmarkStart w:id="2" w:name="_Toc15569646"/>
      <w:r>
        <w:rPr>
          <w:rFonts w:hint="eastAsia" w:ascii="宋体" w:hAnsi="宋体" w:cs="宋体"/>
          <w:bCs/>
        </w:rPr>
        <w:t>昆明市中级人民法院司法技术处评估鉴定机构选定通知书复印件</w:t>
      </w:r>
      <w:bookmarkEnd w:id="2"/>
    </w:p>
    <w:p>
      <w:pPr>
        <w:numPr>
          <w:ilvl w:val="0"/>
          <w:numId w:val="1"/>
        </w:numPr>
        <w:ind w:left="424" w:leftChars="136" w:hanging="138" w:hangingChars="66"/>
        <w:rPr>
          <w:rFonts w:ascii="宋体" w:hAnsi="宋体" w:cs="宋体"/>
          <w:bCs/>
        </w:rPr>
      </w:pPr>
      <w:bookmarkStart w:id="3" w:name="_Toc15569647"/>
      <w:r>
        <w:rPr>
          <w:rFonts w:hint="eastAsia" w:ascii="宋体" w:hAnsi="宋体" w:cs="宋体"/>
          <w:bCs/>
        </w:rPr>
        <w:t>评估财产清单、 “汇海佳苑未备案房源（地下车位）”复印件</w:t>
      </w:r>
    </w:p>
    <w:p>
      <w:pPr>
        <w:numPr>
          <w:ilvl w:val="0"/>
          <w:numId w:val="1"/>
        </w:numPr>
        <w:ind w:left="424" w:leftChars="136" w:hanging="138" w:hangingChars="66"/>
        <w:rPr>
          <w:rFonts w:ascii="宋体" w:hAnsi="宋体" w:cs="宋体"/>
          <w:bCs/>
        </w:rPr>
      </w:pPr>
      <w:r>
        <w:rPr>
          <w:rFonts w:hint="eastAsia" w:ascii="宋体" w:hAnsi="宋体" w:cs="宋体"/>
          <w:bCs/>
        </w:rPr>
        <w:t>昆明市中级人民法院司法技术评估委托书复印件</w:t>
      </w:r>
      <w:bookmarkEnd w:id="3"/>
    </w:p>
    <w:p>
      <w:pPr>
        <w:numPr>
          <w:ilvl w:val="0"/>
          <w:numId w:val="1"/>
        </w:numPr>
        <w:ind w:left="424" w:leftChars="136" w:hanging="138" w:hangingChars="66"/>
        <w:rPr>
          <w:rFonts w:ascii="宋体" w:hAnsi="宋体" w:cs="宋体"/>
          <w:bCs/>
        </w:rPr>
      </w:pPr>
      <w:bookmarkStart w:id="4" w:name="_Toc15569649"/>
      <w:r>
        <w:rPr>
          <w:rFonts w:hint="eastAsia" w:ascii="宋体" w:hAnsi="宋体" w:cs="宋体"/>
          <w:bCs/>
        </w:rPr>
        <w:t>“关于汇海佳苑小区房产（未备案登记房源）及查封情况调查回复的函”复印件</w:t>
      </w:r>
      <w:bookmarkEnd w:id="4"/>
    </w:p>
    <w:p>
      <w:pPr>
        <w:numPr>
          <w:ilvl w:val="0"/>
          <w:numId w:val="1"/>
        </w:numPr>
        <w:ind w:left="424" w:leftChars="136" w:hanging="138" w:hangingChars="66"/>
        <w:rPr>
          <w:rFonts w:ascii="宋体" w:hAnsi="宋体" w:cs="宋体"/>
          <w:bCs/>
        </w:rPr>
      </w:pPr>
      <w:r>
        <w:rPr>
          <w:rFonts w:hint="eastAsia" w:ascii="宋体" w:hAnsi="宋体" w:cs="宋体"/>
          <w:bCs/>
        </w:rPr>
        <w:t>汇海佳苑小区地块权益信息查询记录</w:t>
      </w:r>
    </w:p>
    <w:p>
      <w:pPr>
        <w:numPr>
          <w:ilvl w:val="0"/>
          <w:numId w:val="1"/>
        </w:numPr>
        <w:ind w:left="424" w:leftChars="136" w:hanging="138" w:hangingChars="66"/>
        <w:rPr>
          <w:rFonts w:ascii="宋体" w:hAnsi="宋体" w:cs="宋体"/>
          <w:bCs/>
        </w:rPr>
      </w:pPr>
      <w:r>
        <w:rPr>
          <w:rFonts w:hint="eastAsia" w:ascii="宋体" w:hAnsi="宋体" w:cs="宋体"/>
          <w:bCs/>
        </w:rPr>
        <w:t>估价对象物业缴费情况及缴费标准调查记录</w:t>
      </w:r>
    </w:p>
    <w:p>
      <w:pPr>
        <w:numPr>
          <w:ilvl w:val="0"/>
          <w:numId w:val="1"/>
        </w:numPr>
        <w:ind w:left="424" w:leftChars="136" w:hanging="138" w:hangingChars="66"/>
        <w:rPr>
          <w:rFonts w:ascii="宋体" w:hAnsi="宋体" w:cs="宋体"/>
          <w:bCs/>
        </w:rPr>
      </w:pPr>
      <w:bookmarkStart w:id="5" w:name="_Toc15569653"/>
      <w:r>
        <w:rPr>
          <w:rFonts w:hint="eastAsia" w:ascii="宋体" w:hAnsi="宋体" w:cs="宋体"/>
          <w:bCs/>
        </w:rPr>
        <w:t>现场勘察记录表</w:t>
      </w:r>
      <w:bookmarkEnd w:id="5"/>
      <w:r>
        <w:rPr>
          <w:rFonts w:hint="eastAsia" w:ascii="宋体" w:hAnsi="宋体" w:cs="宋体"/>
          <w:bCs/>
        </w:rPr>
        <w:t>复印件</w:t>
      </w:r>
    </w:p>
    <w:p>
      <w:pPr>
        <w:numPr>
          <w:ilvl w:val="0"/>
          <w:numId w:val="1"/>
        </w:numPr>
        <w:ind w:left="424" w:leftChars="136" w:hanging="138" w:hangingChars="66"/>
        <w:rPr>
          <w:rFonts w:ascii="宋体" w:hAnsi="宋体" w:cs="宋体"/>
          <w:bCs/>
        </w:rPr>
      </w:pPr>
      <w:r>
        <w:rPr>
          <w:rFonts w:hint="eastAsia" w:ascii="宋体" w:hAnsi="宋体" w:cs="宋体"/>
          <w:bCs/>
        </w:rPr>
        <w:t>司法评估工作告知书、与当事人联系记录打印件</w:t>
      </w:r>
    </w:p>
    <w:p>
      <w:pPr>
        <w:numPr>
          <w:ilvl w:val="0"/>
          <w:numId w:val="1"/>
        </w:numPr>
        <w:ind w:left="424" w:leftChars="136" w:hanging="138" w:hangingChars="66"/>
        <w:rPr>
          <w:rFonts w:ascii="宋体" w:hAnsi="宋体" w:cs="宋体"/>
          <w:bCs/>
        </w:rPr>
      </w:pPr>
      <w:r>
        <w:rPr>
          <w:rFonts w:hint="eastAsia" w:ascii="宋体" w:hAnsi="宋体" w:cs="宋体"/>
          <w:bCs/>
        </w:rPr>
        <w:t>估价对象I-9号非住宅平面图复印件</w:t>
      </w:r>
    </w:p>
    <w:p>
      <w:pPr>
        <w:numPr>
          <w:ilvl w:val="0"/>
          <w:numId w:val="1"/>
        </w:numPr>
        <w:ind w:left="424" w:leftChars="136" w:hanging="138" w:hangingChars="66"/>
        <w:rPr>
          <w:rFonts w:ascii="宋体" w:hAnsi="宋体" w:cs="宋体"/>
          <w:bCs/>
        </w:rPr>
      </w:pPr>
      <w:bookmarkStart w:id="6" w:name="_Toc15569654"/>
      <w:r>
        <w:rPr>
          <w:rFonts w:hint="eastAsia" w:ascii="宋体" w:hAnsi="宋体" w:cs="宋体"/>
          <w:bCs/>
        </w:rPr>
        <w:t>估价对象区位图</w:t>
      </w:r>
      <w:bookmarkEnd w:id="6"/>
    </w:p>
    <w:p>
      <w:pPr>
        <w:numPr>
          <w:ilvl w:val="0"/>
          <w:numId w:val="1"/>
        </w:numPr>
        <w:ind w:left="424" w:leftChars="136" w:hanging="138" w:hangingChars="66"/>
        <w:rPr>
          <w:rFonts w:ascii="宋体" w:hAnsi="宋体" w:cs="宋体"/>
          <w:bCs/>
        </w:rPr>
      </w:pPr>
      <w:bookmarkStart w:id="7" w:name="_Toc15569655"/>
      <w:r>
        <w:rPr>
          <w:rFonts w:hint="eastAsia" w:ascii="宋体" w:hAnsi="宋体" w:cs="宋体"/>
          <w:bCs/>
        </w:rPr>
        <w:t>估价对象部分照片</w:t>
      </w:r>
      <w:bookmarkEnd w:id="7"/>
    </w:p>
    <w:p>
      <w:pPr>
        <w:numPr>
          <w:ilvl w:val="0"/>
          <w:numId w:val="1"/>
        </w:numPr>
        <w:ind w:left="284" w:leftChars="68" w:hanging="141"/>
        <w:rPr>
          <w:rFonts w:ascii="宋体" w:hAnsi="宋体" w:cs="宋体"/>
          <w:bCs/>
        </w:rPr>
      </w:pPr>
      <w:bookmarkStart w:id="8" w:name="_Toc15569656"/>
      <w:r>
        <w:rPr>
          <w:rFonts w:hint="eastAsia" w:ascii="宋体" w:hAnsi="宋体" w:cs="宋体"/>
          <w:bCs/>
        </w:rPr>
        <w:t>注册房地产估价师估价资格证书复印件</w:t>
      </w:r>
      <w:bookmarkEnd w:id="8"/>
    </w:p>
    <w:p>
      <w:pPr>
        <w:numPr>
          <w:ilvl w:val="0"/>
          <w:numId w:val="1"/>
        </w:numPr>
        <w:ind w:left="144" w:leftChars="68" w:hanging="1"/>
        <w:rPr>
          <w:rFonts w:ascii="宋体" w:hAnsi="宋体" w:cs="宋体"/>
          <w:bCs/>
        </w:rPr>
      </w:pPr>
      <w:bookmarkStart w:id="9" w:name="_Toc15569657"/>
      <w:r>
        <w:rPr>
          <w:rFonts w:hint="eastAsia" w:ascii="宋体" w:hAnsi="宋体" w:cs="宋体"/>
          <w:bCs/>
        </w:rPr>
        <w:t>房地产估价机构营业执照和估价资质证书复印件</w:t>
      </w:r>
      <w:bookmarkEnd w:id="9"/>
    </w:p>
    <w:p>
      <w:pPr>
        <w:pStyle w:val="8"/>
        <w:widowControl w:val="0"/>
        <w:adjustRightInd w:val="0"/>
        <w:snapToGrid w:val="0"/>
        <w:spacing w:beforeLines="50" w:line="324" w:lineRule="auto"/>
        <w:ind w:left="0" w:firstLine="830" w:firstLineChars="196"/>
        <w:jc w:val="center"/>
        <w:outlineLvl w:val="0"/>
        <w:rPr>
          <w:rFonts w:hint="eastAsia" w:ascii="宋体" w:hAnsi="宋体" w:cs="宋体"/>
          <w:b/>
          <w:bCs/>
          <w:spacing w:val="-9"/>
          <w:sz w:val="44"/>
          <w:szCs w:val="44"/>
        </w:rPr>
      </w:pPr>
    </w:p>
    <w:p>
      <w:pPr>
        <w:pStyle w:val="8"/>
        <w:widowControl w:val="0"/>
        <w:adjustRightInd w:val="0"/>
        <w:snapToGrid w:val="0"/>
        <w:spacing w:beforeLines="50" w:line="324" w:lineRule="auto"/>
        <w:ind w:left="0" w:firstLine="830" w:firstLineChars="196"/>
        <w:jc w:val="center"/>
        <w:outlineLvl w:val="0"/>
        <w:rPr>
          <w:rFonts w:hint="eastAsia" w:ascii="宋体" w:hAnsi="宋体" w:cs="宋体"/>
          <w:b/>
          <w:bCs/>
          <w:spacing w:val="-9"/>
          <w:sz w:val="44"/>
          <w:szCs w:val="44"/>
        </w:rPr>
      </w:pPr>
    </w:p>
    <w:p>
      <w:pPr>
        <w:pStyle w:val="8"/>
        <w:widowControl w:val="0"/>
        <w:adjustRightInd w:val="0"/>
        <w:snapToGrid w:val="0"/>
        <w:spacing w:beforeLines="50" w:line="324" w:lineRule="auto"/>
        <w:ind w:left="0" w:firstLine="830" w:firstLineChars="196"/>
        <w:jc w:val="center"/>
        <w:outlineLvl w:val="0"/>
        <w:rPr>
          <w:rFonts w:hint="eastAsia" w:ascii="宋体" w:hAnsi="宋体" w:cs="宋体"/>
          <w:b/>
          <w:bCs/>
          <w:spacing w:val="-9"/>
          <w:sz w:val="44"/>
          <w:szCs w:val="44"/>
        </w:rPr>
      </w:pPr>
    </w:p>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bookmarkStart w:id="10" w:name="_Toc38971980"/>
      <w:r>
        <w:rPr>
          <w:rFonts w:hint="eastAsia" w:ascii="宋体" w:hAnsi="宋体" w:cs="宋体"/>
          <w:b/>
          <w:bCs/>
          <w:spacing w:val="-9"/>
          <w:sz w:val="44"/>
          <w:szCs w:val="44"/>
        </w:rPr>
        <w:t>估价师声明</w:t>
      </w:r>
      <w:bookmarkEnd w:id="10"/>
    </w:p>
    <w:p>
      <w:pPr>
        <w:spacing w:line="560" w:lineRule="exact"/>
        <w:ind w:firstLine="562" w:firstLineChars="200"/>
        <w:rPr>
          <w:rFonts w:ascii="宋体" w:hAnsi="宋体" w:cs="宋体"/>
          <w:spacing w:val="-9"/>
          <w:sz w:val="28"/>
          <w:szCs w:val="28"/>
        </w:rPr>
      </w:pPr>
      <w:r>
        <w:rPr>
          <w:rFonts w:hint="eastAsia" w:ascii="宋体" w:hAnsi="宋体" w:cs="宋体"/>
          <w:b/>
          <w:sz w:val="28"/>
          <w:szCs w:val="28"/>
        </w:rPr>
        <w:t>郑重声明</w:t>
      </w:r>
      <w:r>
        <w:rPr>
          <w:rFonts w:ascii="宋体" w:hAnsi="宋体" w:cs="宋体"/>
          <w:b/>
          <w:sz w:val="28"/>
          <w:szCs w:val="28"/>
        </w:rPr>
        <w:t>:</w:t>
      </w:r>
    </w:p>
    <w:p>
      <w:pPr>
        <w:spacing w:line="560" w:lineRule="exact"/>
        <w:ind w:firstLine="524" w:firstLineChars="200"/>
        <w:rPr>
          <w:rFonts w:ascii="宋体" w:cs="Times New Roman"/>
          <w:spacing w:val="-9"/>
          <w:sz w:val="28"/>
          <w:szCs w:val="28"/>
        </w:rPr>
      </w:pPr>
      <w:r>
        <w:rPr>
          <w:rFonts w:ascii="宋体" w:hAnsi="宋体" w:cs="宋体"/>
          <w:spacing w:val="-9"/>
          <w:sz w:val="28"/>
          <w:szCs w:val="28"/>
        </w:rPr>
        <w:t>1</w:t>
      </w:r>
      <w:r>
        <w:rPr>
          <w:rFonts w:hint="eastAsia" w:ascii="宋体" w:hAnsi="宋体" w:cs="宋体"/>
          <w:spacing w:val="-9"/>
          <w:sz w:val="28"/>
          <w:szCs w:val="28"/>
        </w:rPr>
        <w:t>、注册房地产估价师在估价报告中陈述的事实是真实的和准确的，没有虚假记载、误导性陈述和重大遗漏。</w:t>
      </w:r>
    </w:p>
    <w:p>
      <w:pPr>
        <w:spacing w:line="560" w:lineRule="exact"/>
        <w:ind w:firstLine="524" w:firstLineChars="200"/>
        <w:rPr>
          <w:rFonts w:ascii="宋体" w:cs="Times New Roman"/>
          <w:spacing w:val="-9"/>
          <w:sz w:val="28"/>
          <w:szCs w:val="28"/>
        </w:rPr>
      </w:pPr>
      <w:r>
        <w:rPr>
          <w:rFonts w:ascii="宋体" w:hAnsi="宋体" w:cs="宋体"/>
          <w:spacing w:val="-9"/>
          <w:sz w:val="28"/>
          <w:szCs w:val="28"/>
        </w:rPr>
        <w:t>2</w:t>
      </w:r>
      <w:r>
        <w:rPr>
          <w:rFonts w:hint="eastAsia" w:ascii="宋体" w:hAnsi="宋体" w:cs="宋体"/>
          <w:spacing w:val="-9"/>
          <w:sz w:val="28"/>
          <w:szCs w:val="28"/>
        </w:rPr>
        <w:t>、估价报告中的分析、意见和结论是我们自己独立、客观、公正的专业分析、意见和结论，但受到本估价报告中已说明的假设和限制条件的限制。</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3</w:t>
      </w:r>
      <w:r>
        <w:rPr>
          <w:rFonts w:hint="eastAsia" w:ascii="宋体" w:hAnsi="宋体" w:cs="宋体"/>
          <w:spacing w:val="-9"/>
          <w:sz w:val="28"/>
          <w:szCs w:val="28"/>
        </w:rPr>
        <w:t>、注册房地产估价师与本估价报告中的估价对象没有现实或潜在的利益，与估价委托人及估价利害关系人没有利害关系。我们对本估价报告中的估价对象、估价委托人及估价利害关系人没有偏见。</w:t>
      </w:r>
    </w:p>
    <w:p>
      <w:pPr>
        <w:spacing w:line="560" w:lineRule="exact"/>
        <w:ind w:firstLine="524" w:firstLineChars="200"/>
        <w:rPr>
          <w:rFonts w:ascii="宋体" w:cs="Times New Roman"/>
          <w:spacing w:val="-9"/>
          <w:sz w:val="28"/>
          <w:szCs w:val="28"/>
        </w:rPr>
      </w:pPr>
      <w:r>
        <w:rPr>
          <w:rFonts w:hint="eastAsia" w:ascii="宋体" w:hAnsi="宋体" w:cs="宋体"/>
          <w:spacing w:val="-9"/>
          <w:sz w:val="28"/>
          <w:szCs w:val="28"/>
        </w:rPr>
        <w:t>4、注册房地产估价师是按照中华人民共和国国家标准《房地产估价规范》【GB/T 50291-2015】、《房地产估价基本术语标准》【GB/T 50899-2013】等标准规范，进行分析、整理，形成意见和结论，撰写本估价报告。</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5、我们具备执行本次估价业务的专业胜任能力和执业经验，没有人对本估价报告提供重要的专业帮助。</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6、注册房地产估价师保守在执业中知悉的国家秘密商业秘密、个人隐私，妥善保管委托人提供的资料。</w:t>
      </w:r>
    </w:p>
    <w:tbl>
      <w:tblPr>
        <w:tblStyle w:val="20"/>
        <w:tblW w:w="5000" w:type="pct"/>
        <w:tblInd w:w="0" w:type="dxa"/>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866"/>
        <w:gridCol w:w="1364"/>
        <w:gridCol w:w="4257"/>
        <w:gridCol w:w="2041"/>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508" w:type="pct"/>
            <w:vAlign w:val="center"/>
          </w:tcPr>
          <w:p>
            <w:pPr>
              <w:spacing w:line="560" w:lineRule="exact"/>
              <w:jc w:val="center"/>
              <w:rPr>
                <w:rFonts w:ascii="宋体" w:hAnsi="宋体" w:cs="宋体"/>
              </w:rPr>
            </w:pPr>
            <w:r>
              <w:rPr>
                <w:rFonts w:hint="eastAsia" w:ascii="宋体" w:hAnsi="宋体" w:cs="宋体"/>
              </w:rPr>
              <w:t>姓名</w:t>
            </w:r>
          </w:p>
        </w:tc>
        <w:tc>
          <w:tcPr>
            <w:tcW w:w="800" w:type="pct"/>
            <w:vAlign w:val="center"/>
          </w:tcPr>
          <w:p>
            <w:pPr>
              <w:spacing w:line="560" w:lineRule="exact"/>
              <w:jc w:val="center"/>
              <w:rPr>
                <w:rFonts w:ascii="宋体" w:hAnsi="宋体" w:cs="宋体"/>
              </w:rPr>
            </w:pPr>
            <w:r>
              <w:rPr>
                <w:rFonts w:hint="eastAsia" w:ascii="宋体" w:hAnsi="宋体" w:cs="宋体"/>
              </w:rPr>
              <w:t>注册号</w:t>
            </w:r>
          </w:p>
        </w:tc>
        <w:tc>
          <w:tcPr>
            <w:tcW w:w="2496" w:type="pct"/>
            <w:vAlign w:val="center"/>
          </w:tcPr>
          <w:p>
            <w:pPr>
              <w:spacing w:line="560" w:lineRule="exact"/>
              <w:jc w:val="center"/>
              <w:rPr>
                <w:rFonts w:ascii="宋体" w:hAnsi="宋体" w:cs="宋体"/>
              </w:rPr>
            </w:pPr>
            <w:r>
              <w:rPr>
                <w:rFonts w:hint="eastAsia" w:ascii="宋体" w:hAnsi="宋体" w:cs="宋体"/>
              </w:rPr>
              <w:t>签名、盖章</w:t>
            </w:r>
          </w:p>
        </w:tc>
        <w:tc>
          <w:tcPr>
            <w:tcW w:w="1197" w:type="pct"/>
            <w:vAlign w:val="center"/>
          </w:tcPr>
          <w:p>
            <w:pPr>
              <w:spacing w:line="560" w:lineRule="exact"/>
              <w:jc w:val="center"/>
              <w:rPr>
                <w:rFonts w:ascii="宋体" w:hAnsi="宋体" w:cs="宋体"/>
              </w:rPr>
            </w:pPr>
            <w:r>
              <w:rPr>
                <w:rFonts w:hint="eastAsia" w:ascii="宋体" w:hAnsi="宋体" w:cs="宋体"/>
              </w:rPr>
              <w:t>日期</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1613" w:hRule="atLeast"/>
        </w:trPr>
        <w:tc>
          <w:tcPr>
            <w:tcW w:w="508" w:type="pct"/>
            <w:vAlign w:val="center"/>
          </w:tcPr>
          <w:p>
            <w:pPr>
              <w:spacing w:line="560" w:lineRule="exact"/>
              <w:jc w:val="center"/>
              <w:rPr>
                <w:rFonts w:ascii="宋体" w:hAnsi="宋体" w:cs="宋体"/>
              </w:rPr>
            </w:pPr>
            <w:r>
              <w:rPr>
                <w:rFonts w:hint="eastAsia" w:ascii="宋体" w:hAnsi="宋体" w:cs="宋体"/>
              </w:rPr>
              <w:t xml:space="preserve">马海波  </w:t>
            </w:r>
          </w:p>
        </w:tc>
        <w:tc>
          <w:tcPr>
            <w:tcW w:w="800" w:type="pct"/>
            <w:vAlign w:val="center"/>
          </w:tcPr>
          <w:p>
            <w:pPr>
              <w:spacing w:line="560" w:lineRule="exact"/>
              <w:jc w:val="center"/>
              <w:rPr>
                <w:rFonts w:ascii="宋体" w:hAnsi="宋体" w:cs="宋体"/>
              </w:rPr>
            </w:pPr>
            <w:r>
              <w:rPr>
                <w:rFonts w:ascii="宋体" w:hAnsi="宋体" w:cs="宋体"/>
              </w:rPr>
              <w:t>5320120022</w:t>
            </w:r>
          </w:p>
        </w:tc>
        <w:tc>
          <w:tcPr>
            <w:tcW w:w="2496" w:type="pct"/>
            <w:vAlign w:val="center"/>
          </w:tcPr>
          <w:p>
            <w:pPr>
              <w:spacing w:line="560" w:lineRule="exact"/>
              <w:jc w:val="center"/>
              <w:rPr>
                <w:rFonts w:ascii="宋体" w:hAnsi="宋体" w:cs="宋体"/>
              </w:rPr>
            </w:pPr>
          </w:p>
        </w:tc>
        <w:tc>
          <w:tcPr>
            <w:tcW w:w="1197" w:type="pct"/>
            <w:vAlign w:val="center"/>
          </w:tcPr>
          <w:p>
            <w:pPr>
              <w:spacing w:line="560" w:lineRule="exact"/>
              <w:jc w:val="center"/>
              <w:rPr>
                <w:rFonts w:ascii="宋体" w:hAnsi="宋体" w:cs="宋体"/>
              </w:rPr>
            </w:pPr>
            <w:r>
              <w:rPr>
                <w:rFonts w:hint="eastAsia" w:ascii="宋体" w:hAnsi="宋体" w:cs="宋体"/>
              </w:rPr>
              <w:t>2020年04月29日</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1828" w:hRule="atLeast"/>
        </w:trPr>
        <w:tc>
          <w:tcPr>
            <w:tcW w:w="508" w:type="pct"/>
            <w:vAlign w:val="center"/>
          </w:tcPr>
          <w:p>
            <w:pPr>
              <w:spacing w:line="560" w:lineRule="exact"/>
              <w:jc w:val="center"/>
              <w:rPr>
                <w:rFonts w:ascii="宋体" w:hAnsi="宋体" w:cs="宋体"/>
              </w:rPr>
            </w:pPr>
            <w:r>
              <w:rPr>
                <w:rFonts w:hint="eastAsia" w:ascii="宋体" w:hAnsi="宋体" w:cs="宋体"/>
              </w:rPr>
              <w:t>陶凯</w:t>
            </w:r>
          </w:p>
        </w:tc>
        <w:tc>
          <w:tcPr>
            <w:tcW w:w="800" w:type="pct"/>
            <w:vAlign w:val="center"/>
          </w:tcPr>
          <w:p>
            <w:pPr>
              <w:spacing w:line="560" w:lineRule="exact"/>
              <w:jc w:val="center"/>
              <w:rPr>
                <w:rFonts w:ascii="宋体" w:hAnsi="宋体" w:cs="宋体"/>
              </w:rPr>
            </w:pPr>
            <w:r>
              <w:rPr>
                <w:rFonts w:ascii="宋体" w:hAnsi="宋体" w:cs="宋体"/>
              </w:rPr>
              <w:t>532012002</w:t>
            </w:r>
            <w:r>
              <w:rPr>
                <w:rFonts w:hint="eastAsia" w:ascii="宋体" w:hAnsi="宋体" w:cs="宋体"/>
              </w:rPr>
              <w:t>3</w:t>
            </w:r>
          </w:p>
        </w:tc>
        <w:tc>
          <w:tcPr>
            <w:tcW w:w="2496" w:type="pct"/>
            <w:vAlign w:val="center"/>
          </w:tcPr>
          <w:p>
            <w:pPr>
              <w:spacing w:line="560" w:lineRule="exact"/>
              <w:jc w:val="center"/>
              <w:rPr>
                <w:rFonts w:ascii="宋体" w:hAnsi="宋体" w:cs="宋体"/>
              </w:rPr>
            </w:pPr>
          </w:p>
        </w:tc>
        <w:tc>
          <w:tcPr>
            <w:tcW w:w="1197" w:type="pct"/>
            <w:vAlign w:val="center"/>
          </w:tcPr>
          <w:p>
            <w:pPr>
              <w:spacing w:line="560" w:lineRule="exact"/>
              <w:jc w:val="center"/>
              <w:rPr>
                <w:rFonts w:ascii="宋体" w:hAnsi="宋体" w:cs="宋体"/>
              </w:rPr>
            </w:pPr>
            <w:r>
              <w:rPr>
                <w:rFonts w:hint="eastAsia" w:ascii="宋体" w:hAnsi="宋体" w:cs="宋体"/>
              </w:rPr>
              <w:t>2020年04月29日</w:t>
            </w:r>
          </w:p>
        </w:tc>
      </w:tr>
    </w:tbl>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bookmarkStart w:id="11" w:name="_Toc38971981"/>
      <w:r>
        <w:rPr>
          <w:rFonts w:hint="eastAsia" w:ascii="宋体" w:hAnsi="宋体" w:cs="宋体"/>
          <w:b/>
          <w:bCs/>
          <w:spacing w:val="-9"/>
          <w:sz w:val="44"/>
          <w:szCs w:val="44"/>
        </w:rPr>
        <w:t>估价假设和限制条件</w:t>
      </w:r>
      <w:bookmarkEnd w:id="11"/>
    </w:p>
    <w:p>
      <w:pPr>
        <w:pStyle w:val="8"/>
        <w:widowControl w:val="0"/>
        <w:adjustRightInd w:val="0"/>
        <w:snapToGrid w:val="0"/>
        <w:spacing w:beforeLines="50" w:line="560" w:lineRule="exact"/>
        <w:ind w:left="0" w:firstLine="551" w:firstLineChars="196"/>
        <w:jc w:val="both"/>
        <w:rPr>
          <w:rFonts w:ascii="宋体" w:hAnsi="宋体" w:cs="宋体"/>
          <w:b/>
          <w:bCs/>
          <w:sz w:val="28"/>
          <w:szCs w:val="28"/>
        </w:rPr>
      </w:pPr>
      <w:r>
        <w:rPr>
          <w:rFonts w:hint="eastAsia" w:ascii="宋体" w:hAnsi="宋体" w:cs="宋体"/>
          <w:b/>
          <w:bCs/>
          <w:sz w:val="28"/>
          <w:szCs w:val="28"/>
        </w:rPr>
        <w:t>一、一般假设</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（一）、估价对象产权明晰、手续齐全，可在公开市场上自由转让。</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二）、本次估价所依据的估价对象的面积、结构、用途等信息来自本案申请人昆明三建建设（集团）有限公司的代理人荣律师提供的“关于汇海佳苑小区房产（未备案登记房源）及查封情况调查回复的函”，我公司注册房地产估价师马海波已于2020年04月07日前往玉溪市住房和城乡建设局房地产管理局信息办进行核实，在无理由怀疑其合法性、真实性、准确性的情况下，假定申请方提供的资料合法、真实、准确。</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（三）、市场供应关系、市场结构保持稳定、未发生重大变化或实质性改变。</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四）、我司注册房地产估价师马海波、工作人员王娅萍与申请人昆明三建建设（集团）有限公司代理人李律师，于2020年04月07日前往估价对象所在位置，在物业管理方工作人员的协助下对估价对象进行现场查勘，我公司已向被申请人方发送评估工作通知(见附件)，对方未到现场。</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五）、估价对象在价值时点的房地产市场为公开、平等、自愿的交易市场，即能满足以下条件：1、交易双方为自愿；2、交易双方无任何利害关系，交易的目的是追求各自利益的最大化；3、交易双方了解交易对象、知晓市场行情；4、交易双方有较充裕的时间进行交易；5、不存在特殊买者的附加出价。</w:t>
      </w:r>
    </w:p>
    <w:p>
      <w:pPr>
        <w:spacing w:line="560" w:lineRule="exact"/>
        <w:ind w:firstLine="524" w:firstLineChars="200"/>
        <w:jc w:val="left"/>
        <w:rPr>
          <w:rFonts w:ascii="宋体" w:hAnsi="宋体" w:cs="宋体"/>
          <w:spacing w:val="-9"/>
          <w:sz w:val="28"/>
          <w:szCs w:val="28"/>
        </w:rPr>
      </w:pPr>
      <w:r>
        <w:rPr>
          <w:rFonts w:hint="eastAsia" w:ascii="宋体" w:hAnsi="宋体" w:cs="宋体"/>
          <w:spacing w:val="-9"/>
          <w:sz w:val="28"/>
          <w:szCs w:val="28"/>
        </w:rPr>
        <w:t>（六）、本次估价目的是为人民法院确定财产处置参考价提供参考依据而评估房地产市场价值。不考虑抵押、查封等因素的影响，本次估价以假设估价对象没有他项权利限制为假设前提。</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（七）注册房地产估价师未对房屋建筑面积进行专业测量但予以关注，经现场查勘观察，房屋建筑面积与“关于汇海佳苑小区房产（未备案登记房源）及查封情况调查回复的函”记录建筑面积大体相当。</w:t>
      </w:r>
    </w:p>
    <w:p>
      <w:pPr>
        <w:pStyle w:val="8"/>
        <w:widowControl w:val="0"/>
        <w:adjustRightInd w:val="0"/>
        <w:snapToGrid w:val="0"/>
        <w:spacing w:beforeLines="50" w:line="560" w:lineRule="exact"/>
        <w:ind w:left="0" w:firstLine="551" w:firstLineChars="196"/>
        <w:jc w:val="both"/>
        <w:rPr>
          <w:rFonts w:ascii="宋体" w:hAnsi="宋体" w:cs="宋体"/>
          <w:b/>
          <w:bCs/>
          <w:sz w:val="28"/>
          <w:szCs w:val="28"/>
        </w:rPr>
      </w:pPr>
      <w:bookmarkStart w:id="12" w:name="_Toc315873734"/>
      <w:bookmarkEnd w:id="12"/>
      <w:r>
        <w:rPr>
          <w:rFonts w:hint="eastAsia" w:ascii="宋体" w:hAnsi="宋体" w:cs="宋体"/>
          <w:b/>
          <w:bCs/>
          <w:sz w:val="28"/>
          <w:szCs w:val="28"/>
        </w:rPr>
        <w:t>二、未定事项假设</w:t>
      </w:r>
    </w:p>
    <w:p>
      <w:pPr>
        <w:spacing w:line="560" w:lineRule="exact"/>
        <w:ind w:firstLine="524" w:firstLineChars="200"/>
        <w:rPr>
          <w:rFonts w:ascii="宋体" w:hAnsi="宋体" w:cs="宋体"/>
          <w:spacing w:val="-9"/>
          <w:sz w:val="28"/>
          <w:szCs w:val="28"/>
        </w:rPr>
      </w:pPr>
      <w:r>
        <w:rPr>
          <w:rFonts w:hint="eastAsia" w:ascii="宋体" w:hAnsi="宋体" w:cs="宋体"/>
          <w:bCs/>
          <w:spacing w:val="-9"/>
          <w:sz w:val="28"/>
          <w:szCs w:val="28"/>
        </w:rPr>
        <w:t>（一）、根据</w:t>
      </w:r>
      <w:r>
        <w:rPr>
          <w:rFonts w:hint="eastAsia" w:ascii="宋体" w:hAnsi="宋体" w:cs="宋体"/>
          <w:spacing w:val="-9"/>
          <w:sz w:val="28"/>
          <w:szCs w:val="28"/>
        </w:rPr>
        <w:t>“关于汇海佳苑小区房产（未备案登记房源）及查封情况调查回复的函”内容，汇海佳苑小区于2013年取得《玉溪市建设工程竣工验收备案证》（BAYX2013-29），结合注册房地产估价师调查，确认估价对象的建成年份为2013年，本次估价以此为前提。</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（二）、本报告出具的价格包含了国有土地使用权出让金。若至价值时点止，估价对象尚有任何应缴未缴税费，应按照规定缴纳。</w:t>
      </w:r>
    </w:p>
    <w:p>
      <w:pPr>
        <w:pStyle w:val="8"/>
        <w:widowControl w:val="0"/>
        <w:adjustRightInd w:val="0"/>
        <w:snapToGrid w:val="0"/>
        <w:spacing w:beforeLines="50" w:line="560" w:lineRule="exact"/>
        <w:ind w:left="0" w:firstLine="551" w:firstLineChars="196"/>
        <w:jc w:val="both"/>
        <w:rPr>
          <w:rFonts w:ascii="宋体" w:hAnsi="宋体" w:cs="宋体"/>
          <w:b/>
          <w:bCs/>
          <w:sz w:val="28"/>
          <w:szCs w:val="28"/>
        </w:rPr>
      </w:pPr>
      <w:r>
        <w:rPr>
          <w:rFonts w:hint="eastAsia" w:ascii="宋体" w:hAnsi="宋体" w:cs="宋体"/>
          <w:b/>
          <w:bCs/>
          <w:sz w:val="28"/>
          <w:szCs w:val="28"/>
        </w:rPr>
        <w:t>三、背离实际情况假设</w:t>
      </w:r>
    </w:p>
    <w:p>
      <w:pPr>
        <w:spacing w:line="560" w:lineRule="exact"/>
        <w:ind w:firstLine="504" w:firstLineChars="200"/>
        <w:rPr>
          <w:rFonts w:ascii="宋体" w:hAnsi="宋体" w:cs="宋体"/>
          <w:spacing w:val="-14"/>
          <w:sz w:val="28"/>
          <w:szCs w:val="28"/>
        </w:rPr>
      </w:pPr>
      <w:r>
        <w:rPr>
          <w:rFonts w:ascii="宋体" w:hAnsi="宋体" w:cs="宋体"/>
          <w:spacing w:val="-14"/>
          <w:sz w:val="28"/>
          <w:szCs w:val="28"/>
        </w:rPr>
        <w:t>1</w:t>
      </w:r>
      <w:r>
        <w:rPr>
          <w:rFonts w:hint="eastAsia" w:ascii="宋体" w:hAnsi="宋体" w:cs="宋体"/>
          <w:spacing w:val="-14"/>
          <w:sz w:val="28"/>
          <w:szCs w:val="28"/>
        </w:rPr>
        <w:t>、估价对象为涉执财产，在公开市场转让是受到限制的，根据估价目的，本次评估价值类型是市场价值，不考虑抵押他项权利、查封等因素对房地产价值的影响，本次估价假设其可以在公开市场上进行交易。</w:t>
      </w:r>
    </w:p>
    <w:p>
      <w:pPr>
        <w:spacing w:line="560" w:lineRule="exact"/>
        <w:ind w:firstLine="524" w:firstLineChars="200"/>
        <w:rPr>
          <w:rFonts w:ascii="宋体" w:cs="Times New Roman"/>
          <w:spacing w:val="-9"/>
          <w:sz w:val="28"/>
          <w:szCs w:val="28"/>
        </w:rPr>
      </w:pPr>
      <w:r>
        <w:rPr>
          <w:rFonts w:ascii="宋体" w:hAnsi="宋体" w:cs="宋体"/>
          <w:spacing w:val="-9"/>
          <w:sz w:val="28"/>
          <w:szCs w:val="28"/>
        </w:rPr>
        <w:t>2</w:t>
      </w:r>
      <w:r>
        <w:rPr>
          <w:rFonts w:hint="eastAsia" w:ascii="宋体" w:hAnsi="宋体" w:cs="宋体"/>
          <w:spacing w:val="-9"/>
          <w:sz w:val="28"/>
          <w:szCs w:val="28"/>
        </w:rPr>
        <w:t>、估价中未考虑估价对象价值时点之后、处置之前期间因不可抗力、人为破坏等因素造成的实物加速损耗对评估价值的影响。</w:t>
      </w:r>
    </w:p>
    <w:p>
      <w:pPr>
        <w:pStyle w:val="8"/>
        <w:widowControl w:val="0"/>
        <w:adjustRightInd w:val="0"/>
        <w:snapToGrid w:val="0"/>
        <w:spacing w:beforeLines="50" w:line="560" w:lineRule="exact"/>
        <w:ind w:left="0" w:firstLine="551" w:firstLineChars="196"/>
        <w:jc w:val="both"/>
        <w:rPr>
          <w:rFonts w:ascii="宋体" w:hAnsi="宋体" w:cs="宋体"/>
          <w:b/>
          <w:bCs/>
          <w:sz w:val="28"/>
          <w:szCs w:val="28"/>
        </w:rPr>
      </w:pPr>
      <w:r>
        <w:rPr>
          <w:rFonts w:hint="eastAsia" w:ascii="宋体" w:hAnsi="宋体" w:cs="宋体"/>
          <w:b/>
          <w:bCs/>
          <w:sz w:val="28"/>
          <w:szCs w:val="28"/>
        </w:rPr>
        <w:t>四、不相一致假设</w:t>
      </w:r>
    </w:p>
    <w:p>
      <w:pPr>
        <w:spacing w:line="560" w:lineRule="exact"/>
        <w:ind w:firstLine="524" w:firstLineChars="200"/>
        <w:rPr>
          <w:rFonts w:ascii="宋体" w:hAnsi="宋体" w:cs="宋体"/>
          <w:b/>
          <w:bCs/>
          <w:spacing w:val="-9"/>
          <w:sz w:val="28"/>
          <w:szCs w:val="28"/>
        </w:rPr>
      </w:pPr>
      <w:r>
        <w:rPr>
          <w:rFonts w:hint="eastAsia" w:ascii="宋体" w:hAnsi="宋体" w:cs="宋体"/>
          <w:bCs/>
          <w:spacing w:val="-9"/>
          <w:sz w:val="28"/>
          <w:szCs w:val="28"/>
        </w:rPr>
        <w:t>无。</w:t>
      </w:r>
    </w:p>
    <w:p>
      <w:pPr>
        <w:pStyle w:val="8"/>
        <w:widowControl w:val="0"/>
        <w:adjustRightInd w:val="0"/>
        <w:snapToGrid w:val="0"/>
        <w:spacing w:line="560" w:lineRule="exact"/>
        <w:ind w:left="0" w:firstLine="551" w:firstLineChars="196"/>
        <w:jc w:val="both"/>
        <w:rPr>
          <w:rFonts w:ascii="宋体" w:hAnsi="宋体" w:cs="宋体"/>
          <w:bCs/>
          <w:spacing w:val="-9"/>
          <w:sz w:val="28"/>
          <w:szCs w:val="28"/>
        </w:rPr>
      </w:pPr>
      <w:r>
        <w:rPr>
          <w:rFonts w:hint="eastAsia" w:ascii="宋体" w:hAnsi="宋体" w:cs="宋体"/>
          <w:b/>
          <w:bCs/>
          <w:sz w:val="28"/>
          <w:szCs w:val="28"/>
        </w:rPr>
        <w:t>五、依据不足假设</w:t>
      </w:r>
    </w:p>
    <w:p>
      <w:pPr>
        <w:spacing w:line="560" w:lineRule="exact"/>
        <w:ind w:firstLine="504" w:firstLineChars="200"/>
        <w:rPr>
          <w:rFonts w:ascii="宋体" w:hAnsi="宋体" w:cs="宋体"/>
          <w:b/>
          <w:bCs/>
          <w:spacing w:val="-9"/>
          <w:sz w:val="28"/>
          <w:szCs w:val="28"/>
        </w:rPr>
      </w:pPr>
      <w:r>
        <w:rPr>
          <w:rFonts w:hint="eastAsia" w:ascii="宋体" w:hAnsi="宋体" w:cs="宋体"/>
          <w:spacing w:val="-14"/>
          <w:sz w:val="28"/>
          <w:szCs w:val="28"/>
        </w:rPr>
        <w:t>因被申请人方未到达查勘现场，我司估价人员无法</w:t>
      </w:r>
      <w:r>
        <w:rPr>
          <w:rFonts w:hint="eastAsia" w:ascii="宋体" w:hAnsi="宋体" w:cs="宋体"/>
          <w:sz w:val="28"/>
          <w:szCs w:val="28"/>
        </w:rPr>
        <w:t>进入全部估价对象室内查勘，仅在物业管理费方协助下进入</w:t>
      </w:r>
      <w:r>
        <w:rPr>
          <w:rFonts w:hint="eastAsia" w:ascii="宋体" w:hAnsi="宋体" w:cs="宋体"/>
          <w:spacing w:val="-9"/>
          <w:sz w:val="28"/>
          <w:szCs w:val="28"/>
        </w:rPr>
        <w:t>B-4-1301、G-4-301、G-2-1401、G-1-1502四套住宅及281个车位内部查勘，其余标的物根据《房地产估价规范》要求做外围评估，本次估价以假设估价对象室内户型规则，可正常使用为前提。</w:t>
      </w:r>
    </w:p>
    <w:p>
      <w:pPr>
        <w:pStyle w:val="8"/>
        <w:widowControl w:val="0"/>
        <w:adjustRightInd w:val="0"/>
        <w:snapToGrid w:val="0"/>
        <w:spacing w:beforeLines="50" w:line="560" w:lineRule="exact"/>
        <w:ind w:left="0" w:firstLine="551" w:firstLineChars="196"/>
        <w:jc w:val="both"/>
        <w:rPr>
          <w:rFonts w:ascii="宋体" w:hAnsi="宋体" w:cs="宋体"/>
          <w:b/>
          <w:bCs/>
          <w:sz w:val="28"/>
          <w:szCs w:val="28"/>
        </w:rPr>
      </w:pPr>
      <w:bookmarkStart w:id="13" w:name="_Toc315873736"/>
      <w:r>
        <w:rPr>
          <w:rFonts w:hint="eastAsia" w:ascii="宋体" w:hAnsi="宋体" w:cs="宋体"/>
          <w:b/>
          <w:bCs/>
          <w:sz w:val="28"/>
          <w:szCs w:val="28"/>
        </w:rPr>
        <w:t>六、本报告使用的限制条件</w:t>
      </w:r>
      <w:bookmarkEnd w:id="13"/>
    </w:p>
    <w:p>
      <w:pPr>
        <w:spacing w:line="560" w:lineRule="exact"/>
        <w:ind w:firstLine="504" w:firstLineChars="200"/>
        <w:rPr>
          <w:rFonts w:ascii="宋体" w:cs="Times New Roman"/>
          <w:spacing w:val="-14"/>
          <w:sz w:val="28"/>
          <w:szCs w:val="28"/>
        </w:rPr>
      </w:pPr>
      <w:r>
        <w:rPr>
          <w:rFonts w:ascii="宋体" w:hAnsi="宋体" w:cs="宋体"/>
          <w:spacing w:val="-14"/>
          <w:sz w:val="28"/>
          <w:szCs w:val="28"/>
        </w:rPr>
        <w:t>1</w:t>
      </w:r>
      <w:r>
        <w:rPr>
          <w:rFonts w:hint="eastAsia" w:ascii="宋体" w:hAnsi="宋体" w:cs="宋体"/>
          <w:spacing w:val="-14"/>
          <w:sz w:val="28"/>
          <w:szCs w:val="28"/>
        </w:rPr>
        <w:t>、本估价报告仅为人民法院确定财产处置参考价提供参考依据，不作他用。</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2</w:t>
      </w:r>
      <w:r>
        <w:rPr>
          <w:rFonts w:hint="eastAsia" w:ascii="宋体" w:hAnsi="宋体" w:cs="宋体"/>
          <w:spacing w:val="-9"/>
          <w:sz w:val="28"/>
          <w:szCs w:val="28"/>
        </w:rPr>
        <w:t>、本次估价结果受价值时点限制，且本估价报告应用的有效期为自报告出具之日起一年内有效，即2020年04月29日至2021年04月28日止。在报告有效期内房地产市场、建筑市场或估价对象自身状况发生重大变化，并对估价对象价值产生明显影响时，估价结果也需做相应调整或委托估价机构重新估价。</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3</w:t>
      </w:r>
      <w:r>
        <w:rPr>
          <w:rFonts w:hint="eastAsia" w:ascii="宋体" w:hAnsi="宋体" w:cs="宋体"/>
          <w:spacing w:val="-9"/>
          <w:sz w:val="28"/>
          <w:szCs w:val="28"/>
        </w:rPr>
        <w:t>、本估价报告由正文和附件两部分共同组成，不得随意分割使用。且本报告书应与估价对象的合法产权证明一并使用，经注册房地产估价师、估价机构盖章并作为一个整体时有效。对仅使用本报告中部分内容而导致可能的损失，本估价机构不承担责任。</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估价结果报告一式六份，均具同等法律效力，交付估价委托人使用，同时向估价委托人提交一份技术报告留存备查。本估价报告书盖有骑缝章，涂改、换页、复印本估价报告均无效。</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4、本估价报告及估价结论仅供估价委托人使用以及送交法律法规规定的相关审查机关、部门审查使用。除上述使用人外，本机构及执行本次估价业务的注册房地产估价师没有向其他任何第三方解释本估价报告及估价结论的义务。未征得本房地产评估机构书面同意，本估价报告的全部内容或部分及任何参考资料不得在任何公开发表的文件、通告或声明中引用，亦不得以其他任何方式公开发表。法律、法规规定以及本次估价相关当事方另有约定的除外。</w:t>
      </w:r>
    </w:p>
    <w:p>
      <w:pPr>
        <w:spacing w:line="560" w:lineRule="exact"/>
        <w:ind w:firstLine="524" w:firstLineChars="200"/>
        <w:rPr>
          <w:rFonts w:ascii="宋体" w:hAnsi="宋体" w:cs="宋体"/>
          <w:spacing w:val="-9"/>
          <w:sz w:val="28"/>
          <w:szCs w:val="28"/>
        </w:rPr>
      </w:pPr>
      <w:r>
        <w:rPr>
          <w:rFonts w:ascii="宋体" w:hAnsi="宋体" w:cs="宋体"/>
          <w:spacing w:val="-9"/>
          <w:sz w:val="28"/>
          <w:szCs w:val="28"/>
        </w:rPr>
        <w:t>5</w:t>
      </w:r>
      <w:r>
        <w:rPr>
          <w:rFonts w:hint="eastAsia" w:ascii="宋体" w:hAnsi="宋体" w:cs="宋体"/>
          <w:spacing w:val="-9"/>
          <w:sz w:val="28"/>
          <w:szCs w:val="28"/>
        </w:rPr>
        <w:t>、本报告中的数据全部采用电算化连续计算得出，由于在报告中计算的数据均按四舍五入进行取整，因此，可能出现个别等式左右不完全相等的情况，但此种情况不影响计算结果及估价结论的准确性。</w:t>
      </w:r>
    </w:p>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6、本报告必须经估价机构加盖公章、注册房地产估价师签字后方可使用，估价机构仅对本报告原件承担责任，对任何形式的复制件概不认可且不承担责任。</w:t>
      </w:r>
    </w:p>
    <w:p>
      <w:pPr>
        <w:spacing w:line="560" w:lineRule="exact"/>
        <w:ind w:firstLine="524" w:firstLineChars="200"/>
        <w:jc w:val="left"/>
        <w:rPr>
          <w:rFonts w:ascii="宋体" w:hAnsi="宋体" w:cs="宋体"/>
          <w:spacing w:val="-9"/>
          <w:sz w:val="28"/>
          <w:szCs w:val="28"/>
        </w:rPr>
      </w:pPr>
      <w:r>
        <w:rPr>
          <w:rFonts w:hint="eastAsia" w:ascii="宋体" w:hAnsi="宋体" w:cs="宋体"/>
          <w:spacing w:val="-9"/>
          <w:sz w:val="28"/>
          <w:szCs w:val="28"/>
        </w:rPr>
        <w:t>7、鉴于估价工作占有资料的有限性和分析判断的主观性，本次估价无法考虑影响评估对象价格实现的所有因素，我们出具的估价报告中的分析、判断和结论受评估报告中载明的假设和限制条件的限制，在此提醒本估价报告使用者，充分考虑估价报告中载明的假设和限制条件及其对估价结果的影响，估价结果不可作为该估价对象可实现价格的保证，我们不能保证估价结果的实现，也不承担有关当事人决策的责任。在此我们建议委托人及其他估价报告使用者合理采用估价结果，有利于各方利益得到最大保障。</w:t>
      </w:r>
    </w:p>
    <w:p>
      <w:pPr>
        <w:spacing w:line="560" w:lineRule="exact"/>
        <w:ind w:firstLine="524" w:firstLineChars="200"/>
        <w:jc w:val="left"/>
        <w:rPr>
          <w:rFonts w:ascii="宋体" w:hAnsi="宋体" w:cs="宋体"/>
          <w:spacing w:val="-9"/>
          <w:sz w:val="28"/>
          <w:szCs w:val="28"/>
        </w:rPr>
      </w:pPr>
      <w:r>
        <w:rPr>
          <w:rFonts w:hint="eastAsia" w:ascii="宋体" w:hAnsi="宋体" w:cs="宋体"/>
          <w:spacing w:val="-9"/>
          <w:sz w:val="28"/>
          <w:szCs w:val="28"/>
        </w:rPr>
        <w:t>8、本报告的最终解释权由本估价机构所有。</w:t>
      </w:r>
    </w:p>
    <w:p>
      <w:pPr>
        <w:spacing w:line="560" w:lineRule="exact"/>
        <w:ind w:firstLine="524" w:firstLineChars="200"/>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spacing w:line="560" w:lineRule="exact"/>
        <w:jc w:val="left"/>
        <w:rPr>
          <w:rFonts w:ascii="宋体" w:hAnsi="宋体" w:cs="宋体"/>
          <w:spacing w:val="-9"/>
          <w:sz w:val="28"/>
          <w:szCs w:val="28"/>
        </w:rPr>
      </w:pPr>
    </w:p>
    <w:p>
      <w:pPr>
        <w:pStyle w:val="8"/>
        <w:widowControl w:val="0"/>
        <w:adjustRightInd w:val="0"/>
        <w:snapToGrid w:val="0"/>
        <w:spacing w:beforeLines="50" w:line="324" w:lineRule="auto"/>
        <w:ind w:left="0" w:firstLine="830" w:firstLineChars="196"/>
        <w:jc w:val="center"/>
        <w:outlineLvl w:val="0"/>
        <w:rPr>
          <w:rFonts w:ascii="宋体" w:hAnsi="宋体" w:cs="宋体"/>
          <w:b/>
          <w:bCs/>
          <w:spacing w:val="-9"/>
          <w:sz w:val="44"/>
          <w:szCs w:val="44"/>
        </w:rPr>
      </w:pPr>
      <w:bookmarkStart w:id="14" w:name="_Toc38971982"/>
      <w:r>
        <w:rPr>
          <w:rFonts w:hint="eastAsia" w:ascii="宋体" w:hAnsi="宋体" w:cs="宋体"/>
          <w:b/>
          <w:bCs/>
          <w:spacing w:val="-9"/>
          <w:sz w:val="44"/>
          <w:szCs w:val="44"/>
        </w:rPr>
        <w:t>估价结果报告</w:t>
      </w:r>
      <w:bookmarkEnd w:id="14"/>
    </w:p>
    <w:p>
      <w:pPr>
        <w:pStyle w:val="8"/>
        <w:widowControl w:val="0"/>
        <w:adjustRightInd w:val="0"/>
        <w:snapToGrid w:val="0"/>
        <w:spacing w:beforeLines="50" w:line="560" w:lineRule="exact"/>
        <w:ind w:left="0" w:firstLine="551" w:firstLineChars="196"/>
        <w:jc w:val="both"/>
        <w:outlineLvl w:val="1"/>
        <w:rPr>
          <w:rFonts w:ascii="宋体" w:hAnsi="宋体" w:cs="宋体"/>
          <w:b/>
          <w:bCs/>
          <w:sz w:val="28"/>
          <w:szCs w:val="28"/>
        </w:rPr>
      </w:pPr>
      <w:bookmarkStart w:id="15" w:name="_Toc38971983"/>
      <w:r>
        <w:rPr>
          <w:rFonts w:hint="eastAsia" w:ascii="宋体" w:hAnsi="宋体" w:cs="宋体"/>
          <w:b/>
          <w:bCs/>
          <w:sz w:val="28"/>
          <w:szCs w:val="28"/>
        </w:rPr>
        <w:t>一、估价委托人</w:t>
      </w:r>
      <w:bookmarkEnd w:id="15"/>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名称：昆明市中级人民法院</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地址：</w:t>
      </w:r>
      <w:r>
        <w:rPr>
          <w:rFonts w:ascii="宋体" w:hAnsi="宋体" w:cs="宋体"/>
          <w:sz w:val="28"/>
          <w:szCs w:val="28"/>
        </w:rPr>
        <w:t>昆明市西山区滇池路485号</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案号：（2020）昆法技评字第36号、（2018）云01执恢1472号</w:t>
      </w:r>
    </w:p>
    <w:p>
      <w:pPr>
        <w:pStyle w:val="8"/>
        <w:widowControl w:val="0"/>
        <w:adjustRightInd w:val="0"/>
        <w:snapToGrid w:val="0"/>
        <w:spacing w:beforeLines="50" w:line="560" w:lineRule="exact"/>
        <w:ind w:left="0" w:firstLine="551" w:firstLineChars="196"/>
        <w:jc w:val="both"/>
        <w:outlineLvl w:val="1"/>
        <w:rPr>
          <w:rFonts w:ascii="宋体" w:hAnsi="宋体" w:cs="宋体"/>
          <w:b/>
          <w:bCs/>
          <w:sz w:val="28"/>
          <w:szCs w:val="28"/>
        </w:rPr>
      </w:pPr>
      <w:bookmarkStart w:id="16" w:name="_Toc38971984"/>
      <w:r>
        <w:rPr>
          <w:rFonts w:hint="eastAsia" w:ascii="宋体" w:hAnsi="宋体" w:cs="宋体"/>
          <w:b/>
          <w:bCs/>
          <w:sz w:val="28"/>
          <w:szCs w:val="28"/>
        </w:rPr>
        <w:t>二、房地产估价机构</w:t>
      </w:r>
      <w:bookmarkEnd w:id="16"/>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名称：云南雨涵房地产评估有限责任公司</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住所：云南省昆明市盘龙区穿金路205号霖岚广场A幢714号</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 xml:space="preserve">法定代表人：马海波    </w:t>
      </w:r>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统一社会信用代码：9153010078737665XC</w:t>
      </w:r>
    </w:p>
    <w:p>
      <w:pPr>
        <w:adjustRightInd w:val="0"/>
        <w:snapToGrid w:val="0"/>
        <w:spacing w:line="560" w:lineRule="exact"/>
        <w:ind w:firstLine="560" w:firstLineChars="200"/>
        <w:rPr>
          <w:rFonts w:ascii="宋体" w:hAnsi="宋体" w:cs="宋体"/>
          <w:sz w:val="28"/>
          <w:szCs w:val="28"/>
        </w:rPr>
      </w:pPr>
      <w:r>
        <w:rPr>
          <w:rFonts w:hint="eastAsia" w:ascii="宋体" w:hAnsi="宋体" w:cs="宋体"/>
          <w:sz w:val="28"/>
          <w:szCs w:val="28"/>
        </w:rPr>
        <w:t xml:space="preserve">资质等级：贰级  </w:t>
      </w:r>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有效期：自2017年10月20日至2020年10月20日</w:t>
      </w:r>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资质证书编号：云建房证估字第</w:t>
      </w:r>
      <w:r>
        <w:rPr>
          <w:rFonts w:ascii="宋体" w:hAnsi="宋体" w:cs="宋体"/>
          <w:sz w:val="28"/>
          <w:szCs w:val="28"/>
        </w:rPr>
        <w:t>118</w:t>
      </w:r>
      <w:r>
        <w:rPr>
          <w:rFonts w:hint="eastAsia" w:ascii="宋体" w:hAnsi="宋体" w:cs="宋体"/>
          <w:sz w:val="28"/>
          <w:szCs w:val="28"/>
        </w:rPr>
        <w:t>号</w:t>
      </w:r>
    </w:p>
    <w:p>
      <w:pPr>
        <w:adjustRightInd w:val="0"/>
        <w:snapToGrid w:val="0"/>
        <w:spacing w:line="560" w:lineRule="exact"/>
        <w:ind w:firstLine="560" w:firstLineChars="200"/>
        <w:rPr>
          <w:rFonts w:ascii="宋体" w:cs="Times New Roman"/>
          <w:sz w:val="28"/>
          <w:szCs w:val="28"/>
        </w:rPr>
      </w:pPr>
      <w:r>
        <w:rPr>
          <w:rFonts w:hint="eastAsia" w:ascii="宋体" w:hAnsi="宋体" w:cs="宋体"/>
          <w:sz w:val="28"/>
          <w:szCs w:val="28"/>
        </w:rPr>
        <w:t>电话（传真）：（</w:t>
      </w:r>
      <w:r>
        <w:rPr>
          <w:rFonts w:ascii="宋体" w:hAnsi="宋体" w:cs="宋体"/>
          <w:sz w:val="28"/>
          <w:szCs w:val="28"/>
        </w:rPr>
        <w:t>0871</w:t>
      </w:r>
      <w:r>
        <w:rPr>
          <w:rFonts w:hint="eastAsia" w:ascii="宋体" w:hAnsi="宋体" w:cs="宋体"/>
          <w:sz w:val="28"/>
          <w:szCs w:val="28"/>
        </w:rPr>
        <w:t>）</w:t>
      </w:r>
      <w:r>
        <w:rPr>
          <w:rFonts w:ascii="宋体" w:hAnsi="宋体" w:cs="宋体"/>
          <w:sz w:val="28"/>
          <w:szCs w:val="28"/>
        </w:rPr>
        <w:t>63121005</w:t>
      </w:r>
    </w:p>
    <w:p>
      <w:pPr>
        <w:pStyle w:val="8"/>
        <w:widowControl w:val="0"/>
        <w:adjustRightInd w:val="0"/>
        <w:snapToGrid w:val="0"/>
        <w:spacing w:beforeLines="50" w:line="560" w:lineRule="exact"/>
        <w:ind w:left="0" w:firstLine="551" w:firstLineChars="196"/>
        <w:jc w:val="both"/>
        <w:outlineLvl w:val="1"/>
        <w:rPr>
          <w:rFonts w:ascii="宋体" w:hAnsi="宋体" w:cs="宋体"/>
          <w:b/>
          <w:bCs/>
          <w:sz w:val="28"/>
          <w:szCs w:val="28"/>
        </w:rPr>
      </w:pPr>
      <w:bookmarkStart w:id="17" w:name="_Toc38971985"/>
      <w:r>
        <w:rPr>
          <w:rFonts w:hint="eastAsia" w:ascii="宋体" w:hAnsi="宋体" w:cs="宋体"/>
          <w:b/>
          <w:bCs/>
          <w:sz w:val="28"/>
          <w:szCs w:val="28"/>
        </w:rPr>
        <w:t>三、估价目的</w:t>
      </w:r>
      <w:bookmarkEnd w:id="17"/>
    </w:p>
    <w:p>
      <w:pPr>
        <w:spacing w:line="560" w:lineRule="exact"/>
        <w:ind w:firstLine="524" w:firstLineChars="200"/>
        <w:rPr>
          <w:rFonts w:ascii="宋体" w:cs="Times New Roman"/>
          <w:sz w:val="28"/>
          <w:szCs w:val="28"/>
        </w:rPr>
      </w:pPr>
      <w:r>
        <w:rPr>
          <w:rFonts w:hint="eastAsia" w:ascii="宋体" w:hAnsi="宋体" w:cs="宋体"/>
          <w:spacing w:val="-9"/>
          <w:sz w:val="28"/>
          <w:szCs w:val="28"/>
        </w:rPr>
        <w:t>为人民法院确定财产处置参考价提供参考依据而评估房地产市场价值</w:t>
      </w:r>
      <w:r>
        <w:rPr>
          <w:rFonts w:hint="eastAsia" w:ascii="宋体" w:hAnsi="宋体" w:cs="宋体"/>
          <w:sz w:val="28"/>
          <w:szCs w:val="28"/>
        </w:rPr>
        <w:t>。</w:t>
      </w:r>
    </w:p>
    <w:p>
      <w:pPr>
        <w:pStyle w:val="8"/>
        <w:widowControl w:val="0"/>
        <w:adjustRightInd w:val="0"/>
        <w:snapToGrid w:val="0"/>
        <w:spacing w:beforeLines="50" w:line="560" w:lineRule="exact"/>
        <w:ind w:left="0" w:firstLine="551" w:firstLineChars="196"/>
        <w:jc w:val="both"/>
        <w:outlineLvl w:val="1"/>
        <w:rPr>
          <w:rFonts w:ascii="宋体" w:hAnsi="宋体" w:cs="宋体"/>
          <w:b/>
          <w:bCs/>
          <w:sz w:val="28"/>
          <w:szCs w:val="28"/>
        </w:rPr>
      </w:pPr>
      <w:bookmarkStart w:id="18" w:name="_Toc38971986"/>
      <w:r>
        <w:rPr>
          <w:rFonts w:hint="eastAsia" w:ascii="宋体" w:hAnsi="宋体" w:cs="宋体"/>
          <w:b/>
          <w:bCs/>
          <w:sz w:val="28"/>
          <w:szCs w:val="28"/>
        </w:rPr>
        <w:t>四、估价对象</w:t>
      </w:r>
      <w:bookmarkEnd w:id="18"/>
    </w:p>
    <w:p>
      <w:pPr>
        <w:spacing w:line="560" w:lineRule="exact"/>
        <w:ind w:firstLine="560" w:firstLineChars="200"/>
        <w:rPr>
          <w:rFonts w:ascii="宋体" w:cs="Times New Roman"/>
          <w:sz w:val="28"/>
          <w:szCs w:val="28"/>
        </w:rPr>
      </w:pPr>
      <w:r>
        <w:rPr>
          <w:rFonts w:hint="eastAsia" w:ascii="宋体" w:hAnsi="宋体" w:cs="宋体"/>
          <w:sz w:val="28"/>
          <w:szCs w:val="28"/>
        </w:rPr>
        <w:t>（一）、估价对象范围</w:t>
      </w:r>
    </w:p>
    <w:p>
      <w:pPr>
        <w:spacing w:line="520" w:lineRule="exact"/>
        <w:ind w:firstLine="560" w:firstLineChars="200"/>
        <w:jc w:val="left"/>
        <w:rPr>
          <w:rFonts w:ascii="宋体" w:hAnsi="宋体" w:cs="宋体"/>
          <w:spacing w:val="-9"/>
          <w:sz w:val="28"/>
          <w:szCs w:val="28"/>
        </w:rPr>
      </w:pPr>
      <w:r>
        <w:rPr>
          <w:rFonts w:hint="eastAsia" w:ascii="宋体" w:hAnsi="宋体" w:cs="宋体"/>
          <w:sz w:val="28"/>
          <w:szCs w:val="28"/>
        </w:rPr>
        <w:t>本次估价对象为</w:t>
      </w:r>
      <w:r>
        <w:rPr>
          <w:rFonts w:hint="eastAsia" w:ascii="宋体" w:hAnsi="宋体" w:cs="宋体"/>
          <w:spacing w:val="-9"/>
          <w:sz w:val="28"/>
          <w:szCs w:val="28"/>
        </w:rPr>
        <w:t>玉溪市红塔区研和街道南湖路1号汇海佳苑小区1套非住宅、14套住宅及281个车位（详见附件清单），财产范围为估价对象证载或登记面积的地上建筑物及其独用或应分摊的土地使用权价值，含配套房屋使用功能存在且不可分割的设施设备等，不含其他存在的建（构）筑物及室内可移动物品、其他债权债务。</w:t>
      </w:r>
    </w:p>
    <w:p>
      <w:pPr>
        <w:spacing w:line="560" w:lineRule="exact"/>
        <w:ind w:firstLine="560" w:firstLineChars="200"/>
        <w:rPr>
          <w:rFonts w:ascii="宋体" w:hAnsi="宋体" w:cs="宋体"/>
          <w:sz w:val="28"/>
          <w:szCs w:val="28"/>
        </w:rPr>
      </w:pPr>
      <w:r>
        <w:rPr>
          <w:rFonts w:hint="eastAsia" w:ascii="宋体" w:hAnsi="宋体" w:cs="宋体"/>
          <w:sz w:val="28"/>
          <w:szCs w:val="28"/>
        </w:rPr>
        <w:t>（二）、估价对象基本状况</w:t>
      </w:r>
    </w:p>
    <w:p>
      <w:pPr>
        <w:spacing w:line="560" w:lineRule="exact"/>
        <w:ind w:firstLine="560" w:firstLineChars="200"/>
        <w:rPr>
          <w:rFonts w:ascii="宋体" w:hAnsi="宋体" w:cs="宋体"/>
          <w:sz w:val="28"/>
          <w:szCs w:val="28"/>
        </w:rPr>
      </w:pPr>
      <w:r>
        <w:rPr>
          <w:rFonts w:hint="eastAsia" w:ascii="宋体" w:hAnsi="宋体" w:cs="宋体"/>
          <w:sz w:val="28"/>
          <w:szCs w:val="28"/>
        </w:rPr>
        <w:t>估价对象所在项目“汇海佳苑”由云南汇海（集团）房地产开发有限公司开发建设，该项目位于玉溪市红塔区研和街道南湖路1号。项目用地面积66201.8平方米，共建设14幢房屋，总建筑面积252707.72平方米。其中住房建筑面积229051.94平方米，共2860套；地下建筑面积22928.79平方米，共建地下车位644个，其中含地下车位286个，人防车位358个（根据玉溪市住房和城乡建设局：便笺[2020]53号文件，2020年04月01日起人防车位暂停销售及合同签约备案）。</w:t>
      </w:r>
    </w:p>
    <w:p>
      <w:pPr>
        <w:spacing w:line="560" w:lineRule="exact"/>
        <w:ind w:firstLine="560" w:firstLineChars="200"/>
        <w:rPr>
          <w:rFonts w:ascii="宋体" w:hAnsi="宋体" w:cs="宋体"/>
          <w:sz w:val="28"/>
          <w:szCs w:val="28"/>
        </w:rPr>
      </w:pPr>
      <w:r>
        <w:rPr>
          <w:rFonts w:hint="eastAsia" w:ascii="宋体" w:hAnsi="宋体" w:cs="宋体"/>
          <w:sz w:val="28"/>
          <w:szCs w:val="28"/>
        </w:rPr>
        <w:t>“汇海佳苑”项目于2011年04月21日取得《商品房预售许可证》（预许玉字（2011001）号），于2013年取得《玉溪市建设工程竣工验收备案证》（BAYX2013-29）。项目已备案房屋2393套，未备案登记房屋15套，地下部分未备案。</w:t>
      </w:r>
    </w:p>
    <w:p>
      <w:pPr>
        <w:spacing w:line="560" w:lineRule="exact"/>
        <w:ind w:firstLine="560" w:firstLineChars="200"/>
        <w:rPr>
          <w:rFonts w:ascii="宋体" w:hAnsi="宋体" w:cs="宋体"/>
          <w:sz w:val="28"/>
          <w:szCs w:val="28"/>
        </w:rPr>
      </w:pPr>
      <w:r>
        <w:rPr>
          <w:rFonts w:hint="eastAsia" w:ascii="宋体" w:hAnsi="宋体" w:cs="宋体"/>
          <w:sz w:val="28"/>
          <w:szCs w:val="28"/>
        </w:rPr>
        <w:t>2016年07月14日，昆明市中级人民法院对“汇海佳苑”小区全部房产进行了查封，查封时限叁年，自2016年07月14日至2019年07月13日。2019年07月10日，昆明市中级人民法院进行续封，期限叁年，自2019年07月10日至2022年07月09日。2017年09月30日，玉溪市红塔区人民法院对汇海佳苑-1层E1-E102号车位、F1-F98号车位查封，查封期限自2017年10月19日至2020年10月18日。</w:t>
      </w:r>
    </w:p>
    <w:p>
      <w:pPr>
        <w:spacing w:line="560" w:lineRule="exact"/>
        <w:ind w:firstLine="560" w:firstLineChars="200"/>
        <w:rPr>
          <w:rFonts w:ascii="宋体" w:hAnsi="宋体" w:cs="宋体"/>
          <w:sz w:val="28"/>
          <w:szCs w:val="28"/>
        </w:rPr>
      </w:pPr>
      <w:r>
        <w:rPr>
          <w:rFonts w:hint="eastAsia" w:ascii="宋体" w:hAnsi="宋体" w:cs="宋体"/>
          <w:sz w:val="28"/>
          <w:szCs w:val="28"/>
        </w:rPr>
        <w:t>以上信息来自玉溪市住房和城乡建设局房地产管理局出具的“关于汇海佳苑小区房产（未备案登记房源）及查封情况调查回复函”，详见附件。</w:t>
      </w:r>
    </w:p>
    <w:p>
      <w:pPr>
        <w:tabs>
          <w:tab w:val="left" w:pos="6676"/>
        </w:tabs>
        <w:spacing w:line="560" w:lineRule="exact"/>
        <w:ind w:firstLine="524" w:firstLineChars="200"/>
        <w:rPr>
          <w:rFonts w:ascii="宋体" w:hAnsi="宋体" w:cs="宋体"/>
          <w:sz w:val="28"/>
          <w:szCs w:val="28"/>
        </w:rPr>
      </w:pPr>
      <w:r>
        <w:rPr>
          <w:rFonts w:hint="eastAsia" w:ascii="宋体" w:hAnsi="宋体" w:cs="宋体"/>
          <w:spacing w:val="-9"/>
          <w:sz w:val="28"/>
          <w:szCs w:val="28"/>
        </w:rPr>
        <w:t>（三）、</w:t>
      </w:r>
      <w:r>
        <w:rPr>
          <w:rFonts w:hint="eastAsia" w:ascii="宋体" w:hAnsi="宋体" w:cs="宋体"/>
          <w:sz w:val="28"/>
          <w:szCs w:val="28"/>
        </w:rPr>
        <w:t>估价对象土地基本状况</w:t>
      </w:r>
    </w:p>
    <w:p>
      <w:pPr>
        <w:tabs>
          <w:tab w:val="left" w:pos="6676"/>
        </w:tabs>
        <w:spacing w:line="560" w:lineRule="exact"/>
        <w:ind w:firstLine="560" w:firstLineChars="200"/>
        <w:rPr>
          <w:rFonts w:ascii="宋体" w:hAnsi="宋体" w:cs="宋体"/>
          <w:sz w:val="28"/>
          <w:szCs w:val="28"/>
        </w:rPr>
      </w:pPr>
      <w:r>
        <w:rPr>
          <w:rFonts w:hint="eastAsia" w:ascii="宋体" w:hAnsi="宋体" w:cs="宋体"/>
          <w:sz w:val="28"/>
          <w:szCs w:val="28"/>
        </w:rPr>
        <w:t>估价对象所在项目“汇海佳苑” 位于玉溪市红塔区研和街道南湖路1号，东临新西河路，西邻南城丽景小区，南临S102号路，北至新西河路。该地块宗地形状为规则矩形，宗地地势平坦。宗地土地证：（2010）1613号已由玉溪市不动产登记中心收回，原登记信息为：城镇住宅用地，70年产权，土地使用终止日期为2080年03月09日，土地使用权人为云南汇海（集团）房地产开发有限公司。</w:t>
      </w:r>
    </w:p>
    <w:p>
      <w:pPr>
        <w:tabs>
          <w:tab w:val="left" w:pos="6676"/>
        </w:tabs>
        <w:spacing w:line="560" w:lineRule="exact"/>
        <w:ind w:firstLine="560" w:firstLineChars="200"/>
        <w:rPr>
          <w:rFonts w:ascii="宋体" w:hAnsi="宋体" w:cs="宋体"/>
          <w:sz w:val="28"/>
          <w:szCs w:val="28"/>
        </w:rPr>
      </w:pPr>
      <w:r>
        <w:rPr>
          <w:rFonts w:hint="eastAsia" w:ascii="宋体" w:hAnsi="宋体" w:cs="宋体"/>
          <w:sz w:val="28"/>
          <w:szCs w:val="28"/>
        </w:rPr>
        <w:t>根据现场查勘，估价对象所在项目地块区位状况如下：</w:t>
      </w:r>
    </w:p>
    <w:tbl>
      <w:tblPr>
        <w:tblStyle w:val="20"/>
        <w:tblW w:w="5000" w:type="pct"/>
        <w:tblInd w:w="0" w:type="dxa"/>
        <w:tblLayout w:type="autofit"/>
        <w:tblCellMar>
          <w:top w:w="0" w:type="dxa"/>
          <w:left w:w="108" w:type="dxa"/>
          <w:bottom w:w="0" w:type="dxa"/>
          <w:right w:w="108" w:type="dxa"/>
        </w:tblCellMar>
      </w:tblPr>
      <w:tblGrid>
        <w:gridCol w:w="1242"/>
        <w:gridCol w:w="1702"/>
        <w:gridCol w:w="5584"/>
      </w:tblGrid>
      <w:tr>
        <w:tblPrEx>
          <w:tblCellMar>
            <w:top w:w="0" w:type="dxa"/>
            <w:left w:w="108" w:type="dxa"/>
            <w:bottom w:w="0" w:type="dxa"/>
            <w:right w:w="108" w:type="dxa"/>
          </w:tblCellMar>
        </w:tblPrEx>
        <w:trPr>
          <w:trHeight w:val="312" w:hRule="atLeast"/>
        </w:trPr>
        <w:tc>
          <w:tcPr>
            <w:tcW w:w="172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项    目</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内    容</w:t>
            </w:r>
          </w:p>
        </w:tc>
      </w:tr>
      <w:tr>
        <w:tblPrEx>
          <w:tblCellMar>
            <w:top w:w="0" w:type="dxa"/>
            <w:left w:w="108" w:type="dxa"/>
            <w:bottom w:w="0" w:type="dxa"/>
            <w:right w:w="108" w:type="dxa"/>
          </w:tblCellMar>
        </w:tblPrEx>
        <w:trPr>
          <w:trHeight w:val="312" w:hRule="atLeast"/>
        </w:trPr>
        <w:tc>
          <w:tcPr>
            <w:tcW w:w="72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位置状况</w:t>
            </w:r>
          </w:p>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描述</w:t>
            </w: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距重要设施、场所距离</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hint="eastAsia" w:ascii="宋体" w:hAnsi="宋体" w:cs="Tahoma"/>
                <w:color w:val="000000"/>
                <w:kern w:val="0"/>
                <w:sz w:val="20"/>
                <w:szCs w:val="20"/>
              </w:rPr>
              <w:t>位于玉溪市研和镇，距离玉元高速研和收费站约1.7公里；距离玉溪南站2.7公里；距离玉溪站9.7公里；距离玉溪市聂耳公园约11.2公里；距离玉溪市中心百货大楼约12公里</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临街状况</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hint="eastAsia" w:ascii="宋体" w:hAnsi="宋体" w:cs="Tahoma"/>
                <w:color w:val="000000"/>
                <w:kern w:val="0"/>
                <w:sz w:val="20"/>
                <w:szCs w:val="20"/>
              </w:rPr>
              <w:t>四至均临街，中间有绿化带</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楼层</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bCs/>
                <w:color w:val="000000"/>
                <w:kern w:val="0"/>
                <w:sz w:val="20"/>
                <w:szCs w:val="20"/>
              </w:rPr>
            </w:pPr>
            <w:r>
              <w:rPr>
                <w:rFonts w:hint="eastAsia" w:ascii="宋体" w:hAnsi="宋体" w:cs="Tahoma"/>
                <w:bCs/>
                <w:color w:val="000000"/>
                <w:kern w:val="0"/>
                <w:sz w:val="20"/>
                <w:szCs w:val="20"/>
              </w:rPr>
              <w:t>建筑物总19层，-1层为车库，1-2层为非住宅，3-18层为住宅</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朝向</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hint="eastAsia" w:ascii="宋体" w:hAnsi="宋体" w:cs="Tahoma"/>
                <w:color w:val="000000"/>
                <w:kern w:val="0"/>
                <w:sz w:val="20"/>
                <w:szCs w:val="20"/>
              </w:rPr>
              <w:t>小区平面分为东西两区，东区出入口朝西，西区出入口朝东</w:t>
            </w:r>
          </w:p>
        </w:tc>
      </w:tr>
      <w:tr>
        <w:tblPrEx>
          <w:tblCellMar>
            <w:top w:w="0" w:type="dxa"/>
            <w:left w:w="108" w:type="dxa"/>
            <w:bottom w:w="0" w:type="dxa"/>
            <w:right w:w="108" w:type="dxa"/>
          </w:tblCellMar>
        </w:tblPrEx>
        <w:trPr>
          <w:trHeight w:val="312" w:hRule="atLeast"/>
        </w:trPr>
        <w:tc>
          <w:tcPr>
            <w:tcW w:w="72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交通状况</w:t>
            </w:r>
          </w:p>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描述</w:t>
            </w: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公共交通</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hint="eastAsia" w:ascii="宋体" w:hAnsi="宋体" w:cs="Tahoma"/>
                <w:color w:val="000000"/>
                <w:kern w:val="0"/>
                <w:sz w:val="20"/>
                <w:szCs w:val="20"/>
              </w:rPr>
              <w:t>1公里范围内公交车站有菜园、研和派出所、红土坡、研和古城、研和街、研和二中、玉通公路口等，有12路、70路、峨山-通海专线等公交车线停靠，距离研和客运站约900米</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主要交通道路</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hint="eastAsia" w:ascii="宋体" w:hAnsi="宋体" w:cs="Tahoma"/>
                <w:color w:val="000000"/>
                <w:kern w:val="0"/>
                <w:sz w:val="20"/>
                <w:szCs w:val="20"/>
              </w:rPr>
              <w:t>S102号路为城市主干道，与明珠路相连，可直达玉溪市中心</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交通管制</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hint="eastAsia" w:ascii="宋体" w:hAnsi="宋体" w:cs="Tahoma"/>
                <w:color w:val="000000"/>
                <w:kern w:val="0"/>
                <w:sz w:val="20"/>
                <w:szCs w:val="20"/>
              </w:rPr>
              <w:t>道路设有红绿灯，双向车道，中间设置隔离带，交通管制一般</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停车便捷度</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hint="eastAsia" w:ascii="宋体" w:hAnsi="宋体" w:cs="Tahoma"/>
                <w:color w:val="000000"/>
                <w:kern w:val="0"/>
                <w:sz w:val="20"/>
                <w:szCs w:val="20"/>
              </w:rPr>
              <w:t>物业建有地下一层停车场、人防车位停车场以及路面停车位，停车便捷度较好</w:t>
            </w:r>
          </w:p>
        </w:tc>
      </w:tr>
      <w:tr>
        <w:tblPrEx>
          <w:tblCellMar>
            <w:top w:w="0" w:type="dxa"/>
            <w:left w:w="108" w:type="dxa"/>
            <w:bottom w:w="0" w:type="dxa"/>
            <w:right w:w="108" w:type="dxa"/>
          </w:tblCellMar>
        </w:tblPrEx>
        <w:trPr>
          <w:trHeight w:val="312" w:hRule="atLeast"/>
        </w:trPr>
        <w:tc>
          <w:tcPr>
            <w:tcW w:w="72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外部配套设施状况</w:t>
            </w: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基础设施</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hint="eastAsia" w:ascii="宋体" w:hAnsi="宋体" w:cs="Tahoma"/>
                <w:color w:val="000000"/>
                <w:kern w:val="0"/>
                <w:sz w:val="20"/>
                <w:szCs w:val="20"/>
              </w:rPr>
              <w:t>估价对象所在区域基础设施配套齐全，供水、排水、道路、供电、通信等设施保障率高</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公共服务设施</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Tahoma"/>
                <w:color w:val="000000"/>
                <w:kern w:val="0"/>
                <w:sz w:val="20"/>
                <w:szCs w:val="20"/>
              </w:rPr>
            </w:pPr>
            <w:r>
              <w:rPr>
                <w:rFonts w:hint="eastAsia" w:ascii="宋体" w:hAnsi="宋体" w:cs="Tahoma"/>
                <w:color w:val="000000"/>
                <w:kern w:val="0"/>
                <w:sz w:val="20"/>
                <w:szCs w:val="20"/>
              </w:rPr>
              <w:t>商业：研和农贸市场、研和百信购物广场</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b/>
                <w:bCs/>
                <w:color w:val="000000"/>
                <w:kern w:val="0"/>
                <w:sz w:val="20"/>
                <w:szCs w:val="20"/>
              </w:rPr>
            </w:pP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Tahoma"/>
                <w:color w:val="000000"/>
                <w:kern w:val="0"/>
                <w:sz w:val="20"/>
                <w:szCs w:val="20"/>
              </w:rPr>
            </w:pPr>
            <w:r>
              <w:rPr>
                <w:rFonts w:hint="eastAsia" w:ascii="宋体" w:hAnsi="宋体" w:cs="Tahoma"/>
                <w:color w:val="000000"/>
                <w:kern w:val="0"/>
                <w:sz w:val="20"/>
                <w:szCs w:val="20"/>
              </w:rPr>
              <w:t>金融：邮政储蓄、农业银行、云南省农信社</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b/>
                <w:bCs/>
                <w:color w:val="000000"/>
                <w:kern w:val="0"/>
                <w:sz w:val="20"/>
                <w:szCs w:val="20"/>
              </w:rPr>
            </w:pP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Tahoma"/>
                <w:color w:val="000000"/>
                <w:kern w:val="0"/>
                <w:sz w:val="20"/>
                <w:szCs w:val="20"/>
              </w:rPr>
            </w:pPr>
            <w:r>
              <w:rPr>
                <w:rFonts w:hint="eastAsia" w:ascii="宋体" w:hAnsi="宋体" w:cs="Tahoma"/>
                <w:color w:val="000000"/>
                <w:kern w:val="0"/>
                <w:sz w:val="20"/>
                <w:szCs w:val="20"/>
              </w:rPr>
              <w:t>医疗：红塔区研和中心卫生院</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b/>
                <w:bCs/>
                <w:color w:val="000000"/>
                <w:kern w:val="0"/>
                <w:sz w:val="20"/>
                <w:szCs w:val="20"/>
              </w:rPr>
            </w:pP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ind w:left="600" w:hanging="600" w:hangingChars="300"/>
              <w:jc w:val="left"/>
              <w:rPr>
                <w:rFonts w:ascii="宋体" w:hAnsi="宋体" w:cs="Tahoma"/>
                <w:color w:val="000000"/>
                <w:kern w:val="0"/>
                <w:sz w:val="20"/>
                <w:szCs w:val="20"/>
              </w:rPr>
            </w:pPr>
            <w:r>
              <w:rPr>
                <w:rFonts w:hint="eastAsia" w:ascii="宋体" w:hAnsi="宋体" w:cs="Tahoma"/>
                <w:color w:val="000000"/>
                <w:kern w:val="0"/>
                <w:sz w:val="20"/>
                <w:szCs w:val="20"/>
              </w:rPr>
              <w:t>教育：研和中心幼儿园、研和中心小学、宋官小学、玉溪市第七中学、玉溪农业职业技术学院</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b/>
                <w:bCs/>
                <w:color w:val="000000"/>
                <w:kern w:val="0"/>
                <w:sz w:val="20"/>
                <w:szCs w:val="20"/>
              </w:rPr>
            </w:pP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ind w:left="1000" w:hanging="1000" w:hangingChars="500"/>
              <w:jc w:val="left"/>
              <w:rPr>
                <w:rFonts w:ascii="宋体" w:hAnsi="宋体" w:cs="Tahoma"/>
                <w:color w:val="000000"/>
                <w:kern w:val="0"/>
                <w:sz w:val="20"/>
                <w:szCs w:val="20"/>
              </w:rPr>
            </w:pPr>
            <w:r>
              <w:rPr>
                <w:rFonts w:hint="eastAsia" w:ascii="宋体" w:hAnsi="宋体" w:cs="Tahoma"/>
                <w:color w:val="000000"/>
                <w:kern w:val="0"/>
                <w:sz w:val="20"/>
                <w:szCs w:val="20"/>
              </w:rPr>
              <w:t>政府部门：研和派出所、红塔区人民法院研和法庭、红塔区交通督察大队研和中队</w:t>
            </w:r>
          </w:p>
        </w:tc>
      </w:tr>
      <w:tr>
        <w:tblPrEx>
          <w:tblCellMar>
            <w:top w:w="0" w:type="dxa"/>
            <w:left w:w="108" w:type="dxa"/>
            <w:bottom w:w="0" w:type="dxa"/>
            <w:right w:w="108" w:type="dxa"/>
          </w:tblCellMar>
        </w:tblPrEx>
        <w:trPr>
          <w:trHeight w:val="312" w:hRule="atLeast"/>
        </w:trPr>
        <w:tc>
          <w:tcPr>
            <w:tcW w:w="72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环境状况</w:t>
            </w: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自然环境</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ascii="宋体" w:hAnsi="宋体" w:cs="Tahoma"/>
                <w:color w:val="000000"/>
                <w:kern w:val="0"/>
                <w:sz w:val="20"/>
                <w:szCs w:val="20"/>
              </w:rPr>
              <w:t>研和街道辖区总面积128.7平方公里，城镇面积1.6平方公里，经济技术开发区2.4平方公里。镇境内海拔最高点是西南部的回族山，为2142.6米，最低点是矿山，为1502米。全镇南北纵跨约25公里，东西横跨约15公里，镇内山谷相对高差为300-400米，最高峰大凹山海拔2112.9米，坝区海拔1638米。研和镇属于中亚热带半湿润凉冬高原季风气候。冬季空气温暖，降水量少，晴天多，日照充足，气候干燥;夏季空气湿度大，水汽足，降水和云量多，日照较长。镇内霜冻多发生于秋末至竖年春初，全年无霜期206天。年平均气温15-16°C，最热月(七月)平均温度在25-26°C，极端最高气温33.5°C，最冷月(一月)平均温度在0°C-0.2°C之间，极端最低温度-4.6°C。全镇年降水量800-900毫米，年日照时数为2265.1小时，日照百分率达51%。</w:t>
            </w:r>
            <w:r>
              <w:rPr>
                <w:rFonts w:hint="eastAsia" w:ascii="宋体" w:hAnsi="宋体" w:cs="Tahoma"/>
                <w:color w:val="000000"/>
                <w:kern w:val="0"/>
                <w:sz w:val="20"/>
                <w:szCs w:val="20"/>
              </w:rPr>
              <w:t>　</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人文环境</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ascii="宋体" w:hAnsi="宋体" w:cs="Tahoma"/>
                <w:color w:val="000000"/>
                <w:kern w:val="0"/>
                <w:sz w:val="20"/>
                <w:szCs w:val="20"/>
              </w:rPr>
              <w:t>研和镇文物古迹众多，东山土司府 、古青铜器、宫、阁、寺庙、古城是本镇的主要文物古迹 。</w:t>
            </w:r>
          </w:p>
        </w:tc>
      </w:tr>
      <w:tr>
        <w:tblPrEx>
          <w:tblCellMar>
            <w:top w:w="0" w:type="dxa"/>
            <w:left w:w="108" w:type="dxa"/>
            <w:bottom w:w="0" w:type="dxa"/>
            <w:right w:w="108" w:type="dxa"/>
          </w:tblCellMar>
        </w:tblPrEx>
        <w:trPr>
          <w:trHeight w:val="312" w:hRule="atLeast"/>
        </w:trPr>
        <w:tc>
          <w:tcPr>
            <w:tcW w:w="72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Tahoma"/>
                <w:b/>
                <w:bCs/>
                <w:color w:val="000000"/>
                <w:kern w:val="0"/>
                <w:sz w:val="20"/>
                <w:szCs w:val="20"/>
              </w:rPr>
            </w:pPr>
          </w:p>
        </w:tc>
        <w:tc>
          <w:tcPr>
            <w:tcW w:w="99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0"/>
                <w:szCs w:val="20"/>
              </w:rPr>
            </w:pPr>
            <w:r>
              <w:rPr>
                <w:rFonts w:hint="eastAsia" w:ascii="宋体" w:hAnsi="宋体" w:cs="Tahoma"/>
                <w:b/>
                <w:bCs/>
                <w:color w:val="000000"/>
                <w:kern w:val="0"/>
                <w:sz w:val="20"/>
                <w:szCs w:val="20"/>
              </w:rPr>
              <w:t>景观</w:t>
            </w:r>
          </w:p>
        </w:tc>
        <w:tc>
          <w:tcPr>
            <w:tcW w:w="3274"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Tahoma"/>
                <w:color w:val="000000"/>
                <w:kern w:val="0"/>
                <w:sz w:val="20"/>
                <w:szCs w:val="20"/>
              </w:rPr>
            </w:pPr>
            <w:r>
              <w:rPr>
                <w:rFonts w:ascii="宋体" w:hAnsi="宋体" w:cs="Tahoma"/>
                <w:color w:val="000000"/>
                <w:kern w:val="0"/>
                <w:sz w:val="20"/>
                <w:szCs w:val="20"/>
              </w:rPr>
              <w:t>八角园山庄位于研和镇西端的小密罗村，距中心城区州城21公里、玉元高速公路10公里，交通方便。这里环境优美，空气清新，是休闲度假的理想之地。</w:t>
            </w:r>
            <w:r>
              <w:rPr>
                <w:rFonts w:hint="eastAsia" w:ascii="宋体" w:hAnsi="宋体" w:cs="Tahoma"/>
                <w:color w:val="000000"/>
                <w:kern w:val="0"/>
                <w:sz w:val="20"/>
                <w:szCs w:val="20"/>
              </w:rPr>
              <w:t>　</w:t>
            </w:r>
          </w:p>
        </w:tc>
      </w:tr>
    </w:tbl>
    <w:p>
      <w:pPr>
        <w:spacing w:line="560" w:lineRule="exact"/>
        <w:ind w:firstLine="524" w:firstLineChars="200"/>
        <w:rPr>
          <w:rFonts w:ascii="宋体" w:hAnsi="宋体" w:cs="宋体"/>
          <w:spacing w:val="-9"/>
          <w:sz w:val="28"/>
          <w:szCs w:val="28"/>
        </w:rPr>
      </w:pPr>
      <w:r>
        <w:rPr>
          <w:rFonts w:hint="eastAsia" w:ascii="宋体" w:hAnsi="宋体" w:cs="宋体"/>
          <w:spacing w:val="-9"/>
          <w:sz w:val="28"/>
          <w:szCs w:val="28"/>
        </w:rPr>
        <w:t>（四）、估价对象建筑物实物状况</w:t>
      </w:r>
    </w:p>
    <w:p>
      <w:pPr>
        <w:spacing w:line="560" w:lineRule="exact"/>
        <w:ind w:firstLine="560" w:firstLineChars="200"/>
        <w:rPr>
          <w:rFonts w:ascii="宋体" w:hAnsi="宋体" w:cs="宋体"/>
          <w:sz w:val="28"/>
          <w:szCs w:val="28"/>
        </w:rPr>
      </w:pPr>
      <w:r>
        <w:rPr>
          <w:rFonts w:hint="eastAsia" w:ascii="宋体" w:hAnsi="宋体" w:cs="宋体"/>
          <w:sz w:val="28"/>
          <w:szCs w:val="28"/>
        </w:rPr>
        <w:t>根据现场查勘，汇海佳苑小区平面分为东西两区，中间以商业街隔开，楼宇A至G栋及地下车库位于西区，楼宇H至N栋及人防车库位于东区。小区内单栋建筑物共19层，其中地下1层为车位、人防车位，地上共18层，1-2层为非住宅，3层至18层为住宅。估价对象约建成于2013年，地基基础承载力好，无不均匀沉降，承重构件完好、屋面完好、楼地面较好，门开关使用状况较好，水卫电照设施已接通，综合成新率90%。因被申请人未到现场，我司估价人员无法进入全部估价对象室内查勘，仅在物业管理费方协助下进入</w:t>
      </w:r>
      <w:r>
        <w:rPr>
          <w:rFonts w:hint="eastAsia" w:ascii="宋体" w:hAnsi="宋体" w:cs="宋体"/>
          <w:spacing w:val="-9"/>
          <w:sz w:val="28"/>
          <w:szCs w:val="28"/>
        </w:rPr>
        <w:t>B-4-1301、G-4-301、G-2-1401、G-1-1502四套住宅及281个车位内部查勘。上述四套住宅于价值时点使用状况均为闲置未使用过，估价对象中的部分车位已出租，租金为700元/年，具体已出租车位待查。其余标的物根据《房地产估价规范》要求做外围评估。</w:t>
      </w:r>
      <w:r>
        <w:rPr>
          <w:rFonts w:hint="eastAsia" w:ascii="宋体" w:hAnsi="宋体" w:cs="宋体"/>
          <w:sz w:val="28"/>
          <w:szCs w:val="28"/>
        </w:rPr>
        <w:t>本次估价对象实物状况见下表，</w:t>
      </w:r>
      <w:r>
        <w:rPr>
          <w:rFonts w:hint="eastAsia" w:ascii="宋体" w:hAnsi="宋体" w:cs="宋体"/>
          <w:spacing w:val="-9"/>
          <w:sz w:val="28"/>
          <w:szCs w:val="28"/>
        </w:rPr>
        <w:t>下表内容以现场查勘记录并结合玉溪市住建局房地产管理局的回函内容填写</w:t>
      </w:r>
      <w:r>
        <w:rPr>
          <w:rFonts w:hint="eastAsia" w:ascii="宋体" w:hAnsi="宋体" w:cs="宋体"/>
          <w:sz w:val="28"/>
          <w:szCs w:val="28"/>
        </w:rPr>
        <w:t>：</w:t>
      </w:r>
    </w:p>
    <w:tbl>
      <w:tblPr>
        <w:tblStyle w:val="20"/>
        <w:tblW w:w="5000" w:type="pct"/>
        <w:tblInd w:w="0" w:type="dxa"/>
        <w:tblLayout w:type="fixed"/>
        <w:tblCellMar>
          <w:top w:w="0" w:type="dxa"/>
          <w:left w:w="108" w:type="dxa"/>
          <w:bottom w:w="0" w:type="dxa"/>
          <w:right w:w="108" w:type="dxa"/>
        </w:tblCellMar>
      </w:tblPr>
      <w:tblGrid>
        <w:gridCol w:w="1016"/>
        <w:gridCol w:w="789"/>
        <w:gridCol w:w="709"/>
        <w:gridCol w:w="710"/>
        <w:gridCol w:w="993"/>
        <w:gridCol w:w="993"/>
        <w:gridCol w:w="1677"/>
        <w:gridCol w:w="822"/>
        <w:gridCol w:w="819"/>
      </w:tblGrid>
      <w:tr>
        <w:tblPrEx>
          <w:tblCellMar>
            <w:top w:w="0" w:type="dxa"/>
            <w:left w:w="108" w:type="dxa"/>
            <w:bottom w:w="0" w:type="dxa"/>
            <w:right w:w="108" w:type="dxa"/>
          </w:tblCellMar>
        </w:tblPrEx>
        <w:trPr>
          <w:trHeight w:val="378"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估价对象实物状况</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房号</w:t>
            </w:r>
          </w:p>
        </w:tc>
        <w:tc>
          <w:tcPr>
            <w:tcW w:w="4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楼层</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结构</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用途</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建筑面积（㎡）</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朝向</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户型</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装修</w:t>
            </w:r>
          </w:p>
          <w:p>
            <w:pPr>
              <w:widowControl/>
              <w:jc w:val="center"/>
              <w:rPr>
                <w:rFonts w:ascii="宋体" w:hAnsi="宋体" w:cs="Tahoma"/>
                <w:b/>
                <w:bCs/>
                <w:kern w:val="0"/>
                <w:sz w:val="20"/>
                <w:szCs w:val="20"/>
              </w:rPr>
            </w:pPr>
            <w:r>
              <w:rPr>
                <w:rFonts w:hint="eastAsia" w:ascii="宋体" w:hAnsi="宋体" w:cs="Tahoma"/>
                <w:b/>
                <w:bCs/>
                <w:kern w:val="0"/>
                <w:sz w:val="20"/>
                <w:szCs w:val="20"/>
              </w:rPr>
              <w:t>状况</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kern w:val="0"/>
                <w:sz w:val="20"/>
                <w:szCs w:val="20"/>
              </w:rPr>
            </w:pPr>
            <w:r>
              <w:rPr>
                <w:rFonts w:hint="eastAsia" w:ascii="宋体" w:hAnsi="宋体" w:cs="Tahoma"/>
                <w:b/>
                <w:bCs/>
                <w:kern w:val="0"/>
                <w:sz w:val="20"/>
                <w:szCs w:val="20"/>
              </w:rPr>
              <w:t>配套</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B-4-1301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13/19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88.95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朝西、双面采光</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两室一厅一厨一卫一阳台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一梯三户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B-5-1801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18/19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268.95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入户门朝西</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十室两厅一厨四卫四阳台一露台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一梯两户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D-2-1302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13/19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60.92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入户门朝东北</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一室一厅一厨一卫一阳台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一梯三户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D-3-1603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16/19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86.04</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入户门朝南</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两室一厅一厨一卫双阳台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一梯三户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E-4-304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3/19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63.53</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入户门朝西北</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两室两厅一厨一卫一阳台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一梯四户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E-4-404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4-19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63.53</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入户门朝西北</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两室两厅一厨一卫一阳台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一梯四户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E-4-701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7/19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65.22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入户门朝北</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两室两厅一厨一卫一阳台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一梯四户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E-2-1402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14/19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103.2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入户门朝西南</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三室两厅一厨一卫一阳台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一梯三户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G-4-301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3/19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153.55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朝南、双面采光</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四室两厅一厨两卫双阳台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一梯三户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G-2-1401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14/19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95.57</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东南向、</w:t>
            </w:r>
            <w:r>
              <w:rPr>
                <w:rFonts w:hint="eastAsia" w:ascii="宋体" w:hAnsi="宋体" w:cs="Tahoma"/>
                <w:bCs/>
                <w:kern w:val="0"/>
                <w:sz w:val="18"/>
                <w:szCs w:val="20"/>
              </w:rPr>
              <w:t>双面采光</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两室一厅一厨一卫双阳台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一梯三户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G-1-1502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15/19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60.91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东南向、</w:t>
            </w:r>
            <w:r>
              <w:rPr>
                <w:rFonts w:hint="eastAsia" w:ascii="宋体" w:hAnsi="宋体" w:cs="Tahoma"/>
                <w:bCs/>
                <w:kern w:val="0"/>
                <w:sz w:val="18"/>
                <w:szCs w:val="20"/>
              </w:rPr>
              <w:t>一面采光</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一室一厅一厨一卫一阳台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一梯三户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I-1-702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7/19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83.31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入户门朝西</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两室两厅一厨一卫双阳台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一梯三户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J-1-303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3/19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103.72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入户门朝西南</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三室两厅一厨一卫一阳台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一梯四户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J-2-1802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18-19/19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183.97</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入户门朝西南</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七室两厅一厨三卫一阳台一露台</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一梯四户</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I-9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1-2/19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非住宅</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153.73</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门面朝东北向</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通铺、带卫生间，见附件户型图</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毛坯</w:t>
            </w:r>
          </w:p>
        </w:tc>
        <w:tc>
          <w:tcPr>
            <w:tcW w:w="48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一楼临街无电梯</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A01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restart"/>
            <w:tcBorders>
              <w:top w:val="nil"/>
              <w:left w:val="nil"/>
              <w:right w:val="single" w:color="auto" w:sz="4" w:space="0"/>
            </w:tcBorders>
            <w:shd w:val="clear" w:color="auto" w:fill="auto"/>
            <w:vAlign w:val="center"/>
          </w:tcPr>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住宅电梯不接地下层，车库有单独的车辆出入口及步行楼梯口</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住宅电梯不接地下层，车库有单独的车辆出入口及步行楼梯口</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　</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A03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A04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A05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25.5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A06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25.5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A08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A09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25.92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28.04</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25.63</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25.05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25.59</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A19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22.55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24.52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A29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A39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A49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A59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A60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A61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A62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A63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A64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A65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bCs/>
                <w:kern w:val="0"/>
                <w:sz w:val="20"/>
                <w:szCs w:val="20"/>
              </w:rPr>
            </w:pPr>
            <w:r>
              <w:rPr>
                <w:rFonts w:hint="eastAsia" w:ascii="宋体" w:hAnsi="宋体" w:cs="Tahoma"/>
                <w:bCs/>
                <w:kern w:val="0"/>
                <w:sz w:val="20"/>
                <w:szCs w:val="20"/>
              </w:rPr>
              <w:t>A66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B09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B29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27.16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26.06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B39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26.06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26.06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53.22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并排双车位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B49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B59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B69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B79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B89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27.16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B99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B109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B119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restart"/>
            <w:tcBorders>
              <w:left w:val="nil"/>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p>
          <w:p>
            <w:pPr>
              <w:widowControl/>
              <w:jc w:val="center"/>
              <w:rPr>
                <w:rFonts w:ascii="宋体" w:hAnsi="宋体" w:cs="Tahoma"/>
                <w:bCs/>
                <w:kern w:val="0"/>
                <w:sz w:val="20"/>
                <w:szCs w:val="20"/>
              </w:rPr>
            </w:pPr>
            <w:r>
              <w:rPr>
                <w:rFonts w:hint="eastAsia" w:ascii="宋体" w:hAnsi="宋体" w:cs="Tahoma"/>
                <w:bCs/>
                <w:kern w:val="0"/>
                <w:sz w:val="20"/>
                <w:szCs w:val="20"/>
              </w:rPr>
              <w:t>　</w:t>
            </w:r>
          </w:p>
          <w:p>
            <w:pPr>
              <w:widowControl/>
              <w:jc w:val="center"/>
              <w:rPr>
                <w:rFonts w:ascii="宋体" w:hAnsi="宋体" w:cs="Tahoma"/>
                <w:bCs/>
                <w:kern w:val="0"/>
                <w:sz w:val="20"/>
                <w:szCs w:val="20"/>
              </w:rPr>
            </w:pPr>
            <w:r>
              <w:rPr>
                <w:rFonts w:hint="eastAsia" w:ascii="宋体" w:hAnsi="宋体" w:cs="Tahoma"/>
                <w:bCs/>
                <w:kern w:val="0"/>
                <w:sz w:val="20"/>
                <w:szCs w:val="20"/>
              </w:rPr>
              <w:t>　</w:t>
            </w: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w:t>
            </w: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rPr>
                <w:rFonts w:ascii="宋体" w:hAnsi="宋体" w:cs="Tahoma"/>
                <w:bCs/>
                <w:kern w:val="0"/>
                <w:sz w:val="20"/>
                <w:szCs w:val="20"/>
              </w:rPr>
            </w:pP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w:t>
            </w: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　</w:t>
            </w: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p>
          <w:p>
            <w:pPr>
              <w:jc w:val="center"/>
              <w:rPr>
                <w:rFonts w:ascii="宋体" w:hAnsi="宋体" w:cs="Tahoma"/>
                <w:bCs/>
                <w:kern w:val="0"/>
                <w:sz w:val="20"/>
                <w:szCs w:val="20"/>
              </w:rPr>
            </w:pPr>
            <w:r>
              <w:rPr>
                <w:rFonts w:hint="eastAsia" w:ascii="宋体" w:hAnsi="宋体" w:cs="Tahoma"/>
                <w:bCs/>
                <w:kern w:val="0"/>
                <w:sz w:val="20"/>
                <w:szCs w:val="20"/>
              </w:rPr>
              <w:t>住宅电梯不接地下层，车库有单独的车辆出入口及步行楼梯口</w:t>
            </w: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B129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23.99</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23.99</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24.52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52.15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前后子母车位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26.06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23.69</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33.07</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B139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23.92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C02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C03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C04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C05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C06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C07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C08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C09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C19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C29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27.16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C39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C49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C59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C67</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C69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28.06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C72</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27.16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C73</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C74</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52.15</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前后子母车位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C75</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C76</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26.06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C78</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27.72</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C79</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24.16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C80</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28.61</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right w:val="single" w:color="auto" w:sz="4" w:space="0"/>
            </w:tcBorders>
            <w:shd w:val="clear" w:color="auto" w:fill="auto"/>
            <w:vAlign w:val="center"/>
          </w:tcPr>
          <w:p>
            <w:pPr>
              <w:jc w:val="center"/>
              <w:rPr>
                <w:rFonts w:ascii="宋体" w:hAnsi="宋体" w:cs="Tahoma"/>
                <w:bCs/>
                <w:kern w:val="0"/>
                <w:sz w:val="20"/>
                <w:szCs w:val="20"/>
              </w:rPr>
            </w:pPr>
          </w:p>
        </w:tc>
      </w:tr>
      <w:tr>
        <w:tblPrEx>
          <w:tblCellMar>
            <w:top w:w="0" w:type="dxa"/>
            <w:left w:w="108" w:type="dxa"/>
            <w:bottom w:w="0" w:type="dxa"/>
            <w:right w:w="108" w:type="dxa"/>
          </w:tblCellMar>
        </w:tblPrEx>
        <w:trPr>
          <w:trHeight w:val="312" w:hRule="atLeast"/>
        </w:trPr>
        <w:tc>
          <w:tcPr>
            <w:tcW w:w="59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C81</w:t>
            </w:r>
          </w:p>
        </w:tc>
        <w:tc>
          <w:tcPr>
            <w:tcW w:w="46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-1/19</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钢混</w:t>
            </w:r>
          </w:p>
        </w:tc>
        <w:tc>
          <w:tcPr>
            <w:tcW w:w="4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车位</w:t>
            </w:r>
          </w:p>
        </w:tc>
        <w:tc>
          <w:tcPr>
            <w:tcW w:w="58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Cs/>
                <w:kern w:val="0"/>
                <w:sz w:val="20"/>
                <w:szCs w:val="20"/>
              </w:rPr>
            </w:pPr>
            <w:r>
              <w:rPr>
                <w:rFonts w:hint="eastAsia" w:ascii="宋体" w:hAnsi="宋体" w:cs="Tahoma"/>
                <w:bCs/>
                <w:kern w:val="0"/>
                <w:sz w:val="20"/>
                <w:szCs w:val="20"/>
              </w:rPr>
              <w:t>24.16</w:t>
            </w:r>
          </w:p>
        </w:tc>
        <w:tc>
          <w:tcPr>
            <w:tcW w:w="5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w:t>
            </w:r>
          </w:p>
        </w:tc>
        <w:tc>
          <w:tcPr>
            <w:tcW w:w="98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标准车位</w:t>
            </w:r>
          </w:p>
        </w:tc>
        <w:tc>
          <w:tcPr>
            <w:tcW w:w="48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r>
              <w:rPr>
                <w:rFonts w:hint="eastAsia" w:ascii="宋体" w:hAnsi="宋体" w:cs="Tahoma"/>
                <w:bCs/>
                <w:kern w:val="0"/>
                <w:sz w:val="20"/>
                <w:szCs w:val="20"/>
              </w:rPr>
              <w:t>水泥地坪划线车位</w:t>
            </w:r>
          </w:p>
        </w:tc>
        <w:tc>
          <w:tcPr>
            <w:tcW w:w="480"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Tahoma"/>
                <w:bCs/>
                <w:kern w:val="0"/>
                <w:sz w:val="20"/>
                <w:szCs w:val="20"/>
              </w:rPr>
            </w:pPr>
          </w:p>
        </w:tc>
      </w:tr>
    </w:tbl>
    <w:p>
      <w:pPr>
        <w:pStyle w:val="8"/>
        <w:widowControl w:val="0"/>
        <w:adjustRightInd w:val="0"/>
        <w:snapToGrid w:val="0"/>
        <w:spacing w:beforeLines="50" w:line="560" w:lineRule="exact"/>
        <w:ind w:left="0" w:firstLine="551" w:firstLineChars="196"/>
        <w:jc w:val="both"/>
        <w:outlineLvl w:val="1"/>
        <w:rPr>
          <w:rFonts w:ascii="宋体" w:hAnsi="宋体" w:cs="宋体"/>
          <w:b/>
          <w:bCs/>
          <w:sz w:val="28"/>
          <w:szCs w:val="28"/>
        </w:rPr>
      </w:pPr>
      <w:bookmarkStart w:id="19" w:name="_Toc38971987"/>
      <w:r>
        <w:rPr>
          <w:rFonts w:hint="eastAsia" w:ascii="宋体" w:hAnsi="宋体" w:cs="宋体"/>
          <w:b/>
          <w:bCs/>
          <w:sz w:val="28"/>
          <w:szCs w:val="28"/>
        </w:rPr>
        <w:t>五、价值时点</w:t>
      </w:r>
      <w:bookmarkEnd w:id="19"/>
    </w:p>
    <w:p>
      <w:pPr>
        <w:spacing w:line="560" w:lineRule="exact"/>
        <w:ind w:firstLine="560" w:firstLineChars="200"/>
        <w:rPr>
          <w:rFonts w:ascii="宋体" w:cs="Times New Roman"/>
          <w:sz w:val="28"/>
          <w:szCs w:val="28"/>
        </w:rPr>
      </w:pPr>
      <w:r>
        <w:rPr>
          <w:rFonts w:hint="eastAsia" w:ascii="宋体" w:hAnsi="宋体" w:cs="宋体"/>
          <w:sz w:val="28"/>
          <w:szCs w:val="28"/>
        </w:rPr>
        <w:t>司法鉴定委托书未约定价值时点，本次估价以现场查勘日期为价值时点，即价值时点为</w:t>
      </w:r>
      <w:r>
        <w:rPr>
          <w:rFonts w:ascii="宋体" w:hAnsi="宋体" w:cs="宋体"/>
          <w:sz w:val="28"/>
          <w:szCs w:val="28"/>
        </w:rPr>
        <w:t>2020年04月07日</w:t>
      </w:r>
      <w:r>
        <w:rPr>
          <w:rFonts w:hint="eastAsia" w:ascii="宋体" w:hAnsi="宋体" w:cs="宋体"/>
          <w:sz w:val="28"/>
          <w:szCs w:val="28"/>
        </w:rPr>
        <w:t>。</w:t>
      </w:r>
    </w:p>
    <w:p>
      <w:pPr>
        <w:pStyle w:val="8"/>
        <w:widowControl w:val="0"/>
        <w:adjustRightInd w:val="0"/>
        <w:snapToGrid w:val="0"/>
        <w:spacing w:line="560" w:lineRule="exact"/>
        <w:ind w:left="0" w:firstLine="551" w:firstLineChars="196"/>
        <w:jc w:val="both"/>
        <w:outlineLvl w:val="1"/>
        <w:rPr>
          <w:rFonts w:ascii="宋体" w:hAnsi="宋体" w:cs="宋体"/>
          <w:b/>
          <w:bCs/>
          <w:sz w:val="28"/>
          <w:szCs w:val="28"/>
        </w:rPr>
      </w:pPr>
      <w:bookmarkStart w:id="20" w:name="_Toc38971988"/>
      <w:r>
        <w:rPr>
          <w:rFonts w:hint="eastAsia" w:ascii="宋体" w:hAnsi="宋体" w:cs="宋体"/>
          <w:b/>
          <w:bCs/>
          <w:sz w:val="28"/>
          <w:szCs w:val="28"/>
        </w:rPr>
        <w:t>六、价值类型</w:t>
      </w:r>
      <w:bookmarkEnd w:id="20"/>
    </w:p>
    <w:p>
      <w:pPr>
        <w:spacing w:line="560" w:lineRule="exact"/>
        <w:ind w:firstLine="560" w:firstLineChars="200"/>
        <w:rPr>
          <w:rFonts w:ascii="宋体" w:hAnsi="宋体" w:cs="宋体"/>
          <w:sz w:val="28"/>
          <w:szCs w:val="28"/>
        </w:rPr>
      </w:pPr>
      <w:bookmarkStart w:id="21" w:name="_Toc363564625"/>
      <w:bookmarkStart w:id="22" w:name="_Toc362529614"/>
      <w:bookmarkStart w:id="23" w:name="_Toc378495836"/>
      <w:r>
        <w:rPr>
          <w:rFonts w:hint="eastAsia" w:ascii="宋体" w:hAnsi="宋体" w:cs="宋体"/>
          <w:sz w:val="28"/>
          <w:szCs w:val="28"/>
        </w:rPr>
        <w:t>房地产市场价值。估价中采用公开市场价值标准，即所评估出的客观合理价格应是在公开市场上最可能形成或成立的价格。不考虑抵押、查封等因素的影响。</w:t>
      </w:r>
    </w:p>
    <w:bookmarkEnd w:id="21"/>
    <w:bookmarkEnd w:id="22"/>
    <w:bookmarkEnd w:id="23"/>
    <w:p>
      <w:pPr>
        <w:pStyle w:val="8"/>
        <w:widowControl w:val="0"/>
        <w:adjustRightInd w:val="0"/>
        <w:snapToGrid w:val="0"/>
        <w:spacing w:beforeLines="50" w:line="560" w:lineRule="exact"/>
        <w:ind w:left="0" w:firstLine="516" w:firstLineChars="196"/>
        <w:jc w:val="both"/>
        <w:outlineLvl w:val="1"/>
        <w:rPr>
          <w:rFonts w:ascii="宋体" w:hAnsi="宋体" w:cs="宋体"/>
          <w:b/>
          <w:bCs/>
          <w:spacing w:val="-9"/>
          <w:sz w:val="28"/>
          <w:szCs w:val="28"/>
        </w:rPr>
      </w:pPr>
      <w:bookmarkStart w:id="24" w:name="_Toc38971989"/>
      <w:r>
        <w:rPr>
          <w:rFonts w:hint="eastAsia" w:ascii="宋体" w:hAnsi="宋体" w:cs="宋体"/>
          <w:b/>
          <w:bCs/>
          <w:spacing w:val="-9"/>
          <w:sz w:val="28"/>
          <w:szCs w:val="28"/>
        </w:rPr>
        <w:t>七、估价原则</w:t>
      </w:r>
      <w:bookmarkEnd w:id="24"/>
    </w:p>
    <w:p>
      <w:pPr>
        <w:spacing w:line="560" w:lineRule="exact"/>
        <w:ind w:firstLine="560" w:firstLineChars="200"/>
        <w:rPr>
          <w:rFonts w:ascii="宋体" w:cs="Times New Roman"/>
          <w:sz w:val="28"/>
          <w:szCs w:val="28"/>
        </w:rPr>
      </w:pPr>
      <w:r>
        <w:rPr>
          <w:rFonts w:hint="eastAsia" w:ascii="宋体" w:hAnsi="宋体" w:cs="宋体"/>
          <w:sz w:val="28"/>
          <w:szCs w:val="28"/>
        </w:rPr>
        <w:t>我们在本次估价时遵循了以下原则：</w:t>
      </w:r>
    </w:p>
    <w:p>
      <w:pPr>
        <w:spacing w:line="560" w:lineRule="exact"/>
        <w:ind w:firstLine="560" w:firstLineChars="200"/>
        <w:rPr>
          <w:rFonts w:ascii="宋体" w:cs="Times New Roman"/>
          <w:sz w:val="28"/>
          <w:szCs w:val="28"/>
        </w:rPr>
      </w:pPr>
      <w:r>
        <w:rPr>
          <w:rFonts w:hint="eastAsia" w:ascii="宋体" w:hAnsi="宋体" w:cs="宋体"/>
          <w:sz w:val="28"/>
          <w:szCs w:val="28"/>
        </w:rPr>
        <w:t>（一）、合法原则</w:t>
      </w:r>
    </w:p>
    <w:p>
      <w:pPr>
        <w:spacing w:line="560" w:lineRule="exact"/>
        <w:ind w:firstLine="560" w:firstLineChars="200"/>
        <w:rPr>
          <w:rFonts w:ascii="宋体" w:hAnsi="宋体" w:cs="宋体"/>
          <w:sz w:val="28"/>
          <w:szCs w:val="28"/>
        </w:rPr>
      </w:pPr>
      <w:r>
        <w:rPr>
          <w:rFonts w:hint="eastAsia" w:ascii="宋体" w:hAnsi="宋体" w:cs="宋体"/>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spacing w:line="560" w:lineRule="exact"/>
        <w:ind w:firstLine="560" w:firstLineChars="200"/>
        <w:rPr>
          <w:rFonts w:ascii="宋体" w:hAnsi="宋体" w:cs="宋体"/>
          <w:sz w:val="28"/>
          <w:szCs w:val="28"/>
        </w:rPr>
      </w:pPr>
      <w:r>
        <w:rPr>
          <w:rFonts w:hint="eastAsia" w:ascii="宋体" w:hAnsi="宋体" w:cs="宋体"/>
          <w:sz w:val="28"/>
          <w:szCs w:val="28"/>
        </w:rPr>
        <w:t>（二）、独立、客观、公正原则</w:t>
      </w:r>
    </w:p>
    <w:p>
      <w:pPr>
        <w:spacing w:line="560" w:lineRule="exact"/>
        <w:ind w:firstLine="560" w:firstLineChars="200"/>
        <w:rPr>
          <w:rFonts w:ascii="宋体" w:hAnsi="宋体" w:cs="宋体"/>
          <w:sz w:val="28"/>
          <w:szCs w:val="28"/>
        </w:rPr>
      </w:pPr>
      <w:r>
        <w:rPr>
          <w:rFonts w:hint="eastAsia" w:ascii="宋体" w:hAnsi="宋体" w:cs="宋体"/>
          <w:sz w:val="28"/>
          <w:szCs w:val="28"/>
        </w:rPr>
        <w:t>遵循独立客观公正原则，应站在中立的立场上实事求是、公平正直地评估出对各方估价利害关系人均是公平合理的价值。独立、客观、公正原则要求估价机构和注册房地产估价师站在中立的立场上，凭借估价专业知识、经验和应有的职业道德，按照估价对象的本来面目、实事求是、坚持原则、公平正直地进行估价。本次评估未受估价委托人在内任何单位和个人的干扰，没有偏袒相关当事人中的任何一方，本着各方当事人理性而谨慎并出于利己动机，以注册房地产估价师身份来反复、精细地权衡估价对象的评估价值。</w:t>
      </w:r>
    </w:p>
    <w:p>
      <w:pPr>
        <w:spacing w:line="560" w:lineRule="exact"/>
        <w:ind w:firstLine="560" w:firstLineChars="200"/>
        <w:rPr>
          <w:rFonts w:ascii="宋体" w:cs="Times New Roman"/>
          <w:sz w:val="28"/>
          <w:szCs w:val="28"/>
        </w:rPr>
      </w:pPr>
      <w:r>
        <w:rPr>
          <w:rFonts w:hint="eastAsia" w:ascii="宋体" w:hAnsi="宋体" w:cs="宋体"/>
          <w:sz w:val="28"/>
          <w:szCs w:val="28"/>
        </w:rPr>
        <w:t>（三）、最高最佳利用原则</w:t>
      </w:r>
    </w:p>
    <w:p>
      <w:pPr>
        <w:spacing w:line="560" w:lineRule="exact"/>
        <w:ind w:firstLine="560" w:firstLineChars="200"/>
        <w:rPr>
          <w:rFonts w:ascii="宋体" w:hAnsi="宋体" w:cs="宋体"/>
          <w:sz w:val="28"/>
          <w:szCs w:val="28"/>
        </w:rPr>
      </w:pPr>
      <w:r>
        <w:rPr>
          <w:rFonts w:hint="eastAsia" w:ascii="宋体" w:hAnsi="宋体" w:cs="宋体"/>
          <w:sz w:val="28"/>
          <w:szCs w:val="28"/>
        </w:rPr>
        <w:t>所谓最高最佳利用是估价对象一种最可能的利用，这种最可能的利用是法律上允许、技术上可能、财务上可行、经过充分合理的论证，并能给予估价对象价值最大化。它的一种具体表现，是以能使估价对象获利最多的用途和开发强度来衡量。最高最佳利用状况包括最佳的用途、规模和档次等。确定估价对象的最高最佳利用状况，应了解、分析估价对象的权利人或意向取得者对估价对象依法享有的开发利用权力。若两者的开发利用权利不同，应根据估价目的确定是从权利人角度还是从意向取得者角度进行估价，相应确定最高最佳利用状况。当估价对象已做了某种利用，估价时应根据最高最佳利用原则对估价前提做出下列之一的判断和选择，并在估价报告中说明。</w:t>
      </w:r>
    </w:p>
    <w:p>
      <w:pPr>
        <w:spacing w:line="560" w:lineRule="exact"/>
        <w:ind w:firstLine="560" w:firstLineChars="200"/>
        <w:rPr>
          <w:rFonts w:ascii="宋体" w:hAnsi="宋体" w:cs="宋体"/>
          <w:sz w:val="28"/>
          <w:szCs w:val="28"/>
        </w:rPr>
      </w:pPr>
      <w:r>
        <w:rPr>
          <w:rFonts w:hint="eastAsia" w:ascii="宋体" w:hAnsi="宋体" w:cs="宋体"/>
          <w:sz w:val="28"/>
          <w:szCs w:val="28"/>
        </w:rPr>
        <w:t>估价对象其合法批准用途为、建筑设计、平面布局及配套均与批准用途相符，已达到最佳利用状态，（本次估价维持现状前提：分析、判断维持现状、继续利用最为合理的，应以维持现状为前提进行估价）符合最高最佳利用原则。</w:t>
      </w:r>
    </w:p>
    <w:p>
      <w:pPr>
        <w:spacing w:line="560" w:lineRule="exact"/>
        <w:ind w:firstLine="420" w:firstLineChars="150"/>
        <w:rPr>
          <w:rFonts w:ascii="宋体" w:cs="Times New Roman"/>
          <w:sz w:val="28"/>
          <w:szCs w:val="28"/>
        </w:rPr>
      </w:pPr>
      <w:r>
        <w:rPr>
          <w:rFonts w:hint="eastAsia" w:ascii="宋体" w:hAnsi="宋体" w:cs="宋体"/>
          <w:sz w:val="28"/>
          <w:szCs w:val="28"/>
        </w:rPr>
        <w:t>（四）、替代原则</w:t>
      </w:r>
    </w:p>
    <w:p>
      <w:pPr>
        <w:spacing w:line="560" w:lineRule="exact"/>
        <w:ind w:firstLine="560" w:firstLineChars="200"/>
        <w:rPr>
          <w:rFonts w:ascii="宋体" w:cs="Times New Roman"/>
          <w:sz w:val="28"/>
          <w:szCs w:val="28"/>
        </w:rPr>
      </w:pPr>
      <w:r>
        <w:rPr>
          <w:rFonts w:hint="eastAsia" w:ascii="宋体" w:hAnsi="宋体" w:cs="宋体"/>
          <w:sz w:val="28"/>
          <w:szCs w:val="28"/>
        </w:rPr>
        <w:t>替代原则要求房地产估价结果应与类似房地产在同等条件下的价值偏差在合理范围内。其理论依据是同一市场上相同物品具有相同市场价值的经济学原理。替代原则是保证房地产估价能够运用市场资料进行和完成的重要理论前提。本次评估中，比较法选取具有替代性的案例就遵循了替代原则。</w:t>
      </w:r>
    </w:p>
    <w:p>
      <w:pPr>
        <w:spacing w:line="560" w:lineRule="exact"/>
        <w:ind w:firstLine="560" w:firstLineChars="200"/>
        <w:rPr>
          <w:rFonts w:ascii="宋体" w:cs="Times New Roman"/>
          <w:sz w:val="28"/>
          <w:szCs w:val="28"/>
        </w:rPr>
      </w:pPr>
      <w:r>
        <w:rPr>
          <w:rFonts w:hint="eastAsia" w:ascii="宋体" w:hAnsi="宋体" w:cs="宋体"/>
          <w:sz w:val="28"/>
          <w:szCs w:val="28"/>
        </w:rPr>
        <w:t>（五）、价值时点原则</w:t>
      </w:r>
    </w:p>
    <w:p>
      <w:pPr>
        <w:spacing w:line="560" w:lineRule="exact"/>
        <w:ind w:firstLine="560" w:firstLineChars="200"/>
        <w:rPr>
          <w:rFonts w:ascii="宋体" w:hAnsi="宋体" w:cs="宋体"/>
          <w:sz w:val="28"/>
          <w:szCs w:val="28"/>
        </w:rPr>
      </w:pPr>
      <w:r>
        <w:rPr>
          <w:rFonts w:hint="eastAsia" w:ascii="宋体" w:hAnsi="宋体" w:cs="宋体"/>
          <w:sz w:val="28"/>
          <w:szCs w:val="28"/>
        </w:rPr>
        <w:t>价值时点原则要求房地产估价结果应是在由估价目的确定的某一特定日期的价值。价值时点原则强调的是估价结论具有很强的时间相关性和时效性。估价结论首先具有很强的时间相关性，这是考虑到资金的时间价值，在不同的时间点上发生的现金流量对其价值影响是不同的。估价结论同时具有很强的时效性，这是考虑到房地产市场的波动性，同一估价对象在不同时点会具有不同的市场价格。所以在评估一宗房地产的价格时，必须假定市场停止在价值时点上，同时估价对象房地产的状况通常也是以其在该时点时的状况为准。</w:t>
      </w:r>
    </w:p>
    <w:p>
      <w:pPr>
        <w:pStyle w:val="8"/>
        <w:widowControl w:val="0"/>
        <w:adjustRightInd w:val="0"/>
        <w:snapToGrid w:val="0"/>
        <w:spacing w:line="560" w:lineRule="exact"/>
        <w:ind w:left="0" w:firstLine="516" w:firstLineChars="196"/>
        <w:jc w:val="both"/>
        <w:outlineLvl w:val="1"/>
        <w:rPr>
          <w:rFonts w:ascii="宋体" w:hAnsi="宋体" w:cs="宋体"/>
          <w:b/>
          <w:bCs/>
          <w:spacing w:val="-9"/>
          <w:sz w:val="28"/>
          <w:szCs w:val="28"/>
        </w:rPr>
      </w:pPr>
      <w:bookmarkStart w:id="25" w:name="_Toc38971990"/>
      <w:r>
        <w:rPr>
          <w:rFonts w:hint="eastAsia" w:ascii="宋体" w:hAnsi="宋体" w:cs="宋体"/>
          <w:b/>
          <w:bCs/>
          <w:spacing w:val="-9"/>
          <w:sz w:val="28"/>
          <w:szCs w:val="28"/>
        </w:rPr>
        <w:t>八、价值依据</w:t>
      </w:r>
      <w:bookmarkEnd w:id="25"/>
    </w:p>
    <w:p>
      <w:pPr>
        <w:spacing w:line="560" w:lineRule="exact"/>
        <w:ind w:firstLine="560" w:firstLineChars="200"/>
        <w:rPr>
          <w:rFonts w:ascii="宋体" w:hAnsi="宋体" w:cs="宋体"/>
          <w:sz w:val="28"/>
          <w:szCs w:val="28"/>
        </w:rPr>
      </w:pPr>
      <w:r>
        <w:rPr>
          <w:rFonts w:hint="eastAsia" w:ascii="宋体" w:hAnsi="宋体" w:cs="宋体"/>
          <w:sz w:val="28"/>
          <w:szCs w:val="28"/>
        </w:rPr>
        <w:t>（一）、有关法律、法规和政策性文件</w:t>
      </w:r>
    </w:p>
    <w:p>
      <w:pPr>
        <w:spacing w:line="560" w:lineRule="exact"/>
        <w:ind w:firstLine="560" w:firstLineChars="200"/>
        <w:rPr>
          <w:rFonts w:ascii="宋体" w:cs="Times New Roman"/>
          <w:sz w:val="28"/>
          <w:szCs w:val="28"/>
        </w:rPr>
      </w:pPr>
      <w:r>
        <w:rPr>
          <w:rFonts w:hint="eastAsia" w:ascii="宋体" w:hAnsi="宋体" w:cs="宋体"/>
          <w:sz w:val="28"/>
          <w:szCs w:val="28"/>
        </w:rPr>
        <w:t>1、《中华人民共和国物权法》（2007年3月16日中华人民共和国主席令第62号公布）；</w:t>
      </w:r>
    </w:p>
    <w:p>
      <w:pPr>
        <w:spacing w:line="560" w:lineRule="exact"/>
        <w:ind w:firstLine="560" w:firstLineChars="200"/>
        <w:rPr>
          <w:rFonts w:ascii="宋体" w:cs="Times New Roman"/>
          <w:sz w:val="28"/>
          <w:szCs w:val="28"/>
        </w:rPr>
      </w:pPr>
      <w:r>
        <w:rPr>
          <w:rFonts w:hint="eastAsia" w:ascii="宋体" w:hAnsi="宋体" w:cs="宋体"/>
          <w:sz w:val="28"/>
          <w:szCs w:val="28"/>
        </w:rPr>
        <w:t>2、《中华人民共和国城市房地产管理法》(2007年8月30日中华人民共和国主席令第72号公布)；</w:t>
      </w:r>
    </w:p>
    <w:p>
      <w:pPr>
        <w:spacing w:line="560" w:lineRule="exact"/>
        <w:ind w:firstLine="560" w:firstLineChars="200"/>
        <w:rPr>
          <w:rFonts w:ascii="宋体" w:cs="Times New Roman"/>
          <w:sz w:val="28"/>
          <w:szCs w:val="28"/>
        </w:rPr>
      </w:pPr>
      <w:r>
        <w:rPr>
          <w:rFonts w:hint="eastAsia" w:ascii="宋体" w:hAnsi="宋体" w:cs="宋体"/>
          <w:sz w:val="28"/>
          <w:szCs w:val="28"/>
        </w:rPr>
        <w:t>3、《中华人民共和国土地管理法》（2004年8月28日中华人民共和国主席令第28号公布）；</w:t>
      </w:r>
    </w:p>
    <w:p>
      <w:pPr>
        <w:spacing w:line="560" w:lineRule="exact"/>
        <w:ind w:firstLine="560" w:firstLineChars="200"/>
        <w:rPr>
          <w:rFonts w:ascii="宋体" w:cs="Times New Roman"/>
          <w:sz w:val="28"/>
          <w:szCs w:val="28"/>
        </w:rPr>
      </w:pPr>
      <w:r>
        <w:rPr>
          <w:rFonts w:hint="eastAsia" w:ascii="宋体" w:hAnsi="宋体" w:cs="宋体"/>
          <w:sz w:val="28"/>
          <w:szCs w:val="28"/>
        </w:rPr>
        <w:t>4、《中华人民共和国资产评估法》（2016年7月2日中华人民共和国主席令第46号公布）；</w:t>
      </w:r>
    </w:p>
    <w:p>
      <w:pPr>
        <w:spacing w:line="560" w:lineRule="exact"/>
        <w:ind w:firstLine="560" w:firstLineChars="200"/>
        <w:rPr>
          <w:rFonts w:ascii="宋体" w:hAnsi="宋体" w:cs="宋体"/>
          <w:sz w:val="28"/>
          <w:szCs w:val="28"/>
        </w:rPr>
      </w:pPr>
      <w:r>
        <w:rPr>
          <w:rFonts w:hint="eastAsia" w:ascii="宋体" w:hAnsi="宋体" w:cs="宋体"/>
          <w:sz w:val="28"/>
          <w:szCs w:val="28"/>
        </w:rPr>
        <w:t>5、《中华人民共和国城镇国有土地使用权出让和转让暂行条例》（1990年5月19日国务院[90]55号令；</w:t>
      </w:r>
    </w:p>
    <w:p>
      <w:pPr>
        <w:spacing w:line="560" w:lineRule="exact"/>
        <w:ind w:firstLine="560" w:firstLineChars="200"/>
        <w:rPr>
          <w:rFonts w:ascii="宋体" w:hAnsi="宋体" w:cs="宋体"/>
          <w:sz w:val="28"/>
          <w:szCs w:val="28"/>
        </w:rPr>
      </w:pPr>
      <w:r>
        <w:rPr>
          <w:rFonts w:hint="eastAsia" w:ascii="宋体" w:hAnsi="宋体" w:cs="宋体"/>
          <w:sz w:val="28"/>
          <w:szCs w:val="28"/>
        </w:rPr>
        <w:t>6、《中华人民共和国契税暂行条例》（中华人民共和国国务院令第224号、1997年10月1日起施行）；</w:t>
      </w:r>
    </w:p>
    <w:p>
      <w:pPr>
        <w:spacing w:line="560" w:lineRule="exact"/>
        <w:ind w:firstLine="560" w:firstLineChars="200"/>
        <w:rPr>
          <w:rFonts w:ascii="宋体" w:hAnsi="宋体" w:cs="宋体"/>
          <w:sz w:val="28"/>
          <w:szCs w:val="28"/>
        </w:rPr>
      </w:pPr>
      <w:r>
        <w:rPr>
          <w:rFonts w:hint="eastAsia" w:ascii="宋体" w:hAnsi="宋体" w:cs="宋体"/>
          <w:sz w:val="28"/>
          <w:szCs w:val="28"/>
        </w:rPr>
        <w:t>7、《中华人民共和国城市维护建设税暂行条例》（</w:t>
      </w:r>
      <w:r>
        <w:rPr>
          <w:rFonts w:ascii="宋体" w:hAnsi="宋体" w:cs="宋体"/>
          <w:sz w:val="28"/>
          <w:szCs w:val="28"/>
        </w:rPr>
        <w:t>国务院令第588号</w:t>
      </w:r>
      <w:r>
        <w:rPr>
          <w:rFonts w:hint="eastAsia" w:ascii="宋体" w:hAnsi="宋体" w:cs="宋体"/>
          <w:sz w:val="28"/>
          <w:szCs w:val="28"/>
        </w:rPr>
        <w:t>，自1</w:t>
      </w:r>
      <w:r>
        <w:rPr>
          <w:rFonts w:ascii="宋体" w:hAnsi="宋体" w:cs="宋体"/>
          <w:sz w:val="28"/>
          <w:szCs w:val="28"/>
        </w:rPr>
        <w:t>985</w:t>
      </w:r>
      <w:r>
        <w:rPr>
          <w:rFonts w:hint="eastAsia" w:ascii="宋体" w:hAnsi="宋体" w:cs="宋体"/>
          <w:sz w:val="28"/>
          <w:szCs w:val="28"/>
        </w:rPr>
        <w:t>年度起施行）；</w:t>
      </w:r>
    </w:p>
    <w:p>
      <w:pPr>
        <w:spacing w:line="560" w:lineRule="exact"/>
        <w:ind w:firstLine="560" w:firstLineChars="200"/>
        <w:rPr>
          <w:rFonts w:ascii="宋体" w:hAnsi="宋体" w:cs="宋体"/>
          <w:sz w:val="28"/>
          <w:szCs w:val="28"/>
        </w:rPr>
      </w:pPr>
      <w:r>
        <w:rPr>
          <w:rFonts w:hint="eastAsia" w:ascii="宋体" w:hAnsi="宋体" w:cs="宋体"/>
          <w:sz w:val="28"/>
          <w:szCs w:val="28"/>
        </w:rPr>
        <w:t>8、《国务院关于修改〈征收教育费附加的暂行规定〉的决定》（中华人民共和国国务院令第448号、2005年10月1日起施行）；</w:t>
      </w:r>
    </w:p>
    <w:p>
      <w:pPr>
        <w:spacing w:line="560" w:lineRule="exact"/>
        <w:ind w:firstLine="560" w:firstLineChars="200"/>
        <w:rPr>
          <w:rFonts w:ascii="宋体" w:hAnsi="宋体" w:cs="宋体"/>
          <w:sz w:val="28"/>
          <w:szCs w:val="28"/>
        </w:rPr>
      </w:pPr>
      <w:r>
        <w:rPr>
          <w:rFonts w:hint="eastAsia" w:ascii="宋体" w:hAnsi="宋体" w:cs="宋体"/>
          <w:sz w:val="28"/>
          <w:szCs w:val="28"/>
        </w:rPr>
        <w:t>9、《</w:t>
      </w:r>
      <w:r>
        <w:rPr>
          <w:rFonts w:hint="eastAsia" w:ascii="宋体" w:hAnsi="宋体" w:cs="宋体"/>
          <w:bCs/>
          <w:sz w:val="28"/>
          <w:szCs w:val="28"/>
        </w:rPr>
        <w:t>中华人民共和国印花税暂行条例</w:t>
      </w:r>
      <w:r>
        <w:rPr>
          <w:rFonts w:hint="eastAsia" w:ascii="宋体" w:hAnsi="宋体" w:cs="宋体"/>
          <w:sz w:val="28"/>
          <w:szCs w:val="28"/>
        </w:rPr>
        <w:t>》（国务院</w:t>
      </w:r>
      <w:r>
        <w:rPr>
          <w:rFonts w:ascii="宋体" w:hAnsi="宋体" w:cs="宋体"/>
          <w:sz w:val="28"/>
          <w:szCs w:val="28"/>
        </w:rPr>
        <w:t>令</w:t>
      </w:r>
      <w:r>
        <w:rPr>
          <w:rFonts w:hint="eastAsia" w:ascii="宋体" w:hAnsi="宋体" w:cs="宋体"/>
          <w:sz w:val="28"/>
          <w:szCs w:val="28"/>
        </w:rPr>
        <w:t>[198</w:t>
      </w:r>
      <w:r>
        <w:rPr>
          <w:rFonts w:ascii="宋体" w:hAnsi="宋体" w:cs="宋体"/>
          <w:sz w:val="28"/>
          <w:szCs w:val="28"/>
        </w:rPr>
        <w:t>8</w:t>
      </w:r>
      <w:r>
        <w:rPr>
          <w:rFonts w:hint="eastAsia" w:ascii="宋体" w:hAnsi="宋体" w:cs="宋体"/>
          <w:sz w:val="28"/>
          <w:szCs w:val="28"/>
        </w:rPr>
        <w:t>]第</w:t>
      </w:r>
      <w:r>
        <w:rPr>
          <w:rFonts w:ascii="宋体" w:hAnsi="宋体" w:cs="宋体"/>
          <w:sz w:val="28"/>
          <w:szCs w:val="28"/>
        </w:rPr>
        <w:t>11</w:t>
      </w:r>
      <w:r>
        <w:rPr>
          <w:rFonts w:hint="eastAsia" w:ascii="宋体" w:hAnsi="宋体" w:cs="宋体"/>
          <w:sz w:val="28"/>
          <w:szCs w:val="28"/>
        </w:rPr>
        <w:t>号、自1996年10月1日起施行、2011年1月8日修订）；</w:t>
      </w:r>
    </w:p>
    <w:p>
      <w:pPr>
        <w:spacing w:line="560" w:lineRule="exact"/>
        <w:ind w:firstLine="560" w:firstLineChars="200"/>
        <w:rPr>
          <w:rFonts w:ascii="宋体" w:hAnsi="宋体" w:cs="宋体"/>
          <w:sz w:val="28"/>
          <w:szCs w:val="28"/>
        </w:rPr>
      </w:pPr>
      <w:r>
        <w:rPr>
          <w:rFonts w:hint="eastAsia" w:ascii="宋体" w:hAnsi="宋体" w:cs="宋体"/>
          <w:sz w:val="28"/>
          <w:szCs w:val="28"/>
        </w:rPr>
        <w:t>10、《中华人民共和国印花税暂行条例施行细则》（财税(1988) 255号、1996年</w:t>
      </w:r>
      <w:r>
        <w:rPr>
          <w:rFonts w:ascii="宋体" w:hAnsi="宋体" w:cs="宋体"/>
          <w:sz w:val="28"/>
          <w:szCs w:val="28"/>
        </w:rPr>
        <w:t>10</w:t>
      </w:r>
      <w:r>
        <w:rPr>
          <w:rFonts w:hint="eastAsia" w:ascii="宋体" w:hAnsi="宋体" w:cs="宋体"/>
          <w:sz w:val="28"/>
          <w:szCs w:val="28"/>
        </w:rPr>
        <w:t>月</w:t>
      </w:r>
      <w:r>
        <w:rPr>
          <w:rFonts w:ascii="宋体" w:hAnsi="宋体" w:cs="宋体"/>
          <w:sz w:val="28"/>
          <w:szCs w:val="28"/>
        </w:rPr>
        <w:t>1</w:t>
      </w:r>
      <w:r>
        <w:rPr>
          <w:rFonts w:hint="eastAsia" w:ascii="宋体" w:hAnsi="宋体" w:cs="宋体"/>
          <w:sz w:val="28"/>
          <w:szCs w:val="28"/>
        </w:rPr>
        <w:t>日起施行）；</w:t>
      </w:r>
    </w:p>
    <w:p>
      <w:pPr>
        <w:spacing w:line="560" w:lineRule="exact"/>
        <w:ind w:firstLine="560" w:firstLineChars="200"/>
        <w:rPr>
          <w:rFonts w:ascii="宋体" w:hAnsi="宋体" w:cs="宋体"/>
          <w:sz w:val="28"/>
          <w:szCs w:val="28"/>
        </w:rPr>
      </w:pPr>
      <w:r>
        <w:rPr>
          <w:rFonts w:hint="eastAsia" w:ascii="宋体" w:hAnsi="宋体" w:cs="宋体"/>
          <w:sz w:val="28"/>
          <w:szCs w:val="28"/>
        </w:rPr>
        <w:t>11、《关于全面推开营业税改征增值税试点的通知》（财税（2016）36号、自2016年5月1日起施行）;</w:t>
      </w:r>
    </w:p>
    <w:p>
      <w:pPr>
        <w:spacing w:line="560" w:lineRule="exact"/>
        <w:ind w:firstLine="560" w:firstLineChars="200"/>
        <w:rPr>
          <w:rFonts w:ascii="宋体" w:hAnsi="宋体" w:cs="宋体"/>
          <w:sz w:val="28"/>
          <w:szCs w:val="28"/>
        </w:rPr>
      </w:pPr>
      <w:r>
        <w:rPr>
          <w:rFonts w:hint="eastAsia" w:ascii="宋体" w:hAnsi="宋体" w:cs="宋体"/>
          <w:sz w:val="28"/>
          <w:szCs w:val="28"/>
        </w:rPr>
        <w:t>12、《财政部关于统一地方教育附加政策有关问题的通知》（财综（2010）98号、2010年11月7日起施行）；</w:t>
      </w:r>
    </w:p>
    <w:p>
      <w:pPr>
        <w:spacing w:line="560" w:lineRule="exact"/>
        <w:ind w:firstLine="560" w:firstLineChars="200"/>
        <w:rPr>
          <w:rFonts w:ascii="宋体" w:hAnsi="宋体" w:cs="宋体"/>
          <w:sz w:val="28"/>
          <w:szCs w:val="28"/>
        </w:rPr>
      </w:pPr>
      <w:r>
        <w:rPr>
          <w:rFonts w:hint="eastAsia" w:ascii="宋体" w:hAnsi="宋体" w:cs="宋体"/>
          <w:sz w:val="28"/>
          <w:szCs w:val="28"/>
        </w:rPr>
        <w:t>13、《关于营改增后契税、房产税、土地增值税、个人所得税计税依据问题的通知》（财税（2016）43号、自2016年5月1日起施行）；</w:t>
      </w:r>
    </w:p>
    <w:p>
      <w:pPr>
        <w:spacing w:line="560" w:lineRule="exact"/>
        <w:ind w:firstLine="560" w:firstLineChars="200"/>
        <w:rPr>
          <w:rFonts w:ascii="宋体" w:hAnsi="宋体" w:cs="宋体"/>
          <w:sz w:val="28"/>
          <w:szCs w:val="28"/>
        </w:rPr>
      </w:pPr>
      <w:r>
        <w:rPr>
          <w:rFonts w:hint="eastAsia" w:ascii="宋体" w:hAnsi="宋体" w:cs="宋体"/>
          <w:sz w:val="28"/>
          <w:szCs w:val="28"/>
        </w:rPr>
        <w:t>14、《印花税管理规程（试行）</w:t>
      </w:r>
      <w:r>
        <w:rPr>
          <w:rFonts w:ascii="宋体" w:hAnsi="宋体" w:cs="宋体"/>
          <w:sz w:val="28"/>
          <w:szCs w:val="28"/>
        </w:rPr>
        <w:t>》</w:t>
      </w:r>
      <w:r>
        <w:rPr>
          <w:rFonts w:hint="eastAsia" w:ascii="宋体" w:hAnsi="宋体" w:cs="宋体"/>
          <w:sz w:val="28"/>
          <w:szCs w:val="28"/>
        </w:rPr>
        <w:t>（国家税务总局公告2016年第77号，</w:t>
      </w:r>
      <w:r>
        <w:rPr>
          <w:rFonts w:ascii="宋体" w:hAnsi="宋体" w:cs="宋体"/>
          <w:sz w:val="28"/>
          <w:szCs w:val="28"/>
        </w:rPr>
        <w:t>2017年</w:t>
      </w:r>
      <w:r>
        <w:rPr>
          <w:rFonts w:hint="eastAsia" w:ascii="宋体" w:hAnsi="宋体" w:cs="宋体"/>
          <w:sz w:val="28"/>
          <w:szCs w:val="28"/>
        </w:rPr>
        <w:t>2月12日</w:t>
      </w:r>
      <w:r>
        <w:rPr>
          <w:rFonts w:ascii="宋体" w:hAnsi="宋体" w:cs="宋体"/>
          <w:sz w:val="28"/>
          <w:szCs w:val="28"/>
        </w:rPr>
        <w:t>起实施）</w:t>
      </w:r>
      <w:r>
        <w:rPr>
          <w:rFonts w:hint="eastAsia" w:ascii="宋体" w:hAnsi="宋体" w:cs="宋体"/>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15、《最高人民法院关于人民法院确定财产处置参考价若干问题的规定》（法释[</w:t>
      </w:r>
      <w:r>
        <w:rPr>
          <w:rFonts w:ascii="宋体" w:hAnsi="宋体" w:cs="宋体"/>
          <w:sz w:val="28"/>
          <w:szCs w:val="28"/>
        </w:rPr>
        <w:t>2018]15</w:t>
      </w:r>
      <w:r>
        <w:rPr>
          <w:rFonts w:hint="eastAsia" w:ascii="宋体" w:hAnsi="宋体" w:cs="宋体"/>
          <w:sz w:val="28"/>
          <w:szCs w:val="28"/>
        </w:rPr>
        <w:t>号）；</w:t>
      </w:r>
    </w:p>
    <w:p>
      <w:pPr>
        <w:spacing w:line="560" w:lineRule="exact"/>
        <w:ind w:left="567"/>
        <w:rPr>
          <w:rFonts w:ascii="宋体" w:hAnsi="宋体" w:cs="宋体"/>
          <w:sz w:val="28"/>
          <w:szCs w:val="28"/>
        </w:rPr>
      </w:pPr>
      <w:r>
        <w:rPr>
          <w:rFonts w:hint="eastAsia" w:ascii="宋体" w:hAnsi="宋体" w:cs="宋体"/>
          <w:sz w:val="28"/>
          <w:szCs w:val="28"/>
        </w:rPr>
        <w:t>16、《人民法院委托评估工作规范》（2</w:t>
      </w:r>
      <w:r>
        <w:rPr>
          <w:rFonts w:ascii="宋体" w:hAnsi="宋体" w:cs="宋体"/>
          <w:sz w:val="28"/>
          <w:szCs w:val="28"/>
        </w:rPr>
        <w:t>018</w:t>
      </w:r>
      <w:r>
        <w:rPr>
          <w:rFonts w:hint="eastAsia" w:ascii="宋体" w:hAnsi="宋体" w:cs="宋体"/>
          <w:sz w:val="28"/>
          <w:szCs w:val="28"/>
        </w:rPr>
        <w:t>年1</w:t>
      </w:r>
      <w:r>
        <w:rPr>
          <w:rFonts w:ascii="宋体" w:hAnsi="宋体" w:cs="宋体"/>
          <w:sz w:val="28"/>
          <w:szCs w:val="28"/>
        </w:rPr>
        <w:t>2</w:t>
      </w:r>
      <w:r>
        <w:rPr>
          <w:rFonts w:hint="eastAsia" w:ascii="宋体" w:hAnsi="宋体" w:cs="宋体"/>
          <w:sz w:val="28"/>
          <w:szCs w:val="28"/>
        </w:rPr>
        <w:t>月1</w:t>
      </w:r>
      <w:r>
        <w:rPr>
          <w:rFonts w:ascii="宋体" w:hAnsi="宋体" w:cs="宋体"/>
          <w:sz w:val="28"/>
          <w:szCs w:val="28"/>
        </w:rPr>
        <w:t>0</w:t>
      </w:r>
      <w:r>
        <w:rPr>
          <w:rFonts w:hint="eastAsia" w:ascii="宋体" w:hAnsi="宋体" w:cs="宋体"/>
          <w:sz w:val="28"/>
          <w:szCs w:val="28"/>
        </w:rPr>
        <w:t>日）。</w:t>
      </w:r>
    </w:p>
    <w:p>
      <w:pPr>
        <w:spacing w:line="560" w:lineRule="exact"/>
        <w:ind w:firstLine="560" w:firstLineChars="200"/>
        <w:rPr>
          <w:rFonts w:ascii="宋体" w:hAnsi="宋体" w:cs="宋体"/>
          <w:sz w:val="28"/>
          <w:szCs w:val="28"/>
        </w:rPr>
      </w:pPr>
      <w:r>
        <w:rPr>
          <w:rFonts w:hint="eastAsia" w:ascii="宋体" w:hAnsi="宋体" w:cs="宋体"/>
          <w:sz w:val="28"/>
          <w:szCs w:val="28"/>
        </w:rPr>
        <w:t>（二）、技术标准、规程、规范</w:t>
      </w:r>
    </w:p>
    <w:p>
      <w:pPr>
        <w:spacing w:line="560" w:lineRule="exact"/>
        <w:ind w:firstLine="560" w:firstLineChars="200"/>
        <w:rPr>
          <w:rFonts w:ascii="宋体" w:hAnsi="宋体" w:cs="宋体"/>
          <w:sz w:val="28"/>
          <w:szCs w:val="28"/>
        </w:rPr>
      </w:pPr>
      <w:r>
        <w:rPr>
          <w:rFonts w:hint="eastAsia" w:ascii="宋体" w:hAnsi="宋体" w:cs="宋体"/>
          <w:sz w:val="28"/>
          <w:szCs w:val="28"/>
        </w:rPr>
        <w:t>1、《房地产估价规范》（中华人民共和国国家标准</w:t>
      </w:r>
      <w:r>
        <w:rPr>
          <w:rFonts w:ascii="宋体" w:hAnsi="宋体" w:cs="宋体"/>
          <w:sz w:val="28"/>
          <w:szCs w:val="28"/>
        </w:rPr>
        <w:t>GB/T50291-</w:t>
      </w:r>
      <w:r>
        <w:rPr>
          <w:rFonts w:hint="eastAsia" w:ascii="宋体" w:hAnsi="宋体" w:cs="宋体"/>
          <w:sz w:val="28"/>
          <w:szCs w:val="28"/>
        </w:rPr>
        <w:t>2015）；</w:t>
      </w:r>
    </w:p>
    <w:p>
      <w:pPr>
        <w:spacing w:line="560" w:lineRule="exact"/>
        <w:ind w:firstLine="560" w:firstLineChars="200"/>
        <w:rPr>
          <w:rFonts w:ascii="宋体" w:hAnsi="宋体" w:cs="宋体"/>
          <w:sz w:val="28"/>
          <w:szCs w:val="28"/>
        </w:rPr>
      </w:pPr>
      <w:r>
        <w:rPr>
          <w:rFonts w:hint="eastAsia" w:ascii="宋体" w:hAnsi="宋体" w:cs="宋体"/>
          <w:sz w:val="28"/>
          <w:szCs w:val="28"/>
        </w:rPr>
        <w:t>2、《房地产估价基本术语标准》（中华人民共和国国家标准</w:t>
      </w:r>
      <w:r>
        <w:rPr>
          <w:rFonts w:ascii="宋体" w:hAnsi="宋体" w:cs="宋体"/>
          <w:sz w:val="28"/>
          <w:szCs w:val="28"/>
        </w:rPr>
        <w:t>GB/T50899-2013</w:t>
      </w:r>
      <w:r>
        <w:rPr>
          <w:rFonts w:hint="eastAsia" w:ascii="宋体" w:hAnsi="宋体" w:cs="宋体"/>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3、</w:t>
      </w:r>
      <w:r>
        <w:rPr>
          <w:rFonts w:hint="eastAsia" w:ascii="宋体" w:hAnsi="宋体" w:cs="宋体"/>
          <w:spacing w:val="-9"/>
          <w:sz w:val="28"/>
          <w:szCs w:val="28"/>
        </w:rPr>
        <w:t>《司法鉴定程序通则》（司法部令第132号）及其司法解释。</w:t>
      </w:r>
    </w:p>
    <w:p>
      <w:pPr>
        <w:spacing w:line="560" w:lineRule="exact"/>
        <w:ind w:firstLine="560" w:firstLineChars="200"/>
        <w:rPr>
          <w:rFonts w:ascii="宋体" w:hAnsi="宋体" w:cs="宋体"/>
          <w:sz w:val="28"/>
          <w:szCs w:val="28"/>
        </w:rPr>
      </w:pPr>
      <w:r>
        <w:rPr>
          <w:rFonts w:hint="eastAsia" w:ascii="宋体" w:hAnsi="宋体" w:cs="宋体"/>
          <w:sz w:val="28"/>
          <w:szCs w:val="28"/>
        </w:rPr>
        <w:t>（三）、其他与估价项目相关资料</w:t>
      </w:r>
    </w:p>
    <w:p>
      <w:pPr>
        <w:spacing w:line="560" w:lineRule="exact"/>
        <w:ind w:firstLine="560" w:firstLineChars="200"/>
        <w:rPr>
          <w:rFonts w:ascii="宋体" w:hAnsi="宋体" w:cs="宋体"/>
          <w:sz w:val="28"/>
          <w:szCs w:val="28"/>
        </w:rPr>
      </w:pPr>
      <w:r>
        <w:rPr>
          <w:rFonts w:hint="eastAsia" w:ascii="宋体" w:hAnsi="宋体" w:cs="宋体"/>
          <w:sz w:val="28"/>
          <w:szCs w:val="28"/>
        </w:rPr>
        <w:t>1、昆明市中级人民法院司法技术处评估鉴定机构选定通知书；</w:t>
      </w:r>
    </w:p>
    <w:p>
      <w:pPr>
        <w:spacing w:line="560" w:lineRule="exact"/>
        <w:ind w:firstLine="560" w:firstLineChars="200"/>
        <w:rPr>
          <w:rFonts w:ascii="宋体" w:hAnsi="宋体" w:cs="宋体"/>
          <w:sz w:val="28"/>
          <w:szCs w:val="28"/>
        </w:rPr>
      </w:pPr>
      <w:r>
        <w:rPr>
          <w:rFonts w:hint="eastAsia" w:ascii="宋体" w:hAnsi="宋体" w:cs="宋体"/>
          <w:sz w:val="28"/>
          <w:szCs w:val="28"/>
        </w:rPr>
        <w:t>2、昆明市中级人民法院司法技术评估委托书；</w:t>
      </w:r>
    </w:p>
    <w:p>
      <w:pPr>
        <w:spacing w:line="560" w:lineRule="exact"/>
        <w:ind w:firstLine="560" w:firstLineChars="200"/>
        <w:rPr>
          <w:rFonts w:ascii="宋体" w:hAnsi="宋体" w:cs="宋体"/>
          <w:sz w:val="28"/>
          <w:szCs w:val="28"/>
        </w:rPr>
      </w:pPr>
      <w:r>
        <w:rPr>
          <w:rFonts w:hint="eastAsia" w:ascii="宋体" w:hAnsi="宋体" w:cs="宋体"/>
          <w:sz w:val="28"/>
          <w:szCs w:val="28"/>
        </w:rPr>
        <w:t>3、评估财产清单、</w:t>
      </w:r>
      <w:r>
        <w:rPr>
          <w:rFonts w:hint="eastAsia" w:ascii="宋体" w:hAnsi="宋体" w:cs="宋体"/>
          <w:bCs/>
          <w:sz w:val="28"/>
          <w:szCs w:val="28"/>
        </w:rPr>
        <w:t>“汇海佳苑未备案房源（地下车位）”</w:t>
      </w:r>
      <w:r>
        <w:rPr>
          <w:rFonts w:hint="eastAsia" w:ascii="宋体" w:hAnsi="宋体" w:cs="宋体"/>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4、</w:t>
      </w:r>
      <w:r>
        <w:rPr>
          <w:rFonts w:hint="eastAsia" w:ascii="宋体" w:hAnsi="宋体" w:cs="宋体"/>
          <w:bCs/>
          <w:sz w:val="28"/>
          <w:szCs w:val="28"/>
        </w:rPr>
        <w:t>“关于汇海佳苑小区房产（未备案登记房源）及查封情况调查回复的函”</w:t>
      </w:r>
      <w:r>
        <w:rPr>
          <w:rFonts w:hint="eastAsia" w:ascii="宋体" w:hAnsi="宋体" w:cs="宋体"/>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5、汇海佳苑小区地块权益信息查询记录；</w:t>
      </w:r>
    </w:p>
    <w:p>
      <w:pPr>
        <w:spacing w:line="560" w:lineRule="exact"/>
        <w:ind w:firstLine="560" w:firstLineChars="200"/>
        <w:rPr>
          <w:rFonts w:ascii="宋体" w:hAnsi="宋体" w:cs="宋体"/>
          <w:sz w:val="28"/>
          <w:szCs w:val="28"/>
        </w:rPr>
      </w:pPr>
      <w:r>
        <w:rPr>
          <w:rFonts w:hint="eastAsia" w:ascii="宋体" w:hAnsi="宋体" w:cs="宋体"/>
          <w:sz w:val="28"/>
          <w:szCs w:val="28"/>
        </w:rPr>
        <w:t>6、估价对象物业缴费情况及缴费标准调查记录；</w:t>
      </w:r>
    </w:p>
    <w:p>
      <w:pPr>
        <w:spacing w:line="560" w:lineRule="exact"/>
        <w:ind w:firstLine="560" w:firstLineChars="200"/>
        <w:rPr>
          <w:rFonts w:ascii="宋体" w:hAnsi="宋体" w:cs="宋体"/>
          <w:sz w:val="28"/>
          <w:szCs w:val="28"/>
        </w:rPr>
      </w:pPr>
      <w:r>
        <w:rPr>
          <w:rFonts w:hint="eastAsia" w:ascii="宋体" w:hAnsi="宋体" w:cs="宋体"/>
          <w:sz w:val="28"/>
          <w:szCs w:val="28"/>
        </w:rPr>
        <w:t>7、</w:t>
      </w:r>
      <w:r>
        <w:rPr>
          <w:rFonts w:hint="eastAsia" w:ascii="宋体" w:hAnsi="宋体" w:cs="宋体"/>
          <w:bCs/>
          <w:sz w:val="28"/>
          <w:szCs w:val="28"/>
        </w:rPr>
        <w:t>估价对象I-9号非住宅平面图</w:t>
      </w:r>
      <w:r>
        <w:rPr>
          <w:rFonts w:hint="eastAsia" w:ascii="宋体" w:hAnsi="宋体" w:cs="宋体"/>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8、估价委托人提供的其他相关资料。</w:t>
      </w:r>
    </w:p>
    <w:p>
      <w:pPr>
        <w:spacing w:line="560" w:lineRule="exact"/>
        <w:ind w:firstLine="560" w:firstLineChars="200"/>
        <w:rPr>
          <w:rFonts w:ascii="宋体" w:hAnsi="宋体" w:cs="宋体"/>
          <w:sz w:val="28"/>
          <w:szCs w:val="28"/>
        </w:rPr>
      </w:pPr>
      <w:r>
        <w:rPr>
          <w:rFonts w:hint="eastAsia" w:ascii="宋体" w:hAnsi="宋体" w:cs="宋体"/>
          <w:sz w:val="28"/>
          <w:szCs w:val="28"/>
        </w:rPr>
        <w:t>（四）、估价机构和注册房地产估价师所搜集掌握有关资料</w:t>
      </w:r>
    </w:p>
    <w:p>
      <w:pPr>
        <w:spacing w:line="560" w:lineRule="exact"/>
        <w:ind w:firstLine="560" w:firstLineChars="200"/>
        <w:rPr>
          <w:rFonts w:ascii="宋体" w:hAnsi="宋体" w:cs="宋体"/>
          <w:sz w:val="28"/>
          <w:szCs w:val="28"/>
        </w:rPr>
      </w:pPr>
      <w:r>
        <w:rPr>
          <w:rFonts w:hint="eastAsia" w:ascii="宋体" w:hAnsi="宋体" w:cs="宋体"/>
          <w:sz w:val="28"/>
          <w:szCs w:val="28"/>
        </w:rPr>
        <w:t>1、现场勘察记录资料；</w:t>
      </w:r>
    </w:p>
    <w:p>
      <w:pPr>
        <w:spacing w:line="560" w:lineRule="exact"/>
        <w:ind w:firstLine="560" w:firstLineChars="200"/>
        <w:rPr>
          <w:rFonts w:ascii="宋体" w:hAnsi="宋体" w:cs="宋体"/>
          <w:sz w:val="28"/>
          <w:szCs w:val="28"/>
        </w:rPr>
      </w:pPr>
      <w:r>
        <w:rPr>
          <w:rFonts w:hint="eastAsia" w:ascii="宋体" w:hAnsi="宋体" w:cs="宋体"/>
          <w:sz w:val="28"/>
          <w:szCs w:val="28"/>
        </w:rPr>
        <w:t>2、玉溪市房地产市场租售价格资料；</w:t>
      </w:r>
    </w:p>
    <w:p>
      <w:pPr>
        <w:spacing w:line="560" w:lineRule="exact"/>
        <w:ind w:firstLine="560" w:firstLineChars="200"/>
        <w:rPr>
          <w:rFonts w:ascii="宋体" w:hAnsi="宋体" w:cs="宋体"/>
          <w:sz w:val="28"/>
          <w:szCs w:val="28"/>
        </w:rPr>
      </w:pPr>
      <w:r>
        <w:rPr>
          <w:rFonts w:hint="eastAsia" w:ascii="宋体" w:hAnsi="宋体" w:cs="宋体"/>
          <w:sz w:val="28"/>
          <w:szCs w:val="28"/>
        </w:rPr>
        <w:t>3、玉溪市研和街道概况、规划、经济发展及自然、人文环境资料；</w:t>
      </w:r>
    </w:p>
    <w:p>
      <w:pPr>
        <w:spacing w:line="560" w:lineRule="exact"/>
        <w:ind w:firstLine="560" w:firstLineChars="200"/>
        <w:rPr>
          <w:rFonts w:ascii="宋体" w:hAnsi="宋体" w:cs="宋体"/>
          <w:sz w:val="28"/>
          <w:szCs w:val="28"/>
        </w:rPr>
      </w:pPr>
      <w:r>
        <w:rPr>
          <w:rFonts w:hint="eastAsia" w:ascii="宋体" w:hAnsi="宋体" w:cs="宋体"/>
          <w:sz w:val="28"/>
          <w:szCs w:val="28"/>
        </w:rPr>
        <w:t>4、中国人民银行公布的资金存、贷利率；</w:t>
      </w:r>
    </w:p>
    <w:p>
      <w:pPr>
        <w:spacing w:line="560" w:lineRule="exact"/>
        <w:ind w:firstLine="560" w:firstLineChars="200"/>
        <w:rPr>
          <w:rFonts w:ascii="宋体" w:hAnsi="宋体" w:cs="宋体"/>
          <w:sz w:val="28"/>
          <w:szCs w:val="28"/>
        </w:rPr>
      </w:pPr>
      <w:r>
        <w:rPr>
          <w:rFonts w:hint="eastAsia" w:ascii="宋体" w:hAnsi="宋体" w:cs="宋体"/>
          <w:sz w:val="28"/>
          <w:szCs w:val="28"/>
        </w:rPr>
        <w:t>5、估价机构及估价人员掌握的其他相关信息资料。</w:t>
      </w:r>
    </w:p>
    <w:p>
      <w:pPr>
        <w:pStyle w:val="8"/>
        <w:widowControl w:val="0"/>
        <w:adjustRightInd w:val="0"/>
        <w:snapToGrid w:val="0"/>
        <w:spacing w:line="560" w:lineRule="exact"/>
        <w:ind w:left="0" w:firstLine="551" w:firstLineChars="196"/>
        <w:jc w:val="both"/>
        <w:outlineLvl w:val="1"/>
        <w:rPr>
          <w:rFonts w:ascii="宋体" w:hAnsi="宋体" w:cs="宋体"/>
          <w:b/>
          <w:bCs/>
          <w:sz w:val="28"/>
          <w:szCs w:val="28"/>
        </w:rPr>
      </w:pPr>
      <w:bookmarkStart w:id="26" w:name="_Toc38971991"/>
      <w:r>
        <w:rPr>
          <w:rFonts w:hint="eastAsia" w:ascii="宋体" w:hAnsi="宋体" w:cs="宋体"/>
          <w:b/>
          <w:bCs/>
          <w:sz w:val="28"/>
          <w:szCs w:val="28"/>
        </w:rPr>
        <w:t>九、估价方法</w:t>
      </w:r>
      <w:bookmarkEnd w:id="26"/>
    </w:p>
    <w:p>
      <w:pPr>
        <w:spacing w:line="560" w:lineRule="exact"/>
        <w:ind w:firstLine="560" w:firstLineChars="200"/>
        <w:rPr>
          <w:rFonts w:ascii="宋体" w:hAnsi="宋体" w:cs="宋体"/>
          <w:sz w:val="28"/>
          <w:szCs w:val="28"/>
        </w:rPr>
      </w:pPr>
      <w:r>
        <w:rPr>
          <w:rFonts w:hint="eastAsia" w:ascii="宋体" w:hAnsi="宋体" w:cs="宋体"/>
          <w:sz w:val="28"/>
          <w:szCs w:val="28"/>
        </w:rPr>
        <w:t>根据《房地产估价规范》（GB/T 50291-2015），通行的估价方法有比较法、收益法、成本法、假设开发法等。估价方法的选择应根据当地房地产市场发育情况并结合估价对象的具体特点及估价目的等，选择适当的估价方法。</w:t>
      </w:r>
    </w:p>
    <w:p>
      <w:pPr>
        <w:spacing w:line="560" w:lineRule="exact"/>
        <w:ind w:firstLine="560" w:firstLineChars="200"/>
        <w:rPr>
          <w:rFonts w:ascii="宋体" w:hAnsi="宋体" w:cs="宋体"/>
          <w:sz w:val="28"/>
          <w:szCs w:val="28"/>
        </w:rPr>
      </w:pPr>
      <w:r>
        <w:rPr>
          <w:rFonts w:hint="eastAsia" w:ascii="宋体" w:hAnsi="宋体" w:cs="宋体"/>
          <w:sz w:val="28"/>
          <w:szCs w:val="28"/>
        </w:rPr>
        <w:t>1、估价方法选用分析：</w:t>
      </w:r>
    </w:p>
    <w:tbl>
      <w:tblPr>
        <w:tblStyle w:val="20"/>
        <w:tblW w:w="5000" w:type="pct"/>
        <w:tblInd w:w="0" w:type="dxa"/>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873"/>
        <w:gridCol w:w="2778"/>
        <w:gridCol w:w="4003"/>
        <w:gridCol w:w="874"/>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320" w:hRule="atLeast"/>
        </w:trPr>
        <w:tc>
          <w:tcPr>
            <w:tcW w:w="512" w:type="pct"/>
            <w:tcBorders>
              <w:top w:val="single" w:color="auto" w:sz="4" w:space="0"/>
              <w:left w:val="single" w:color="auto" w:sz="4" w:space="0"/>
              <w:bottom w:val="single" w:color="auto" w:sz="4" w:space="0"/>
            </w:tcBorders>
            <w:vAlign w:val="center"/>
          </w:tcPr>
          <w:p>
            <w:pPr>
              <w:spacing w:line="320" w:lineRule="exact"/>
              <w:jc w:val="center"/>
              <w:rPr>
                <w:rFonts w:ascii="宋体" w:hAnsi="宋体" w:cs="宋体"/>
                <w:b/>
                <w:sz w:val="20"/>
                <w:szCs w:val="20"/>
              </w:rPr>
            </w:pPr>
            <w:r>
              <w:rPr>
                <w:rFonts w:hint="eastAsia" w:ascii="宋体" w:hAnsi="宋体" w:cs="宋体"/>
                <w:b/>
                <w:sz w:val="20"/>
                <w:szCs w:val="20"/>
              </w:rPr>
              <w:t>可选估价方法</w:t>
            </w:r>
          </w:p>
        </w:tc>
        <w:tc>
          <w:tcPr>
            <w:tcW w:w="1629" w:type="pct"/>
            <w:tcBorders>
              <w:top w:val="single" w:color="auto" w:sz="4" w:space="0"/>
              <w:bottom w:val="single" w:color="auto" w:sz="4" w:space="0"/>
            </w:tcBorders>
            <w:vAlign w:val="center"/>
          </w:tcPr>
          <w:p>
            <w:pPr>
              <w:spacing w:line="320" w:lineRule="exact"/>
              <w:jc w:val="center"/>
              <w:rPr>
                <w:rFonts w:ascii="宋体" w:hAnsi="宋体" w:cs="宋体"/>
                <w:b/>
                <w:sz w:val="20"/>
                <w:szCs w:val="20"/>
              </w:rPr>
            </w:pPr>
            <w:r>
              <w:rPr>
                <w:rFonts w:hint="eastAsia" w:ascii="宋体" w:hAnsi="宋体" w:cs="宋体"/>
                <w:b/>
                <w:sz w:val="20"/>
                <w:szCs w:val="20"/>
              </w:rPr>
              <w:t>估价方法定义</w:t>
            </w:r>
          </w:p>
        </w:tc>
        <w:tc>
          <w:tcPr>
            <w:tcW w:w="2347" w:type="pct"/>
            <w:tcBorders>
              <w:top w:val="single" w:color="auto" w:sz="4" w:space="0"/>
              <w:bottom w:val="single" w:color="auto" w:sz="4" w:space="0"/>
            </w:tcBorders>
            <w:vAlign w:val="center"/>
          </w:tcPr>
          <w:p>
            <w:pPr>
              <w:spacing w:line="320" w:lineRule="exact"/>
              <w:jc w:val="center"/>
              <w:rPr>
                <w:rFonts w:ascii="宋体" w:hAnsi="宋体" w:cs="宋体"/>
                <w:b/>
                <w:sz w:val="20"/>
                <w:szCs w:val="20"/>
              </w:rPr>
            </w:pPr>
            <w:r>
              <w:rPr>
                <w:rFonts w:hint="eastAsia" w:ascii="宋体" w:hAnsi="宋体" w:cs="宋体"/>
                <w:b/>
                <w:sz w:val="20"/>
                <w:szCs w:val="20"/>
              </w:rPr>
              <w:t>估价方法是否选取理由</w:t>
            </w:r>
          </w:p>
        </w:tc>
        <w:tc>
          <w:tcPr>
            <w:tcW w:w="512" w:type="pct"/>
            <w:tcBorders>
              <w:top w:val="single" w:color="auto" w:sz="4" w:space="0"/>
              <w:bottom w:val="single" w:color="auto" w:sz="4" w:space="0"/>
              <w:right w:val="single" w:color="auto" w:sz="4" w:space="0"/>
            </w:tcBorders>
            <w:vAlign w:val="center"/>
          </w:tcPr>
          <w:p>
            <w:pPr>
              <w:spacing w:line="320" w:lineRule="exact"/>
              <w:jc w:val="center"/>
              <w:rPr>
                <w:rFonts w:ascii="宋体" w:hAnsi="宋体" w:cs="宋体"/>
                <w:b/>
                <w:sz w:val="20"/>
                <w:szCs w:val="20"/>
              </w:rPr>
            </w:pPr>
            <w:r>
              <w:rPr>
                <w:rFonts w:hint="eastAsia" w:ascii="宋体" w:hAnsi="宋体" w:cs="宋体"/>
                <w:b/>
                <w:sz w:val="20"/>
                <w:szCs w:val="20"/>
              </w:rPr>
              <w:t>是否选取</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1752" w:hRule="atLeast"/>
        </w:trPr>
        <w:tc>
          <w:tcPr>
            <w:tcW w:w="512" w:type="pct"/>
            <w:tcBorders>
              <w:top w:val="single" w:color="auto" w:sz="4" w:space="0"/>
              <w:left w:val="single" w:color="auto" w:sz="4" w:space="0"/>
              <w:bottom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比较法</w:t>
            </w:r>
          </w:p>
        </w:tc>
        <w:tc>
          <w:tcPr>
            <w:tcW w:w="1629" w:type="pct"/>
            <w:tcBorders>
              <w:top w:val="single" w:color="auto" w:sz="4" w:space="0"/>
              <w:bottom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选取一定数量、复合一定条件、发生过交易的类似房地产，然后将它们与估价对象进行比较，对它们的实际成交价格进行适当处理来求取估价对象价值的方法。</w:t>
            </w:r>
          </w:p>
        </w:tc>
        <w:tc>
          <w:tcPr>
            <w:tcW w:w="2347" w:type="pct"/>
            <w:tcBorders>
              <w:top w:val="single" w:color="auto" w:sz="4" w:space="0"/>
              <w:bottom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比较法适用的估价对象是同种类型的数量较多且经常发生交易的房地产。估价对象所在区域相似的出售可比案例（同一供需圈、用途一致，邻近区域）较多，故本次评估选取比较法对估价对象市场价值进行估价。</w:t>
            </w:r>
          </w:p>
        </w:tc>
        <w:tc>
          <w:tcPr>
            <w:tcW w:w="512" w:type="pct"/>
            <w:tcBorders>
              <w:top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选取</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512" w:type="pct"/>
            <w:tcBorders>
              <w:top w:val="single" w:color="auto" w:sz="4" w:space="0"/>
              <w:lef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收益法</w:t>
            </w:r>
          </w:p>
        </w:tc>
        <w:tc>
          <w:tcPr>
            <w:tcW w:w="1629" w:type="pct"/>
            <w:tcBorders>
              <w:top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预测估价对象的未来收益，利用报酬率或资本化率、收益成熟将未来收益转换为价值得到估价对象价值或价格的方法。</w:t>
            </w:r>
          </w:p>
        </w:tc>
        <w:tc>
          <w:tcPr>
            <w:tcW w:w="2347" w:type="pct"/>
            <w:tcBorders>
              <w:top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收益法适宜用于有经济收益或有潜在经济收益的房地产，估价对象于价值时点多数用于出租，为有收益的房地产，且周边同类物业出租较多，易收集、了解租金水平，故本次评估选用收益法进行估价。</w:t>
            </w:r>
          </w:p>
        </w:tc>
        <w:tc>
          <w:tcPr>
            <w:tcW w:w="512" w:type="pct"/>
            <w:tcBorders>
              <w:top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选取</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932" w:hRule="atLeast"/>
        </w:trPr>
        <w:tc>
          <w:tcPr>
            <w:tcW w:w="512" w:type="pct"/>
            <w:tcBorders>
              <w:lef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成本法</w:t>
            </w:r>
          </w:p>
        </w:tc>
        <w:tc>
          <w:tcPr>
            <w:tcW w:w="1629" w:type="pct"/>
            <w:vAlign w:val="center"/>
          </w:tcPr>
          <w:p>
            <w:pPr>
              <w:spacing w:line="320" w:lineRule="exact"/>
              <w:jc w:val="center"/>
              <w:rPr>
                <w:rFonts w:ascii="宋体" w:hAnsi="宋体" w:cs="宋体"/>
                <w:sz w:val="20"/>
                <w:szCs w:val="20"/>
              </w:rPr>
            </w:pPr>
            <w:r>
              <w:rPr>
                <w:rFonts w:hint="eastAsia" w:ascii="宋体" w:hAnsi="宋体" w:cs="宋体"/>
                <w:sz w:val="20"/>
                <w:szCs w:val="20"/>
              </w:rPr>
              <w:t>求取估价对象在价值时点的重新购建价格和折旧，然后将重新购建价格减去折旧来的求取估价对象的方法。</w:t>
            </w:r>
          </w:p>
        </w:tc>
        <w:tc>
          <w:tcPr>
            <w:tcW w:w="2347" w:type="pct"/>
            <w:vAlign w:val="center"/>
          </w:tcPr>
          <w:p>
            <w:pPr>
              <w:spacing w:line="320" w:lineRule="exact"/>
              <w:jc w:val="center"/>
              <w:rPr>
                <w:rFonts w:ascii="宋体" w:hAnsi="宋体" w:cs="宋体"/>
                <w:sz w:val="20"/>
                <w:szCs w:val="20"/>
              </w:rPr>
            </w:pPr>
            <w:r>
              <w:rPr>
                <w:rFonts w:hint="eastAsia" w:ascii="宋体" w:hAnsi="宋体" w:cs="宋体"/>
                <w:sz w:val="20"/>
                <w:szCs w:val="20"/>
              </w:rPr>
              <w:t>成本法适用的估价对象包括很少发生交易而限制了比较法的运用，又没有经济收益或没有潜在的经济收益而限制了收益法运用的房地产或者可独立开发建设的整体房地产的价值或价格，估价对象为整栋建筑物中的一部分，不可独立开发，故本次评估不选用成本法作为估价方法。</w:t>
            </w:r>
          </w:p>
        </w:tc>
        <w:tc>
          <w:tcPr>
            <w:tcW w:w="512" w:type="pct"/>
            <w:tcBorders>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不选取</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941" w:hRule="atLeast"/>
        </w:trPr>
        <w:tc>
          <w:tcPr>
            <w:tcW w:w="512" w:type="pct"/>
            <w:tcBorders>
              <w:left w:val="single" w:color="auto" w:sz="4" w:space="0"/>
              <w:bottom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假设开发法</w:t>
            </w:r>
          </w:p>
        </w:tc>
        <w:tc>
          <w:tcPr>
            <w:tcW w:w="1629" w:type="pct"/>
            <w:tcBorders>
              <w:bottom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预测估价对象开发完成后的价值和后续开发建设的必要支出及应得利润，然后将估价对象开发完成后的价值减去后续开发建设的必要支出及应得利润来求取估价对象价值的方法。</w:t>
            </w:r>
          </w:p>
        </w:tc>
        <w:tc>
          <w:tcPr>
            <w:tcW w:w="2347" w:type="pct"/>
            <w:tcBorders>
              <w:bottom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假设开发法适用于评估具有投资开发价值或再开发潜力的房地产，估价对象为已完成开发的物业，故本次评估不选用假设开发法作为估价方法。</w:t>
            </w:r>
          </w:p>
        </w:tc>
        <w:tc>
          <w:tcPr>
            <w:tcW w:w="512" w:type="pct"/>
            <w:tcBorders>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不选取</w:t>
            </w:r>
          </w:p>
        </w:tc>
      </w:tr>
    </w:tbl>
    <w:p>
      <w:pPr>
        <w:spacing w:line="560" w:lineRule="exact"/>
        <w:ind w:firstLine="420" w:firstLineChars="150"/>
        <w:rPr>
          <w:rFonts w:ascii="宋体" w:hAnsi="宋体" w:cs="宋体"/>
          <w:spacing w:val="-12"/>
          <w:sz w:val="28"/>
          <w:szCs w:val="28"/>
        </w:rPr>
      </w:pPr>
      <w:r>
        <w:rPr>
          <w:rFonts w:hint="eastAsia" w:ascii="宋体" w:hAnsi="宋体" w:cs="宋体"/>
          <w:sz w:val="28"/>
          <w:szCs w:val="28"/>
        </w:rPr>
        <w:t>2、</w:t>
      </w:r>
      <w:r>
        <w:rPr>
          <w:rFonts w:hint="eastAsia" w:ascii="宋体" w:hAnsi="宋体" w:cs="宋体"/>
          <w:spacing w:val="-12"/>
          <w:sz w:val="28"/>
          <w:szCs w:val="28"/>
        </w:rPr>
        <w:t>估价方法概述</w:t>
      </w:r>
    </w:p>
    <w:p>
      <w:pPr>
        <w:spacing w:line="560" w:lineRule="exact"/>
        <w:ind w:left="-141" w:leftChars="-67" w:firstLine="396" w:firstLineChars="155"/>
        <w:rPr>
          <w:rFonts w:ascii="宋体" w:hAnsi="宋体" w:cs="宋体"/>
          <w:spacing w:val="-12"/>
          <w:sz w:val="28"/>
          <w:szCs w:val="28"/>
        </w:rPr>
      </w:pPr>
      <w:r>
        <w:rPr>
          <w:rFonts w:hint="eastAsia" w:ascii="宋体" w:hAnsi="宋体" w:cs="宋体"/>
          <w:spacing w:val="-12"/>
          <w:sz w:val="28"/>
          <w:szCs w:val="28"/>
        </w:rPr>
        <w:t>（1）比较法：是将估</w:t>
      </w:r>
      <w:r>
        <w:rPr>
          <w:rFonts w:hint="eastAsia" w:ascii="宋体" w:hAnsi="宋体" w:cs="宋体"/>
          <w:spacing w:val="-9"/>
          <w:sz w:val="28"/>
          <w:szCs w:val="28"/>
        </w:rPr>
        <w:t>价对象与在价值时点近期有过交易的类似房地产进行比较，选取可比实例，建立价格可比基础，并对这些可比实例的已知价格分别进</w:t>
      </w:r>
      <w:r>
        <w:rPr>
          <w:rFonts w:hint="eastAsia" w:ascii="宋体" w:hAnsi="宋体" w:cs="宋体"/>
          <w:spacing w:val="-12"/>
          <w:sz w:val="28"/>
          <w:szCs w:val="28"/>
        </w:rPr>
        <w:t>行交易情况修正、市场状况调整、房地产状况调整（区位状况调整、实物状况调整、权益状况调整），以此估算估价对象的客观合理价格或价值。</w:t>
      </w:r>
    </w:p>
    <w:p>
      <w:pPr>
        <w:spacing w:line="560" w:lineRule="exact"/>
        <w:ind w:left="-141" w:leftChars="-67" w:firstLine="512" w:firstLineChars="200"/>
        <w:rPr>
          <w:rFonts w:ascii="宋体" w:hAnsi="宋体" w:cs="宋体"/>
          <w:spacing w:val="-12"/>
          <w:sz w:val="28"/>
          <w:szCs w:val="28"/>
        </w:rPr>
      </w:pPr>
      <w:r>
        <w:rPr>
          <w:rFonts w:hint="eastAsia" w:ascii="宋体" w:hAnsi="宋体" w:cs="宋体"/>
          <w:spacing w:val="-12"/>
          <w:sz w:val="28"/>
          <w:szCs w:val="28"/>
        </w:rPr>
        <w:t>具体估价时，根据委托估价房地产的用途和特点，分别选取三个与估价对象类似的近期房地产交易实例，从交易情况、市场状况、房地产状况（区位状况、实物状况、权益状况）等方面进行综合修正计算得出估价对象的比准价格。计算公式为：</w:t>
      </w:r>
    </w:p>
    <w:p>
      <w:pPr>
        <w:spacing w:line="560" w:lineRule="exact"/>
        <w:ind w:left="-141" w:leftChars="-67" w:firstLine="512" w:firstLineChars="200"/>
        <w:rPr>
          <w:rFonts w:ascii="宋体" w:hAnsi="宋体" w:cs="宋体"/>
          <w:spacing w:val="-12"/>
          <w:sz w:val="28"/>
          <w:szCs w:val="28"/>
        </w:rPr>
      </w:pPr>
      <w:r>
        <w:rPr>
          <w:rFonts w:hint="eastAsia" w:ascii="宋体" w:hAnsi="宋体" w:cs="宋体"/>
          <w:spacing w:val="-12"/>
          <w:sz w:val="28"/>
          <w:szCs w:val="28"/>
        </w:rPr>
        <w:t>案例修正后单价</w:t>
      </w:r>
      <w:r>
        <w:rPr>
          <w:rFonts w:ascii="宋体" w:hAnsi="宋体" w:cs="宋体"/>
          <w:spacing w:val="-12"/>
          <w:sz w:val="28"/>
          <w:szCs w:val="28"/>
        </w:rPr>
        <w:t>=</w:t>
      </w:r>
      <w:r>
        <w:rPr>
          <w:rFonts w:hint="eastAsia" w:ascii="宋体" w:hAnsi="宋体" w:cs="宋体"/>
          <w:spacing w:val="-12"/>
          <w:sz w:val="28"/>
          <w:szCs w:val="28"/>
        </w:rPr>
        <w:t>可比实例单价×交易情况修正系数×市场状况调整(交易日期修正) 系数×区位状况调整系数×实物状况调整系数×权益状况调整系数</w:t>
      </w:r>
    </w:p>
    <w:p>
      <w:pPr>
        <w:spacing w:line="560" w:lineRule="exact"/>
        <w:ind w:left="-141" w:leftChars="-67" w:firstLine="652" w:firstLineChars="255"/>
        <w:rPr>
          <w:rFonts w:ascii="宋体" w:hAnsi="宋体" w:cs="宋体"/>
          <w:spacing w:val="-12"/>
          <w:sz w:val="28"/>
          <w:szCs w:val="28"/>
        </w:rPr>
      </w:pPr>
      <w:r>
        <w:rPr>
          <w:rFonts w:hint="eastAsia" w:ascii="宋体" w:hAnsi="宋体" w:cs="宋体"/>
          <w:spacing w:val="-12"/>
          <w:sz w:val="28"/>
          <w:szCs w:val="28"/>
        </w:rPr>
        <w:t>估价对象估价单价=（案例1修正后单价+案例2修正后单价+案例3修正后单价）÷3</w:t>
      </w:r>
    </w:p>
    <w:p>
      <w:pPr>
        <w:spacing w:line="560" w:lineRule="exact"/>
        <w:ind w:left="-141" w:leftChars="-67" w:firstLine="560" w:firstLineChars="200"/>
        <w:rPr>
          <w:rFonts w:ascii="宋体" w:hAnsi="宋体" w:cs="宋体"/>
          <w:spacing w:val="-12"/>
          <w:sz w:val="28"/>
          <w:szCs w:val="28"/>
        </w:rPr>
      </w:pPr>
      <w:r>
        <w:rPr>
          <w:rFonts w:ascii="宋体" w:hAnsi="宋体" w:cs="宋体"/>
          <w:sz w:val="28"/>
          <w:szCs w:val="28"/>
        </w:rPr>
        <w:pict>
          <v:shape id="_x0000_s1285" o:spid="_x0000_s1285" o:spt="75" type="#_x0000_t75" style="position:absolute;left:0pt;margin-left:60.3pt;margin-top:147.25pt;height:56.35pt;width:158.25pt;z-index:251685888;mso-width-relative:page;mso-height-relative:page;" o:ole="t" filled="f" o:preferrelative="t" stroked="f" coordsize="21600,21600">
            <v:path/>
            <v:fill on="f" focussize="0,0"/>
            <v:stroke on="f" joinstyle="miter"/>
            <v:imagedata r:id="rId13" o:title=""/>
            <o:lock v:ext="edit" aspectratio="t"/>
          </v:shape>
          <o:OLEObject Type="Embed" ProgID="Equations" ShapeID="_x0000_s1285" DrawAspect="Content" ObjectID="_1468075725" r:id="rId12">
            <o:LockedField>false</o:LockedField>
          </o:OLEObject>
        </w:pict>
      </w:r>
      <w:r>
        <w:rPr>
          <w:rFonts w:hint="eastAsia" w:ascii="宋体" w:hAnsi="宋体" w:cs="宋体"/>
          <w:spacing w:val="-12"/>
          <w:sz w:val="28"/>
          <w:szCs w:val="28"/>
        </w:rPr>
        <w:t>（2）收益法：是预测估价对象的未来收益，利用报酬率或资本化率、收益成熟将未来收益转换为价值得到估价对象价值或价格的方法。估价思路：估价对象所在区域类似房地产出租较多，易收集市场客观租金，根据玉溪市租赁市场的调查，分析周边类似物业租金水平和估价对象的实际情况而取值。本次评估采用报酬资本化法中的净收益按一定比率递增有限年公式，</w:t>
      </w:r>
      <w:r>
        <w:rPr>
          <w:rFonts w:hint="eastAsia" w:ascii="宋体" w:hAnsi="宋体" w:cs="宋体"/>
          <w:sz w:val="28"/>
          <w:szCs w:val="28"/>
        </w:rPr>
        <w:t xml:space="preserve">采用公式为： </w:t>
      </w:r>
    </w:p>
    <w:p>
      <w:pPr>
        <w:numPr>
          <w:ilvl w:val="12"/>
          <w:numId w:val="0"/>
        </w:numPr>
        <w:spacing w:line="560" w:lineRule="exact"/>
        <w:ind w:firstLine="560" w:firstLineChars="200"/>
        <w:rPr>
          <w:rFonts w:ascii="宋体" w:hAnsi="宋体" w:cs="宋体"/>
          <w:sz w:val="28"/>
          <w:szCs w:val="28"/>
        </w:rPr>
      </w:pPr>
      <w:r>
        <w:rPr>
          <w:rFonts w:hint="eastAsia" w:ascii="宋体" w:hAnsi="宋体" w:cs="宋体"/>
          <w:sz w:val="28"/>
          <w:szCs w:val="28"/>
        </w:rPr>
        <w:t xml:space="preserve">                                </w:t>
      </w:r>
    </w:p>
    <w:p>
      <w:pPr>
        <w:numPr>
          <w:ilvl w:val="12"/>
          <w:numId w:val="0"/>
        </w:numPr>
        <w:spacing w:line="560" w:lineRule="exact"/>
        <w:rPr>
          <w:rFonts w:ascii="宋体" w:hAnsi="宋体" w:cs="宋体"/>
          <w:sz w:val="28"/>
          <w:szCs w:val="28"/>
        </w:rPr>
      </w:pPr>
      <w:r>
        <w:rPr>
          <w:rFonts w:hint="eastAsia" w:ascii="宋体" w:hAnsi="宋体" w:cs="宋体"/>
          <w:sz w:val="28"/>
          <w:szCs w:val="28"/>
        </w:rPr>
        <w:t xml:space="preserve">式中：       </w:t>
      </w:r>
    </w:p>
    <w:p>
      <w:pPr>
        <w:numPr>
          <w:ilvl w:val="12"/>
          <w:numId w:val="0"/>
        </w:numPr>
        <w:spacing w:line="560" w:lineRule="exact"/>
        <w:ind w:left="420" w:leftChars="200"/>
        <w:rPr>
          <w:rFonts w:ascii="宋体" w:hAnsi="宋体" w:cs="宋体"/>
          <w:sz w:val="28"/>
          <w:szCs w:val="28"/>
        </w:rPr>
      </w:pPr>
      <w:r>
        <w:rPr>
          <w:rFonts w:hint="eastAsia" w:ascii="宋体" w:hAnsi="宋体" w:cs="宋体"/>
          <w:sz w:val="28"/>
          <w:szCs w:val="28"/>
        </w:rPr>
        <w:t>n：收益期限（剩余使用年限）</w:t>
      </w:r>
    </w:p>
    <w:p>
      <w:pPr>
        <w:numPr>
          <w:ilvl w:val="12"/>
          <w:numId w:val="0"/>
        </w:numPr>
        <w:spacing w:line="560" w:lineRule="exact"/>
        <w:ind w:firstLine="420" w:firstLineChars="150"/>
        <w:rPr>
          <w:rFonts w:ascii="宋体" w:hAnsi="宋体" w:cs="宋体"/>
          <w:sz w:val="28"/>
          <w:szCs w:val="28"/>
        </w:rPr>
      </w:pPr>
      <w:r>
        <w:rPr>
          <w:rFonts w:hint="eastAsia" w:ascii="宋体" w:hAnsi="宋体" w:cs="宋体"/>
          <w:sz w:val="28"/>
          <w:szCs w:val="28"/>
        </w:rPr>
        <w:t xml:space="preserve">V：市场价值（收益价格）     </w:t>
      </w:r>
    </w:p>
    <w:p>
      <w:pPr>
        <w:numPr>
          <w:ilvl w:val="12"/>
          <w:numId w:val="0"/>
        </w:numPr>
        <w:spacing w:line="560" w:lineRule="exact"/>
        <w:ind w:firstLine="420" w:firstLineChars="150"/>
        <w:rPr>
          <w:rFonts w:ascii="宋体" w:hAnsi="宋体" w:cs="宋体"/>
          <w:sz w:val="28"/>
          <w:szCs w:val="28"/>
        </w:rPr>
      </w:pPr>
      <w:r>
        <w:rPr>
          <w:rFonts w:hint="eastAsia" w:ascii="宋体" w:hAnsi="宋体" w:cs="宋体"/>
          <w:sz w:val="28"/>
          <w:szCs w:val="28"/>
        </w:rPr>
        <w:t>A为未来第1年末净收益，未来第2年末净收益A（1+ g），未来第3年末净收益为A（1+g）</w:t>
      </w:r>
      <w:r>
        <w:rPr>
          <w:rFonts w:hint="eastAsia" w:cs="宋体" w:asciiTheme="majorEastAsia" w:hAnsiTheme="majorEastAsia" w:eastAsiaTheme="majorEastAsia"/>
          <w:spacing w:val="-9"/>
          <w:sz w:val="28"/>
          <w:szCs w:val="28"/>
          <w:vertAlign w:val="superscript"/>
        </w:rPr>
        <w:t>2</w:t>
      </w:r>
      <w:r>
        <w:rPr>
          <w:rFonts w:hint="eastAsia" w:ascii="宋体" w:hAnsi="宋体" w:cs="宋体"/>
          <w:sz w:val="28"/>
          <w:szCs w:val="28"/>
        </w:rPr>
        <w:t>，未来第n年末的净收益为A（1+g）</w:t>
      </w:r>
      <w:r>
        <w:rPr>
          <w:rFonts w:hint="eastAsia" w:cs="宋体" w:asciiTheme="majorEastAsia" w:hAnsiTheme="majorEastAsia" w:eastAsiaTheme="majorEastAsia"/>
          <w:spacing w:val="-9"/>
          <w:sz w:val="28"/>
          <w:szCs w:val="28"/>
          <w:vertAlign w:val="superscript"/>
        </w:rPr>
        <w:t>n-1</w:t>
      </w:r>
    </w:p>
    <w:p>
      <w:pPr>
        <w:numPr>
          <w:ilvl w:val="12"/>
          <w:numId w:val="0"/>
        </w:numPr>
        <w:spacing w:line="560" w:lineRule="exact"/>
        <w:rPr>
          <w:rFonts w:ascii="宋体"/>
          <w:sz w:val="28"/>
          <w:szCs w:val="28"/>
        </w:rPr>
      </w:pPr>
      <w:r>
        <w:rPr>
          <w:rFonts w:hint="eastAsia" w:ascii="宋体" w:hAnsi="宋体" w:cs="宋体"/>
          <w:sz w:val="28"/>
          <w:szCs w:val="28"/>
        </w:rPr>
        <w:t xml:space="preserve">  </w:t>
      </w:r>
      <w:r>
        <w:rPr>
          <w:rFonts w:hint="eastAsia" w:ascii="宋体"/>
          <w:sz w:val="28"/>
          <w:szCs w:val="28"/>
        </w:rPr>
        <w:t xml:space="preserve"> </w:t>
      </w:r>
      <w:r>
        <w:rPr>
          <w:rFonts w:hint="eastAsia" w:ascii="宋体" w:hAnsi="宋体" w:cs="宋体"/>
          <w:sz w:val="28"/>
          <w:szCs w:val="28"/>
        </w:rPr>
        <w:t xml:space="preserve">g：物业租金收益年增长率(g≠Y)   </w:t>
      </w:r>
    </w:p>
    <w:p>
      <w:pPr>
        <w:numPr>
          <w:ilvl w:val="12"/>
          <w:numId w:val="0"/>
        </w:numPr>
        <w:spacing w:line="560" w:lineRule="exact"/>
        <w:ind w:firstLine="420" w:firstLineChars="150"/>
        <w:rPr>
          <w:rFonts w:ascii="宋体" w:hAnsi="宋体" w:cs="宋体"/>
          <w:sz w:val="28"/>
          <w:szCs w:val="28"/>
        </w:rPr>
      </w:pPr>
      <w:r>
        <w:rPr>
          <w:rFonts w:hint="eastAsia" w:ascii="宋体" w:hAnsi="宋体" w:cs="宋体"/>
          <w:sz w:val="28"/>
          <w:szCs w:val="28"/>
        </w:rPr>
        <w:t>Y：报酬率</w:t>
      </w:r>
    </w:p>
    <w:p>
      <w:pPr>
        <w:pStyle w:val="8"/>
        <w:widowControl w:val="0"/>
        <w:adjustRightInd w:val="0"/>
        <w:snapToGrid w:val="0"/>
        <w:spacing w:before="240" w:line="520" w:lineRule="exact"/>
        <w:ind w:left="0" w:firstLine="516" w:firstLineChars="196"/>
        <w:jc w:val="both"/>
        <w:outlineLvl w:val="1"/>
        <w:rPr>
          <w:rFonts w:ascii="宋体" w:hAnsi="宋体" w:cs="宋体"/>
          <w:b/>
          <w:bCs/>
          <w:spacing w:val="-9"/>
          <w:sz w:val="28"/>
          <w:szCs w:val="28"/>
        </w:rPr>
      </w:pPr>
      <w:bookmarkStart w:id="27" w:name="_Toc38971992"/>
      <w:r>
        <w:rPr>
          <w:rFonts w:hint="eastAsia" w:ascii="宋体" w:hAnsi="宋体" w:cs="宋体"/>
          <w:b/>
          <w:bCs/>
          <w:spacing w:val="-9"/>
          <w:sz w:val="28"/>
          <w:szCs w:val="28"/>
        </w:rPr>
        <w:t>十、估价结果</w:t>
      </w:r>
      <w:bookmarkEnd w:id="27"/>
    </w:p>
    <w:p>
      <w:pPr>
        <w:spacing w:line="520" w:lineRule="exact"/>
        <w:ind w:firstLine="524" w:firstLineChars="200"/>
        <w:jc w:val="left"/>
        <w:rPr>
          <w:rFonts w:ascii="宋体" w:hAnsi="宋体" w:cs="宋体"/>
          <w:spacing w:val="-9"/>
          <w:sz w:val="28"/>
          <w:szCs w:val="28"/>
        </w:rPr>
      </w:pPr>
      <w:r>
        <w:rPr>
          <w:rFonts w:hint="eastAsia" w:ascii="宋体" w:hAnsi="宋体" w:cs="宋体"/>
          <w:spacing w:val="-9"/>
          <w:sz w:val="28"/>
          <w:szCs w:val="28"/>
        </w:rPr>
        <w:t>注册房地产估价师根据估价目的，遵循估价原则，运用科学的估价方法，在认真分析所掌握资料与影响估价对象价值诸多因素的基础上，运用比较法及收益法进行评估，最终确定估价对象在价值时点的房地产</w:t>
      </w:r>
      <w:r>
        <w:rPr>
          <w:rFonts w:hint="eastAsia" w:ascii="宋体" w:hAnsi="宋体" w:cs="宋体"/>
          <w:b/>
          <w:spacing w:val="-9"/>
          <w:sz w:val="28"/>
          <w:szCs w:val="28"/>
        </w:rPr>
        <w:t>市场价值为人民币1875.38万元（取整至佰位），大写金额人民币壹仟捌佰柒拾伍万叁仟捌佰元整。</w:t>
      </w:r>
      <w:r>
        <w:rPr>
          <w:rFonts w:hint="eastAsia" w:ascii="宋体" w:hAnsi="宋体" w:cs="宋体"/>
          <w:spacing w:val="-9"/>
          <w:sz w:val="28"/>
          <w:szCs w:val="28"/>
        </w:rPr>
        <w:t>评估单价详见本报告开篇“致估价委托人函”第2页《估价结果明细表》。</w:t>
      </w:r>
    </w:p>
    <w:p>
      <w:pPr>
        <w:pStyle w:val="8"/>
        <w:widowControl w:val="0"/>
        <w:adjustRightInd w:val="0"/>
        <w:snapToGrid w:val="0"/>
        <w:spacing w:before="240" w:line="520" w:lineRule="exact"/>
        <w:ind w:left="0" w:firstLine="516" w:firstLineChars="196"/>
        <w:jc w:val="both"/>
        <w:outlineLvl w:val="1"/>
        <w:rPr>
          <w:rFonts w:ascii="宋体" w:hAnsi="宋体" w:cs="宋体"/>
          <w:b/>
          <w:bCs/>
          <w:spacing w:val="-9"/>
          <w:sz w:val="28"/>
          <w:szCs w:val="28"/>
        </w:rPr>
      </w:pPr>
      <w:bookmarkStart w:id="28" w:name="_Toc38971993"/>
      <w:r>
        <w:rPr>
          <w:rFonts w:hint="eastAsia" w:ascii="宋体" w:hAnsi="宋体" w:cs="宋体"/>
          <w:b/>
          <w:bCs/>
          <w:spacing w:val="-9"/>
          <w:sz w:val="28"/>
          <w:szCs w:val="28"/>
        </w:rPr>
        <w:t>十一、注册房地产估价师</w:t>
      </w:r>
      <w:bookmarkEnd w:id="28"/>
    </w:p>
    <w:tbl>
      <w:tblPr>
        <w:tblStyle w:val="20"/>
        <w:tblW w:w="5000" w:type="pct"/>
        <w:tblInd w:w="0" w:type="dxa"/>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Layout w:type="autofit"/>
        <w:tblCellMar>
          <w:top w:w="0" w:type="dxa"/>
          <w:left w:w="108" w:type="dxa"/>
          <w:bottom w:w="0" w:type="dxa"/>
          <w:right w:w="108" w:type="dxa"/>
        </w:tblCellMar>
      </w:tblPr>
      <w:tblGrid>
        <w:gridCol w:w="866"/>
        <w:gridCol w:w="1364"/>
        <w:gridCol w:w="4257"/>
        <w:gridCol w:w="2041"/>
      </w:tblGrid>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508" w:type="pct"/>
            <w:vAlign w:val="center"/>
          </w:tcPr>
          <w:p>
            <w:pPr>
              <w:spacing w:line="560" w:lineRule="exact"/>
              <w:jc w:val="center"/>
              <w:rPr>
                <w:rFonts w:ascii="宋体" w:hAnsi="宋体" w:cs="宋体"/>
              </w:rPr>
            </w:pPr>
            <w:r>
              <w:rPr>
                <w:rFonts w:hint="eastAsia" w:ascii="宋体" w:hAnsi="宋体" w:cs="宋体"/>
              </w:rPr>
              <w:t>姓名</w:t>
            </w:r>
          </w:p>
        </w:tc>
        <w:tc>
          <w:tcPr>
            <w:tcW w:w="800" w:type="pct"/>
            <w:vAlign w:val="center"/>
          </w:tcPr>
          <w:p>
            <w:pPr>
              <w:spacing w:line="560" w:lineRule="exact"/>
              <w:jc w:val="center"/>
              <w:rPr>
                <w:rFonts w:ascii="宋体" w:hAnsi="宋体" w:cs="宋体"/>
              </w:rPr>
            </w:pPr>
            <w:r>
              <w:rPr>
                <w:rFonts w:hint="eastAsia" w:ascii="宋体" w:hAnsi="宋体" w:cs="宋体"/>
              </w:rPr>
              <w:t>注册号</w:t>
            </w:r>
          </w:p>
        </w:tc>
        <w:tc>
          <w:tcPr>
            <w:tcW w:w="2496" w:type="pct"/>
            <w:vAlign w:val="center"/>
          </w:tcPr>
          <w:p>
            <w:pPr>
              <w:spacing w:line="560" w:lineRule="exact"/>
              <w:jc w:val="center"/>
              <w:rPr>
                <w:rFonts w:ascii="宋体" w:hAnsi="宋体" w:cs="宋体"/>
              </w:rPr>
            </w:pPr>
            <w:r>
              <w:rPr>
                <w:rFonts w:hint="eastAsia" w:ascii="宋体" w:hAnsi="宋体" w:cs="宋体"/>
              </w:rPr>
              <w:t>签名、盖章</w:t>
            </w:r>
          </w:p>
        </w:tc>
        <w:tc>
          <w:tcPr>
            <w:tcW w:w="1197" w:type="pct"/>
            <w:vAlign w:val="center"/>
          </w:tcPr>
          <w:p>
            <w:pPr>
              <w:spacing w:line="560" w:lineRule="exact"/>
              <w:jc w:val="center"/>
              <w:rPr>
                <w:rFonts w:ascii="宋体" w:hAnsi="宋体" w:cs="宋体"/>
              </w:rPr>
            </w:pPr>
            <w:r>
              <w:rPr>
                <w:rFonts w:hint="eastAsia" w:ascii="宋体" w:hAnsi="宋体" w:cs="宋体"/>
              </w:rPr>
              <w:t>日期</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1613" w:hRule="atLeast"/>
        </w:trPr>
        <w:tc>
          <w:tcPr>
            <w:tcW w:w="508" w:type="pct"/>
            <w:vAlign w:val="center"/>
          </w:tcPr>
          <w:p>
            <w:pPr>
              <w:spacing w:line="560" w:lineRule="exact"/>
              <w:jc w:val="center"/>
              <w:rPr>
                <w:rFonts w:ascii="宋体" w:hAnsi="宋体" w:cs="宋体"/>
              </w:rPr>
            </w:pPr>
            <w:r>
              <w:rPr>
                <w:rFonts w:hint="eastAsia" w:ascii="宋体" w:hAnsi="宋体" w:cs="宋体"/>
              </w:rPr>
              <w:t xml:space="preserve">马海波  </w:t>
            </w:r>
          </w:p>
        </w:tc>
        <w:tc>
          <w:tcPr>
            <w:tcW w:w="800" w:type="pct"/>
            <w:vAlign w:val="center"/>
          </w:tcPr>
          <w:p>
            <w:pPr>
              <w:spacing w:line="560" w:lineRule="exact"/>
              <w:jc w:val="center"/>
              <w:rPr>
                <w:rFonts w:ascii="宋体" w:hAnsi="宋体" w:cs="宋体"/>
              </w:rPr>
            </w:pPr>
            <w:r>
              <w:rPr>
                <w:rFonts w:ascii="宋体" w:hAnsi="宋体" w:cs="宋体"/>
              </w:rPr>
              <w:t>5320120022</w:t>
            </w:r>
          </w:p>
        </w:tc>
        <w:tc>
          <w:tcPr>
            <w:tcW w:w="2496" w:type="pct"/>
            <w:vAlign w:val="center"/>
          </w:tcPr>
          <w:p>
            <w:pPr>
              <w:spacing w:line="560" w:lineRule="exact"/>
              <w:jc w:val="center"/>
              <w:rPr>
                <w:rFonts w:ascii="宋体" w:hAnsi="宋体" w:cs="宋体"/>
              </w:rPr>
            </w:pPr>
          </w:p>
        </w:tc>
        <w:tc>
          <w:tcPr>
            <w:tcW w:w="1197" w:type="pct"/>
            <w:vAlign w:val="center"/>
          </w:tcPr>
          <w:p>
            <w:pPr>
              <w:spacing w:line="560" w:lineRule="exact"/>
              <w:jc w:val="center"/>
              <w:rPr>
                <w:rFonts w:ascii="宋体" w:hAnsi="宋体" w:cs="宋体"/>
              </w:rPr>
            </w:pPr>
            <w:r>
              <w:rPr>
                <w:rFonts w:hint="eastAsia" w:ascii="宋体" w:hAnsi="宋体" w:cs="宋体"/>
              </w:rPr>
              <w:t>2020年04月29日</w:t>
            </w:r>
          </w:p>
        </w:tc>
      </w:tr>
      <w:tr>
        <w:tblPrEx>
          <w:tblBorders>
            <w:top w:val="threeDEmboss" w:color="auto" w:sz="24" w:space="0"/>
            <w:left w:val="threeDEmboss" w:color="auto" w:sz="24" w:space="0"/>
            <w:bottom w:val="threeDEmboss" w:color="auto" w:sz="24" w:space="0"/>
            <w:right w:val="threeDEmboss" w:color="auto" w:sz="24" w:space="0"/>
            <w:insideH w:val="single" w:color="auto" w:sz="6" w:space="0"/>
            <w:insideV w:val="single" w:color="auto" w:sz="6" w:space="0"/>
          </w:tblBorders>
          <w:tblCellMar>
            <w:top w:w="0" w:type="dxa"/>
            <w:left w:w="108" w:type="dxa"/>
            <w:bottom w:w="0" w:type="dxa"/>
            <w:right w:w="108" w:type="dxa"/>
          </w:tblCellMar>
        </w:tblPrEx>
        <w:trPr>
          <w:trHeight w:val="1828" w:hRule="atLeast"/>
        </w:trPr>
        <w:tc>
          <w:tcPr>
            <w:tcW w:w="508" w:type="pct"/>
            <w:vAlign w:val="center"/>
          </w:tcPr>
          <w:p>
            <w:pPr>
              <w:spacing w:line="560" w:lineRule="exact"/>
              <w:jc w:val="center"/>
              <w:rPr>
                <w:rFonts w:ascii="宋体" w:hAnsi="宋体" w:cs="宋体"/>
              </w:rPr>
            </w:pPr>
            <w:r>
              <w:rPr>
                <w:rFonts w:hint="eastAsia" w:ascii="宋体" w:hAnsi="宋体" w:cs="宋体"/>
              </w:rPr>
              <w:t>陶凯</w:t>
            </w:r>
          </w:p>
        </w:tc>
        <w:tc>
          <w:tcPr>
            <w:tcW w:w="800" w:type="pct"/>
            <w:vAlign w:val="center"/>
          </w:tcPr>
          <w:p>
            <w:pPr>
              <w:spacing w:line="560" w:lineRule="exact"/>
              <w:jc w:val="center"/>
              <w:rPr>
                <w:rFonts w:ascii="宋体" w:hAnsi="宋体" w:cs="宋体"/>
              </w:rPr>
            </w:pPr>
            <w:r>
              <w:rPr>
                <w:rFonts w:ascii="宋体" w:hAnsi="宋体" w:cs="宋体"/>
              </w:rPr>
              <w:t>532012002</w:t>
            </w:r>
            <w:r>
              <w:rPr>
                <w:rFonts w:hint="eastAsia" w:ascii="宋体" w:hAnsi="宋体" w:cs="宋体"/>
              </w:rPr>
              <w:t>3</w:t>
            </w:r>
          </w:p>
        </w:tc>
        <w:tc>
          <w:tcPr>
            <w:tcW w:w="2496" w:type="pct"/>
            <w:vAlign w:val="center"/>
          </w:tcPr>
          <w:p>
            <w:pPr>
              <w:spacing w:line="560" w:lineRule="exact"/>
              <w:jc w:val="center"/>
              <w:rPr>
                <w:rFonts w:ascii="宋体" w:hAnsi="宋体" w:cs="宋体"/>
              </w:rPr>
            </w:pPr>
          </w:p>
        </w:tc>
        <w:tc>
          <w:tcPr>
            <w:tcW w:w="1197" w:type="pct"/>
            <w:vAlign w:val="center"/>
          </w:tcPr>
          <w:p>
            <w:pPr>
              <w:spacing w:line="560" w:lineRule="exact"/>
              <w:jc w:val="center"/>
              <w:rPr>
                <w:rFonts w:ascii="宋体" w:hAnsi="宋体" w:cs="宋体"/>
              </w:rPr>
            </w:pPr>
            <w:r>
              <w:rPr>
                <w:rFonts w:hint="eastAsia" w:ascii="宋体" w:hAnsi="宋体" w:cs="宋体"/>
              </w:rPr>
              <w:t>2020年04月29日</w:t>
            </w:r>
          </w:p>
        </w:tc>
      </w:tr>
    </w:tbl>
    <w:p>
      <w:pPr>
        <w:pStyle w:val="8"/>
        <w:widowControl w:val="0"/>
        <w:adjustRightInd w:val="0"/>
        <w:snapToGrid w:val="0"/>
        <w:spacing w:line="560" w:lineRule="exact"/>
        <w:ind w:left="0" w:firstLine="516" w:firstLineChars="196"/>
        <w:jc w:val="both"/>
        <w:outlineLvl w:val="1"/>
        <w:rPr>
          <w:rFonts w:ascii="宋体" w:hAnsi="宋体" w:cs="宋体"/>
          <w:b/>
          <w:bCs/>
          <w:spacing w:val="-9"/>
          <w:sz w:val="28"/>
          <w:szCs w:val="28"/>
        </w:rPr>
      </w:pPr>
      <w:bookmarkStart w:id="29" w:name="_Toc38971994"/>
      <w:r>
        <w:rPr>
          <w:rFonts w:hint="eastAsia" w:ascii="宋体" w:hAnsi="宋体" w:cs="宋体"/>
          <w:b/>
          <w:bCs/>
          <w:spacing w:val="-9"/>
          <w:sz w:val="28"/>
          <w:szCs w:val="28"/>
        </w:rPr>
        <w:t>十二、实地查勘期</w:t>
      </w:r>
      <w:bookmarkEnd w:id="29"/>
    </w:p>
    <w:p>
      <w:pPr>
        <w:spacing w:line="560" w:lineRule="exact"/>
        <w:ind w:firstLine="560" w:firstLineChars="200"/>
        <w:rPr>
          <w:rFonts w:ascii="宋体" w:hAnsi="宋体" w:cs="宋体"/>
          <w:sz w:val="28"/>
          <w:szCs w:val="28"/>
        </w:rPr>
      </w:pPr>
      <w:r>
        <w:rPr>
          <w:rFonts w:hint="eastAsia" w:ascii="宋体" w:hAnsi="宋体" w:cs="宋体"/>
          <w:sz w:val="28"/>
          <w:szCs w:val="28"/>
        </w:rPr>
        <w:t>自</w:t>
      </w:r>
      <w:r>
        <w:rPr>
          <w:rFonts w:ascii="宋体" w:hAnsi="宋体" w:cs="宋体"/>
          <w:sz w:val="28"/>
          <w:szCs w:val="28"/>
        </w:rPr>
        <w:t>2020年04月07日</w:t>
      </w:r>
      <w:r>
        <w:rPr>
          <w:rFonts w:hint="eastAsia" w:ascii="宋体" w:hAnsi="宋体" w:cs="宋体"/>
          <w:sz w:val="28"/>
          <w:szCs w:val="28"/>
        </w:rPr>
        <w:t>起至</w:t>
      </w:r>
      <w:r>
        <w:rPr>
          <w:rFonts w:ascii="宋体" w:hAnsi="宋体" w:cs="宋体"/>
          <w:sz w:val="28"/>
          <w:szCs w:val="28"/>
        </w:rPr>
        <w:t>2020年04月07日</w:t>
      </w:r>
      <w:r>
        <w:rPr>
          <w:rFonts w:hint="eastAsia" w:ascii="宋体" w:hAnsi="宋体" w:cs="宋体"/>
          <w:sz w:val="28"/>
          <w:szCs w:val="28"/>
        </w:rPr>
        <w:t>止。</w:t>
      </w:r>
    </w:p>
    <w:p>
      <w:pPr>
        <w:pStyle w:val="8"/>
        <w:widowControl w:val="0"/>
        <w:adjustRightInd w:val="0"/>
        <w:snapToGrid w:val="0"/>
        <w:spacing w:line="560" w:lineRule="exact"/>
        <w:ind w:left="0" w:firstLine="516" w:firstLineChars="196"/>
        <w:jc w:val="both"/>
        <w:outlineLvl w:val="1"/>
        <w:rPr>
          <w:rFonts w:ascii="宋体" w:hAnsi="宋体" w:cs="宋体"/>
          <w:b/>
          <w:bCs/>
          <w:spacing w:val="-9"/>
          <w:sz w:val="28"/>
          <w:szCs w:val="28"/>
        </w:rPr>
      </w:pPr>
      <w:bookmarkStart w:id="30" w:name="_Toc38971995"/>
      <w:r>
        <w:rPr>
          <w:rFonts w:hint="eastAsia" w:ascii="宋体" w:hAnsi="宋体" w:cs="宋体"/>
          <w:b/>
          <w:bCs/>
          <w:spacing w:val="-9"/>
          <w:sz w:val="28"/>
          <w:szCs w:val="28"/>
        </w:rPr>
        <w:t>十三、估价作业日期</w:t>
      </w:r>
      <w:bookmarkEnd w:id="30"/>
    </w:p>
    <w:p>
      <w:pPr>
        <w:spacing w:line="560" w:lineRule="exact"/>
        <w:ind w:firstLine="524" w:firstLineChars="200"/>
        <w:rPr>
          <w:rFonts w:ascii="宋体" w:hAnsi="宋体" w:cs="宋体"/>
          <w:sz w:val="28"/>
          <w:szCs w:val="28"/>
        </w:rPr>
      </w:pPr>
      <w:r>
        <w:rPr>
          <w:rFonts w:hint="eastAsia" w:ascii="宋体" w:hAnsi="宋体" w:cs="宋体"/>
          <w:spacing w:val="-9"/>
          <w:sz w:val="28"/>
          <w:szCs w:val="28"/>
        </w:rPr>
        <w:t>自</w:t>
      </w:r>
      <w:r>
        <w:rPr>
          <w:rFonts w:ascii="宋体" w:hAnsi="宋体" w:cs="宋体"/>
          <w:spacing w:val="-9"/>
          <w:sz w:val="28"/>
          <w:szCs w:val="28"/>
        </w:rPr>
        <w:t>20</w:t>
      </w:r>
      <w:r>
        <w:rPr>
          <w:rFonts w:hint="eastAsia" w:ascii="宋体" w:hAnsi="宋体" w:cs="宋体"/>
          <w:spacing w:val="-9"/>
          <w:sz w:val="28"/>
          <w:szCs w:val="28"/>
        </w:rPr>
        <w:t>20</w:t>
      </w:r>
      <w:r>
        <w:rPr>
          <w:rFonts w:ascii="宋体" w:hAnsi="宋体" w:cs="宋体"/>
          <w:spacing w:val="-9"/>
          <w:sz w:val="28"/>
          <w:szCs w:val="28"/>
        </w:rPr>
        <w:t>年</w:t>
      </w:r>
      <w:r>
        <w:rPr>
          <w:rFonts w:hint="eastAsia" w:ascii="宋体" w:hAnsi="宋体" w:cs="宋体"/>
          <w:spacing w:val="-9"/>
          <w:sz w:val="28"/>
          <w:szCs w:val="28"/>
        </w:rPr>
        <w:t>04</w:t>
      </w:r>
      <w:r>
        <w:rPr>
          <w:rFonts w:ascii="宋体" w:hAnsi="宋体" w:cs="宋体"/>
          <w:spacing w:val="-9"/>
          <w:sz w:val="28"/>
          <w:szCs w:val="28"/>
        </w:rPr>
        <w:t>月</w:t>
      </w:r>
      <w:r>
        <w:rPr>
          <w:rFonts w:hint="eastAsia" w:ascii="宋体" w:hAnsi="宋体" w:cs="宋体"/>
          <w:spacing w:val="-9"/>
          <w:sz w:val="28"/>
          <w:szCs w:val="28"/>
        </w:rPr>
        <w:t>02</w:t>
      </w:r>
      <w:r>
        <w:rPr>
          <w:rFonts w:ascii="宋体" w:hAnsi="宋体" w:cs="宋体"/>
          <w:spacing w:val="-9"/>
          <w:sz w:val="28"/>
          <w:szCs w:val="28"/>
        </w:rPr>
        <w:t>日</w:t>
      </w:r>
      <w:r>
        <w:rPr>
          <w:rFonts w:hint="eastAsia" w:ascii="宋体" w:hAnsi="宋体" w:cs="宋体"/>
          <w:spacing w:val="-9"/>
          <w:sz w:val="28"/>
          <w:szCs w:val="28"/>
        </w:rPr>
        <w:t>起</w:t>
      </w:r>
      <w:r>
        <w:rPr>
          <w:rFonts w:hint="eastAsia" w:ascii="宋体" w:hAnsi="宋体" w:cs="宋体"/>
          <w:sz w:val="28"/>
          <w:szCs w:val="28"/>
        </w:rPr>
        <w:t>至</w:t>
      </w:r>
      <w:r>
        <w:rPr>
          <w:rFonts w:ascii="宋体" w:hAnsi="宋体" w:cs="宋体"/>
          <w:sz w:val="28"/>
          <w:szCs w:val="28"/>
        </w:rPr>
        <w:t>2020年04月29日</w:t>
      </w:r>
      <w:r>
        <w:rPr>
          <w:rFonts w:hint="eastAsia" w:ascii="宋体" w:hAnsi="宋体" w:cs="宋体"/>
          <w:sz w:val="28"/>
          <w:szCs w:val="28"/>
        </w:rPr>
        <w:t>止。</w:t>
      </w:r>
    </w:p>
    <w:p>
      <w:pPr>
        <w:pStyle w:val="8"/>
        <w:widowControl w:val="0"/>
        <w:adjustRightInd w:val="0"/>
        <w:snapToGrid w:val="0"/>
        <w:spacing w:line="560" w:lineRule="exact"/>
        <w:ind w:left="0" w:firstLine="516" w:firstLineChars="196"/>
        <w:jc w:val="both"/>
        <w:outlineLvl w:val="1"/>
        <w:rPr>
          <w:rFonts w:ascii="宋体" w:hAnsi="宋体"/>
          <w:b/>
          <w:bCs/>
          <w:sz w:val="28"/>
          <w:szCs w:val="24"/>
        </w:rPr>
      </w:pPr>
      <w:bookmarkStart w:id="31" w:name="_Toc38971996"/>
      <w:r>
        <w:rPr>
          <w:rFonts w:hint="eastAsia" w:ascii="宋体" w:hAnsi="宋体" w:cs="宋体"/>
          <w:b/>
          <w:bCs/>
          <w:spacing w:val="-9"/>
          <w:sz w:val="28"/>
          <w:szCs w:val="28"/>
        </w:rPr>
        <w:t>十四、</w:t>
      </w:r>
      <w:r>
        <w:rPr>
          <w:rFonts w:hint="eastAsia" w:ascii="宋体" w:hAnsi="宋体"/>
          <w:b/>
          <w:bCs/>
          <w:sz w:val="28"/>
          <w:szCs w:val="24"/>
        </w:rPr>
        <w:t>估价报告应用的有效期</w:t>
      </w:r>
      <w:bookmarkEnd w:id="31"/>
    </w:p>
    <w:p>
      <w:pPr>
        <w:spacing w:line="560" w:lineRule="exact"/>
        <w:ind w:firstLine="560" w:firstLineChars="200"/>
        <w:rPr>
          <w:rFonts w:ascii="宋体" w:hAnsi="宋体"/>
          <w:sz w:val="28"/>
        </w:rPr>
      </w:pPr>
      <w:r>
        <w:rPr>
          <w:rFonts w:hint="eastAsia" w:ascii="宋体" w:hAnsi="宋体"/>
          <w:sz w:val="28"/>
          <w:lang w:bidi="en-US"/>
        </w:rPr>
        <w:t>如自本估价报告出具日</w:t>
      </w:r>
      <w:r>
        <w:rPr>
          <w:rFonts w:ascii="宋体" w:hAnsi="宋体" w:cs="宋体"/>
          <w:sz w:val="28"/>
          <w:szCs w:val="28"/>
        </w:rPr>
        <w:t>2020年04月29日</w:t>
      </w:r>
      <w:r>
        <w:rPr>
          <w:rFonts w:hint="eastAsia" w:ascii="宋体" w:hAnsi="宋体"/>
          <w:sz w:val="28"/>
          <w:lang w:bidi="en-US"/>
        </w:rPr>
        <w:t>起，未来一年中估价对象所在区域房地产市场状况、估价对象状况等因素无重大变化、并满足本估价报告中"估价的假设和限制条件"，本估价报告有效期为一年，至2021年04月28日止</w:t>
      </w:r>
      <w:r>
        <w:rPr>
          <w:rFonts w:hint="eastAsia" w:ascii="宋体" w:hAnsi="宋体"/>
          <w:sz w:val="28"/>
        </w:rPr>
        <w:t>。</w:t>
      </w:r>
    </w:p>
    <w:p>
      <w:pPr>
        <w:spacing w:line="480" w:lineRule="exact"/>
        <w:rPr>
          <w:rFonts w:ascii="宋体" w:hAnsi="宋体"/>
          <w:sz w:val="32"/>
        </w:rPr>
      </w:pPr>
    </w:p>
    <w:p>
      <w:pPr>
        <w:spacing w:line="480" w:lineRule="exact"/>
        <w:ind w:firstLine="3664" w:firstLineChars="1145"/>
        <w:rPr>
          <w:rFonts w:ascii="宋体" w:hAnsi="宋体"/>
          <w:sz w:val="32"/>
        </w:rPr>
      </w:pPr>
    </w:p>
    <w:p>
      <w:pPr>
        <w:spacing w:line="480" w:lineRule="exact"/>
        <w:ind w:firstLine="3200" w:firstLineChars="1000"/>
        <w:rPr>
          <w:rFonts w:hint="eastAsia" w:ascii="宋体" w:hAnsi="宋体"/>
          <w:sz w:val="32"/>
        </w:rPr>
      </w:pPr>
    </w:p>
    <w:p>
      <w:pPr>
        <w:spacing w:line="480" w:lineRule="exact"/>
        <w:ind w:firstLine="3200" w:firstLineChars="1000"/>
        <w:rPr>
          <w:rFonts w:ascii="宋体" w:hAnsi="宋体"/>
          <w:sz w:val="32"/>
        </w:rPr>
      </w:pPr>
      <w:r>
        <w:rPr>
          <w:rFonts w:hint="eastAsia" w:ascii="宋体" w:hAnsi="宋体"/>
          <w:sz w:val="32"/>
        </w:rPr>
        <w:t>云南雨涵房地产评估有限责任公司</w:t>
      </w:r>
    </w:p>
    <w:p>
      <w:pPr>
        <w:spacing w:line="560" w:lineRule="exact"/>
        <w:ind w:firstLine="640" w:firstLineChars="200"/>
        <w:jc w:val="center"/>
        <w:rPr>
          <w:rFonts w:ascii="宋体" w:hAnsi="宋体" w:cs="宋体"/>
          <w:sz w:val="28"/>
          <w:szCs w:val="28"/>
        </w:rPr>
      </w:pPr>
      <w:r>
        <w:rPr>
          <w:rFonts w:hint="eastAsia" w:ascii="宋体" w:hAnsi="宋体"/>
          <w:sz w:val="32"/>
        </w:rPr>
        <w:t xml:space="preserve">            二○二○年四月二十九日</w:t>
      </w:r>
    </w:p>
    <w:p>
      <w:pPr>
        <w:pStyle w:val="8"/>
        <w:widowControl w:val="0"/>
        <w:adjustRightInd w:val="0"/>
        <w:snapToGrid w:val="0"/>
        <w:spacing w:beforeLines="50" w:line="324" w:lineRule="auto"/>
        <w:ind w:left="0"/>
        <w:outlineLvl w:val="0"/>
        <w:rPr>
          <w:rFonts w:ascii="宋体" w:hAnsi="宋体" w:cs="宋体"/>
          <w:b/>
          <w:bCs/>
          <w:spacing w:val="-9"/>
          <w:sz w:val="44"/>
          <w:szCs w:val="44"/>
        </w:rPr>
      </w:pPr>
    </w:p>
    <w:p>
      <w:pPr>
        <w:pStyle w:val="8"/>
        <w:widowControl w:val="0"/>
        <w:adjustRightInd w:val="0"/>
        <w:snapToGrid w:val="0"/>
        <w:spacing w:beforeLines="50" w:line="324" w:lineRule="auto"/>
        <w:ind w:left="0" w:firstLine="4568" w:firstLineChars="1078"/>
        <w:outlineLvl w:val="0"/>
        <w:rPr>
          <w:rFonts w:ascii="宋体" w:hAnsi="宋体" w:cs="宋体"/>
          <w:b/>
          <w:bCs/>
          <w:spacing w:val="-9"/>
          <w:sz w:val="44"/>
          <w:szCs w:val="44"/>
        </w:rPr>
      </w:pPr>
      <w:bookmarkStart w:id="32" w:name="_Toc38971997"/>
      <w:r>
        <w:rPr>
          <w:rFonts w:hint="eastAsia" w:ascii="宋体" w:hAnsi="宋体" w:cs="宋体"/>
          <w:b/>
          <w:bCs/>
          <w:spacing w:val="-9"/>
          <w:sz w:val="44"/>
          <w:szCs w:val="44"/>
        </w:rPr>
        <w:t>附件</w:t>
      </w:r>
      <w:bookmarkEnd w:id="32"/>
    </w:p>
    <w:p>
      <w:pPr>
        <w:pStyle w:val="8"/>
        <w:widowControl w:val="0"/>
        <w:adjustRightInd w:val="0"/>
        <w:snapToGrid w:val="0"/>
        <w:spacing w:beforeLines="50" w:line="324" w:lineRule="auto"/>
        <w:ind w:left="0" w:firstLine="516" w:firstLineChars="196"/>
        <w:jc w:val="both"/>
        <w:rPr>
          <w:rFonts w:ascii="宋体" w:hAnsi="宋体" w:cs="宋体"/>
          <w:b/>
          <w:bCs/>
          <w:spacing w:val="-9"/>
          <w:sz w:val="28"/>
          <w:szCs w:val="28"/>
        </w:rPr>
      </w:pPr>
    </w:p>
    <w:p>
      <w:pPr>
        <w:pStyle w:val="34"/>
        <w:numPr>
          <w:ilvl w:val="0"/>
          <w:numId w:val="2"/>
        </w:numPr>
        <w:ind w:firstLineChars="0"/>
        <w:rPr>
          <w:rFonts w:ascii="宋体" w:hAnsi="宋体" w:cs="宋体"/>
          <w:b/>
          <w:bCs/>
          <w:spacing w:val="-9"/>
          <w:sz w:val="24"/>
          <w:szCs w:val="28"/>
        </w:rPr>
      </w:pPr>
      <w:r>
        <w:rPr>
          <w:rFonts w:hint="eastAsia" w:ascii="宋体" w:hAnsi="宋体" w:cs="宋体"/>
          <w:b/>
          <w:bCs/>
          <w:spacing w:val="-9"/>
          <w:sz w:val="24"/>
          <w:szCs w:val="28"/>
        </w:rPr>
        <w:t>昆明市中级人民法院司法技术处评估鉴定机构选定通知书复印件</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评估财产清单、“汇海佳苑未备案房源（地下车位）”复印件</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昆明市中级人民法院司法技术评估委托书复印件</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“关于汇海佳苑小区房产（未备案登记房源）及查封情况调查回复的函”复印件</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汇海佳苑小区地块权益信息查询记录</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估价对象物业缴费情况及缴费标准调查记录</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现场勘察记录表复印件</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司法评估工作告知书、与当事人联系记录打印件</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估价对象I-9号非住宅平面图复印件</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估价对象区位图</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估价对象部分照片</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注册房地产估价师估价资格证书复印件</w:t>
      </w:r>
    </w:p>
    <w:p>
      <w:pPr>
        <w:pStyle w:val="34"/>
        <w:numPr>
          <w:ilvl w:val="0"/>
          <w:numId w:val="2"/>
        </w:numPr>
        <w:ind w:firstLineChars="0"/>
        <w:rPr>
          <w:rFonts w:ascii="宋体" w:hAnsi="宋体" w:cs="宋体"/>
          <w:b/>
          <w:bCs/>
          <w:spacing w:val="-9"/>
          <w:sz w:val="28"/>
          <w:szCs w:val="28"/>
        </w:rPr>
      </w:pPr>
      <w:r>
        <w:rPr>
          <w:rFonts w:hint="eastAsia" w:ascii="宋体" w:hAnsi="宋体" w:cs="宋体"/>
          <w:b/>
          <w:bCs/>
          <w:spacing w:val="-9"/>
          <w:sz w:val="28"/>
          <w:szCs w:val="28"/>
        </w:rPr>
        <w:t>房地产估价机构营业执照和估价资质证书复印件</w:t>
      </w:r>
    </w:p>
    <w:p>
      <w:pPr>
        <w:ind w:firstLine="205" w:firstLineChars="98"/>
        <w:rPr>
          <w:rFonts w:ascii="宋体" w:hAnsi="宋体" w:cs="宋体"/>
        </w:rPr>
      </w:pPr>
    </w:p>
    <w:p>
      <w:pPr>
        <w:ind w:firstLine="205" w:firstLineChars="98"/>
        <w:rPr>
          <w:rFonts w:ascii="宋体" w:hAnsi="宋体" w:cs="宋体"/>
        </w:rPr>
      </w:pPr>
    </w:p>
    <w:bookmarkEnd w:id="0"/>
    <w:bookmarkEnd w:id="1"/>
    <w:p>
      <w:pPr>
        <w:ind w:firstLine="205" w:firstLineChars="98"/>
        <w:rPr>
          <w:rFonts w:ascii="宋体" w:hAnsi="宋体" w:cs="宋体"/>
        </w:rPr>
      </w:pPr>
    </w:p>
    <w:sectPr>
      <w:headerReference r:id="rId5" w:type="first"/>
      <w:headerReference r:id="rId4" w:type="default"/>
      <w:footerReference r:id="rId6" w:type="default"/>
      <w:pgSz w:w="11906" w:h="16838"/>
      <w:pgMar w:top="1440" w:right="1797" w:bottom="1134" w:left="1797"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nThickSmallGap" w:color="622423" w:sz="24" w:space="1"/>
      </w:pBdr>
      <w:tabs>
        <w:tab w:val="right" w:pos="9213"/>
        <w:tab w:val="clear" w:pos="4153"/>
        <w:tab w:val="clear" w:pos="8306"/>
      </w:tabs>
      <w:rPr>
        <w:rFonts w:ascii="Cambria" w:hAnsi="Cambria"/>
      </w:rPr>
    </w:pPr>
    <w:r>
      <w:rPr>
        <w:rFonts w:ascii="Cambria" w:hAnsi="Cambria"/>
      </w:rPr>
      <w:pict>
        <v:group id="Group 72" o:spid="_x0000_s6150" o:spt="203" style="position:absolute;left:0pt;margin-left:1.6pt;margin-top:808.4pt;height:15pt;width:593.3pt;mso-position-horizontal-relative:page;mso-position-vertical-relative:page;z-index:251661312;mso-width-relative:page;mso-height-relative:page;mso-width-percent:1000;" coordorigin="0,14970" coordsize="12255,30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13OwQAABIOAAAOAAAAZHJzL2Uyb0RvYy54bWzsV1mP2zYQfi/Q/0Do3avDkm0Jqw12fWwL&#10;bJMA2fadlqijlUiVlFfeFP3vnSEl+VgHDbJJkYfagDDiMZz5ZuYb6vrNvq7IE5OqFDy23CvHIown&#10;Ii15Hlu/Pm4mC4uolvKUVoKz2Hpmynpz8+MP110TMU8UokqZJKCEq6hrYqto2yaybZUUrKbqSjSM&#10;w2QmZE1beJW5nUragfa6sj3HmdmdkGkjRcKUgtGVmbRutP4sY0n7LssUa0kVW2Bbq59SP7f4tG+u&#10;aZRL2hRl0ptBv8CKmpYcDh1VrWhLyU6WL1TVZSKFEll7lYjaFllWJkz7AN64zpk391LsGu1LHnV5&#10;M8IE0J7h9MVqk7dP7yUp09iCQHFaQ4j0qWTuITZdk0ew5F42H5r30jgI4oNI/lAwbZ/P43tuFpNt&#10;94tIQR/dtUJjs89kjSrAa7LXIXgeQ8D2LUlgcB5M/dCFSCUw54ZO4PQxSgoI5GGb64fzcWbdb3Y9&#10;LwjM1qnjeM4UXbBpZA7WxvbGoWeQcOqAqXodph8K2jAdKoWA9ZiGA6aP6N+d2JO5tgkPh1WIKWn3&#10;MA6+aoiUgZZwsSwoz9mtlKIrGE3BPFd7c7TVOKFQyb9h7ToLQIMgpn640KGl0YD5LAA7EW9vsThB&#10;jEaNVO09EzVBIbYk1JO2kz49qNaAOyzByHKxKasKxmlU8ZMBiIIZgUNhK87h8bpE/gqdcL1YL/yJ&#10;783WE99ZrSa3m6U/mW3cebCarpbLlfs3nuv6UVGmKeN4zFCurv95oeuJwxTaWLBKVGWK6tAkJfPt&#10;spLkiQJdbPSvB+RomX1qhs4w8OXMJdfznTsvnGxmi/nE3/jBBBJ2MXHc8C6cOX7orzanLj2UnL3e&#10;JdLFVhh4gcmmT/rm6N9L32hUly0QclXWwAjjIhphDq55qkPb0rIy8hEUaP4BCgj3EGgoOxVhkpp0&#10;bffbPWjBwa1InyF3pYDMgoqHLgJCIeRHi3TAyLGl/txRySxS/cwh/5G+B0EOwnYQKE9ga2y1FjHi&#10;sjU0v2tkmReg2VQYF7fAR1mps/dgheYyzQhoW09iRjyUM/LSCUf6iOA5B2ITeBVHkqwqm58Gg0/Y&#10;8oj2sHyQMY9Iz5uOlNiTJbZfU/RzXdo0Sor1xY3fAVu67gAvhkgzKpkHBmLNl0tuelCy530PGolS&#10;r358bqDfnPCk2TKk4GWe1Hj/dob3S+QOgM/6/tTjPXaYF3y5ZbxdCs6BNoWcHpgTuSJP+1yi6e/g&#10;eFZXcPEA4iHQ8kzTA72aZ3VZfZJmP7PibwP8f4WK/055fGw9R5xkaN1w0cBNuvmccZIhIihlPQ63&#10;AsNP3/x64HoXEn72HyS8ply8E+hUw2zsWcb1ArDplDHGvHfCsL9dfZvED2dzw1L/J/7F+/zlC8xX&#10;TvzDLVmXg/7w0LXTfyThl83xu151+JS7+QcAAP//AwBQSwMEFAAGAAgAAAAhAL1sMHnfAAAADAEA&#10;AA8AAABkcnMvZG93bnJldi54bWxMj8FOwzAQRO9I/IO1SNyok1CFEuJUgOAGqigpcHTjJY6I7WC7&#10;afh7Nie47c6OZt+U68n0bEQfOmcFpIsEGNrGqc62AurXx4sVsBClVbJ3FgX8YIB1dXpSykK5o33B&#10;cRtbRiE2FFKAjnEoOA+NRiPDwg1o6fbpvJGRVt9y5eWRwk3PsyTJuZGdpQ9aDnivsfnaHoyA7Gq3&#10;DA8fw+bueff9Nj6919q3tRDnZ9PtDbCIU/wzw4xP6FAR094drAqsF3CZkZHkPM2pwmxIV9c07Wdt&#10;SRqvSv6/RPULAAD//wMAUEsBAi0AFAAGAAgAAAAhALaDOJL+AAAA4QEAABMAAAAAAAAAAAAAAAAA&#10;AAAAAFtDb250ZW50X1R5cGVzXS54bWxQSwECLQAUAAYACAAAACEAOP0h/9YAAACUAQAACwAAAAAA&#10;AAAAAAAAAAAvAQAAX3JlbHMvLnJlbHNQSwECLQAUAAYACAAAACEAWTc9dzsEAAASDgAADgAAAAAA&#10;AAAAAAAAAAAuAgAAZHJzL2Uyb0RvYy54bWxQSwECLQAUAAYACAAAACEAvWwwed8AAAAMAQAADwAA&#10;AAAAAAAAAAAAAACVBgAAZHJzL2Rvd25yZXYueG1sUEsFBgAAAAAEAAQA8wAAAKEHAAAAAA==&#10;">
          <o:lock v:ext="edit"/>
          <v:shape id="Text Box 73" o:spid="_x0000_s6154" o:spt="202" type="#_x0000_t202" style="position:absolute;left:10803;top:14982;height:288;width:65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v:path/>
            <v:fill on="f" focussize="0,0"/>
            <v:stroke on="f" joinstyle="miter"/>
            <v:imagedata o:title=""/>
            <o:lock v:ext="edit"/>
            <v:textbox inset="0mm,0mm,0mm,0mm">
              <w:txbxContent>
                <w:p>
                  <w:pPr>
                    <w:jc w:val="center"/>
                  </w:pPr>
                  <w:r>
                    <w:fldChar w:fldCharType="begin"/>
                  </w:r>
                  <w:r>
                    <w:instrText xml:space="preserve"> PAGE    \* MERGEFORMAT </w:instrText>
                  </w:r>
                  <w:r>
                    <w:fldChar w:fldCharType="separate"/>
                  </w:r>
                  <w:r>
                    <w:rPr>
                      <w:color w:val="8C8C8C"/>
                      <w:lang w:val="zh-CN"/>
                    </w:rPr>
                    <w:t>15</w:t>
                  </w:r>
                  <w:r>
                    <w:rPr>
                      <w:color w:val="8C8C8C"/>
                      <w:lang w:val="zh-CN"/>
                    </w:rPr>
                    <w:fldChar w:fldCharType="end"/>
                  </w:r>
                </w:p>
              </w:txbxContent>
            </v:textbox>
          </v:shape>
          <v:group id="Group 74" o:spid="_x0000_s6151" o:spt="203" style="position:absolute;left:0;top:14970;flip:x;height:230;width:12255;" coordorigin="-8,14978" coordsize="12255,230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o:lock v:ext="edit"/>
            <v:shape id="AutoShape 75" o:spid="_x0000_s6153" o:spt="34" type="#_x0000_t34" style="position:absolute;left:-8;top:14978;flip:y;height:230;width:1260;"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v:path arrowok="t"/>
              <v:fill on="f" focussize="0,0"/>
              <v:stroke color="#A5A5A5" joinstyle="miter"/>
              <v:imagedata o:title=""/>
              <o:lock v:ext="edit"/>
            </v:shape>
            <v:shape id="AutoShape 76" o:spid="_x0000_s6152" o:spt="34" type="#_x0000_t34" style="position:absolute;left:1252;top:14978;height:230;width:10995;rotation:1179648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v:path arrowok="t"/>
              <v:fill on="f" focussize="0,0"/>
              <v:stroke color="#A5A5A5" joinstyle="miter"/>
              <v:imagedata o:title=""/>
              <o:lock v:ext="edit"/>
            </v:shape>
          </v:group>
        </v:group>
      </w:pict>
    </w:r>
    <w:r>
      <w:rPr>
        <w:rFonts w:hint="eastAsia" w:ascii="宋体" w:hAnsi="宋体" w:cs="楷体_GB2312"/>
        <w:iCs/>
        <w:color w:val="0070C0"/>
      </w:rPr>
      <w:t>地址： 云南省昆明市穿金路205号霖岚广场A幢714号    电话（传真）：0871-63121005      邮编：650051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thinThickSmallGap" w:color="622423" w:sz="24" w:space="1"/>
      </w:pBdr>
      <w:tabs>
        <w:tab w:val="right" w:pos="9213"/>
        <w:tab w:val="clear" w:pos="4153"/>
        <w:tab w:val="clear" w:pos="8306"/>
      </w:tabs>
      <w:rPr>
        <w:rFonts w:ascii="Cambria" w:hAnsi="Cambria"/>
      </w:rPr>
    </w:pPr>
    <w:r>
      <w:rPr>
        <w:rFonts w:ascii="Cambria" w:hAnsi="Cambria"/>
      </w:rPr>
      <w:pict>
        <v:group id="Group 59" o:spid="_x0000_s6145" o:spt="203" style="position:absolute;left:0pt;margin-left:1.6pt;margin-top:808.4pt;height:15pt;width:593.3pt;mso-position-horizontal-relative:page;mso-position-vertical-relative:page;z-index:251656192;mso-width-relative:page;mso-height-relative:page;mso-width-percent:1000;" coordorigin="0,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hFNQQAABAOAAAOAAAAZHJzL2Uyb0RvYy54bWzsl1lv4zYQx98L9DsQfHd0WJIlIcoi8ZEW&#10;SNsFNu07LVFHK5EqqUTOFv3uHZI6bGfTLnbT7j7UBgRKvGb+M/OjdPnm0NTokQpZcZZg58LGiLKU&#10;ZxUrEvzz/W4RYiQ7wjJSc0YT/EQlfnP17TeXfRtTl5e8zqhAsAiTcd8muOy6NrYsmZa0IfKCt5RB&#10;Z85FQzq4FYWVCdLD6k1tubYdWD0XWSt4SqWEpxvTia/0+nlO0+6nPJe0Q3WCwbZOX4W+7tXVurok&#10;cSFIW1bpYAb5BCsaUjHYdFpqQzqCHkT1bKmmSgWXPO8uUt5YPM+rlGofwBvHPvPmVvCHVvtSxH3R&#10;TjKBtGc6ffKy6Y+PbwWqsgQvMWKkgRDpXZEfKW36tohhyK1o37VvhXEQmnc8/U1Ct3Xer+4LMxjt&#10;+x94BuuRh45rbQ65aNQS4DU66BA8TSGghw6l8HDlL73IgUil0OdEtm8PMUpLCOQ8zfGi1dSzHSY7&#10;ruv7ZurSzLNIbHbVlg6WKbcg2+QsqPw8Qd+VpKU6TlKpNQjqjYLeK+du+AEF2mK1OYxSgqLuAM/B&#10;Ua2PNLoixtclYQW9FoL3JSUZmOeoaIAT01TjhFSL/JPQjh3aEF0lqBeFrsn5UfAAAq3FdsNQ7zEq&#10;RuJWyO6W8gapRoIFFJO2kzzeyU6ZMw9RYWV8V9U1PCdxzU4ewEDzBDaFqapPba/r44/IjrbhNvQW&#10;nhtsF5692Syud2tvEeyclb9ZbtbrjfOn2tfx4rLKMsrUNmOtOt7HhW6ghqmyqVolr6tMLadMkqLY&#10;r2uBHgmwYqd/gyBHw6xTM7QI4MuZS47r2TdutNgF4Wrh7Tx/AdkaLmwnuokC24u8ze7UpbuK0c93&#10;CfUJjnzXN9n0om+2/j33jcRN1QGN66pJcDgNIrHKwS3LdGg7UtWmfSSFMn+WAsI9BlpnrEpSk67d&#10;YX/QsNHprLJ5z7MnSGHBIcGg6uEkgUbJxXuMeqByguXvD0RQjOrvGZSBQvjYEGNjPzYIS2FqgjuM&#10;THPdGdQ/tKIqSljZFBrj18CkvNJJPFsxFBiAwYBP48I056oGvhxjMhg8eWVMoryu2u9Ge0+AeUQ+&#10;VUQKmkfcc5cTFQdeqhPYlP5KFziJ03L74sQvCcxglFZFRzMVBZpWA/bWzBxB6YENR9CESj36/qmF&#10;4+aElGaKmv8yKbXWv5xp/Vy1WWzAuCGm0XqSbMbhQMw9Zd2aMwbg5GI5s1PRosiGPCLZrw5GeVPD&#10;ewegB8GJN51dmrR/D9qPrPlrX/1foea/UpJPh88RlQzYDY1GOunj54xKhkHj+TqU/3/wgrD6QL4v&#10;VYj+5XzXsFUvBTrTVDIOgHFc3z2HxZT2dhQN71YDY14576NgZQAF6/6f988/Ej78BvPKeT+/JuvD&#10;UH926NIZPpHUd83xvR41f8hd/QUAAP//AwBQSwMEFAAGAAgAAAAhAL1sMHnfAAAADAEAAA8AAABk&#10;cnMvZG93bnJldi54bWxMj8FOwzAQRO9I/IO1SNyok1CFEuJUgOAGqigpcHTjJY6I7WC7afh7Nie4&#10;7c6OZt+U68n0bEQfOmcFpIsEGNrGqc62AurXx4sVsBClVbJ3FgX8YIB1dXpSykK5o33BcRtbRiE2&#10;FFKAjnEoOA+NRiPDwg1o6fbpvJGRVt9y5eWRwk3PsyTJuZGdpQ9aDnivsfnaHoyA7Gq3DA8fw+bu&#10;eff9Nj6919q3tRDnZ9PtDbCIU/wzw4xP6FAR094drAqsF3CZkZHkPM2pwmxIV9c07WdtSRqvSv6/&#10;RPULAAD//wMAUEsBAi0AFAAGAAgAAAAhALaDOJL+AAAA4QEAABMAAAAAAAAAAAAAAAAAAAAAAFtD&#10;b250ZW50X1R5cGVzXS54bWxQSwECLQAUAAYACAAAACEAOP0h/9YAAACUAQAACwAAAAAAAAAAAAAA&#10;AAAvAQAAX3JlbHMvLnJlbHNQSwECLQAUAAYACAAAACEAUZ6IRTUEAAAQDgAADgAAAAAAAAAAAAAA&#10;AAAuAgAAZHJzL2Uyb0RvYy54bWxQSwECLQAUAAYACAAAACEAvWwwed8AAAAMAQAADwAAAAAAAAAA&#10;AAAAAACPBgAAZHJzL2Rvd25yZXYueG1sUEsFBgAAAAAEAAQA8wAAAJsHAAAAAA==&#10;">
          <o:lock v:ext="edit"/>
          <v:shape id="Text Box 60" o:spid="_x0000_s6149" o:spt="202" type="#_x0000_t202" style="position:absolute;left:10803;top:14982;height:288;width:65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v:path/>
            <v:fill on="f" focussize="0,0"/>
            <v:stroke on="f" joinstyle="miter"/>
            <v:imagedata o:title=""/>
            <o:lock v:ext="edit"/>
            <v:textbox inset="0mm,0mm,0mm,0mm">
              <w:txbxContent>
                <w:p>
                  <w:pPr>
                    <w:jc w:val="center"/>
                  </w:pPr>
                  <w:r>
                    <w:fldChar w:fldCharType="begin"/>
                  </w:r>
                  <w:r>
                    <w:instrText xml:space="preserve"> PAGE    \* MERGEFORMAT </w:instrText>
                  </w:r>
                  <w:r>
                    <w:fldChar w:fldCharType="separate"/>
                  </w:r>
                  <w:r>
                    <w:rPr>
                      <w:color w:val="8C8C8C"/>
                      <w:lang w:val="zh-CN"/>
                    </w:rPr>
                    <w:t>9</w:t>
                  </w:r>
                  <w:r>
                    <w:rPr>
                      <w:color w:val="8C8C8C"/>
                      <w:lang w:val="zh-CN"/>
                    </w:rPr>
                    <w:fldChar w:fldCharType="end"/>
                  </w:r>
                </w:p>
              </w:txbxContent>
            </v:textbox>
          </v:shape>
          <v:group id="Group 61" o:spid="_x0000_s6146" o:spt="203" style="position:absolute;left:0;top:14970;flip:x;height:230;width:12255;"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o:lock v:ext="edit"/>
            <v:shape id="AutoShape 62" o:spid="_x0000_s6148" o:spt="34" type="#_x0000_t34" style="position:absolute;left:-8;top:14978;flip:y;height:230;width:1260;"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v:path arrowok="t"/>
              <v:fill on="f" focussize="0,0"/>
              <v:stroke color="#A5A5A5" joinstyle="miter"/>
              <v:imagedata o:title=""/>
              <o:lock v:ext="edit"/>
            </v:shape>
            <v:shape id="AutoShape 63" o:spid="_x0000_s6147" o:spt="34" type="#_x0000_t34" style="position:absolute;left:1252;top:14978;height:230;width:10995;rotation:11796480f;" o:connectortype="elbow"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v:path arrowok="t"/>
              <v:fill on="f" focussize="0,0"/>
              <v:stroke color="#A5A5A5" joinstyle="miter"/>
              <v:imagedata o:title=""/>
              <o:lock v:ext="edit"/>
            </v:shape>
          </v:group>
        </v:group>
      </w:pict>
    </w:r>
    <w:r>
      <w:rPr>
        <w:rFonts w:hint="eastAsia" w:ascii="宋体" w:hAnsi="宋体" w:cs="楷体_GB2312"/>
        <w:iCs/>
        <w:color w:val="0070C0"/>
      </w:rPr>
      <w:t>地址： 云南省昆明市穿金路205号霖岚广场A幢714号    电话（传真）：0871-63121005      邮编：650051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ckThinSmallGap" w:color="622423" w:sz="24" w:space="1"/>
      </w:pBdr>
      <w:rPr>
        <w:rFonts w:ascii="Cambria" w:hAnsi="Cambria" w:cs="Times New Roman"/>
        <w:color w:val="548DD4"/>
        <w:sz w:val="32"/>
        <w:szCs w:val="32"/>
      </w:rPr>
    </w:pPr>
    <w:r>
      <w:rPr>
        <w:rFonts w:hint="eastAsia" w:ascii="宋体" w:hAnsi="宋体" w:cs="楷体_GB2312"/>
        <w:i/>
        <w:iCs/>
        <w:color w:val="548DD4"/>
        <w:sz w:val="28"/>
        <w:szCs w:val="28"/>
      </w:rPr>
      <w:drawing>
        <wp:anchor distT="0" distB="0" distL="114300" distR="114300" simplePos="0" relativeHeight="251659264" behindDoc="0" locked="0" layoutInCell="1" allowOverlap="1">
          <wp:simplePos x="0" y="0"/>
          <wp:positionH relativeFrom="column">
            <wp:posOffset>377825</wp:posOffset>
          </wp:positionH>
          <wp:positionV relativeFrom="paragraph">
            <wp:posOffset>-236220</wp:posOffset>
          </wp:positionV>
          <wp:extent cx="847090" cy="469265"/>
          <wp:effectExtent l="19050" t="0" r="0" b="0"/>
          <wp:wrapNone/>
          <wp:docPr id="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
                  <pic:cNvPicPr>
                    <a:picLocks noChangeAspect="1" noChangeArrowheads="1"/>
                  </pic:cNvPicPr>
                </pic:nvPicPr>
                <pic:blipFill>
                  <a:blip r:embed="rId1"/>
                  <a:srcRect/>
                  <a:stretch>
                    <a:fillRect/>
                  </a:stretch>
                </pic:blipFill>
                <pic:spPr>
                  <a:xfrm>
                    <a:off x="0" y="0"/>
                    <a:ext cx="847090" cy="469265"/>
                  </a:xfrm>
                  <a:prstGeom prst="rect">
                    <a:avLst/>
                  </a:prstGeom>
                  <a:noFill/>
                  <a:ln w="9525">
                    <a:noFill/>
                    <a:miter lim="800000"/>
                    <a:headEnd/>
                    <a:tailEnd/>
                  </a:ln>
                </pic:spPr>
              </pic:pic>
            </a:graphicData>
          </a:graphic>
        </wp:anchor>
      </w:drawing>
    </w:r>
    <w:r>
      <w:rPr>
        <w:rFonts w:hint="eastAsia" w:ascii="宋体" w:hAnsi="宋体" w:cs="楷体_GB2312"/>
        <w:i/>
        <w:iCs/>
        <w:color w:val="548DD4"/>
        <w:sz w:val="28"/>
        <w:szCs w:val="28"/>
      </w:rPr>
      <w:t xml:space="preserve">云南雨涵房地产评估有限责任公司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ckThinSmallGap" w:color="622423" w:sz="24" w:space="1"/>
      </w:pBdr>
      <w:rPr>
        <w:rFonts w:ascii="Cambria" w:hAnsi="Cambria" w:cs="Times New Roman"/>
        <w:color w:val="548DD4"/>
        <w:sz w:val="32"/>
        <w:szCs w:val="32"/>
      </w:rPr>
    </w:pPr>
    <w:r>
      <w:rPr>
        <w:rFonts w:hint="eastAsia" w:ascii="宋体" w:hAnsi="宋体" w:cs="楷体_GB2312"/>
        <w:i/>
        <w:iCs/>
        <w:color w:val="548DD4"/>
        <w:sz w:val="28"/>
        <w:szCs w:val="28"/>
      </w:rPr>
      <w:drawing>
        <wp:anchor distT="0" distB="0" distL="114300" distR="114300" simplePos="0" relativeHeight="251657216" behindDoc="0" locked="0" layoutInCell="1" allowOverlap="1">
          <wp:simplePos x="0" y="0"/>
          <wp:positionH relativeFrom="column">
            <wp:posOffset>377825</wp:posOffset>
          </wp:positionH>
          <wp:positionV relativeFrom="paragraph">
            <wp:posOffset>-236220</wp:posOffset>
          </wp:positionV>
          <wp:extent cx="847090" cy="469265"/>
          <wp:effectExtent l="19050" t="0" r="0" b="0"/>
          <wp:wrapNone/>
          <wp:docPr id="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
                  <pic:cNvPicPr>
                    <a:picLocks noChangeAspect="1" noChangeArrowheads="1"/>
                  </pic:cNvPicPr>
                </pic:nvPicPr>
                <pic:blipFill>
                  <a:blip r:embed="rId1"/>
                  <a:srcRect/>
                  <a:stretch>
                    <a:fillRect/>
                  </a:stretch>
                </pic:blipFill>
                <pic:spPr>
                  <a:xfrm>
                    <a:off x="0" y="0"/>
                    <a:ext cx="847090" cy="469265"/>
                  </a:xfrm>
                  <a:prstGeom prst="rect">
                    <a:avLst/>
                  </a:prstGeom>
                  <a:noFill/>
                  <a:ln w="9525">
                    <a:noFill/>
                    <a:miter lim="800000"/>
                    <a:headEnd/>
                    <a:tailEnd/>
                  </a:ln>
                </pic:spPr>
              </pic:pic>
            </a:graphicData>
          </a:graphic>
        </wp:anchor>
      </w:drawing>
    </w:r>
    <w:r>
      <w:rPr>
        <w:rFonts w:hint="eastAsia" w:ascii="宋体" w:hAnsi="宋体" w:cs="楷体_GB2312"/>
        <w:i/>
        <w:iCs/>
        <w:color w:val="548DD4"/>
        <w:sz w:val="28"/>
        <w:szCs w:val="28"/>
      </w:rPr>
      <w:t xml:space="preserve">云南雨涵房地产评估有限责任公司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3CAB"/>
    <w:multiLevelType w:val="multilevel"/>
    <w:tmpl w:val="53923CAB"/>
    <w:lvl w:ilvl="0" w:tentative="0">
      <w:start w:val="1"/>
      <w:numFmt w:val="japaneseCounting"/>
      <w:lvlText w:val="(%1)"/>
      <w:lvlJc w:val="left"/>
      <w:pPr>
        <w:ind w:left="978" w:hanging="720"/>
      </w:pPr>
      <w:rPr>
        <w:rFonts w:hint="default"/>
      </w:rPr>
    </w:lvl>
    <w:lvl w:ilvl="1" w:tentative="0">
      <w:start w:val="1"/>
      <w:numFmt w:val="lowerLetter"/>
      <w:lvlText w:val="%2)"/>
      <w:lvlJc w:val="left"/>
      <w:pPr>
        <w:ind w:left="1098" w:hanging="420"/>
      </w:pPr>
    </w:lvl>
    <w:lvl w:ilvl="2" w:tentative="0">
      <w:start w:val="1"/>
      <w:numFmt w:val="lowerRoman"/>
      <w:lvlText w:val="%3."/>
      <w:lvlJc w:val="right"/>
      <w:pPr>
        <w:ind w:left="1518" w:hanging="420"/>
      </w:pPr>
    </w:lvl>
    <w:lvl w:ilvl="3" w:tentative="0">
      <w:start w:val="1"/>
      <w:numFmt w:val="decimal"/>
      <w:lvlText w:val="%4."/>
      <w:lvlJc w:val="left"/>
      <w:pPr>
        <w:ind w:left="1938" w:hanging="420"/>
      </w:pPr>
    </w:lvl>
    <w:lvl w:ilvl="4" w:tentative="0">
      <w:start w:val="1"/>
      <w:numFmt w:val="lowerLetter"/>
      <w:lvlText w:val="%5)"/>
      <w:lvlJc w:val="left"/>
      <w:pPr>
        <w:ind w:left="2358" w:hanging="420"/>
      </w:pPr>
    </w:lvl>
    <w:lvl w:ilvl="5" w:tentative="0">
      <w:start w:val="1"/>
      <w:numFmt w:val="lowerRoman"/>
      <w:lvlText w:val="%6."/>
      <w:lvlJc w:val="right"/>
      <w:pPr>
        <w:ind w:left="2778" w:hanging="420"/>
      </w:pPr>
    </w:lvl>
    <w:lvl w:ilvl="6" w:tentative="0">
      <w:start w:val="1"/>
      <w:numFmt w:val="decimal"/>
      <w:lvlText w:val="%7."/>
      <w:lvlJc w:val="left"/>
      <w:pPr>
        <w:ind w:left="3198" w:hanging="420"/>
      </w:pPr>
    </w:lvl>
    <w:lvl w:ilvl="7" w:tentative="0">
      <w:start w:val="1"/>
      <w:numFmt w:val="lowerLetter"/>
      <w:lvlText w:val="%8)"/>
      <w:lvlJc w:val="left"/>
      <w:pPr>
        <w:ind w:left="3618" w:hanging="420"/>
      </w:pPr>
    </w:lvl>
    <w:lvl w:ilvl="8" w:tentative="0">
      <w:start w:val="1"/>
      <w:numFmt w:val="lowerRoman"/>
      <w:lvlText w:val="%9."/>
      <w:lvlJc w:val="right"/>
      <w:pPr>
        <w:ind w:left="4038" w:hanging="420"/>
      </w:pPr>
    </w:lvl>
  </w:abstractNum>
  <w:abstractNum w:abstractNumId="1">
    <w:nsid w:val="59666FD1"/>
    <w:multiLevelType w:val="multilevel"/>
    <w:tmpl w:val="59666FD1"/>
    <w:lvl w:ilvl="0" w:tentative="0">
      <w:start w:val="1"/>
      <w:numFmt w:val="japaneseCounting"/>
      <w:lvlText w:val="(%1)"/>
      <w:lvlJc w:val="left"/>
      <w:pPr>
        <w:ind w:left="978" w:hanging="720"/>
      </w:pPr>
      <w:rPr>
        <w:rFonts w:hint="default"/>
      </w:rPr>
    </w:lvl>
    <w:lvl w:ilvl="1" w:tentative="0">
      <w:start w:val="1"/>
      <w:numFmt w:val="lowerLetter"/>
      <w:lvlText w:val="%2)"/>
      <w:lvlJc w:val="left"/>
      <w:pPr>
        <w:ind w:left="1098" w:hanging="420"/>
      </w:pPr>
    </w:lvl>
    <w:lvl w:ilvl="2" w:tentative="0">
      <w:start w:val="1"/>
      <w:numFmt w:val="lowerRoman"/>
      <w:lvlText w:val="%3."/>
      <w:lvlJc w:val="right"/>
      <w:pPr>
        <w:ind w:left="1518" w:hanging="420"/>
      </w:pPr>
    </w:lvl>
    <w:lvl w:ilvl="3" w:tentative="0">
      <w:start w:val="1"/>
      <w:numFmt w:val="decimal"/>
      <w:lvlText w:val="%4."/>
      <w:lvlJc w:val="left"/>
      <w:pPr>
        <w:ind w:left="1938" w:hanging="420"/>
      </w:pPr>
    </w:lvl>
    <w:lvl w:ilvl="4" w:tentative="0">
      <w:start w:val="1"/>
      <w:numFmt w:val="lowerLetter"/>
      <w:lvlText w:val="%5)"/>
      <w:lvlJc w:val="left"/>
      <w:pPr>
        <w:ind w:left="2358" w:hanging="420"/>
      </w:pPr>
    </w:lvl>
    <w:lvl w:ilvl="5" w:tentative="0">
      <w:start w:val="1"/>
      <w:numFmt w:val="lowerRoman"/>
      <w:lvlText w:val="%6."/>
      <w:lvlJc w:val="right"/>
      <w:pPr>
        <w:ind w:left="2778" w:hanging="420"/>
      </w:pPr>
    </w:lvl>
    <w:lvl w:ilvl="6" w:tentative="0">
      <w:start w:val="1"/>
      <w:numFmt w:val="decimal"/>
      <w:lvlText w:val="%7."/>
      <w:lvlJc w:val="left"/>
      <w:pPr>
        <w:ind w:left="3198" w:hanging="420"/>
      </w:pPr>
    </w:lvl>
    <w:lvl w:ilvl="7" w:tentative="0">
      <w:start w:val="1"/>
      <w:numFmt w:val="lowerLetter"/>
      <w:lvlText w:val="%8)"/>
      <w:lvlJc w:val="left"/>
      <w:pPr>
        <w:ind w:left="3618" w:hanging="420"/>
      </w:pPr>
    </w:lvl>
    <w:lvl w:ilvl="8" w:tentative="0">
      <w:start w:val="1"/>
      <w:numFmt w:val="lowerRoman"/>
      <w:lvlText w:val="%9."/>
      <w:lvlJc w:val="right"/>
      <w:pPr>
        <w:ind w:left="403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dit="readOnly"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6"/>
      <o:rules v:ext="edit">
        <o:r id="V:Rule1" type="connector" idref="#AutoShape 63"/>
        <o:r id="V:Rule2" type="connector" idref="#AutoShape 62"/>
        <o:r id="V:Rule3" type="connector" idref="#AutoShape 76"/>
        <o:r id="V:Rule4" type="connector" idref="#AutoShape 75"/>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81C6D"/>
    <w:rsid w:val="00001827"/>
    <w:rsid w:val="00003EAD"/>
    <w:rsid w:val="00005290"/>
    <w:rsid w:val="0000547D"/>
    <w:rsid w:val="00005C43"/>
    <w:rsid w:val="0000658B"/>
    <w:rsid w:val="00006AED"/>
    <w:rsid w:val="00007541"/>
    <w:rsid w:val="00007B44"/>
    <w:rsid w:val="0001024C"/>
    <w:rsid w:val="000117C6"/>
    <w:rsid w:val="00012C13"/>
    <w:rsid w:val="000131E6"/>
    <w:rsid w:val="00013C41"/>
    <w:rsid w:val="00013D18"/>
    <w:rsid w:val="00013FB0"/>
    <w:rsid w:val="00015F97"/>
    <w:rsid w:val="00016EBD"/>
    <w:rsid w:val="00017205"/>
    <w:rsid w:val="000211B2"/>
    <w:rsid w:val="00022554"/>
    <w:rsid w:val="00023110"/>
    <w:rsid w:val="000307BD"/>
    <w:rsid w:val="00030AD1"/>
    <w:rsid w:val="00031C69"/>
    <w:rsid w:val="00032357"/>
    <w:rsid w:val="0003311C"/>
    <w:rsid w:val="0003429C"/>
    <w:rsid w:val="00034B1F"/>
    <w:rsid w:val="00035187"/>
    <w:rsid w:val="000352A8"/>
    <w:rsid w:val="000358DE"/>
    <w:rsid w:val="000369C3"/>
    <w:rsid w:val="000374AD"/>
    <w:rsid w:val="00037BF0"/>
    <w:rsid w:val="00040917"/>
    <w:rsid w:val="000420CD"/>
    <w:rsid w:val="000428C6"/>
    <w:rsid w:val="00042D90"/>
    <w:rsid w:val="000438B8"/>
    <w:rsid w:val="0004444C"/>
    <w:rsid w:val="000456F8"/>
    <w:rsid w:val="000461AE"/>
    <w:rsid w:val="00046DA4"/>
    <w:rsid w:val="000501EE"/>
    <w:rsid w:val="00050F10"/>
    <w:rsid w:val="00052126"/>
    <w:rsid w:val="00053BD3"/>
    <w:rsid w:val="00053BF3"/>
    <w:rsid w:val="00054198"/>
    <w:rsid w:val="00054F8E"/>
    <w:rsid w:val="00055CB8"/>
    <w:rsid w:val="00057376"/>
    <w:rsid w:val="00057CA6"/>
    <w:rsid w:val="000611E2"/>
    <w:rsid w:val="00061C6D"/>
    <w:rsid w:val="00062412"/>
    <w:rsid w:val="00062963"/>
    <w:rsid w:val="00062FC2"/>
    <w:rsid w:val="000651AF"/>
    <w:rsid w:val="0006573B"/>
    <w:rsid w:val="000667D1"/>
    <w:rsid w:val="00066DA6"/>
    <w:rsid w:val="00066DD0"/>
    <w:rsid w:val="00067303"/>
    <w:rsid w:val="00067382"/>
    <w:rsid w:val="00070B66"/>
    <w:rsid w:val="00070BED"/>
    <w:rsid w:val="00072506"/>
    <w:rsid w:val="000726FF"/>
    <w:rsid w:val="000730FF"/>
    <w:rsid w:val="000740D6"/>
    <w:rsid w:val="000747CB"/>
    <w:rsid w:val="000758F6"/>
    <w:rsid w:val="000763B1"/>
    <w:rsid w:val="00077EB2"/>
    <w:rsid w:val="000810D1"/>
    <w:rsid w:val="00081896"/>
    <w:rsid w:val="00081DCF"/>
    <w:rsid w:val="00081E62"/>
    <w:rsid w:val="0008448C"/>
    <w:rsid w:val="00087F59"/>
    <w:rsid w:val="0009186B"/>
    <w:rsid w:val="00092C6C"/>
    <w:rsid w:val="00093355"/>
    <w:rsid w:val="00093B46"/>
    <w:rsid w:val="0009530F"/>
    <w:rsid w:val="0009606A"/>
    <w:rsid w:val="0009631B"/>
    <w:rsid w:val="00096713"/>
    <w:rsid w:val="00096EB3"/>
    <w:rsid w:val="000972B1"/>
    <w:rsid w:val="00097FBC"/>
    <w:rsid w:val="000A1B7B"/>
    <w:rsid w:val="000A2C79"/>
    <w:rsid w:val="000A343A"/>
    <w:rsid w:val="000A34A9"/>
    <w:rsid w:val="000A3826"/>
    <w:rsid w:val="000A398E"/>
    <w:rsid w:val="000A3D88"/>
    <w:rsid w:val="000A3E1E"/>
    <w:rsid w:val="000A41A3"/>
    <w:rsid w:val="000A5369"/>
    <w:rsid w:val="000A5663"/>
    <w:rsid w:val="000A5B5A"/>
    <w:rsid w:val="000A5D9B"/>
    <w:rsid w:val="000A6763"/>
    <w:rsid w:val="000A6A7E"/>
    <w:rsid w:val="000B0A7A"/>
    <w:rsid w:val="000B12B4"/>
    <w:rsid w:val="000B1BA6"/>
    <w:rsid w:val="000B23AF"/>
    <w:rsid w:val="000B4200"/>
    <w:rsid w:val="000B4C44"/>
    <w:rsid w:val="000B6192"/>
    <w:rsid w:val="000B686D"/>
    <w:rsid w:val="000B78A5"/>
    <w:rsid w:val="000C0F52"/>
    <w:rsid w:val="000C1102"/>
    <w:rsid w:val="000C1492"/>
    <w:rsid w:val="000C1537"/>
    <w:rsid w:val="000C1889"/>
    <w:rsid w:val="000C28A6"/>
    <w:rsid w:val="000C28D0"/>
    <w:rsid w:val="000C298B"/>
    <w:rsid w:val="000C3B84"/>
    <w:rsid w:val="000C5333"/>
    <w:rsid w:val="000D02B8"/>
    <w:rsid w:val="000D1580"/>
    <w:rsid w:val="000D1758"/>
    <w:rsid w:val="000D1E1D"/>
    <w:rsid w:val="000D233C"/>
    <w:rsid w:val="000D2D51"/>
    <w:rsid w:val="000D3142"/>
    <w:rsid w:val="000D33DD"/>
    <w:rsid w:val="000D35C7"/>
    <w:rsid w:val="000D4D39"/>
    <w:rsid w:val="000D4FFE"/>
    <w:rsid w:val="000D5B11"/>
    <w:rsid w:val="000D5FE0"/>
    <w:rsid w:val="000D73CB"/>
    <w:rsid w:val="000E0042"/>
    <w:rsid w:val="000E2110"/>
    <w:rsid w:val="000E426C"/>
    <w:rsid w:val="000E4C96"/>
    <w:rsid w:val="000E4F2F"/>
    <w:rsid w:val="000E5023"/>
    <w:rsid w:val="000E63DC"/>
    <w:rsid w:val="000E6DF2"/>
    <w:rsid w:val="000E7136"/>
    <w:rsid w:val="000F02A9"/>
    <w:rsid w:val="000F1285"/>
    <w:rsid w:val="000F251E"/>
    <w:rsid w:val="000F2C9E"/>
    <w:rsid w:val="000F35F7"/>
    <w:rsid w:val="000F4860"/>
    <w:rsid w:val="000F49F5"/>
    <w:rsid w:val="000F4FFE"/>
    <w:rsid w:val="000F559A"/>
    <w:rsid w:val="000F5696"/>
    <w:rsid w:val="000F6B00"/>
    <w:rsid w:val="000F6C75"/>
    <w:rsid w:val="00100902"/>
    <w:rsid w:val="00101E72"/>
    <w:rsid w:val="00102381"/>
    <w:rsid w:val="00102FA9"/>
    <w:rsid w:val="00103C14"/>
    <w:rsid w:val="00103E81"/>
    <w:rsid w:val="00104630"/>
    <w:rsid w:val="0010544C"/>
    <w:rsid w:val="00106934"/>
    <w:rsid w:val="0010748D"/>
    <w:rsid w:val="001101EE"/>
    <w:rsid w:val="00110BEE"/>
    <w:rsid w:val="001117AD"/>
    <w:rsid w:val="0011275D"/>
    <w:rsid w:val="00113046"/>
    <w:rsid w:val="001140E4"/>
    <w:rsid w:val="00115052"/>
    <w:rsid w:val="00115BA0"/>
    <w:rsid w:val="00115CE6"/>
    <w:rsid w:val="00116558"/>
    <w:rsid w:val="00117949"/>
    <w:rsid w:val="00121971"/>
    <w:rsid w:val="00121BA0"/>
    <w:rsid w:val="00121EAE"/>
    <w:rsid w:val="00122595"/>
    <w:rsid w:val="001227DB"/>
    <w:rsid w:val="001234B7"/>
    <w:rsid w:val="00123899"/>
    <w:rsid w:val="00124129"/>
    <w:rsid w:val="001253BB"/>
    <w:rsid w:val="001259C6"/>
    <w:rsid w:val="001271FE"/>
    <w:rsid w:val="00127822"/>
    <w:rsid w:val="001307DF"/>
    <w:rsid w:val="00130CC2"/>
    <w:rsid w:val="00130E77"/>
    <w:rsid w:val="001313B7"/>
    <w:rsid w:val="00131597"/>
    <w:rsid w:val="00132B16"/>
    <w:rsid w:val="00135555"/>
    <w:rsid w:val="001362A5"/>
    <w:rsid w:val="00140993"/>
    <w:rsid w:val="00140E5B"/>
    <w:rsid w:val="00140FFC"/>
    <w:rsid w:val="0014230D"/>
    <w:rsid w:val="001424C7"/>
    <w:rsid w:val="001449B4"/>
    <w:rsid w:val="00146472"/>
    <w:rsid w:val="001503D6"/>
    <w:rsid w:val="00150DA8"/>
    <w:rsid w:val="001527D1"/>
    <w:rsid w:val="001530CA"/>
    <w:rsid w:val="0015325B"/>
    <w:rsid w:val="00155855"/>
    <w:rsid w:val="00155B85"/>
    <w:rsid w:val="00156AD9"/>
    <w:rsid w:val="00157AAE"/>
    <w:rsid w:val="00160C63"/>
    <w:rsid w:val="0016393C"/>
    <w:rsid w:val="001640C1"/>
    <w:rsid w:val="00165765"/>
    <w:rsid w:val="00166772"/>
    <w:rsid w:val="00166B3A"/>
    <w:rsid w:val="00166DDA"/>
    <w:rsid w:val="0016793F"/>
    <w:rsid w:val="0017089B"/>
    <w:rsid w:val="00172612"/>
    <w:rsid w:val="001726BC"/>
    <w:rsid w:val="00172A15"/>
    <w:rsid w:val="00172A9E"/>
    <w:rsid w:val="001747C7"/>
    <w:rsid w:val="00174A7D"/>
    <w:rsid w:val="00174FF5"/>
    <w:rsid w:val="00176072"/>
    <w:rsid w:val="001760E9"/>
    <w:rsid w:val="00176796"/>
    <w:rsid w:val="00177A78"/>
    <w:rsid w:val="00180117"/>
    <w:rsid w:val="001802E4"/>
    <w:rsid w:val="00181410"/>
    <w:rsid w:val="0018235B"/>
    <w:rsid w:val="001829F5"/>
    <w:rsid w:val="001833B9"/>
    <w:rsid w:val="0018460E"/>
    <w:rsid w:val="00186510"/>
    <w:rsid w:val="001865FA"/>
    <w:rsid w:val="001867A5"/>
    <w:rsid w:val="0018783F"/>
    <w:rsid w:val="00190C88"/>
    <w:rsid w:val="00191E65"/>
    <w:rsid w:val="00192475"/>
    <w:rsid w:val="0019279B"/>
    <w:rsid w:val="00193F63"/>
    <w:rsid w:val="00193F80"/>
    <w:rsid w:val="00194611"/>
    <w:rsid w:val="00195749"/>
    <w:rsid w:val="00195B5B"/>
    <w:rsid w:val="00196CE6"/>
    <w:rsid w:val="0019757D"/>
    <w:rsid w:val="001977E3"/>
    <w:rsid w:val="00197A87"/>
    <w:rsid w:val="001A0A3B"/>
    <w:rsid w:val="001A15EF"/>
    <w:rsid w:val="001A1C9B"/>
    <w:rsid w:val="001A204C"/>
    <w:rsid w:val="001A2AC3"/>
    <w:rsid w:val="001A35F4"/>
    <w:rsid w:val="001A4031"/>
    <w:rsid w:val="001A4776"/>
    <w:rsid w:val="001A5DF4"/>
    <w:rsid w:val="001A6BA4"/>
    <w:rsid w:val="001A773C"/>
    <w:rsid w:val="001A7F37"/>
    <w:rsid w:val="001B1627"/>
    <w:rsid w:val="001B1A31"/>
    <w:rsid w:val="001B2DB9"/>
    <w:rsid w:val="001B2FB3"/>
    <w:rsid w:val="001B3E6F"/>
    <w:rsid w:val="001B47E8"/>
    <w:rsid w:val="001B5457"/>
    <w:rsid w:val="001B5F4D"/>
    <w:rsid w:val="001B707F"/>
    <w:rsid w:val="001B7A63"/>
    <w:rsid w:val="001B7DE8"/>
    <w:rsid w:val="001C07DB"/>
    <w:rsid w:val="001C144C"/>
    <w:rsid w:val="001C155E"/>
    <w:rsid w:val="001C1C8B"/>
    <w:rsid w:val="001C3D02"/>
    <w:rsid w:val="001C3DFF"/>
    <w:rsid w:val="001C4E61"/>
    <w:rsid w:val="001C54CD"/>
    <w:rsid w:val="001C675C"/>
    <w:rsid w:val="001C69C7"/>
    <w:rsid w:val="001C6EA0"/>
    <w:rsid w:val="001C7D59"/>
    <w:rsid w:val="001D1D0C"/>
    <w:rsid w:val="001D2968"/>
    <w:rsid w:val="001D2CD9"/>
    <w:rsid w:val="001D31C1"/>
    <w:rsid w:val="001D3583"/>
    <w:rsid w:val="001D3DD7"/>
    <w:rsid w:val="001D4789"/>
    <w:rsid w:val="001D4B31"/>
    <w:rsid w:val="001D4DB2"/>
    <w:rsid w:val="001D69D1"/>
    <w:rsid w:val="001D7541"/>
    <w:rsid w:val="001D7E7D"/>
    <w:rsid w:val="001E2136"/>
    <w:rsid w:val="001E5334"/>
    <w:rsid w:val="001E6243"/>
    <w:rsid w:val="001E6605"/>
    <w:rsid w:val="001E6A2B"/>
    <w:rsid w:val="001E7B39"/>
    <w:rsid w:val="001F2692"/>
    <w:rsid w:val="001F28B0"/>
    <w:rsid w:val="001F29AA"/>
    <w:rsid w:val="001F339A"/>
    <w:rsid w:val="001F351A"/>
    <w:rsid w:val="001F3DE4"/>
    <w:rsid w:val="001F4EAC"/>
    <w:rsid w:val="001F590A"/>
    <w:rsid w:val="001F5A67"/>
    <w:rsid w:val="001F6C22"/>
    <w:rsid w:val="001F7515"/>
    <w:rsid w:val="001F7B4B"/>
    <w:rsid w:val="00201E16"/>
    <w:rsid w:val="0020207A"/>
    <w:rsid w:val="00202AF4"/>
    <w:rsid w:val="00203291"/>
    <w:rsid w:val="002048D7"/>
    <w:rsid w:val="00205DE3"/>
    <w:rsid w:val="002065A6"/>
    <w:rsid w:val="00206C6B"/>
    <w:rsid w:val="00207496"/>
    <w:rsid w:val="00207BE6"/>
    <w:rsid w:val="00207C81"/>
    <w:rsid w:val="00207CFB"/>
    <w:rsid w:val="00210604"/>
    <w:rsid w:val="00210800"/>
    <w:rsid w:val="00211253"/>
    <w:rsid w:val="00211308"/>
    <w:rsid w:val="002115EA"/>
    <w:rsid w:val="00211EF3"/>
    <w:rsid w:val="0021314E"/>
    <w:rsid w:val="00213258"/>
    <w:rsid w:val="00214B99"/>
    <w:rsid w:val="00216A9C"/>
    <w:rsid w:val="00216AA8"/>
    <w:rsid w:val="00220091"/>
    <w:rsid w:val="00220791"/>
    <w:rsid w:val="00220E51"/>
    <w:rsid w:val="00220EB9"/>
    <w:rsid w:val="00220EF6"/>
    <w:rsid w:val="00221CB3"/>
    <w:rsid w:val="00222540"/>
    <w:rsid w:val="00222612"/>
    <w:rsid w:val="0022340B"/>
    <w:rsid w:val="002245B3"/>
    <w:rsid w:val="002248DA"/>
    <w:rsid w:val="0022521C"/>
    <w:rsid w:val="00225D99"/>
    <w:rsid w:val="00227213"/>
    <w:rsid w:val="0022748F"/>
    <w:rsid w:val="00227968"/>
    <w:rsid w:val="002314E2"/>
    <w:rsid w:val="00231FEF"/>
    <w:rsid w:val="0023299D"/>
    <w:rsid w:val="00233E40"/>
    <w:rsid w:val="0023572C"/>
    <w:rsid w:val="00236278"/>
    <w:rsid w:val="002412B0"/>
    <w:rsid w:val="00241CCC"/>
    <w:rsid w:val="00241DCC"/>
    <w:rsid w:val="00243302"/>
    <w:rsid w:val="00247D34"/>
    <w:rsid w:val="00251B95"/>
    <w:rsid w:val="00252FB9"/>
    <w:rsid w:val="002546D4"/>
    <w:rsid w:val="002546D6"/>
    <w:rsid w:val="00256985"/>
    <w:rsid w:val="002576CE"/>
    <w:rsid w:val="0026032D"/>
    <w:rsid w:val="00261661"/>
    <w:rsid w:val="00261838"/>
    <w:rsid w:val="00262720"/>
    <w:rsid w:val="00262C16"/>
    <w:rsid w:val="00262CF9"/>
    <w:rsid w:val="00262E68"/>
    <w:rsid w:val="00264002"/>
    <w:rsid w:val="00264A71"/>
    <w:rsid w:val="00265AE6"/>
    <w:rsid w:val="00267651"/>
    <w:rsid w:val="00267D1F"/>
    <w:rsid w:val="00271341"/>
    <w:rsid w:val="00271AC8"/>
    <w:rsid w:val="002739AB"/>
    <w:rsid w:val="00273F07"/>
    <w:rsid w:val="002758AF"/>
    <w:rsid w:val="00276D89"/>
    <w:rsid w:val="00277366"/>
    <w:rsid w:val="002775D8"/>
    <w:rsid w:val="0028072E"/>
    <w:rsid w:val="00280FBB"/>
    <w:rsid w:val="00282113"/>
    <w:rsid w:val="0028218D"/>
    <w:rsid w:val="0028399B"/>
    <w:rsid w:val="00283D10"/>
    <w:rsid w:val="00284244"/>
    <w:rsid w:val="00286CFF"/>
    <w:rsid w:val="00286DA2"/>
    <w:rsid w:val="00287A2E"/>
    <w:rsid w:val="00292582"/>
    <w:rsid w:val="00292587"/>
    <w:rsid w:val="0029475F"/>
    <w:rsid w:val="00295292"/>
    <w:rsid w:val="0029559C"/>
    <w:rsid w:val="00295E0A"/>
    <w:rsid w:val="0029604B"/>
    <w:rsid w:val="002964F0"/>
    <w:rsid w:val="00296810"/>
    <w:rsid w:val="002970C5"/>
    <w:rsid w:val="002A0781"/>
    <w:rsid w:val="002A1CB4"/>
    <w:rsid w:val="002A2671"/>
    <w:rsid w:val="002A28D4"/>
    <w:rsid w:val="002A2993"/>
    <w:rsid w:val="002A2B7D"/>
    <w:rsid w:val="002A3356"/>
    <w:rsid w:val="002A350F"/>
    <w:rsid w:val="002A5496"/>
    <w:rsid w:val="002A57E8"/>
    <w:rsid w:val="002A6A07"/>
    <w:rsid w:val="002A6BD8"/>
    <w:rsid w:val="002A6F70"/>
    <w:rsid w:val="002A7D8B"/>
    <w:rsid w:val="002B006D"/>
    <w:rsid w:val="002B2782"/>
    <w:rsid w:val="002B2B22"/>
    <w:rsid w:val="002B3986"/>
    <w:rsid w:val="002B3D10"/>
    <w:rsid w:val="002B3D2E"/>
    <w:rsid w:val="002B3D39"/>
    <w:rsid w:val="002B426C"/>
    <w:rsid w:val="002B4864"/>
    <w:rsid w:val="002B4E20"/>
    <w:rsid w:val="002B6390"/>
    <w:rsid w:val="002B77BA"/>
    <w:rsid w:val="002C16DC"/>
    <w:rsid w:val="002C19ED"/>
    <w:rsid w:val="002C2270"/>
    <w:rsid w:val="002C23D9"/>
    <w:rsid w:val="002C2907"/>
    <w:rsid w:val="002C4894"/>
    <w:rsid w:val="002C4E55"/>
    <w:rsid w:val="002C6076"/>
    <w:rsid w:val="002C6E12"/>
    <w:rsid w:val="002C7149"/>
    <w:rsid w:val="002C7AE7"/>
    <w:rsid w:val="002D066C"/>
    <w:rsid w:val="002D0CBB"/>
    <w:rsid w:val="002D0E56"/>
    <w:rsid w:val="002D1592"/>
    <w:rsid w:val="002D16F8"/>
    <w:rsid w:val="002D1B12"/>
    <w:rsid w:val="002D35CF"/>
    <w:rsid w:val="002D43FB"/>
    <w:rsid w:val="002D7E71"/>
    <w:rsid w:val="002E0C50"/>
    <w:rsid w:val="002E212F"/>
    <w:rsid w:val="002E2347"/>
    <w:rsid w:val="002E2746"/>
    <w:rsid w:val="002E294B"/>
    <w:rsid w:val="002E2978"/>
    <w:rsid w:val="002E3E52"/>
    <w:rsid w:val="002E55F2"/>
    <w:rsid w:val="002E5629"/>
    <w:rsid w:val="002E585F"/>
    <w:rsid w:val="002E6BB3"/>
    <w:rsid w:val="002E7D58"/>
    <w:rsid w:val="002E7D5B"/>
    <w:rsid w:val="002F000A"/>
    <w:rsid w:val="002F0CF8"/>
    <w:rsid w:val="002F1E29"/>
    <w:rsid w:val="002F23A1"/>
    <w:rsid w:val="002F34D6"/>
    <w:rsid w:val="002F455F"/>
    <w:rsid w:val="002F5FFD"/>
    <w:rsid w:val="002F7003"/>
    <w:rsid w:val="0030054B"/>
    <w:rsid w:val="00300862"/>
    <w:rsid w:val="00301871"/>
    <w:rsid w:val="00301B26"/>
    <w:rsid w:val="00302D4E"/>
    <w:rsid w:val="00302D75"/>
    <w:rsid w:val="0030337B"/>
    <w:rsid w:val="003061A1"/>
    <w:rsid w:val="003067C6"/>
    <w:rsid w:val="003069CB"/>
    <w:rsid w:val="00306C98"/>
    <w:rsid w:val="003070C0"/>
    <w:rsid w:val="00307C32"/>
    <w:rsid w:val="00311145"/>
    <w:rsid w:val="0031131B"/>
    <w:rsid w:val="003128D8"/>
    <w:rsid w:val="003131AA"/>
    <w:rsid w:val="00313943"/>
    <w:rsid w:val="0031513C"/>
    <w:rsid w:val="0031578D"/>
    <w:rsid w:val="003166A8"/>
    <w:rsid w:val="00317015"/>
    <w:rsid w:val="00317CC7"/>
    <w:rsid w:val="003208C2"/>
    <w:rsid w:val="00321B26"/>
    <w:rsid w:val="00322047"/>
    <w:rsid w:val="00322DB7"/>
    <w:rsid w:val="0032344B"/>
    <w:rsid w:val="003235DF"/>
    <w:rsid w:val="00323C97"/>
    <w:rsid w:val="00324139"/>
    <w:rsid w:val="0032508D"/>
    <w:rsid w:val="0032559F"/>
    <w:rsid w:val="003266B1"/>
    <w:rsid w:val="00327811"/>
    <w:rsid w:val="00330C3B"/>
    <w:rsid w:val="00332748"/>
    <w:rsid w:val="003328F2"/>
    <w:rsid w:val="003365AB"/>
    <w:rsid w:val="00337CAC"/>
    <w:rsid w:val="0034132E"/>
    <w:rsid w:val="0034176E"/>
    <w:rsid w:val="00341B33"/>
    <w:rsid w:val="00343EF9"/>
    <w:rsid w:val="00345D55"/>
    <w:rsid w:val="003473B6"/>
    <w:rsid w:val="00351A4C"/>
    <w:rsid w:val="00351AF2"/>
    <w:rsid w:val="003525C3"/>
    <w:rsid w:val="00352D09"/>
    <w:rsid w:val="00353486"/>
    <w:rsid w:val="00353492"/>
    <w:rsid w:val="00354990"/>
    <w:rsid w:val="00354AA8"/>
    <w:rsid w:val="00355150"/>
    <w:rsid w:val="00355AFD"/>
    <w:rsid w:val="00356353"/>
    <w:rsid w:val="00356694"/>
    <w:rsid w:val="00357108"/>
    <w:rsid w:val="00357A26"/>
    <w:rsid w:val="0036071F"/>
    <w:rsid w:val="00360E7B"/>
    <w:rsid w:val="003612C6"/>
    <w:rsid w:val="00361F20"/>
    <w:rsid w:val="00361F98"/>
    <w:rsid w:val="00362A49"/>
    <w:rsid w:val="00362CF2"/>
    <w:rsid w:val="00363AAF"/>
    <w:rsid w:val="00363F10"/>
    <w:rsid w:val="00365392"/>
    <w:rsid w:val="003654F0"/>
    <w:rsid w:val="003675A6"/>
    <w:rsid w:val="00367F2E"/>
    <w:rsid w:val="00370822"/>
    <w:rsid w:val="0037198E"/>
    <w:rsid w:val="00373D00"/>
    <w:rsid w:val="003742E9"/>
    <w:rsid w:val="00374A0D"/>
    <w:rsid w:val="00374A21"/>
    <w:rsid w:val="00374B88"/>
    <w:rsid w:val="00375489"/>
    <w:rsid w:val="00375832"/>
    <w:rsid w:val="00376138"/>
    <w:rsid w:val="00376862"/>
    <w:rsid w:val="00376A0C"/>
    <w:rsid w:val="00376E64"/>
    <w:rsid w:val="003771AB"/>
    <w:rsid w:val="003772EA"/>
    <w:rsid w:val="00377D29"/>
    <w:rsid w:val="00380ACA"/>
    <w:rsid w:val="003812F1"/>
    <w:rsid w:val="003814DA"/>
    <w:rsid w:val="00382740"/>
    <w:rsid w:val="0038285E"/>
    <w:rsid w:val="00383E44"/>
    <w:rsid w:val="00384D7A"/>
    <w:rsid w:val="00387406"/>
    <w:rsid w:val="00387F7A"/>
    <w:rsid w:val="00390773"/>
    <w:rsid w:val="00391858"/>
    <w:rsid w:val="00393EA2"/>
    <w:rsid w:val="003941B9"/>
    <w:rsid w:val="00394DEF"/>
    <w:rsid w:val="00395110"/>
    <w:rsid w:val="00395C12"/>
    <w:rsid w:val="00397F96"/>
    <w:rsid w:val="003A00AA"/>
    <w:rsid w:val="003A22BB"/>
    <w:rsid w:val="003A349C"/>
    <w:rsid w:val="003A4DE2"/>
    <w:rsid w:val="003A631E"/>
    <w:rsid w:val="003A7F5E"/>
    <w:rsid w:val="003B21FB"/>
    <w:rsid w:val="003B2A7B"/>
    <w:rsid w:val="003B357D"/>
    <w:rsid w:val="003B4322"/>
    <w:rsid w:val="003B4D07"/>
    <w:rsid w:val="003B5D18"/>
    <w:rsid w:val="003B650C"/>
    <w:rsid w:val="003B6C29"/>
    <w:rsid w:val="003B7BEF"/>
    <w:rsid w:val="003C076F"/>
    <w:rsid w:val="003C2F12"/>
    <w:rsid w:val="003C34B0"/>
    <w:rsid w:val="003C421B"/>
    <w:rsid w:val="003C4D28"/>
    <w:rsid w:val="003C4F68"/>
    <w:rsid w:val="003C50DC"/>
    <w:rsid w:val="003C5371"/>
    <w:rsid w:val="003C5B7E"/>
    <w:rsid w:val="003C6707"/>
    <w:rsid w:val="003C7591"/>
    <w:rsid w:val="003C7F24"/>
    <w:rsid w:val="003D08EF"/>
    <w:rsid w:val="003D09A8"/>
    <w:rsid w:val="003D0D06"/>
    <w:rsid w:val="003D13B0"/>
    <w:rsid w:val="003D1D02"/>
    <w:rsid w:val="003D3914"/>
    <w:rsid w:val="003D7355"/>
    <w:rsid w:val="003E293D"/>
    <w:rsid w:val="003E33EA"/>
    <w:rsid w:val="003E35A1"/>
    <w:rsid w:val="003E4512"/>
    <w:rsid w:val="003E47A4"/>
    <w:rsid w:val="003E4B63"/>
    <w:rsid w:val="003E5284"/>
    <w:rsid w:val="003E684E"/>
    <w:rsid w:val="003E743D"/>
    <w:rsid w:val="003E7533"/>
    <w:rsid w:val="003E76F1"/>
    <w:rsid w:val="003E7D26"/>
    <w:rsid w:val="003E7D8A"/>
    <w:rsid w:val="003E7E3B"/>
    <w:rsid w:val="003F0F2F"/>
    <w:rsid w:val="003F21AB"/>
    <w:rsid w:val="003F24A3"/>
    <w:rsid w:val="003F293F"/>
    <w:rsid w:val="003F3092"/>
    <w:rsid w:val="003F3F44"/>
    <w:rsid w:val="003F4605"/>
    <w:rsid w:val="003F4625"/>
    <w:rsid w:val="003F5944"/>
    <w:rsid w:val="003F6D18"/>
    <w:rsid w:val="003F7F61"/>
    <w:rsid w:val="004023F7"/>
    <w:rsid w:val="00402CD4"/>
    <w:rsid w:val="00402CF6"/>
    <w:rsid w:val="00403A8B"/>
    <w:rsid w:val="00404EB1"/>
    <w:rsid w:val="004059E1"/>
    <w:rsid w:val="004064A2"/>
    <w:rsid w:val="004067A7"/>
    <w:rsid w:val="0040713B"/>
    <w:rsid w:val="004108F2"/>
    <w:rsid w:val="00410C10"/>
    <w:rsid w:val="00410CBE"/>
    <w:rsid w:val="004120E8"/>
    <w:rsid w:val="00412890"/>
    <w:rsid w:val="00412F70"/>
    <w:rsid w:val="00414E85"/>
    <w:rsid w:val="00415057"/>
    <w:rsid w:val="004157FF"/>
    <w:rsid w:val="00416C30"/>
    <w:rsid w:val="00420C83"/>
    <w:rsid w:val="00423E69"/>
    <w:rsid w:val="004241DA"/>
    <w:rsid w:val="00424808"/>
    <w:rsid w:val="004253F9"/>
    <w:rsid w:val="00425F4B"/>
    <w:rsid w:val="00427B0D"/>
    <w:rsid w:val="0043013C"/>
    <w:rsid w:val="00430663"/>
    <w:rsid w:val="00433907"/>
    <w:rsid w:val="00433C41"/>
    <w:rsid w:val="0043593D"/>
    <w:rsid w:val="00436B66"/>
    <w:rsid w:val="00436C24"/>
    <w:rsid w:val="00436ECE"/>
    <w:rsid w:val="00437A39"/>
    <w:rsid w:val="00437B63"/>
    <w:rsid w:val="00443727"/>
    <w:rsid w:val="00443BA5"/>
    <w:rsid w:val="004444D6"/>
    <w:rsid w:val="0044597C"/>
    <w:rsid w:val="00445A94"/>
    <w:rsid w:val="00445DDA"/>
    <w:rsid w:val="00445EE9"/>
    <w:rsid w:val="004462B1"/>
    <w:rsid w:val="004464E6"/>
    <w:rsid w:val="00446740"/>
    <w:rsid w:val="00446A87"/>
    <w:rsid w:val="0045061E"/>
    <w:rsid w:val="00450E7F"/>
    <w:rsid w:val="0045108B"/>
    <w:rsid w:val="00451238"/>
    <w:rsid w:val="00452B97"/>
    <w:rsid w:val="00453CCD"/>
    <w:rsid w:val="00454BE8"/>
    <w:rsid w:val="00454CBF"/>
    <w:rsid w:val="00454E6C"/>
    <w:rsid w:val="0045609E"/>
    <w:rsid w:val="00460B82"/>
    <w:rsid w:val="00462258"/>
    <w:rsid w:val="00462BB2"/>
    <w:rsid w:val="004632AC"/>
    <w:rsid w:val="0046330A"/>
    <w:rsid w:val="00464953"/>
    <w:rsid w:val="00464EAE"/>
    <w:rsid w:val="00464F53"/>
    <w:rsid w:val="00465129"/>
    <w:rsid w:val="004659AA"/>
    <w:rsid w:val="00467786"/>
    <w:rsid w:val="004679BB"/>
    <w:rsid w:val="004705F6"/>
    <w:rsid w:val="00471349"/>
    <w:rsid w:val="00471517"/>
    <w:rsid w:val="00472024"/>
    <w:rsid w:val="00472071"/>
    <w:rsid w:val="00472158"/>
    <w:rsid w:val="004721D1"/>
    <w:rsid w:val="004725BC"/>
    <w:rsid w:val="0047413D"/>
    <w:rsid w:val="0047436A"/>
    <w:rsid w:val="004751A4"/>
    <w:rsid w:val="00476A24"/>
    <w:rsid w:val="00477198"/>
    <w:rsid w:val="0047774D"/>
    <w:rsid w:val="00477CF3"/>
    <w:rsid w:val="00477FD9"/>
    <w:rsid w:val="0048047B"/>
    <w:rsid w:val="004807EF"/>
    <w:rsid w:val="00480B7F"/>
    <w:rsid w:val="00481223"/>
    <w:rsid w:val="00481DAD"/>
    <w:rsid w:val="004850FA"/>
    <w:rsid w:val="004865A8"/>
    <w:rsid w:val="00490EE8"/>
    <w:rsid w:val="00491150"/>
    <w:rsid w:val="00491808"/>
    <w:rsid w:val="00494F93"/>
    <w:rsid w:val="00495DDE"/>
    <w:rsid w:val="00497297"/>
    <w:rsid w:val="00497316"/>
    <w:rsid w:val="004977E0"/>
    <w:rsid w:val="00497A9A"/>
    <w:rsid w:val="004A3611"/>
    <w:rsid w:val="004A47C5"/>
    <w:rsid w:val="004A4AE3"/>
    <w:rsid w:val="004A4DA5"/>
    <w:rsid w:val="004A58DE"/>
    <w:rsid w:val="004A5A17"/>
    <w:rsid w:val="004A6CEE"/>
    <w:rsid w:val="004A6DAC"/>
    <w:rsid w:val="004B0B54"/>
    <w:rsid w:val="004B1483"/>
    <w:rsid w:val="004B1AE8"/>
    <w:rsid w:val="004B22A4"/>
    <w:rsid w:val="004B43F8"/>
    <w:rsid w:val="004B594F"/>
    <w:rsid w:val="004B6072"/>
    <w:rsid w:val="004B68F9"/>
    <w:rsid w:val="004B70FE"/>
    <w:rsid w:val="004B73F9"/>
    <w:rsid w:val="004C059A"/>
    <w:rsid w:val="004C0DD4"/>
    <w:rsid w:val="004C1086"/>
    <w:rsid w:val="004C1F54"/>
    <w:rsid w:val="004C28F6"/>
    <w:rsid w:val="004C2FF0"/>
    <w:rsid w:val="004C31DA"/>
    <w:rsid w:val="004C3E81"/>
    <w:rsid w:val="004C42F4"/>
    <w:rsid w:val="004C44E0"/>
    <w:rsid w:val="004C62D6"/>
    <w:rsid w:val="004C6348"/>
    <w:rsid w:val="004C751C"/>
    <w:rsid w:val="004D0298"/>
    <w:rsid w:val="004D291E"/>
    <w:rsid w:val="004D3673"/>
    <w:rsid w:val="004D3971"/>
    <w:rsid w:val="004D441C"/>
    <w:rsid w:val="004D4D7C"/>
    <w:rsid w:val="004D59B3"/>
    <w:rsid w:val="004D679A"/>
    <w:rsid w:val="004D752C"/>
    <w:rsid w:val="004D794E"/>
    <w:rsid w:val="004E0EEF"/>
    <w:rsid w:val="004E1A84"/>
    <w:rsid w:val="004E26AD"/>
    <w:rsid w:val="004E327F"/>
    <w:rsid w:val="004E3D15"/>
    <w:rsid w:val="004E4205"/>
    <w:rsid w:val="004E47B5"/>
    <w:rsid w:val="004E4CFE"/>
    <w:rsid w:val="004E5734"/>
    <w:rsid w:val="004E5DA0"/>
    <w:rsid w:val="004E60F6"/>
    <w:rsid w:val="004E6258"/>
    <w:rsid w:val="004E6AFA"/>
    <w:rsid w:val="004E6DE3"/>
    <w:rsid w:val="004E74E6"/>
    <w:rsid w:val="004E7AD9"/>
    <w:rsid w:val="004F0DBA"/>
    <w:rsid w:val="004F1948"/>
    <w:rsid w:val="004F1F4B"/>
    <w:rsid w:val="004F23B8"/>
    <w:rsid w:val="004F2557"/>
    <w:rsid w:val="004F2EAB"/>
    <w:rsid w:val="004F3874"/>
    <w:rsid w:val="004F3BAF"/>
    <w:rsid w:val="004F3DE3"/>
    <w:rsid w:val="004F490F"/>
    <w:rsid w:val="004F507F"/>
    <w:rsid w:val="004F5490"/>
    <w:rsid w:val="004F7075"/>
    <w:rsid w:val="004F7834"/>
    <w:rsid w:val="004F787D"/>
    <w:rsid w:val="0050086A"/>
    <w:rsid w:val="00501D17"/>
    <w:rsid w:val="00504365"/>
    <w:rsid w:val="00504633"/>
    <w:rsid w:val="00505403"/>
    <w:rsid w:val="005056EF"/>
    <w:rsid w:val="00506464"/>
    <w:rsid w:val="00506BF1"/>
    <w:rsid w:val="0050706F"/>
    <w:rsid w:val="005106C6"/>
    <w:rsid w:val="00510E1D"/>
    <w:rsid w:val="00510F53"/>
    <w:rsid w:val="00510F70"/>
    <w:rsid w:val="00511112"/>
    <w:rsid w:val="005118A9"/>
    <w:rsid w:val="0051244D"/>
    <w:rsid w:val="00512C82"/>
    <w:rsid w:val="00513120"/>
    <w:rsid w:val="00513606"/>
    <w:rsid w:val="00516924"/>
    <w:rsid w:val="0051792D"/>
    <w:rsid w:val="005203E3"/>
    <w:rsid w:val="0052170F"/>
    <w:rsid w:val="00522A7A"/>
    <w:rsid w:val="00522D0D"/>
    <w:rsid w:val="00523C67"/>
    <w:rsid w:val="00523CCD"/>
    <w:rsid w:val="00523F24"/>
    <w:rsid w:val="0052452B"/>
    <w:rsid w:val="00524DB1"/>
    <w:rsid w:val="00525C90"/>
    <w:rsid w:val="00525F6D"/>
    <w:rsid w:val="00526D00"/>
    <w:rsid w:val="00527D63"/>
    <w:rsid w:val="00530C4D"/>
    <w:rsid w:val="005315C9"/>
    <w:rsid w:val="00532007"/>
    <w:rsid w:val="00534414"/>
    <w:rsid w:val="00534C90"/>
    <w:rsid w:val="00534E65"/>
    <w:rsid w:val="00534E85"/>
    <w:rsid w:val="00535D6A"/>
    <w:rsid w:val="00535EE6"/>
    <w:rsid w:val="00537D0D"/>
    <w:rsid w:val="00541BE7"/>
    <w:rsid w:val="00542C80"/>
    <w:rsid w:val="00542F1F"/>
    <w:rsid w:val="00542F20"/>
    <w:rsid w:val="00543577"/>
    <w:rsid w:val="00544188"/>
    <w:rsid w:val="005442A4"/>
    <w:rsid w:val="0054434E"/>
    <w:rsid w:val="00544906"/>
    <w:rsid w:val="00544AE8"/>
    <w:rsid w:val="00545292"/>
    <w:rsid w:val="00545402"/>
    <w:rsid w:val="005454A7"/>
    <w:rsid w:val="00546C70"/>
    <w:rsid w:val="005510F6"/>
    <w:rsid w:val="0055115B"/>
    <w:rsid w:val="00552E9E"/>
    <w:rsid w:val="005532FA"/>
    <w:rsid w:val="00554BB3"/>
    <w:rsid w:val="00555747"/>
    <w:rsid w:val="00555B83"/>
    <w:rsid w:val="00555C11"/>
    <w:rsid w:val="00556ABE"/>
    <w:rsid w:val="005578B5"/>
    <w:rsid w:val="00562454"/>
    <w:rsid w:val="005647E5"/>
    <w:rsid w:val="00564DD4"/>
    <w:rsid w:val="005660B9"/>
    <w:rsid w:val="005669CB"/>
    <w:rsid w:val="00567262"/>
    <w:rsid w:val="00567440"/>
    <w:rsid w:val="00567482"/>
    <w:rsid w:val="005706BB"/>
    <w:rsid w:val="005708F5"/>
    <w:rsid w:val="0057159A"/>
    <w:rsid w:val="00571DB5"/>
    <w:rsid w:val="005724B2"/>
    <w:rsid w:val="00572D7A"/>
    <w:rsid w:val="005733E0"/>
    <w:rsid w:val="0057344D"/>
    <w:rsid w:val="00573C2B"/>
    <w:rsid w:val="00573F51"/>
    <w:rsid w:val="005745A0"/>
    <w:rsid w:val="005778D6"/>
    <w:rsid w:val="0058066E"/>
    <w:rsid w:val="0058135B"/>
    <w:rsid w:val="0058259E"/>
    <w:rsid w:val="00582CC8"/>
    <w:rsid w:val="00583C79"/>
    <w:rsid w:val="0058466E"/>
    <w:rsid w:val="005862D1"/>
    <w:rsid w:val="00586351"/>
    <w:rsid w:val="00587121"/>
    <w:rsid w:val="005905A4"/>
    <w:rsid w:val="00590B4D"/>
    <w:rsid w:val="00590D2C"/>
    <w:rsid w:val="00592812"/>
    <w:rsid w:val="00594F67"/>
    <w:rsid w:val="00595241"/>
    <w:rsid w:val="00595F9D"/>
    <w:rsid w:val="005964E7"/>
    <w:rsid w:val="005978F0"/>
    <w:rsid w:val="005A0353"/>
    <w:rsid w:val="005A11E7"/>
    <w:rsid w:val="005A263E"/>
    <w:rsid w:val="005A3C8A"/>
    <w:rsid w:val="005A41F7"/>
    <w:rsid w:val="005A654F"/>
    <w:rsid w:val="005A7412"/>
    <w:rsid w:val="005B0784"/>
    <w:rsid w:val="005B1033"/>
    <w:rsid w:val="005B10C9"/>
    <w:rsid w:val="005B266E"/>
    <w:rsid w:val="005B3078"/>
    <w:rsid w:val="005B3616"/>
    <w:rsid w:val="005B6195"/>
    <w:rsid w:val="005B748D"/>
    <w:rsid w:val="005B7804"/>
    <w:rsid w:val="005C06CD"/>
    <w:rsid w:val="005C1BF0"/>
    <w:rsid w:val="005C67BF"/>
    <w:rsid w:val="005C7110"/>
    <w:rsid w:val="005C71B7"/>
    <w:rsid w:val="005D0981"/>
    <w:rsid w:val="005D14AD"/>
    <w:rsid w:val="005D1F82"/>
    <w:rsid w:val="005D2BFF"/>
    <w:rsid w:val="005D2F4F"/>
    <w:rsid w:val="005D3C83"/>
    <w:rsid w:val="005D409A"/>
    <w:rsid w:val="005D46C0"/>
    <w:rsid w:val="005D5A12"/>
    <w:rsid w:val="005D7B81"/>
    <w:rsid w:val="005D7F63"/>
    <w:rsid w:val="005E1630"/>
    <w:rsid w:val="005E2F34"/>
    <w:rsid w:val="005E342F"/>
    <w:rsid w:val="005E5667"/>
    <w:rsid w:val="005E678C"/>
    <w:rsid w:val="005F0BC3"/>
    <w:rsid w:val="005F24A1"/>
    <w:rsid w:val="005F3468"/>
    <w:rsid w:val="005F3C31"/>
    <w:rsid w:val="005F41AE"/>
    <w:rsid w:val="005F61A6"/>
    <w:rsid w:val="005F67AF"/>
    <w:rsid w:val="005F7570"/>
    <w:rsid w:val="00600CD0"/>
    <w:rsid w:val="00601E28"/>
    <w:rsid w:val="00602D7D"/>
    <w:rsid w:val="006034BE"/>
    <w:rsid w:val="00603CFD"/>
    <w:rsid w:val="00604C0A"/>
    <w:rsid w:val="0060640A"/>
    <w:rsid w:val="00607405"/>
    <w:rsid w:val="006120C9"/>
    <w:rsid w:val="006131D4"/>
    <w:rsid w:val="006134C4"/>
    <w:rsid w:val="00613A88"/>
    <w:rsid w:val="00613C07"/>
    <w:rsid w:val="00613D88"/>
    <w:rsid w:val="006148CE"/>
    <w:rsid w:val="00615C2F"/>
    <w:rsid w:val="00616E4E"/>
    <w:rsid w:val="006172E3"/>
    <w:rsid w:val="006174C6"/>
    <w:rsid w:val="00620470"/>
    <w:rsid w:val="00620E0D"/>
    <w:rsid w:val="00621E3C"/>
    <w:rsid w:val="00622505"/>
    <w:rsid w:val="00622C02"/>
    <w:rsid w:val="00622D40"/>
    <w:rsid w:val="00623472"/>
    <w:rsid w:val="00623489"/>
    <w:rsid w:val="00623E1C"/>
    <w:rsid w:val="00624D1F"/>
    <w:rsid w:val="00625943"/>
    <w:rsid w:val="006260E1"/>
    <w:rsid w:val="00626DD1"/>
    <w:rsid w:val="00630981"/>
    <w:rsid w:val="00630F14"/>
    <w:rsid w:val="0063275E"/>
    <w:rsid w:val="00633842"/>
    <w:rsid w:val="00633E69"/>
    <w:rsid w:val="00634AAD"/>
    <w:rsid w:val="00634DA1"/>
    <w:rsid w:val="00635497"/>
    <w:rsid w:val="00635C61"/>
    <w:rsid w:val="00636F90"/>
    <w:rsid w:val="00637200"/>
    <w:rsid w:val="0064098B"/>
    <w:rsid w:val="006410F7"/>
    <w:rsid w:val="006414C8"/>
    <w:rsid w:val="00641A66"/>
    <w:rsid w:val="006428B5"/>
    <w:rsid w:val="00642DBC"/>
    <w:rsid w:val="00646BFC"/>
    <w:rsid w:val="0065010D"/>
    <w:rsid w:val="006505C6"/>
    <w:rsid w:val="00650F7C"/>
    <w:rsid w:val="0065215E"/>
    <w:rsid w:val="006545F8"/>
    <w:rsid w:val="006549CD"/>
    <w:rsid w:val="00655D92"/>
    <w:rsid w:val="00656A35"/>
    <w:rsid w:val="0065759F"/>
    <w:rsid w:val="00657A2C"/>
    <w:rsid w:val="00657EC3"/>
    <w:rsid w:val="006602D0"/>
    <w:rsid w:val="006613B1"/>
    <w:rsid w:val="00661680"/>
    <w:rsid w:val="00662518"/>
    <w:rsid w:val="0066275E"/>
    <w:rsid w:val="0066467B"/>
    <w:rsid w:val="006650A0"/>
    <w:rsid w:val="006700EC"/>
    <w:rsid w:val="00671180"/>
    <w:rsid w:val="00671217"/>
    <w:rsid w:val="00671D77"/>
    <w:rsid w:val="00673102"/>
    <w:rsid w:val="00673ABC"/>
    <w:rsid w:val="00673D40"/>
    <w:rsid w:val="00674AB9"/>
    <w:rsid w:val="00675582"/>
    <w:rsid w:val="006756E3"/>
    <w:rsid w:val="006765BC"/>
    <w:rsid w:val="00676BCA"/>
    <w:rsid w:val="0068034D"/>
    <w:rsid w:val="006806BC"/>
    <w:rsid w:val="00680B1B"/>
    <w:rsid w:val="0068128B"/>
    <w:rsid w:val="00682AE0"/>
    <w:rsid w:val="00684D8D"/>
    <w:rsid w:val="00684E6A"/>
    <w:rsid w:val="00684E90"/>
    <w:rsid w:val="0068549F"/>
    <w:rsid w:val="006862B5"/>
    <w:rsid w:val="0068673F"/>
    <w:rsid w:val="0069111F"/>
    <w:rsid w:val="006916E8"/>
    <w:rsid w:val="00693CB6"/>
    <w:rsid w:val="00695491"/>
    <w:rsid w:val="006958D1"/>
    <w:rsid w:val="00695A35"/>
    <w:rsid w:val="00695F39"/>
    <w:rsid w:val="0069643C"/>
    <w:rsid w:val="00696D2F"/>
    <w:rsid w:val="00696FF8"/>
    <w:rsid w:val="00697177"/>
    <w:rsid w:val="0069721A"/>
    <w:rsid w:val="006979AD"/>
    <w:rsid w:val="006A01D2"/>
    <w:rsid w:val="006A0A07"/>
    <w:rsid w:val="006A0FFA"/>
    <w:rsid w:val="006A10F8"/>
    <w:rsid w:val="006A13B3"/>
    <w:rsid w:val="006A2680"/>
    <w:rsid w:val="006A3966"/>
    <w:rsid w:val="006A3B70"/>
    <w:rsid w:val="006A40AA"/>
    <w:rsid w:val="006A42B4"/>
    <w:rsid w:val="006A5BEA"/>
    <w:rsid w:val="006A631A"/>
    <w:rsid w:val="006A6CB9"/>
    <w:rsid w:val="006A777E"/>
    <w:rsid w:val="006B093B"/>
    <w:rsid w:val="006B12D2"/>
    <w:rsid w:val="006B2421"/>
    <w:rsid w:val="006B2429"/>
    <w:rsid w:val="006B25E2"/>
    <w:rsid w:val="006B2ADC"/>
    <w:rsid w:val="006B2B58"/>
    <w:rsid w:val="006B36C4"/>
    <w:rsid w:val="006B376A"/>
    <w:rsid w:val="006B402A"/>
    <w:rsid w:val="006B60D7"/>
    <w:rsid w:val="006B7442"/>
    <w:rsid w:val="006B79E5"/>
    <w:rsid w:val="006C1146"/>
    <w:rsid w:val="006C26CC"/>
    <w:rsid w:val="006C2AB9"/>
    <w:rsid w:val="006C2FF0"/>
    <w:rsid w:val="006C35E8"/>
    <w:rsid w:val="006C3722"/>
    <w:rsid w:val="006C3F2C"/>
    <w:rsid w:val="006C4C2D"/>
    <w:rsid w:val="006C5EF9"/>
    <w:rsid w:val="006C7BC2"/>
    <w:rsid w:val="006D071F"/>
    <w:rsid w:val="006D18B7"/>
    <w:rsid w:val="006D1D66"/>
    <w:rsid w:val="006D3996"/>
    <w:rsid w:val="006D6271"/>
    <w:rsid w:val="006E073E"/>
    <w:rsid w:val="006E09C4"/>
    <w:rsid w:val="006E127F"/>
    <w:rsid w:val="006E1EEA"/>
    <w:rsid w:val="006E1F8A"/>
    <w:rsid w:val="006E2454"/>
    <w:rsid w:val="006E2875"/>
    <w:rsid w:val="006E30F7"/>
    <w:rsid w:val="006E3F83"/>
    <w:rsid w:val="006E484F"/>
    <w:rsid w:val="006E50FF"/>
    <w:rsid w:val="006E5341"/>
    <w:rsid w:val="006E5B8F"/>
    <w:rsid w:val="006E63AA"/>
    <w:rsid w:val="006E642E"/>
    <w:rsid w:val="006E690A"/>
    <w:rsid w:val="006E6AE1"/>
    <w:rsid w:val="006E71C2"/>
    <w:rsid w:val="006E7767"/>
    <w:rsid w:val="006E7941"/>
    <w:rsid w:val="006E7B64"/>
    <w:rsid w:val="006F032F"/>
    <w:rsid w:val="006F09AE"/>
    <w:rsid w:val="006F0E26"/>
    <w:rsid w:val="006F1BCE"/>
    <w:rsid w:val="006F1E1F"/>
    <w:rsid w:val="006F2D46"/>
    <w:rsid w:val="006F5578"/>
    <w:rsid w:val="006F60CC"/>
    <w:rsid w:val="006F666C"/>
    <w:rsid w:val="006F69CE"/>
    <w:rsid w:val="006F6E25"/>
    <w:rsid w:val="006F759E"/>
    <w:rsid w:val="006F7D08"/>
    <w:rsid w:val="00700142"/>
    <w:rsid w:val="0070064F"/>
    <w:rsid w:val="00700827"/>
    <w:rsid w:val="007013FC"/>
    <w:rsid w:val="00701B3A"/>
    <w:rsid w:val="00702649"/>
    <w:rsid w:val="00702D6E"/>
    <w:rsid w:val="0070445C"/>
    <w:rsid w:val="007054A9"/>
    <w:rsid w:val="007078C0"/>
    <w:rsid w:val="0071190E"/>
    <w:rsid w:val="00712348"/>
    <w:rsid w:val="00713049"/>
    <w:rsid w:val="007137D2"/>
    <w:rsid w:val="00713A08"/>
    <w:rsid w:val="00714942"/>
    <w:rsid w:val="0071494B"/>
    <w:rsid w:val="00714CA2"/>
    <w:rsid w:val="007164ED"/>
    <w:rsid w:val="007167C5"/>
    <w:rsid w:val="00716ECC"/>
    <w:rsid w:val="0071705A"/>
    <w:rsid w:val="007176D6"/>
    <w:rsid w:val="00717777"/>
    <w:rsid w:val="00720215"/>
    <w:rsid w:val="00721E15"/>
    <w:rsid w:val="0072262D"/>
    <w:rsid w:val="007231F5"/>
    <w:rsid w:val="0072370E"/>
    <w:rsid w:val="007239D6"/>
    <w:rsid w:val="00725A13"/>
    <w:rsid w:val="00730599"/>
    <w:rsid w:val="00731F08"/>
    <w:rsid w:val="007323BB"/>
    <w:rsid w:val="007334FA"/>
    <w:rsid w:val="00733E30"/>
    <w:rsid w:val="0073412D"/>
    <w:rsid w:val="0073466C"/>
    <w:rsid w:val="0073489A"/>
    <w:rsid w:val="007348CC"/>
    <w:rsid w:val="00734C69"/>
    <w:rsid w:val="00735562"/>
    <w:rsid w:val="00735BD8"/>
    <w:rsid w:val="00736CAE"/>
    <w:rsid w:val="00736EC7"/>
    <w:rsid w:val="0073704B"/>
    <w:rsid w:val="0073781A"/>
    <w:rsid w:val="00740106"/>
    <w:rsid w:val="00740E30"/>
    <w:rsid w:val="007414B7"/>
    <w:rsid w:val="007414D9"/>
    <w:rsid w:val="00741B83"/>
    <w:rsid w:val="0074370B"/>
    <w:rsid w:val="007456F4"/>
    <w:rsid w:val="00745A31"/>
    <w:rsid w:val="007477ED"/>
    <w:rsid w:val="00747972"/>
    <w:rsid w:val="007507AE"/>
    <w:rsid w:val="00752623"/>
    <w:rsid w:val="00752D0D"/>
    <w:rsid w:val="007533D4"/>
    <w:rsid w:val="007537AC"/>
    <w:rsid w:val="00753B57"/>
    <w:rsid w:val="0075431F"/>
    <w:rsid w:val="00754390"/>
    <w:rsid w:val="00754A56"/>
    <w:rsid w:val="007569FD"/>
    <w:rsid w:val="0076015E"/>
    <w:rsid w:val="007622AC"/>
    <w:rsid w:val="007623A7"/>
    <w:rsid w:val="0076243B"/>
    <w:rsid w:val="00762D7B"/>
    <w:rsid w:val="00762E2B"/>
    <w:rsid w:val="00762F3C"/>
    <w:rsid w:val="00764510"/>
    <w:rsid w:val="007666A7"/>
    <w:rsid w:val="00766B74"/>
    <w:rsid w:val="00766DCE"/>
    <w:rsid w:val="0076743B"/>
    <w:rsid w:val="00767BF9"/>
    <w:rsid w:val="007706E9"/>
    <w:rsid w:val="00770A98"/>
    <w:rsid w:val="007718D3"/>
    <w:rsid w:val="007754A3"/>
    <w:rsid w:val="0077557D"/>
    <w:rsid w:val="007759AB"/>
    <w:rsid w:val="00775BF2"/>
    <w:rsid w:val="00776705"/>
    <w:rsid w:val="0078000C"/>
    <w:rsid w:val="007801EB"/>
    <w:rsid w:val="007816C3"/>
    <w:rsid w:val="00782E9A"/>
    <w:rsid w:val="007843D1"/>
    <w:rsid w:val="00786286"/>
    <w:rsid w:val="00786630"/>
    <w:rsid w:val="0078706B"/>
    <w:rsid w:val="00787FD9"/>
    <w:rsid w:val="00790843"/>
    <w:rsid w:val="00790FE0"/>
    <w:rsid w:val="00791E54"/>
    <w:rsid w:val="007943F2"/>
    <w:rsid w:val="00796315"/>
    <w:rsid w:val="00796491"/>
    <w:rsid w:val="00796E81"/>
    <w:rsid w:val="007A1338"/>
    <w:rsid w:val="007A2176"/>
    <w:rsid w:val="007A4675"/>
    <w:rsid w:val="007A4687"/>
    <w:rsid w:val="007A4A0A"/>
    <w:rsid w:val="007A4A37"/>
    <w:rsid w:val="007A5680"/>
    <w:rsid w:val="007A5CAD"/>
    <w:rsid w:val="007A66F3"/>
    <w:rsid w:val="007A720D"/>
    <w:rsid w:val="007A79F7"/>
    <w:rsid w:val="007B08B3"/>
    <w:rsid w:val="007B1831"/>
    <w:rsid w:val="007B2702"/>
    <w:rsid w:val="007B3960"/>
    <w:rsid w:val="007B43D1"/>
    <w:rsid w:val="007B6F57"/>
    <w:rsid w:val="007C02C6"/>
    <w:rsid w:val="007C0EAD"/>
    <w:rsid w:val="007C228C"/>
    <w:rsid w:val="007C39C1"/>
    <w:rsid w:val="007C3BF9"/>
    <w:rsid w:val="007C5312"/>
    <w:rsid w:val="007C58C6"/>
    <w:rsid w:val="007C740A"/>
    <w:rsid w:val="007C7A73"/>
    <w:rsid w:val="007C7CB4"/>
    <w:rsid w:val="007C7DD7"/>
    <w:rsid w:val="007D2246"/>
    <w:rsid w:val="007D2C0A"/>
    <w:rsid w:val="007D36C6"/>
    <w:rsid w:val="007D3928"/>
    <w:rsid w:val="007D46FB"/>
    <w:rsid w:val="007D5658"/>
    <w:rsid w:val="007D68D4"/>
    <w:rsid w:val="007D74E3"/>
    <w:rsid w:val="007D7897"/>
    <w:rsid w:val="007D7DA6"/>
    <w:rsid w:val="007E0443"/>
    <w:rsid w:val="007E1BC2"/>
    <w:rsid w:val="007E276A"/>
    <w:rsid w:val="007E2933"/>
    <w:rsid w:val="007E32F0"/>
    <w:rsid w:val="007E5D06"/>
    <w:rsid w:val="007E5DAD"/>
    <w:rsid w:val="007F0A47"/>
    <w:rsid w:val="007F0F92"/>
    <w:rsid w:val="007F1E16"/>
    <w:rsid w:val="007F2439"/>
    <w:rsid w:val="007F31AC"/>
    <w:rsid w:val="007F52C1"/>
    <w:rsid w:val="007F5B46"/>
    <w:rsid w:val="007F72FB"/>
    <w:rsid w:val="00800902"/>
    <w:rsid w:val="00801500"/>
    <w:rsid w:val="0080220A"/>
    <w:rsid w:val="008023D0"/>
    <w:rsid w:val="00802C0C"/>
    <w:rsid w:val="008036E8"/>
    <w:rsid w:val="008038D7"/>
    <w:rsid w:val="00803C50"/>
    <w:rsid w:val="008048D6"/>
    <w:rsid w:val="008054EE"/>
    <w:rsid w:val="00805C84"/>
    <w:rsid w:val="00806AA8"/>
    <w:rsid w:val="008075BE"/>
    <w:rsid w:val="008079E6"/>
    <w:rsid w:val="00807DC0"/>
    <w:rsid w:val="008109CF"/>
    <w:rsid w:val="00811206"/>
    <w:rsid w:val="00811294"/>
    <w:rsid w:val="008115ED"/>
    <w:rsid w:val="0081267D"/>
    <w:rsid w:val="00815EC5"/>
    <w:rsid w:val="00817B2C"/>
    <w:rsid w:val="00820D9F"/>
    <w:rsid w:val="008218CF"/>
    <w:rsid w:val="008243E5"/>
    <w:rsid w:val="008255F1"/>
    <w:rsid w:val="00826313"/>
    <w:rsid w:val="00827317"/>
    <w:rsid w:val="00827357"/>
    <w:rsid w:val="00827D56"/>
    <w:rsid w:val="00830C4F"/>
    <w:rsid w:val="00831168"/>
    <w:rsid w:val="00831821"/>
    <w:rsid w:val="0083245F"/>
    <w:rsid w:val="00833529"/>
    <w:rsid w:val="008340FC"/>
    <w:rsid w:val="00835D8B"/>
    <w:rsid w:val="008364A4"/>
    <w:rsid w:val="008364CA"/>
    <w:rsid w:val="00836796"/>
    <w:rsid w:val="008404C4"/>
    <w:rsid w:val="00841131"/>
    <w:rsid w:val="008422E7"/>
    <w:rsid w:val="008437F1"/>
    <w:rsid w:val="00843F3B"/>
    <w:rsid w:val="00844237"/>
    <w:rsid w:val="008456A1"/>
    <w:rsid w:val="008461FD"/>
    <w:rsid w:val="008464EE"/>
    <w:rsid w:val="00847434"/>
    <w:rsid w:val="00851ABA"/>
    <w:rsid w:val="008532D0"/>
    <w:rsid w:val="00853714"/>
    <w:rsid w:val="00853D02"/>
    <w:rsid w:val="00854624"/>
    <w:rsid w:val="008552B3"/>
    <w:rsid w:val="008552D9"/>
    <w:rsid w:val="008553FB"/>
    <w:rsid w:val="0085610A"/>
    <w:rsid w:val="00856C68"/>
    <w:rsid w:val="008574D2"/>
    <w:rsid w:val="0085767F"/>
    <w:rsid w:val="00857C56"/>
    <w:rsid w:val="00860195"/>
    <w:rsid w:val="0086039C"/>
    <w:rsid w:val="008605AE"/>
    <w:rsid w:val="00860E84"/>
    <w:rsid w:val="00862136"/>
    <w:rsid w:val="008622C6"/>
    <w:rsid w:val="00862E2D"/>
    <w:rsid w:val="0086395E"/>
    <w:rsid w:val="00864282"/>
    <w:rsid w:val="00864D63"/>
    <w:rsid w:val="00867D4D"/>
    <w:rsid w:val="00870598"/>
    <w:rsid w:val="008705CB"/>
    <w:rsid w:val="00870C30"/>
    <w:rsid w:val="00870C93"/>
    <w:rsid w:val="00872F30"/>
    <w:rsid w:val="0087331A"/>
    <w:rsid w:val="00873395"/>
    <w:rsid w:val="00874413"/>
    <w:rsid w:val="0087513A"/>
    <w:rsid w:val="00876958"/>
    <w:rsid w:val="00876FBB"/>
    <w:rsid w:val="00880834"/>
    <w:rsid w:val="00880AFF"/>
    <w:rsid w:val="008818BA"/>
    <w:rsid w:val="00881B51"/>
    <w:rsid w:val="00882D7D"/>
    <w:rsid w:val="00890ED6"/>
    <w:rsid w:val="00891237"/>
    <w:rsid w:val="0089327A"/>
    <w:rsid w:val="00893C72"/>
    <w:rsid w:val="0089453C"/>
    <w:rsid w:val="0089514A"/>
    <w:rsid w:val="00895863"/>
    <w:rsid w:val="00895A79"/>
    <w:rsid w:val="00895B8F"/>
    <w:rsid w:val="008967D2"/>
    <w:rsid w:val="00896E2B"/>
    <w:rsid w:val="00897528"/>
    <w:rsid w:val="00897E33"/>
    <w:rsid w:val="008A085C"/>
    <w:rsid w:val="008A0B2F"/>
    <w:rsid w:val="008A106F"/>
    <w:rsid w:val="008A26A1"/>
    <w:rsid w:val="008A3AF6"/>
    <w:rsid w:val="008A3FBB"/>
    <w:rsid w:val="008A4152"/>
    <w:rsid w:val="008A50A2"/>
    <w:rsid w:val="008A5617"/>
    <w:rsid w:val="008A584C"/>
    <w:rsid w:val="008A5B58"/>
    <w:rsid w:val="008A7436"/>
    <w:rsid w:val="008A79B8"/>
    <w:rsid w:val="008A7BF6"/>
    <w:rsid w:val="008B007C"/>
    <w:rsid w:val="008B2122"/>
    <w:rsid w:val="008B3B36"/>
    <w:rsid w:val="008B49F9"/>
    <w:rsid w:val="008B6886"/>
    <w:rsid w:val="008B7D97"/>
    <w:rsid w:val="008C37EA"/>
    <w:rsid w:val="008C4B01"/>
    <w:rsid w:val="008C4E30"/>
    <w:rsid w:val="008C4E8F"/>
    <w:rsid w:val="008C4E9B"/>
    <w:rsid w:val="008C7269"/>
    <w:rsid w:val="008D2EC3"/>
    <w:rsid w:val="008D2FA5"/>
    <w:rsid w:val="008D38CA"/>
    <w:rsid w:val="008D39D3"/>
    <w:rsid w:val="008D4086"/>
    <w:rsid w:val="008D4C0B"/>
    <w:rsid w:val="008D550C"/>
    <w:rsid w:val="008D56D4"/>
    <w:rsid w:val="008D5818"/>
    <w:rsid w:val="008D6371"/>
    <w:rsid w:val="008D6542"/>
    <w:rsid w:val="008D7F20"/>
    <w:rsid w:val="008E5548"/>
    <w:rsid w:val="008E57BE"/>
    <w:rsid w:val="008F0CC9"/>
    <w:rsid w:val="008F1160"/>
    <w:rsid w:val="008F2355"/>
    <w:rsid w:val="008F3871"/>
    <w:rsid w:val="008F43AE"/>
    <w:rsid w:val="008F47C6"/>
    <w:rsid w:val="008F67E1"/>
    <w:rsid w:val="008F757D"/>
    <w:rsid w:val="0090014F"/>
    <w:rsid w:val="00900222"/>
    <w:rsid w:val="009004D6"/>
    <w:rsid w:val="0090069E"/>
    <w:rsid w:val="00900BB0"/>
    <w:rsid w:val="00901C80"/>
    <w:rsid w:val="0090353B"/>
    <w:rsid w:val="0090386C"/>
    <w:rsid w:val="009040DF"/>
    <w:rsid w:val="009048FA"/>
    <w:rsid w:val="00904956"/>
    <w:rsid w:val="00905110"/>
    <w:rsid w:val="009065C8"/>
    <w:rsid w:val="009074F3"/>
    <w:rsid w:val="009077C7"/>
    <w:rsid w:val="009079D0"/>
    <w:rsid w:val="00907C7A"/>
    <w:rsid w:val="0091044E"/>
    <w:rsid w:val="009109C3"/>
    <w:rsid w:val="00912276"/>
    <w:rsid w:val="00912489"/>
    <w:rsid w:val="009160A2"/>
    <w:rsid w:val="00917340"/>
    <w:rsid w:val="009175F2"/>
    <w:rsid w:val="0092038A"/>
    <w:rsid w:val="009217CE"/>
    <w:rsid w:val="0092293F"/>
    <w:rsid w:val="00922B74"/>
    <w:rsid w:val="00923179"/>
    <w:rsid w:val="009237D1"/>
    <w:rsid w:val="00923CB1"/>
    <w:rsid w:val="0092469A"/>
    <w:rsid w:val="00924FCB"/>
    <w:rsid w:val="0092523F"/>
    <w:rsid w:val="00925B28"/>
    <w:rsid w:val="00925E7C"/>
    <w:rsid w:val="00927262"/>
    <w:rsid w:val="00927321"/>
    <w:rsid w:val="009308C6"/>
    <w:rsid w:val="00931B58"/>
    <w:rsid w:val="0093269F"/>
    <w:rsid w:val="00933A7A"/>
    <w:rsid w:val="00935737"/>
    <w:rsid w:val="00937B2C"/>
    <w:rsid w:val="009406B3"/>
    <w:rsid w:val="009415E6"/>
    <w:rsid w:val="0094206B"/>
    <w:rsid w:val="00943003"/>
    <w:rsid w:val="00944201"/>
    <w:rsid w:val="0094560F"/>
    <w:rsid w:val="00945667"/>
    <w:rsid w:val="00946D60"/>
    <w:rsid w:val="00946DF0"/>
    <w:rsid w:val="009474E1"/>
    <w:rsid w:val="00950F9C"/>
    <w:rsid w:val="0095171B"/>
    <w:rsid w:val="00951DC8"/>
    <w:rsid w:val="00951F8F"/>
    <w:rsid w:val="009522ED"/>
    <w:rsid w:val="00954D03"/>
    <w:rsid w:val="00955918"/>
    <w:rsid w:val="00956F66"/>
    <w:rsid w:val="00956F8F"/>
    <w:rsid w:val="0095799B"/>
    <w:rsid w:val="00957E29"/>
    <w:rsid w:val="009602A3"/>
    <w:rsid w:val="009604AE"/>
    <w:rsid w:val="0096055A"/>
    <w:rsid w:val="00961409"/>
    <w:rsid w:val="00961C5D"/>
    <w:rsid w:val="00962989"/>
    <w:rsid w:val="00963279"/>
    <w:rsid w:val="00963833"/>
    <w:rsid w:val="00964027"/>
    <w:rsid w:val="00964ACA"/>
    <w:rsid w:val="00965601"/>
    <w:rsid w:val="00965639"/>
    <w:rsid w:val="00967736"/>
    <w:rsid w:val="009700D6"/>
    <w:rsid w:val="00970184"/>
    <w:rsid w:val="00971A82"/>
    <w:rsid w:val="0097227E"/>
    <w:rsid w:val="00972A20"/>
    <w:rsid w:val="00972C54"/>
    <w:rsid w:val="00973897"/>
    <w:rsid w:val="0097405C"/>
    <w:rsid w:val="009742E2"/>
    <w:rsid w:val="0097443C"/>
    <w:rsid w:val="009746C3"/>
    <w:rsid w:val="00974F2A"/>
    <w:rsid w:val="0097531C"/>
    <w:rsid w:val="00975477"/>
    <w:rsid w:val="00975C87"/>
    <w:rsid w:val="009764A1"/>
    <w:rsid w:val="0098026D"/>
    <w:rsid w:val="0098250B"/>
    <w:rsid w:val="00983FAA"/>
    <w:rsid w:val="0098430E"/>
    <w:rsid w:val="00986992"/>
    <w:rsid w:val="00986DC3"/>
    <w:rsid w:val="009871E5"/>
    <w:rsid w:val="00987DB4"/>
    <w:rsid w:val="00987EDA"/>
    <w:rsid w:val="00990A72"/>
    <w:rsid w:val="00992D1E"/>
    <w:rsid w:val="00992F0D"/>
    <w:rsid w:val="0099367D"/>
    <w:rsid w:val="00995046"/>
    <w:rsid w:val="009953AC"/>
    <w:rsid w:val="0099799A"/>
    <w:rsid w:val="00997BCE"/>
    <w:rsid w:val="009A0171"/>
    <w:rsid w:val="009A04CF"/>
    <w:rsid w:val="009A0640"/>
    <w:rsid w:val="009A080F"/>
    <w:rsid w:val="009A192B"/>
    <w:rsid w:val="009A59D6"/>
    <w:rsid w:val="009A5AC6"/>
    <w:rsid w:val="009A640F"/>
    <w:rsid w:val="009A65B9"/>
    <w:rsid w:val="009B123A"/>
    <w:rsid w:val="009B2A86"/>
    <w:rsid w:val="009B389D"/>
    <w:rsid w:val="009B3EB6"/>
    <w:rsid w:val="009B4984"/>
    <w:rsid w:val="009B4C22"/>
    <w:rsid w:val="009B59E1"/>
    <w:rsid w:val="009B6FEA"/>
    <w:rsid w:val="009B7DF3"/>
    <w:rsid w:val="009C22A3"/>
    <w:rsid w:val="009C2FE8"/>
    <w:rsid w:val="009C45D2"/>
    <w:rsid w:val="009C5151"/>
    <w:rsid w:val="009C5CB3"/>
    <w:rsid w:val="009C64FB"/>
    <w:rsid w:val="009C65DC"/>
    <w:rsid w:val="009C74B2"/>
    <w:rsid w:val="009C795E"/>
    <w:rsid w:val="009D12FE"/>
    <w:rsid w:val="009D1778"/>
    <w:rsid w:val="009D1E10"/>
    <w:rsid w:val="009D1F81"/>
    <w:rsid w:val="009D2870"/>
    <w:rsid w:val="009D2D7C"/>
    <w:rsid w:val="009D72BF"/>
    <w:rsid w:val="009D79D3"/>
    <w:rsid w:val="009D7A37"/>
    <w:rsid w:val="009D7B2F"/>
    <w:rsid w:val="009E0ED2"/>
    <w:rsid w:val="009E114C"/>
    <w:rsid w:val="009E1636"/>
    <w:rsid w:val="009E3DEA"/>
    <w:rsid w:val="009E4377"/>
    <w:rsid w:val="009E4689"/>
    <w:rsid w:val="009E4C2F"/>
    <w:rsid w:val="009E5126"/>
    <w:rsid w:val="009E52E1"/>
    <w:rsid w:val="009E5C8E"/>
    <w:rsid w:val="009E6732"/>
    <w:rsid w:val="009E6E37"/>
    <w:rsid w:val="009E7509"/>
    <w:rsid w:val="009E759F"/>
    <w:rsid w:val="009E7D45"/>
    <w:rsid w:val="009F0A3B"/>
    <w:rsid w:val="009F2C1D"/>
    <w:rsid w:val="009F2E5C"/>
    <w:rsid w:val="009F316A"/>
    <w:rsid w:val="009F34A9"/>
    <w:rsid w:val="009F3C65"/>
    <w:rsid w:val="009F3E98"/>
    <w:rsid w:val="009F4150"/>
    <w:rsid w:val="009F4BD7"/>
    <w:rsid w:val="009F5090"/>
    <w:rsid w:val="009F517F"/>
    <w:rsid w:val="009F65CD"/>
    <w:rsid w:val="009F67AE"/>
    <w:rsid w:val="009F778B"/>
    <w:rsid w:val="009F7A41"/>
    <w:rsid w:val="009F7B83"/>
    <w:rsid w:val="00A01D4A"/>
    <w:rsid w:val="00A0284E"/>
    <w:rsid w:val="00A02CEC"/>
    <w:rsid w:val="00A0398E"/>
    <w:rsid w:val="00A044DC"/>
    <w:rsid w:val="00A054D3"/>
    <w:rsid w:val="00A05613"/>
    <w:rsid w:val="00A05C21"/>
    <w:rsid w:val="00A10772"/>
    <w:rsid w:val="00A111ED"/>
    <w:rsid w:val="00A12D3A"/>
    <w:rsid w:val="00A13E68"/>
    <w:rsid w:val="00A13F5F"/>
    <w:rsid w:val="00A15A73"/>
    <w:rsid w:val="00A16559"/>
    <w:rsid w:val="00A174F1"/>
    <w:rsid w:val="00A17702"/>
    <w:rsid w:val="00A208A5"/>
    <w:rsid w:val="00A244E5"/>
    <w:rsid w:val="00A24944"/>
    <w:rsid w:val="00A24C38"/>
    <w:rsid w:val="00A261F2"/>
    <w:rsid w:val="00A26AF9"/>
    <w:rsid w:val="00A2748E"/>
    <w:rsid w:val="00A30379"/>
    <w:rsid w:val="00A3115F"/>
    <w:rsid w:val="00A318B2"/>
    <w:rsid w:val="00A332FE"/>
    <w:rsid w:val="00A335A3"/>
    <w:rsid w:val="00A33E52"/>
    <w:rsid w:val="00A34660"/>
    <w:rsid w:val="00A3468C"/>
    <w:rsid w:val="00A355EF"/>
    <w:rsid w:val="00A4096D"/>
    <w:rsid w:val="00A40F1E"/>
    <w:rsid w:val="00A40F2A"/>
    <w:rsid w:val="00A4121A"/>
    <w:rsid w:val="00A41E9D"/>
    <w:rsid w:val="00A43493"/>
    <w:rsid w:val="00A448C9"/>
    <w:rsid w:val="00A45400"/>
    <w:rsid w:val="00A454DC"/>
    <w:rsid w:val="00A4573D"/>
    <w:rsid w:val="00A46381"/>
    <w:rsid w:val="00A46DD5"/>
    <w:rsid w:val="00A47B27"/>
    <w:rsid w:val="00A525FF"/>
    <w:rsid w:val="00A52D54"/>
    <w:rsid w:val="00A53A47"/>
    <w:rsid w:val="00A53D77"/>
    <w:rsid w:val="00A5435D"/>
    <w:rsid w:val="00A5679F"/>
    <w:rsid w:val="00A56E30"/>
    <w:rsid w:val="00A573AD"/>
    <w:rsid w:val="00A60ECE"/>
    <w:rsid w:val="00A61165"/>
    <w:rsid w:val="00A612BC"/>
    <w:rsid w:val="00A62749"/>
    <w:rsid w:val="00A66E53"/>
    <w:rsid w:val="00A674B8"/>
    <w:rsid w:val="00A675C0"/>
    <w:rsid w:val="00A67DA7"/>
    <w:rsid w:val="00A67F9C"/>
    <w:rsid w:val="00A702AE"/>
    <w:rsid w:val="00A7063E"/>
    <w:rsid w:val="00A719EF"/>
    <w:rsid w:val="00A72C03"/>
    <w:rsid w:val="00A738FA"/>
    <w:rsid w:val="00A73A69"/>
    <w:rsid w:val="00A73D94"/>
    <w:rsid w:val="00A7426A"/>
    <w:rsid w:val="00A74B4D"/>
    <w:rsid w:val="00A754C5"/>
    <w:rsid w:val="00A76567"/>
    <w:rsid w:val="00A76E42"/>
    <w:rsid w:val="00A76E7C"/>
    <w:rsid w:val="00A77C9B"/>
    <w:rsid w:val="00A80107"/>
    <w:rsid w:val="00A807D7"/>
    <w:rsid w:val="00A80C68"/>
    <w:rsid w:val="00A81793"/>
    <w:rsid w:val="00A81C6D"/>
    <w:rsid w:val="00A81C8F"/>
    <w:rsid w:val="00A822B5"/>
    <w:rsid w:val="00A8297C"/>
    <w:rsid w:val="00A8355A"/>
    <w:rsid w:val="00A83CA3"/>
    <w:rsid w:val="00A84D2D"/>
    <w:rsid w:val="00A869DD"/>
    <w:rsid w:val="00A86ADF"/>
    <w:rsid w:val="00A909FB"/>
    <w:rsid w:val="00A91F08"/>
    <w:rsid w:val="00A931ED"/>
    <w:rsid w:val="00A936D0"/>
    <w:rsid w:val="00A93771"/>
    <w:rsid w:val="00A95B7F"/>
    <w:rsid w:val="00A968AA"/>
    <w:rsid w:val="00A96C0F"/>
    <w:rsid w:val="00A96E30"/>
    <w:rsid w:val="00A97AD5"/>
    <w:rsid w:val="00A97DE3"/>
    <w:rsid w:val="00AA03EC"/>
    <w:rsid w:val="00AA0BCB"/>
    <w:rsid w:val="00AA0C59"/>
    <w:rsid w:val="00AA0F03"/>
    <w:rsid w:val="00AA11F5"/>
    <w:rsid w:val="00AA1785"/>
    <w:rsid w:val="00AA1D84"/>
    <w:rsid w:val="00AA3AEF"/>
    <w:rsid w:val="00AA4FDC"/>
    <w:rsid w:val="00AA6AB1"/>
    <w:rsid w:val="00AA7437"/>
    <w:rsid w:val="00AA7506"/>
    <w:rsid w:val="00AB1CAE"/>
    <w:rsid w:val="00AB423B"/>
    <w:rsid w:val="00AB4CCD"/>
    <w:rsid w:val="00AB4E1D"/>
    <w:rsid w:val="00AB5E6C"/>
    <w:rsid w:val="00AB6CE5"/>
    <w:rsid w:val="00AB6EAE"/>
    <w:rsid w:val="00AB713A"/>
    <w:rsid w:val="00AC01FD"/>
    <w:rsid w:val="00AC0B2C"/>
    <w:rsid w:val="00AC3E27"/>
    <w:rsid w:val="00AC414D"/>
    <w:rsid w:val="00AC415C"/>
    <w:rsid w:val="00AC6086"/>
    <w:rsid w:val="00AC6100"/>
    <w:rsid w:val="00AC654D"/>
    <w:rsid w:val="00AC67C8"/>
    <w:rsid w:val="00AC6AAB"/>
    <w:rsid w:val="00AC73C0"/>
    <w:rsid w:val="00AC749D"/>
    <w:rsid w:val="00AC766D"/>
    <w:rsid w:val="00AC7B91"/>
    <w:rsid w:val="00AD0634"/>
    <w:rsid w:val="00AD1BC2"/>
    <w:rsid w:val="00AD21E0"/>
    <w:rsid w:val="00AD2DDE"/>
    <w:rsid w:val="00AD36D2"/>
    <w:rsid w:val="00AD4189"/>
    <w:rsid w:val="00AD676F"/>
    <w:rsid w:val="00AD73D5"/>
    <w:rsid w:val="00AD7653"/>
    <w:rsid w:val="00AE00DB"/>
    <w:rsid w:val="00AE0264"/>
    <w:rsid w:val="00AE0B26"/>
    <w:rsid w:val="00AE31E9"/>
    <w:rsid w:val="00AE3B28"/>
    <w:rsid w:val="00AE6A28"/>
    <w:rsid w:val="00AE6AF9"/>
    <w:rsid w:val="00AF0970"/>
    <w:rsid w:val="00AF1A83"/>
    <w:rsid w:val="00AF25D2"/>
    <w:rsid w:val="00AF2624"/>
    <w:rsid w:val="00AF3A99"/>
    <w:rsid w:val="00AF4C4C"/>
    <w:rsid w:val="00AF4C79"/>
    <w:rsid w:val="00AF546B"/>
    <w:rsid w:val="00AF65B2"/>
    <w:rsid w:val="00AF66E6"/>
    <w:rsid w:val="00AF6C7D"/>
    <w:rsid w:val="00AF7ADD"/>
    <w:rsid w:val="00B002BE"/>
    <w:rsid w:val="00B0058D"/>
    <w:rsid w:val="00B0194B"/>
    <w:rsid w:val="00B0487D"/>
    <w:rsid w:val="00B05B76"/>
    <w:rsid w:val="00B0603D"/>
    <w:rsid w:val="00B0626B"/>
    <w:rsid w:val="00B06DC1"/>
    <w:rsid w:val="00B07915"/>
    <w:rsid w:val="00B10EF1"/>
    <w:rsid w:val="00B13063"/>
    <w:rsid w:val="00B13A66"/>
    <w:rsid w:val="00B1442B"/>
    <w:rsid w:val="00B14AC4"/>
    <w:rsid w:val="00B1617D"/>
    <w:rsid w:val="00B16C02"/>
    <w:rsid w:val="00B16D91"/>
    <w:rsid w:val="00B16E7C"/>
    <w:rsid w:val="00B17275"/>
    <w:rsid w:val="00B1762E"/>
    <w:rsid w:val="00B17C01"/>
    <w:rsid w:val="00B21BD5"/>
    <w:rsid w:val="00B21E8C"/>
    <w:rsid w:val="00B22266"/>
    <w:rsid w:val="00B2244A"/>
    <w:rsid w:val="00B23CF8"/>
    <w:rsid w:val="00B240BE"/>
    <w:rsid w:val="00B24584"/>
    <w:rsid w:val="00B24770"/>
    <w:rsid w:val="00B24AFC"/>
    <w:rsid w:val="00B25D2A"/>
    <w:rsid w:val="00B2641F"/>
    <w:rsid w:val="00B30DF4"/>
    <w:rsid w:val="00B315F8"/>
    <w:rsid w:val="00B31E4C"/>
    <w:rsid w:val="00B32C03"/>
    <w:rsid w:val="00B344F6"/>
    <w:rsid w:val="00B34A38"/>
    <w:rsid w:val="00B34F4F"/>
    <w:rsid w:val="00B35814"/>
    <w:rsid w:val="00B375C3"/>
    <w:rsid w:val="00B408E6"/>
    <w:rsid w:val="00B40E23"/>
    <w:rsid w:val="00B412ED"/>
    <w:rsid w:val="00B42396"/>
    <w:rsid w:val="00B44442"/>
    <w:rsid w:val="00B4485C"/>
    <w:rsid w:val="00B45406"/>
    <w:rsid w:val="00B4695C"/>
    <w:rsid w:val="00B46A14"/>
    <w:rsid w:val="00B46AF3"/>
    <w:rsid w:val="00B50C29"/>
    <w:rsid w:val="00B51E7F"/>
    <w:rsid w:val="00B52443"/>
    <w:rsid w:val="00B52D8C"/>
    <w:rsid w:val="00B53A29"/>
    <w:rsid w:val="00B53AA6"/>
    <w:rsid w:val="00B53CE4"/>
    <w:rsid w:val="00B544DE"/>
    <w:rsid w:val="00B5480A"/>
    <w:rsid w:val="00B54AB7"/>
    <w:rsid w:val="00B55077"/>
    <w:rsid w:val="00B5696D"/>
    <w:rsid w:val="00B574F9"/>
    <w:rsid w:val="00B5793C"/>
    <w:rsid w:val="00B57F4D"/>
    <w:rsid w:val="00B60525"/>
    <w:rsid w:val="00B61AB7"/>
    <w:rsid w:val="00B62194"/>
    <w:rsid w:val="00B637D2"/>
    <w:rsid w:val="00B63BA7"/>
    <w:rsid w:val="00B63D35"/>
    <w:rsid w:val="00B64A11"/>
    <w:rsid w:val="00B6585D"/>
    <w:rsid w:val="00B65C15"/>
    <w:rsid w:val="00B67560"/>
    <w:rsid w:val="00B67CB0"/>
    <w:rsid w:val="00B71B09"/>
    <w:rsid w:val="00B737DF"/>
    <w:rsid w:val="00B738F4"/>
    <w:rsid w:val="00B7451B"/>
    <w:rsid w:val="00B74E9E"/>
    <w:rsid w:val="00B74F99"/>
    <w:rsid w:val="00B81D84"/>
    <w:rsid w:val="00B82E6E"/>
    <w:rsid w:val="00B843DC"/>
    <w:rsid w:val="00B8545B"/>
    <w:rsid w:val="00B86019"/>
    <w:rsid w:val="00B86ABA"/>
    <w:rsid w:val="00B86C2B"/>
    <w:rsid w:val="00B86C95"/>
    <w:rsid w:val="00B86D45"/>
    <w:rsid w:val="00B87E2F"/>
    <w:rsid w:val="00B901D4"/>
    <w:rsid w:val="00B90E8D"/>
    <w:rsid w:val="00B912EB"/>
    <w:rsid w:val="00B923D3"/>
    <w:rsid w:val="00B935DB"/>
    <w:rsid w:val="00B941E3"/>
    <w:rsid w:val="00B9491D"/>
    <w:rsid w:val="00B94BBC"/>
    <w:rsid w:val="00B94BE9"/>
    <w:rsid w:val="00B95BFF"/>
    <w:rsid w:val="00B961DB"/>
    <w:rsid w:val="00B979DC"/>
    <w:rsid w:val="00B97F78"/>
    <w:rsid w:val="00BA0B92"/>
    <w:rsid w:val="00BA13C9"/>
    <w:rsid w:val="00BA1E16"/>
    <w:rsid w:val="00BA2D4D"/>
    <w:rsid w:val="00BA3E77"/>
    <w:rsid w:val="00BA49BE"/>
    <w:rsid w:val="00BA4D59"/>
    <w:rsid w:val="00BA50BA"/>
    <w:rsid w:val="00BA5B7C"/>
    <w:rsid w:val="00BA5C6A"/>
    <w:rsid w:val="00BB02EB"/>
    <w:rsid w:val="00BB0A3B"/>
    <w:rsid w:val="00BB139F"/>
    <w:rsid w:val="00BB23A6"/>
    <w:rsid w:val="00BB287F"/>
    <w:rsid w:val="00BB3E4E"/>
    <w:rsid w:val="00BC0497"/>
    <w:rsid w:val="00BC09D5"/>
    <w:rsid w:val="00BC1D32"/>
    <w:rsid w:val="00BC1E2F"/>
    <w:rsid w:val="00BC2139"/>
    <w:rsid w:val="00BC365A"/>
    <w:rsid w:val="00BC3A6E"/>
    <w:rsid w:val="00BC47A2"/>
    <w:rsid w:val="00BC537A"/>
    <w:rsid w:val="00BC564A"/>
    <w:rsid w:val="00BC6DC9"/>
    <w:rsid w:val="00BC71B0"/>
    <w:rsid w:val="00BC7E94"/>
    <w:rsid w:val="00BD0025"/>
    <w:rsid w:val="00BD12C2"/>
    <w:rsid w:val="00BD1A2C"/>
    <w:rsid w:val="00BD247B"/>
    <w:rsid w:val="00BD250B"/>
    <w:rsid w:val="00BD369A"/>
    <w:rsid w:val="00BD3A84"/>
    <w:rsid w:val="00BD3A91"/>
    <w:rsid w:val="00BD5877"/>
    <w:rsid w:val="00BD6353"/>
    <w:rsid w:val="00BD7347"/>
    <w:rsid w:val="00BD7618"/>
    <w:rsid w:val="00BE0828"/>
    <w:rsid w:val="00BE1B65"/>
    <w:rsid w:val="00BE306E"/>
    <w:rsid w:val="00BE3D6A"/>
    <w:rsid w:val="00BE4E4B"/>
    <w:rsid w:val="00BE6334"/>
    <w:rsid w:val="00BE657A"/>
    <w:rsid w:val="00BE67ED"/>
    <w:rsid w:val="00BF1031"/>
    <w:rsid w:val="00BF11A8"/>
    <w:rsid w:val="00BF1507"/>
    <w:rsid w:val="00BF2507"/>
    <w:rsid w:val="00BF4ACC"/>
    <w:rsid w:val="00BF74DA"/>
    <w:rsid w:val="00BF76FD"/>
    <w:rsid w:val="00C005C9"/>
    <w:rsid w:val="00C00D11"/>
    <w:rsid w:val="00C01685"/>
    <w:rsid w:val="00C035AE"/>
    <w:rsid w:val="00C04E19"/>
    <w:rsid w:val="00C062C0"/>
    <w:rsid w:val="00C0694F"/>
    <w:rsid w:val="00C078D8"/>
    <w:rsid w:val="00C10601"/>
    <w:rsid w:val="00C109B2"/>
    <w:rsid w:val="00C111F7"/>
    <w:rsid w:val="00C11A2C"/>
    <w:rsid w:val="00C1383A"/>
    <w:rsid w:val="00C142DE"/>
    <w:rsid w:val="00C144E7"/>
    <w:rsid w:val="00C14EAF"/>
    <w:rsid w:val="00C1538E"/>
    <w:rsid w:val="00C16DF5"/>
    <w:rsid w:val="00C17385"/>
    <w:rsid w:val="00C236F4"/>
    <w:rsid w:val="00C241BE"/>
    <w:rsid w:val="00C241C7"/>
    <w:rsid w:val="00C24530"/>
    <w:rsid w:val="00C30DDE"/>
    <w:rsid w:val="00C31422"/>
    <w:rsid w:val="00C320EE"/>
    <w:rsid w:val="00C33A33"/>
    <w:rsid w:val="00C34747"/>
    <w:rsid w:val="00C357BD"/>
    <w:rsid w:val="00C36AD2"/>
    <w:rsid w:val="00C36F7A"/>
    <w:rsid w:val="00C3716D"/>
    <w:rsid w:val="00C37D07"/>
    <w:rsid w:val="00C37FB9"/>
    <w:rsid w:val="00C401E8"/>
    <w:rsid w:val="00C41EB6"/>
    <w:rsid w:val="00C41EC3"/>
    <w:rsid w:val="00C43392"/>
    <w:rsid w:val="00C4443A"/>
    <w:rsid w:val="00C46D58"/>
    <w:rsid w:val="00C47386"/>
    <w:rsid w:val="00C51ED5"/>
    <w:rsid w:val="00C52466"/>
    <w:rsid w:val="00C52734"/>
    <w:rsid w:val="00C543C0"/>
    <w:rsid w:val="00C5472A"/>
    <w:rsid w:val="00C550AD"/>
    <w:rsid w:val="00C568D0"/>
    <w:rsid w:val="00C56946"/>
    <w:rsid w:val="00C60D72"/>
    <w:rsid w:val="00C60FC3"/>
    <w:rsid w:val="00C627B6"/>
    <w:rsid w:val="00C62A48"/>
    <w:rsid w:val="00C62B44"/>
    <w:rsid w:val="00C63688"/>
    <w:rsid w:val="00C637CC"/>
    <w:rsid w:val="00C64523"/>
    <w:rsid w:val="00C65CEA"/>
    <w:rsid w:val="00C66008"/>
    <w:rsid w:val="00C677A0"/>
    <w:rsid w:val="00C7086C"/>
    <w:rsid w:val="00C7180E"/>
    <w:rsid w:val="00C72412"/>
    <w:rsid w:val="00C7298C"/>
    <w:rsid w:val="00C733C1"/>
    <w:rsid w:val="00C7358B"/>
    <w:rsid w:val="00C73B66"/>
    <w:rsid w:val="00C73E0F"/>
    <w:rsid w:val="00C75181"/>
    <w:rsid w:val="00C7588F"/>
    <w:rsid w:val="00C778F8"/>
    <w:rsid w:val="00C77B6A"/>
    <w:rsid w:val="00C77E0D"/>
    <w:rsid w:val="00C77EB1"/>
    <w:rsid w:val="00C81075"/>
    <w:rsid w:val="00C8250F"/>
    <w:rsid w:val="00C82815"/>
    <w:rsid w:val="00C82862"/>
    <w:rsid w:val="00C833FC"/>
    <w:rsid w:val="00C842D4"/>
    <w:rsid w:val="00C8430B"/>
    <w:rsid w:val="00C8442D"/>
    <w:rsid w:val="00C861A3"/>
    <w:rsid w:val="00C861AB"/>
    <w:rsid w:val="00C86BAF"/>
    <w:rsid w:val="00C87045"/>
    <w:rsid w:val="00C90666"/>
    <w:rsid w:val="00C90AC2"/>
    <w:rsid w:val="00C93191"/>
    <w:rsid w:val="00C9359D"/>
    <w:rsid w:val="00C93643"/>
    <w:rsid w:val="00C9394A"/>
    <w:rsid w:val="00C93C7C"/>
    <w:rsid w:val="00C93F82"/>
    <w:rsid w:val="00C95D1E"/>
    <w:rsid w:val="00C964E0"/>
    <w:rsid w:val="00C96D3A"/>
    <w:rsid w:val="00C97BD2"/>
    <w:rsid w:val="00CA2F55"/>
    <w:rsid w:val="00CA3037"/>
    <w:rsid w:val="00CA41B7"/>
    <w:rsid w:val="00CA4A10"/>
    <w:rsid w:val="00CA5E77"/>
    <w:rsid w:val="00CA76A9"/>
    <w:rsid w:val="00CB18EE"/>
    <w:rsid w:val="00CB1BC3"/>
    <w:rsid w:val="00CB2B00"/>
    <w:rsid w:val="00CB2E91"/>
    <w:rsid w:val="00CB324A"/>
    <w:rsid w:val="00CB350A"/>
    <w:rsid w:val="00CB3BBF"/>
    <w:rsid w:val="00CB4DDF"/>
    <w:rsid w:val="00CB5BF3"/>
    <w:rsid w:val="00CB5E65"/>
    <w:rsid w:val="00CB6F4F"/>
    <w:rsid w:val="00CB7836"/>
    <w:rsid w:val="00CB79D1"/>
    <w:rsid w:val="00CB7DAB"/>
    <w:rsid w:val="00CC249E"/>
    <w:rsid w:val="00CC3DD2"/>
    <w:rsid w:val="00CC45BD"/>
    <w:rsid w:val="00CC5210"/>
    <w:rsid w:val="00CC5D25"/>
    <w:rsid w:val="00CD06CC"/>
    <w:rsid w:val="00CD1389"/>
    <w:rsid w:val="00CD25F9"/>
    <w:rsid w:val="00CD27C1"/>
    <w:rsid w:val="00CD39FC"/>
    <w:rsid w:val="00CD3F6E"/>
    <w:rsid w:val="00CD453C"/>
    <w:rsid w:val="00CD45BA"/>
    <w:rsid w:val="00CD46A6"/>
    <w:rsid w:val="00CD580F"/>
    <w:rsid w:val="00CD6BA2"/>
    <w:rsid w:val="00CD78D8"/>
    <w:rsid w:val="00CE08CA"/>
    <w:rsid w:val="00CE197B"/>
    <w:rsid w:val="00CE1EF6"/>
    <w:rsid w:val="00CE5558"/>
    <w:rsid w:val="00CE5F4B"/>
    <w:rsid w:val="00CE6657"/>
    <w:rsid w:val="00CE6A9B"/>
    <w:rsid w:val="00CE753A"/>
    <w:rsid w:val="00CE7808"/>
    <w:rsid w:val="00CF0373"/>
    <w:rsid w:val="00CF0EDD"/>
    <w:rsid w:val="00CF22F2"/>
    <w:rsid w:val="00CF2F15"/>
    <w:rsid w:val="00CF3403"/>
    <w:rsid w:val="00CF3B0E"/>
    <w:rsid w:val="00CF45A7"/>
    <w:rsid w:val="00CF4EF1"/>
    <w:rsid w:val="00CF5224"/>
    <w:rsid w:val="00CF5F53"/>
    <w:rsid w:val="00CF655B"/>
    <w:rsid w:val="00CF6573"/>
    <w:rsid w:val="00CF769C"/>
    <w:rsid w:val="00CF76A6"/>
    <w:rsid w:val="00D01704"/>
    <w:rsid w:val="00D01BB2"/>
    <w:rsid w:val="00D01C89"/>
    <w:rsid w:val="00D02C72"/>
    <w:rsid w:val="00D02EE8"/>
    <w:rsid w:val="00D033CE"/>
    <w:rsid w:val="00D03583"/>
    <w:rsid w:val="00D05460"/>
    <w:rsid w:val="00D061D2"/>
    <w:rsid w:val="00D07A37"/>
    <w:rsid w:val="00D07D79"/>
    <w:rsid w:val="00D12E09"/>
    <w:rsid w:val="00D137E9"/>
    <w:rsid w:val="00D138DD"/>
    <w:rsid w:val="00D13A5E"/>
    <w:rsid w:val="00D13C54"/>
    <w:rsid w:val="00D13FC6"/>
    <w:rsid w:val="00D15054"/>
    <w:rsid w:val="00D16D82"/>
    <w:rsid w:val="00D17805"/>
    <w:rsid w:val="00D22FD4"/>
    <w:rsid w:val="00D245FC"/>
    <w:rsid w:val="00D25623"/>
    <w:rsid w:val="00D27041"/>
    <w:rsid w:val="00D27151"/>
    <w:rsid w:val="00D274E4"/>
    <w:rsid w:val="00D276ED"/>
    <w:rsid w:val="00D2799D"/>
    <w:rsid w:val="00D31997"/>
    <w:rsid w:val="00D3261D"/>
    <w:rsid w:val="00D329E0"/>
    <w:rsid w:val="00D3317C"/>
    <w:rsid w:val="00D33A5D"/>
    <w:rsid w:val="00D33C1B"/>
    <w:rsid w:val="00D33F91"/>
    <w:rsid w:val="00D35C27"/>
    <w:rsid w:val="00D35D17"/>
    <w:rsid w:val="00D362B2"/>
    <w:rsid w:val="00D37F13"/>
    <w:rsid w:val="00D40277"/>
    <w:rsid w:val="00D40A76"/>
    <w:rsid w:val="00D40EAC"/>
    <w:rsid w:val="00D423D7"/>
    <w:rsid w:val="00D427C5"/>
    <w:rsid w:val="00D4298A"/>
    <w:rsid w:val="00D43512"/>
    <w:rsid w:val="00D43E2E"/>
    <w:rsid w:val="00D43E88"/>
    <w:rsid w:val="00D448CA"/>
    <w:rsid w:val="00D45485"/>
    <w:rsid w:val="00D454B6"/>
    <w:rsid w:val="00D52C92"/>
    <w:rsid w:val="00D534AA"/>
    <w:rsid w:val="00D54438"/>
    <w:rsid w:val="00D5566A"/>
    <w:rsid w:val="00D55AC1"/>
    <w:rsid w:val="00D562AD"/>
    <w:rsid w:val="00D562D4"/>
    <w:rsid w:val="00D574E1"/>
    <w:rsid w:val="00D5756C"/>
    <w:rsid w:val="00D629F4"/>
    <w:rsid w:val="00D62C0B"/>
    <w:rsid w:val="00D6397E"/>
    <w:rsid w:val="00D64776"/>
    <w:rsid w:val="00D64A97"/>
    <w:rsid w:val="00D661E2"/>
    <w:rsid w:val="00D6693C"/>
    <w:rsid w:val="00D67481"/>
    <w:rsid w:val="00D67829"/>
    <w:rsid w:val="00D713BC"/>
    <w:rsid w:val="00D72E47"/>
    <w:rsid w:val="00D74616"/>
    <w:rsid w:val="00D75143"/>
    <w:rsid w:val="00D75E21"/>
    <w:rsid w:val="00D76F17"/>
    <w:rsid w:val="00D77EFE"/>
    <w:rsid w:val="00D80265"/>
    <w:rsid w:val="00D82337"/>
    <w:rsid w:val="00D82BE1"/>
    <w:rsid w:val="00D83CE4"/>
    <w:rsid w:val="00D83EF6"/>
    <w:rsid w:val="00D83F18"/>
    <w:rsid w:val="00D853C3"/>
    <w:rsid w:val="00D859A5"/>
    <w:rsid w:val="00D87731"/>
    <w:rsid w:val="00D909AC"/>
    <w:rsid w:val="00D91193"/>
    <w:rsid w:val="00D91443"/>
    <w:rsid w:val="00D92340"/>
    <w:rsid w:val="00D92BF2"/>
    <w:rsid w:val="00D9400F"/>
    <w:rsid w:val="00D94896"/>
    <w:rsid w:val="00D95570"/>
    <w:rsid w:val="00D957FE"/>
    <w:rsid w:val="00D9636A"/>
    <w:rsid w:val="00D96826"/>
    <w:rsid w:val="00D97B12"/>
    <w:rsid w:val="00DA1152"/>
    <w:rsid w:val="00DA1A0F"/>
    <w:rsid w:val="00DA1C01"/>
    <w:rsid w:val="00DA1E04"/>
    <w:rsid w:val="00DA28AC"/>
    <w:rsid w:val="00DA2F97"/>
    <w:rsid w:val="00DA33AF"/>
    <w:rsid w:val="00DA3BC9"/>
    <w:rsid w:val="00DA3F15"/>
    <w:rsid w:val="00DA5CFF"/>
    <w:rsid w:val="00DA61C5"/>
    <w:rsid w:val="00DA7105"/>
    <w:rsid w:val="00DA7423"/>
    <w:rsid w:val="00DB014F"/>
    <w:rsid w:val="00DB0B8F"/>
    <w:rsid w:val="00DB1581"/>
    <w:rsid w:val="00DB19FF"/>
    <w:rsid w:val="00DB1CCA"/>
    <w:rsid w:val="00DB3942"/>
    <w:rsid w:val="00DB4D06"/>
    <w:rsid w:val="00DB5AC5"/>
    <w:rsid w:val="00DB6253"/>
    <w:rsid w:val="00DB7766"/>
    <w:rsid w:val="00DB7CB9"/>
    <w:rsid w:val="00DC096F"/>
    <w:rsid w:val="00DC09E3"/>
    <w:rsid w:val="00DC1918"/>
    <w:rsid w:val="00DC1E88"/>
    <w:rsid w:val="00DC2506"/>
    <w:rsid w:val="00DC295F"/>
    <w:rsid w:val="00DC2BED"/>
    <w:rsid w:val="00DC4A30"/>
    <w:rsid w:val="00DC4D9B"/>
    <w:rsid w:val="00DC5D0E"/>
    <w:rsid w:val="00DC6017"/>
    <w:rsid w:val="00DC7429"/>
    <w:rsid w:val="00DC7E76"/>
    <w:rsid w:val="00DD0841"/>
    <w:rsid w:val="00DD168C"/>
    <w:rsid w:val="00DD18B9"/>
    <w:rsid w:val="00DD1BB0"/>
    <w:rsid w:val="00DD2750"/>
    <w:rsid w:val="00DD2B19"/>
    <w:rsid w:val="00DD35EA"/>
    <w:rsid w:val="00DD590A"/>
    <w:rsid w:val="00DD5A62"/>
    <w:rsid w:val="00DD5AB7"/>
    <w:rsid w:val="00DD5D8D"/>
    <w:rsid w:val="00DD63A2"/>
    <w:rsid w:val="00DD65C0"/>
    <w:rsid w:val="00DD66A4"/>
    <w:rsid w:val="00DD683E"/>
    <w:rsid w:val="00DD6972"/>
    <w:rsid w:val="00DD7302"/>
    <w:rsid w:val="00DD7319"/>
    <w:rsid w:val="00DE0016"/>
    <w:rsid w:val="00DE0848"/>
    <w:rsid w:val="00DE0B08"/>
    <w:rsid w:val="00DE138F"/>
    <w:rsid w:val="00DE2696"/>
    <w:rsid w:val="00DE2D32"/>
    <w:rsid w:val="00DE3780"/>
    <w:rsid w:val="00DE3ADE"/>
    <w:rsid w:val="00DE3E2B"/>
    <w:rsid w:val="00DE49B4"/>
    <w:rsid w:val="00DE5CCA"/>
    <w:rsid w:val="00DE5F0E"/>
    <w:rsid w:val="00DE7075"/>
    <w:rsid w:val="00DE7A1B"/>
    <w:rsid w:val="00DF06B2"/>
    <w:rsid w:val="00DF07F3"/>
    <w:rsid w:val="00DF15FC"/>
    <w:rsid w:val="00DF1CAD"/>
    <w:rsid w:val="00DF3B25"/>
    <w:rsid w:val="00DF3E15"/>
    <w:rsid w:val="00DF4EFF"/>
    <w:rsid w:val="00DF4FC9"/>
    <w:rsid w:val="00DF535C"/>
    <w:rsid w:val="00E00C6C"/>
    <w:rsid w:val="00E01356"/>
    <w:rsid w:val="00E0153A"/>
    <w:rsid w:val="00E01C33"/>
    <w:rsid w:val="00E02E67"/>
    <w:rsid w:val="00E036C8"/>
    <w:rsid w:val="00E03D86"/>
    <w:rsid w:val="00E03DC4"/>
    <w:rsid w:val="00E041CE"/>
    <w:rsid w:val="00E0430D"/>
    <w:rsid w:val="00E04438"/>
    <w:rsid w:val="00E049E8"/>
    <w:rsid w:val="00E05570"/>
    <w:rsid w:val="00E055ED"/>
    <w:rsid w:val="00E05CE8"/>
    <w:rsid w:val="00E0737B"/>
    <w:rsid w:val="00E073D9"/>
    <w:rsid w:val="00E07DB1"/>
    <w:rsid w:val="00E12B97"/>
    <w:rsid w:val="00E13246"/>
    <w:rsid w:val="00E13893"/>
    <w:rsid w:val="00E16C9D"/>
    <w:rsid w:val="00E20ECD"/>
    <w:rsid w:val="00E216BF"/>
    <w:rsid w:val="00E21E67"/>
    <w:rsid w:val="00E23B0F"/>
    <w:rsid w:val="00E23E98"/>
    <w:rsid w:val="00E24438"/>
    <w:rsid w:val="00E24D43"/>
    <w:rsid w:val="00E2509E"/>
    <w:rsid w:val="00E252BB"/>
    <w:rsid w:val="00E304EA"/>
    <w:rsid w:val="00E30A25"/>
    <w:rsid w:val="00E328CF"/>
    <w:rsid w:val="00E335B8"/>
    <w:rsid w:val="00E33954"/>
    <w:rsid w:val="00E34920"/>
    <w:rsid w:val="00E36675"/>
    <w:rsid w:val="00E36D35"/>
    <w:rsid w:val="00E377A3"/>
    <w:rsid w:val="00E4097D"/>
    <w:rsid w:val="00E40B9E"/>
    <w:rsid w:val="00E41C20"/>
    <w:rsid w:val="00E422FC"/>
    <w:rsid w:val="00E4256C"/>
    <w:rsid w:val="00E42E36"/>
    <w:rsid w:val="00E44F74"/>
    <w:rsid w:val="00E450AC"/>
    <w:rsid w:val="00E451EB"/>
    <w:rsid w:val="00E45333"/>
    <w:rsid w:val="00E457B9"/>
    <w:rsid w:val="00E458C2"/>
    <w:rsid w:val="00E46280"/>
    <w:rsid w:val="00E46787"/>
    <w:rsid w:val="00E468AC"/>
    <w:rsid w:val="00E46B93"/>
    <w:rsid w:val="00E46EC3"/>
    <w:rsid w:val="00E513A6"/>
    <w:rsid w:val="00E52167"/>
    <w:rsid w:val="00E52AEB"/>
    <w:rsid w:val="00E52B53"/>
    <w:rsid w:val="00E52EDE"/>
    <w:rsid w:val="00E53A2F"/>
    <w:rsid w:val="00E5694F"/>
    <w:rsid w:val="00E569BE"/>
    <w:rsid w:val="00E56BD9"/>
    <w:rsid w:val="00E57991"/>
    <w:rsid w:val="00E60492"/>
    <w:rsid w:val="00E612FB"/>
    <w:rsid w:val="00E61E30"/>
    <w:rsid w:val="00E6249E"/>
    <w:rsid w:val="00E63214"/>
    <w:rsid w:val="00E63797"/>
    <w:rsid w:val="00E6397A"/>
    <w:rsid w:val="00E667D5"/>
    <w:rsid w:val="00E66F53"/>
    <w:rsid w:val="00E6705C"/>
    <w:rsid w:val="00E67E29"/>
    <w:rsid w:val="00E7049A"/>
    <w:rsid w:val="00E72705"/>
    <w:rsid w:val="00E739D6"/>
    <w:rsid w:val="00E73CF1"/>
    <w:rsid w:val="00E751C4"/>
    <w:rsid w:val="00E767CA"/>
    <w:rsid w:val="00E775D2"/>
    <w:rsid w:val="00E77A57"/>
    <w:rsid w:val="00E816C0"/>
    <w:rsid w:val="00E8187E"/>
    <w:rsid w:val="00E81B63"/>
    <w:rsid w:val="00E82833"/>
    <w:rsid w:val="00E82F6F"/>
    <w:rsid w:val="00E833D1"/>
    <w:rsid w:val="00E85EA3"/>
    <w:rsid w:val="00E85FE3"/>
    <w:rsid w:val="00E86EC4"/>
    <w:rsid w:val="00E871C1"/>
    <w:rsid w:val="00E91020"/>
    <w:rsid w:val="00E9237A"/>
    <w:rsid w:val="00E931C2"/>
    <w:rsid w:val="00E94216"/>
    <w:rsid w:val="00E961CD"/>
    <w:rsid w:val="00E968C5"/>
    <w:rsid w:val="00E971BB"/>
    <w:rsid w:val="00E973DD"/>
    <w:rsid w:val="00E97F7C"/>
    <w:rsid w:val="00EA1657"/>
    <w:rsid w:val="00EA3628"/>
    <w:rsid w:val="00EA41D9"/>
    <w:rsid w:val="00EA4427"/>
    <w:rsid w:val="00EA5C5A"/>
    <w:rsid w:val="00EA64C7"/>
    <w:rsid w:val="00EA65E8"/>
    <w:rsid w:val="00EA749E"/>
    <w:rsid w:val="00EB1ABF"/>
    <w:rsid w:val="00EB2AF5"/>
    <w:rsid w:val="00EB3480"/>
    <w:rsid w:val="00EB3A4C"/>
    <w:rsid w:val="00EB5E7F"/>
    <w:rsid w:val="00EB623A"/>
    <w:rsid w:val="00EB64BC"/>
    <w:rsid w:val="00EB697C"/>
    <w:rsid w:val="00EB718E"/>
    <w:rsid w:val="00EB7E48"/>
    <w:rsid w:val="00EC156F"/>
    <w:rsid w:val="00EC305E"/>
    <w:rsid w:val="00EC3FBA"/>
    <w:rsid w:val="00EC5F58"/>
    <w:rsid w:val="00EC6C47"/>
    <w:rsid w:val="00EC6D9E"/>
    <w:rsid w:val="00EC6EC5"/>
    <w:rsid w:val="00EC7884"/>
    <w:rsid w:val="00EC796A"/>
    <w:rsid w:val="00ED0537"/>
    <w:rsid w:val="00ED14C2"/>
    <w:rsid w:val="00ED280E"/>
    <w:rsid w:val="00ED31BA"/>
    <w:rsid w:val="00ED407E"/>
    <w:rsid w:val="00ED4B62"/>
    <w:rsid w:val="00ED5368"/>
    <w:rsid w:val="00ED6C2F"/>
    <w:rsid w:val="00EE04DF"/>
    <w:rsid w:val="00EE0C46"/>
    <w:rsid w:val="00EE1937"/>
    <w:rsid w:val="00EE1BC5"/>
    <w:rsid w:val="00EE2C8E"/>
    <w:rsid w:val="00EE3624"/>
    <w:rsid w:val="00EE36EF"/>
    <w:rsid w:val="00EE6583"/>
    <w:rsid w:val="00EE72AF"/>
    <w:rsid w:val="00EE736F"/>
    <w:rsid w:val="00EF0981"/>
    <w:rsid w:val="00EF1E23"/>
    <w:rsid w:val="00EF20BC"/>
    <w:rsid w:val="00EF279E"/>
    <w:rsid w:val="00EF2FEA"/>
    <w:rsid w:val="00F0060E"/>
    <w:rsid w:val="00F0140E"/>
    <w:rsid w:val="00F01422"/>
    <w:rsid w:val="00F02F35"/>
    <w:rsid w:val="00F04B3C"/>
    <w:rsid w:val="00F04FE1"/>
    <w:rsid w:val="00F07080"/>
    <w:rsid w:val="00F073C2"/>
    <w:rsid w:val="00F103FC"/>
    <w:rsid w:val="00F11529"/>
    <w:rsid w:val="00F12198"/>
    <w:rsid w:val="00F123C6"/>
    <w:rsid w:val="00F129E4"/>
    <w:rsid w:val="00F1361D"/>
    <w:rsid w:val="00F139DD"/>
    <w:rsid w:val="00F13E78"/>
    <w:rsid w:val="00F141C0"/>
    <w:rsid w:val="00F149B9"/>
    <w:rsid w:val="00F16FD4"/>
    <w:rsid w:val="00F17D83"/>
    <w:rsid w:val="00F2054B"/>
    <w:rsid w:val="00F20ED9"/>
    <w:rsid w:val="00F21949"/>
    <w:rsid w:val="00F22767"/>
    <w:rsid w:val="00F229BD"/>
    <w:rsid w:val="00F23583"/>
    <w:rsid w:val="00F23FD3"/>
    <w:rsid w:val="00F25F92"/>
    <w:rsid w:val="00F26297"/>
    <w:rsid w:val="00F27231"/>
    <w:rsid w:val="00F2730B"/>
    <w:rsid w:val="00F27A26"/>
    <w:rsid w:val="00F30414"/>
    <w:rsid w:val="00F308C1"/>
    <w:rsid w:val="00F3150F"/>
    <w:rsid w:val="00F3179D"/>
    <w:rsid w:val="00F333A0"/>
    <w:rsid w:val="00F33A19"/>
    <w:rsid w:val="00F33B70"/>
    <w:rsid w:val="00F35C54"/>
    <w:rsid w:val="00F36270"/>
    <w:rsid w:val="00F362B9"/>
    <w:rsid w:val="00F36DC6"/>
    <w:rsid w:val="00F3718C"/>
    <w:rsid w:val="00F37808"/>
    <w:rsid w:val="00F40003"/>
    <w:rsid w:val="00F41225"/>
    <w:rsid w:val="00F41FA4"/>
    <w:rsid w:val="00F4375A"/>
    <w:rsid w:val="00F44058"/>
    <w:rsid w:val="00F442AD"/>
    <w:rsid w:val="00F445F5"/>
    <w:rsid w:val="00F44E14"/>
    <w:rsid w:val="00F47647"/>
    <w:rsid w:val="00F47809"/>
    <w:rsid w:val="00F47EB0"/>
    <w:rsid w:val="00F52351"/>
    <w:rsid w:val="00F5301C"/>
    <w:rsid w:val="00F53972"/>
    <w:rsid w:val="00F53C77"/>
    <w:rsid w:val="00F55C13"/>
    <w:rsid w:val="00F55C4F"/>
    <w:rsid w:val="00F56D90"/>
    <w:rsid w:val="00F5796B"/>
    <w:rsid w:val="00F6075E"/>
    <w:rsid w:val="00F60B3F"/>
    <w:rsid w:val="00F60C7D"/>
    <w:rsid w:val="00F62496"/>
    <w:rsid w:val="00F629D2"/>
    <w:rsid w:val="00F63028"/>
    <w:rsid w:val="00F63651"/>
    <w:rsid w:val="00F65100"/>
    <w:rsid w:val="00F656DF"/>
    <w:rsid w:val="00F670CC"/>
    <w:rsid w:val="00F67222"/>
    <w:rsid w:val="00F7003F"/>
    <w:rsid w:val="00F71568"/>
    <w:rsid w:val="00F717FB"/>
    <w:rsid w:val="00F7271B"/>
    <w:rsid w:val="00F728E3"/>
    <w:rsid w:val="00F7346D"/>
    <w:rsid w:val="00F73972"/>
    <w:rsid w:val="00F73BE8"/>
    <w:rsid w:val="00F74446"/>
    <w:rsid w:val="00F76854"/>
    <w:rsid w:val="00F8093F"/>
    <w:rsid w:val="00F80E48"/>
    <w:rsid w:val="00F82F09"/>
    <w:rsid w:val="00F846E2"/>
    <w:rsid w:val="00F86B56"/>
    <w:rsid w:val="00F86E79"/>
    <w:rsid w:val="00F91239"/>
    <w:rsid w:val="00F91C3B"/>
    <w:rsid w:val="00F92264"/>
    <w:rsid w:val="00F92A8D"/>
    <w:rsid w:val="00F938FB"/>
    <w:rsid w:val="00F93D5B"/>
    <w:rsid w:val="00F967BF"/>
    <w:rsid w:val="00FA0604"/>
    <w:rsid w:val="00FA07E1"/>
    <w:rsid w:val="00FA0BA2"/>
    <w:rsid w:val="00FA0C63"/>
    <w:rsid w:val="00FA11E9"/>
    <w:rsid w:val="00FA135A"/>
    <w:rsid w:val="00FA1C90"/>
    <w:rsid w:val="00FA32C6"/>
    <w:rsid w:val="00FA4115"/>
    <w:rsid w:val="00FA5C31"/>
    <w:rsid w:val="00FA5EE1"/>
    <w:rsid w:val="00FA7181"/>
    <w:rsid w:val="00FA7310"/>
    <w:rsid w:val="00FA7854"/>
    <w:rsid w:val="00FA7FF2"/>
    <w:rsid w:val="00FB0B03"/>
    <w:rsid w:val="00FB1650"/>
    <w:rsid w:val="00FB2952"/>
    <w:rsid w:val="00FB614C"/>
    <w:rsid w:val="00FB63A7"/>
    <w:rsid w:val="00FB65FE"/>
    <w:rsid w:val="00FC2ADC"/>
    <w:rsid w:val="00FC4473"/>
    <w:rsid w:val="00FC5246"/>
    <w:rsid w:val="00FC722F"/>
    <w:rsid w:val="00FC745D"/>
    <w:rsid w:val="00FD1227"/>
    <w:rsid w:val="00FD12F3"/>
    <w:rsid w:val="00FD1326"/>
    <w:rsid w:val="00FD244F"/>
    <w:rsid w:val="00FD2F80"/>
    <w:rsid w:val="00FD3856"/>
    <w:rsid w:val="00FD3F3B"/>
    <w:rsid w:val="00FD479E"/>
    <w:rsid w:val="00FD5E9C"/>
    <w:rsid w:val="00FD696B"/>
    <w:rsid w:val="00FD720E"/>
    <w:rsid w:val="00FD7E5A"/>
    <w:rsid w:val="00FE3AC4"/>
    <w:rsid w:val="00FE53CA"/>
    <w:rsid w:val="00FE65E6"/>
    <w:rsid w:val="00FE681B"/>
    <w:rsid w:val="00FE6FC2"/>
    <w:rsid w:val="00FE75C5"/>
    <w:rsid w:val="00FE7667"/>
    <w:rsid w:val="00FF0224"/>
    <w:rsid w:val="00FF07E5"/>
    <w:rsid w:val="00FF2532"/>
    <w:rsid w:val="00FF255B"/>
    <w:rsid w:val="00FF2605"/>
    <w:rsid w:val="00FF3BBC"/>
    <w:rsid w:val="00FF64EA"/>
    <w:rsid w:val="00FF6EEF"/>
    <w:rsid w:val="00FF74C1"/>
    <w:rsid w:val="371232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ocked="1"/>
    <w:lsdException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qFormat="1"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9"/>
    <w:semiHidden/>
    <w:unhideWhenUsed/>
    <w:qFormat/>
    <w:locked/>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41"/>
    <w:semiHidden/>
    <w:unhideWhenUsed/>
    <w:qFormat/>
    <w:uiPriority w:val="99"/>
    <w:rPr>
      <w:rFonts w:ascii="宋体"/>
      <w:sz w:val="18"/>
      <w:szCs w:val="18"/>
    </w:rPr>
  </w:style>
  <w:style w:type="paragraph" w:styleId="6">
    <w:name w:val="annotation text"/>
    <w:basedOn w:val="1"/>
    <w:link w:val="39"/>
    <w:semiHidden/>
    <w:unhideWhenUsed/>
    <w:qFormat/>
    <w:uiPriority w:val="99"/>
    <w:pPr>
      <w:jc w:val="left"/>
    </w:pPr>
  </w:style>
  <w:style w:type="paragraph" w:styleId="7">
    <w:name w:val="Body Text"/>
    <w:basedOn w:val="1"/>
    <w:link w:val="44"/>
    <w:qFormat/>
    <w:uiPriority w:val="0"/>
    <w:pPr>
      <w:spacing w:after="120"/>
    </w:pPr>
    <w:rPr>
      <w:rFonts w:ascii="Times New Roman" w:hAnsi="Times New Roman" w:cs="Times New Roman"/>
      <w:szCs w:val="24"/>
    </w:rPr>
  </w:style>
  <w:style w:type="paragraph" w:styleId="8">
    <w:name w:val="Body Text Indent"/>
    <w:basedOn w:val="1"/>
    <w:link w:val="33"/>
    <w:qFormat/>
    <w:uiPriority w:val="99"/>
    <w:pPr>
      <w:widowControl/>
      <w:ind w:left="420"/>
      <w:jc w:val="left"/>
    </w:pPr>
    <w:rPr>
      <w:rFonts w:ascii="Times New Roman" w:hAnsi="Times New Roman" w:cs="Times New Roman"/>
      <w:sz w:val="30"/>
      <w:szCs w:val="30"/>
    </w:rPr>
  </w:style>
  <w:style w:type="paragraph" w:styleId="9">
    <w:name w:val="Date"/>
    <w:basedOn w:val="1"/>
    <w:next w:val="1"/>
    <w:link w:val="32"/>
    <w:semiHidden/>
    <w:uiPriority w:val="99"/>
    <w:pPr>
      <w:ind w:left="100" w:leftChars="2500"/>
    </w:pPr>
  </w:style>
  <w:style w:type="paragraph" w:styleId="10">
    <w:name w:val="Balloon Text"/>
    <w:basedOn w:val="1"/>
    <w:link w:val="37"/>
    <w:semiHidden/>
    <w:unhideWhenUsed/>
    <w:uiPriority w:val="99"/>
    <w:rPr>
      <w:sz w:val="18"/>
      <w:szCs w:val="18"/>
    </w:rPr>
  </w:style>
  <w:style w:type="paragraph" w:styleId="11">
    <w:name w:val="footer"/>
    <w:basedOn w:val="1"/>
    <w:link w:val="31"/>
    <w:uiPriority w:val="99"/>
    <w:pPr>
      <w:tabs>
        <w:tab w:val="center" w:pos="4153"/>
        <w:tab w:val="right" w:pos="8306"/>
      </w:tabs>
      <w:snapToGrid w:val="0"/>
      <w:jc w:val="left"/>
    </w:pPr>
    <w:rPr>
      <w:sz w:val="18"/>
      <w:szCs w:val="18"/>
    </w:rPr>
  </w:style>
  <w:style w:type="paragraph" w:styleId="12">
    <w:name w:val="header"/>
    <w:basedOn w:val="1"/>
    <w:link w:val="30"/>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locked/>
    <w:uiPriority w:val="39"/>
    <w:pPr>
      <w:tabs>
        <w:tab w:val="right" w:leader="dot" w:pos="9203"/>
      </w:tabs>
    </w:pPr>
    <w:rPr>
      <w:rFonts w:ascii="宋体" w:hAnsi="宋体" w:cs="宋体"/>
      <w:b/>
      <w:bCs/>
      <w:spacing w:val="-9"/>
    </w:rPr>
  </w:style>
  <w:style w:type="paragraph" w:styleId="14">
    <w:name w:val="footnote text"/>
    <w:basedOn w:val="1"/>
    <w:link w:val="38"/>
    <w:semiHidden/>
    <w:unhideWhenUsed/>
    <w:qFormat/>
    <w:uiPriority w:val="99"/>
    <w:pPr>
      <w:snapToGrid w:val="0"/>
      <w:jc w:val="left"/>
    </w:pPr>
    <w:rPr>
      <w:sz w:val="18"/>
      <w:szCs w:val="18"/>
    </w:rPr>
  </w:style>
  <w:style w:type="paragraph" w:styleId="15">
    <w:name w:val="Body Text Indent 3"/>
    <w:basedOn w:val="1"/>
    <w:link w:val="36"/>
    <w:uiPriority w:val="0"/>
    <w:pPr>
      <w:spacing w:after="120"/>
      <w:ind w:left="420" w:leftChars="200"/>
    </w:pPr>
    <w:rPr>
      <w:sz w:val="16"/>
      <w:szCs w:val="16"/>
    </w:rPr>
  </w:style>
  <w:style w:type="paragraph" w:styleId="16">
    <w:name w:val="toc 2"/>
    <w:basedOn w:val="1"/>
    <w:next w:val="1"/>
    <w:locked/>
    <w:uiPriority w:val="39"/>
    <w:pPr>
      <w:ind w:left="420" w:leftChars="200"/>
    </w:pPr>
  </w:style>
  <w:style w:type="paragraph" w:styleId="17">
    <w:name w:val="Body Text 2"/>
    <w:basedOn w:val="1"/>
    <w:link w:val="35"/>
    <w:uiPriority w:val="0"/>
    <w:pPr>
      <w:spacing w:after="120" w:line="480" w:lineRule="auto"/>
    </w:pPr>
    <w:rPr>
      <w:rFonts w:ascii="Times New Roman" w:hAnsi="Times New Roman" w:cs="Times New Roman"/>
      <w:szCs w:val="24"/>
    </w:rPr>
  </w:style>
  <w:style w:type="paragraph" w:styleId="18">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6"/>
    <w:next w:val="6"/>
    <w:link w:val="40"/>
    <w:semiHidden/>
    <w:unhideWhenUsed/>
    <w:qFormat/>
    <w:uiPriority w:val="99"/>
    <w:rPr>
      <w:b/>
      <w:bCs/>
    </w:rPr>
  </w:style>
  <w:style w:type="table" w:styleId="21">
    <w:name w:val="Table Grid"/>
    <w:basedOn w:val="20"/>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Hyperlink"/>
    <w:basedOn w:val="22"/>
    <w:uiPriority w:val="99"/>
    <w:rPr>
      <w:color w:val="0000FF"/>
      <w:u w:val="single"/>
    </w:rPr>
  </w:style>
  <w:style w:type="character" w:styleId="24">
    <w:name w:val="annotation reference"/>
    <w:basedOn w:val="22"/>
    <w:semiHidden/>
    <w:unhideWhenUsed/>
    <w:qFormat/>
    <w:uiPriority w:val="99"/>
    <w:rPr>
      <w:sz w:val="21"/>
      <w:szCs w:val="21"/>
    </w:rPr>
  </w:style>
  <w:style w:type="character" w:styleId="25">
    <w:name w:val="footnote reference"/>
    <w:basedOn w:val="22"/>
    <w:semiHidden/>
    <w:unhideWhenUsed/>
    <w:qFormat/>
    <w:uiPriority w:val="99"/>
    <w:rPr>
      <w:vertAlign w:val="superscript"/>
    </w:rPr>
  </w:style>
  <w:style w:type="character" w:styleId="26">
    <w:name w:val="HTML Sample"/>
    <w:basedOn w:val="22"/>
    <w:qFormat/>
    <w:uiPriority w:val="0"/>
    <w:rPr>
      <w:rFonts w:hint="default" w:ascii="monospace" w:hAnsi="monospace" w:eastAsia="monospace" w:cs="monospace"/>
      <w:sz w:val="21"/>
      <w:szCs w:val="21"/>
    </w:rPr>
  </w:style>
  <w:style w:type="character" w:customStyle="1" w:styleId="27">
    <w:name w:val="标题 1 Char"/>
    <w:basedOn w:val="22"/>
    <w:link w:val="2"/>
    <w:uiPriority w:val="0"/>
    <w:rPr>
      <w:rFonts w:cs="Calibri"/>
      <w:b/>
      <w:bCs/>
      <w:kern w:val="44"/>
      <w:sz w:val="44"/>
      <w:szCs w:val="44"/>
    </w:rPr>
  </w:style>
  <w:style w:type="character" w:customStyle="1" w:styleId="28">
    <w:name w:val="标题 2 Char"/>
    <w:basedOn w:val="22"/>
    <w:link w:val="3"/>
    <w:locked/>
    <w:uiPriority w:val="99"/>
    <w:rPr>
      <w:rFonts w:ascii="Cambria" w:hAnsi="Cambria" w:eastAsia="宋体" w:cs="Cambria"/>
      <w:b/>
      <w:bCs/>
      <w:sz w:val="32"/>
      <w:szCs w:val="32"/>
    </w:rPr>
  </w:style>
  <w:style w:type="character" w:customStyle="1" w:styleId="29">
    <w:name w:val="标题 3 Char"/>
    <w:basedOn w:val="22"/>
    <w:link w:val="4"/>
    <w:semiHidden/>
    <w:uiPriority w:val="0"/>
    <w:rPr>
      <w:rFonts w:cs="Calibri"/>
      <w:b/>
      <w:bCs/>
      <w:kern w:val="2"/>
      <w:sz w:val="32"/>
      <w:szCs w:val="32"/>
    </w:rPr>
  </w:style>
  <w:style w:type="character" w:customStyle="1" w:styleId="30">
    <w:name w:val="页眉 Char"/>
    <w:basedOn w:val="22"/>
    <w:link w:val="12"/>
    <w:locked/>
    <w:uiPriority w:val="99"/>
    <w:rPr>
      <w:sz w:val="18"/>
      <w:szCs w:val="18"/>
    </w:rPr>
  </w:style>
  <w:style w:type="character" w:customStyle="1" w:styleId="31">
    <w:name w:val="页脚 Char"/>
    <w:basedOn w:val="22"/>
    <w:link w:val="11"/>
    <w:locked/>
    <w:uiPriority w:val="99"/>
    <w:rPr>
      <w:sz w:val="18"/>
      <w:szCs w:val="18"/>
    </w:rPr>
  </w:style>
  <w:style w:type="character" w:customStyle="1" w:styleId="32">
    <w:name w:val="日期 Char"/>
    <w:basedOn w:val="22"/>
    <w:link w:val="9"/>
    <w:semiHidden/>
    <w:locked/>
    <w:uiPriority w:val="99"/>
  </w:style>
  <w:style w:type="character" w:customStyle="1" w:styleId="33">
    <w:name w:val="正文文本缩进 Char"/>
    <w:basedOn w:val="22"/>
    <w:link w:val="8"/>
    <w:locked/>
    <w:uiPriority w:val="99"/>
    <w:rPr>
      <w:rFonts w:ascii="Times New Roman" w:hAnsi="Times New Roman" w:eastAsia="宋体" w:cs="Times New Roman"/>
      <w:sz w:val="20"/>
      <w:szCs w:val="20"/>
    </w:rPr>
  </w:style>
  <w:style w:type="paragraph" w:styleId="34">
    <w:name w:val="List Paragraph"/>
    <w:basedOn w:val="1"/>
    <w:qFormat/>
    <w:uiPriority w:val="99"/>
    <w:pPr>
      <w:widowControl/>
      <w:ind w:firstLine="420" w:firstLineChars="200"/>
      <w:jc w:val="left"/>
    </w:pPr>
    <w:rPr>
      <w:rFonts w:ascii="Times New Roman" w:hAnsi="Times New Roman" w:cs="Times New Roman"/>
    </w:rPr>
  </w:style>
  <w:style w:type="character" w:customStyle="1" w:styleId="35">
    <w:name w:val="正文文本 2 Char"/>
    <w:basedOn w:val="22"/>
    <w:link w:val="17"/>
    <w:uiPriority w:val="0"/>
    <w:rPr>
      <w:rFonts w:ascii="Times New Roman" w:hAnsi="Times New Roman"/>
      <w:kern w:val="2"/>
      <w:sz w:val="21"/>
      <w:szCs w:val="24"/>
    </w:rPr>
  </w:style>
  <w:style w:type="character" w:customStyle="1" w:styleId="36">
    <w:name w:val="正文文本缩进 3 Char"/>
    <w:basedOn w:val="22"/>
    <w:link w:val="15"/>
    <w:uiPriority w:val="0"/>
    <w:rPr>
      <w:rFonts w:cs="Calibri"/>
      <w:kern w:val="2"/>
      <w:sz w:val="16"/>
      <w:szCs w:val="16"/>
    </w:rPr>
  </w:style>
  <w:style w:type="character" w:customStyle="1" w:styleId="37">
    <w:name w:val="批注框文本 Char"/>
    <w:basedOn w:val="22"/>
    <w:link w:val="10"/>
    <w:semiHidden/>
    <w:qFormat/>
    <w:uiPriority w:val="99"/>
    <w:rPr>
      <w:rFonts w:cs="Calibri"/>
      <w:kern w:val="2"/>
      <w:sz w:val="18"/>
      <w:szCs w:val="18"/>
    </w:rPr>
  </w:style>
  <w:style w:type="character" w:customStyle="1" w:styleId="38">
    <w:name w:val="脚注文本 Char"/>
    <w:basedOn w:val="22"/>
    <w:link w:val="14"/>
    <w:semiHidden/>
    <w:qFormat/>
    <w:uiPriority w:val="99"/>
    <w:rPr>
      <w:rFonts w:cs="Calibri"/>
      <w:kern w:val="2"/>
      <w:sz w:val="18"/>
      <w:szCs w:val="18"/>
    </w:rPr>
  </w:style>
  <w:style w:type="character" w:customStyle="1" w:styleId="39">
    <w:name w:val="批注文字 Char"/>
    <w:basedOn w:val="22"/>
    <w:link w:val="6"/>
    <w:semiHidden/>
    <w:qFormat/>
    <w:uiPriority w:val="99"/>
    <w:rPr>
      <w:rFonts w:cs="Calibri"/>
      <w:kern w:val="2"/>
      <w:sz w:val="21"/>
      <w:szCs w:val="21"/>
    </w:rPr>
  </w:style>
  <w:style w:type="character" w:customStyle="1" w:styleId="40">
    <w:name w:val="批注主题 Char"/>
    <w:basedOn w:val="39"/>
    <w:link w:val="19"/>
    <w:semiHidden/>
    <w:qFormat/>
    <w:uiPriority w:val="99"/>
    <w:rPr>
      <w:rFonts w:cs="Calibri"/>
      <w:b/>
      <w:bCs/>
      <w:kern w:val="2"/>
      <w:sz w:val="21"/>
      <w:szCs w:val="21"/>
    </w:rPr>
  </w:style>
  <w:style w:type="character" w:customStyle="1" w:styleId="41">
    <w:name w:val="文档结构图 Char"/>
    <w:basedOn w:val="22"/>
    <w:link w:val="5"/>
    <w:semiHidden/>
    <w:qFormat/>
    <w:uiPriority w:val="99"/>
    <w:rPr>
      <w:rFonts w:ascii="宋体" w:cs="Calibri"/>
      <w:kern w:val="2"/>
      <w:sz w:val="18"/>
      <w:szCs w:val="18"/>
    </w:rPr>
  </w:style>
  <w:style w:type="paragraph" w:customStyle="1" w:styleId="42">
    <w:name w:val="Revision"/>
    <w:hidden/>
    <w:semiHidden/>
    <w:qFormat/>
    <w:uiPriority w:val="99"/>
    <w:rPr>
      <w:rFonts w:ascii="Calibri" w:hAnsi="Calibri" w:eastAsia="宋体" w:cs="Calibri"/>
      <w:kern w:val="2"/>
      <w:sz w:val="21"/>
      <w:szCs w:val="21"/>
      <w:lang w:val="en-US" w:eastAsia="zh-CN" w:bidi="ar-SA"/>
    </w:rPr>
  </w:style>
  <w:style w:type="character" w:customStyle="1" w:styleId="43">
    <w:name w:val="正文文本_"/>
    <w:basedOn w:val="22"/>
    <w:qFormat/>
    <w:uiPriority w:val="0"/>
    <w:rPr>
      <w:rFonts w:ascii="黑体" w:hAnsi="黑体" w:cs="黑体"/>
      <w:color w:val="auto"/>
      <w:spacing w:val="20"/>
      <w:sz w:val="25"/>
      <w:szCs w:val="25"/>
      <w:lang w:val="en-US" w:eastAsia="zh-CN"/>
    </w:rPr>
  </w:style>
  <w:style w:type="character" w:customStyle="1" w:styleId="44">
    <w:name w:val="正文文本 Char"/>
    <w:basedOn w:val="22"/>
    <w:link w:val="7"/>
    <w:qFormat/>
    <w:uiPriority w:val="0"/>
    <w:rPr>
      <w:rFonts w:ascii="Times New Roman" w:hAnsi="Times New Roman"/>
      <w:kern w:val="2"/>
      <w:sz w:val="21"/>
      <w:szCs w:val="24"/>
    </w:rPr>
  </w:style>
  <w:style w:type="character" w:customStyle="1" w:styleId="45">
    <w:name w:val="正文文本 Char1"/>
    <w:basedOn w:val="22"/>
    <w:semiHidden/>
    <w:qFormat/>
    <w:uiPriority w:val="99"/>
    <w:rPr>
      <w:rFonts w:cs="Calibri"/>
      <w:kern w:val="2"/>
      <w:sz w:val="21"/>
      <w:szCs w:val="21"/>
    </w:rPr>
  </w:style>
  <w:style w:type="character" w:customStyle="1" w:styleId="46">
    <w:name w:val="正文文本 (3) + 12.5 pt"/>
    <w:basedOn w:val="22"/>
    <w:qFormat/>
    <w:uiPriority w:val="0"/>
    <w:rPr>
      <w:rFonts w:ascii="黑体" w:hAnsi="黑体" w:cs="黑体"/>
      <w:spacing w:val="20"/>
      <w:kern w:val="0"/>
      <w:sz w:val="25"/>
      <w:szCs w:val="25"/>
      <w:lang w:eastAsia="en-US"/>
    </w:rPr>
  </w:style>
  <w:style w:type="character" w:customStyle="1" w:styleId="47">
    <w:name w:val="正文文本 + 12 pt"/>
    <w:basedOn w:val="22"/>
    <w:qFormat/>
    <w:uiPriority w:val="0"/>
    <w:rPr>
      <w:rFonts w:ascii="宋体" w:hAnsi="Courier New" w:eastAsia="宋体" w:cs="Times New Roman"/>
      <w:sz w:val="24"/>
      <w:szCs w:val="24"/>
      <w:lang w:val="en-US" w:eastAsia="en-US"/>
    </w:rPr>
  </w:style>
  <w:style w:type="character" w:customStyle="1" w:styleId="48">
    <w:name w:val="正文文本 (3)_"/>
    <w:basedOn w:val="22"/>
    <w:link w:val="49"/>
    <w:qFormat/>
    <w:uiPriority w:val="0"/>
    <w:rPr>
      <w:rFonts w:ascii="黑体" w:hAnsi="黑体" w:cs="黑体"/>
      <w:spacing w:val="20"/>
      <w:shd w:val="clear" w:color="auto" w:fill="FFFFFF"/>
      <w:lang w:eastAsia="en-US"/>
    </w:rPr>
  </w:style>
  <w:style w:type="paragraph" w:customStyle="1" w:styleId="49">
    <w:name w:val="正文文本 (3)"/>
    <w:basedOn w:val="1"/>
    <w:link w:val="48"/>
    <w:qFormat/>
    <w:uiPriority w:val="0"/>
    <w:pPr>
      <w:shd w:val="clear" w:color="auto" w:fill="FFFFFF"/>
      <w:spacing w:after="300" w:line="240" w:lineRule="atLeast"/>
      <w:ind w:hanging="1220"/>
      <w:jc w:val="distribute"/>
    </w:pPr>
    <w:rPr>
      <w:rFonts w:ascii="黑体" w:hAnsi="黑体" w:cs="黑体"/>
      <w:spacing w:val="20"/>
      <w:kern w:val="0"/>
      <w:sz w:val="20"/>
      <w:szCs w:val="20"/>
      <w:lang w:eastAsia="en-US"/>
    </w:rPr>
  </w:style>
  <w:style w:type="paragraph" w:customStyle="1" w:styleId="50">
    <w:name w:val="修订1"/>
    <w:hidden/>
    <w:semiHidden/>
    <w:qFormat/>
    <w:uiPriority w:val="99"/>
    <w:rPr>
      <w:rFonts w:ascii="Calibri" w:hAnsi="Calibri" w:eastAsia="宋体" w:cs="Calibri"/>
      <w:kern w:val="2"/>
      <w:sz w:val="21"/>
      <w:szCs w:val="21"/>
      <w:lang w:val="en-US" w:eastAsia="zh-CN" w:bidi="ar-SA"/>
    </w:rPr>
  </w:style>
  <w:style w:type="paragraph" w:customStyle="1" w:styleId="51">
    <w:name w:val="MTDisplayEquation"/>
    <w:basedOn w:val="1"/>
    <w:next w:val="1"/>
    <w:link w:val="52"/>
    <w:qFormat/>
    <w:uiPriority w:val="0"/>
    <w:pPr>
      <w:tabs>
        <w:tab w:val="center" w:pos="4600"/>
        <w:tab w:val="right" w:pos="9220"/>
      </w:tabs>
      <w:spacing w:line="560" w:lineRule="exact"/>
      <w:ind w:firstLine="560" w:firstLineChars="200"/>
    </w:pPr>
    <w:rPr>
      <w:rFonts w:ascii="宋体" w:cs="Times New Roman"/>
      <w:sz w:val="28"/>
      <w:szCs w:val="28"/>
    </w:rPr>
  </w:style>
  <w:style w:type="character" w:customStyle="1" w:styleId="52">
    <w:name w:val="MTDisplayEquation Char"/>
    <w:basedOn w:val="22"/>
    <w:link w:val="51"/>
    <w:qFormat/>
    <w:uiPriority w:val="0"/>
    <w:rPr>
      <w:rFonts w:ascii="宋体"/>
      <w:kern w:val="2"/>
      <w:sz w:val="28"/>
      <w:szCs w:val="28"/>
    </w:rPr>
  </w:style>
  <w:style w:type="character" w:styleId="53">
    <w:name w:val="Placeholder Text"/>
    <w:basedOn w:val="2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6154"/>
    <customShpInfo spid="_x0000_s6153"/>
    <customShpInfo spid="_x0000_s6152"/>
    <customShpInfo spid="_x0000_s6151"/>
    <customShpInfo spid="_x0000_s6150"/>
    <customShpInfo spid="_x0000_s6149"/>
    <customShpInfo spid="_x0000_s6148"/>
    <customShpInfo spid="_x0000_s6147"/>
    <customShpInfo spid="_x0000_s6146"/>
    <customShpInfo spid="_x0000_s6145"/>
    <customShpInfo spid="_x0000_s1026"/>
    <customShpInfo spid="_x0000_s1027"/>
    <customShpInfo spid="_x0000_s1028"/>
    <customShpInfo spid="_x0000_s1280"/>
    <customShpInfo spid="_x0000_s1279"/>
    <customShpInfo spid="_x0000_s1278"/>
    <customShpInfo spid="_x0000_s1029"/>
    <customShpInfo spid="_x0000_s1030"/>
    <customShpInfo spid="_x0000_s1031"/>
    <customShpInfo spid="_x0000_s1032"/>
    <customShpInfo spid="_x0000_s1033"/>
    <customShpInfo spid="_x0000_s1034"/>
    <customShpInfo spid="_x0000_s128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36CAF-19E6-478C-A0F7-B2FD3918B37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5843</Words>
  <Characters>33309</Characters>
  <Lines>277</Lines>
  <Paragraphs>78</Paragraphs>
  <TotalTime>2339</TotalTime>
  <ScaleCrop>false</ScaleCrop>
  <LinksUpToDate>false</LinksUpToDate>
  <CharactersWithSpaces>39074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2019-08-05T07:53:00Z</dcterms:created>
  <dc:creator>user</dc:creator>
  <cp:lastModifiedBy>Administrator</cp:lastModifiedBy>
  <cp:lastPrinted>2019-01-28T09:56:00Z</cp:lastPrinted>
  <dcterms:modified xsi:type="dcterms:W3CDTF">2020-08-04T08:17:57Z</dcterms:modified>
  <dc:title>致 估 价 委 托 方 函</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