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hint="eastAsia" w:eastAsia="仿宋"/>
          <w:b w:val="0"/>
          <w:color w:val="auto"/>
          <w:lang w:val="en-US" w:eastAsia="zh-CN"/>
        </w:rPr>
      </w:pPr>
    </w:p>
    <w:p>
      <w:pPr>
        <w:pStyle w:val="2"/>
        <w:spacing w:line="360" w:lineRule="auto"/>
        <w:jc w:val="both"/>
        <w:rPr>
          <w:rFonts w:eastAsia="仿宋"/>
          <w:b w:val="0"/>
          <w:color w:val="auto"/>
        </w:rPr>
      </w:pPr>
      <w:bookmarkStart w:id="50" w:name="_GoBack"/>
      <w:bookmarkEnd w:id="50"/>
      <w:r>
        <w:rPr>
          <w:rFonts w:eastAsia="仿宋"/>
          <w:b w:val="0"/>
          <w:color w:val="auto"/>
        </w:rPr>
        <w:drawing>
          <wp:anchor distT="0" distB="0" distL="114300" distR="114300" simplePos="0" relativeHeight="251677696" behindDoc="0" locked="0" layoutInCell="1" allowOverlap="1">
            <wp:simplePos x="0" y="0"/>
            <wp:positionH relativeFrom="column">
              <wp:posOffset>930275</wp:posOffset>
            </wp:positionH>
            <wp:positionV relativeFrom="paragraph">
              <wp:posOffset>410210</wp:posOffset>
            </wp:positionV>
            <wp:extent cx="363855" cy="363855"/>
            <wp:effectExtent l="0" t="0" r="0" b="0"/>
            <wp:wrapSquare wrapText="bothSides"/>
            <wp:docPr id="2" name="图片 1" descr="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透明.png"/>
                    <pic:cNvPicPr>
                      <a:picLocks noChangeAspect="1"/>
                    </pic:cNvPicPr>
                  </pic:nvPicPr>
                  <pic:blipFill>
                    <a:blip r:embed="rId6" cstate="print"/>
                    <a:stretch>
                      <a:fillRect/>
                    </a:stretch>
                  </pic:blipFill>
                  <pic:spPr>
                    <a:xfrm>
                      <a:off x="0" y="0"/>
                      <a:ext cx="363855" cy="363855"/>
                    </a:xfrm>
                    <a:prstGeom prst="rect">
                      <a:avLst/>
                    </a:prstGeom>
                  </pic:spPr>
                </pic:pic>
              </a:graphicData>
            </a:graphic>
          </wp:anchor>
        </w:drawing>
      </w:r>
    </w:p>
    <w:p>
      <w:pPr>
        <w:pStyle w:val="2"/>
        <w:spacing w:line="360" w:lineRule="auto"/>
        <w:rPr>
          <w:rFonts w:eastAsia="楷体_GB2312"/>
          <w:color w:val="auto"/>
          <w:sz w:val="52"/>
          <w:szCs w:val="52"/>
        </w:rPr>
      </w:pPr>
      <w:r>
        <w:rPr>
          <w:rFonts w:eastAsia="楷体_GB2312"/>
          <w:color w:val="auto"/>
          <w:sz w:val="52"/>
          <w:szCs w:val="52"/>
        </w:rPr>
        <w:t>房地产司法鉴定估价报告</w:t>
      </w:r>
    </w:p>
    <w:p>
      <w:pPr>
        <w:rPr>
          <w:rFonts w:eastAsia="楷体_GB2312"/>
          <w:color w:val="auto"/>
        </w:rPr>
      </w:pPr>
    </w:p>
    <w:p>
      <w:pPr>
        <w:rPr>
          <w:rFonts w:eastAsia="楷体_GB2312"/>
          <w:color w:val="auto"/>
        </w:rPr>
      </w:pPr>
    </w:p>
    <w:p>
      <w:pPr>
        <w:rPr>
          <w:rFonts w:eastAsia="楷体_GB2312"/>
          <w:color w:val="auto"/>
        </w:rPr>
      </w:pPr>
    </w:p>
    <w:p>
      <w:pPr>
        <w:keepNext w:val="0"/>
        <w:keepLines w:val="0"/>
        <w:pageBreakBefore w:val="0"/>
        <w:widowControl w:val="0"/>
        <w:tabs>
          <w:tab w:val="left" w:pos="8400"/>
          <w:tab w:val="left" w:pos="8880"/>
        </w:tabs>
        <w:kinsoku/>
        <w:wordWrap/>
        <w:overflowPunct/>
        <w:topLinePunct w:val="0"/>
        <w:autoSpaceDE/>
        <w:autoSpaceDN/>
        <w:bidi w:val="0"/>
        <w:adjustRightInd w:val="0"/>
        <w:snapToGrid w:val="0"/>
        <w:spacing w:line="600" w:lineRule="auto"/>
        <w:ind w:left="2878" w:leftChars="350" w:right="516" w:rightChars="215" w:hanging="2038" w:hangingChars="725"/>
        <w:textAlignment w:val="auto"/>
        <w:rPr>
          <w:rFonts w:hint="eastAsia"/>
          <w:bCs/>
          <w:color w:val="auto"/>
          <w:spacing w:val="-6"/>
          <w:sz w:val="28"/>
          <w:szCs w:val="28"/>
          <w:lang w:eastAsia="zh-CN"/>
        </w:rPr>
      </w:pPr>
      <w:bookmarkStart w:id="0" w:name="_Toc213473257"/>
      <w:bookmarkStart w:id="1" w:name="OLE_LINK3"/>
      <w:bookmarkStart w:id="2" w:name="_Toc166894318"/>
      <w:bookmarkStart w:id="3" w:name="_Toc218927466"/>
      <w:bookmarkStart w:id="4" w:name="_Toc218927563"/>
      <w:r>
        <w:rPr>
          <w:rFonts w:eastAsia="仿宋_GB2312"/>
          <w:b/>
          <w:color w:val="auto"/>
          <w:sz w:val="28"/>
          <w:szCs w:val="28"/>
        </w:rPr>
        <w:t>估价项目名称：</w:t>
      </w:r>
      <w:r>
        <w:rPr>
          <w:rFonts w:hint="eastAsia"/>
          <w:bCs/>
          <w:color w:val="auto"/>
          <w:spacing w:val="-6"/>
          <w:sz w:val="28"/>
          <w:szCs w:val="28"/>
          <w:lang w:eastAsia="zh-CN"/>
        </w:rPr>
        <w:t>宋超</w:t>
      </w:r>
      <w:r>
        <w:rPr>
          <w:rFonts w:hint="eastAsia" w:eastAsia="仿宋_GB2312"/>
          <w:bCs/>
          <w:color w:val="auto"/>
          <w:spacing w:val="-6"/>
          <w:sz w:val="28"/>
          <w:szCs w:val="28"/>
        </w:rPr>
        <w:t>所属坐</w:t>
      </w:r>
      <w:r>
        <w:rPr>
          <w:rFonts w:hint="eastAsia"/>
          <w:bCs/>
          <w:color w:val="auto"/>
          <w:spacing w:val="-6"/>
          <w:sz w:val="28"/>
          <w:szCs w:val="28"/>
          <w:lang w:eastAsia="zh-CN"/>
        </w:rPr>
        <w:t>落于诸暨市暨阳街道滨江花苑11幢3单元402室住宅房地产及室内动产市场价值评估</w:t>
      </w:r>
    </w:p>
    <w:p>
      <w:pPr>
        <w:keepNext w:val="0"/>
        <w:keepLines w:val="0"/>
        <w:pageBreakBefore w:val="0"/>
        <w:widowControl w:val="0"/>
        <w:kinsoku/>
        <w:wordWrap/>
        <w:overflowPunct/>
        <w:topLinePunct w:val="0"/>
        <w:autoSpaceDE/>
        <w:autoSpaceDN/>
        <w:bidi w:val="0"/>
        <w:adjustRightInd w:val="0"/>
        <w:snapToGrid w:val="0"/>
        <w:spacing w:line="600" w:lineRule="auto"/>
        <w:ind w:firstLine="843" w:firstLineChars="300"/>
        <w:textAlignment w:val="auto"/>
        <w:rPr>
          <w:rFonts w:hint="eastAsia" w:ascii="仿宋_GB2312" w:eastAsia="仿宋_GB2312"/>
          <w:color w:val="auto"/>
          <w:sz w:val="28"/>
          <w:szCs w:val="28"/>
        </w:rPr>
      </w:pPr>
      <w:r>
        <w:rPr>
          <w:rFonts w:hint="eastAsia" w:eastAsia="仿宋_GB2312"/>
          <w:b/>
          <w:color w:val="auto"/>
          <w:sz w:val="28"/>
          <w:szCs w:val="28"/>
        </w:rPr>
        <w:t>估价委托人</w:t>
      </w:r>
      <w:r>
        <w:rPr>
          <w:rFonts w:hint="eastAsia" w:ascii="仿宋_GB2312" w:eastAsia="仿宋_GB2312"/>
          <w:b/>
          <w:color w:val="auto"/>
          <w:sz w:val="28"/>
          <w:szCs w:val="28"/>
        </w:rPr>
        <w:t>：</w:t>
      </w:r>
      <w:r>
        <w:rPr>
          <w:rFonts w:hint="eastAsia" w:ascii="仿宋_GB2312"/>
          <w:bCs/>
          <w:color w:val="auto"/>
          <w:sz w:val="28"/>
          <w:szCs w:val="28"/>
          <w:lang w:eastAsia="zh-CN"/>
        </w:rPr>
        <w:t>浙江省诸暨市人民法院</w:t>
      </w:r>
    </w:p>
    <w:p>
      <w:pPr>
        <w:keepNext w:val="0"/>
        <w:keepLines w:val="0"/>
        <w:pageBreakBefore w:val="0"/>
        <w:widowControl w:val="0"/>
        <w:kinsoku/>
        <w:wordWrap/>
        <w:overflowPunct/>
        <w:topLinePunct w:val="0"/>
        <w:autoSpaceDE/>
        <w:autoSpaceDN/>
        <w:bidi w:val="0"/>
        <w:adjustRightInd w:val="0"/>
        <w:snapToGrid w:val="0"/>
        <w:spacing w:line="600" w:lineRule="auto"/>
        <w:ind w:firstLine="843" w:firstLineChars="300"/>
        <w:jc w:val="left"/>
        <w:textAlignment w:val="auto"/>
        <w:rPr>
          <w:rFonts w:hint="eastAsia" w:ascii="仿宋_GB2312" w:eastAsia="仿宋_GB2312"/>
          <w:color w:val="auto"/>
          <w:sz w:val="28"/>
          <w:szCs w:val="28"/>
        </w:rPr>
      </w:pPr>
      <w:r>
        <w:rPr>
          <w:rFonts w:hint="eastAsia" w:ascii="仿宋_GB2312" w:eastAsia="仿宋_GB2312"/>
          <w:b/>
          <w:color w:val="auto"/>
          <w:sz w:val="28"/>
          <w:szCs w:val="28"/>
        </w:rPr>
        <w:t>房地产估价机构：</w:t>
      </w:r>
      <w:r>
        <w:rPr>
          <w:rFonts w:hint="eastAsia" w:ascii="仿宋_GB2312"/>
          <w:color w:val="auto"/>
          <w:sz w:val="28"/>
          <w:szCs w:val="28"/>
          <w:lang w:eastAsia="zh-CN"/>
        </w:rPr>
        <w:t>诸暨市正信房地产评估</w:t>
      </w:r>
      <w:r>
        <w:rPr>
          <w:rFonts w:hint="eastAsia" w:ascii="仿宋_GB2312" w:eastAsia="仿宋_GB2312"/>
          <w:color w:val="auto"/>
          <w:sz w:val="28"/>
          <w:szCs w:val="28"/>
        </w:rPr>
        <w:t>有限公司</w:t>
      </w:r>
    </w:p>
    <w:p>
      <w:pPr>
        <w:keepNext w:val="0"/>
        <w:keepLines w:val="0"/>
        <w:pageBreakBefore w:val="0"/>
        <w:widowControl w:val="0"/>
        <w:kinsoku/>
        <w:wordWrap/>
        <w:overflowPunct/>
        <w:topLinePunct w:val="0"/>
        <w:autoSpaceDE/>
        <w:autoSpaceDN/>
        <w:bidi w:val="0"/>
        <w:adjustRightInd w:val="0"/>
        <w:snapToGrid w:val="0"/>
        <w:spacing w:line="600" w:lineRule="auto"/>
        <w:ind w:firstLine="843" w:firstLineChars="300"/>
        <w:jc w:val="left"/>
        <w:textAlignment w:val="auto"/>
        <w:rPr>
          <w:rFonts w:hint="eastAsia" w:ascii="仿宋_GB2312" w:eastAsia="仿宋_GB2312"/>
          <w:color w:val="auto"/>
          <w:sz w:val="28"/>
          <w:szCs w:val="28"/>
        </w:rPr>
      </w:pPr>
      <w:r>
        <w:rPr>
          <w:rFonts w:hint="eastAsia" w:ascii="仿宋_GB2312" w:eastAsia="仿宋_GB2312"/>
          <w:b/>
          <w:color w:val="auto"/>
          <w:sz w:val="28"/>
          <w:szCs w:val="28"/>
        </w:rPr>
        <w:t>注册房地产估价师：</w:t>
      </w:r>
      <w:r>
        <w:rPr>
          <w:rFonts w:hint="eastAsia" w:ascii="仿宋_GB2312"/>
          <w:b/>
          <w:color w:val="auto"/>
          <w:sz w:val="28"/>
          <w:szCs w:val="28"/>
          <w:lang w:val="en-US" w:eastAsia="zh-CN"/>
        </w:rPr>
        <w:t xml:space="preserve"> </w:t>
      </w:r>
      <w:r>
        <w:rPr>
          <w:rFonts w:hint="eastAsia"/>
          <w:bCs/>
          <w:color w:val="auto"/>
          <w:sz w:val="28"/>
          <w:szCs w:val="28"/>
          <w:lang w:val="zh-CN"/>
        </w:rPr>
        <w:t>徐春霞</w:t>
      </w:r>
      <w:r>
        <w:rPr>
          <w:rFonts w:hint="eastAsia"/>
          <w:bCs/>
          <w:color w:val="auto"/>
          <w:sz w:val="28"/>
          <w:szCs w:val="28"/>
          <w:lang w:val="en-US" w:eastAsia="zh-CN"/>
        </w:rPr>
        <w:t xml:space="preserve"> </w:t>
      </w:r>
      <w:r>
        <w:rPr>
          <w:rFonts w:eastAsia="仿宋_GB2312"/>
          <w:bCs/>
          <w:color w:val="auto"/>
          <w:sz w:val="28"/>
          <w:szCs w:val="28"/>
        </w:rPr>
        <w:t>（注册号</w:t>
      </w:r>
      <w:r>
        <w:rPr>
          <w:rFonts w:hint="eastAsia"/>
          <w:bCs/>
          <w:color w:val="auto"/>
          <w:sz w:val="28"/>
          <w:szCs w:val="28"/>
          <w:lang w:val="en-US" w:eastAsia="zh-CN"/>
        </w:rPr>
        <w:t>2320050059</w:t>
      </w:r>
      <w:r>
        <w:rPr>
          <w:rFonts w:eastAsia="仿宋_GB2312"/>
          <w:bCs/>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600" w:lineRule="auto"/>
        <w:ind w:firstLine="44" w:firstLineChars="16"/>
        <w:jc w:val="left"/>
        <w:textAlignment w:val="auto"/>
        <w:rPr>
          <w:rFonts w:hint="eastAsia" w:ascii="仿宋_GB2312" w:eastAsia="仿宋_GB2312"/>
          <w:color w:val="auto"/>
          <w:sz w:val="28"/>
          <w:szCs w:val="28"/>
        </w:rPr>
      </w:pPr>
      <w:r>
        <w:rPr>
          <w:rFonts w:hint="eastAsia" w:ascii="仿宋_GB2312" w:eastAsia="仿宋_GB2312"/>
          <w:color w:val="auto"/>
          <w:sz w:val="28"/>
          <w:szCs w:val="28"/>
        </w:rPr>
        <w:t xml:space="preserve">                  </w:t>
      </w:r>
      <w:r>
        <w:rPr>
          <w:rFonts w:hint="eastAsia" w:ascii="仿宋_GB2312"/>
          <w:color w:val="auto"/>
          <w:sz w:val="28"/>
          <w:szCs w:val="28"/>
          <w:lang w:val="en-US" w:eastAsia="zh-CN"/>
        </w:rPr>
        <w:t xml:space="preserve">       </w:t>
      </w:r>
      <w:r>
        <w:rPr>
          <w:rFonts w:hint="eastAsia" w:ascii="仿宋_GB2312"/>
          <w:bCs/>
          <w:color w:val="auto"/>
          <w:sz w:val="28"/>
          <w:szCs w:val="28"/>
          <w:lang w:eastAsia="zh-CN"/>
        </w:rPr>
        <w:t>楼满</w:t>
      </w:r>
      <w:r>
        <w:rPr>
          <w:rFonts w:hint="eastAsia" w:ascii="仿宋_GB2312" w:eastAsia="仿宋_GB2312"/>
          <w:bCs/>
          <w:color w:val="auto"/>
          <w:sz w:val="28"/>
          <w:szCs w:val="28"/>
        </w:rPr>
        <w:t>燕</w:t>
      </w:r>
      <w:r>
        <w:rPr>
          <w:rFonts w:hint="eastAsia" w:ascii="仿宋_GB2312"/>
          <w:bCs/>
          <w:color w:val="auto"/>
          <w:sz w:val="28"/>
          <w:szCs w:val="28"/>
          <w:lang w:val="en-US" w:eastAsia="zh-CN"/>
        </w:rPr>
        <w:t xml:space="preserve"> </w:t>
      </w:r>
      <w:r>
        <w:rPr>
          <w:rFonts w:hint="eastAsia" w:ascii="仿宋_GB2312" w:eastAsia="仿宋_GB2312"/>
          <w:color w:val="auto"/>
          <w:sz w:val="28"/>
          <w:szCs w:val="28"/>
        </w:rPr>
        <w:t>（注册号</w:t>
      </w:r>
      <w:r>
        <w:rPr>
          <w:rFonts w:hint="eastAsia" w:eastAsia="仿宋_GB2312"/>
          <w:color w:val="auto"/>
          <w:sz w:val="28"/>
          <w:szCs w:val="28"/>
        </w:rPr>
        <w:t>3</w:t>
      </w:r>
      <w:r>
        <w:rPr>
          <w:rFonts w:hint="eastAsia"/>
          <w:color w:val="auto"/>
          <w:sz w:val="28"/>
          <w:szCs w:val="28"/>
          <w:lang w:val="en-US" w:eastAsia="zh-CN"/>
        </w:rPr>
        <w:t>320150063</w:t>
      </w:r>
      <w:r>
        <w:rPr>
          <w:rFonts w:hint="eastAsia" w:ascii="仿宋_GB2312" w:eastAsia="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600" w:lineRule="auto"/>
        <w:ind w:firstLine="843" w:firstLineChars="300"/>
        <w:textAlignment w:val="auto"/>
        <w:rPr>
          <w:rFonts w:hint="eastAsia" w:eastAsia="仿宋_GB2312"/>
          <w:color w:val="auto"/>
          <w:sz w:val="28"/>
          <w:szCs w:val="28"/>
        </w:rPr>
      </w:pPr>
      <w:r>
        <w:rPr>
          <w:rFonts w:hint="eastAsia" w:ascii="仿宋_GB2312" w:eastAsia="仿宋_GB2312"/>
          <w:b/>
          <w:color w:val="auto"/>
          <w:sz w:val="28"/>
          <w:szCs w:val="28"/>
        </w:rPr>
        <w:t>估价报告出具日期：</w:t>
      </w:r>
      <w:r>
        <w:rPr>
          <w:rFonts w:hint="eastAsia" w:ascii="仿宋_GB2312"/>
          <w:bCs/>
          <w:color w:val="auto"/>
          <w:sz w:val="28"/>
          <w:szCs w:val="28"/>
          <w:lang w:eastAsia="zh-CN"/>
        </w:rPr>
        <w:t>二Ｏ一九年十二月二十日</w:t>
      </w:r>
    </w:p>
    <w:p>
      <w:pPr>
        <w:keepNext w:val="0"/>
        <w:keepLines w:val="0"/>
        <w:pageBreakBefore w:val="0"/>
        <w:widowControl w:val="0"/>
        <w:kinsoku/>
        <w:wordWrap/>
        <w:overflowPunct/>
        <w:topLinePunct w:val="0"/>
        <w:autoSpaceDE/>
        <w:autoSpaceDN/>
        <w:bidi w:val="0"/>
        <w:adjustRightInd w:val="0"/>
        <w:snapToGrid w:val="0"/>
        <w:spacing w:line="600" w:lineRule="auto"/>
        <w:ind w:firstLine="843" w:firstLineChars="300"/>
        <w:textAlignment w:val="auto"/>
        <w:rPr>
          <w:rFonts w:eastAsia="仿宋_GB2312"/>
          <w:b/>
          <w:color w:val="auto"/>
          <w:sz w:val="28"/>
          <w:szCs w:val="28"/>
        </w:rPr>
      </w:pPr>
      <w:r>
        <w:rPr>
          <w:rFonts w:eastAsia="仿宋_GB2312"/>
          <w:b/>
          <w:color w:val="auto"/>
          <w:sz w:val="28"/>
          <w:szCs w:val="28"/>
        </w:rPr>
        <w:t>估价报告编号：</w:t>
      </w:r>
      <w:r>
        <w:rPr>
          <w:rFonts w:hint="eastAsia"/>
          <w:b w:val="0"/>
          <w:bCs/>
          <w:color w:val="auto"/>
          <w:sz w:val="28"/>
          <w:szCs w:val="28"/>
          <w:lang w:val="zh-CN"/>
        </w:rPr>
        <w:t>诸正信</w:t>
      </w:r>
      <w:r>
        <w:rPr>
          <w:rFonts w:eastAsia="仿宋_GB2312"/>
          <w:b w:val="0"/>
          <w:bCs/>
          <w:color w:val="auto"/>
          <w:sz w:val="28"/>
          <w:szCs w:val="28"/>
          <w:lang w:val="zh-CN"/>
        </w:rPr>
        <w:t>房估字</w:t>
      </w:r>
      <w:r>
        <w:rPr>
          <w:rFonts w:hint="eastAsia"/>
          <w:b w:val="0"/>
          <w:bCs/>
          <w:color w:val="auto"/>
          <w:sz w:val="28"/>
          <w:szCs w:val="28"/>
          <w:lang w:val="en-US" w:eastAsia="zh-CN"/>
        </w:rPr>
        <w:t>SF</w:t>
      </w:r>
      <w:r>
        <w:rPr>
          <w:rFonts w:eastAsia="仿宋_GB2312"/>
          <w:b w:val="0"/>
          <w:bCs/>
          <w:color w:val="auto"/>
          <w:sz w:val="28"/>
          <w:szCs w:val="28"/>
          <w:lang w:val="zh-CN"/>
        </w:rPr>
        <w:t>（201</w:t>
      </w:r>
      <w:r>
        <w:rPr>
          <w:rFonts w:hint="eastAsia"/>
          <w:b w:val="0"/>
          <w:bCs/>
          <w:color w:val="auto"/>
          <w:sz w:val="28"/>
          <w:szCs w:val="28"/>
          <w:lang w:val="en-US" w:eastAsia="zh-CN"/>
        </w:rPr>
        <w:t>9</w:t>
      </w:r>
      <w:r>
        <w:rPr>
          <w:rFonts w:eastAsia="仿宋_GB2312"/>
          <w:b w:val="0"/>
          <w:bCs/>
          <w:color w:val="auto"/>
          <w:sz w:val="28"/>
          <w:szCs w:val="28"/>
          <w:lang w:val="zh-CN"/>
        </w:rPr>
        <w:t>）第</w:t>
      </w:r>
      <w:r>
        <w:rPr>
          <w:rFonts w:hint="eastAsia"/>
          <w:b w:val="0"/>
          <w:bCs/>
          <w:color w:val="auto"/>
          <w:sz w:val="28"/>
          <w:szCs w:val="28"/>
          <w:lang w:val="en-US" w:eastAsia="zh-CN"/>
        </w:rPr>
        <w:t>113</w:t>
      </w:r>
      <w:r>
        <w:rPr>
          <w:rFonts w:eastAsia="仿宋_GB2312"/>
          <w:b w:val="0"/>
          <w:bCs/>
          <w:color w:val="auto"/>
          <w:sz w:val="28"/>
          <w:szCs w:val="28"/>
          <w:lang w:val="zh-CN"/>
        </w:rPr>
        <w:t>号</w:t>
      </w:r>
    </w:p>
    <w:p>
      <w:pPr>
        <w:keepNext w:val="0"/>
        <w:keepLines w:val="0"/>
        <w:pageBreakBefore w:val="0"/>
        <w:widowControl w:val="0"/>
        <w:kinsoku/>
        <w:wordWrap/>
        <w:overflowPunct/>
        <w:topLinePunct w:val="0"/>
        <w:autoSpaceDE/>
        <w:autoSpaceDN/>
        <w:bidi w:val="0"/>
        <w:snapToGrid w:val="0"/>
        <w:spacing w:line="600" w:lineRule="auto"/>
        <w:ind w:right="-564" w:rightChars="-235" w:firstLine="843" w:firstLineChars="300"/>
        <w:textAlignment w:val="auto"/>
        <w:rPr>
          <w:rFonts w:hint="eastAsia" w:cs="Times New Roman"/>
          <w:b w:val="0"/>
          <w:bCs/>
          <w:color w:val="auto"/>
          <w:sz w:val="28"/>
          <w:szCs w:val="28"/>
          <w:lang w:eastAsia="zh-CN"/>
        </w:rPr>
      </w:pPr>
      <w:r>
        <w:rPr>
          <w:rFonts w:hint="eastAsia" w:ascii="仿宋_GB2312" w:hAnsi="仿宋_GB2312" w:eastAsia="仿宋_GB2312" w:cs="仿宋_GB2312"/>
          <w:b/>
          <w:color w:val="auto"/>
          <w:sz w:val="28"/>
          <w:szCs w:val="28"/>
        </w:rPr>
        <w:t>司法鉴定评估委托</w:t>
      </w:r>
      <w:r>
        <w:rPr>
          <w:rFonts w:hint="default" w:ascii="Times New Roman" w:hAnsi="Times New Roman" w:eastAsia="仿宋_GB2312" w:cs="Times New Roman"/>
          <w:b/>
          <w:color w:val="auto"/>
          <w:sz w:val="28"/>
          <w:szCs w:val="28"/>
        </w:rPr>
        <w:t>书号：</w:t>
      </w:r>
      <w:r>
        <w:rPr>
          <w:rFonts w:hint="eastAsia" w:cs="Times New Roman"/>
          <w:b w:val="0"/>
          <w:bCs/>
          <w:color w:val="auto"/>
          <w:sz w:val="28"/>
          <w:szCs w:val="28"/>
          <w:lang w:eastAsia="zh-CN"/>
        </w:rPr>
        <w:t>（2019）浙绍诸法委评字第580号</w:t>
      </w:r>
    </w:p>
    <w:p>
      <w:pPr>
        <w:rPr>
          <w:rFonts w:hint="eastAsia"/>
          <w:b/>
          <w:color w:val="auto"/>
          <w:sz w:val="36"/>
          <w:szCs w:val="36"/>
        </w:rPr>
      </w:pPr>
      <w:r>
        <w:rPr>
          <w:rFonts w:hint="eastAsia"/>
          <w:b/>
          <w:color w:val="auto"/>
          <w:sz w:val="36"/>
          <w:szCs w:val="36"/>
        </w:rPr>
        <w:br w:type="page"/>
      </w:r>
    </w:p>
    <w:p>
      <w:pPr>
        <w:jc w:val="center"/>
        <w:rPr>
          <w:rFonts w:hint="eastAsia" w:ascii="Times New Roman" w:hAnsi="Times New Roman"/>
          <w:color w:val="auto"/>
          <w:sz w:val="26"/>
          <w:szCs w:val="26"/>
          <w:lang w:eastAsia="zh-CN"/>
        </w:rPr>
      </w:pPr>
      <w:r>
        <w:rPr>
          <w:rFonts w:hint="eastAsia"/>
          <w:b/>
          <w:color w:val="auto"/>
          <w:sz w:val="36"/>
          <w:szCs w:val="36"/>
        </w:rPr>
        <w:t>第</w:t>
      </w:r>
      <w:r>
        <w:rPr>
          <w:rFonts w:hint="eastAsia"/>
          <w:b/>
          <w:color w:val="auto"/>
          <w:sz w:val="36"/>
          <w:szCs w:val="36"/>
          <w:lang w:eastAsia="zh-CN"/>
        </w:rPr>
        <w:t>一</w:t>
      </w:r>
      <w:r>
        <w:rPr>
          <w:rFonts w:hint="eastAsia"/>
          <w:b/>
          <w:color w:val="auto"/>
          <w:sz w:val="36"/>
          <w:szCs w:val="36"/>
        </w:rPr>
        <w:t>部分</w:t>
      </w:r>
      <w:r>
        <w:rPr>
          <w:rFonts w:hint="eastAsia"/>
          <w:b/>
          <w:color w:val="auto"/>
          <w:sz w:val="36"/>
          <w:szCs w:val="36"/>
          <w:lang w:eastAsia="zh-CN"/>
        </w:rPr>
        <w:t>：</w:t>
      </w:r>
      <w:r>
        <w:rPr>
          <w:b/>
          <w:color w:val="auto"/>
          <w:sz w:val="36"/>
          <w:szCs w:val="36"/>
        </w:rPr>
        <w:t>致估价委托人函</w:t>
      </w:r>
      <w:bookmarkEnd w:id="0"/>
      <w:bookmarkEnd w:id="1"/>
      <w:bookmarkEnd w:id="2"/>
    </w:p>
    <w:p>
      <w:pPr>
        <w:pStyle w:val="13"/>
        <w:keepNext w:val="0"/>
        <w:keepLines w:val="0"/>
        <w:pageBreakBefore w:val="0"/>
        <w:widowControl w:val="0"/>
        <w:kinsoku/>
        <w:wordWrap/>
        <w:overflowPunct/>
        <w:topLinePunct w:val="0"/>
        <w:autoSpaceDE/>
        <w:autoSpaceDN/>
        <w:bidi w:val="0"/>
        <w:adjustRightInd/>
        <w:spacing w:line="460" w:lineRule="exact"/>
        <w:ind w:left="0" w:leftChars="0" w:right="0" w:rightChars="0"/>
        <w:jc w:val="both"/>
        <w:textAlignment w:val="auto"/>
        <w:outlineLvl w:val="9"/>
        <w:rPr>
          <w:rFonts w:ascii="Times New Roman" w:hAnsi="Times New Roman"/>
          <w:snapToGrid w:val="0"/>
          <w:color w:val="auto"/>
          <w:kern w:val="0"/>
          <w:sz w:val="26"/>
          <w:szCs w:val="26"/>
        </w:rPr>
      </w:pPr>
      <w:r>
        <w:rPr>
          <w:rFonts w:hint="eastAsia" w:ascii="Times New Roman" w:hAnsi="Times New Roman"/>
          <w:color w:val="auto"/>
          <w:sz w:val="26"/>
          <w:szCs w:val="26"/>
          <w:lang w:eastAsia="zh-CN"/>
        </w:rPr>
        <w:t>浙江省诸暨市人民法院</w:t>
      </w:r>
      <w:r>
        <w:rPr>
          <w:rFonts w:ascii="Times New Roman" w:hAnsi="Times New Roman"/>
          <w:color w:val="auto"/>
          <w:sz w:val="26"/>
          <w:szCs w:val="26"/>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520" w:firstLineChars="200"/>
        <w:jc w:val="both"/>
        <w:textAlignment w:val="auto"/>
        <w:outlineLvl w:val="9"/>
        <w:rPr>
          <w:color w:val="auto"/>
          <w:sz w:val="26"/>
          <w:szCs w:val="26"/>
        </w:rPr>
      </w:pPr>
      <w:r>
        <w:rPr>
          <w:color w:val="auto"/>
          <w:sz w:val="26"/>
          <w:szCs w:val="26"/>
        </w:rPr>
        <w:t>受贵院的委托，我公司对贵院</w:t>
      </w:r>
      <w:r>
        <w:rPr>
          <w:rFonts w:hint="eastAsia"/>
          <w:color w:val="auto"/>
          <w:sz w:val="26"/>
          <w:szCs w:val="26"/>
          <w:lang w:eastAsia="zh-CN"/>
        </w:rPr>
        <w:t>（2019）浙绍诸法委评字第580号</w:t>
      </w:r>
      <w:r>
        <w:rPr>
          <w:color w:val="auto"/>
          <w:sz w:val="26"/>
          <w:szCs w:val="26"/>
        </w:rPr>
        <w:t>《</w:t>
      </w:r>
      <w:r>
        <w:rPr>
          <w:rFonts w:hint="eastAsia"/>
          <w:color w:val="auto"/>
          <w:sz w:val="26"/>
          <w:szCs w:val="26"/>
          <w:lang w:eastAsia="zh-CN"/>
        </w:rPr>
        <w:t>浙江省诸暨市人民法院</w:t>
      </w:r>
      <w:r>
        <w:rPr>
          <w:color w:val="auto"/>
          <w:sz w:val="26"/>
          <w:szCs w:val="26"/>
        </w:rPr>
        <w:t>司法评估委托书》委托</w:t>
      </w:r>
      <w:r>
        <w:rPr>
          <w:rFonts w:hint="eastAsia"/>
          <w:color w:val="auto"/>
          <w:sz w:val="26"/>
          <w:szCs w:val="26"/>
          <w:lang w:eastAsia="zh-CN"/>
        </w:rPr>
        <w:t>办理</w:t>
      </w:r>
      <w:r>
        <w:rPr>
          <w:color w:val="auto"/>
          <w:sz w:val="26"/>
          <w:szCs w:val="26"/>
        </w:rPr>
        <w:t>的</w:t>
      </w:r>
      <w:r>
        <w:rPr>
          <w:rFonts w:hint="eastAsia"/>
          <w:color w:val="auto"/>
          <w:sz w:val="26"/>
          <w:szCs w:val="26"/>
          <w:lang w:eastAsia="zh-CN"/>
        </w:rPr>
        <w:t>杭州银行股份有限公司绍兴店口小微企业专营支行与宋超金融借款合同纠纷一案中涉及的宋超</w:t>
      </w:r>
      <w:r>
        <w:rPr>
          <w:color w:val="auto"/>
          <w:sz w:val="26"/>
          <w:szCs w:val="26"/>
        </w:rPr>
        <w:t>所属坐落于</w:t>
      </w:r>
      <w:r>
        <w:rPr>
          <w:rFonts w:hint="eastAsia"/>
          <w:color w:val="auto"/>
          <w:sz w:val="26"/>
          <w:szCs w:val="26"/>
          <w:lang w:eastAsia="zh-CN"/>
        </w:rPr>
        <w:t>诸暨市暨阳街道滨江花苑11幢3单元402室住宅房地产及室内动产</w:t>
      </w:r>
      <w:r>
        <w:rPr>
          <w:color w:val="auto"/>
          <w:sz w:val="26"/>
          <w:szCs w:val="26"/>
        </w:rPr>
        <w:t>于价值时点</w:t>
      </w:r>
      <w:r>
        <w:rPr>
          <w:rFonts w:hint="eastAsia"/>
          <w:color w:val="auto"/>
          <w:sz w:val="26"/>
          <w:szCs w:val="26"/>
        </w:rPr>
        <w:t>现状</w:t>
      </w:r>
      <w:r>
        <w:rPr>
          <w:color w:val="auto"/>
          <w:sz w:val="26"/>
          <w:szCs w:val="26"/>
        </w:rPr>
        <w:t>下的市场价值进行评估。</w:t>
      </w:r>
      <w:r>
        <w:rPr>
          <w:rFonts w:hint="eastAsia"/>
          <w:color w:val="auto"/>
          <w:sz w:val="26"/>
          <w:szCs w:val="26"/>
          <w:lang w:eastAsia="zh-CN"/>
        </w:rPr>
        <w:t>估价对象住宅</w:t>
      </w:r>
      <w:r>
        <w:rPr>
          <w:rFonts w:hint="eastAsia"/>
          <w:color w:val="auto"/>
          <w:sz w:val="26"/>
          <w:szCs w:val="26"/>
        </w:rPr>
        <w:t>建筑面积为</w:t>
      </w:r>
      <w:r>
        <w:rPr>
          <w:rFonts w:hint="eastAsia"/>
          <w:color w:val="auto"/>
          <w:sz w:val="26"/>
          <w:szCs w:val="26"/>
          <w:lang w:val="en-US" w:eastAsia="zh-CN"/>
        </w:rPr>
        <w:t>139.00</w:t>
      </w:r>
      <w:r>
        <w:rPr>
          <w:rFonts w:hint="eastAsia"/>
          <w:color w:val="auto"/>
          <w:sz w:val="26"/>
          <w:szCs w:val="26"/>
        </w:rPr>
        <w:t>平方米</w:t>
      </w:r>
      <w:r>
        <w:rPr>
          <w:rFonts w:hint="eastAsia"/>
          <w:color w:val="auto"/>
          <w:sz w:val="26"/>
          <w:szCs w:val="26"/>
          <w:lang w:eastAsia="zh-CN"/>
        </w:rPr>
        <w:t>，另有：架空层</w:t>
      </w:r>
      <w:r>
        <w:rPr>
          <w:rFonts w:hint="eastAsia"/>
          <w:color w:val="auto"/>
          <w:sz w:val="26"/>
          <w:szCs w:val="26"/>
          <w:lang w:val="en-US" w:eastAsia="zh-CN"/>
        </w:rPr>
        <w:t>6.7平方米，车库27.1平方米；</w:t>
      </w:r>
      <w:r>
        <w:rPr>
          <w:rFonts w:hint="eastAsia"/>
          <w:color w:val="auto"/>
          <w:sz w:val="26"/>
          <w:szCs w:val="26"/>
        </w:rPr>
        <w:t>国有出让建设用地使用权面积</w:t>
      </w:r>
      <w:r>
        <w:rPr>
          <w:rFonts w:hint="eastAsia"/>
          <w:color w:val="auto"/>
          <w:sz w:val="26"/>
          <w:szCs w:val="26"/>
          <w:lang w:eastAsia="zh-CN"/>
        </w:rPr>
        <w:t>为</w:t>
      </w:r>
      <w:r>
        <w:rPr>
          <w:rFonts w:hint="eastAsia"/>
          <w:color w:val="auto"/>
          <w:sz w:val="26"/>
          <w:szCs w:val="26"/>
          <w:lang w:val="en-US" w:eastAsia="zh-CN"/>
        </w:rPr>
        <w:t>29.20平方米</w:t>
      </w:r>
      <w:r>
        <w:rPr>
          <w:rFonts w:hint="eastAsia"/>
          <w:color w:val="auto"/>
          <w:sz w:val="26"/>
          <w:szCs w:val="26"/>
        </w:rPr>
        <w:t>。</w:t>
      </w:r>
      <w:r>
        <w:rPr>
          <w:color w:val="auto"/>
          <w:sz w:val="26"/>
          <w:szCs w:val="26"/>
        </w:rPr>
        <w:t>估价目的为司法拍卖（变卖）提供房地产市场价值参考依据，价值时点为</w:t>
      </w:r>
      <w:r>
        <w:rPr>
          <w:rFonts w:hint="eastAsia"/>
          <w:color w:val="auto"/>
          <w:sz w:val="26"/>
          <w:szCs w:val="26"/>
          <w:lang w:eastAsia="zh-CN"/>
        </w:rPr>
        <w:t>2019年12月16日</w:t>
      </w:r>
      <w:r>
        <w:rPr>
          <w:color w:val="auto"/>
          <w:sz w:val="26"/>
          <w:szCs w:val="26"/>
        </w:rPr>
        <w:t>（实地查勘之日）。</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520"/>
        <w:jc w:val="both"/>
        <w:textAlignment w:val="auto"/>
        <w:outlineLvl w:val="9"/>
        <w:rPr>
          <w:color w:val="auto"/>
          <w:sz w:val="26"/>
          <w:szCs w:val="26"/>
        </w:rPr>
      </w:pPr>
      <w:r>
        <w:rPr>
          <w:color w:val="auto"/>
          <w:sz w:val="26"/>
          <w:szCs w:val="26"/>
        </w:rPr>
        <w:t>估价人员根据中华人民共和国国家标准GB/T50291-2015《房地产估价规范》、《最高人民法院关于人民法院委托评估、拍卖和变卖工作的若干规定》的有关技术规定，根据特定的估价目的，遵循合法、独立、客观、公正的原则，按照严谨的估价程序，采用比较法，经过周密、细致的测算，并结合估价经验，在对影响估价对象价值因素进行综合分析的基础上，得出如下结论：</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520"/>
        <w:jc w:val="both"/>
        <w:textAlignment w:val="auto"/>
        <w:outlineLvl w:val="9"/>
        <w:rPr>
          <w:rFonts w:hint="eastAsia" w:eastAsia="仿宋_GB2312"/>
          <w:color w:val="auto"/>
          <w:sz w:val="26"/>
          <w:szCs w:val="26"/>
          <w:lang w:val="en-US" w:eastAsia="zh-CN"/>
        </w:rPr>
      </w:pPr>
      <w:r>
        <w:rPr>
          <w:rFonts w:hint="eastAsia"/>
          <w:color w:val="auto"/>
          <w:sz w:val="26"/>
          <w:szCs w:val="26"/>
        </w:rPr>
        <w:drawing>
          <wp:anchor distT="0" distB="0" distL="114300" distR="114300" simplePos="0" relativeHeight="251947008" behindDoc="1" locked="0" layoutInCell="1" allowOverlap="1">
            <wp:simplePos x="0" y="0"/>
            <wp:positionH relativeFrom="column">
              <wp:posOffset>752475</wp:posOffset>
            </wp:positionH>
            <wp:positionV relativeFrom="paragraph">
              <wp:posOffset>7029450</wp:posOffset>
            </wp:positionV>
            <wp:extent cx="1590675" cy="1409700"/>
            <wp:effectExtent l="0" t="0" r="0" b="0"/>
            <wp:wrapNone/>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7">
                      <a:lum/>
                    </a:blip>
                    <a:stretch>
                      <a:fillRect/>
                    </a:stretch>
                  </pic:blipFill>
                  <pic:spPr>
                    <a:xfrm>
                      <a:off x="0" y="0"/>
                      <a:ext cx="1590675" cy="1409700"/>
                    </a:xfrm>
                    <a:prstGeom prst="rect">
                      <a:avLst/>
                    </a:prstGeom>
                    <a:noFill/>
                    <a:ln w="9525">
                      <a:noFill/>
                    </a:ln>
                  </pic:spPr>
                </pic:pic>
              </a:graphicData>
            </a:graphic>
          </wp:anchor>
        </w:drawing>
      </w:r>
      <w:r>
        <w:rPr>
          <w:color w:val="auto"/>
          <w:sz w:val="26"/>
          <w:szCs w:val="26"/>
        </w:rPr>
        <w:t>估价对象房地产在本估价报告假设和限制条件下，</w:t>
      </w:r>
      <w:r>
        <w:rPr>
          <w:color w:val="auto"/>
          <w:spacing w:val="-3"/>
          <w:sz w:val="26"/>
          <w:szCs w:val="26"/>
        </w:rPr>
        <w:t>于价值时点的市场价值</w:t>
      </w:r>
      <w:r>
        <w:rPr>
          <w:rFonts w:hint="eastAsia"/>
          <w:color w:val="auto"/>
          <w:sz w:val="26"/>
          <w:szCs w:val="26"/>
          <w:lang w:eastAsia="zh-CN"/>
        </w:rPr>
        <w:t>（含固定装修及室内动产）</w:t>
      </w:r>
      <w:r>
        <w:rPr>
          <w:color w:val="auto"/>
          <w:spacing w:val="-3"/>
          <w:sz w:val="26"/>
          <w:szCs w:val="26"/>
        </w:rPr>
        <w:t>为大写人民币</w:t>
      </w:r>
      <w:r>
        <w:rPr>
          <w:rFonts w:hint="eastAsia"/>
          <w:b/>
          <w:bCs/>
          <w:color w:val="auto"/>
          <w:spacing w:val="-3"/>
          <w:sz w:val="26"/>
          <w:szCs w:val="26"/>
          <w:lang w:val="en-US" w:eastAsia="zh-CN"/>
        </w:rPr>
        <w:fldChar w:fldCharType="begin"/>
      </w:r>
      <w:r>
        <w:rPr>
          <w:rFonts w:hint="eastAsia"/>
          <w:b/>
          <w:bCs/>
          <w:color w:val="auto"/>
          <w:spacing w:val="-3"/>
          <w:sz w:val="26"/>
          <w:szCs w:val="26"/>
          <w:lang w:val="en-US" w:eastAsia="zh-CN"/>
        </w:rPr>
        <w:instrText xml:space="preserve"> = 691100 \* CHINESENUM2 \* MERGEFORMAT </w:instrText>
      </w:r>
      <w:r>
        <w:rPr>
          <w:rFonts w:hint="eastAsia"/>
          <w:b/>
          <w:bCs/>
          <w:color w:val="auto"/>
          <w:spacing w:val="-3"/>
          <w:sz w:val="26"/>
          <w:szCs w:val="26"/>
          <w:lang w:val="en-US" w:eastAsia="zh-CN"/>
        </w:rPr>
        <w:fldChar w:fldCharType="separate"/>
      </w:r>
      <w:r>
        <w:rPr>
          <w:rFonts w:hint="eastAsia"/>
          <w:b/>
          <w:bCs/>
          <w:color w:val="auto"/>
          <w:spacing w:val="-3"/>
          <w:sz w:val="26"/>
          <w:szCs w:val="26"/>
          <w:lang w:eastAsia="zh-CN"/>
        </w:rPr>
        <w:t>壹佰叁拾贰万叁仟陆佰</w:t>
      </w:r>
      <w:r>
        <w:rPr>
          <w:rFonts w:hint="eastAsia"/>
          <w:b/>
          <w:bCs/>
          <w:color w:val="auto"/>
          <w:spacing w:val="-3"/>
          <w:sz w:val="26"/>
          <w:szCs w:val="26"/>
          <w:lang w:val="en-US" w:eastAsia="zh-CN"/>
        </w:rPr>
        <w:fldChar w:fldCharType="end"/>
      </w:r>
      <w:r>
        <w:rPr>
          <w:color w:val="auto"/>
          <w:spacing w:val="-3"/>
          <w:sz w:val="26"/>
          <w:szCs w:val="26"/>
        </w:rPr>
        <w:t>元整（小写RMB：</w:t>
      </w:r>
      <w:r>
        <w:rPr>
          <w:rFonts w:hint="eastAsia"/>
          <w:color w:val="auto"/>
          <w:spacing w:val="-3"/>
          <w:sz w:val="26"/>
          <w:szCs w:val="26"/>
          <w:lang w:val="en-US" w:eastAsia="zh-CN"/>
        </w:rPr>
        <w:t>132.36</w:t>
      </w:r>
      <w:r>
        <w:rPr>
          <w:color w:val="auto"/>
          <w:spacing w:val="-3"/>
          <w:sz w:val="26"/>
          <w:szCs w:val="26"/>
        </w:rPr>
        <w:t>万元）</w:t>
      </w:r>
      <w:r>
        <w:rPr>
          <w:rFonts w:hint="eastAsia"/>
          <w:color w:val="auto"/>
          <w:spacing w:val="-3"/>
          <w:sz w:val="26"/>
          <w:szCs w:val="26"/>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z w:val="28"/>
        </w:rPr>
      </w:pPr>
      <w:r>
        <w:rPr>
          <w:rFonts w:hAnsi="仿宋_GB2312"/>
          <w:b/>
          <w:bCs/>
          <w:color w:val="auto"/>
          <w:sz w:val="26"/>
          <w:szCs w:val="26"/>
        </w:rPr>
        <w:t>评估结果明细表</w:t>
      </w:r>
      <w:r>
        <w:rPr>
          <w:rFonts w:hint="eastAsia"/>
          <w:color w:val="auto"/>
          <w:sz w:val="28"/>
        </w:rPr>
        <w:drawing>
          <wp:anchor distT="0" distB="0" distL="114300" distR="114300" simplePos="0" relativeHeight="251921408" behindDoc="1" locked="0" layoutInCell="1" allowOverlap="1">
            <wp:simplePos x="0" y="0"/>
            <wp:positionH relativeFrom="column">
              <wp:posOffset>4486275</wp:posOffset>
            </wp:positionH>
            <wp:positionV relativeFrom="paragraph">
              <wp:posOffset>6391275</wp:posOffset>
            </wp:positionV>
            <wp:extent cx="2114550" cy="2181225"/>
            <wp:effectExtent l="0" t="0" r="0" b="0"/>
            <wp:wrapNone/>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8">
                      <a:lum/>
                    </a:blip>
                    <a:stretch>
                      <a:fillRect/>
                    </a:stretch>
                  </pic:blipFill>
                  <pic:spPr>
                    <a:xfrm>
                      <a:off x="0" y="0"/>
                      <a:ext cx="2114550" cy="2181225"/>
                    </a:xfrm>
                    <a:prstGeom prst="rect">
                      <a:avLst/>
                    </a:prstGeom>
                    <a:noFill/>
                    <a:ln w="9525">
                      <a:noFill/>
                    </a:ln>
                  </pic:spPr>
                </pic:pic>
              </a:graphicData>
            </a:graphic>
          </wp:anchor>
        </w:drawing>
      </w:r>
      <w:r>
        <w:rPr>
          <w:rFonts w:hint="eastAsia"/>
          <w:color w:val="auto"/>
          <w:sz w:val="28"/>
        </w:rPr>
        <w:t xml:space="preserve">                        </w:t>
      </w:r>
    </w:p>
    <w:tbl>
      <w:tblPr>
        <w:tblStyle w:val="30"/>
        <w:tblW w:w="95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269"/>
        <w:gridCol w:w="1307"/>
        <w:gridCol w:w="1710"/>
        <w:gridCol w:w="1680"/>
        <w:gridCol w:w="160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jc w:val="center"/>
        </w:trPr>
        <w:tc>
          <w:tcPr>
            <w:tcW w:w="32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估价对象</w:t>
            </w:r>
          </w:p>
        </w:tc>
        <w:tc>
          <w:tcPr>
            <w:tcW w:w="13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用途</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建筑面积</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（M</w:t>
            </w:r>
            <w:r>
              <w:rPr>
                <w:rFonts w:eastAsia="仿宋"/>
                <w:color w:val="auto"/>
                <w:szCs w:val="24"/>
                <w:vertAlign w:val="superscript"/>
              </w:rPr>
              <w:t>2</w:t>
            </w:r>
            <w:r>
              <w:rPr>
                <w:rFonts w:eastAsia="仿宋"/>
                <w:color w:val="auto"/>
                <w:szCs w:val="24"/>
              </w:rPr>
              <w:t>）</w:t>
            </w: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单价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（元/M</w:t>
            </w:r>
            <w:r>
              <w:rPr>
                <w:rFonts w:eastAsia="仿宋"/>
                <w:color w:val="auto"/>
                <w:szCs w:val="24"/>
                <w:vertAlign w:val="superscript"/>
              </w:rPr>
              <w:t>2</w:t>
            </w:r>
            <w:r>
              <w:rPr>
                <w:rFonts w:eastAsia="仿宋"/>
                <w:color w:val="auto"/>
                <w:szCs w:val="24"/>
              </w:rPr>
              <w:t>）</w:t>
            </w:r>
          </w:p>
        </w:tc>
        <w:tc>
          <w:tcPr>
            <w:tcW w:w="1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市场价值</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仿宋"/>
                <w:color w:val="auto"/>
                <w:szCs w:val="24"/>
              </w:rPr>
            </w:pPr>
            <w:r>
              <w:rPr>
                <w:rFonts w:eastAsia="仿宋"/>
                <w:color w:val="auto"/>
                <w:szCs w:val="24"/>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jc w:val="center"/>
        </w:trPr>
        <w:tc>
          <w:tcPr>
            <w:tcW w:w="326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line="300" w:lineRule="exact"/>
              <w:ind w:left="0" w:leftChars="0" w:right="0" w:rightChars="0" w:firstLine="0" w:firstLineChars="0"/>
              <w:jc w:val="center"/>
              <w:textAlignment w:val="auto"/>
              <w:outlineLvl w:val="9"/>
              <w:rPr>
                <w:rFonts w:eastAsia="仿宋"/>
                <w:color w:val="auto"/>
                <w:szCs w:val="24"/>
              </w:rPr>
            </w:pPr>
            <w:r>
              <w:rPr>
                <w:rFonts w:hint="eastAsia" w:eastAsia="仿宋"/>
                <w:color w:val="auto"/>
                <w:szCs w:val="24"/>
                <w:lang w:eastAsia="zh-CN"/>
              </w:rPr>
              <w:t>诸暨市暨阳街道滨江花苑11幢3单元402室住宅房地产</w:t>
            </w:r>
          </w:p>
        </w:tc>
        <w:tc>
          <w:tcPr>
            <w:tcW w:w="13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
                <w:color w:val="auto"/>
                <w:szCs w:val="24"/>
                <w:lang w:eastAsia="zh-CN"/>
              </w:rPr>
            </w:pPr>
            <w:r>
              <w:rPr>
                <w:rFonts w:hint="eastAsia" w:eastAsia="仿宋"/>
                <w:color w:val="auto"/>
                <w:szCs w:val="24"/>
                <w:lang w:eastAsia="zh-CN"/>
              </w:rPr>
              <w:t>住宅</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
                <w:color w:val="auto"/>
                <w:szCs w:val="24"/>
                <w:lang w:eastAsia="zh-CN"/>
              </w:rPr>
            </w:pPr>
            <w:r>
              <w:rPr>
                <w:rFonts w:hint="eastAsia" w:eastAsia="仿宋"/>
                <w:color w:val="auto"/>
                <w:szCs w:val="24"/>
                <w:lang w:val="en-US" w:eastAsia="zh-CN"/>
              </w:rPr>
              <w:t>139.00</w:t>
            </w: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8225</w:t>
            </w:r>
          </w:p>
        </w:tc>
        <w:tc>
          <w:tcPr>
            <w:tcW w:w="1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114.33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jc w:val="center"/>
        </w:trPr>
        <w:tc>
          <w:tcPr>
            <w:tcW w:w="326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line="300" w:lineRule="exact"/>
              <w:ind w:left="0" w:leftChars="0" w:right="0" w:rightChars="0" w:firstLine="0" w:firstLineChars="0"/>
              <w:jc w:val="center"/>
              <w:textAlignment w:val="auto"/>
              <w:outlineLvl w:val="9"/>
              <w:rPr>
                <w:rFonts w:hint="eastAsia" w:eastAsia="仿宋"/>
                <w:color w:val="auto"/>
                <w:szCs w:val="24"/>
                <w:lang w:eastAsia="zh-CN"/>
              </w:rPr>
            </w:pPr>
          </w:p>
        </w:tc>
        <w:tc>
          <w:tcPr>
            <w:tcW w:w="13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
                <w:color w:val="auto"/>
                <w:szCs w:val="24"/>
                <w:lang w:eastAsia="zh-CN"/>
              </w:rPr>
            </w:pPr>
            <w:r>
              <w:rPr>
                <w:rFonts w:hint="eastAsia" w:eastAsia="仿宋"/>
                <w:color w:val="auto"/>
                <w:szCs w:val="24"/>
                <w:lang w:eastAsia="zh-CN"/>
              </w:rPr>
              <w:t>架空层</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6.70</w:t>
            </w: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4000</w:t>
            </w:r>
          </w:p>
        </w:tc>
        <w:tc>
          <w:tcPr>
            <w:tcW w:w="1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2.68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jc w:val="center"/>
        </w:trPr>
        <w:tc>
          <w:tcPr>
            <w:tcW w:w="326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line="300" w:lineRule="exact"/>
              <w:ind w:left="0" w:leftChars="0" w:right="0" w:rightChars="0" w:firstLine="0" w:firstLineChars="0"/>
              <w:jc w:val="center"/>
              <w:textAlignment w:val="auto"/>
              <w:outlineLvl w:val="9"/>
              <w:rPr>
                <w:rFonts w:hint="eastAsia" w:eastAsia="仿宋"/>
                <w:color w:val="auto"/>
                <w:szCs w:val="24"/>
                <w:lang w:eastAsia="zh-CN"/>
              </w:rPr>
            </w:pPr>
          </w:p>
        </w:tc>
        <w:tc>
          <w:tcPr>
            <w:tcW w:w="13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
                <w:color w:val="auto"/>
                <w:szCs w:val="24"/>
                <w:lang w:eastAsia="zh-CN"/>
              </w:rPr>
            </w:pPr>
            <w:r>
              <w:rPr>
                <w:rFonts w:hint="eastAsia" w:eastAsia="仿宋"/>
                <w:color w:val="auto"/>
                <w:szCs w:val="24"/>
                <w:lang w:eastAsia="zh-CN"/>
              </w:rPr>
              <w:t>车库</w:t>
            </w:r>
          </w:p>
        </w:tc>
        <w:tc>
          <w:tcPr>
            <w:tcW w:w="1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27.10</w:t>
            </w: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5500</w:t>
            </w:r>
          </w:p>
        </w:tc>
        <w:tc>
          <w:tcPr>
            <w:tcW w:w="1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14.91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jc w:val="center"/>
        </w:trPr>
        <w:tc>
          <w:tcPr>
            <w:tcW w:w="326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line="300" w:lineRule="exact"/>
              <w:ind w:left="0" w:leftChars="0" w:right="0" w:rightChars="0" w:firstLine="0" w:firstLineChars="0"/>
              <w:jc w:val="center"/>
              <w:textAlignment w:val="auto"/>
              <w:outlineLvl w:val="9"/>
              <w:rPr>
                <w:rFonts w:hint="eastAsia" w:eastAsia="仿宋"/>
                <w:color w:val="auto"/>
                <w:szCs w:val="24"/>
                <w:lang w:eastAsia="zh-CN"/>
              </w:rPr>
            </w:pPr>
          </w:p>
        </w:tc>
        <w:tc>
          <w:tcPr>
            <w:tcW w:w="469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
                <w:color w:val="auto"/>
                <w:szCs w:val="24"/>
                <w:lang w:val="en-US" w:eastAsia="zh-CN"/>
              </w:rPr>
            </w:pPr>
            <w:r>
              <w:rPr>
                <w:rFonts w:hint="eastAsia" w:eastAsia="仿宋"/>
                <w:color w:val="auto"/>
                <w:szCs w:val="24"/>
                <w:lang w:val="en-US" w:eastAsia="zh-CN"/>
              </w:rPr>
              <w:t>室内动产</w:t>
            </w:r>
          </w:p>
        </w:tc>
        <w:tc>
          <w:tcPr>
            <w:tcW w:w="1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0.44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jc w:val="center"/>
        </w:trPr>
        <w:tc>
          <w:tcPr>
            <w:tcW w:w="326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line="300" w:lineRule="exact"/>
              <w:ind w:left="0" w:leftChars="0" w:right="0" w:rightChars="0" w:firstLine="0" w:firstLineChars="0"/>
              <w:jc w:val="center"/>
              <w:textAlignment w:val="auto"/>
              <w:outlineLvl w:val="9"/>
              <w:rPr>
                <w:rFonts w:hint="eastAsia" w:eastAsia="仿宋"/>
                <w:color w:val="auto"/>
                <w:szCs w:val="24"/>
                <w:lang w:eastAsia="zh-CN"/>
              </w:rPr>
            </w:pPr>
          </w:p>
        </w:tc>
        <w:tc>
          <w:tcPr>
            <w:tcW w:w="469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仿宋"/>
                <w:color w:val="auto"/>
                <w:szCs w:val="24"/>
                <w:lang w:val="en-US" w:eastAsia="zh-CN"/>
              </w:rPr>
            </w:pPr>
            <w:r>
              <w:rPr>
                <w:rFonts w:hint="eastAsia" w:eastAsia="仿宋"/>
                <w:color w:val="auto"/>
                <w:szCs w:val="24"/>
                <w:lang w:val="en-US" w:eastAsia="zh-CN"/>
              </w:rPr>
              <w:t>合计</w:t>
            </w:r>
          </w:p>
        </w:tc>
        <w:tc>
          <w:tcPr>
            <w:tcW w:w="16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仿宋"/>
                <w:color w:val="auto"/>
                <w:szCs w:val="24"/>
                <w:lang w:val="en-US" w:eastAsia="zh-CN"/>
              </w:rPr>
            </w:pPr>
            <w:r>
              <w:rPr>
                <w:rFonts w:hint="eastAsia" w:eastAsia="仿宋"/>
                <w:color w:val="auto"/>
                <w:szCs w:val="24"/>
                <w:lang w:val="en-US" w:eastAsia="zh-CN"/>
              </w:rPr>
              <w:t>132.36</w:t>
            </w:r>
          </w:p>
        </w:tc>
      </w:tr>
    </w:tbl>
    <w:p>
      <w:pPr>
        <w:keepNext w:val="0"/>
        <w:keepLines w:val="0"/>
        <w:pageBreakBefore w:val="0"/>
        <w:widowControl w:val="0"/>
        <w:kinsoku/>
        <w:wordWrap/>
        <w:overflowPunct/>
        <w:topLinePunct w:val="0"/>
        <w:autoSpaceDE/>
        <w:autoSpaceDN/>
        <w:bidi w:val="0"/>
        <w:adjustRightInd/>
        <w:snapToGrid w:val="0"/>
        <w:spacing w:before="0" w:beforeAutospacing="0" w:afterAutospacing="0" w:line="440" w:lineRule="atLeast"/>
        <w:ind w:left="0" w:leftChars="0" w:right="40" w:firstLine="561" w:firstLineChars="0"/>
        <w:jc w:val="both"/>
        <w:textAlignment w:val="auto"/>
        <w:outlineLvl w:val="9"/>
        <w:rPr>
          <w:rFonts w:hint="default" w:ascii="Times New Roman" w:hAnsi="Times New Roman" w:eastAsia="仿宋_GB2312" w:cs="Times New Roman"/>
          <w:color w:val="auto"/>
          <w:sz w:val="28"/>
          <w:lang w:eastAsia="zh-CN"/>
        </w:rPr>
      </w:pPr>
      <w:r>
        <w:rPr>
          <w:rFonts w:eastAsia="仿宋_GB2312"/>
          <w:color w:val="auto"/>
          <w:sz w:val="26"/>
          <w:szCs w:val="26"/>
        </w:rPr>
        <w:t>需要声明的是，贵方在使用本报告时，务请注意本评估报告中的估价的假设和限制条件，并且，报告的全文作为一个不可分割的整体，仅有部分内容则不能成为有效的评估报告。本报告有效期为壹年，即从</w:t>
      </w:r>
      <w:r>
        <w:rPr>
          <w:rFonts w:hint="eastAsia"/>
          <w:color w:val="auto"/>
          <w:sz w:val="26"/>
          <w:szCs w:val="26"/>
          <w:lang w:eastAsia="zh-CN"/>
        </w:rPr>
        <w:t>2019年1</w:t>
      </w:r>
      <w:r>
        <w:rPr>
          <w:rFonts w:hint="eastAsia"/>
          <w:color w:val="auto"/>
          <w:sz w:val="26"/>
          <w:szCs w:val="26"/>
          <w:lang w:val="en-US" w:eastAsia="zh-CN"/>
        </w:rPr>
        <w:t>2</w:t>
      </w:r>
      <w:r>
        <w:rPr>
          <w:rFonts w:hint="eastAsia"/>
          <w:color w:val="auto"/>
          <w:sz w:val="26"/>
          <w:szCs w:val="26"/>
          <w:lang w:eastAsia="zh-CN"/>
        </w:rPr>
        <w:t>月</w:t>
      </w:r>
      <w:r>
        <w:rPr>
          <w:rFonts w:hint="eastAsia"/>
          <w:color w:val="auto"/>
          <w:sz w:val="26"/>
          <w:szCs w:val="26"/>
          <w:lang w:val="en-US" w:eastAsia="zh-CN"/>
        </w:rPr>
        <w:t>20</w:t>
      </w:r>
      <w:r>
        <w:rPr>
          <w:rFonts w:hint="eastAsia"/>
          <w:color w:val="auto"/>
          <w:sz w:val="26"/>
          <w:szCs w:val="26"/>
          <w:lang w:eastAsia="zh-CN"/>
        </w:rPr>
        <w:t>日</w:t>
      </w:r>
      <w:r>
        <w:rPr>
          <w:rFonts w:eastAsia="仿宋_GB2312"/>
          <w:color w:val="auto"/>
          <w:sz w:val="26"/>
          <w:szCs w:val="26"/>
        </w:rPr>
        <w:t>至20</w:t>
      </w:r>
      <w:r>
        <w:rPr>
          <w:rFonts w:hint="eastAsia"/>
          <w:color w:val="auto"/>
          <w:sz w:val="26"/>
          <w:szCs w:val="26"/>
          <w:lang w:val="en-US" w:eastAsia="zh-CN"/>
        </w:rPr>
        <w:t>20</w:t>
      </w:r>
      <w:r>
        <w:rPr>
          <w:rFonts w:eastAsia="仿宋_GB2312"/>
          <w:color w:val="auto"/>
          <w:sz w:val="26"/>
          <w:szCs w:val="26"/>
        </w:rPr>
        <w:t>年</w:t>
      </w:r>
      <w:r>
        <w:rPr>
          <w:rFonts w:hint="eastAsia"/>
          <w:color w:val="auto"/>
          <w:sz w:val="26"/>
          <w:szCs w:val="26"/>
          <w:lang w:val="en-US" w:eastAsia="zh-CN"/>
        </w:rPr>
        <w:t>12月19日</w:t>
      </w:r>
      <w:r>
        <w:rPr>
          <w:rFonts w:hint="eastAsia"/>
          <w:color w:val="auto"/>
          <w:sz w:val="26"/>
          <w:szCs w:val="26"/>
          <w:lang w:eastAsia="zh-CN"/>
        </w:rPr>
        <w:t>。</w:t>
      </w:r>
      <w:r>
        <w:rPr>
          <w:rFonts w:hint="default" w:ascii="Times New Roman" w:hAnsi="Times New Roman" w:eastAsia="仿宋_GB2312" w:cs="Times New Roman"/>
          <w:color w:val="auto"/>
          <w:sz w:val="26"/>
          <w:szCs w:val="26"/>
          <w:lang w:eastAsia="zh-CN"/>
        </w:rPr>
        <w:t>如当事人对本评估报告有异议，应在收到之日起</w:t>
      </w:r>
      <w:r>
        <w:rPr>
          <w:rFonts w:hint="eastAsia" w:cs="Times New Roman"/>
          <w:color w:val="auto"/>
          <w:sz w:val="26"/>
          <w:szCs w:val="26"/>
          <w:lang w:eastAsia="zh-CN"/>
        </w:rPr>
        <w:t>五</w:t>
      </w:r>
      <w:r>
        <w:rPr>
          <w:rFonts w:hint="default" w:ascii="Times New Roman" w:hAnsi="Times New Roman" w:eastAsia="仿宋_GB2312" w:cs="Times New Roman"/>
          <w:color w:val="auto"/>
          <w:sz w:val="26"/>
          <w:szCs w:val="26"/>
          <w:lang w:eastAsia="zh-CN"/>
        </w:rPr>
        <w:t>日内向</w:t>
      </w:r>
      <w:r>
        <w:rPr>
          <w:rFonts w:hint="eastAsia"/>
          <w:color w:val="auto"/>
          <w:sz w:val="26"/>
          <w:szCs w:val="26"/>
          <w:lang w:eastAsia="zh-CN"/>
        </w:rPr>
        <w:t>浙江省诸暨市</w:t>
      </w:r>
      <w:r>
        <w:rPr>
          <w:rFonts w:hint="default" w:ascii="Times New Roman" w:hAnsi="Times New Roman" w:eastAsia="仿宋_GB2312" w:cs="Times New Roman"/>
          <w:color w:val="auto"/>
          <w:sz w:val="26"/>
          <w:szCs w:val="26"/>
          <w:lang w:eastAsia="zh-CN"/>
        </w:rPr>
        <w:t>人民法院书面提出。</w:t>
      </w:r>
      <w:r>
        <w:rPr>
          <w:rFonts w:hint="default" w:ascii="Times New Roman" w:hAnsi="Times New Roman" w:eastAsia="仿宋_GB2312" w:cs="Times New Roman"/>
          <w:color w:val="auto"/>
          <w:sz w:val="28"/>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atLeast"/>
        <w:ind w:left="0" w:leftChars="0" w:right="480" w:firstLine="4680" w:firstLineChars="1800"/>
        <w:jc w:val="both"/>
        <w:textAlignment w:val="auto"/>
        <w:outlineLvl w:val="9"/>
        <w:rPr>
          <w:rFonts w:hint="eastAsia" w:ascii="仿宋_GB2312" w:hAnsi="仿宋_GB2312" w:cs="仿宋_GB2312"/>
          <w:color w:val="auto"/>
          <w:sz w:val="26"/>
          <w:szCs w:val="26"/>
          <w:lang w:eastAsia="zh-CN"/>
        </w:rPr>
      </w:pPr>
      <w:r>
        <w:rPr>
          <w:rFonts w:hint="eastAsia" w:ascii="仿宋_GB2312" w:hAnsi="仿宋_GB2312" w:cs="仿宋_GB2312"/>
          <w:color w:val="auto"/>
          <w:sz w:val="26"/>
          <w:szCs w:val="26"/>
          <w:lang w:eastAsia="zh-CN"/>
        </w:rPr>
        <w:t>诸暨市正信房地产评估有限公司</w:t>
      </w: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atLeast"/>
        <w:ind w:left="0" w:leftChars="0" w:right="480" w:firstLine="560"/>
        <w:jc w:val="both"/>
        <w:textAlignment w:val="auto"/>
        <w:outlineLvl w:val="9"/>
        <w:rPr>
          <w:rFonts w:hint="eastAsia" w:ascii="仿宋_GB2312" w:hAnsi="仿宋_GB2312" w:eastAsia="仿宋_GB2312" w:cs="仿宋_GB2312"/>
          <w:color w:val="auto"/>
          <w:sz w:val="26"/>
          <w:szCs w:val="26"/>
        </w:rPr>
      </w:pPr>
      <w:r>
        <w:rPr>
          <w:rFonts w:hint="eastAsia" w:ascii="仿宋_GB2312" w:hAnsi="仿宋_GB2312" w:eastAsia="仿宋_GB2312" w:cs="仿宋_GB2312"/>
          <w:color w:val="auto"/>
          <w:sz w:val="26"/>
          <w:szCs w:val="26"/>
        </w:rPr>
        <w:t xml:space="preserve"> </w:t>
      </w:r>
      <w:r>
        <w:rPr>
          <w:rFonts w:hint="eastAsia" w:ascii="仿宋_GB2312" w:hAnsi="仿宋_GB2312" w:cs="仿宋_GB2312"/>
          <w:color w:val="auto"/>
          <w:sz w:val="26"/>
          <w:szCs w:val="26"/>
          <w:lang w:val="en-US" w:eastAsia="zh-CN"/>
        </w:rPr>
        <w:t xml:space="preserve">                                   </w:t>
      </w:r>
      <w:r>
        <w:rPr>
          <w:rFonts w:hint="eastAsia" w:ascii="仿宋_GB2312" w:hAnsi="仿宋_GB2312" w:eastAsia="仿宋_GB2312" w:cs="仿宋_GB2312"/>
          <w:color w:val="auto"/>
          <w:sz w:val="26"/>
          <w:szCs w:val="26"/>
        </w:rPr>
        <w:t xml:space="preserve">法定代表人：       </w:t>
      </w:r>
    </w:p>
    <w:p>
      <w:pPr>
        <w:keepNext w:val="0"/>
        <w:keepLines w:val="0"/>
        <w:pageBreakBefore w:val="0"/>
        <w:widowControl w:val="0"/>
        <w:kinsoku/>
        <w:wordWrap/>
        <w:overflowPunct/>
        <w:topLinePunct w:val="0"/>
        <w:autoSpaceDE/>
        <w:autoSpaceDN/>
        <w:bidi w:val="0"/>
        <w:adjustRightInd/>
        <w:snapToGrid w:val="0"/>
        <w:spacing w:beforeAutospacing="0" w:line="440" w:lineRule="atLeast"/>
        <w:ind w:left="0" w:leftChars="0" w:firstLine="520"/>
        <w:jc w:val="both"/>
        <w:textAlignment w:val="auto"/>
        <w:outlineLvl w:val="9"/>
        <w:rPr>
          <w:b/>
          <w:bCs w:val="0"/>
          <w:color w:val="auto"/>
          <w:sz w:val="36"/>
          <w:szCs w:val="36"/>
        </w:rPr>
      </w:pPr>
      <w:r>
        <w:rPr>
          <w:rFonts w:hint="eastAsia" w:ascii="仿宋_GB2312" w:hAnsi="仿宋_GB2312" w:eastAsia="仿宋_GB2312" w:cs="仿宋_GB2312"/>
          <w:color w:val="auto"/>
          <w:sz w:val="26"/>
          <w:szCs w:val="26"/>
        </w:rPr>
        <w:t xml:space="preserve">                        </w:t>
      </w:r>
      <w:r>
        <w:rPr>
          <w:rFonts w:hint="eastAsia" w:ascii="仿宋_GB2312" w:hAnsi="仿宋_GB2312" w:cs="仿宋_GB2312"/>
          <w:color w:val="auto"/>
          <w:sz w:val="26"/>
          <w:szCs w:val="26"/>
          <w:lang w:val="en-US" w:eastAsia="zh-CN"/>
        </w:rPr>
        <w:t xml:space="preserve">            </w:t>
      </w:r>
      <w:r>
        <w:rPr>
          <w:rFonts w:hint="eastAsia" w:ascii="仿宋_GB2312" w:hAnsi="仿宋_GB2312" w:cs="仿宋_GB2312"/>
          <w:color w:val="auto"/>
          <w:sz w:val="26"/>
          <w:szCs w:val="26"/>
          <w:lang w:eastAsia="zh-CN"/>
        </w:rPr>
        <w:t>二Ｏ一九年十二月二十日</w:t>
      </w:r>
    </w:p>
    <w:p>
      <w:pPr>
        <w:rPr>
          <w:b/>
          <w:bCs w:val="0"/>
          <w:color w:val="auto"/>
          <w:sz w:val="36"/>
          <w:szCs w:val="36"/>
        </w:rPr>
      </w:pPr>
      <w:r>
        <w:rPr>
          <w:b/>
          <w:bCs w:val="0"/>
          <w:color w:val="auto"/>
          <w:sz w:val="36"/>
          <w:szCs w:val="36"/>
        </w:rPr>
        <w:br w:type="page"/>
      </w:r>
    </w:p>
    <w:p>
      <w:pPr>
        <w:jc w:val="center"/>
        <w:rPr>
          <w:b/>
          <w:bCs w:val="0"/>
          <w:color w:val="auto"/>
          <w:sz w:val="36"/>
          <w:szCs w:val="36"/>
        </w:rPr>
      </w:pPr>
      <w:r>
        <w:rPr>
          <w:b/>
          <w:bCs w:val="0"/>
          <w:color w:val="auto"/>
          <w:sz w:val="36"/>
          <w:szCs w:val="36"/>
        </w:rPr>
        <w:t>目</w:t>
      </w:r>
      <w:r>
        <w:rPr>
          <w:rFonts w:hint="eastAsia"/>
          <w:b/>
          <w:bCs w:val="0"/>
          <w:color w:val="auto"/>
          <w:sz w:val="36"/>
          <w:szCs w:val="36"/>
          <w:lang w:val="en-US" w:eastAsia="zh-CN"/>
        </w:rPr>
        <w:t xml:space="preserve">    </w:t>
      </w:r>
      <w:r>
        <w:rPr>
          <w:b/>
          <w:bCs w:val="0"/>
          <w:color w:val="auto"/>
          <w:sz w:val="36"/>
          <w:szCs w:val="36"/>
        </w:rPr>
        <w:t>录</w:t>
      </w:r>
      <w:bookmarkEnd w:id="3"/>
      <w:bookmarkEnd w:id="4"/>
    </w:p>
    <w:p>
      <w:pPr>
        <w:pStyle w:val="20"/>
        <w:tabs>
          <w:tab w:val="right" w:leader="dot" w:pos="9638"/>
        </w:tabs>
        <w:spacing w:line="500" w:lineRule="exact"/>
        <w:ind w:firstLine="0"/>
        <w:rPr>
          <w:color w:val="auto"/>
          <w:sz w:val="26"/>
          <w:szCs w:val="26"/>
        </w:rPr>
      </w:pPr>
      <w:bookmarkStart w:id="5" w:name="_Toc166894319"/>
      <w:bookmarkStart w:id="6" w:name="_Toc213473258"/>
      <w:bookmarkStart w:id="7" w:name="_Toc454373093"/>
      <w:r>
        <w:rPr>
          <w:rFonts w:hint="eastAsia" w:eastAsia="仿宋_GB2312"/>
          <w:color w:val="auto"/>
          <w:sz w:val="26"/>
          <w:szCs w:val="26"/>
        </w:rPr>
        <w:fldChar w:fldCharType="begin"/>
      </w:r>
      <w:r>
        <w:rPr>
          <w:rFonts w:hint="eastAsia" w:eastAsia="仿宋_GB2312"/>
          <w:color w:val="auto"/>
          <w:sz w:val="26"/>
          <w:szCs w:val="26"/>
        </w:rPr>
        <w:instrText xml:space="preserve">TOC \o "1-2" \h \u </w:instrText>
      </w:r>
      <w:r>
        <w:rPr>
          <w:rFonts w:hint="eastAsia" w:eastAsia="仿宋_GB2312"/>
          <w:color w:val="auto"/>
          <w:sz w:val="26"/>
          <w:szCs w:val="26"/>
        </w:rPr>
        <w:fldChar w:fldCharType="separate"/>
      </w:r>
      <w:r>
        <w:rPr>
          <w:color w:val="auto"/>
        </w:rPr>
        <w:fldChar w:fldCharType="begin"/>
      </w:r>
      <w:r>
        <w:rPr>
          <w:color w:val="auto"/>
        </w:rPr>
        <w:instrText xml:space="preserve"> HYPERLINK \l "_Toc3881" </w:instrText>
      </w:r>
      <w:r>
        <w:rPr>
          <w:color w:val="auto"/>
        </w:rPr>
        <w:fldChar w:fldCharType="separate"/>
      </w:r>
      <w:r>
        <w:rPr>
          <w:rFonts w:hint="eastAsia" w:ascii="仿宋_GB2312" w:hAnsi="仿宋_GB2312" w:eastAsia="仿宋_GB2312" w:cs="仿宋_GB2312"/>
          <w:bCs/>
          <w:color w:val="auto"/>
          <w:sz w:val="26"/>
          <w:szCs w:val="26"/>
        </w:rPr>
        <w:t>第一部分：致估价委托人函</w:t>
      </w:r>
      <w:r>
        <w:rPr>
          <w:color w:val="auto"/>
          <w:sz w:val="26"/>
          <w:szCs w:val="26"/>
        </w:rPr>
        <w:tab/>
      </w:r>
      <w:r>
        <w:rPr>
          <w:color w:val="auto"/>
          <w:sz w:val="26"/>
          <w:szCs w:val="26"/>
        </w:rPr>
        <w:fldChar w:fldCharType="end"/>
      </w:r>
      <w:r>
        <w:rPr>
          <w:rFonts w:hint="eastAsia" w:eastAsia="仿宋_GB2312"/>
          <w:color w:val="auto"/>
          <w:sz w:val="26"/>
          <w:szCs w:val="26"/>
        </w:rPr>
        <w:t>2</w:t>
      </w:r>
    </w:p>
    <w:p>
      <w:pPr>
        <w:pStyle w:val="20"/>
        <w:tabs>
          <w:tab w:val="right" w:leader="dot" w:pos="9638"/>
        </w:tabs>
        <w:spacing w:line="500" w:lineRule="exact"/>
        <w:ind w:firstLine="0"/>
        <w:rPr>
          <w:color w:val="auto"/>
          <w:sz w:val="26"/>
          <w:szCs w:val="26"/>
        </w:rPr>
      </w:pPr>
      <w:r>
        <w:rPr>
          <w:color w:val="auto"/>
        </w:rPr>
        <w:fldChar w:fldCharType="begin"/>
      </w:r>
      <w:r>
        <w:rPr>
          <w:color w:val="auto"/>
        </w:rPr>
        <w:instrText xml:space="preserve"> HYPERLINK \l "_Toc2627" </w:instrText>
      </w:r>
      <w:r>
        <w:rPr>
          <w:color w:val="auto"/>
        </w:rPr>
        <w:fldChar w:fldCharType="separate"/>
      </w:r>
      <w:r>
        <w:rPr>
          <w:rFonts w:hint="eastAsia" w:ascii="仿宋_GB2312" w:hAnsi="仿宋_GB2312" w:eastAsia="仿宋_GB2312" w:cs="仿宋_GB2312"/>
          <w:color w:val="auto"/>
          <w:kern w:val="0"/>
          <w:sz w:val="26"/>
          <w:szCs w:val="26"/>
        </w:rPr>
        <w:t>第二部分: 估价师声明</w:t>
      </w:r>
      <w:r>
        <w:rPr>
          <w:color w:val="auto"/>
          <w:sz w:val="26"/>
          <w:szCs w:val="26"/>
        </w:rPr>
        <w:tab/>
      </w:r>
      <w:r>
        <w:rPr>
          <w:rFonts w:hint="eastAsia"/>
          <w:color w:val="auto"/>
          <w:sz w:val="26"/>
          <w:szCs w:val="26"/>
        </w:rPr>
        <w:t>4</w:t>
      </w:r>
      <w:r>
        <w:rPr>
          <w:rFonts w:hint="eastAsia"/>
          <w:color w:val="auto"/>
          <w:sz w:val="26"/>
          <w:szCs w:val="26"/>
        </w:rPr>
        <w:fldChar w:fldCharType="end"/>
      </w:r>
    </w:p>
    <w:p>
      <w:pPr>
        <w:pStyle w:val="20"/>
        <w:tabs>
          <w:tab w:val="right" w:leader="dot" w:pos="9638"/>
        </w:tabs>
        <w:spacing w:line="500" w:lineRule="exact"/>
        <w:ind w:firstLine="0"/>
        <w:rPr>
          <w:color w:val="auto"/>
          <w:sz w:val="26"/>
          <w:szCs w:val="26"/>
        </w:rPr>
      </w:pPr>
      <w:r>
        <w:rPr>
          <w:color w:val="auto"/>
        </w:rPr>
        <w:fldChar w:fldCharType="begin"/>
      </w:r>
      <w:r>
        <w:rPr>
          <w:color w:val="auto"/>
        </w:rPr>
        <w:instrText xml:space="preserve"> HYPERLINK \l "_Toc9296" </w:instrText>
      </w:r>
      <w:r>
        <w:rPr>
          <w:color w:val="auto"/>
        </w:rPr>
        <w:fldChar w:fldCharType="separate"/>
      </w:r>
      <w:r>
        <w:rPr>
          <w:rFonts w:hint="eastAsia" w:ascii="仿宋_GB2312" w:hAnsi="仿宋_GB2312" w:eastAsia="仿宋_GB2312" w:cs="仿宋_GB2312"/>
          <w:color w:val="auto"/>
          <w:sz w:val="26"/>
          <w:szCs w:val="26"/>
        </w:rPr>
        <w:t>第三部分：估价的假设和限制条件</w:t>
      </w:r>
      <w:r>
        <w:rPr>
          <w:color w:val="auto"/>
          <w:sz w:val="26"/>
          <w:szCs w:val="26"/>
        </w:rPr>
        <w:tab/>
      </w:r>
      <w:r>
        <w:rPr>
          <w:rFonts w:hint="eastAsia"/>
          <w:color w:val="auto"/>
          <w:sz w:val="26"/>
          <w:szCs w:val="26"/>
        </w:rPr>
        <w:t>5</w:t>
      </w:r>
      <w:r>
        <w:rPr>
          <w:rFonts w:hint="eastAsia"/>
          <w:color w:val="auto"/>
          <w:sz w:val="26"/>
          <w:szCs w:val="26"/>
        </w:rPr>
        <w:fldChar w:fldCharType="end"/>
      </w:r>
    </w:p>
    <w:p>
      <w:pPr>
        <w:pStyle w:val="20"/>
        <w:tabs>
          <w:tab w:val="right" w:leader="dot" w:pos="9638"/>
        </w:tabs>
        <w:spacing w:line="500" w:lineRule="exact"/>
        <w:ind w:firstLine="0"/>
        <w:rPr>
          <w:color w:val="auto"/>
          <w:sz w:val="26"/>
          <w:szCs w:val="26"/>
        </w:rPr>
      </w:pPr>
      <w:r>
        <w:rPr>
          <w:color w:val="auto"/>
        </w:rPr>
        <w:fldChar w:fldCharType="begin"/>
      </w:r>
      <w:r>
        <w:rPr>
          <w:color w:val="auto"/>
        </w:rPr>
        <w:instrText xml:space="preserve"> HYPERLINK \l "_Toc12553" </w:instrText>
      </w:r>
      <w:r>
        <w:rPr>
          <w:color w:val="auto"/>
        </w:rPr>
        <w:fldChar w:fldCharType="separate"/>
      </w:r>
      <w:r>
        <w:rPr>
          <w:rFonts w:hint="eastAsia" w:ascii="仿宋_GB2312" w:hAnsi="仿宋_GB2312" w:eastAsia="仿宋_GB2312" w:cs="仿宋_GB2312"/>
          <w:bCs/>
          <w:color w:val="auto"/>
          <w:sz w:val="26"/>
          <w:szCs w:val="26"/>
        </w:rPr>
        <w:t>第四部分：估价结果报告</w:t>
      </w:r>
      <w:r>
        <w:rPr>
          <w:color w:val="auto"/>
          <w:sz w:val="26"/>
          <w:szCs w:val="26"/>
        </w:rPr>
        <w:tab/>
      </w:r>
      <w:r>
        <w:rPr>
          <w:color w:val="auto"/>
          <w:sz w:val="26"/>
          <w:szCs w:val="26"/>
        </w:rPr>
        <w:fldChar w:fldCharType="end"/>
      </w:r>
      <w:r>
        <w:rPr>
          <w:rFonts w:hint="eastAsia" w:eastAsia="仿宋_GB2312"/>
          <w:color w:val="auto"/>
          <w:sz w:val="26"/>
          <w:szCs w:val="26"/>
        </w:rPr>
        <w:t>7</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"_Toc17261" </w:instrText>
      </w:r>
      <w:r>
        <w:rPr>
          <w:color w:val="auto"/>
        </w:rPr>
        <w:fldChar w:fldCharType="separate"/>
      </w:r>
      <w:r>
        <w:rPr>
          <w:color w:val="auto"/>
          <w:sz w:val="26"/>
          <w:szCs w:val="26"/>
        </w:rPr>
        <w:t>一、</w:t>
      </w:r>
      <w:r>
        <w:rPr>
          <w:rFonts w:hint="eastAsia"/>
          <w:color w:val="auto"/>
          <w:sz w:val="26"/>
          <w:szCs w:val="26"/>
        </w:rPr>
        <w:t>估价</w:t>
      </w:r>
      <w:r>
        <w:rPr>
          <w:color w:val="auto"/>
          <w:sz w:val="26"/>
          <w:szCs w:val="26"/>
        </w:rPr>
        <w:t>委托</w:t>
      </w:r>
      <w:r>
        <w:rPr>
          <w:rFonts w:hint="eastAsia"/>
          <w:color w:val="auto"/>
          <w:sz w:val="26"/>
          <w:szCs w:val="26"/>
        </w:rPr>
        <w:t>人</w:t>
      </w:r>
      <w:r>
        <w:rPr>
          <w:color w:val="auto"/>
          <w:sz w:val="26"/>
          <w:szCs w:val="26"/>
        </w:rPr>
        <w:tab/>
      </w:r>
      <w:r>
        <w:rPr>
          <w:color w:val="auto"/>
          <w:sz w:val="26"/>
          <w:szCs w:val="26"/>
        </w:rPr>
        <w:fldChar w:fldCharType="end"/>
      </w:r>
      <w:r>
        <w:rPr>
          <w:rFonts w:hint="eastAsia"/>
          <w:color w:val="auto"/>
          <w:sz w:val="26"/>
          <w:szCs w:val="26"/>
        </w:rPr>
        <w:t>7</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"_Toc18182" </w:instrText>
      </w:r>
      <w:r>
        <w:rPr>
          <w:color w:val="auto"/>
        </w:rPr>
        <w:fldChar w:fldCharType="separate"/>
      </w:r>
      <w:r>
        <w:rPr>
          <w:color w:val="auto"/>
          <w:sz w:val="26"/>
          <w:szCs w:val="26"/>
        </w:rPr>
        <w:t>二、</w:t>
      </w:r>
      <w:r>
        <w:rPr>
          <w:rFonts w:hint="eastAsia"/>
          <w:color w:val="auto"/>
          <w:sz w:val="26"/>
          <w:szCs w:val="26"/>
        </w:rPr>
        <w:t>房地产估价机构</w:t>
      </w:r>
      <w:r>
        <w:rPr>
          <w:color w:val="auto"/>
          <w:sz w:val="26"/>
          <w:szCs w:val="26"/>
        </w:rPr>
        <w:tab/>
      </w:r>
      <w:r>
        <w:rPr>
          <w:color w:val="auto"/>
          <w:sz w:val="26"/>
          <w:szCs w:val="26"/>
        </w:rPr>
        <w:fldChar w:fldCharType="end"/>
      </w:r>
      <w:r>
        <w:rPr>
          <w:rFonts w:hint="eastAsia"/>
          <w:color w:val="auto"/>
          <w:sz w:val="26"/>
          <w:szCs w:val="26"/>
        </w:rPr>
        <w:t>7</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"_Toc7838" </w:instrText>
      </w:r>
      <w:r>
        <w:rPr>
          <w:color w:val="auto"/>
        </w:rPr>
        <w:fldChar w:fldCharType="separate"/>
      </w:r>
      <w:r>
        <w:rPr>
          <w:color w:val="auto"/>
          <w:sz w:val="26"/>
          <w:szCs w:val="26"/>
        </w:rPr>
        <w:t>三、估价目的</w:t>
      </w:r>
      <w:r>
        <w:rPr>
          <w:color w:val="auto"/>
          <w:sz w:val="26"/>
          <w:szCs w:val="26"/>
        </w:rPr>
        <w:tab/>
      </w:r>
      <w:r>
        <w:rPr>
          <w:color w:val="auto"/>
          <w:sz w:val="26"/>
          <w:szCs w:val="26"/>
        </w:rPr>
        <w:fldChar w:fldCharType="end"/>
      </w:r>
      <w:r>
        <w:rPr>
          <w:rFonts w:hint="eastAsia"/>
          <w:color w:val="auto"/>
          <w:sz w:val="26"/>
          <w:szCs w:val="26"/>
        </w:rPr>
        <w:t>7</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"_Toc30881" </w:instrText>
      </w:r>
      <w:r>
        <w:rPr>
          <w:color w:val="auto"/>
        </w:rPr>
        <w:fldChar w:fldCharType="separate"/>
      </w:r>
      <w:r>
        <w:rPr>
          <w:color w:val="auto"/>
          <w:sz w:val="26"/>
          <w:szCs w:val="26"/>
        </w:rPr>
        <w:t>四、估价对象</w:t>
      </w:r>
      <w:r>
        <w:rPr>
          <w:color w:val="auto"/>
          <w:sz w:val="26"/>
          <w:szCs w:val="26"/>
        </w:rPr>
        <w:tab/>
      </w:r>
      <w:r>
        <w:rPr>
          <w:color w:val="auto"/>
          <w:sz w:val="26"/>
          <w:szCs w:val="26"/>
        </w:rPr>
        <w:fldChar w:fldCharType="end"/>
      </w:r>
      <w:r>
        <w:rPr>
          <w:rFonts w:hint="eastAsia"/>
          <w:color w:val="auto"/>
          <w:sz w:val="26"/>
          <w:szCs w:val="26"/>
        </w:rPr>
        <w:t>7</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"_Toc28770" </w:instrText>
      </w:r>
      <w:r>
        <w:rPr>
          <w:color w:val="auto"/>
        </w:rPr>
        <w:fldChar w:fldCharType="separate"/>
      </w:r>
      <w:r>
        <w:rPr>
          <w:color w:val="auto"/>
          <w:sz w:val="26"/>
          <w:szCs w:val="26"/>
        </w:rPr>
        <w:t>五、</w:t>
      </w:r>
      <w:r>
        <w:rPr>
          <w:rFonts w:hint="eastAsia"/>
          <w:color w:val="auto"/>
          <w:sz w:val="26"/>
          <w:szCs w:val="26"/>
        </w:rPr>
        <w:t>价值</w:t>
      </w:r>
      <w:r>
        <w:rPr>
          <w:color w:val="auto"/>
          <w:sz w:val="26"/>
          <w:szCs w:val="26"/>
        </w:rPr>
        <w:t>时点</w:t>
      </w:r>
      <w:r>
        <w:rPr>
          <w:color w:val="auto"/>
          <w:sz w:val="26"/>
          <w:szCs w:val="26"/>
        </w:rPr>
        <w:tab/>
      </w:r>
      <w:r>
        <w:rPr>
          <w:rFonts w:hint="eastAsia"/>
          <w:color w:val="auto"/>
          <w:sz w:val="26"/>
          <w:szCs w:val="26"/>
        </w:rPr>
        <w:fldChar w:fldCharType="end"/>
      </w:r>
      <w:r>
        <w:rPr>
          <w:rFonts w:hint="eastAsia"/>
          <w:color w:val="auto"/>
          <w:sz w:val="26"/>
          <w:szCs w:val="26"/>
          <w:lang w:val="en-US" w:eastAsia="zh-CN"/>
        </w:rPr>
        <w:t>9</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"_Toc16174" </w:instrText>
      </w:r>
      <w:r>
        <w:rPr>
          <w:color w:val="auto"/>
        </w:rPr>
        <w:fldChar w:fldCharType="separate"/>
      </w:r>
      <w:r>
        <w:rPr>
          <w:rFonts w:hint="eastAsia"/>
          <w:color w:val="auto"/>
          <w:sz w:val="26"/>
          <w:szCs w:val="26"/>
        </w:rPr>
        <w:t>六、价值类型</w:t>
      </w:r>
      <w:r>
        <w:rPr>
          <w:color w:val="auto"/>
          <w:sz w:val="26"/>
          <w:szCs w:val="26"/>
        </w:rPr>
        <w:tab/>
      </w:r>
      <w:r>
        <w:rPr>
          <w:rFonts w:hint="eastAsia"/>
          <w:color w:val="auto"/>
          <w:sz w:val="26"/>
          <w:szCs w:val="26"/>
        </w:rPr>
        <w:fldChar w:fldCharType="end"/>
      </w:r>
      <w:r>
        <w:rPr>
          <w:rFonts w:hint="eastAsia"/>
          <w:color w:val="auto"/>
          <w:sz w:val="26"/>
          <w:szCs w:val="26"/>
          <w:lang w:val="en-US" w:eastAsia="zh-CN"/>
        </w:rPr>
        <w:t>9</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"_Toc6735" </w:instrText>
      </w:r>
      <w:r>
        <w:rPr>
          <w:color w:val="auto"/>
        </w:rPr>
        <w:fldChar w:fldCharType="separate"/>
      </w:r>
      <w:r>
        <w:rPr>
          <w:color w:val="auto"/>
          <w:sz w:val="26"/>
          <w:szCs w:val="26"/>
        </w:rPr>
        <w:t>七、估价原则</w:t>
      </w:r>
      <w:r>
        <w:rPr>
          <w:color w:val="auto"/>
          <w:sz w:val="26"/>
          <w:szCs w:val="26"/>
        </w:rPr>
        <w:tab/>
      </w:r>
      <w:r>
        <w:rPr>
          <w:rFonts w:hint="eastAsia"/>
          <w:color w:val="auto"/>
          <w:sz w:val="26"/>
          <w:szCs w:val="26"/>
          <w:lang w:val="en-US" w:eastAsia="zh-CN"/>
        </w:rPr>
        <w:t>9</w:t>
      </w:r>
      <w:r>
        <w:rPr>
          <w:rFonts w:hint="eastAsia"/>
          <w:color w:val="auto"/>
          <w:sz w:val="26"/>
          <w:szCs w:val="26"/>
        </w:rPr>
        <w:fldChar w:fldCharType="end"/>
      </w:r>
    </w:p>
    <w:p>
      <w:pPr>
        <w:pStyle w:val="25"/>
        <w:tabs>
          <w:tab w:val="right" w:leader="dot" w:pos="9638"/>
        </w:tabs>
        <w:spacing w:line="500" w:lineRule="exact"/>
        <w:rPr>
          <w:rFonts w:hint="default"/>
          <w:color w:val="auto"/>
          <w:sz w:val="26"/>
          <w:szCs w:val="26"/>
          <w:lang w:val="en-US"/>
        </w:rPr>
      </w:pPr>
      <w:r>
        <w:rPr>
          <w:color w:val="auto"/>
        </w:rPr>
        <w:fldChar w:fldCharType="begin"/>
      </w:r>
      <w:r>
        <w:rPr>
          <w:color w:val="auto"/>
        </w:rPr>
        <w:instrText xml:space="preserve"> HYPERLINK \l "_Toc13648" </w:instrText>
      </w:r>
      <w:r>
        <w:rPr>
          <w:color w:val="auto"/>
        </w:rPr>
        <w:fldChar w:fldCharType="separate"/>
      </w:r>
      <w:r>
        <w:rPr>
          <w:rFonts w:hint="eastAsia"/>
          <w:color w:val="auto"/>
          <w:sz w:val="26"/>
          <w:szCs w:val="26"/>
        </w:rPr>
        <w:t>八</w:t>
      </w:r>
      <w:r>
        <w:rPr>
          <w:color w:val="auto"/>
          <w:sz w:val="26"/>
          <w:szCs w:val="26"/>
        </w:rPr>
        <w:t>、估价依据</w:t>
      </w:r>
      <w:r>
        <w:rPr>
          <w:color w:val="auto"/>
          <w:sz w:val="26"/>
          <w:szCs w:val="26"/>
        </w:rPr>
        <w:tab/>
      </w:r>
      <w:r>
        <w:rPr>
          <w:color w:val="auto"/>
          <w:sz w:val="26"/>
          <w:szCs w:val="26"/>
        </w:rPr>
        <w:fldChar w:fldCharType="end"/>
      </w:r>
      <w:r>
        <w:rPr>
          <w:rFonts w:hint="eastAsia"/>
          <w:color w:val="auto"/>
          <w:sz w:val="26"/>
          <w:szCs w:val="26"/>
          <w:lang w:val="en-US" w:eastAsia="zh-CN"/>
        </w:rPr>
        <w:t>10</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"_Toc5711" </w:instrText>
      </w:r>
      <w:r>
        <w:rPr>
          <w:color w:val="auto"/>
        </w:rPr>
        <w:fldChar w:fldCharType="separate"/>
      </w:r>
      <w:r>
        <w:rPr>
          <w:rFonts w:hint="eastAsia" w:ascii="仿宋_GB2312" w:hAnsi="仿宋_GB2312" w:cs="仿宋_GB2312"/>
          <w:color w:val="auto"/>
          <w:sz w:val="26"/>
          <w:szCs w:val="26"/>
        </w:rPr>
        <w:t>九、</w:t>
      </w:r>
      <w:r>
        <w:rPr>
          <w:color w:val="auto"/>
          <w:sz w:val="26"/>
          <w:szCs w:val="26"/>
        </w:rPr>
        <w:t>估价方法</w:t>
      </w:r>
      <w:r>
        <w:rPr>
          <w:color w:val="auto"/>
          <w:sz w:val="26"/>
          <w:szCs w:val="26"/>
        </w:rPr>
        <w:tab/>
      </w:r>
      <w:r>
        <w:rPr>
          <w:color w:val="auto"/>
          <w:sz w:val="26"/>
          <w:szCs w:val="26"/>
        </w:rPr>
        <w:fldChar w:fldCharType="end"/>
      </w:r>
      <w:r>
        <w:rPr>
          <w:rFonts w:hint="eastAsia"/>
          <w:color w:val="auto"/>
          <w:sz w:val="26"/>
          <w:szCs w:val="26"/>
        </w:rPr>
        <w:t>1</w:t>
      </w:r>
      <w:r>
        <w:rPr>
          <w:rFonts w:hint="eastAsia"/>
          <w:color w:val="auto"/>
          <w:sz w:val="26"/>
          <w:szCs w:val="26"/>
          <w:lang w:val="en-US" w:eastAsia="zh-CN"/>
        </w:rPr>
        <w:t>1</w:t>
      </w:r>
    </w:p>
    <w:p>
      <w:pPr>
        <w:pStyle w:val="25"/>
        <w:tabs>
          <w:tab w:val="right" w:leader="dot" w:pos="9638"/>
        </w:tabs>
        <w:spacing w:line="500" w:lineRule="exact"/>
        <w:rPr>
          <w:color w:val="auto"/>
          <w:sz w:val="26"/>
          <w:szCs w:val="26"/>
        </w:rPr>
      </w:pPr>
      <w:r>
        <w:rPr>
          <w:color w:val="auto"/>
        </w:rPr>
        <w:fldChar w:fldCharType="begin"/>
      </w:r>
      <w:r>
        <w:rPr>
          <w:color w:val="auto"/>
        </w:rPr>
        <w:instrText xml:space="preserve"> HYPERLINK \l "_Toc30647" </w:instrText>
      </w:r>
      <w:r>
        <w:rPr>
          <w:color w:val="auto"/>
        </w:rPr>
        <w:fldChar w:fldCharType="separate"/>
      </w:r>
      <w:r>
        <w:rPr>
          <w:color w:val="auto"/>
          <w:sz w:val="26"/>
          <w:szCs w:val="26"/>
        </w:rPr>
        <w:t>十、估价结果</w:t>
      </w:r>
      <w:r>
        <w:rPr>
          <w:color w:val="auto"/>
          <w:sz w:val="26"/>
          <w:szCs w:val="26"/>
        </w:rPr>
        <w:tab/>
      </w:r>
      <w:r>
        <w:rPr>
          <w:color w:val="auto"/>
          <w:sz w:val="26"/>
          <w:szCs w:val="26"/>
        </w:rPr>
        <w:fldChar w:fldCharType="end"/>
      </w:r>
      <w:r>
        <w:rPr>
          <w:rFonts w:hint="eastAsia"/>
          <w:color w:val="auto"/>
          <w:sz w:val="26"/>
          <w:szCs w:val="26"/>
        </w:rPr>
        <w:t>1</w:t>
      </w:r>
      <w:r>
        <w:rPr>
          <w:rFonts w:hint="eastAsia"/>
          <w:color w:val="auto"/>
          <w:sz w:val="26"/>
          <w:szCs w:val="26"/>
          <w:lang w:val="en-US" w:eastAsia="zh-CN"/>
        </w:rPr>
        <w:t>2</w:t>
      </w:r>
    </w:p>
    <w:p>
      <w:pPr>
        <w:pStyle w:val="25"/>
        <w:tabs>
          <w:tab w:val="right" w:leader="dot" w:pos="9638"/>
        </w:tabs>
        <w:spacing w:line="500" w:lineRule="exact"/>
        <w:rPr>
          <w:rFonts w:hint="default" w:eastAsia="仿宋_GB2312"/>
          <w:color w:val="auto"/>
          <w:sz w:val="26"/>
          <w:szCs w:val="26"/>
          <w:lang w:val="en-US" w:eastAsia="zh-CN"/>
        </w:rPr>
      </w:pPr>
      <w:r>
        <w:rPr>
          <w:color w:val="auto"/>
        </w:rPr>
        <w:fldChar w:fldCharType="begin"/>
      </w:r>
      <w:r>
        <w:rPr>
          <w:color w:val="auto"/>
        </w:rPr>
        <w:instrText xml:space="preserve"> HYPERLINK \l "_Toc14084" </w:instrText>
      </w:r>
      <w:r>
        <w:rPr>
          <w:color w:val="auto"/>
        </w:rPr>
        <w:fldChar w:fldCharType="separate"/>
      </w:r>
      <w:r>
        <w:rPr>
          <w:rFonts w:hint="eastAsia"/>
          <w:bCs/>
          <w:color w:val="auto"/>
          <w:sz w:val="26"/>
          <w:szCs w:val="26"/>
        </w:rPr>
        <w:t>十一、注册房地产估价师</w:t>
      </w:r>
      <w:r>
        <w:rPr>
          <w:color w:val="auto"/>
          <w:sz w:val="26"/>
          <w:szCs w:val="26"/>
        </w:rPr>
        <w:tab/>
      </w:r>
      <w:r>
        <w:rPr>
          <w:color w:val="auto"/>
          <w:sz w:val="26"/>
          <w:szCs w:val="26"/>
        </w:rPr>
        <w:fldChar w:fldCharType="end"/>
      </w:r>
      <w:r>
        <w:rPr>
          <w:rFonts w:hint="eastAsia"/>
          <w:color w:val="auto"/>
          <w:sz w:val="26"/>
          <w:szCs w:val="26"/>
          <w:lang w:val="en-US" w:eastAsia="zh-CN"/>
        </w:rPr>
        <w:t>12</w:t>
      </w:r>
    </w:p>
    <w:p>
      <w:pPr>
        <w:pStyle w:val="25"/>
        <w:tabs>
          <w:tab w:val="right" w:leader="dot" w:pos="9638"/>
        </w:tabs>
        <w:spacing w:line="500" w:lineRule="exact"/>
        <w:rPr>
          <w:rFonts w:hint="default" w:eastAsia="仿宋_GB2312"/>
          <w:color w:val="auto"/>
          <w:sz w:val="26"/>
          <w:szCs w:val="26"/>
          <w:lang w:val="en-US" w:eastAsia="zh-CN"/>
        </w:rPr>
      </w:pPr>
      <w:r>
        <w:rPr>
          <w:color w:val="auto"/>
        </w:rPr>
        <w:fldChar w:fldCharType="begin"/>
      </w:r>
      <w:r>
        <w:rPr>
          <w:color w:val="auto"/>
        </w:rPr>
        <w:instrText xml:space="preserve"> HYPERLINK \l "_Toc22524" </w:instrText>
      </w:r>
      <w:r>
        <w:rPr>
          <w:color w:val="auto"/>
        </w:rPr>
        <w:fldChar w:fldCharType="separate"/>
      </w:r>
      <w:r>
        <w:rPr>
          <w:rFonts w:hint="eastAsia" w:ascii="仿宋_GB2312" w:hAnsi="宋体"/>
          <w:color w:val="auto"/>
          <w:sz w:val="26"/>
          <w:szCs w:val="26"/>
        </w:rPr>
        <w:t>十二、实地查勘期</w:t>
      </w:r>
      <w:r>
        <w:rPr>
          <w:color w:val="auto"/>
          <w:sz w:val="26"/>
          <w:szCs w:val="26"/>
        </w:rPr>
        <w:tab/>
      </w:r>
      <w:r>
        <w:rPr>
          <w:color w:val="auto"/>
          <w:sz w:val="26"/>
          <w:szCs w:val="26"/>
        </w:rPr>
        <w:fldChar w:fldCharType="end"/>
      </w:r>
      <w:r>
        <w:rPr>
          <w:rFonts w:hint="eastAsia"/>
          <w:color w:val="auto"/>
          <w:sz w:val="26"/>
          <w:szCs w:val="26"/>
          <w:lang w:val="en-US" w:eastAsia="zh-CN"/>
        </w:rPr>
        <w:t>12</w:t>
      </w:r>
    </w:p>
    <w:p>
      <w:pPr>
        <w:pStyle w:val="25"/>
        <w:tabs>
          <w:tab w:val="right" w:leader="dot" w:pos="9638"/>
        </w:tabs>
        <w:spacing w:line="500" w:lineRule="exact"/>
        <w:rPr>
          <w:rFonts w:hint="default" w:eastAsia="仿宋_GB2312"/>
          <w:color w:val="auto"/>
          <w:sz w:val="26"/>
          <w:szCs w:val="26"/>
          <w:lang w:val="en-US" w:eastAsia="zh-CN"/>
        </w:rPr>
      </w:pPr>
      <w:r>
        <w:rPr>
          <w:color w:val="auto"/>
        </w:rPr>
        <w:fldChar w:fldCharType="begin"/>
      </w:r>
      <w:r>
        <w:rPr>
          <w:color w:val="auto"/>
        </w:rPr>
        <w:instrText xml:space="preserve"> HYPERLINK \l "_Toc24345" </w:instrText>
      </w:r>
      <w:r>
        <w:rPr>
          <w:color w:val="auto"/>
        </w:rPr>
        <w:fldChar w:fldCharType="separate"/>
      </w:r>
      <w:r>
        <w:rPr>
          <w:rFonts w:hint="eastAsia" w:ascii="仿宋_GB2312" w:hAnsi="宋体"/>
          <w:color w:val="auto"/>
          <w:sz w:val="26"/>
          <w:szCs w:val="26"/>
        </w:rPr>
        <w:t>十三、估价作业期</w:t>
      </w:r>
      <w:r>
        <w:rPr>
          <w:color w:val="auto"/>
          <w:sz w:val="26"/>
          <w:szCs w:val="26"/>
        </w:rPr>
        <w:tab/>
      </w:r>
      <w:r>
        <w:rPr>
          <w:color w:val="auto"/>
          <w:sz w:val="26"/>
          <w:szCs w:val="26"/>
        </w:rPr>
        <w:fldChar w:fldCharType="end"/>
      </w:r>
      <w:r>
        <w:rPr>
          <w:rFonts w:hint="eastAsia"/>
          <w:color w:val="auto"/>
          <w:sz w:val="26"/>
          <w:szCs w:val="26"/>
          <w:lang w:val="en-US" w:eastAsia="zh-CN"/>
        </w:rPr>
        <w:t>12</w:t>
      </w:r>
    </w:p>
    <w:p>
      <w:pPr>
        <w:pStyle w:val="20"/>
        <w:tabs>
          <w:tab w:val="right" w:leader="dot" w:pos="9638"/>
        </w:tabs>
        <w:spacing w:line="500" w:lineRule="exact"/>
        <w:ind w:firstLine="0"/>
        <w:rPr>
          <w:color w:val="auto"/>
          <w:sz w:val="26"/>
          <w:szCs w:val="26"/>
          <w:lang w:val="en-US"/>
        </w:rPr>
      </w:pPr>
      <w:r>
        <w:rPr>
          <w:color w:val="auto"/>
        </w:rPr>
        <w:fldChar w:fldCharType="begin"/>
      </w:r>
      <w:r>
        <w:rPr>
          <w:color w:val="auto"/>
        </w:rPr>
        <w:instrText xml:space="preserve"> HYPERLINK \l "_Toc25824" </w:instrText>
      </w:r>
      <w:r>
        <w:rPr>
          <w:color w:val="auto"/>
        </w:rPr>
        <w:fldChar w:fldCharType="separate"/>
      </w:r>
      <w:r>
        <w:rPr>
          <w:rFonts w:hint="eastAsia" w:ascii="仿宋_GB2312" w:hAnsi="仿宋_GB2312" w:eastAsia="仿宋_GB2312"/>
          <w:color w:val="auto"/>
          <w:sz w:val="26"/>
          <w:szCs w:val="26"/>
        </w:rPr>
        <w:t>第五部分：附件</w:t>
      </w:r>
      <w:r>
        <w:rPr>
          <w:color w:val="auto"/>
          <w:sz w:val="26"/>
          <w:szCs w:val="26"/>
        </w:rPr>
        <w:tab/>
      </w:r>
      <w:r>
        <w:rPr>
          <w:color w:val="auto"/>
          <w:sz w:val="26"/>
          <w:szCs w:val="26"/>
        </w:rPr>
        <w:fldChar w:fldCharType="end"/>
      </w:r>
      <w:r>
        <w:rPr>
          <w:rFonts w:hint="eastAsia" w:eastAsia="仿宋_GB2312"/>
          <w:color w:val="auto"/>
          <w:sz w:val="26"/>
          <w:szCs w:val="26"/>
        </w:rPr>
        <w:t>.1</w:t>
      </w:r>
      <w:r>
        <w:rPr>
          <w:rFonts w:hint="eastAsia" w:eastAsia="仿宋_GB2312"/>
          <w:color w:val="auto"/>
          <w:sz w:val="26"/>
          <w:szCs w:val="26"/>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20" w:firstLineChars="200"/>
        <w:jc w:val="both"/>
        <w:textAlignment w:val="auto"/>
        <w:outlineLvl w:val="9"/>
        <w:rPr>
          <w:rStyle w:val="38"/>
          <w:bCs/>
          <w:color w:val="auto"/>
          <w:u w:val="none"/>
        </w:rPr>
      </w:pPr>
      <w:r>
        <w:rPr>
          <w:rFonts w:hint="eastAsia" w:eastAsia="仿宋_GB2312"/>
          <w:color w:val="auto"/>
          <w:sz w:val="26"/>
          <w:szCs w:val="26"/>
        </w:rPr>
        <w:fldChar w:fldCharType="end"/>
      </w: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pStyle w:val="3"/>
        <w:spacing w:before="0" w:after="0" w:line="720" w:lineRule="auto"/>
        <w:rPr>
          <w:rFonts w:ascii="Times New Roman" w:hAnsi="Times New Roman" w:eastAsia="仿宋_GB2312"/>
          <w:bCs/>
          <w:color w:val="auto"/>
        </w:rPr>
      </w:pPr>
      <w:r>
        <w:rPr>
          <w:rFonts w:hint="eastAsia" w:ascii="Times New Roman" w:hAnsi="Times New Roman" w:eastAsia="仿宋_GB2312"/>
          <w:bCs/>
          <w:color w:val="auto"/>
        </w:rPr>
        <w:t>第</w:t>
      </w:r>
      <w:r>
        <w:rPr>
          <w:rFonts w:hint="eastAsia" w:ascii="Times New Roman" w:hAnsi="Times New Roman" w:eastAsia="仿宋_GB2312"/>
          <w:bCs/>
          <w:color w:val="auto"/>
          <w:lang w:eastAsia="zh-CN"/>
        </w:rPr>
        <w:t>二</w:t>
      </w:r>
      <w:r>
        <w:rPr>
          <w:rFonts w:hint="eastAsia" w:ascii="Times New Roman" w:hAnsi="Times New Roman" w:eastAsia="仿宋_GB2312"/>
          <w:bCs/>
          <w:color w:val="auto"/>
        </w:rPr>
        <w:t>部分</w:t>
      </w:r>
      <w:r>
        <w:rPr>
          <w:rFonts w:hint="eastAsia" w:ascii="Times New Roman" w:hAnsi="Times New Roman" w:eastAsia="仿宋_GB2312"/>
          <w:bCs/>
          <w:color w:val="auto"/>
          <w:lang w:eastAsia="zh-CN"/>
        </w:rPr>
        <w:t>：</w:t>
      </w:r>
      <w:r>
        <w:rPr>
          <w:rFonts w:ascii="Times New Roman" w:hAnsi="Times New Roman" w:eastAsia="仿宋_GB2312"/>
          <w:bCs/>
          <w:color w:val="auto"/>
        </w:rPr>
        <w:t>估价师声明</w:t>
      </w:r>
      <w:bookmarkEnd w:id="5"/>
      <w:bookmarkEnd w:id="6"/>
      <w:bookmarkEnd w:id="7"/>
    </w:p>
    <w:p>
      <w:pPr>
        <w:snapToGrid w:val="0"/>
        <w:spacing w:line="480" w:lineRule="exact"/>
        <w:rPr>
          <w:rFonts w:hint="eastAsia" w:ascii="仿宋_GB2312" w:hAnsi="仿宋_GB2312" w:eastAsia="仿宋_GB2312" w:cs="仿宋_GB2312"/>
          <w:color w:val="auto"/>
          <w:sz w:val="26"/>
          <w:szCs w:val="26"/>
        </w:rPr>
      </w:pPr>
    </w:p>
    <w:p>
      <w:pPr>
        <w:snapToGrid w:val="0"/>
        <w:spacing w:line="480" w:lineRule="exact"/>
        <w:rPr>
          <w:rFonts w:hint="eastAsia" w:ascii="仿宋_GB2312" w:hAnsi="仿宋_GB2312" w:eastAsia="仿宋_GB2312" w:cs="仿宋_GB2312"/>
          <w:color w:val="auto"/>
          <w:sz w:val="26"/>
          <w:szCs w:val="26"/>
        </w:rPr>
      </w:pPr>
      <w:r>
        <w:rPr>
          <w:rFonts w:hint="eastAsia" w:ascii="仿宋_GB2312" w:hAnsi="仿宋_GB2312" w:eastAsia="仿宋_GB2312" w:cs="仿宋_GB2312"/>
          <w:color w:val="auto"/>
          <w:sz w:val="26"/>
          <w:szCs w:val="26"/>
        </w:rPr>
        <w:t>我们根据自己的专业知识和职业道德，在此郑重声明：</w:t>
      </w:r>
    </w:p>
    <w:p>
      <w:pPr>
        <w:snapToGrid w:val="0"/>
        <w:spacing w:line="480" w:lineRule="exact"/>
        <w:ind w:firstLine="520" w:firstLineChars="200"/>
        <w:rPr>
          <w:rFonts w:eastAsia="仿宋_GB2312"/>
          <w:color w:val="auto"/>
          <w:sz w:val="26"/>
          <w:szCs w:val="26"/>
        </w:rPr>
      </w:pPr>
      <w:r>
        <w:rPr>
          <w:rFonts w:eastAsia="仿宋_GB2312"/>
          <w:color w:val="auto"/>
          <w:sz w:val="26"/>
          <w:szCs w:val="26"/>
        </w:rPr>
        <w:t>1、</w:t>
      </w:r>
      <w:r>
        <w:rPr>
          <w:rFonts w:hint="eastAsia" w:eastAsia="仿宋_GB2312"/>
          <w:color w:val="auto"/>
          <w:sz w:val="26"/>
          <w:szCs w:val="26"/>
        </w:rPr>
        <w:t>我们在估价报告中对事实的说明是真实和准确的，没有虚假记载、误导性陈诉和重大遗漏</w:t>
      </w:r>
      <w:r>
        <w:rPr>
          <w:rFonts w:eastAsia="仿宋_GB2312"/>
          <w:color w:val="auto"/>
          <w:sz w:val="26"/>
          <w:szCs w:val="26"/>
        </w:rPr>
        <w:t>。</w:t>
      </w:r>
    </w:p>
    <w:p>
      <w:pPr>
        <w:snapToGrid w:val="0"/>
        <w:spacing w:line="480" w:lineRule="exact"/>
        <w:ind w:firstLine="520" w:firstLineChars="200"/>
        <w:rPr>
          <w:rFonts w:eastAsia="仿宋_GB2312"/>
          <w:color w:val="auto"/>
          <w:sz w:val="26"/>
          <w:szCs w:val="26"/>
        </w:rPr>
      </w:pPr>
      <w:r>
        <w:rPr>
          <w:rFonts w:eastAsia="仿宋_GB2312"/>
          <w:color w:val="auto"/>
          <w:sz w:val="26"/>
          <w:szCs w:val="26"/>
        </w:rPr>
        <w:t>2、本估价报告中的分析、意见和结论是</w:t>
      </w:r>
      <w:r>
        <w:rPr>
          <w:rFonts w:hint="eastAsia" w:eastAsia="仿宋_GB2312"/>
          <w:color w:val="auto"/>
          <w:sz w:val="26"/>
          <w:szCs w:val="26"/>
        </w:rPr>
        <w:t>房地产估价师独立、客观、公正的专业分析、意见和结论，但受到估价报告中已经说明的估价假设和限制条件的限制</w:t>
      </w:r>
      <w:r>
        <w:rPr>
          <w:rFonts w:eastAsia="仿宋_GB2312"/>
          <w:color w:val="auto"/>
          <w:sz w:val="26"/>
          <w:szCs w:val="26"/>
        </w:rPr>
        <w:t>。</w:t>
      </w:r>
    </w:p>
    <w:p>
      <w:pPr>
        <w:snapToGrid w:val="0"/>
        <w:spacing w:line="480" w:lineRule="exact"/>
        <w:ind w:firstLine="520" w:firstLineChars="200"/>
        <w:rPr>
          <w:rFonts w:eastAsia="仿宋_GB2312"/>
          <w:color w:val="auto"/>
          <w:sz w:val="26"/>
          <w:szCs w:val="26"/>
        </w:rPr>
      </w:pPr>
      <w:r>
        <w:rPr>
          <w:rFonts w:eastAsia="仿宋_GB2312"/>
          <w:color w:val="auto"/>
          <w:sz w:val="26"/>
          <w:szCs w:val="26"/>
        </w:rPr>
        <w:t>3、</w:t>
      </w:r>
      <w:r>
        <w:rPr>
          <w:rFonts w:hint="eastAsia" w:eastAsia="仿宋_GB2312"/>
          <w:color w:val="auto"/>
          <w:sz w:val="26"/>
          <w:szCs w:val="26"/>
        </w:rPr>
        <w:t>我们与估价报告中的估价对象没有现实或潜在的利益，与估价委托人及估价利害关系人没有利害关系</w:t>
      </w:r>
      <w:r>
        <w:rPr>
          <w:rFonts w:eastAsia="仿宋_GB2312"/>
          <w:color w:val="auto"/>
          <w:sz w:val="26"/>
          <w:szCs w:val="26"/>
        </w:rPr>
        <w:t>。</w:t>
      </w:r>
    </w:p>
    <w:p>
      <w:pPr>
        <w:snapToGrid w:val="0"/>
        <w:spacing w:line="480" w:lineRule="exact"/>
        <w:ind w:firstLine="520" w:firstLineChars="200"/>
        <w:rPr>
          <w:rFonts w:eastAsia="仿宋_GB2312"/>
          <w:color w:val="auto"/>
          <w:sz w:val="26"/>
          <w:szCs w:val="26"/>
        </w:rPr>
      </w:pPr>
      <w:r>
        <w:rPr>
          <w:rFonts w:eastAsia="仿宋_GB2312"/>
          <w:color w:val="auto"/>
          <w:sz w:val="26"/>
          <w:szCs w:val="26"/>
        </w:rPr>
        <w:t>4、</w:t>
      </w:r>
      <w:r>
        <w:rPr>
          <w:rFonts w:hint="eastAsia" w:eastAsia="仿宋_GB2312"/>
          <w:color w:val="auto"/>
          <w:sz w:val="26"/>
          <w:szCs w:val="26"/>
        </w:rPr>
        <w:t>我们对估价报告中的估价对象、估价委托人及估价利害关系人没有偏见</w:t>
      </w:r>
      <w:r>
        <w:rPr>
          <w:rFonts w:eastAsia="仿宋_GB2312"/>
          <w:color w:val="auto"/>
          <w:sz w:val="26"/>
          <w:szCs w:val="26"/>
        </w:rPr>
        <w:t>。</w:t>
      </w:r>
    </w:p>
    <w:p>
      <w:pPr>
        <w:snapToGrid w:val="0"/>
        <w:spacing w:line="480" w:lineRule="exact"/>
        <w:ind w:firstLine="520" w:firstLineChars="200"/>
        <w:rPr>
          <w:rFonts w:eastAsia="仿宋_GB2312"/>
          <w:color w:val="auto"/>
          <w:sz w:val="26"/>
          <w:szCs w:val="26"/>
        </w:rPr>
      </w:pPr>
      <w:r>
        <w:rPr>
          <w:rFonts w:eastAsia="仿宋_GB2312"/>
          <w:color w:val="auto"/>
          <w:sz w:val="26"/>
          <w:szCs w:val="26"/>
        </w:rPr>
        <w:t>5、</w:t>
      </w:r>
      <w:r>
        <w:rPr>
          <w:rFonts w:hint="eastAsia" w:eastAsia="仿宋_GB2312"/>
          <w:color w:val="auto"/>
          <w:sz w:val="26"/>
          <w:szCs w:val="26"/>
        </w:rPr>
        <w:t>我们是依照中华人民共和国国家标准《房地产估价规范》（GB/T 50291-2015）、《房地产估价基本术语标准》（GB/T 50899-2013）以及相关房地产估价专项标准进行分析，形成意见和结论，撰写估价报告。</w:t>
      </w:r>
    </w:p>
    <w:p>
      <w:pPr>
        <w:snapToGrid w:val="0"/>
        <w:spacing w:line="480" w:lineRule="exact"/>
        <w:ind w:firstLine="520" w:firstLineChars="200"/>
        <w:rPr>
          <w:rFonts w:hint="eastAsia" w:eastAsia="仿宋_GB2312"/>
          <w:color w:val="auto"/>
          <w:sz w:val="26"/>
          <w:szCs w:val="26"/>
        </w:rPr>
      </w:pPr>
      <w:r>
        <w:rPr>
          <w:rFonts w:hint="eastAsia" w:eastAsia="仿宋_GB2312"/>
          <w:color w:val="auto"/>
          <w:sz w:val="26"/>
          <w:szCs w:val="26"/>
        </w:rPr>
        <w:t>6、</w:t>
      </w:r>
      <w:r>
        <w:rPr>
          <w:rFonts w:hint="eastAsia"/>
          <w:color w:val="auto"/>
          <w:sz w:val="26"/>
          <w:szCs w:val="26"/>
        </w:rPr>
        <w:t>我们的房地产估价人员已于价值时点</w:t>
      </w:r>
      <w:r>
        <w:rPr>
          <w:rFonts w:hint="eastAsia" w:eastAsia="仿宋_GB2312"/>
          <w:color w:val="auto"/>
          <w:sz w:val="26"/>
          <w:szCs w:val="26"/>
          <w:lang w:val="en-US" w:eastAsia="zh-CN"/>
        </w:rPr>
        <w:t>（</w:t>
      </w:r>
      <w:r>
        <w:rPr>
          <w:rFonts w:hint="eastAsia"/>
          <w:color w:val="auto"/>
          <w:sz w:val="26"/>
          <w:szCs w:val="26"/>
          <w:lang w:val="en-US" w:eastAsia="zh-CN"/>
        </w:rPr>
        <w:t>2019年12月16日</w:t>
      </w:r>
      <w:r>
        <w:rPr>
          <w:rFonts w:hint="eastAsia" w:eastAsia="仿宋_GB2312"/>
          <w:color w:val="auto"/>
          <w:sz w:val="26"/>
          <w:szCs w:val="26"/>
          <w:lang w:val="en-US" w:eastAsia="zh-CN"/>
        </w:rPr>
        <w:t>）</w:t>
      </w:r>
      <w:r>
        <w:rPr>
          <w:rFonts w:hint="eastAsia" w:eastAsia="仿宋_GB2312"/>
          <w:color w:val="auto"/>
          <w:sz w:val="26"/>
          <w:szCs w:val="26"/>
        </w:rPr>
        <w:t>对本估价报告中的估价对象的建筑结构、室内外状况进行了实地查看并进行记录</w:t>
      </w:r>
      <w:r>
        <w:rPr>
          <w:rFonts w:hint="eastAsia" w:eastAsia="仿宋_GB2312"/>
          <w:color w:val="auto"/>
          <w:sz w:val="26"/>
          <w:szCs w:val="26"/>
          <w:lang w:eastAsia="zh-CN"/>
        </w:rPr>
        <w:t>，</w:t>
      </w:r>
      <w:r>
        <w:rPr>
          <w:rFonts w:hint="eastAsia" w:eastAsia="仿宋_GB2312"/>
          <w:color w:val="auto"/>
          <w:sz w:val="26"/>
          <w:szCs w:val="26"/>
        </w:rPr>
        <w:t>但仅限于其外观和使用状况，对被遮盖、未暴露及难以接触到的部分，依据估价委托人提供的资料进行估价。除非另有协议，我们不承担对估价对象建筑结构质量进行调查的责任。</w:t>
      </w:r>
    </w:p>
    <w:p>
      <w:pPr>
        <w:snapToGrid w:val="0"/>
        <w:spacing w:line="480" w:lineRule="exact"/>
        <w:ind w:firstLine="520" w:firstLineChars="200"/>
        <w:rPr>
          <w:rFonts w:eastAsia="仿宋_GB2312"/>
          <w:color w:val="auto"/>
          <w:sz w:val="26"/>
          <w:szCs w:val="26"/>
        </w:rPr>
      </w:pPr>
      <w:r>
        <w:rPr>
          <w:rFonts w:hint="eastAsia" w:eastAsia="仿宋_GB2312"/>
          <w:color w:val="auto"/>
          <w:sz w:val="26"/>
          <w:szCs w:val="26"/>
        </w:rPr>
        <w:t>7</w:t>
      </w:r>
      <w:r>
        <w:rPr>
          <w:rFonts w:eastAsia="仿宋_GB2312"/>
          <w:color w:val="auto"/>
          <w:sz w:val="26"/>
          <w:szCs w:val="26"/>
        </w:rPr>
        <w:t>、没有人对本估价报告提供重要专业帮助。</w:t>
      </w:r>
    </w:p>
    <w:p>
      <w:pPr>
        <w:pStyle w:val="3"/>
        <w:spacing w:before="0" w:after="0" w:line="720" w:lineRule="auto"/>
        <w:rPr>
          <w:rFonts w:ascii="Times New Roman" w:hAnsi="Times New Roman" w:eastAsia="仿宋_GB2312"/>
          <w:bCs/>
          <w:color w:val="auto"/>
        </w:rPr>
      </w:pPr>
      <w:r>
        <w:rPr>
          <w:rFonts w:ascii="Times New Roman" w:hAnsi="Times New Roman" w:eastAsia="仿宋_GB2312"/>
          <w:b w:val="0"/>
          <w:color w:val="auto"/>
        </w:rPr>
        <w:br w:type="page"/>
      </w:r>
      <w:bookmarkStart w:id="8" w:name="_Toc213473259"/>
      <w:bookmarkStart w:id="9" w:name="_Toc454373094"/>
      <w:bookmarkStart w:id="10" w:name="_Toc469641709"/>
      <w:bookmarkStart w:id="11" w:name="_Toc119160797"/>
      <w:r>
        <w:rPr>
          <w:rFonts w:hint="eastAsia" w:ascii="Times New Roman" w:hAnsi="Times New Roman" w:eastAsia="仿宋_GB2312"/>
          <w:bCs/>
          <w:color w:val="auto"/>
        </w:rPr>
        <w:t>第</w:t>
      </w:r>
      <w:r>
        <w:rPr>
          <w:rFonts w:hint="eastAsia" w:ascii="Times New Roman" w:hAnsi="Times New Roman" w:eastAsia="仿宋_GB2312"/>
          <w:bCs/>
          <w:color w:val="auto"/>
          <w:lang w:eastAsia="zh-CN"/>
        </w:rPr>
        <w:t>三</w:t>
      </w:r>
      <w:r>
        <w:rPr>
          <w:rFonts w:hint="eastAsia" w:ascii="Times New Roman" w:hAnsi="Times New Roman" w:eastAsia="仿宋_GB2312"/>
          <w:bCs/>
          <w:color w:val="auto"/>
        </w:rPr>
        <w:t>部分</w:t>
      </w:r>
      <w:r>
        <w:rPr>
          <w:rFonts w:hint="eastAsia" w:ascii="Times New Roman" w:hAnsi="Times New Roman" w:eastAsia="仿宋_GB2312"/>
          <w:bCs/>
          <w:color w:val="auto"/>
          <w:lang w:eastAsia="zh-CN"/>
        </w:rPr>
        <w:t>：</w:t>
      </w:r>
      <w:r>
        <w:rPr>
          <w:rFonts w:ascii="Times New Roman" w:hAnsi="Times New Roman" w:eastAsia="仿宋_GB2312"/>
          <w:bCs/>
          <w:color w:val="auto"/>
        </w:rPr>
        <w:t>估价假设和限制条件</w:t>
      </w:r>
      <w:bookmarkEnd w:id="8"/>
      <w:bookmarkEnd w:id="9"/>
      <w:bookmarkEnd w:id="10"/>
      <w:bookmarkEnd w:id="11"/>
      <w:bookmarkStart w:id="12" w:name="_Toc469641710"/>
    </w:p>
    <w:p>
      <w:pPr>
        <w:numPr>
          <w:ilvl w:val="0"/>
          <w:numId w:val="2"/>
        </w:numPr>
        <w:spacing w:beforeLines="50" w:line="480" w:lineRule="exact"/>
        <w:rPr>
          <w:b/>
          <w:color w:val="auto"/>
          <w:sz w:val="26"/>
          <w:szCs w:val="26"/>
        </w:rPr>
      </w:pPr>
      <w:bookmarkStart w:id="13" w:name="_Toc454373095"/>
      <w:bookmarkStart w:id="14" w:name="_Toc119160798"/>
      <w:bookmarkStart w:id="15" w:name="_Toc213473260"/>
      <w:r>
        <w:rPr>
          <w:rFonts w:hint="eastAsia"/>
          <w:b/>
          <w:color w:val="auto"/>
          <w:sz w:val="26"/>
          <w:szCs w:val="26"/>
        </w:rPr>
        <w:t>本次估价的一般假设</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20" w:firstLineChars="200"/>
        <w:jc w:val="both"/>
        <w:textAlignment w:val="auto"/>
        <w:outlineLvl w:val="9"/>
        <w:rPr>
          <w:rFonts w:hint="eastAsia" w:eastAsia="仿宋_GB2312"/>
          <w:bCs/>
          <w:color w:val="auto"/>
          <w:sz w:val="26"/>
          <w:szCs w:val="26"/>
        </w:rPr>
      </w:pPr>
      <w:r>
        <w:rPr>
          <w:rFonts w:hint="eastAsia" w:eastAsia="仿宋_GB2312"/>
          <w:bCs/>
          <w:color w:val="auto"/>
          <w:sz w:val="26"/>
          <w:szCs w:val="26"/>
        </w:rPr>
        <w:t>1、估价对象房地产产权明晰，手续齐全，可在公开市场上自由转让。</w:t>
      </w:r>
    </w:p>
    <w:p>
      <w:pPr>
        <w:spacing w:line="480" w:lineRule="exact"/>
        <w:ind w:firstLine="520" w:firstLineChars="200"/>
        <w:rPr>
          <w:rFonts w:eastAsia="仿宋_GB2312"/>
          <w:bCs/>
          <w:color w:val="auto"/>
          <w:sz w:val="26"/>
          <w:szCs w:val="26"/>
        </w:rPr>
      </w:pPr>
      <w:r>
        <w:rPr>
          <w:rFonts w:hint="eastAsia" w:eastAsia="仿宋_GB2312"/>
          <w:bCs/>
          <w:color w:val="auto"/>
          <w:sz w:val="26"/>
          <w:szCs w:val="26"/>
        </w:rPr>
        <w:t>2、本次评估的房产建筑面积以委托人提供的《</w:t>
      </w:r>
      <w:r>
        <w:rPr>
          <w:rFonts w:hint="eastAsia" w:eastAsia="仿宋_GB2312"/>
          <w:bCs/>
          <w:color w:val="auto"/>
          <w:sz w:val="26"/>
          <w:szCs w:val="26"/>
          <w:lang w:eastAsia="zh-CN"/>
        </w:rPr>
        <w:t>房屋所有权证</w:t>
      </w:r>
      <w:r>
        <w:rPr>
          <w:rFonts w:hint="eastAsia" w:eastAsia="仿宋_GB2312"/>
          <w:bCs/>
          <w:color w:val="auto"/>
          <w:sz w:val="26"/>
          <w:szCs w:val="26"/>
        </w:rPr>
        <w:t>》所载面积为依据，土地使用权面积以委托人提供的《</w:t>
      </w:r>
      <w:r>
        <w:rPr>
          <w:rFonts w:hint="eastAsia" w:eastAsia="仿宋_GB2312"/>
          <w:bCs/>
          <w:color w:val="auto"/>
          <w:sz w:val="26"/>
          <w:szCs w:val="26"/>
          <w:lang w:eastAsia="zh-CN"/>
        </w:rPr>
        <w:t>国有土地使用证</w:t>
      </w:r>
      <w:r>
        <w:rPr>
          <w:rFonts w:hint="eastAsia" w:eastAsia="仿宋_GB2312"/>
          <w:bCs/>
          <w:color w:val="auto"/>
          <w:sz w:val="26"/>
          <w:szCs w:val="26"/>
        </w:rPr>
        <w:t>》所载面积为依据</w:t>
      </w:r>
      <w:r>
        <w:rPr>
          <w:rFonts w:hint="eastAsia" w:eastAsia="仿宋_GB2312"/>
          <w:bCs/>
          <w:color w:val="auto"/>
          <w:sz w:val="26"/>
          <w:szCs w:val="26"/>
          <w:lang w:eastAsia="zh-CN"/>
        </w:rPr>
        <w:t>，</w:t>
      </w:r>
      <w:r>
        <w:rPr>
          <w:rFonts w:hint="eastAsia" w:eastAsia="仿宋_GB2312"/>
          <w:bCs/>
          <w:color w:val="auto"/>
          <w:sz w:val="26"/>
          <w:szCs w:val="26"/>
        </w:rPr>
        <w:t>且两证来源合法</w:t>
      </w:r>
      <w:r>
        <w:rPr>
          <w:rFonts w:hint="eastAsia" w:eastAsia="仿宋_GB2312"/>
          <w:bCs/>
          <w:color w:val="auto"/>
          <w:sz w:val="26"/>
          <w:szCs w:val="26"/>
          <w:lang w:eastAsia="zh-CN"/>
        </w:rPr>
        <w:t>；</w:t>
      </w:r>
      <w:r>
        <w:rPr>
          <w:rFonts w:hint="eastAsia" w:eastAsia="仿宋_GB2312"/>
          <w:color w:val="auto"/>
          <w:sz w:val="26"/>
          <w:szCs w:val="26"/>
        </w:rPr>
        <w:t>我们对上述资料中记载的权属、面积、用途等资料进行了审慎检查，但未予以核实，在无理由怀疑其合法性、真实性、准确性和完整性的情况下，假定估价委托人提供的资料合法、真实、准确、完整。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20" w:firstLineChars="200"/>
        <w:jc w:val="both"/>
        <w:textAlignment w:val="auto"/>
        <w:outlineLvl w:val="9"/>
        <w:rPr>
          <w:rFonts w:hint="eastAsia" w:eastAsia="仿宋_GB2312"/>
          <w:bCs/>
          <w:color w:val="auto"/>
          <w:sz w:val="26"/>
          <w:szCs w:val="26"/>
        </w:rPr>
      </w:pPr>
      <w:r>
        <w:rPr>
          <w:rFonts w:hint="eastAsia" w:eastAsia="仿宋_GB2312"/>
          <w:bCs/>
          <w:color w:val="auto"/>
          <w:sz w:val="26"/>
          <w:szCs w:val="26"/>
        </w:rPr>
        <w:t>3、房地产市场供应关系、市场结构保持稳定、未发生重大变化或实质性改变。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20" w:firstLineChars="200"/>
        <w:jc w:val="both"/>
        <w:textAlignment w:val="auto"/>
        <w:outlineLvl w:val="9"/>
        <w:rPr>
          <w:rFonts w:hint="eastAsia" w:eastAsia="仿宋_GB2312"/>
          <w:bCs/>
          <w:color w:val="auto"/>
          <w:sz w:val="26"/>
          <w:szCs w:val="26"/>
        </w:rPr>
      </w:pPr>
      <w:r>
        <w:rPr>
          <w:rFonts w:hint="eastAsia" w:eastAsia="仿宋_GB2312"/>
          <w:bCs/>
          <w:color w:val="auto"/>
          <w:sz w:val="26"/>
          <w:szCs w:val="26"/>
        </w:rPr>
        <w:t>4、本次估价未对估价对象做建筑物基础和结构上的测量和实验，本次评估假设其无基础、结构等方面的重大质量问题。</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20" w:firstLineChars="200"/>
        <w:jc w:val="both"/>
        <w:textAlignment w:val="auto"/>
        <w:outlineLvl w:val="9"/>
        <w:rPr>
          <w:rFonts w:hint="eastAsia" w:eastAsia="仿宋_GB2312"/>
          <w:bCs/>
          <w:color w:val="auto"/>
          <w:sz w:val="26"/>
          <w:szCs w:val="26"/>
        </w:rPr>
      </w:pPr>
      <w:r>
        <w:rPr>
          <w:rFonts w:hint="eastAsia" w:eastAsia="仿宋_GB2312"/>
          <w:bCs/>
          <w:color w:val="auto"/>
          <w:sz w:val="26"/>
          <w:szCs w:val="26"/>
        </w:rPr>
        <w:t>5、交易双方都具有完全市场信息，对交易对象具有必要的专业知识，不考虑特殊买家的附加出价。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480" w:lineRule="exact"/>
        <w:ind w:left="103" w:leftChars="43" w:right="0" w:rightChars="0" w:firstLine="306" w:firstLineChars="118"/>
        <w:jc w:val="both"/>
        <w:textAlignment w:val="auto"/>
        <w:outlineLvl w:val="9"/>
        <w:rPr>
          <w:rFonts w:eastAsia="仿宋_GB2312"/>
          <w:color w:val="auto"/>
          <w:sz w:val="26"/>
          <w:szCs w:val="26"/>
        </w:rPr>
      </w:pPr>
      <w:r>
        <w:rPr>
          <w:rFonts w:hint="eastAsia" w:eastAsia="仿宋_GB2312"/>
          <w:color w:val="auto"/>
          <w:sz w:val="26"/>
          <w:szCs w:val="26"/>
        </w:rPr>
        <w:t xml:space="preserve"> 6、根据价值时点原则，假定处在不断变化中的影响价格的各项因素在价值时点静</w:t>
      </w:r>
      <w:r>
        <w:rPr>
          <w:rFonts w:eastAsia="仿宋_GB2312"/>
          <w:color w:val="auto"/>
          <w:sz w:val="26"/>
          <w:szCs w:val="26"/>
        </w:rPr>
        <w:t>止不变。</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20"/>
        <w:jc w:val="both"/>
        <w:textAlignment w:val="auto"/>
        <w:outlineLvl w:val="9"/>
        <w:rPr>
          <w:rFonts w:eastAsia="仿宋_GB2312"/>
          <w:bCs/>
          <w:color w:val="auto"/>
          <w:sz w:val="26"/>
          <w:szCs w:val="26"/>
        </w:rPr>
      </w:pPr>
      <w:r>
        <w:rPr>
          <w:rFonts w:eastAsia="仿宋_GB2312"/>
          <w:bCs/>
          <w:color w:val="auto"/>
          <w:sz w:val="26"/>
          <w:szCs w:val="26"/>
        </w:rPr>
        <w:t>7、本估价报告的估价结果基于估价对象完整的物质实体状况和权益状况</w:t>
      </w:r>
      <w:r>
        <w:rPr>
          <w:rFonts w:hint="eastAsia" w:eastAsia="仿宋_GB2312"/>
          <w:bCs/>
          <w:color w:val="auto"/>
          <w:sz w:val="26"/>
          <w:szCs w:val="26"/>
        </w:rPr>
        <w:t>，也</w:t>
      </w:r>
      <w:r>
        <w:rPr>
          <w:rFonts w:eastAsia="仿宋_GB2312"/>
          <w:bCs/>
          <w:color w:val="auto"/>
          <w:sz w:val="26"/>
          <w:szCs w:val="26"/>
        </w:rPr>
        <w:t>基于估价对象应享有公共部分的通行权</w:t>
      </w:r>
      <w:r>
        <w:rPr>
          <w:rFonts w:hint="eastAsia" w:eastAsia="仿宋_GB2312"/>
          <w:bCs/>
          <w:color w:val="auto"/>
          <w:sz w:val="26"/>
          <w:szCs w:val="26"/>
        </w:rPr>
        <w:t>，</w:t>
      </w:r>
      <w:r>
        <w:rPr>
          <w:rFonts w:eastAsia="仿宋_GB2312"/>
          <w:bCs/>
          <w:color w:val="auto"/>
          <w:sz w:val="26"/>
          <w:szCs w:val="26"/>
        </w:rPr>
        <w:t>水</w:t>
      </w:r>
      <w:r>
        <w:rPr>
          <w:rFonts w:hint="eastAsia" w:eastAsia="仿宋_GB2312"/>
          <w:bCs/>
          <w:color w:val="auto"/>
          <w:sz w:val="26"/>
          <w:szCs w:val="26"/>
        </w:rPr>
        <w:t>、</w:t>
      </w:r>
      <w:r>
        <w:rPr>
          <w:rFonts w:eastAsia="仿宋_GB2312"/>
          <w:bCs/>
          <w:color w:val="auto"/>
          <w:sz w:val="26"/>
          <w:szCs w:val="26"/>
        </w:rPr>
        <w:t>电</w:t>
      </w:r>
      <w:r>
        <w:rPr>
          <w:rFonts w:hint="eastAsia" w:eastAsia="仿宋_GB2312"/>
          <w:bCs/>
          <w:color w:val="auto"/>
          <w:sz w:val="26"/>
          <w:szCs w:val="26"/>
        </w:rPr>
        <w:t>、</w:t>
      </w:r>
      <w:r>
        <w:rPr>
          <w:rFonts w:eastAsia="仿宋_GB2312"/>
          <w:bCs/>
          <w:color w:val="auto"/>
          <w:sz w:val="26"/>
          <w:szCs w:val="26"/>
        </w:rPr>
        <w:t>公共设施的使用权</w:t>
      </w:r>
      <w:r>
        <w:rPr>
          <w:rFonts w:hint="eastAsia" w:eastAsia="仿宋_GB2312"/>
          <w:bCs/>
          <w:color w:val="auto"/>
          <w:sz w:val="26"/>
          <w:szCs w:val="26"/>
        </w:rPr>
        <w:t>等</w:t>
      </w:r>
      <w:r>
        <w:rPr>
          <w:rFonts w:eastAsia="仿宋_GB2312"/>
          <w:bCs/>
          <w:color w:val="auto"/>
          <w:sz w:val="26"/>
          <w:szCs w:val="26"/>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20"/>
        <w:jc w:val="both"/>
        <w:textAlignment w:val="auto"/>
        <w:outlineLvl w:val="9"/>
        <w:rPr>
          <w:rFonts w:hint="eastAsia" w:eastAsia="仿宋_GB2312"/>
          <w:bCs/>
          <w:color w:val="auto"/>
          <w:sz w:val="26"/>
          <w:szCs w:val="26"/>
          <w:lang w:val="en-US" w:eastAsia="zh-CN"/>
        </w:rPr>
      </w:pPr>
      <w:r>
        <w:rPr>
          <w:rFonts w:hint="eastAsia"/>
          <w:bCs/>
          <w:color w:val="auto"/>
          <w:sz w:val="26"/>
          <w:szCs w:val="26"/>
          <w:lang w:val="en-US" w:eastAsia="zh-CN"/>
        </w:rPr>
        <w:t>8、估价对象中的架空层、车库由产权人代表指认，具体以实际交付为准。</w:t>
      </w:r>
    </w:p>
    <w:p>
      <w:pPr>
        <w:spacing w:line="480" w:lineRule="exact"/>
        <w:rPr>
          <w:b/>
          <w:color w:val="auto"/>
          <w:sz w:val="26"/>
          <w:szCs w:val="26"/>
        </w:rPr>
      </w:pPr>
      <w:r>
        <w:rPr>
          <w:rFonts w:hint="eastAsia"/>
          <w:bCs/>
          <w:color w:val="auto"/>
          <w:sz w:val="26"/>
          <w:szCs w:val="26"/>
        </w:rPr>
        <w:t xml:space="preserve"> </w:t>
      </w:r>
      <w:r>
        <w:rPr>
          <w:rFonts w:hint="eastAsia"/>
          <w:b/>
          <w:color w:val="auto"/>
          <w:sz w:val="26"/>
          <w:szCs w:val="26"/>
        </w:rPr>
        <w:t>二、不确定事项假设</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firstLine="570"/>
        <w:jc w:val="both"/>
        <w:textAlignment w:val="auto"/>
        <w:outlineLvl w:val="9"/>
        <w:rPr>
          <w:rFonts w:hint="eastAsia" w:eastAsia="仿宋_GB2312"/>
          <w:color w:val="auto"/>
          <w:sz w:val="26"/>
          <w:szCs w:val="26"/>
        </w:rPr>
      </w:pPr>
      <w:r>
        <w:rPr>
          <w:rFonts w:hint="eastAsia" w:eastAsia="仿宋_GB2312"/>
          <w:color w:val="auto"/>
          <w:sz w:val="26"/>
          <w:szCs w:val="26"/>
        </w:rPr>
        <w:t>1、本估价结果包含了整体房地产价值</w:t>
      </w:r>
      <w:r>
        <w:rPr>
          <w:rFonts w:hint="eastAsia"/>
          <w:color w:val="auto"/>
          <w:sz w:val="26"/>
          <w:szCs w:val="26"/>
          <w:lang w:eastAsia="zh-CN"/>
        </w:rPr>
        <w:t>、</w:t>
      </w:r>
      <w:r>
        <w:rPr>
          <w:rFonts w:hint="eastAsia" w:eastAsia="仿宋_GB2312"/>
          <w:color w:val="auto"/>
          <w:sz w:val="26"/>
          <w:szCs w:val="26"/>
        </w:rPr>
        <w:t>室内固定</w:t>
      </w:r>
      <w:r>
        <w:rPr>
          <w:rFonts w:hint="eastAsia" w:eastAsia="仿宋_GB2312"/>
          <w:color w:val="auto"/>
          <w:sz w:val="26"/>
          <w:szCs w:val="26"/>
          <w:lang w:eastAsia="zh-CN"/>
        </w:rPr>
        <w:t>装饰</w:t>
      </w:r>
      <w:r>
        <w:rPr>
          <w:rFonts w:hint="eastAsia" w:eastAsia="仿宋_GB2312"/>
          <w:color w:val="auto"/>
          <w:sz w:val="26"/>
          <w:szCs w:val="26"/>
        </w:rPr>
        <w:t>装修</w:t>
      </w:r>
      <w:r>
        <w:rPr>
          <w:rFonts w:hint="eastAsia"/>
          <w:color w:val="auto"/>
          <w:sz w:val="26"/>
          <w:szCs w:val="26"/>
          <w:lang w:eastAsia="zh-CN"/>
        </w:rPr>
        <w:t>、室内动产价值</w:t>
      </w:r>
      <w:r>
        <w:rPr>
          <w:rFonts w:hint="eastAsia" w:eastAsia="仿宋_GB2312"/>
          <w:color w:val="auto"/>
          <w:sz w:val="26"/>
          <w:szCs w:val="26"/>
        </w:rPr>
        <w:t>。若至价值时点止，原产权人尚有任何有关估价对象的应缴未缴税费，应按照规定缴纳或从评估价值中相应扣减。</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firstLine="570"/>
        <w:jc w:val="both"/>
        <w:textAlignment w:val="auto"/>
        <w:outlineLvl w:val="9"/>
        <w:rPr>
          <w:rFonts w:hint="eastAsia" w:eastAsia="仿宋_GB2312"/>
          <w:color w:val="auto"/>
          <w:sz w:val="26"/>
          <w:szCs w:val="26"/>
          <w:lang w:val="en-US" w:eastAsia="zh-CN"/>
        </w:rPr>
      </w:pPr>
      <w:r>
        <w:rPr>
          <w:rFonts w:hint="eastAsia" w:eastAsia="仿宋_GB2312"/>
          <w:color w:val="auto"/>
          <w:sz w:val="26"/>
          <w:szCs w:val="26"/>
          <w:lang w:val="en-US" w:eastAsia="zh-CN"/>
        </w:rPr>
        <w:t>2、</w:t>
      </w:r>
      <w:r>
        <w:rPr>
          <w:rFonts w:hint="eastAsia" w:eastAsia="仿宋_GB2312"/>
          <w:color w:val="auto"/>
          <w:sz w:val="26"/>
          <w:szCs w:val="26"/>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评估价值的影响。</w:t>
      </w:r>
    </w:p>
    <w:p>
      <w:pPr>
        <w:spacing w:line="480" w:lineRule="exact"/>
        <w:rPr>
          <w:b/>
          <w:color w:val="auto"/>
          <w:sz w:val="26"/>
          <w:szCs w:val="26"/>
        </w:rPr>
      </w:pPr>
      <w:r>
        <w:rPr>
          <w:rFonts w:hint="eastAsia"/>
          <w:b/>
          <w:color w:val="auto"/>
          <w:sz w:val="26"/>
          <w:szCs w:val="26"/>
        </w:rPr>
        <w:t>三、背离实际情况假设</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firstLine="570"/>
        <w:jc w:val="both"/>
        <w:textAlignment w:val="auto"/>
        <w:outlineLvl w:val="9"/>
        <w:rPr>
          <w:rFonts w:hint="eastAsia" w:eastAsia="仿宋_GB2312"/>
          <w:color w:val="auto"/>
          <w:sz w:val="26"/>
          <w:szCs w:val="26"/>
          <w:lang w:val="en-US" w:eastAsia="zh-CN"/>
        </w:rPr>
      </w:pPr>
      <w:r>
        <w:rPr>
          <w:rFonts w:hint="eastAsia" w:eastAsia="仿宋_GB2312"/>
          <w:color w:val="auto"/>
          <w:sz w:val="26"/>
          <w:szCs w:val="26"/>
          <w:lang w:val="en-US" w:eastAsia="zh-CN"/>
        </w:rPr>
        <w:t>1、估价结果仅为估价委托人司法处置涉案房地产提供价格参考，估价时没有考虑未来宏观经济、房地产、金融、财政、货币政策、市场供应关系变化、市场结构转变、遇有自然力和其他不可抗力、不可预见及难以预见的其它特殊因素的影响，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firstLine="570"/>
        <w:jc w:val="both"/>
        <w:textAlignment w:val="auto"/>
        <w:outlineLvl w:val="9"/>
        <w:rPr>
          <w:rFonts w:hint="eastAsia" w:eastAsia="仿宋_GB2312"/>
          <w:color w:val="auto"/>
          <w:sz w:val="26"/>
          <w:szCs w:val="26"/>
          <w:lang w:val="en-US" w:eastAsia="zh-CN"/>
        </w:rPr>
      </w:pPr>
      <w:r>
        <w:rPr>
          <w:rFonts w:hint="eastAsia" w:eastAsia="仿宋_GB2312"/>
          <w:color w:val="auto"/>
          <w:sz w:val="26"/>
          <w:szCs w:val="26"/>
          <w:lang w:val="en-US" w:eastAsia="zh-CN"/>
        </w:rPr>
        <w:t>2、估价结果未考虑估价对象及其所有权人已承担的债务、或有债务及经营决策失误或市场运作失当对其价值的影响。</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firstLine="570"/>
        <w:jc w:val="both"/>
        <w:textAlignment w:val="auto"/>
        <w:outlineLvl w:val="9"/>
        <w:rPr>
          <w:rFonts w:hint="eastAsia" w:eastAsia="仿宋_GB2312"/>
          <w:color w:val="auto"/>
          <w:sz w:val="26"/>
          <w:szCs w:val="26"/>
          <w:lang w:val="en-US" w:eastAsia="zh-CN"/>
        </w:rPr>
      </w:pPr>
      <w:r>
        <w:rPr>
          <w:rFonts w:hint="eastAsia" w:eastAsia="仿宋_GB2312"/>
          <w:color w:val="auto"/>
          <w:sz w:val="26"/>
          <w:szCs w:val="26"/>
          <w:lang w:val="en-US" w:eastAsia="zh-CN"/>
        </w:rPr>
        <w:t>3、至价值时点，估价对象涉及司法纠纷，其权利处于查封状态，基于本次估价目的并经估价委托人同意，本次估价不考虑查封、出租、抵押等权利限制对评估结果的影响，故估价结果为完全权利下估价对象市场价值，请估价委托</w:t>
      </w:r>
      <w:r>
        <w:rPr>
          <w:rFonts w:hint="eastAsia"/>
          <w:color w:val="auto"/>
          <w:sz w:val="26"/>
          <w:szCs w:val="26"/>
          <w:lang w:val="en-US" w:eastAsia="zh-CN"/>
        </w:rPr>
        <w:t>人</w:t>
      </w:r>
      <w:r>
        <w:rPr>
          <w:rFonts w:hint="eastAsia" w:eastAsia="仿宋_GB2312"/>
          <w:color w:val="auto"/>
          <w:sz w:val="26"/>
          <w:szCs w:val="26"/>
          <w:lang w:val="en-US" w:eastAsia="zh-CN"/>
        </w:rPr>
        <w:t>谨慎使用本报告，必要时应重新评估。</w:t>
      </w:r>
    </w:p>
    <w:p>
      <w:pPr>
        <w:keepNext w:val="0"/>
        <w:keepLines w:val="0"/>
        <w:pageBreakBefore w:val="0"/>
        <w:widowControl w:val="0"/>
        <w:tabs>
          <w:tab w:val="left" w:pos="630"/>
          <w:tab w:val="left" w:pos="840"/>
        </w:tabs>
        <w:kinsoku/>
        <w:wordWrap/>
        <w:overflowPunct/>
        <w:topLinePunct w:val="0"/>
        <w:autoSpaceDE/>
        <w:autoSpaceDN/>
        <w:bidi w:val="0"/>
        <w:adjustRightInd/>
        <w:snapToGrid/>
        <w:spacing w:line="480" w:lineRule="exact"/>
        <w:ind w:right="0" w:rightChars="0"/>
        <w:jc w:val="both"/>
        <w:textAlignment w:val="auto"/>
        <w:rPr>
          <w:rFonts w:hint="eastAsia" w:eastAsia="仿宋_GB2312"/>
          <w:b/>
          <w:bCs/>
          <w:color w:val="auto"/>
          <w:sz w:val="26"/>
          <w:szCs w:val="26"/>
        </w:rPr>
      </w:pPr>
      <w:r>
        <w:rPr>
          <w:rFonts w:hint="eastAsia" w:eastAsia="仿宋_GB2312"/>
          <w:b/>
          <w:bCs/>
          <w:color w:val="auto"/>
          <w:sz w:val="26"/>
          <w:szCs w:val="26"/>
        </w:rPr>
        <w:t>四、不相一致假设</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firstLine="570"/>
        <w:jc w:val="both"/>
        <w:textAlignment w:val="auto"/>
        <w:outlineLvl w:val="9"/>
        <w:rPr>
          <w:rFonts w:hint="eastAsia" w:eastAsia="仿宋_GB2312"/>
          <w:color w:val="auto"/>
          <w:sz w:val="26"/>
          <w:szCs w:val="26"/>
          <w:lang w:val="en-US" w:eastAsia="zh-CN"/>
        </w:rPr>
      </w:pPr>
      <w:r>
        <w:rPr>
          <w:rFonts w:hint="eastAsia" w:eastAsia="仿宋_GB2312"/>
          <w:color w:val="auto"/>
          <w:sz w:val="26"/>
          <w:szCs w:val="26"/>
          <w:lang w:val="en-US" w:eastAsia="zh-CN"/>
        </w:rPr>
        <w:t xml:space="preserve">1、估价对象房屋登记用途为住宅，土地登记用途为综合用地，实际用途为住宅，本次估价设定用途为住宅。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right="0" w:rightChars="0"/>
        <w:jc w:val="both"/>
        <w:textAlignment w:val="auto"/>
        <w:rPr>
          <w:rFonts w:hint="eastAsia" w:eastAsia="仿宋_GB2312"/>
          <w:b/>
          <w:bCs/>
          <w:color w:val="auto"/>
          <w:sz w:val="26"/>
          <w:szCs w:val="26"/>
        </w:rPr>
      </w:pPr>
      <w:r>
        <w:rPr>
          <w:rFonts w:hint="eastAsia" w:eastAsia="仿宋_GB2312"/>
          <w:b/>
          <w:bCs/>
          <w:color w:val="auto"/>
          <w:sz w:val="26"/>
          <w:szCs w:val="26"/>
        </w:rPr>
        <w:t>依据不足假设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520" w:firstLineChars="200"/>
        <w:jc w:val="both"/>
        <w:textAlignment w:val="auto"/>
        <w:rPr>
          <w:rFonts w:hint="eastAsia" w:eastAsia="仿宋_GB2312"/>
          <w:color w:val="auto"/>
          <w:sz w:val="26"/>
          <w:szCs w:val="26"/>
          <w:lang w:val="en-US" w:eastAsia="zh-CN"/>
        </w:rPr>
      </w:pPr>
      <w:r>
        <w:rPr>
          <w:rFonts w:hint="eastAsia"/>
          <w:color w:val="auto"/>
          <w:sz w:val="26"/>
          <w:szCs w:val="26"/>
          <w:lang w:val="en-US" w:eastAsia="zh-CN"/>
        </w:rPr>
        <w:t>1、</w:t>
      </w:r>
      <w:r>
        <w:rPr>
          <w:rFonts w:hint="eastAsia" w:eastAsia="仿宋_GB2312"/>
          <w:color w:val="auto"/>
          <w:sz w:val="26"/>
          <w:szCs w:val="26"/>
        </w:rPr>
        <w:t>本估价项目所必需的反映估价对象状况的资料齐全，故本估价报告无依据不足假设</w:t>
      </w:r>
      <w:r>
        <w:rPr>
          <w:rFonts w:hint="eastAsia" w:eastAsia="仿宋_GB2312"/>
          <w:color w:val="auto"/>
          <w:sz w:val="26"/>
          <w:szCs w:val="26"/>
          <w:lang w:eastAsia="zh-CN"/>
        </w:rPr>
        <w:t>。</w:t>
      </w:r>
    </w:p>
    <w:p>
      <w:pPr>
        <w:spacing w:line="480" w:lineRule="exact"/>
        <w:rPr>
          <w:b/>
          <w:bCs/>
          <w:color w:val="auto"/>
          <w:sz w:val="26"/>
          <w:szCs w:val="26"/>
        </w:rPr>
      </w:pPr>
      <w:r>
        <w:rPr>
          <w:rFonts w:hint="eastAsia"/>
          <w:b/>
          <w:bCs/>
          <w:color w:val="auto"/>
          <w:sz w:val="26"/>
          <w:szCs w:val="26"/>
          <w:lang w:eastAsia="zh-CN"/>
        </w:rPr>
        <w:t>六</w:t>
      </w:r>
      <w:r>
        <w:rPr>
          <w:rFonts w:hint="eastAsia"/>
          <w:b/>
          <w:bCs/>
          <w:color w:val="auto"/>
          <w:sz w:val="26"/>
          <w:szCs w:val="26"/>
        </w:rPr>
        <w:t>、本报告使用的限制条件</w:t>
      </w:r>
    </w:p>
    <w:p>
      <w:pPr>
        <w:spacing w:line="480" w:lineRule="exact"/>
        <w:ind w:firstLine="570"/>
        <w:rPr>
          <w:b/>
          <w:bCs/>
          <w:color w:val="auto"/>
          <w:sz w:val="26"/>
          <w:szCs w:val="26"/>
        </w:rPr>
      </w:pPr>
      <w:r>
        <w:rPr>
          <w:rFonts w:hint="eastAsia"/>
          <w:color w:val="auto"/>
          <w:sz w:val="26"/>
          <w:szCs w:val="26"/>
        </w:rPr>
        <w:t>1、根据《最高人民法院关于人民法院民事执行中拍卖、变卖财产的规定》，当事人或者其他利害关系人对评估报告有异议的，可以在收到评估报告后</w:t>
      </w:r>
      <w:r>
        <w:rPr>
          <w:rFonts w:hint="eastAsia"/>
          <w:color w:val="auto"/>
          <w:sz w:val="26"/>
          <w:szCs w:val="26"/>
          <w:lang w:eastAsia="zh-CN"/>
        </w:rPr>
        <w:t>五</w:t>
      </w:r>
      <w:r>
        <w:rPr>
          <w:rFonts w:hint="eastAsia"/>
          <w:color w:val="auto"/>
          <w:sz w:val="26"/>
          <w:szCs w:val="26"/>
        </w:rPr>
        <w:t>日内以书面形式向</w:t>
      </w:r>
      <w:r>
        <w:rPr>
          <w:rFonts w:hint="eastAsia"/>
          <w:color w:val="auto"/>
          <w:sz w:val="26"/>
          <w:szCs w:val="26"/>
          <w:lang w:eastAsia="zh-CN"/>
        </w:rPr>
        <w:t>浙江省诸暨市人民法院</w:t>
      </w:r>
      <w:r>
        <w:rPr>
          <w:rFonts w:hint="eastAsia"/>
          <w:color w:val="auto"/>
          <w:sz w:val="26"/>
          <w:szCs w:val="26"/>
        </w:rPr>
        <w:t>提出，逾期视为认同。</w:t>
      </w:r>
    </w:p>
    <w:p>
      <w:pPr>
        <w:spacing w:line="480" w:lineRule="exact"/>
        <w:ind w:firstLine="520"/>
        <w:rPr>
          <w:color w:val="auto"/>
          <w:sz w:val="26"/>
          <w:szCs w:val="26"/>
        </w:rPr>
      </w:pPr>
      <w:r>
        <w:rPr>
          <w:rFonts w:hint="eastAsia"/>
          <w:color w:val="auto"/>
          <w:sz w:val="26"/>
          <w:szCs w:val="26"/>
        </w:rPr>
        <w:t>2、本估价报告仅为</w:t>
      </w:r>
      <w:r>
        <w:rPr>
          <w:rFonts w:hint="eastAsia"/>
          <w:color w:val="auto"/>
          <w:sz w:val="26"/>
          <w:szCs w:val="26"/>
          <w:lang w:eastAsia="zh-CN"/>
        </w:rPr>
        <w:t>浙江省诸暨市人民法院</w:t>
      </w:r>
      <w:r>
        <w:rPr>
          <w:rFonts w:hint="eastAsia"/>
          <w:color w:val="auto"/>
          <w:sz w:val="26"/>
          <w:szCs w:val="26"/>
        </w:rPr>
        <w:t>司法拍卖（变卖）提供房地产市场价值参考依据，不作它用。</w:t>
      </w:r>
    </w:p>
    <w:p>
      <w:pPr>
        <w:spacing w:line="480" w:lineRule="exact"/>
        <w:ind w:firstLine="520"/>
        <w:rPr>
          <w:color w:val="auto"/>
          <w:sz w:val="26"/>
          <w:szCs w:val="26"/>
        </w:rPr>
      </w:pPr>
      <w:r>
        <w:rPr>
          <w:rFonts w:hint="eastAsia"/>
          <w:color w:val="auto"/>
          <w:sz w:val="26"/>
          <w:szCs w:val="26"/>
        </w:rPr>
        <w:t>3、本估价报告使用有效期为壹年（自</w:t>
      </w:r>
      <w:r>
        <w:rPr>
          <w:rFonts w:hint="eastAsia"/>
          <w:color w:val="auto"/>
          <w:sz w:val="26"/>
          <w:szCs w:val="26"/>
          <w:lang w:eastAsia="zh-CN"/>
        </w:rPr>
        <w:t>2019年</w:t>
      </w:r>
      <w:r>
        <w:rPr>
          <w:rFonts w:hint="eastAsia"/>
          <w:color w:val="auto"/>
          <w:sz w:val="26"/>
          <w:szCs w:val="26"/>
          <w:lang w:val="en-US" w:eastAsia="zh-CN"/>
        </w:rPr>
        <w:t>12</w:t>
      </w:r>
      <w:r>
        <w:rPr>
          <w:rFonts w:hint="eastAsia"/>
          <w:color w:val="auto"/>
          <w:sz w:val="26"/>
          <w:szCs w:val="26"/>
          <w:lang w:eastAsia="zh-CN"/>
        </w:rPr>
        <w:t>月</w:t>
      </w:r>
      <w:r>
        <w:rPr>
          <w:rFonts w:hint="eastAsia"/>
          <w:color w:val="auto"/>
          <w:sz w:val="26"/>
          <w:szCs w:val="26"/>
          <w:lang w:val="en-US" w:eastAsia="zh-CN"/>
        </w:rPr>
        <w:t>20</w:t>
      </w:r>
      <w:r>
        <w:rPr>
          <w:rFonts w:hint="eastAsia"/>
          <w:color w:val="auto"/>
          <w:sz w:val="26"/>
          <w:szCs w:val="26"/>
          <w:lang w:eastAsia="zh-CN"/>
        </w:rPr>
        <w:t>日</w:t>
      </w:r>
      <w:r>
        <w:rPr>
          <w:color w:val="auto"/>
          <w:sz w:val="26"/>
          <w:szCs w:val="26"/>
        </w:rPr>
        <w:t>至</w:t>
      </w:r>
      <w:r>
        <w:rPr>
          <w:rFonts w:hint="eastAsia"/>
          <w:color w:val="auto"/>
          <w:sz w:val="26"/>
          <w:szCs w:val="26"/>
          <w:lang w:eastAsia="zh-CN"/>
        </w:rPr>
        <w:t>20</w:t>
      </w:r>
      <w:r>
        <w:rPr>
          <w:rFonts w:hint="eastAsia"/>
          <w:color w:val="auto"/>
          <w:sz w:val="26"/>
          <w:szCs w:val="26"/>
          <w:lang w:val="en-US" w:eastAsia="zh-CN"/>
        </w:rPr>
        <w:t>20</w:t>
      </w:r>
      <w:r>
        <w:rPr>
          <w:rFonts w:hint="eastAsia"/>
          <w:color w:val="auto"/>
          <w:sz w:val="26"/>
          <w:szCs w:val="26"/>
          <w:lang w:eastAsia="zh-CN"/>
        </w:rPr>
        <w:t>年</w:t>
      </w:r>
      <w:r>
        <w:rPr>
          <w:rFonts w:hint="eastAsia"/>
          <w:color w:val="auto"/>
          <w:sz w:val="26"/>
          <w:szCs w:val="26"/>
          <w:lang w:val="en-US" w:eastAsia="zh-CN"/>
        </w:rPr>
        <w:t>12月19日</w:t>
      </w:r>
      <w:r>
        <w:rPr>
          <w:rFonts w:hint="eastAsia"/>
          <w:color w:val="auto"/>
          <w:sz w:val="26"/>
          <w:szCs w:val="26"/>
        </w:rPr>
        <w:t>止）。</w:t>
      </w:r>
    </w:p>
    <w:p>
      <w:pPr>
        <w:spacing w:line="480" w:lineRule="exact"/>
        <w:rPr>
          <w:color w:val="auto"/>
          <w:sz w:val="26"/>
          <w:szCs w:val="26"/>
        </w:rPr>
      </w:pPr>
      <w:r>
        <w:rPr>
          <w:rFonts w:hint="eastAsia"/>
          <w:color w:val="auto"/>
          <w:sz w:val="26"/>
          <w:szCs w:val="26"/>
        </w:rPr>
        <w:t xml:space="preserve">    4、未经本估价机构书面同意，本估价报告不得向估价委托人、估价目的有关方和估价报告审核部门以外的单位和个人提供，报告的全部或部分内容，亦不得应用于任何公开的文件、通告或其它书面报告中。</w:t>
      </w:r>
    </w:p>
    <w:p>
      <w:pPr>
        <w:spacing w:line="480" w:lineRule="exact"/>
        <w:ind w:firstLine="520" w:firstLineChars="200"/>
        <w:rPr>
          <w:rFonts w:hint="eastAsia" w:eastAsia="仿宋_GB2312"/>
          <w:color w:val="auto"/>
          <w:sz w:val="26"/>
          <w:szCs w:val="26"/>
          <w:lang w:eastAsia="zh-CN"/>
        </w:rPr>
      </w:pPr>
      <w:r>
        <w:rPr>
          <w:rFonts w:hint="eastAsia"/>
          <w:color w:val="auto"/>
          <w:sz w:val="26"/>
          <w:szCs w:val="26"/>
          <w:lang w:val="en-US" w:eastAsia="zh-CN"/>
        </w:rPr>
        <w:t>5、</w:t>
      </w:r>
      <w:r>
        <w:rPr>
          <w:rFonts w:hint="eastAsia"/>
          <w:color w:val="auto"/>
          <w:sz w:val="26"/>
          <w:szCs w:val="26"/>
        </w:rPr>
        <w:t>本估价报告中的数据全部系采用电算化连续计算得出，并按四舍五入取整。因此可能出现个别等式左右不完全相等的情况，但不影响最终评估结果的准确性</w:t>
      </w:r>
      <w:r>
        <w:rPr>
          <w:rFonts w:hint="eastAsia"/>
          <w:color w:val="auto"/>
          <w:sz w:val="26"/>
          <w:szCs w:val="2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480" w:lineRule="exact"/>
        <w:ind w:right="0" w:rightChars="0"/>
        <w:jc w:val="both"/>
        <w:textAlignment w:val="auto"/>
        <w:outlineLvl w:val="9"/>
        <w:rPr>
          <w:rFonts w:hint="eastAsia" w:eastAsia="仿宋_GB2312"/>
          <w:color w:val="auto"/>
          <w:sz w:val="26"/>
          <w:szCs w:val="26"/>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480" w:lineRule="exact"/>
        <w:ind w:right="0" w:rightChars="0"/>
        <w:jc w:val="both"/>
        <w:textAlignment w:val="auto"/>
        <w:outlineLvl w:val="9"/>
        <w:rPr>
          <w:rFonts w:hint="eastAsia" w:eastAsia="仿宋_GB2312"/>
          <w:color w:val="auto"/>
          <w:sz w:val="26"/>
          <w:szCs w:val="26"/>
        </w:rPr>
      </w:pPr>
    </w:p>
    <w:p>
      <w:pPr>
        <w:rPr>
          <w:rFonts w:hint="eastAsia" w:ascii="Times New Roman" w:hAnsi="Times New Roman" w:eastAsia="仿宋_GB2312"/>
          <w:bCs/>
          <w:color w:val="auto"/>
        </w:rPr>
      </w:pPr>
      <w:r>
        <w:rPr>
          <w:rFonts w:hint="eastAsia" w:ascii="Times New Roman" w:hAnsi="Times New Roman" w:eastAsia="仿宋_GB2312"/>
          <w:bCs/>
          <w:color w:val="auto"/>
        </w:rPr>
        <w:br w:type="page"/>
      </w:r>
    </w:p>
    <w:p>
      <w:pPr>
        <w:pStyle w:val="3"/>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1"/>
        <w:rPr>
          <w:rFonts w:eastAsia="仿宋_GB2312"/>
          <w:b/>
          <w:color w:val="auto"/>
          <w:sz w:val="26"/>
          <w:szCs w:val="26"/>
        </w:rPr>
      </w:pPr>
      <w:r>
        <w:rPr>
          <w:rFonts w:hint="eastAsia" w:ascii="Times New Roman" w:hAnsi="Times New Roman" w:eastAsia="仿宋_GB2312"/>
          <w:bCs/>
          <w:color w:val="auto"/>
        </w:rPr>
        <w:t>第</w:t>
      </w:r>
      <w:r>
        <w:rPr>
          <w:rFonts w:hint="eastAsia" w:ascii="Times New Roman" w:hAnsi="Times New Roman" w:eastAsia="仿宋_GB2312"/>
          <w:bCs/>
          <w:color w:val="auto"/>
          <w:lang w:eastAsia="zh-CN"/>
        </w:rPr>
        <w:t>四</w:t>
      </w:r>
      <w:r>
        <w:rPr>
          <w:rFonts w:hint="eastAsia" w:ascii="Times New Roman" w:hAnsi="Times New Roman" w:eastAsia="仿宋_GB2312"/>
          <w:bCs/>
          <w:color w:val="auto"/>
        </w:rPr>
        <w:t>部分</w:t>
      </w:r>
      <w:r>
        <w:rPr>
          <w:rFonts w:hint="eastAsia" w:ascii="Times New Roman" w:hAnsi="Times New Roman" w:eastAsia="仿宋_GB2312"/>
          <w:bCs/>
          <w:color w:val="auto"/>
          <w:lang w:eastAsia="zh-CN"/>
        </w:rPr>
        <w:t>：</w:t>
      </w:r>
      <w:r>
        <w:rPr>
          <w:rFonts w:ascii="Times New Roman" w:hAnsi="Times New Roman" w:eastAsia="仿宋_GB2312"/>
          <w:bCs/>
          <w:color w:val="auto"/>
        </w:rPr>
        <w:t>估价结果报告</w:t>
      </w:r>
      <w:bookmarkEnd w:id="12"/>
      <w:bookmarkEnd w:id="13"/>
      <w:bookmarkEnd w:id="14"/>
      <w:bookmarkEnd w:id="15"/>
      <w:bookmarkStart w:id="16" w:name="_Toc16274"/>
      <w:bookmarkStart w:id="17" w:name="_Toc454373098"/>
      <w:bookmarkStart w:id="18" w:name="OLE_LINK5"/>
      <w:bookmarkStart w:id="19" w:name="OLE_LINK4"/>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jc w:val="both"/>
        <w:textAlignment w:val="auto"/>
        <w:outlineLvl w:val="1"/>
        <w:rPr>
          <w:rFonts w:eastAsia="仿宋_GB2312"/>
          <w:b/>
          <w:color w:val="auto"/>
          <w:sz w:val="26"/>
          <w:szCs w:val="26"/>
        </w:rPr>
      </w:pPr>
      <w:r>
        <w:rPr>
          <w:rFonts w:eastAsia="仿宋_GB2312"/>
          <w:b/>
          <w:color w:val="auto"/>
          <w:sz w:val="26"/>
          <w:szCs w:val="26"/>
        </w:rPr>
        <w:t>一、</w:t>
      </w:r>
      <w:r>
        <w:rPr>
          <w:rFonts w:hint="eastAsia" w:eastAsia="仿宋_GB2312"/>
          <w:b/>
          <w:color w:val="auto"/>
          <w:sz w:val="26"/>
          <w:szCs w:val="26"/>
        </w:rPr>
        <w:t>估价</w:t>
      </w:r>
      <w:r>
        <w:rPr>
          <w:rFonts w:eastAsia="仿宋_GB2312"/>
          <w:b/>
          <w:color w:val="auto"/>
          <w:sz w:val="26"/>
          <w:szCs w:val="26"/>
        </w:rPr>
        <w:t>委托</w:t>
      </w:r>
      <w:bookmarkEnd w:id="16"/>
      <w:r>
        <w:rPr>
          <w:rFonts w:hint="eastAsia" w:eastAsia="仿宋_GB2312"/>
          <w:b/>
          <w:color w:val="auto"/>
          <w:sz w:val="26"/>
          <w:szCs w:val="26"/>
        </w:rPr>
        <w:t>人</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520" w:firstLineChars="200"/>
        <w:jc w:val="both"/>
        <w:textAlignment w:val="auto"/>
        <w:rPr>
          <w:rFonts w:hint="eastAsia" w:eastAsia="仿宋_GB2312"/>
          <w:color w:val="auto"/>
          <w:sz w:val="26"/>
          <w:szCs w:val="26"/>
        </w:rPr>
      </w:pPr>
      <w:r>
        <w:rPr>
          <w:rFonts w:hint="eastAsia" w:eastAsia="仿宋_GB2312"/>
          <w:color w:val="auto"/>
          <w:sz w:val="26"/>
          <w:szCs w:val="26"/>
        </w:rPr>
        <w:t>委托人：</w:t>
      </w:r>
      <w:r>
        <w:rPr>
          <w:rFonts w:hint="eastAsia"/>
          <w:color w:val="auto"/>
          <w:sz w:val="26"/>
          <w:szCs w:val="26"/>
          <w:lang w:eastAsia="zh-CN"/>
        </w:rPr>
        <w:t>浙江省诸暨市人民法院</w:t>
      </w:r>
      <w:r>
        <w:rPr>
          <w:rFonts w:hint="eastAsia" w:eastAsia="仿宋_GB2312"/>
          <w:color w:val="auto"/>
          <w:sz w:val="26"/>
          <w:szCs w:val="26"/>
        </w:rPr>
        <w:t xml:space="preserve">       </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520" w:firstLineChars="200"/>
        <w:jc w:val="both"/>
        <w:textAlignment w:val="auto"/>
        <w:rPr>
          <w:rFonts w:hint="default" w:eastAsia="仿宋_GB2312"/>
          <w:color w:val="auto"/>
          <w:sz w:val="26"/>
          <w:szCs w:val="26"/>
          <w:lang w:val="en-US"/>
        </w:rPr>
      </w:pPr>
      <w:r>
        <w:rPr>
          <w:rFonts w:hint="eastAsia" w:eastAsia="仿宋_GB2312"/>
          <w:color w:val="auto"/>
          <w:sz w:val="26"/>
          <w:szCs w:val="26"/>
        </w:rPr>
        <w:t>联系电话：0575-</w:t>
      </w:r>
      <w:r>
        <w:rPr>
          <w:rFonts w:hint="eastAsia"/>
          <w:color w:val="auto"/>
          <w:sz w:val="26"/>
          <w:szCs w:val="26"/>
          <w:lang w:val="en-US" w:eastAsia="zh-CN"/>
        </w:rPr>
        <w:t>89192632</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jc w:val="both"/>
        <w:textAlignment w:val="auto"/>
        <w:outlineLvl w:val="1"/>
        <w:rPr>
          <w:rFonts w:eastAsia="仿宋_GB2312"/>
          <w:b/>
          <w:color w:val="auto"/>
          <w:sz w:val="26"/>
          <w:szCs w:val="26"/>
        </w:rPr>
      </w:pPr>
      <w:bookmarkStart w:id="20" w:name="_Toc215"/>
      <w:r>
        <w:rPr>
          <w:rFonts w:eastAsia="仿宋_GB2312"/>
          <w:b/>
          <w:color w:val="auto"/>
          <w:sz w:val="26"/>
          <w:szCs w:val="26"/>
        </w:rPr>
        <w:t>二、</w:t>
      </w:r>
      <w:r>
        <w:rPr>
          <w:rFonts w:hint="eastAsia" w:eastAsia="仿宋_GB2312"/>
          <w:b/>
          <w:color w:val="auto"/>
          <w:sz w:val="26"/>
          <w:szCs w:val="26"/>
        </w:rPr>
        <w:t>房地产估价机构</w:t>
      </w:r>
      <w:bookmarkEnd w:id="20"/>
    </w:p>
    <w:p>
      <w:pPr>
        <w:keepNext w:val="0"/>
        <w:keepLines w:val="0"/>
        <w:pageBreakBefore w:val="0"/>
        <w:widowControl w:val="0"/>
        <w:kinsoku/>
        <w:wordWrap/>
        <w:overflowPunct/>
        <w:topLinePunct w:val="0"/>
        <w:autoSpaceDE/>
        <w:autoSpaceDN/>
        <w:bidi w:val="0"/>
        <w:adjustRightInd/>
        <w:snapToGrid w:val="0"/>
        <w:spacing w:line="480" w:lineRule="atLeast"/>
        <w:ind w:left="0" w:leftChars="0" w:right="0" w:rightChars="0" w:firstLine="514" w:firstLineChars="198"/>
        <w:jc w:val="both"/>
        <w:textAlignment w:val="auto"/>
        <w:outlineLvl w:val="9"/>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名    称：诸暨市正信房地产评估有限公司</w:t>
      </w:r>
    </w:p>
    <w:p>
      <w:pPr>
        <w:keepNext w:val="0"/>
        <w:keepLines w:val="0"/>
        <w:pageBreakBefore w:val="0"/>
        <w:widowControl w:val="0"/>
        <w:kinsoku/>
        <w:wordWrap/>
        <w:overflowPunct/>
        <w:topLinePunct w:val="0"/>
        <w:autoSpaceDE/>
        <w:autoSpaceDN/>
        <w:bidi w:val="0"/>
        <w:adjustRightInd/>
        <w:snapToGrid w:val="0"/>
        <w:spacing w:line="480" w:lineRule="atLeast"/>
        <w:ind w:left="0" w:leftChars="0" w:right="0" w:rightChars="0" w:firstLine="514" w:firstLineChars="198"/>
        <w:jc w:val="both"/>
        <w:textAlignment w:val="auto"/>
        <w:outlineLvl w:val="9"/>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 xml:space="preserve">机构地址：诸暨市暨阳街道东昌路15幢2、3号 </w:t>
      </w:r>
    </w:p>
    <w:p>
      <w:pPr>
        <w:keepNext w:val="0"/>
        <w:keepLines w:val="0"/>
        <w:pageBreakBefore w:val="0"/>
        <w:widowControl w:val="0"/>
        <w:kinsoku/>
        <w:wordWrap/>
        <w:overflowPunct/>
        <w:topLinePunct w:val="0"/>
        <w:autoSpaceDE/>
        <w:autoSpaceDN/>
        <w:bidi w:val="0"/>
        <w:adjustRightInd/>
        <w:snapToGrid w:val="0"/>
        <w:spacing w:line="480" w:lineRule="atLeast"/>
        <w:ind w:left="0" w:leftChars="0" w:right="0" w:rightChars="0" w:firstLine="514" w:firstLineChars="198"/>
        <w:jc w:val="both"/>
        <w:textAlignment w:val="auto"/>
        <w:outlineLvl w:val="9"/>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法定代表人：</w:t>
      </w:r>
      <w:r>
        <w:rPr>
          <w:rFonts w:hint="eastAsia" w:ascii="Times New Roman" w:hAnsi="Times New Roman" w:eastAsia="仿宋_GB2312" w:cs="Times New Roman"/>
          <w:color w:val="auto"/>
          <w:sz w:val="26"/>
          <w:szCs w:val="26"/>
          <w:lang w:eastAsia="zh-CN"/>
        </w:rPr>
        <w:t>张健</w:t>
      </w:r>
    </w:p>
    <w:p>
      <w:pPr>
        <w:keepNext w:val="0"/>
        <w:keepLines w:val="0"/>
        <w:pageBreakBefore w:val="0"/>
        <w:widowControl w:val="0"/>
        <w:kinsoku/>
        <w:wordWrap/>
        <w:overflowPunct/>
        <w:topLinePunct w:val="0"/>
        <w:autoSpaceDE/>
        <w:autoSpaceDN/>
        <w:bidi w:val="0"/>
        <w:adjustRightInd/>
        <w:snapToGrid w:val="0"/>
        <w:spacing w:line="480" w:lineRule="atLeast"/>
        <w:ind w:left="0" w:leftChars="0" w:right="0" w:rightChars="0" w:firstLine="514" w:firstLineChars="198"/>
        <w:jc w:val="both"/>
        <w:textAlignment w:val="auto"/>
        <w:outlineLvl w:val="9"/>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资质证书编号：浙建房估证字[2013]001号</w:t>
      </w:r>
    </w:p>
    <w:p>
      <w:pPr>
        <w:keepNext w:val="0"/>
        <w:keepLines w:val="0"/>
        <w:pageBreakBefore w:val="0"/>
        <w:widowControl w:val="0"/>
        <w:kinsoku/>
        <w:wordWrap/>
        <w:overflowPunct/>
        <w:topLinePunct w:val="0"/>
        <w:autoSpaceDE/>
        <w:autoSpaceDN/>
        <w:bidi w:val="0"/>
        <w:adjustRightInd/>
        <w:snapToGrid w:val="0"/>
        <w:spacing w:line="480" w:lineRule="atLeast"/>
        <w:ind w:left="0" w:leftChars="0" w:right="0" w:rightChars="0" w:firstLine="514" w:firstLineChars="198"/>
        <w:jc w:val="both"/>
        <w:textAlignment w:val="auto"/>
        <w:outlineLvl w:val="9"/>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有效期限：201</w:t>
      </w:r>
      <w:r>
        <w:rPr>
          <w:rFonts w:hint="eastAsia" w:ascii="Times New Roman" w:hAnsi="Times New Roman" w:eastAsia="仿宋_GB2312" w:cs="Times New Roman"/>
          <w:color w:val="auto"/>
          <w:sz w:val="26"/>
          <w:szCs w:val="26"/>
          <w:lang w:val="en-US" w:eastAsia="zh-CN"/>
        </w:rPr>
        <w:t>7</w:t>
      </w:r>
      <w:r>
        <w:rPr>
          <w:rFonts w:hint="default" w:ascii="Times New Roman" w:hAnsi="Times New Roman" w:eastAsia="仿宋_GB2312" w:cs="Times New Roman"/>
          <w:color w:val="auto"/>
          <w:sz w:val="26"/>
          <w:szCs w:val="26"/>
        </w:rPr>
        <w:t>年0</w:t>
      </w:r>
      <w:r>
        <w:rPr>
          <w:rFonts w:hint="eastAsia" w:ascii="Times New Roman" w:hAnsi="Times New Roman" w:eastAsia="仿宋_GB2312" w:cs="Times New Roman"/>
          <w:color w:val="auto"/>
          <w:sz w:val="26"/>
          <w:szCs w:val="26"/>
          <w:lang w:val="en-US" w:eastAsia="zh-CN"/>
        </w:rPr>
        <w:t>5</w:t>
      </w:r>
      <w:r>
        <w:rPr>
          <w:rFonts w:hint="default" w:ascii="Times New Roman" w:hAnsi="Times New Roman" w:eastAsia="仿宋_GB2312" w:cs="Times New Roman"/>
          <w:color w:val="auto"/>
          <w:sz w:val="26"/>
          <w:szCs w:val="26"/>
        </w:rPr>
        <w:t>月</w:t>
      </w:r>
      <w:r>
        <w:rPr>
          <w:rFonts w:hint="eastAsia" w:ascii="Times New Roman" w:hAnsi="Times New Roman" w:eastAsia="仿宋_GB2312" w:cs="Times New Roman"/>
          <w:color w:val="auto"/>
          <w:sz w:val="26"/>
          <w:szCs w:val="26"/>
          <w:lang w:val="en-US" w:eastAsia="zh-CN"/>
        </w:rPr>
        <w:t>24</w:t>
      </w:r>
      <w:r>
        <w:rPr>
          <w:rFonts w:hint="default" w:ascii="Times New Roman" w:hAnsi="Times New Roman" w:eastAsia="仿宋_GB2312" w:cs="Times New Roman"/>
          <w:color w:val="auto"/>
          <w:sz w:val="26"/>
          <w:szCs w:val="26"/>
        </w:rPr>
        <w:t>日至20</w:t>
      </w:r>
      <w:r>
        <w:rPr>
          <w:rFonts w:hint="eastAsia" w:ascii="Times New Roman" w:hAnsi="Times New Roman" w:eastAsia="仿宋_GB2312" w:cs="Times New Roman"/>
          <w:color w:val="auto"/>
          <w:sz w:val="26"/>
          <w:szCs w:val="26"/>
          <w:lang w:val="en-US" w:eastAsia="zh-CN"/>
        </w:rPr>
        <w:t>20</w:t>
      </w:r>
      <w:r>
        <w:rPr>
          <w:rFonts w:hint="default" w:ascii="Times New Roman" w:hAnsi="Times New Roman" w:eastAsia="仿宋_GB2312" w:cs="Times New Roman"/>
          <w:color w:val="auto"/>
          <w:sz w:val="26"/>
          <w:szCs w:val="26"/>
        </w:rPr>
        <w:t>年0</w:t>
      </w:r>
      <w:r>
        <w:rPr>
          <w:rFonts w:hint="eastAsia" w:ascii="Times New Roman" w:hAnsi="Times New Roman" w:eastAsia="仿宋_GB2312" w:cs="Times New Roman"/>
          <w:color w:val="auto"/>
          <w:sz w:val="26"/>
          <w:szCs w:val="26"/>
          <w:lang w:val="en-US" w:eastAsia="zh-CN"/>
        </w:rPr>
        <w:t>5</w:t>
      </w:r>
      <w:r>
        <w:rPr>
          <w:rFonts w:hint="default" w:ascii="Times New Roman" w:hAnsi="Times New Roman" w:eastAsia="仿宋_GB2312" w:cs="Times New Roman"/>
          <w:color w:val="auto"/>
          <w:sz w:val="26"/>
          <w:szCs w:val="26"/>
        </w:rPr>
        <w:t>月</w:t>
      </w:r>
      <w:r>
        <w:rPr>
          <w:rFonts w:hint="eastAsia" w:ascii="Times New Roman" w:hAnsi="Times New Roman" w:eastAsia="仿宋_GB2312" w:cs="Times New Roman"/>
          <w:color w:val="auto"/>
          <w:sz w:val="26"/>
          <w:szCs w:val="26"/>
          <w:lang w:val="en-US" w:eastAsia="zh-CN"/>
        </w:rPr>
        <w:t>24</w:t>
      </w:r>
      <w:r>
        <w:rPr>
          <w:rFonts w:hint="default" w:ascii="Times New Roman" w:hAnsi="Times New Roman" w:eastAsia="仿宋_GB2312" w:cs="Times New Roman"/>
          <w:color w:val="auto"/>
          <w:sz w:val="26"/>
          <w:szCs w:val="26"/>
        </w:rPr>
        <w:t>日</w:t>
      </w:r>
    </w:p>
    <w:p>
      <w:pPr>
        <w:keepNext w:val="0"/>
        <w:keepLines w:val="0"/>
        <w:pageBreakBefore w:val="0"/>
        <w:widowControl w:val="0"/>
        <w:kinsoku/>
        <w:wordWrap/>
        <w:overflowPunct/>
        <w:topLinePunct w:val="0"/>
        <w:autoSpaceDE/>
        <w:autoSpaceDN/>
        <w:bidi w:val="0"/>
        <w:adjustRightInd/>
        <w:snapToGrid w:val="0"/>
        <w:spacing w:line="480" w:lineRule="atLeast"/>
        <w:ind w:left="0" w:leftChars="0" w:right="0" w:rightChars="0" w:firstLine="514" w:firstLineChars="198"/>
        <w:jc w:val="both"/>
        <w:textAlignment w:val="auto"/>
        <w:outlineLvl w:val="9"/>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机构联系人：楼满燕</w:t>
      </w:r>
    </w:p>
    <w:p>
      <w:pPr>
        <w:pStyle w:val="4"/>
        <w:keepNext w:val="0"/>
        <w:keepLines w:val="0"/>
        <w:pageBreakBefore w:val="0"/>
        <w:widowControl w:val="0"/>
        <w:kinsoku/>
        <w:wordWrap/>
        <w:overflowPunct/>
        <w:topLinePunct w:val="0"/>
        <w:autoSpaceDE/>
        <w:autoSpaceDN/>
        <w:bidi w:val="0"/>
        <w:adjustRightInd/>
        <w:snapToGrid w:val="0"/>
        <w:spacing w:line="480" w:lineRule="atLeast"/>
        <w:ind w:left="0" w:leftChars="0" w:right="0" w:rightChars="0" w:firstLine="520" w:firstLineChars="200"/>
        <w:jc w:val="both"/>
        <w:textAlignment w:val="auto"/>
        <w:outlineLvl w:val="2"/>
        <w:rPr>
          <w:rFonts w:hint="default" w:ascii="Times New Roman" w:hAnsi="Times New Roman" w:eastAsia="仿宋_GB2312" w:cs="Times New Roman"/>
          <w:color w:val="auto"/>
          <w:sz w:val="26"/>
          <w:szCs w:val="26"/>
        </w:rPr>
      </w:pPr>
      <w:bookmarkStart w:id="21" w:name="_Toc32157"/>
      <w:bookmarkStart w:id="22" w:name="_Toc7303"/>
      <w:r>
        <w:rPr>
          <w:rFonts w:hint="default" w:ascii="Times New Roman" w:hAnsi="Times New Roman" w:eastAsia="仿宋_GB2312" w:cs="Times New Roman"/>
          <w:color w:val="auto"/>
          <w:sz w:val="26"/>
          <w:szCs w:val="26"/>
        </w:rPr>
        <w:t>联系电话：0575-8</w:t>
      </w:r>
      <w:bookmarkEnd w:id="21"/>
      <w:bookmarkEnd w:id="22"/>
      <w:r>
        <w:rPr>
          <w:rFonts w:hint="eastAsia" w:eastAsia="仿宋_GB2312" w:cs="Times New Roman"/>
          <w:color w:val="auto"/>
          <w:sz w:val="26"/>
          <w:szCs w:val="26"/>
          <w:lang w:eastAsia="zh-CN"/>
        </w:rPr>
        <w:t>7222225</w:t>
      </w:r>
      <w:r>
        <w:rPr>
          <w:rFonts w:hint="default" w:ascii="Times New Roman" w:hAnsi="Times New Roman" w:eastAsia="仿宋_GB2312" w:cs="Times New Roman"/>
          <w:color w:val="auto"/>
          <w:sz w:val="26"/>
          <w:szCs w:val="26"/>
        </w:rPr>
        <w:t xml:space="preserve">   </w:t>
      </w:r>
    </w:p>
    <w:p>
      <w:pPr>
        <w:pStyle w:val="4"/>
        <w:keepNext w:val="0"/>
        <w:keepLines w:val="0"/>
        <w:pageBreakBefore w:val="0"/>
        <w:widowControl w:val="0"/>
        <w:kinsoku/>
        <w:wordWrap/>
        <w:overflowPunct/>
        <w:topLinePunct w:val="0"/>
        <w:autoSpaceDE/>
        <w:autoSpaceDN/>
        <w:bidi w:val="0"/>
        <w:snapToGrid w:val="0"/>
        <w:spacing w:line="480" w:lineRule="atLeast"/>
        <w:ind w:left="0" w:leftChars="0" w:right="0" w:rightChars="0" w:firstLine="0" w:firstLineChars="0"/>
        <w:jc w:val="both"/>
        <w:textAlignment w:val="auto"/>
        <w:outlineLvl w:val="2"/>
        <w:rPr>
          <w:rFonts w:eastAsia="仿宋_GB2312"/>
          <w:b/>
          <w:bCs/>
          <w:color w:val="auto"/>
        </w:rPr>
      </w:pPr>
      <w:r>
        <w:rPr>
          <w:rFonts w:eastAsia="仿宋_GB2312"/>
          <w:b/>
          <w:bCs/>
          <w:color w:val="auto"/>
        </w:rPr>
        <w:t>三、估价目的</w:t>
      </w:r>
      <w:bookmarkEnd w:id="17"/>
    </w:p>
    <w:bookmarkEnd w:id="18"/>
    <w:bookmarkEnd w:id="19"/>
    <w:p>
      <w:pPr>
        <w:keepNext w:val="0"/>
        <w:keepLines w:val="0"/>
        <w:pageBreakBefore w:val="0"/>
        <w:widowControl w:val="0"/>
        <w:kinsoku/>
        <w:wordWrap/>
        <w:overflowPunct/>
        <w:topLinePunct w:val="0"/>
        <w:autoSpaceDE/>
        <w:autoSpaceDN/>
        <w:bidi w:val="0"/>
        <w:snapToGrid w:val="0"/>
        <w:spacing w:line="480" w:lineRule="atLeast"/>
        <w:ind w:left="0" w:leftChars="0" w:right="0" w:rightChars="0" w:firstLine="520" w:firstLineChars="200"/>
        <w:jc w:val="both"/>
        <w:textAlignment w:val="auto"/>
        <w:rPr>
          <w:rFonts w:hint="eastAsia" w:eastAsia="仿宋_GB2312"/>
          <w:color w:val="auto"/>
          <w:sz w:val="26"/>
          <w:szCs w:val="26"/>
          <w:lang w:eastAsia="zh-CN"/>
        </w:rPr>
      </w:pPr>
      <w:bookmarkStart w:id="23" w:name="_Toc18383"/>
      <w:bookmarkStart w:id="24" w:name="_Toc454373100"/>
      <w:r>
        <w:rPr>
          <w:rFonts w:hint="eastAsia" w:eastAsia="仿宋_GB2312"/>
          <w:color w:val="auto"/>
          <w:sz w:val="26"/>
          <w:szCs w:val="26"/>
          <w:lang w:eastAsia="zh-CN"/>
        </w:rPr>
        <w:t>为司法拍卖</w:t>
      </w:r>
      <w:r>
        <w:rPr>
          <w:rFonts w:hint="eastAsia"/>
          <w:color w:val="auto"/>
          <w:sz w:val="26"/>
          <w:szCs w:val="26"/>
          <w:lang w:eastAsia="zh-CN"/>
        </w:rPr>
        <w:t>（变卖）</w:t>
      </w:r>
      <w:r>
        <w:rPr>
          <w:rFonts w:hint="eastAsia" w:eastAsia="仿宋_GB2312"/>
          <w:color w:val="auto"/>
          <w:sz w:val="26"/>
          <w:szCs w:val="26"/>
          <w:lang w:eastAsia="zh-CN"/>
        </w:rPr>
        <w:t>提供房地产市场价值参考依据。</w:t>
      </w:r>
    </w:p>
    <w:p>
      <w:pPr>
        <w:keepNext w:val="0"/>
        <w:keepLines w:val="0"/>
        <w:pageBreakBefore w:val="0"/>
        <w:widowControl w:val="0"/>
        <w:kinsoku/>
        <w:wordWrap/>
        <w:overflowPunct/>
        <w:topLinePunct w:val="0"/>
        <w:autoSpaceDE/>
        <w:autoSpaceDN/>
        <w:bidi w:val="0"/>
        <w:spacing w:line="450" w:lineRule="exact"/>
        <w:ind w:left="0" w:leftChars="0" w:right="0" w:rightChars="0"/>
        <w:jc w:val="both"/>
        <w:textAlignment w:val="auto"/>
        <w:outlineLvl w:val="1"/>
        <w:rPr>
          <w:rFonts w:eastAsia="仿宋_GB2312"/>
          <w:b/>
          <w:color w:val="auto"/>
          <w:sz w:val="26"/>
          <w:szCs w:val="26"/>
        </w:rPr>
      </w:pPr>
      <w:r>
        <w:rPr>
          <w:rFonts w:eastAsia="仿宋_GB2312"/>
          <w:b/>
          <w:color w:val="auto"/>
          <w:sz w:val="26"/>
          <w:szCs w:val="26"/>
        </w:rPr>
        <w:t>四、估价对象</w:t>
      </w:r>
      <w:bookmarkEnd w:id="23"/>
    </w:p>
    <w:p>
      <w:pPr>
        <w:keepNext w:val="0"/>
        <w:keepLines w:val="0"/>
        <w:pageBreakBefore w:val="0"/>
        <w:widowControl w:val="0"/>
        <w:kinsoku/>
        <w:wordWrap/>
        <w:overflowPunct/>
        <w:topLinePunct w:val="0"/>
        <w:autoSpaceDE/>
        <w:autoSpaceDN/>
        <w:bidi w:val="0"/>
        <w:spacing w:line="450" w:lineRule="exact"/>
        <w:ind w:left="0" w:leftChars="0" w:right="0" w:rightChars="0"/>
        <w:jc w:val="both"/>
        <w:textAlignment w:val="auto"/>
        <w:rPr>
          <w:rFonts w:hint="eastAsia" w:eastAsia="仿宋_GB2312"/>
          <w:color w:val="auto"/>
          <w:sz w:val="26"/>
          <w:szCs w:val="26"/>
        </w:rPr>
      </w:pPr>
      <w:r>
        <w:rPr>
          <w:rFonts w:eastAsia="仿宋_GB2312"/>
          <w:color w:val="auto"/>
          <w:sz w:val="26"/>
          <w:szCs w:val="26"/>
        </w:rPr>
        <w:t>（一）估价</w:t>
      </w:r>
      <w:r>
        <w:rPr>
          <w:rFonts w:hint="eastAsia" w:eastAsia="仿宋_GB2312"/>
          <w:color w:val="auto"/>
          <w:sz w:val="26"/>
          <w:szCs w:val="26"/>
        </w:rPr>
        <w:t>事由</w:t>
      </w:r>
    </w:p>
    <w:p>
      <w:pPr>
        <w:keepNext w:val="0"/>
        <w:keepLines w:val="0"/>
        <w:pageBreakBefore w:val="0"/>
        <w:widowControl w:val="0"/>
        <w:kinsoku/>
        <w:wordWrap/>
        <w:overflowPunct/>
        <w:topLinePunct w:val="0"/>
        <w:autoSpaceDE/>
        <w:autoSpaceDN/>
        <w:bidi w:val="0"/>
        <w:spacing w:line="450" w:lineRule="exact"/>
        <w:ind w:left="0" w:leftChars="0" w:right="0" w:rightChars="0" w:firstLine="520" w:firstLineChars="200"/>
        <w:jc w:val="both"/>
        <w:textAlignment w:val="auto"/>
        <w:rPr>
          <w:rFonts w:hint="eastAsia" w:eastAsia="仿宋_GB2312"/>
          <w:color w:val="auto"/>
          <w:sz w:val="26"/>
          <w:szCs w:val="26"/>
        </w:rPr>
      </w:pPr>
      <w:r>
        <w:rPr>
          <w:rFonts w:eastAsia="仿宋_GB2312"/>
          <w:color w:val="auto"/>
          <w:sz w:val="26"/>
          <w:szCs w:val="26"/>
        </w:rPr>
        <w:t>我公司接受</w:t>
      </w:r>
      <w:r>
        <w:rPr>
          <w:rFonts w:hint="eastAsia"/>
          <w:color w:val="auto"/>
          <w:sz w:val="26"/>
          <w:szCs w:val="26"/>
          <w:lang w:eastAsia="zh-CN"/>
        </w:rPr>
        <w:t>浙江省诸暨市人民法院</w:t>
      </w:r>
      <w:r>
        <w:rPr>
          <w:rFonts w:eastAsia="仿宋_GB2312"/>
          <w:color w:val="auto"/>
          <w:sz w:val="26"/>
          <w:szCs w:val="26"/>
        </w:rPr>
        <w:t>委托，</w:t>
      </w:r>
      <w:r>
        <w:rPr>
          <w:rFonts w:hint="eastAsia"/>
          <w:color w:val="auto"/>
          <w:sz w:val="26"/>
          <w:szCs w:val="26"/>
          <w:lang w:eastAsia="zh-CN"/>
        </w:rPr>
        <w:t>对杭州银行股份有限公司绍兴店口小微企业专营支行与宋超金融借款合同纠纷一案中涉及的宋超</w:t>
      </w:r>
      <w:r>
        <w:rPr>
          <w:color w:val="auto"/>
          <w:sz w:val="26"/>
          <w:szCs w:val="26"/>
        </w:rPr>
        <w:t>所属坐落于</w:t>
      </w:r>
      <w:r>
        <w:rPr>
          <w:rFonts w:hint="eastAsia"/>
          <w:color w:val="auto"/>
          <w:sz w:val="26"/>
          <w:szCs w:val="26"/>
          <w:lang w:eastAsia="zh-CN"/>
        </w:rPr>
        <w:t>诸暨市暨阳街道滨江花苑11幢3单元402室住宅房地产及室内动产</w:t>
      </w:r>
      <w:r>
        <w:rPr>
          <w:color w:val="auto"/>
          <w:sz w:val="26"/>
          <w:szCs w:val="26"/>
        </w:rPr>
        <w:t>于价值时点</w:t>
      </w:r>
      <w:r>
        <w:rPr>
          <w:rFonts w:hint="eastAsia"/>
          <w:color w:val="auto"/>
          <w:sz w:val="26"/>
          <w:szCs w:val="26"/>
        </w:rPr>
        <w:t>现状</w:t>
      </w:r>
      <w:r>
        <w:rPr>
          <w:color w:val="auto"/>
          <w:sz w:val="26"/>
          <w:szCs w:val="26"/>
        </w:rPr>
        <w:t>下的市场价值进行评估</w:t>
      </w:r>
      <w:r>
        <w:rPr>
          <w:rFonts w:hint="eastAsia"/>
          <w:color w:val="auto"/>
          <w:sz w:val="26"/>
          <w:szCs w:val="26"/>
          <w:lang w:eastAsia="zh-CN"/>
        </w:rPr>
        <w:t>，</w:t>
      </w:r>
      <w:r>
        <w:rPr>
          <w:rFonts w:eastAsia="仿宋_GB2312"/>
          <w:color w:val="auto"/>
          <w:sz w:val="26"/>
          <w:szCs w:val="26"/>
        </w:rPr>
        <w:t>为司法拍卖（变卖）提供房地产市场价值</w:t>
      </w:r>
      <w:r>
        <w:rPr>
          <w:rFonts w:hint="eastAsia" w:eastAsia="仿宋_GB2312"/>
          <w:color w:val="auto"/>
          <w:sz w:val="26"/>
          <w:szCs w:val="26"/>
        </w:rPr>
        <w:t xml:space="preserve">参考依据。 </w:t>
      </w:r>
    </w:p>
    <w:p>
      <w:pPr>
        <w:keepNext w:val="0"/>
        <w:keepLines w:val="0"/>
        <w:pageBreakBefore w:val="0"/>
        <w:widowControl w:val="0"/>
        <w:numPr>
          <w:ilvl w:val="0"/>
          <w:numId w:val="4"/>
        </w:numPr>
        <w:kinsoku/>
        <w:wordWrap/>
        <w:overflowPunct/>
        <w:topLinePunct w:val="0"/>
        <w:autoSpaceDE/>
        <w:autoSpaceDN/>
        <w:bidi w:val="0"/>
        <w:adjustRightInd w:val="0"/>
        <w:snapToGrid w:val="0"/>
        <w:spacing w:line="450" w:lineRule="exact"/>
        <w:ind w:left="0" w:leftChars="0" w:right="0" w:rightChars="0"/>
        <w:jc w:val="both"/>
        <w:textAlignment w:val="auto"/>
        <w:rPr>
          <w:rFonts w:eastAsia="仿宋_GB2312"/>
          <w:color w:val="auto"/>
          <w:sz w:val="26"/>
          <w:szCs w:val="26"/>
        </w:rPr>
      </w:pPr>
      <w:r>
        <w:rPr>
          <w:rFonts w:hint="eastAsia" w:eastAsia="仿宋_GB2312"/>
          <w:color w:val="auto"/>
          <w:sz w:val="26"/>
          <w:szCs w:val="26"/>
        </w:rPr>
        <w:t>估价对象概况及范围</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20"/>
        <w:jc w:val="both"/>
        <w:textAlignment w:val="auto"/>
        <w:outlineLvl w:val="9"/>
        <w:rPr>
          <w:rFonts w:hint="eastAsia" w:ascii="仿宋_GB2312" w:hAnsi="仿宋_GB2312" w:eastAsia="仿宋_GB2312" w:cs="仿宋_GB2312"/>
          <w:color w:val="auto"/>
          <w:sz w:val="26"/>
          <w:szCs w:val="28"/>
        </w:rPr>
      </w:pPr>
      <w:r>
        <w:rPr>
          <w:rFonts w:eastAsia="仿宋_GB2312"/>
          <w:color w:val="auto"/>
          <w:sz w:val="26"/>
          <w:szCs w:val="26"/>
        </w:rPr>
        <w:t>本次估价对象为</w:t>
      </w:r>
      <w:r>
        <w:rPr>
          <w:rFonts w:hint="eastAsia" w:eastAsia="仿宋_GB2312"/>
          <w:color w:val="auto"/>
          <w:sz w:val="26"/>
          <w:szCs w:val="26"/>
        </w:rPr>
        <w:t>位于</w:t>
      </w:r>
      <w:r>
        <w:rPr>
          <w:rFonts w:hint="eastAsia"/>
          <w:color w:val="auto"/>
          <w:sz w:val="26"/>
          <w:szCs w:val="26"/>
          <w:lang w:eastAsia="zh-CN"/>
        </w:rPr>
        <w:t>诸暨市暨阳街道滨江花苑11幢3单元402室住宅房地产</w:t>
      </w:r>
      <w:r>
        <w:rPr>
          <w:rFonts w:hint="eastAsia" w:eastAsia="仿宋_GB2312"/>
          <w:color w:val="auto"/>
          <w:sz w:val="26"/>
          <w:szCs w:val="26"/>
        </w:rPr>
        <w:t>，</w:t>
      </w:r>
      <w:r>
        <w:rPr>
          <w:rFonts w:hint="eastAsia"/>
          <w:color w:val="auto"/>
          <w:sz w:val="26"/>
          <w:szCs w:val="26"/>
          <w:lang w:eastAsia="zh-CN"/>
        </w:rPr>
        <w:t>规划</w:t>
      </w:r>
      <w:r>
        <w:rPr>
          <w:rFonts w:hint="eastAsia" w:eastAsia="仿宋_GB2312"/>
          <w:color w:val="auto"/>
          <w:sz w:val="26"/>
          <w:szCs w:val="26"/>
        </w:rPr>
        <w:t>用途为</w:t>
      </w:r>
      <w:r>
        <w:rPr>
          <w:rFonts w:hint="eastAsia"/>
          <w:color w:val="auto"/>
          <w:sz w:val="26"/>
          <w:szCs w:val="26"/>
          <w:lang w:eastAsia="zh-CN"/>
        </w:rPr>
        <w:t>住宅</w:t>
      </w:r>
      <w:r>
        <w:rPr>
          <w:rFonts w:hint="eastAsia" w:eastAsia="仿宋_GB2312"/>
          <w:color w:val="auto"/>
          <w:sz w:val="26"/>
          <w:szCs w:val="26"/>
          <w:lang w:eastAsia="zh-CN"/>
        </w:rPr>
        <w:t>，</w:t>
      </w:r>
      <w:r>
        <w:rPr>
          <w:rFonts w:hint="eastAsia"/>
          <w:color w:val="auto"/>
          <w:sz w:val="26"/>
          <w:szCs w:val="26"/>
          <w:lang w:eastAsia="zh-CN"/>
        </w:rPr>
        <w:t>住宅</w:t>
      </w:r>
      <w:r>
        <w:rPr>
          <w:rFonts w:hint="eastAsia"/>
          <w:color w:val="auto"/>
          <w:sz w:val="26"/>
          <w:szCs w:val="26"/>
        </w:rPr>
        <w:t>建筑面积为</w:t>
      </w:r>
      <w:r>
        <w:rPr>
          <w:rFonts w:hint="eastAsia"/>
          <w:color w:val="auto"/>
          <w:sz w:val="26"/>
          <w:szCs w:val="26"/>
          <w:lang w:eastAsia="zh-CN"/>
        </w:rPr>
        <w:t>139.00</w:t>
      </w:r>
      <w:r>
        <w:rPr>
          <w:rFonts w:hint="eastAsia"/>
          <w:color w:val="auto"/>
          <w:sz w:val="26"/>
          <w:szCs w:val="26"/>
        </w:rPr>
        <w:t>平方米，另有：架空层6.7平方米，车库27.1平方米</w:t>
      </w:r>
      <w:r>
        <w:rPr>
          <w:rFonts w:hint="eastAsia"/>
          <w:color w:val="auto"/>
          <w:sz w:val="26"/>
          <w:szCs w:val="26"/>
          <w:lang w:val="en-US" w:eastAsia="zh-CN"/>
        </w:rPr>
        <w:t>；</w:t>
      </w:r>
      <w:r>
        <w:rPr>
          <w:rFonts w:hint="eastAsia"/>
          <w:color w:val="auto"/>
          <w:sz w:val="26"/>
          <w:szCs w:val="26"/>
        </w:rPr>
        <w:t>国有出让建设用地使用权</w:t>
      </w:r>
      <w:r>
        <w:rPr>
          <w:rFonts w:hint="eastAsia"/>
          <w:color w:val="auto"/>
          <w:sz w:val="26"/>
          <w:szCs w:val="26"/>
          <w:lang w:eastAsia="zh-CN"/>
        </w:rPr>
        <w:t>分摊</w:t>
      </w:r>
      <w:r>
        <w:rPr>
          <w:rFonts w:hint="eastAsia"/>
          <w:color w:val="auto"/>
          <w:sz w:val="26"/>
          <w:szCs w:val="26"/>
        </w:rPr>
        <w:t>面积</w:t>
      </w:r>
      <w:r>
        <w:rPr>
          <w:rFonts w:hint="eastAsia"/>
          <w:color w:val="auto"/>
          <w:sz w:val="26"/>
          <w:szCs w:val="26"/>
          <w:lang w:eastAsia="zh-CN"/>
        </w:rPr>
        <w:t>为</w:t>
      </w:r>
      <w:r>
        <w:rPr>
          <w:rFonts w:hint="eastAsia"/>
          <w:color w:val="auto"/>
          <w:sz w:val="26"/>
          <w:szCs w:val="26"/>
          <w:lang w:val="en-US" w:eastAsia="zh-CN"/>
        </w:rPr>
        <w:t>29.20平方米</w:t>
      </w:r>
      <w:r>
        <w:rPr>
          <w:rFonts w:hint="eastAsia" w:eastAsia="仿宋_GB2312"/>
          <w:color w:val="auto"/>
          <w:sz w:val="26"/>
          <w:szCs w:val="26"/>
        </w:rPr>
        <w:t>。本次估价对象包含国有出让建设用地使用权、建筑物以及所有能使建筑物正常使用的室内增添物（</w:t>
      </w:r>
      <w:r>
        <w:rPr>
          <w:rFonts w:eastAsia="仿宋_GB2312"/>
          <w:color w:val="auto"/>
          <w:sz w:val="26"/>
          <w:szCs w:val="26"/>
        </w:rPr>
        <w:t>包括室内</w:t>
      </w:r>
      <w:r>
        <w:rPr>
          <w:rFonts w:hint="eastAsia" w:eastAsia="仿宋_GB2312"/>
          <w:color w:val="auto"/>
          <w:sz w:val="26"/>
          <w:szCs w:val="26"/>
        </w:rPr>
        <w:t>固定</w:t>
      </w:r>
      <w:r>
        <w:rPr>
          <w:rFonts w:eastAsia="仿宋_GB2312"/>
          <w:color w:val="auto"/>
          <w:sz w:val="26"/>
          <w:szCs w:val="26"/>
        </w:rPr>
        <w:t>装修物、门窗、灯具、</w:t>
      </w:r>
      <w:r>
        <w:rPr>
          <w:rFonts w:hint="eastAsia"/>
          <w:color w:val="auto"/>
          <w:sz w:val="26"/>
          <w:szCs w:val="26"/>
          <w:lang w:eastAsia="zh-CN"/>
        </w:rPr>
        <w:t>开关插座</w:t>
      </w:r>
      <w:r>
        <w:rPr>
          <w:rFonts w:eastAsia="仿宋_GB2312"/>
          <w:color w:val="auto"/>
          <w:sz w:val="26"/>
          <w:szCs w:val="26"/>
        </w:rPr>
        <w:t>、</w:t>
      </w:r>
      <w:r>
        <w:rPr>
          <w:rFonts w:hint="eastAsia"/>
          <w:color w:val="auto"/>
          <w:sz w:val="26"/>
          <w:szCs w:val="26"/>
          <w:lang w:eastAsia="zh-CN"/>
        </w:rPr>
        <w:t>固定壁柜、</w:t>
      </w:r>
      <w:r>
        <w:rPr>
          <w:rFonts w:hint="eastAsia" w:eastAsia="仿宋_GB2312"/>
          <w:color w:val="auto"/>
          <w:sz w:val="26"/>
          <w:szCs w:val="26"/>
        </w:rPr>
        <w:t>厕所</w:t>
      </w:r>
      <w:r>
        <w:rPr>
          <w:rFonts w:hint="eastAsia"/>
          <w:color w:val="auto"/>
          <w:sz w:val="26"/>
          <w:szCs w:val="26"/>
          <w:lang w:eastAsia="zh-CN"/>
        </w:rPr>
        <w:t>和厨房</w:t>
      </w:r>
      <w:r>
        <w:rPr>
          <w:rFonts w:eastAsia="仿宋_GB2312"/>
          <w:color w:val="auto"/>
          <w:sz w:val="26"/>
          <w:szCs w:val="26"/>
        </w:rPr>
        <w:t>内固定设施</w:t>
      </w:r>
      <w:r>
        <w:rPr>
          <w:rFonts w:hint="eastAsia"/>
          <w:color w:val="auto"/>
          <w:sz w:val="26"/>
          <w:szCs w:val="26"/>
          <w:lang w:eastAsia="zh-CN"/>
        </w:rPr>
        <w:t>、室内动产</w:t>
      </w:r>
      <w:r>
        <w:rPr>
          <w:rFonts w:eastAsia="仿宋_GB2312"/>
          <w:color w:val="auto"/>
          <w:sz w:val="26"/>
          <w:szCs w:val="26"/>
        </w:rPr>
        <w:t>等</w:t>
      </w:r>
      <w:r>
        <w:rPr>
          <w:rFonts w:hint="eastAsia" w:eastAsia="仿宋_GB2312"/>
          <w:color w:val="auto"/>
          <w:sz w:val="26"/>
          <w:szCs w:val="26"/>
        </w:rPr>
        <w:t>），但不包含债权债务等。</w:t>
      </w:r>
    </w:p>
    <w:p>
      <w:pPr>
        <w:pStyle w:val="13"/>
        <w:keepNext w:val="0"/>
        <w:keepLines w:val="0"/>
        <w:pageBreakBefore w:val="0"/>
        <w:widowControl w:val="0"/>
        <w:numPr>
          <w:ilvl w:val="0"/>
          <w:numId w:val="4"/>
        </w:numPr>
        <w:tabs>
          <w:tab w:val="left" w:pos="3904"/>
        </w:tabs>
        <w:kinsoku/>
        <w:wordWrap/>
        <w:overflowPunct/>
        <w:topLinePunct w:val="0"/>
        <w:autoSpaceDE/>
        <w:autoSpaceDN/>
        <w:bidi w:val="0"/>
        <w:spacing w:line="450" w:lineRule="exact"/>
        <w:ind w:left="0" w:leftChars="0" w:right="0" w:rightChars="0" w:firstLine="0" w:firstLineChars="0"/>
        <w:jc w:val="both"/>
        <w:textAlignment w:val="auto"/>
        <w:outlineLvl w:val="9"/>
        <w:rPr>
          <w:rFonts w:hint="eastAsia" w:ascii="Times New Roman" w:hAnsi="Times New Roman" w:eastAsia="仿宋_GB2312"/>
          <w:color w:val="auto"/>
          <w:sz w:val="26"/>
          <w:szCs w:val="26"/>
        </w:rPr>
      </w:pPr>
      <w:r>
        <w:rPr>
          <w:rFonts w:hint="eastAsia" w:ascii="Times New Roman" w:hAnsi="Times New Roman" w:eastAsia="仿宋_GB2312"/>
          <w:color w:val="auto"/>
          <w:sz w:val="26"/>
          <w:szCs w:val="26"/>
        </w:rPr>
        <w:t>估价对象区位状况</w:t>
      </w:r>
    </w:p>
    <w:p>
      <w:pPr>
        <w:keepNext w:val="0"/>
        <w:keepLines w:val="0"/>
        <w:pageBreakBefore w:val="0"/>
        <w:widowControl w:val="0"/>
        <w:kinsoku/>
        <w:wordWrap/>
        <w:overflowPunct/>
        <w:topLinePunct w:val="0"/>
        <w:autoSpaceDE/>
        <w:autoSpaceDN/>
        <w:bidi w:val="0"/>
        <w:spacing w:line="450" w:lineRule="exact"/>
        <w:ind w:left="0" w:leftChars="0" w:right="0" w:rightChars="0" w:firstLine="520" w:firstLineChars="200"/>
        <w:jc w:val="both"/>
        <w:textAlignment w:val="auto"/>
        <w:rPr>
          <w:color w:val="auto"/>
          <w:sz w:val="26"/>
          <w:szCs w:val="26"/>
        </w:rPr>
      </w:pPr>
      <w:r>
        <w:rPr>
          <w:color w:val="auto"/>
          <w:sz w:val="26"/>
          <w:szCs w:val="26"/>
        </w:rPr>
        <w:t>位置状况：估价对象座落于</w:t>
      </w:r>
      <w:r>
        <w:rPr>
          <w:rFonts w:hint="eastAsia"/>
          <w:color w:val="auto"/>
          <w:sz w:val="26"/>
          <w:szCs w:val="26"/>
          <w:lang w:eastAsia="zh-CN"/>
        </w:rPr>
        <w:t>诸暨市暨阳街道滨江花苑11幢3单元402室</w:t>
      </w:r>
      <w:r>
        <w:rPr>
          <w:color w:val="auto"/>
          <w:sz w:val="26"/>
          <w:szCs w:val="26"/>
        </w:rPr>
        <w:t>，所在</w:t>
      </w:r>
      <w:r>
        <w:rPr>
          <w:rFonts w:hint="eastAsia"/>
          <w:color w:val="auto"/>
          <w:sz w:val="26"/>
          <w:szCs w:val="26"/>
          <w:lang w:eastAsia="zh-CN"/>
        </w:rPr>
        <w:t>小区</w:t>
      </w:r>
      <w:r>
        <w:rPr>
          <w:rFonts w:hint="eastAsia" w:eastAsia="仿宋_GB2312"/>
          <w:color w:val="auto"/>
          <w:sz w:val="26"/>
          <w:szCs w:val="26"/>
          <w:lang w:eastAsia="zh-CN"/>
        </w:rPr>
        <w:t>东至</w:t>
      </w:r>
      <w:r>
        <w:rPr>
          <w:rFonts w:hint="eastAsia"/>
          <w:color w:val="auto"/>
          <w:sz w:val="26"/>
          <w:szCs w:val="26"/>
          <w:lang w:val="en-US" w:eastAsia="zh-CN"/>
        </w:rPr>
        <w:t>浣东中路</w:t>
      </w:r>
      <w:r>
        <w:rPr>
          <w:rFonts w:hint="eastAsia" w:eastAsia="仿宋_GB2312"/>
          <w:color w:val="auto"/>
          <w:sz w:val="26"/>
          <w:szCs w:val="26"/>
          <w:lang w:eastAsia="zh-CN"/>
        </w:rPr>
        <w:t>，</w:t>
      </w:r>
      <w:r>
        <w:rPr>
          <w:rFonts w:hint="eastAsia"/>
          <w:color w:val="auto"/>
          <w:sz w:val="26"/>
          <w:szCs w:val="26"/>
          <w:lang w:eastAsia="zh-CN"/>
        </w:rPr>
        <w:t>南</w:t>
      </w:r>
      <w:r>
        <w:rPr>
          <w:rFonts w:hint="eastAsia" w:eastAsia="仿宋_GB2312"/>
          <w:color w:val="auto"/>
          <w:sz w:val="26"/>
          <w:szCs w:val="26"/>
          <w:lang w:eastAsia="zh-CN"/>
        </w:rPr>
        <w:t>至</w:t>
      </w:r>
      <w:r>
        <w:rPr>
          <w:rFonts w:hint="eastAsia"/>
          <w:color w:val="auto"/>
          <w:sz w:val="26"/>
          <w:szCs w:val="26"/>
          <w:lang w:val="en-US" w:eastAsia="zh-CN"/>
        </w:rPr>
        <w:t>苎萝东路</w:t>
      </w:r>
      <w:r>
        <w:rPr>
          <w:rFonts w:hint="eastAsia" w:eastAsia="仿宋_GB2312"/>
          <w:color w:val="auto"/>
          <w:sz w:val="26"/>
          <w:szCs w:val="26"/>
          <w:lang w:eastAsia="zh-CN"/>
        </w:rPr>
        <w:t>，</w:t>
      </w:r>
      <w:r>
        <w:rPr>
          <w:rFonts w:hint="eastAsia"/>
          <w:color w:val="auto"/>
          <w:sz w:val="26"/>
          <w:szCs w:val="26"/>
          <w:lang w:eastAsia="zh-CN"/>
        </w:rPr>
        <w:t>西</w:t>
      </w:r>
      <w:r>
        <w:rPr>
          <w:rFonts w:hint="eastAsia" w:eastAsia="仿宋_GB2312"/>
          <w:color w:val="auto"/>
          <w:sz w:val="26"/>
          <w:szCs w:val="26"/>
          <w:lang w:eastAsia="zh-CN"/>
        </w:rPr>
        <w:t>至</w:t>
      </w:r>
      <w:r>
        <w:rPr>
          <w:rFonts w:hint="eastAsia"/>
          <w:color w:val="auto"/>
          <w:sz w:val="26"/>
          <w:szCs w:val="26"/>
          <w:lang w:eastAsia="zh-CN"/>
        </w:rPr>
        <w:t>通道</w:t>
      </w:r>
      <w:r>
        <w:rPr>
          <w:rFonts w:hint="eastAsia" w:eastAsia="仿宋_GB2312"/>
          <w:color w:val="auto"/>
          <w:sz w:val="26"/>
          <w:szCs w:val="26"/>
          <w:lang w:eastAsia="zh-CN"/>
        </w:rPr>
        <w:t>，北至</w:t>
      </w:r>
      <w:r>
        <w:rPr>
          <w:rFonts w:hint="eastAsia"/>
          <w:color w:val="auto"/>
          <w:sz w:val="26"/>
          <w:szCs w:val="26"/>
          <w:lang w:val="en-US" w:eastAsia="zh-CN"/>
        </w:rPr>
        <w:t>滨江南路</w:t>
      </w:r>
      <w:r>
        <w:rPr>
          <w:color w:val="auto"/>
          <w:sz w:val="26"/>
          <w:szCs w:val="26"/>
        </w:rPr>
        <w:t>。</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520" w:firstLineChars="200"/>
        <w:jc w:val="both"/>
        <w:textAlignment w:val="auto"/>
        <w:rPr>
          <w:color w:val="auto"/>
          <w:sz w:val="26"/>
          <w:szCs w:val="26"/>
        </w:rPr>
      </w:pPr>
      <w:r>
        <w:rPr>
          <w:color w:val="auto"/>
          <w:sz w:val="26"/>
          <w:szCs w:val="26"/>
        </w:rPr>
        <w:t>交通状况：道路状况</w:t>
      </w:r>
      <w:r>
        <w:rPr>
          <w:rFonts w:hint="eastAsia"/>
          <w:color w:val="auto"/>
          <w:sz w:val="26"/>
          <w:szCs w:val="26"/>
          <w:lang w:eastAsia="zh-CN"/>
        </w:rPr>
        <w:t>较好</w:t>
      </w:r>
      <w:r>
        <w:rPr>
          <w:color w:val="auto"/>
          <w:sz w:val="26"/>
          <w:szCs w:val="26"/>
        </w:rPr>
        <w:t>，</w:t>
      </w:r>
      <w:r>
        <w:rPr>
          <w:rFonts w:hint="eastAsia"/>
          <w:color w:val="auto"/>
          <w:sz w:val="26"/>
          <w:szCs w:val="26"/>
          <w:lang w:eastAsia="zh-CN"/>
        </w:rPr>
        <w:t>邻近浣东中路、苎萝东路</w:t>
      </w:r>
      <w:r>
        <w:rPr>
          <w:color w:val="auto"/>
          <w:sz w:val="26"/>
          <w:szCs w:val="26"/>
        </w:rPr>
        <w:t>等交通主干道，出入可利用公交车、出租车，停车</w:t>
      </w:r>
      <w:r>
        <w:rPr>
          <w:rFonts w:hint="eastAsia"/>
          <w:color w:val="auto"/>
          <w:sz w:val="26"/>
          <w:szCs w:val="26"/>
          <w:lang w:eastAsia="zh-CN"/>
        </w:rPr>
        <w:t>较</w:t>
      </w:r>
      <w:r>
        <w:rPr>
          <w:color w:val="auto"/>
          <w:sz w:val="26"/>
          <w:szCs w:val="26"/>
        </w:rPr>
        <w:t>便捷。</w:t>
      </w:r>
      <w:r>
        <w:rPr>
          <w:rFonts w:hint="eastAsia" w:eastAsia="仿宋_GB2312"/>
          <w:color w:val="auto"/>
          <w:sz w:val="26"/>
          <w:szCs w:val="26"/>
          <w:lang w:val="en-US" w:eastAsia="zh-CN"/>
        </w:rPr>
        <w:t>小区</w:t>
      </w:r>
      <w:r>
        <w:rPr>
          <w:rFonts w:hint="eastAsia"/>
          <w:color w:val="auto"/>
          <w:sz w:val="26"/>
          <w:szCs w:val="26"/>
          <w:lang w:val="en-US" w:eastAsia="zh-CN"/>
        </w:rPr>
        <w:t>附近</w:t>
      </w:r>
      <w:r>
        <w:rPr>
          <w:rFonts w:hint="eastAsia" w:eastAsia="仿宋_GB2312"/>
          <w:color w:val="auto"/>
          <w:sz w:val="26"/>
          <w:szCs w:val="26"/>
          <w:lang w:val="en-US" w:eastAsia="zh-CN"/>
        </w:rPr>
        <w:t>设有公交站点，</w:t>
      </w:r>
      <w:r>
        <w:rPr>
          <w:rFonts w:hint="eastAsia"/>
          <w:color w:val="auto"/>
          <w:sz w:val="26"/>
          <w:szCs w:val="26"/>
          <w:lang w:val="en-US" w:eastAsia="zh-CN"/>
        </w:rPr>
        <w:t>有诸暨8、10、12、28路等公交路线，</w:t>
      </w:r>
      <w:r>
        <w:rPr>
          <w:rFonts w:hint="eastAsia" w:eastAsia="仿宋_GB2312"/>
          <w:color w:val="auto"/>
          <w:sz w:val="26"/>
          <w:szCs w:val="26"/>
          <w:lang w:val="en-US" w:eastAsia="zh-CN"/>
        </w:rPr>
        <w:t>出行度较</w:t>
      </w:r>
      <w:r>
        <w:rPr>
          <w:rFonts w:hint="eastAsia"/>
          <w:color w:val="auto"/>
          <w:sz w:val="26"/>
          <w:szCs w:val="26"/>
          <w:lang w:val="en-US" w:eastAsia="zh-CN"/>
        </w:rPr>
        <w:t>便捷。</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520" w:firstLineChars="200"/>
        <w:jc w:val="both"/>
        <w:textAlignment w:val="auto"/>
        <w:rPr>
          <w:color w:val="auto"/>
          <w:sz w:val="26"/>
          <w:szCs w:val="26"/>
        </w:rPr>
      </w:pPr>
      <w:r>
        <w:rPr>
          <w:color w:val="auto"/>
          <w:sz w:val="26"/>
          <w:szCs w:val="26"/>
        </w:rPr>
        <w:t>环境状况：自然环境</w:t>
      </w:r>
      <w:r>
        <w:rPr>
          <w:rFonts w:hint="eastAsia"/>
          <w:color w:val="auto"/>
          <w:sz w:val="26"/>
          <w:szCs w:val="26"/>
          <w:lang w:eastAsia="zh-CN"/>
        </w:rPr>
        <w:t>较好</w:t>
      </w:r>
      <w:r>
        <w:rPr>
          <w:color w:val="auto"/>
          <w:sz w:val="26"/>
          <w:szCs w:val="26"/>
        </w:rPr>
        <w:t>，人文环境</w:t>
      </w:r>
      <w:r>
        <w:rPr>
          <w:rFonts w:hint="eastAsia"/>
          <w:color w:val="auto"/>
          <w:sz w:val="26"/>
          <w:szCs w:val="26"/>
          <w:lang w:eastAsia="zh-CN"/>
        </w:rPr>
        <w:t>一般</w:t>
      </w:r>
      <w:r>
        <w:rPr>
          <w:color w:val="auto"/>
          <w:sz w:val="26"/>
          <w:szCs w:val="26"/>
        </w:rPr>
        <w:t>，景观</w:t>
      </w:r>
      <w:r>
        <w:rPr>
          <w:rFonts w:hint="eastAsia"/>
          <w:color w:val="auto"/>
          <w:sz w:val="26"/>
          <w:szCs w:val="26"/>
          <w:lang w:eastAsia="zh-CN"/>
        </w:rPr>
        <w:t>一般，</w:t>
      </w:r>
      <w:r>
        <w:rPr>
          <w:rFonts w:hint="eastAsia"/>
          <w:color w:val="auto"/>
          <w:sz w:val="26"/>
          <w:szCs w:val="26"/>
          <w:lang w:val="en-US" w:eastAsia="zh-CN"/>
        </w:rPr>
        <w:t>住宅楼</w:t>
      </w:r>
      <w:r>
        <w:rPr>
          <w:rFonts w:hint="eastAsia" w:eastAsia="仿宋_GB2312"/>
          <w:color w:val="auto"/>
          <w:sz w:val="26"/>
          <w:szCs w:val="26"/>
          <w:lang w:val="en-US" w:eastAsia="zh-CN"/>
        </w:rPr>
        <w:t>所在区域整体环境状况</w:t>
      </w:r>
      <w:r>
        <w:rPr>
          <w:rFonts w:hint="eastAsia"/>
          <w:color w:val="auto"/>
          <w:sz w:val="26"/>
          <w:szCs w:val="26"/>
          <w:lang w:val="en-US" w:eastAsia="zh-CN"/>
        </w:rPr>
        <w:t>一般</w:t>
      </w:r>
      <w:r>
        <w:rPr>
          <w:rFonts w:hint="eastAsia" w:eastAsia="仿宋_GB2312"/>
          <w:color w:val="auto"/>
          <w:sz w:val="26"/>
          <w:szCs w:val="26"/>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520" w:firstLineChars="200"/>
        <w:jc w:val="both"/>
        <w:textAlignment w:val="auto"/>
        <w:rPr>
          <w:rFonts w:hint="eastAsia" w:eastAsia="仿宋_GB2312"/>
          <w:color w:val="auto"/>
          <w:sz w:val="26"/>
          <w:szCs w:val="26"/>
          <w:lang w:eastAsia="zh-CN"/>
        </w:rPr>
      </w:pPr>
      <w:r>
        <w:rPr>
          <w:color w:val="auto"/>
          <w:sz w:val="26"/>
          <w:szCs w:val="26"/>
        </w:rPr>
        <w:t>配套设施状况：基础设施完备，公共服务设施完备。</w:t>
      </w:r>
      <w:r>
        <w:rPr>
          <w:rFonts w:hint="eastAsia" w:eastAsia="仿宋_GB2312"/>
          <w:color w:val="auto"/>
          <w:sz w:val="26"/>
          <w:szCs w:val="26"/>
          <w:lang w:val="en-US" w:eastAsia="zh-CN"/>
        </w:rPr>
        <w:t>周边主要</w:t>
      </w:r>
      <w:r>
        <w:rPr>
          <w:rFonts w:hint="eastAsia"/>
          <w:color w:val="auto"/>
          <w:sz w:val="26"/>
          <w:szCs w:val="26"/>
          <w:lang w:val="en-US" w:eastAsia="zh-CN"/>
        </w:rPr>
        <w:t>有金凤小区、八达·旺庄等住宅小区</w:t>
      </w:r>
      <w:r>
        <w:rPr>
          <w:rFonts w:hint="eastAsia" w:eastAsia="仿宋_GB2312"/>
          <w:color w:val="auto"/>
          <w:sz w:val="26"/>
          <w:szCs w:val="26"/>
          <w:lang w:val="en-US" w:eastAsia="zh-CN"/>
        </w:rPr>
        <w:t>，基础配套设施及公共服务设施齐全；附近有</w:t>
      </w:r>
      <w:r>
        <w:rPr>
          <w:rFonts w:hint="eastAsia"/>
          <w:color w:val="auto"/>
          <w:sz w:val="26"/>
          <w:szCs w:val="26"/>
          <w:lang w:val="en-US" w:eastAsia="zh-CN"/>
        </w:rPr>
        <w:t>中国建设银行、中国邮政储蓄银行、诸暨市江东小学、诸暨市城市广场等公共基础配套设施。</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both"/>
        <w:textAlignment w:val="auto"/>
        <w:outlineLvl w:val="9"/>
        <w:rPr>
          <w:rFonts w:hint="eastAsia" w:ascii="Times New Roman" w:hAnsi="Times New Roman"/>
          <w:b w:val="0"/>
          <w:bCs w:val="0"/>
          <w:color w:val="auto"/>
          <w:sz w:val="26"/>
          <w:szCs w:val="26"/>
        </w:rPr>
      </w:pPr>
      <w:r>
        <w:rPr>
          <w:rFonts w:hint="eastAsia"/>
          <w:b w:val="0"/>
          <w:bCs w:val="0"/>
          <w:color w:val="auto"/>
          <w:sz w:val="26"/>
          <w:szCs w:val="26"/>
          <w:lang w:eastAsia="zh-CN"/>
        </w:rPr>
        <w:t>（四）</w:t>
      </w:r>
      <w:r>
        <w:rPr>
          <w:rFonts w:hint="eastAsia" w:ascii="Times New Roman" w:hAnsi="Times New Roman"/>
          <w:b w:val="0"/>
          <w:bCs w:val="0"/>
          <w:color w:val="auto"/>
          <w:sz w:val="26"/>
          <w:szCs w:val="26"/>
        </w:rPr>
        <w:t>估价对象权属情况如表所示</w:t>
      </w:r>
    </w:p>
    <w:p>
      <w:pPr>
        <w:keepNext w:val="0"/>
        <w:keepLines w:val="0"/>
        <w:pageBreakBefore w:val="0"/>
        <w:widowControl w:val="0"/>
        <w:kinsoku/>
        <w:wordWrap/>
        <w:overflowPunct/>
        <w:topLinePunct w:val="0"/>
        <w:autoSpaceDE/>
        <w:autoSpaceDN/>
        <w:bidi w:val="0"/>
        <w:spacing w:line="490" w:lineRule="exact"/>
        <w:ind w:left="0" w:leftChars="0" w:right="0" w:rightChars="0"/>
        <w:textAlignment w:val="auto"/>
        <w:rPr>
          <w:rFonts w:hint="eastAsia"/>
          <w:b/>
          <w:bCs/>
          <w:color w:val="auto"/>
          <w:sz w:val="26"/>
          <w:szCs w:val="26"/>
          <w:lang w:val="en-US" w:eastAsia="zh-CN"/>
        </w:rPr>
      </w:pPr>
      <w:r>
        <w:rPr>
          <w:b/>
          <w:bCs/>
          <w:color w:val="auto"/>
          <w:sz w:val="26"/>
          <w:szCs w:val="26"/>
        </w:rPr>
        <w:fldChar w:fldCharType="begin"/>
      </w:r>
      <w:r>
        <w:rPr>
          <w:b/>
          <w:bCs/>
          <w:color w:val="auto"/>
          <w:sz w:val="26"/>
          <w:szCs w:val="26"/>
        </w:rPr>
        <w:instrText xml:space="preserve"> = 1 \* GB3 \* MERGEFORMAT </w:instrText>
      </w:r>
      <w:r>
        <w:rPr>
          <w:b/>
          <w:bCs/>
          <w:color w:val="auto"/>
          <w:sz w:val="26"/>
          <w:szCs w:val="26"/>
        </w:rPr>
        <w:fldChar w:fldCharType="separate"/>
      </w:r>
      <w:r>
        <w:rPr>
          <w:b/>
          <w:bCs/>
          <w:color w:val="auto"/>
        </w:rPr>
        <w:t>①</w:t>
      </w:r>
      <w:r>
        <w:rPr>
          <w:b/>
          <w:bCs/>
          <w:color w:val="auto"/>
          <w:sz w:val="26"/>
          <w:szCs w:val="26"/>
        </w:rPr>
        <w:fldChar w:fldCharType="end"/>
      </w:r>
      <w:r>
        <w:rPr>
          <w:rFonts w:hint="eastAsia"/>
          <w:b/>
          <w:bCs/>
          <w:color w:val="auto"/>
          <w:sz w:val="26"/>
          <w:szCs w:val="26"/>
          <w:lang w:eastAsia="zh-CN"/>
        </w:rPr>
        <w:t>房权证诸字第</w:t>
      </w:r>
      <w:r>
        <w:rPr>
          <w:rFonts w:hint="eastAsia"/>
          <w:b/>
          <w:bCs/>
          <w:color w:val="auto"/>
          <w:sz w:val="26"/>
          <w:szCs w:val="26"/>
          <w:lang w:val="en-US" w:eastAsia="zh-CN"/>
        </w:rPr>
        <w:t>52010号《房屋所有权证》</w:t>
      </w:r>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826"/>
        <w:gridCol w:w="272"/>
        <w:gridCol w:w="540"/>
        <w:gridCol w:w="857"/>
        <w:gridCol w:w="1251"/>
        <w:gridCol w:w="294"/>
        <w:gridCol w:w="1290"/>
        <w:gridCol w:w="1064"/>
        <w:gridCol w:w="137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房屋所有权人</w:t>
            </w:r>
          </w:p>
        </w:tc>
        <w:tc>
          <w:tcPr>
            <w:tcW w:w="4037"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4"/>
                <w:szCs w:val="24"/>
                <w:lang w:val="en-US" w:eastAsia="zh-CN"/>
              </w:rPr>
            </w:pPr>
            <w:r>
              <w:rPr>
                <w:rFonts w:hint="eastAsia" w:cs="Times New Roman"/>
                <w:color w:val="auto"/>
                <w:szCs w:val="24"/>
                <w:lang w:eastAsia="zh-CN"/>
              </w:rPr>
              <w:t>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房屋坐落</w:t>
            </w:r>
          </w:p>
        </w:tc>
        <w:tc>
          <w:tcPr>
            <w:tcW w:w="4037"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4"/>
                <w:szCs w:val="24"/>
                <w:lang w:val="en-US" w:eastAsia="zh-CN"/>
              </w:rPr>
            </w:pPr>
            <w:r>
              <w:rPr>
                <w:rFonts w:hint="eastAsia" w:cs="Times New Roman"/>
                <w:color w:val="auto"/>
                <w:szCs w:val="24"/>
                <w:lang w:eastAsia="zh-CN"/>
              </w:rPr>
              <w:t>暨阳街道滨江花苑11幢3单元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丘（地）号</w:t>
            </w:r>
          </w:p>
        </w:tc>
        <w:tc>
          <w:tcPr>
            <w:tcW w:w="134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4"/>
                <w:szCs w:val="24"/>
                <w:lang w:val="en-US" w:eastAsia="zh-CN"/>
              </w:rPr>
            </w:pPr>
            <w:r>
              <w:rPr>
                <w:rFonts w:hint="eastAsia" w:cs="Times New Roman"/>
                <w:color w:val="auto"/>
                <w:sz w:val="24"/>
                <w:szCs w:val="24"/>
                <w:lang w:eastAsia="zh-CN"/>
              </w:rPr>
              <w:t>机电</w:t>
            </w:r>
            <w:r>
              <w:rPr>
                <w:rFonts w:hint="eastAsia" w:cs="Times New Roman"/>
                <w:color w:val="auto"/>
                <w:sz w:val="24"/>
                <w:szCs w:val="24"/>
                <w:lang w:val="en-US" w:eastAsia="zh-CN"/>
              </w:rPr>
              <w:t>3  13</w:t>
            </w:r>
          </w:p>
        </w:tc>
        <w:tc>
          <w:tcPr>
            <w:tcW w:w="134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产别</w:t>
            </w:r>
          </w:p>
        </w:tc>
        <w:tc>
          <w:tcPr>
            <w:tcW w:w="134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房屋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状况</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幢号</w:t>
            </w:r>
          </w:p>
        </w:tc>
        <w:tc>
          <w:tcPr>
            <w:tcW w:w="41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房号</w:t>
            </w:r>
          </w:p>
        </w:tc>
        <w:tc>
          <w:tcPr>
            <w:tcW w:w="4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结构</w:t>
            </w:r>
          </w:p>
        </w:tc>
        <w:tc>
          <w:tcPr>
            <w:tcW w:w="7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房屋总层数</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所在层数</w:t>
            </w:r>
          </w:p>
        </w:tc>
        <w:tc>
          <w:tcPr>
            <w:tcW w:w="123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建筑面积（平方米）</w:t>
            </w: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设计用途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r>
              <w:rPr>
                <w:rFonts w:hint="eastAsia" w:cs="Times New Roman"/>
                <w:color w:val="auto"/>
                <w:sz w:val="24"/>
                <w:szCs w:val="24"/>
                <w:lang w:val="en-US" w:eastAsia="zh-CN"/>
              </w:rPr>
              <w:t>1</w:t>
            </w:r>
          </w:p>
        </w:tc>
        <w:tc>
          <w:tcPr>
            <w:tcW w:w="41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val="en-US" w:eastAsia="zh-CN"/>
              </w:rPr>
            </w:pPr>
            <w:r>
              <w:rPr>
                <w:rFonts w:hint="eastAsia" w:cs="Times New Roman"/>
                <w:color w:val="auto"/>
                <w:sz w:val="24"/>
                <w:szCs w:val="24"/>
                <w:lang w:val="en-US" w:eastAsia="zh-CN"/>
              </w:rPr>
              <w:t>402</w:t>
            </w:r>
          </w:p>
        </w:tc>
        <w:tc>
          <w:tcPr>
            <w:tcW w:w="4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eastAsia" w:cs="Times New Roman"/>
                <w:color w:val="auto"/>
                <w:sz w:val="24"/>
                <w:szCs w:val="24"/>
                <w:lang w:eastAsia="zh-CN"/>
              </w:rPr>
              <w:t>砖混</w:t>
            </w:r>
          </w:p>
        </w:tc>
        <w:tc>
          <w:tcPr>
            <w:tcW w:w="7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val="en-US" w:eastAsia="zh-CN"/>
              </w:rPr>
            </w:pPr>
            <w:r>
              <w:rPr>
                <w:rFonts w:hint="eastAsia" w:cs="Times New Roman"/>
                <w:color w:val="auto"/>
                <w:sz w:val="24"/>
                <w:szCs w:val="24"/>
                <w:lang w:val="en-US" w:eastAsia="zh-CN"/>
              </w:rPr>
              <w:t>6</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val="en-US" w:eastAsia="zh-CN"/>
              </w:rPr>
            </w:pPr>
            <w:r>
              <w:rPr>
                <w:rFonts w:hint="eastAsia" w:cs="Times New Roman"/>
                <w:color w:val="auto"/>
                <w:sz w:val="24"/>
                <w:szCs w:val="24"/>
                <w:lang w:val="en-US" w:eastAsia="zh-CN"/>
              </w:rPr>
              <w:t>4</w:t>
            </w:r>
          </w:p>
        </w:tc>
        <w:tc>
          <w:tcPr>
            <w:tcW w:w="123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val="en-US" w:eastAsia="zh-CN"/>
              </w:rPr>
            </w:pPr>
            <w:r>
              <w:rPr>
                <w:rFonts w:hint="eastAsia" w:cs="Times New Roman"/>
                <w:color w:val="auto"/>
                <w:sz w:val="24"/>
                <w:szCs w:val="24"/>
                <w:lang w:val="en-US" w:eastAsia="zh-CN"/>
              </w:rPr>
              <w:t>139.00</w:t>
            </w: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4"/>
                <w:szCs w:val="24"/>
                <w:lang w:eastAsia="zh-CN"/>
              </w:rPr>
            </w:pPr>
            <w:r>
              <w:rPr>
                <w:rFonts w:hint="eastAsia" w:cs="Times New Roman"/>
                <w:color w:val="auto"/>
                <w:sz w:val="24"/>
                <w:szCs w:val="24"/>
                <w:lang w:eastAsia="zh-CN"/>
              </w:rPr>
              <w:t>附记</w:t>
            </w:r>
          </w:p>
        </w:tc>
        <w:tc>
          <w:tcPr>
            <w:tcW w:w="4037"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s="Times New Roman"/>
                <w:color w:val="auto"/>
                <w:sz w:val="24"/>
                <w:szCs w:val="24"/>
                <w:lang w:val="en-US" w:eastAsia="zh-CN"/>
              </w:rPr>
            </w:pPr>
            <w:r>
              <w:rPr>
                <w:rFonts w:hint="eastAsia" w:cs="Times New Roman"/>
                <w:color w:val="auto"/>
                <w:sz w:val="24"/>
                <w:szCs w:val="24"/>
                <w:lang w:eastAsia="zh-CN"/>
              </w:rPr>
              <w:t>另有：架空层</w:t>
            </w:r>
            <w:r>
              <w:rPr>
                <w:rFonts w:hint="eastAsia" w:cs="Times New Roman"/>
                <w:color w:val="auto"/>
                <w:sz w:val="24"/>
                <w:szCs w:val="24"/>
                <w:lang w:val="en-US" w:eastAsia="zh-CN"/>
              </w:rPr>
              <w:t>6.7平方米</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both"/>
              <w:textAlignment w:val="auto"/>
              <w:rPr>
                <w:rFonts w:hint="default" w:cs="Times New Roman"/>
                <w:color w:val="auto"/>
                <w:sz w:val="24"/>
                <w:szCs w:val="24"/>
                <w:lang w:val="en-US" w:eastAsia="zh-CN"/>
              </w:rPr>
            </w:pPr>
            <w:r>
              <w:rPr>
                <w:rFonts w:hint="eastAsia" w:cs="Times New Roman"/>
                <w:color w:val="auto"/>
                <w:sz w:val="24"/>
                <w:szCs w:val="24"/>
                <w:lang w:val="en-US" w:eastAsia="zh-CN"/>
              </w:rPr>
              <w:t>车库27.1平方米</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bCs/>
          <w:color w:val="auto"/>
          <w:sz w:val="26"/>
          <w:szCs w:val="26"/>
        </w:rPr>
      </w:pPr>
      <w:r>
        <w:rPr>
          <w:rFonts w:hint="default" w:ascii="Times New Roman" w:hAnsi="Times New Roman" w:eastAsia="仿宋_GB2312" w:cs="Times New Roman"/>
          <w:b/>
          <w:bCs/>
          <w:color w:val="auto"/>
          <w:sz w:val="26"/>
          <w:szCs w:val="26"/>
        </w:rPr>
        <w:fldChar w:fldCharType="begin"/>
      </w:r>
      <w:r>
        <w:rPr>
          <w:rFonts w:hint="default" w:ascii="Times New Roman" w:hAnsi="Times New Roman" w:eastAsia="仿宋_GB2312" w:cs="Times New Roman"/>
          <w:b/>
          <w:bCs/>
          <w:color w:val="auto"/>
          <w:sz w:val="26"/>
          <w:szCs w:val="26"/>
        </w:rPr>
        <w:instrText xml:space="preserve"> = 2 \* GB3 \* MERGEFORMAT </w:instrText>
      </w:r>
      <w:r>
        <w:rPr>
          <w:rFonts w:hint="default" w:ascii="Times New Roman" w:hAnsi="Times New Roman" w:eastAsia="仿宋_GB2312" w:cs="Times New Roman"/>
          <w:b/>
          <w:bCs/>
          <w:color w:val="auto"/>
          <w:sz w:val="26"/>
          <w:szCs w:val="26"/>
        </w:rPr>
        <w:fldChar w:fldCharType="separate"/>
      </w:r>
      <w:r>
        <w:rPr>
          <w:rFonts w:hint="default" w:ascii="Times New Roman" w:hAnsi="Times New Roman" w:eastAsia="仿宋_GB2312" w:cs="Times New Roman"/>
          <w:b/>
          <w:bCs/>
          <w:color w:val="auto"/>
        </w:rPr>
        <w:t>②</w:t>
      </w:r>
      <w:r>
        <w:rPr>
          <w:rFonts w:hint="default" w:ascii="Times New Roman" w:hAnsi="Times New Roman" w:eastAsia="仿宋_GB2312" w:cs="Times New Roman"/>
          <w:b/>
          <w:bCs/>
          <w:color w:val="auto"/>
          <w:sz w:val="26"/>
          <w:szCs w:val="26"/>
        </w:rPr>
        <w:fldChar w:fldCharType="end"/>
      </w:r>
      <w:r>
        <w:rPr>
          <w:rFonts w:hint="eastAsia" w:cs="Times New Roman"/>
          <w:b/>
          <w:bCs/>
          <w:color w:val="auto"/>
          <w:sz w:val="26"/>
          <w:szCs w:val="26"/>
          <w:lang w:eastAsia="zh-CN"/>
        </w:rPr>
        <w:t>诸暨</w:t>
      </w:r>
      <w:r>
        <w:rPr>
          <w:rFonts w:hint="default" w:ascii="Times New Roman" w:hAnsi="Times New Roman" w:eastAsia="仿宋_GB2312" w:cs="Times New Roman"/>
          <w:b/>
          <w:bCs/>
          <w:color w:val="auto"/>
          <w:sz w:val="26"/>
          <w:szCs w:val="26"/>
          <w:lang w:eastAsia="zh-CN"/>
        </w:rPr>
        <w:t>国用（</w:t>
      </w:r>
      <w:r>
        <w:rPr>
          <w:rFonts w:hint="default" w:ascii="Times New Roman" w:hAnsi="Times New Roman" w:eastAsia="仿宋_GB2312" w:cs="Times New Roman"/>
          <w:b/>
          <w:bCs/>
          <w:color w:val="auto"/>
          <w:sz w:val="26"/>
          <w:szCs w:val="26"/>
          <w:lang w:val="en-US" w:eastAsia="zh-CN"/>
        </w:rPr>
        <w:t>200</w:t>
      </w:r>
      <w:r>
        <w:rPr>
          <w:rFonts w:hint="eastAsia" w:cs="Times New Roman"/>
          <w:b/>
          <w:bCs/>
          <w:color w:val="auto"/>
          <w:sz w:val="26"/>
          <w:szCs w:val="26"/>
          <w:lang w:val="en-US" w:eastAsia="zh-CN"/>
        </w:rPr>
        <w:t>1</w:t>
      </w:r>
      <w:r>
        <w:rPr>
          <w:rFonts w:hint="default" w:ascii="Times New Roman" w:hAnsi="Times New Roman" w:eastAsia="仿宋_GB2312" w:cs="Times New Roman"/>
          <w:b/>
          <w:bCs/>
          <w:color w:val="auto"/>
          <w:sz w:val="26"/>
          <w:szCs w:val="26"/>
          <w:lang w:eastAsia="zh-CN"/>
        </w:rPr>
        <w:t>）</w:t>
      </w:r>
      <w:r>
        <w:rPr>
          <w:rFonts w:hint="eastAsia" w:cs="Times New Roman"/>
          <w:b/>
          <w:bCs/>
          <w:color w:val="auto"/>
          <w:sz w:val="26"/>
          <w:szCs w:val="26"/>
          <w:lang w:eastAsia="zh-CN"/>
        </w:rPr>
        <w:t>字</w:t>
      </w:r>
      <w:r>
        <w:rPr>
          <w:rFonts w:hint="default" w:ascii="Times New Roman" w:hAnsi="Times New Roman" w:eastAsia="仿宋_GB2312" w:cs="Times New Roman"/>
          <w:b/>
          <w:bCs/>
          <w:color w:val="auto"/>
          <w:sz w:val="26"/>
          <w:szCs w:val="26"/>
          <w:lang w:eastAsia="zh-CN"/>
        </w:rPr>
        <w:t>第</w:t>
      </w:r>
      <w:r>
        <w:rPr>
          <w:rFonts w:hint="eastAsia" w:cs="Times New Roman"/>
          <w:b/>
          <w:bCs/>
          <w:color w:val="auto"/>
          <w:sz w:val="26"/>
          <w:szCs w:val="26"/>
          <w:lang w:val="en-US" w:eastAsia="zh-CN"/>
        </w:rPr>
        <w:t>1-1093</w:t>
      </w:r>
      <w:r>
        <w:rPr>
          <w:rFonts w:hint="default" w:ascii="Times New Roman" w:hAnsi="Times New Roman" w:eastAsia="仿宋_GB2312" w:cs="Times New Roman"/>
          <w:b/>
          <w:bCs/>
          <w:color w:val="auto"/>
          <w:sz w:val="26"/>
          <w:szCs w:val="26"/>
          <w:lang w:val="en-US" w:eastAsia="zh-CN"/>
        </w:rPr>
        <w:t>号</w:t>
      </w:r>
      <w:r>
        <w:rPr>
          <w:rFonts w:hint="default" w:ascii="Times New Roman" w:hAnsi="Times New Roman" w:eastAsia="仿宋_GB2312" w:cs="Times New Roman"/>
          <w:b/>
          <w:bCs/>
          <w:color w:val="auto"/>
          <w:sz w:val="26"/>
          <w:szCs w:val="26"/>
        </w:rPr>
        <w:t>《国有土地使用证》</w:t>
      </w:r>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6"/>
        <w:gridCol w:w="2943"/>
        <w:gridCol w:w="2240"/>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2"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土地使用权人</w:t>
            </w:r>
          </w:p>
        </w:tc>
        <w:tc>
          <w:tcPr>
            <w:tcW w:w="4057" w:type="pct"/>
            <w:gridSpan w:val="3"/>
            <w:vAlign w:val="center"/>
          </w:tcPr>
          <w:p>
            <w:pPr>
              <w:spacing w:line="340" w:lineRule="exact"/>
              <w:rPr>
                <w:rFonts w:hint="default" w:ascii="Times New Roman" w:hAnsi="Times New Roman" w:eastAsia="仿宋_GB2312" w:cs="Times New Roman"/>
                <w:color w:val="auto"/>
                <w:szCs w:val="24"/>
              </w:rPr>
            </w:pPr>
            <w:r>
              <w:rPr>
                <w:rFonts w:hint="eastAsia" w:cs="Times New Roman"/>
                <w:color w:val="auto"/>
                <w:szCs w:val="24"/>
                <w:lang w:eastAsia="zh-CN"/>
              </w:rPr>
              <w:t>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2"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座      落</w:t>
            </w:r>
          </w:p>
        </w:tc>
        <w:tc>
          <w:tcPr>
            <w:tcW w:w="4057" w:type="pct"/>
            <w:gridSpan w:val="3"/>
            <w:vAlign w:val="center"/>
          </w:tcPr>
          <w:p>
            <w:pPr>
              <w:spacing w:line="340" w:lineRule="exact"/>
              <w:rPr>
                <w:rFonts w:hint="default" w:ascii="Times New Roman" w:hAnsi="Times New Roman" w:eastAsia="仿宋_GB2312" w:cs="Times New Roman"/>
                <w:color w:val="auto"/>
                <w:szCs w:val="24"/>
                <w:lang w:val="en-US"/>
              </w:rPr>
            </w:pPr>
            <w:r>
              <w:rPr>
                <w:rFonts w:hint="eastAsia" w:cs="Times New Roman"/>
                <w:color w:val="auto"/>
                <w:szCs w:val="24"/>
                <w:lang w:eastAsia="zh-CN"/>
              </w:rPr>
              <w:t>城关镇滨江花苑高级公寓</w:t>
            </w:r>
            <w:r>
              <w:rPr>
                <w:rFonts w:hint="eastAsia" w:cs="Times New Roman"/>
                <w:color w:val="auto"/>
                <w:szCs w:val="24"/>
                <w:lang w:val="en-US" w:eastAsia="zh-CN"/>
              </w:rPr>
              <w:t>11号3单元402室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2"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地      号</w:t>
            </w:r>
          </w:p>
        </w:tc>
        <w:tc>
          <w:tcPr>
            <w:tcW w:w="1494" w:type="pct"/>
            <w:vAlign w:val="center"/>
          </w:tcPr>
          <w:p>
            <w:pPr>
              <w:spacing w:line="340" w:lineRule="exact"/>
              <w:jc w:val="center"/>
              <w:rPr>
                <w:rFonts w:hint="default" w:ascii="Times New Roman" w:hAnsi="Times New Roman" w:eastAsia="仿宋_GB2312" w:cs="Times New Roman"/>
                <w:color w:val="auto"/>
                <w:szCs w:val="24"/>
                <w:lang w:val="en-US" w:eastAsia="zh-CN"/>
              </w:rPr>
            </w:pPr>
            <w:r>
              <w:rPr>
                <w:rFonts w:hint="eastAsia" w:cs="Times New Roman"/>
                <w:color w:val="auto"/>
                <w:szCs w:val="24"/>
                <w:lang w:val="en-US" w:eastAsia="zh-CN"/>
              </w:rPr>
              <w:t>1-148-0-268</w:t>
            </w:r>
          </w:p>
        </w:tc>
        <w:tc>
          <w:tcPr>
            <w:tcW w:w="1137"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图</w:t>
            </w:r>
            <w:r>
              <w:rPr>
                <w:rFonts w:hint="default" w:ascii="Times New Roman" w:hAnsi="Times New Roman" w:eastAsia="仿宋_GB2312" w:cs="Times New Roman"/>
                <w:color w:val="auto"/>
                <w:szCs w:val="24"/>
                <w:lang w:val="en-US" w:eastAsia="zh-CN"/>
              </w:rPr>
              <w:t xml:space="preserve">    </w:t>
            </w:r>
            <w:r>
              <w:rPr>
                <w:rFonts w:hint="default" w:ascii="Times New Roman" w:hAnsi="Times New Roman" w:eastAsia="仿宋_GB2312" w:cs="Times New Roman"/>
                <w:color w:val="auto"/>
                <w:szCs w:val="24"/>
              </w:rPr>
              <w:t>号</w:t>
            </w:r>
          </w:p>
        </w:tc>
        <w:tc>
          <w:tcPr>
            <w:tcW w:w="1426" w:type="pct"/>
            <w:vAlign w:val="center"/>
          </w:tcPr>
          <w:p>
            <w:pPr>
              <w:spacing w:line="340" w:lineRule="exact"/>
              <w:jc w:val="center"/>
              <w:rPr>
                <w:rFonts w:hint="default" w:ascii="Times New Roman" w:hAnsi="Times New Roman" w:eastAsia="仿宋_GB2312" w:cs="Times New Roman"/>
                <w:color w:val="auto"/>
                <w:szCs w:val="24"/>
                <w:lang w:val="en-US" w:eastAsia="zh-CN"/>
              </w:rPr>
            </w:pPr>
            <w:r>
              <w:rPr>
                <w:rFonts w:hint="eastAsia" w:cs="Times New Roman"/>
                <w:color w:val="auto"/>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42"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地类（用途）</w:t>
            </w:r>
          </w:p>
        </w:tc>
        <w:tc>
          <w:tcPr>
            <w:tcW w:w="1494" w:type="pct"/>
            <w:vAlign w:val="center"/>
          </w:tcPr>
          <w:p>
            <w:pPr>
              <w:spacing w:line="340" w:lineRule="exact"/>
              <w:jc w:val="center"/>
              <w:rPr>
                <w:rFonts w:hint="default" w:ascii="Times New Roman" w:hAnsi="Times New Roman" w:eastAsia="仿宋_GB2312" w:cs="Times New Roman"/>
                <w:color w:val="auto"/>
                <w:szCs w:val="24"/>
                <w:lang w:val="en-US" w:eastAsia="zh-CN"/>
              </w:rPr>
            </w:pPr>
            <w:r>
              <w:rPr>
                <w:rFonts w:hint="eastAsia" w:cs="Times New Roman"/>
                <w:color w:val="auto"/>
                <w:szCs w:val="24"/>
                <w:lang w:val="en-US" w:eastAsia="zh-CN"/>
              </w:rPr>
              <w:t>综合</w:t>
            </w:r>
            <w:r>
              <w:rPr>
                <w:rFonts w:hint="default" w:ascii="Times New Roman" w:hAnsi="Times New Roman" w:eastAsia="仿宋_GB2312" w:cs="Times New Roman"/>
                <w:color w:val="auto"/>
                <w:szCs w:val="24"/>
                <w:lang w:val="en-US" w:eastAsia="zh-CN"/>
              </w:rPr>
              <w:t>用地</w:t>
            </w:r>
          </w:p>
        </w:tc>
        <w:tc>
          <w:tcPr>
            <w:tcW w:w="1137" w:type="pct"/>
            <w:vAlign w:val="center"/>
          </w:tcPr>
          <w:p>
            <w:pPr>
              <w:spacing w:line="340" w:lineRule="exact"/>
              <w:jc w:val="center"/>
              <w:rPr>
                <w:rFonts w:hint="default" w:ascii="Times New Roman" w:hAnsi="Times New Roman" w:eastAsia="仿宋_GB2312" w:cs="Times New Roman"/>
                <w:color w:val="auto"/>
                <w:szCs w:val="24"/>
                <w:lang w:eastAsia="zh-CN"/>
              </w:rPr>
            </w:pPr>
            <w:r>
              <w:rPr>
                <w:rFonts w:hint="default" w:ascii="Times New Roman" w:hAnsi="Times New Roman" w:eastAsia="仿宋_GB2312" w:cs="Times New Roman"/>
                <w:color w:val="auto"/>
                <w:szCs w:val="24"/>
                <w:lang w:eastAsia="zh-CN"/>
              </w:rPr>
              <w:t>取得价格</w:t>
            </w:r>
          </w:p>
        </w:tc>
        <w:tc>
          <w:tcPr>
            <w:tcW w:w="1426"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2"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使用权类型</w:t>
            </w:r>
          </w:p>
        </w:tc>
        <w:tc>
          <w:tcPr>
            <w:tcW w:w="1494"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出让</w:t>
            </w:r>
          </w:p>
        </w:tc>
        <w:tc>
          <w:tcPr>
            <w:tcW w:w="1137"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终止日期</w:t>
            </w:r>
          </w:p>
        </w:tc>
        <w:tc>
          <w:tcPr>
            <w:tcW w:w="1426"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lang w:val="en-US" w:eastAsia="zh-CN"/>
              </w:rPr>
              <w:t>20</w:t>
            </w:r>
            <w:r>
              <w:rPr>
                <w:rFonts w:hint="eastAsia" w:cs="Times New Roman"/>
                <w:color w:val="auto"/>
                <w:szCs w:val="24"/>
                <w:lang w:val="en-US" w:eastAsia="zh-CN"/>
              </w:rPr>
              <w:t>67</w:t>
            </w:r>
            <w:r>
              <w:rPr>
                <w:rFonts w:hint="default" w:ascii="Times New Roman" w:hAnsi="Times New Roman" w:eastAsia="仿宋_GB2312" w:cs="Times New Roman"/>
                <w:color w:val="auto"/>
                <w:szCs w:val="24"/>
              </w:rPr>
              <w:t>年</w:t>
            </w:r>
            <w:r>
              <w:rPr>
                <w:rFonts w:hint="eastAsia" w:cs="Times New Roman"/>
                <w:color w:val="auto"/>
                <w:szCs w:val="24"/>
                <w:lang w:val="en-US" w:eastAsia="zh-CN"/>
              </w:rPr>
              <w:t>4</w:t>
            </w:r>
            <w:r>
              <w:rPr>
                <w:rFonts w:hint="default" w:ascii="Times New Roman" w:hAnsi="Times New Roman" w:eastAsia="仿宋_GB2312" w:cs="Times New Roman"/>
                <w:color w:val="auto"/>
                <w:szCs w:val="24"/>
              </w:rPr>
              <w:t>月</w:t>
            </w:r>
            <w:r>
              <w:rPr>
                <w:rFonts w:hint="eastAsia" w:cs="Times New Roman"/>
                <w:color w:val="auto"/>
                <w:szCs w:val="24"/>
                <w:lang w:val="en-US" w:eastAsia="zh-CN"/>
              </w:rPr>
              <w:t>10</w:t>
            </w:r>
            <w:r>
              <w:rPr>
                <w:rFonts w:hint="default" w:ascii="Times New Roman" w:hAnsi="Times New Roman" w:eastAsia="仿宋_GB2312" w:cs="Times New Roman"/>
                <w:color w:val="auto"/>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2"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使用权面积</w:t>
            </w:r>
          </w:p>
        </w:tc>
        <w:tc>
          <w:tcPr>
            <w:tcW w:w="1494" w:type="pct"/>
            <w:vAlign w:val="center"/>
          </w:tcPr>
          <w:p>
            <w:pPr>
              <w:spacing w:line="340" w:lineRule="exact"/>
              <w:jc w:val="center"/>
              <w:rPr>
                <w:rFonts w:hint="default" w:ascii="Times New Roman" w:hAnsi="Times New Roman" w:eastAsia="仿宋_GB2312" w:cs="Times New Roman"/>
                <w:color w:val="auto"/>
                <w:szCs w:val="24"/>
              </w:rPr>
            </w:pPr>
            <w:r>
              <w:rPr>
                <w:rFonts w:hint="eastAsia" w:cs="Times New Roman"/>
                <w:color w:val="auto"/>
                <w:szCs w:val="24"/>
                <w:lang w:val="en-US" w:eastAsia="zh-CN"/>
              </w:rPr>
              <w:t>29.20</w:t>
            </w:r>
            <w:r>
              <w:rPr>
                <w:rFonts w:hint="default" w:ascii="Times New Roman" w:hAnsi="Times New Roman" w:eastAsia="仿宋_GB2312" w:cs="Times New Roman"/>
                <w:color w:val="auto"/>
                <w:szCs w:val="24"/>
                <w:lang w:val="en-US" w:eastAsia="zh-CN"/>
              </w:rPr>
              <w:t xml:space="preserve"> </w:t>
            </w:r>
            <w:r>
              <w:rPr>
                <w:rFonts w:hint="default" w:ascii="Times New Roman" w:hAnsi="Times New Roman" w:eastAsia="仿宋_GB2312" w:cs="Times New Roman"/>
                <w:color w:val="auto"/>
                <w:szCs w:val="24"/>
              </w:rPr>
              <w:t>M</w:t>
            </w:r>
            <w:r>
              <w:rPr>
                <w:rFonts w:hint="default" w:ascii="Times New Roman" w:hAnsi="Times New Roman" w:eastAsia="仿宋_GB2312" w:cs="Times New Roman"/>
                <w:color w:val="auto"/>
                <w:szCs w:val="24"/>
                <w:vertAlign w:val="superscript"/>
              </w:rPr>
              <w:t>2</w:t>
            </w:r>
          </w:p>
        </w:tc>
        <w:tc>
          <w:tcPr>
            <w:tcW w:w="1137" w:type="pct"/>
            <w:vAlign w:val="center"/>
          </w:tcPr>
          <w:p>
            <w:pPr>
              <w:spacing w:line="340" w:lineRule="exact"/>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Cs w:val="24"/>
              </w:rPr>
              <w:t>其中</w:t>
            </w:r>
            <w:r>
              <w:rPr>
                <w:rFonts w:hint="eastAsia" w:cs="Times New Roman"/>
                <w:color w:val="auto"/>
                <w:szCs w:val="24"/>
                <w:lang w:eastAsia="zh-CN"/>
              </w:rPr>
              <w:t>共用</w:t>
            </w:r>
            <w:r>
              <w:rPr>
                <w:rFonts w:hint="default" w:ascii="Times New Roman" w:hAnsi="Times New Roman" w:eastAsia="仿宋_GB2312" w:cs="Times New Roman"/>
                <w:color w:val="auto"/>
                <w:szCs w:val="24"/>
              </w:rPr>
              <w:t>分摊面积</w:t>
            </w:r>
          </w:p>
        </w:tc>
        <w:tc>
          <w:tcPr>
            <w:tcW w:w="1426" w:type="pct"/>
            <w:vAlign w:val="center"/>
          </w:tcPr>
          <w:p>
            <w:pPr>
              <w:spacing w:line="340" w:lineRule="exact"/>
              <w:jc w:val="center"/>
              <w:rPr>
                <w:rFonts w:hint="default" w:ascii="Times New Roman" w:hAnsi="Times New Roman" w:eastAsia="仿宋_GB2312" w:cs="Times New Roman"/>
                <w:color w:val="auto"/>
                <w:szCs w:val="24"/>
              </w:rPr>
            </w:pPr>
            <w:r>
              <w:rPr>
                <w:rFonts w:hint="eastAsia" w:cs="Times New Roman"/>
                <w:color w:val="auto"/>
                <w:szCs w:val="24"/>
                <w:lang w:val="en-US" w:eastAsia="zh-CN"/>
              </w:rPr>
              <w:t>29.20</w:t>
            </w:r>
            <w:r>
              <w:rPr>
                <w:rFonts w:hint="default" w:ascii="Times New Roman" w:hAnsi="Times New Roman" w:eastAsia="仿宋_GB2312" w:cs="Times New Roman"/>
                <w:color w:val="auto"/>
                <w:szCs w:val="24"/>
                <w:lang w:val="en-US" w:eastAsia="zh-CN"/>
              </w:rPr>
              <w:t xml:space="preserve"> </w:t>
            </w:r>
            <w:r>
              <w:rPr>
                <w:rFonts w:hint="default" w:ascii="Times New Roman" w:hAnsi="Times New Roman" w:eastAsia="仿宋_GB2312" w:cs="Times New Roman"/>
                <w:color w:val="auto"/>
                <w:szCs w:val="24"/>
              </w:rPr>
              <w:t>M</w:t>
            </w:r>
            <w:r>
              <w:rPr>
                <w:rFonts w:hint="default" w:ascii="Times New Roman" w:hAnsi="Times New Roman" w:eastAsia="仿宋_GB2312" w:cs="Times New Roman"/>
                <w:color w:val="auto"/>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942" w:type="pct"/>
            <w:vAlign w:val="center"/>
          </w:tcPr>
          <w:p>
            <w:pPr>
              <w:spacing w:line="340" w:lineRule="exact"/>
              <w:jc w:val="center"/>
              <w:rPr>
                <w:rFonts w:hint="eastAsia" w:ascii="Times New Roman" w:hAnsi="Times New Roman" w:eastAsia="仿宋_GB2312" w:cs="Times New Roman"/>
                <w:color w:val="auto"/>
                <w:szCs w:val="24"/>
                <w:lang w:eastAsia="zh-CN"/>
              </w:rPr>
            </w:pPr>
            <w:r>
              <w:rPr>
                <w:rFonts w:hint="eastAsia" w:cs="Times New Roman"/>
                <w:color w:val="auto"/>
                <w:szCs w:val="24"/>
                <w:lang w:eastAsia="zh-CN"/>
              </w:rPr>
              <w:t>记事</w:t>
            </w:r>
          </w:p>
        </w:tc>
        <w:tc>
          <w:tcPr>
            <w:tcW w:w="4057" w:type="pct"/>
            <w:gridSpan w:val="3"/>
            <w:vAlign w:val="center"/>
          </w:tcPr>
          <w:p>
            <w:pPr>
              <w:spacing w:line="340" w:lineRule="exact"/>
              <w:jc w:val="both"/>
              <w:rPr>
                <w:rFonts w:hint="eastAsia" w:cs="Times New Roman"/>
                <w:color w:val="auto"/>
                <w:szCs w:val="24"/>
                <w:lang w:val="en-US" w:eastAsia="zh-CN"/>
              </w:rPr>
            </w:pPr>
            <w:r>
              <w:rPr>
                <w:rFonts w:hint="eastAsia" w:cs="Times New Roman"/>
                <w:color w:val="auto"/>
                <w:szCs w:val="24"/>
                <w:lang w:val="en-US" w:eastAsia="zh-CN"/>
              </w:rPr>
              <w:t>1999.04.23 设定登记</w:t>
            </w:r>
          </w:p>
          <w:p>
            <w:pPr>
              <w:spacing w:line="340" w:lineRule="exact"/>
              <w:jc w:val="both"/>
              <w:rPr>
                <w:rFonts w:hint="eastAsia" w:cs="Times New Roman"/>
                <w:color w:val="auto"/>
                <w:szCs w:val="24"/>
                <w:lang w:val="en-US" w:eastAsia="zh-CN"/>
              </w:rPr>
            </w:pPr>
            <w:r>
              <w:rPr>
                <w:rFonts w:hint="eastAsia" w:cs="Times New Roman"/>
                <w:color w:val="auto"/>
                <w:szCs w:val="24"/>
                <w:lang w:val="en-US" w:eastAsia="zh-CN"/>
              </w:rPr>
              <w:t>2001.05.11 变更登记</w:t>
            </w:r>
          </w:p>
          <w:p>
            <w:pPr>
              <w:spacing w:line="340" w:lineRule="exact"/>
              <w:ind w:firstLine="1200" w:firstLineChars="500"/>
              <w:jc w:val="both"/>
              <w:rPr>
                <w:rFonts w:hint="eastAsia" w:cs="Times New Roman"/>
                <w:color w:val="auto"/>
                <w:szCs w:val="24"/>
                <w:lang w:val="en-US" w:eastAsia="zh-CN"/>
              </w:rPr>
            </w:pPr>
            <w:r>
              <w:rPr>
                <w:rFonts w:hint="eastAsia" w:cs="Times New Roman"/>
                <w:color w:val="auto"/>
                <w:szCs w:val="24"/>
                <w:lang w:val="en-US" w:eastAsia="zh-CN"/>
              </w:rPr>
              <w:t>本宗地共用面积939.8平方米</w:t>
            </w:r>
          </w:p>
          <w:p>
            <w:pPr>
              <w:spacing w:line="340" w:lineRule="exact"/>
              <w:jc w:val="both"/>
              <w:rPr>
                <w:rFonts w:hint="default" w:cs="Times New Roman"/>
                <w:color w:val="auto"/>
                <w:szCs w:val="24"/>
                <w:lang w:val="en-US" w:eastAsia="zh-CN"/>
              </w:rPr>
            </w:pPr>
            <w:r>
              <w:rPr>
                <w:rFonts w:hint="eastAsia" w:cs="Times New Roman"/>
                <w:color w:val="auto"/>
                <w:szCs w:val="24"/>
                <w:lang w:val="en-US" w:eastAsia="zh-CN"/>
              </w:rPr>
              <w:t>2016.11.27 现土地座落：暨阳街道滨江花苑11幢3单元402室</w:t>
            </w:r>
          </w:p>
        </w:tc>
      </w:tr>
    </w:tbl>
    <w:p>
      <w:pPr>
        <w:widowControl w:val="0"/>
        <w:wordWrap/>
        <w:adjustRightInd/>
        <w:snapToGrid/>
        <w:spacing w:before="0" w:after="0" w:line="500" w:lineRule="exact"/>
        <w:ind w:left="0" w:leftChars="0" w:right="0" w:firstLine="520" w:firstLineChars="0"/>
        <w:jc w:val="both"/>
        <w:textAlignment w:val="auto"/>
        <w:outlineLvl w:val="9"/>
        <w:rPr>
          <w:rFonts w:eastAsia="仿宋_GB2312"/>
          <w:color w:val="auto"/>
          <w:sz w:val="26"/>
          <w:szCs w:val="26"/>
        </w:rPr>
      </w:pPr>
      <w:r>
        <w:rPr>
          <w:rFonts w:hint="eastAsia" w:eastAsia="仿宋_GB2312"/>
          <w:color w:val="auto"/>
          <w:sz w:val="26"/>
          <w:szCs w:val="26"/>
        </w:rPr>
        <w:t>根据委托人提供的资料，</w:t>
      </w:r>
      <w:r>
        <w:rPr>
          <w:rFonts w:eastAsia="仿宋_GB2312"/>
          <w:color w:val="auto"/>
          <w:sz w:val="26"/>
          <w:szCs w:val="26"/>
        </w:rPr>
        <w:t>至价值时点，估价对象</w:t>
      </w:r>
      <w:r>
        <w:rPr>
          <w:rFonts w:hint="eastAsia" w:eastAsia="仿宋_GB2312"/>
          <w:color w:val="auto"/>
          <w:sz w:val="26"/>
          <w:szCs w:val="26"/>
          <w:lang w:eastAsia="zh-CN"/>
        </w:rPr>
        <w:t>已</w:t>
      </w:r>
      <w:r>
        <w:rPr>
          <w:rFonts w:hint="eastAsia" w:eastAsia="仿宋_GB2312"/>
          <w:color w:val="auto"/>
          <w:sz w:val="26"/>
          <w:szCs w:val="26"/>
        </w:rPr>
        <w:t>被</w:t>
      </w:r>
      <w:r>
        <w:rPr>
          <w:rFonts w:hint="eastAsia"/>
          <w:color w:val="auto"/>
          <w:sz w:val="26"/>
          <w:szCs w:val="26"/>
          <w:lang w:eastAsia="zh-CN"/>
        </w:rPr>
        <w:t>浙江省诸暨市人民法院</w:t>
      </w:r>
      <w:r>
        <w:rPr>
          <w:rFonts w:hint="eastAsia" w:eastAsia="仿宋_GB2312"/>
          <w:color w:val="auto"/>
          <w:sz w:val="26"/>
          <w:szCs w:val="26"/>
        </w:rPr>
        <w:t>查封</w:t>
      </w:r>
      <w:r>
        <w:rPr>
          <w:rFonts w:eastAsia="仿宋_GB2312"/>
          <w:color w:val="auto"/>
          <w:sz w:val="26"/>
          <w:szCs w:val="26"/>
        </w:rPr>
        <w:t>。</w:t>
      </w:r>
      <w:r>
        <w:rPr>
          <w:rFonts w:hint="eastAsia" w:eastAsia="仿宋_GB2312"/>
          <w:color w:val="auto"/>
          <w:sz w:val="26"/>
          <w:szCs w:val="26"/>
        </w:rPr>
        <w:t>根据本次估价目的及委托方要求，本次评估未考虑在估价对象上设定抵押、担保、租赁等他项权利和查封情况对房地产市场价值的影响。</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right="0" w:rightChars="0"/>
        <w:jc w:val="both"/>
        <w:textAlignment w:val="auto"/>
        <w:rPr>
          <w:rFonts w:hint="eastAsia" w:eastAsia="仿宋_GB2312"/>
          <w:color w:val="auto"/>
          <w:sz w:val="26"/>
          <w:szCs w:val="26"/>
        </w:rPr>
      </w:pPr>
      <w:r>
        <w:rPr>
          <w:rFonts w:hint="eastAsia"/>
          <w:b w:val="0"/>
          <w:bCs w:val="0"/>
          <w:color w:val="auto"/>
          <w:sz w:val="26"/>
          <w:szCs w:val="26"/>
          <w:lang w:eastAsia="zh-CN"/>
        </w:rPr>
        <w:t>（五）</w:t>
      </w:r>
      <w:r>
        <w:rPr>
          <w:rFonts w:hint="eastAsia" w:eastAsia="仿宋_GB2312"/>
          <w:color w:val="auto"/>
          <w:sz w:val="26"/>
          <w:szCs w:val="26"/>
        </w:rPr>
        <w:t>土地基本状况</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right="0" w:rightChars="0" w:firstLine="520" w:firstLineChars="200"/>
        <w:jc w:val="both"/>
        <w:textAlignment w:val="auto"/>
        <w:rPr>
          <w:rFonts w:hint="eastAsia" w:eastAsia="仿宋_GB2312"/>
          <w:color w:val="auto"/>
          <w:sz w:val="26"/>
          <w:szCs w:val="26"/>
          <w:lang w:eastAsia="zh-CN"/>
        </w:rPr>
      </w:pPr>
      <w:r>
        <w:rPr>
          <w:rFonts w:hint="eastAsia" w:eastAsia="仿宋_GB2312"/>
          <w:color w:val="auto"/>
          <w:sz w:val="26"/>
          <w:szCs w:val="26"/>
          <w:lang w:eastAsia="zh-CN"/>
        </w:rPr>
        <w:t>宗地坐落于</w:t>
      </w:r>
      <w:r>
        <w:rPr>
          <w:rFonts w:hint="eastAsia"/>
          <w:color w:val="auto"/>
          <w:sz w:val="26"/>
          <w:szCs w:val="26"/>
          <w:lang w:eastAsia="zh-CN"/>
        </w:rPr>
        <w:t>诸暨市暨阳街道滨江花苑11幢3单元402室</w:t>
      </w:r>
      <w:r>
        <w:rPr>
          <w:rFonts w:hint="eastAsia" w:eastAsia="仿宋_GB2312"/>
          <w:color w:val="auto"/>
          <w:sz w:val="26"/>
          <w:szCs w:val="26"/>
          <w:lang w:eastAsia="zh-CN"/>
        </w:rPr>
        <w:t>，土地使用权</w:t>
      </w:r>
      <w:r>
        <w:rPr>
          <w:rFonts w:hint="eastAsia"/>
          <w:color w:val="auto"/>
          <w:sz w:val="26"/>
          <w:szCs w:val="26"/>
          <w:lang w:eastAsia="zh-CN"/>
        </w:rPr>
        <w:t>分摊面积</w:t>
      </w:r>
      <w:r>
        <w:rPr>
          <w:rFonts w:hint="eastAsia" w:eastAsia="仿宋_GB2312"/>
          <w:color w:val="auto"/>
          <w:sz w:val="26"/>
          <w:szCs w:val="26"/>
          <w:lang w:eastAsia="zh-CN"/>
        </w:rPr>
        <w:t>为</w:t>
      </w:r>
      <w:r>
        <w:rPr>
          <w:rFonts w:hint="eastAsia"/>
          <w:color w:val="auto"/>
          <w:sz w:val="26"/>
          <w:szCs w:val="26"/>
          <w:lang w:val="en-US" w:eastAsia="zh-CN"/>
        </w:rPr>
        <w:t>29.20</w:t>
      </w:r>
      <w:r>
        <w:rPr>
          <w:rFonts w:hint="eastAsia" w:eastAsia="仿宋_GB2312"/>
          <w:color w:val="auto"/>
          <w:sz w:val="26"/>
          <w:szCs w:val="26"/>
          <w:lang w:eastAsia="zh-CN"/>
        </w:rPr>
        <w:t>平方米，</w:t>
      </w:r>
      <w:r>
        <w:rPr>
          <w:rFonts w:hint="eastAsia"/>
          <w:color w:val="auto"/>
          <w:sz w:val="26"/>
          <w:szCs w:val="26"/>
          <w:lang w:eastAsia="zh-CN"/>
        </w:rPr>
        <w:t>土地使用权类型为出让，土地证载用途为综合用地，终止日期为</w:t>
      </w:r>
      <w:r>
        <w:rPr>
          <w:rFonts w:hint="eastAsia"/>
          <w:color w:val="auto"/>
          <w:sz w:val="26"/>
          <w:szCs w:val="26"/>
          <w:lang w:val="en-US" w:eastAsia="zh-CN"/>
        </w:rPr>
        <w:t>2067年4月10日，土地剩余使用年限为47.32年</w:t>
      </w:r>
      <w:r>
        <w:rPr>
          <w:rFonts w:hint="eastAsia" w:eastAsia="仿宋_GB2312"/>
          <w:color w:val="auto"/>
          <w:sz w:val="26"/>
          <w:szCs w:val="26"/>
          <w:lang w:val="en-US" w:eastAsia="zh-CN"/>
        </w:rPr>
        <w:t>；</w:t>
      </w:r>
      <w:r>
        <w:rPr>
          <w:rFonts w:hint="eastAsia" w:eastAsia="仿宋_GB2312"/>
          <w:color w:val="auto"/>
          <w:sz w:val="26"/>
          <w:szCs w:val="26"/>
          <w:lang w:eastAsia="zh-CN"/>
        </w:rPr>
        <w:t>估价对象</w:t>
      </w:r>
      <w:r>
        <w:rPr>
          <w:rFonts w:hint="eastAsia"/>
          <w:color w:val="auto"/>
          <w:sz w:val="26"/>
          <w:szCs w:val="26"/>
          <w:lang w:eastAsia="zh-CN"/>
        </w:rPr>
        <w:t>所在小区</w:t>
      </w:r>
      <w:r>
        <w:rPr>
          <w:rFonts w:hint="eastAsia" w:eastAsia="仿宋_GB2312"/>
          <w:color w:val="auto"/>
          <w:sz w:val="26"/>
          <w:szCs w:val="26"/>
          <w:lang w:eastAsia="zh-CN"/>
        </w:rPr>
        <w:t>东至浣东中路，南至苎萝东路，西至通道，北至滨江南路；所在宗地平面形状</w:t>
      </w:r>
      <w:r>
        <w:rPr>
          <w:rFonts w:hint="eastAsia"/>
          <w:color w:val="auto"/>
          <w:sz w:val="26"/>
          <w:szCs w:val="26"/>
          <w:lang w:eastAsia="zh-CN"/>
        </w:rPr>
        <w:t>为较</w:t>
      </w:r>
      <w:r>
        <w:rPr>
          <w:rFonts w:hint="eastAsia" w:eastAsia="仿宋_GB2312"/>
          <w:color w:val="auto"/>
          <w:sz w:val="26"/>
          <w:szCs w:val="26"/>
          <w:lang w:eastAsia="zh-CN"/>
        </w:rPr>
        <w:t>规则，地块地势平坦，宗地基础设施较完善，达到“</w:t>
      </w:r>
      <w:r>
        <w:rPr>
          <w:rFonts w:hint="eastAsia"/>
          <w:color w:val="auto"/>
          <w:sz w:val="26"/>
          <w:szCs w:val="26"/>
          <w:lang w:eastAsia="zh-CN"/>
        </w:rPr>
        <w:t>六</w:t>
      </w:r>
      <w:r>
        <w:rPr>
          <w:rFonts w:hint="eastAsia" w:eastAsia="仿宋_GB2312"/>
          <w:color w:val="auto"/>
          <w:sz w:val="26"/>
          <w:szCs w:val="26"/>
          <w:lang w:eastAsia="zh-CN"/>
        </w:rPr>
        <w:t>通一平”，地质条件较好，地基承载力较好，土壤状况较好，无不利规划限制条件，利用状况较好。</w:t>
      </w:r>
    </w:p>
    <w:p>
      <w:pPr>
        <w:keepNext w:val="0"/>
        <w:keepLines w:val="0"/>
        <w:pageBreakBefore w:val="0"/>
        <w:widowControl w:val="0"/>
        <w:numPr>
          <w:ilvl w:val="0"/>
          <w:numId w:val="5"/>
        </w:numPr>
        <w:kinsoku/>
        <w:wordWrap/>
        <w:overflowPunct/>
        <w:topLinePunct w:val="0"/>
        <w:autoSpaceDE/>
        <w:autoSpaceDN/>
        <w:bidi w:val="0"/>
        <w:adjustRightInd/>
        <w:snapToGrid w:val="0"/>
        <w:spacing w:line="460" w:lineRule="exact"/>
        <w:ind w:left="0" w:leftChars="0" w:right="0" w:rightChars="0"/>
        <w:jc w:val="both"/>
        <w:textAlignment w:val="auto"/>
        <w:rPr>
          <w:rFonts w:eastAsia="仿宋_GB2312"/>
          <w:color w:val="auto"/>
          <w:sz w:val="26"/>
          <w:szCs w:val="26"/>
        </w:rPr>
      </w:pPr>
      <w:r>
        <w:rPr>
          <w:rFonts w:hint="eastAsia" w:eastAsia="仿宋_GB2312"/>
          <w:color w:val="auto"/>
          <w:sz w:val="26"/>
          <w:szCs w:val="26"/>
        </w:rPr>
        <w:t>建筑物基本</w:t>
      </w:r>
      <w:r>
        <w:rPr>
          <w:rFonts w:eastAsia="仿宋_GB2312"/>
          <w:color w:val="auto"/>
          <w:sz w:val="26"/>
          <w:szCs w:val="26"/>
        </w:rPr>
        <w:t>状况</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right="0" w:rightChars="0" w:firstLine="520" w:firstLineChars="200"/>
        <w:jc w:val="both"/>
        <w:textAlignment w:val="auto"/>
        <w:rPr>
          <w:rFonts w:eastAsia="仿宋_GB2312"/>
          <w:color w:val="auto"/>
          <w:sz w:val="26"/>
          <w:szCs w:val="26"/>
        </w:rPr>
      </w:pPr>
      <w:r>
        <w:rPr>
          <w:rFonts w:hint="default" w:eastAsia="仿宋_GB2312"/>
          <w:color w:val="auto"/>
          <w:sz w:val="26"/>
          <w:szCs w:val="26"/>
        </w:rPr>
        <w:t>本次估价对象位于</w:t>
      </w:r>
      <w:r>
        <w:rPr>
          <w:rFonts w:hint="eastAsia"/>
          <w:color w:val="auto"/>
          <w:sz w:val="26"/>
          <w:szCs w:val="26"/>
          <w:lang w:eastAsia="zh-CN"/>
        </w:rPr>
        <w:t>诸暨市暨阳街道滨江花苑11幢3单元402室房地产</w:t>
      </w:r>
      <w:r>
        <w:rPr>
          <w:rFonts w:hint="default" w:eastAsia="仿宋_GB2312"/>
          <w:color w:val="auto"/>
          <w:sz w:val="26"/>
          <w:szCs w:val="26"/>
        </w:rPr>
        <w:t>，</w:t>
      </w:r>
      <w:r>
        <w:rPr>
          <w:rFonts w:hint="eastAsia"/>
          <w:color w:val="auto"/>
          <w:sz w:val="26"/>
          <w:szCs w:val="26"/>
          <w:lang w:eastAsia="zh-CN"/>
        </w:rPr>
        <w:t>估价对象所在建筑物总层数</w:t>
      </w:r>
      <w:r>
        <w:rPr>
          <w:rFonts w:hint="eastAsia"/>
          <w:color w:val="auto"/>
          <w:sz w:val="26"/>
          <w:szCs w:val="26"/>
          <w:lang w:val="en-US" w:eastAsia="zh-CN"/>
        </w:rPr>
        <w:t>6层，估价对象</w:t>
      </w:r>
      <w:r>
        <w:rPr>
          <w:rFonts w:hint="eastAsia"/>
          <w:color w:val="auto"/>
          <w:sz w:val="26"/>
          <w:szCs w:val="26"/>
          <w:lang w:eastAsia="zh-CN"/>
        </w:rPr>
        <w:t>位于</w:t>
      </w:r>
      <w:r>
        <w:rPr>
          <w:rFonts w:hint="eastAsia"/>
          <w:color w:val="auto"/>
          <w:sz w:val="26"/>
          <w:szCs w:val="26"/>
          <w:lang w:val="en-US" w:eastAsia="zh-CN"/>
        </w:rPr>
        <w:t>4层，砖混结构，设计</w:t>
      </w:r>
      <w:r>
        <w:rPr>
          <w:rFonts w:hint="default" w:eastAsia="仿宋_GB2312"/>
          <w:color w:val="auto"/>
          <w:sz w:val="26"/>
          <w:szCs w:val="26"/>
        </w:rPr>
        <w:t>用途为</w:t>
      </w:r>
      <w:r>
        <w:rPr>
          <w:rFonts w:hint="eastAsia"/>
          <w:color w:val="auto"/>
          <w:sz w:val="26"/>
          <w:szCs w:val="26"/>
          <w:lang w:eastAsia="zh-CN"/>
        </w:rPr>
        <w:t>住宅</w:t>
      </w:r>
      <w:r>
        <w:rPr>
          <w:rFonts w:hint="default" w:eastAsia="仿宋_GB2312"/>
          <w:color w:val="auto"/>
          <w:sz w:val="26"/>
          <w:szCs w:val="26"/>
          <w:lang w:eastAsia="zh-CN"/>
        </w:rPr>
        <w:t>，</w:t>
      </w:r>
      <w:r>
        <w:rPr>
          <w:rFonts w:hint="eastAsia"/>
          <w:color w:val="auto"/>
          <w:sz w:val="26"/>
          <w:szCs w:val="26"/>
          <w:lang w:eastAsia="zh-CN"/>
        </w:rPr>
        <w:t>住宅</w:t>
      </w:r>
      <w:r>
        <w:rPr>
          <w:rFonts w:hint="eastAsia"/>
          <w:color w:val="auto"/>
          <w:sz w:val="26"/>
          <w:szCs w:val="26"/>
        </w:rPr>
        <w:t>建筑面积为</w:t>
      </w:r>
      <w:r>
        <w:rPr>
          <w:rFonts w:hint="eastAsia"/>
          <w:color w:val="auto"/>
          <w:sz w:val="26"/>
          <w:szCs w:val="26"/>
          <w:lang w:eastAsia="zh-CN"/>
        </w:rPr>
        <w:t>139.00</w:t>
      </w:r>
      <w:r>
        <w:rPr>
          <w:rFonts w:hint="eastAsia"/>
          <w:color w:val="auto"/>
          <w:sz w:val="26"/>
          <w:szCs w:val="26"/>
        </w:rPr>
        <w:t>平方米</w:t>
      </w:r>
      <w:r>
        <w:rPr>
          <w:rFonts w:hint="eastAsia" w:eastAsia="仿宋_GB2312"/>
          <w:color w:val="auto"/>
          <w:sz w:val="26"/>
          <w:szCs w:val="26"/>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right="0" w:rightChars="0" w:firstLine="520" w:firstLineChars="200"/>
        <w:jc w:val="both"/>
        <w:textAlignment w:val="auto"/>
        <w:rPr>
          <w:rFonts w:hint="eastAsia"/>
          <w:bCs/>
          <w:color w:val="auto"/>
          <w:sz w:val="26"/>
          <w:szCs w:val="26"/>
          <w:lang w:eastAsia="zh-CN"/>
        </w:rPr>
      </w:pPr>
      <w:r>
        <w:rPr>
          <w:rFonts w:hint="default" w:ascii="Times New Roman" w:hAnsi="Times New Roman" w:eastAsia="仿宋_GB2312" w:cs="Times New Roman"/>
          <w:color w:val="auto"/>
          <w:sz w:val="26"/>
          <w:szCs w:val="26"/>
          <w:lang w:eastAsia="zh-CN"/>
        </w:rPr>
        <w:t>装饰装修为</w:t>
      </w:r>
      <w:r>
        <w:rPr>
          <w:rFonts w:hint="eastAsia"/>
          <w:bCs/>
          <w:color w:val="auto"/>
          <w:sz w:val="26"/>
          <w:szCs w:val="26"/>
          <w:lang w:eastAsia="zh-CN"/>
        </w:rPr>
        <w:t>：防盗门、木门入户，客厅地面木地板铺设，墙面乳胶漆刷白，设有电视背景墙，顶面石膏板吊顶；餐厅地面地砖贴面，墙面乳胶漆刷白，顶面石膏板吊顶</w:t>
      </w:r>
      <w:r>
        <w:rPr>
          <w:rFonts w:hint="eastAsia"/>
          <w:bCs/>
          <w:color w:val="auto"/>
          <w:sz w:val="26"/>
          <w:szCs w:val="26"/>
          <w:lang w:val="en-US" w:eastAsia="zh-CN"/>
        </w:rPr>
        <w:t>；卧室、书房地面为木地板铺设，墙面及顶乳胶漆刷白；</w:t>
      </w:r>
      <w:r>
        <w:rPr>
          <w:rFonts w:hint="default" w:ascii="Times New Roman" w:hAnsi="Times New Roman" w:eastAsia="仿宋_GB2312" w:cs="Times New Roman"/>
          <w:color w:val="auto"/>
          <w:sz w:val="26"/>
          <w:szCs w:val="26"/>
          <w:lang w:eastAsia="zh-CN"/>
        </w:rPr>
        <w:t>厨房地面</w:t>
      </w:r>
      <w:r>
        <w:rPr>
          <w:rFonts w:hint="eastAsia" w:cs="Times New Roman"/>
          <w:color w:val="auto"/>
          <w:sz w:val="26"/>
          <w:szCs w:val="26"/>
          <w:lang w:eastAsia="zh-CN"/>
        </w:rPr>
        <w:t>地砖</w:t>
      </w:r>
      <w:r>
        <w:rPr>
          <w:rFonts w:hint="default" w:ascii="Times New Roman" w:hAnsi="Times New Roman" w:eastAsia="仿宋_GB2312" w:cs="Times New Roman"/>
          <w:color w:val="auto"/>
          <w:sz w:val="26"/>
          <w:szCs w:val="26"/>
          <w:lang w:eastAsia="zh-CN"/>
        </w:rPr>
        <w:t>贴面，墙面墙砖贴面，顶面</w:t>
      </w:r>
      <w:r>
        <w:rPr>
          <w:rFonts w:hint="eastAsia" w:cs="Times New Roman"/>
          <w:color w:val="auto"/>
          <w:sz w:val="26"/>
          <w:szCs w:val="26"/>
          <w:lang w:val="en-US" w:eastAsia="zh-CN"/>
        </w:rPr>
        <w:t>PVC吊顶，</w:t>
      </w:r>
      <w:r>
        <w:rPr>
          <w:rFonts w:hint="default" w:ascii="Times New Roman" w:hAnsi="Times New Roman" w:eastAsia="仿宋_GB2312" w:cs="Times New Roman"/>
          <w:color w:val="auto"/>
          <w:sz w:val="26"/>
          <w:szCs w:val="26"/>
          <w:lang w:val="en-US" w:eastAsia="zh-CN"/>
        </w:rPr>
        <w:t>配备</w:t>
      </w:r>
      <w:r>
        <w:rPr>
          <w:rFonts w:hint="eastAsia" w:cs="Times New Roman"/>
          <w:color w:val="auto"/>
          <w:sz w:val="26"/>
          <w:szCs w:val="26"/>
          <w:lang w:val="en-US" w:eastAsia="zh-CN"/>
        </w:rPr>
        <w:t>简单</w:t>
      </w:r>
      <w:r>
        <w:rPr>
          <w:rFonts w:hint="default" w:ascii="Times New Roman" w:hAnsi="Times New Roman" w:eastAsia="仿宋_GB2312" w:cs="Times New Roman"/>
          <w:color w:val="auto"/>
          <w:sz w:val="26"/>
          <w:szCs w:val="26"/>
          <w:lang w:val="en-US" w:eastAsia="zh-CN"/>
        </w:rPr>
        <w:t>橱柜</w:t>
      </w:r>
      <w:r>
        <w:rPr>
          <w:rFonts w:hint="eastAsia" w:cs="Times New Roman"/>
          <w:color w:val="auto"/>
          <w:sz w:val="26"/>
          <w:szCs w:val="26"/>
          <w:lang w:val="en-US" w:eastAsia="zh-CN"/>
        </w:rPr>
        <w:t>；</w:t>
      </w:r>
      <w:r>
        <w:rPr>
          <w:rFonts w:hint="eastAsia" w:cs="Times New Roman"/>
          <w:color w:val="auto"/>
          <w:sz w:val="26"/>
          <w:szCs w:val="26"/>
          <w:lang w:eastAsia="zh-CN"/>
        </w:rPr>
        <w:t>卫生间</w:t>
      </w:r>
      <w:r>
        <w:rPr>
          <w:rFonts w:hint="default" w:ascii="Times New Roman" w:hAnsi="Times New Roman" w:eastAsia="仿宋_GB2312" w:cs="Times New Roman"/>
          <w:color w:val="auto"/>
          <w:sz w:val="26"/>
          <w:szCs w:val="26"/>
          <w:lang w:eastAsia="zh-CN"/>
        </w:rPr>
        <w:t>地面小地砖贴面，墙面墙砖贴面，顶面</w:t>
      </w:r>
      <w:r>
        <w:rPr>
          <w:rFonts w:hint="eastAsia" w:cs="Times New Roman"/>
          <w:color w:val="auto"/>
          <w:sz w:val="26"/>
          <w:szCs w:val="26"/>
          <w:lang w:val="en-US" w:eastAsia="zh-CN"/>
        </w:rPr>
        <w:t>PVC</w:t>
      </w:r>
      <w:r>
        <w:rPr>
          <w:rFonts w:hint="default" w:ascii="Times New Roman" w:hAnsi="Times New Roman" w:eastAsia="仿宋_GB2312" w:cs="Times New Roman"/>
          <w:color w:val="auto"/>
          <w:sz w:val="26"/>
          <w:szCs w:val="26"/>
          <w:lang w:val="en-US" w:eastAsia="zh-CN"/>
        </w:rPr>
        <w:t>吊顶，配备</w:t>
      </w:r>
      <w:r>
        <w:rPr>
          <w:rFonts w:hint="eastAsia" w:cs="Times New Roman"/>
          <w:color w:val="auto"/>
          <w:sz w:val="26"/>
          <w:szCs w:val="26"/>
          <w:lang w:val="en-US" w:eastAsia="zh-CN"/>
        </w:rPr>
        <w:t>卫浴设施</w:t>
      </w:r>
      <w:r>
        <w:rPr>
          <w:rFonts w:hint="default" w:ascii="Times New Roman" w:hAnsi="Times New Roman" w:eastAsia="仿宋_GB2312" w:cs="Times New Roman"/>
          <w:color w:val="auto"/>
          <w:sz w:val="26"/>
          <w:szCs w:val="26"/>
          <w:lang w:val="en-US" w:eastAsia="zh-CN"/>
        </w:rPr>
        <w:t>；</w:t>
      </w:r>
      <w:r>
        <w:rPr>
          <w:rFonts w:hint="eastAsia"/>
          <w:bCs/>
          <w:color w:val="auto"/>
          <w:sz w:val="26"/>
          <w:szCs w:val="26"/>
          <w:lang w:val="en-US" w:eastAsia="zh-CN"/>
        </w:rPr>
        <w:t>阳台地面为地砖贴面，墙面墙砖贴面，顶面PVC吊顶。</w:t>
      </w:r>
      <w:r>
        <w:rPr>
          <w:rFonts w:hint="eastAsia"/>
          <w:bCs/>
          <w:color w:val="auto"/>
          <w:sz w:val="26"/>
          <w:szCs w:val="26"/>
          <w:lang w:eastAsia="zh-CN"/>
        </w:rPr>
        <w:t>估价对象水、电、卫</w:t>
      </w:r>
      <w:r>
        <w:rPr>
          <w:rFonts w:hint="default"/>
          <w:bCs/>
          <w:color w:val="auto"/>
          <w:sz w:val="26"/>
          <w:szCs w:val="26"/>
          <w:lang w:eastAsia="zh-CN"/>
        </w:rPr>
        <w:t>齐全</w:t>
      </w:r>
      <w:r>
        <w:rPr>
          <w:rFonts w:hint="eastAsia"/>
          <w:bCs/>
          <w:color w:val="auto"/>
          <w:sz w:val="26"/>
          <w:szCs w:val="26"/>
          <w:lang w:eastAsia="zh-CN"/>
        </w:rPr>
        <w:t>，</w:t>
      </w:r>
      <w:r>
        <w:rPr>
          <w:rFonts w:hint="default"/>
          <w:bCs/>
          <w:color w:val="auto"/>
          <w:sz w:val="26"/>
          <w:szCs w:val="26"/>
          <w:lang w:eastAsia="zh-CN"/>
        </w:rPr>
        <w:t>整体维护保养</w:t>
      </w:r>
      <w:r>
        <w:rPr>
          <w:rFonts w:hint="eastAsia"/>
          <w:bCs/>
          <w:color w:val="auto"/>
          <w:sz w:val="26"/>
          <w:szCs w:val="26"/>
          <w:lang w:eastAsia="zh-CN"/>
        </w:rPr>
        <w:t>一般</w:t>
      </w:r>
      <w:r>
        <w:rPr>
          <w:rFonts w:hint="default"/>
          <w:bCs/>
          <w:color w:val="auto"/>
          <w:sz w:val="26"/>
          <w:szCs w:val="26"/>
          <w:lang w:eastAsia="zh-CN"/>
        </w:rPr>
        <w:t>。</w:t>
      </w:r>
    </w:p>
    <w:p>
      <w:pPr>
        <w:keepNext w:val="0"/>
        <w:keepLines w:val="0"/>
        <w:pageBreakBefore w:val="0"/>
        <w:widowControl w:val="0"/>
        <w:kinsoku/>
        <w:wordWrap/>
        <w:overflowPunct/>
        <w:topLinePunct w:val="0"/>
        <w:autoSpaceDE/>
        <w:autoSpaceDN/>
        <w:bidi w:val="0"/>
        <w:spacing w:line="480" w:lineRule="exact"/>
        <w:ind w:right="0" w:rightChars="0"/>
        <w:jc w:val="both"/>
        <w:textAlignment w:val="auto"/>
        <w:rPr>
          <w:b/>
          <w:bCs/>
          <w:color w:val="auto"/>
          <w:sz w:val="26"/>
          <w:szCs w:val="26"/>
        </w:rPr>
      </w:pPr>
      <w:r>
        <w:rPr>
          <w:b/>
          <w:bCs/>
          <w:color w:val="auto"/>
          <w:sz w:val="26"/>
          <w:szCs w:val="26"/>
        </w:rPr>
        <w:t>五、价值时点</w:t>
      </w:r>
      <w:bookmarkEnd w:id="24"/>
    </w:p>
    <w:p>
      <w:pPr>
        <w:pStyle w:val="4"/>
        <w:keepNext w:val="0"/>
        <w:keepLines w:val="0"/>
        <w:pageBreakBefore w:val="0"/>
        <w:widowControl w:val="0"/>
        <w:kinsoku/>
        <w:wordWrap/>
        <w:overflowPunct/>
        <w:topLinePunct w:val="0"/>
        <w:autoSpaceDE/>
        <w:autoSpaceDN/>
        <w:bidi w:val="0"/>
        <w:spacing w:line="480" w:lineRule="exact"/>
        <w:ind w:right="0" w:rightChars="0" w:firstLine="520" w:firstLineChars="200"/>
        <w:jc w:val="both"/>
        <w:textAlignment w:val="auto"/>
        <w:outlineLvl w:val="2"/>
        <w:rPr>
          <w:rFonts w:hint="eastAsia" w:eastAsia="仿宋_GB2312"/>
          <w:b w:val="0"/>
          <w:bCs w:val="0"/>
          <w:color w:val="auto"/>
          <w:sz w:val="26"/>
          <w:szCs w:val="26"/>
          <w:lang w:eastAsia="zh-CN"/>
        </w:rPr>
      </w:pPr>
      <w:bookmarkStart w:id="25" w:name="_Toc454373101"/>
      <w:r>
        <w:rPr>
          <w:rFonts w:hint="eastAsia" w:eastAsia="仿宋_GB2312"/>
          <w:b w:val="0"/>
          <w:bCs w:val="0"/>
          <w:color w:val="auto"/>
          <w:sz w:val="26"/>
          <w:szCs w:val="26"/>
          <w:lang w:eastAsia="zh-CN"/>
        </w:rPr>
        <w:t>2019年12月16日</w:t>
      </w:r>
    </w:p>
    <w:p>
      <w:pPr>
        <w:pStyle w:val="4"/>
        <w:keepNext w:val="0"/>
        <w:keepLines w:val="0"/>
        <w:pageBreakBefore w:val="0"/>
        <w:widowControl w:val="0"/>
        <w:numPr>
          <w:ilvl w:val="0"/>
          <w:numId w:val="6"/>
        </w:numPr>
        <w:kinsoku/>
        <w:wordWrap/>
        <w:overflowPunct/>
        <w:topLinePunct w:val="0"/>
        <w:autoSpaceDE/>
        <w:autoSpaceDN/>
        <w:bidi w:val="0"/>
        <w:spacing w:line="480" w:lineRule="exact"/>
        <w:ind w:right="0" w:rightChars="0" w:firstLine="0"/>
        <w:jc w:val="both"/>
        <w:textAlignment w:val="auto"/>
        <w:outlineLvl w:val="2"/>
        <w:rPr>
          <w:rFonts w:eastAsia="仿宋_GB2312"/>
          <w:b/>
          <w:bCs/>
          <w:color w:val="auto"/>
          <w:sz w:val="26"/>
          <w:szCs w:val="26"/>
        </w:rPr>
      </w:pPr>
      <w:r>
        <w:rPr>
          <w:rFonts w:eastAsia="仿宋_GB2312"/>
          <w:b/>
          <w:bCs/>
          <w:color w:val="auto"/>
          <w:sz w:val="26"/>
          <w:szCs w:val="26"/>
        </w:rPr>
        <w:t>价值类型</w:t>
      </w:r>
      <w:bookmarkEnd w:id="25"/>
    </w:p>
    <w:p>
      <w:pPr>
        <w:keepNext w:val="0"/>
        <w:keepLines w:val="0"/>
        <w:pageBreakBefore w:val="0"/>
        <w:widowControl w:val="0"/>
        <w:kinsoku/>
        <w:wordWrap/>
        <w:overflowPunct/>
        <w:topLinePunct w:val="0"/>
        <w:autoSpaceDE/>
        <w:autoSpaceDN/>
        <w:bidi w:val="0"/>
        <w:spacing w:line="480" w:lineRule="exact"/>
        <w:ind w:right="0" w:rightChars="0" w:firstLine="520" w:firstLineChars="200"/>
        <w:jc w:val="both"/>
        <w:textAlignment w:val="auto"/>
        <w:rPr>
          <w:rFonts w:hint="eastAsia" w:eastAsia="仿宋_GB2312"/>
          <w:bCs/>
          <w:color w:val="auto"/>
          <w:sz w:val="26"/>
          <w:szCs w:val="26"/>
        </w:rPr>
      </w:pPr>
      <w:r>
        <w:rPr>
          <w:rFonts w:hint="eastAsia" w:eastAsia="仿宋_GB2312"/>
          <w:bCs/>
          <w:color w:val="auto"/>
          <w:sz w:val="26"/>
          <w:szCs w:val="26"/>
        </w:rPr>
        <w:t>本次估价结果是指估价对象在满足全部假设和限制条件的前提下于价值时点</w:t>
      </w:r>
      <w:r>
        <w:rPr>
          <w:rFonts w:hint="eastAsia"/>
          <w:bCs/>
          <w:color w:val="auto"/>
          <w:sz w:val="26"/>
          <w:szCs w:val="26"/>
          <w:lang w:eastAsia="zh-CN"/>
        </w:rPr>
        <w:t>2019年12月16日</w:t>
      </w:r>
      <w:r>
        <w:rPr>
          <w:rFonts w:hint="eastAsia" w:eastAsia="仿宋_GB2312"/>
          <w:bCs/>
          <w:color w:val="auto"/>
          <w:sz w:val="26"/>
          <w:szCs w:val="26"/>
        </w:rPr>
        <w:t>合法利用条件下用途为</w:t>
      </w:r>
      <w:r>
        <w:rPr>
          <w:rFonts w:hint="eastAsia"/>
          <w:bCs/>
          <w:color w:val="auto"/>
          <w:sz w:val="26"/>
          <w:szCs w:val="26"/>
          <w:lang w:eastAsia="zh-CN"/>
        </w:rPr>
        <w:t>住宅</w:t>
      </w:r>
      <w:r>
        <w:rPr>
          <w:rFonts w:hint="eastAsia" w:eastAsia="仿宋_GB2312"/>
          <w:bCs/>
          <w:color w:val="auto"/>
          <w:sz w:val="26"/>
          <w:szCs w:val="26"/>
        </w:rPr>
        <w:t>的房地产市场价值。</w:t>
      </w:r>
    </w:p>
    <w:p>
      <w:pPr>
        <w:keepNext w:val="0"/>
        <w:keepLines w:val="0"/>
        <w:pageBreakBefore w:val="0"/>
        <w:widowControl w:val="0"/>
        <w:kinsoku/>
        <w:wordWrap/>
        <w:overflowPunct/>
        <w:topLinePunct w:val="0"/>
        <w:autoSpaceDE/>
        <w:autoSpaceDN/>
        <w:bidi w:val="0"/>
        <w:spacing w:line="480" w:lineRule="exact"/>
        <w:ind w:right="0" w:rightChars="0" w:firstLine="520" w:firstLineChars="200"/>
        <w:jc w:val="both"/>
        <w:textAlignment w:val="auto"/>
        <w:rPr>
          <w:color w:val="auto"/>
          <w:sz w:val="26"/>
          <w:szCs w:val="26"/>
        </w:rPr>
      </w:pPr>
      <w:r>
        <w:rPr>
          <w:color w:val="auto"/>
          <w:sz w:val="26"/>
          <w:szCs w:val="26"/>
        </w:rPr>
        <w:t>本次估价是为司法拍卖提供房地产市场价值参考依据。</w:t>
      </w:r>
      <w:r>
        <w:rPr>
          <w:color w:val="auto"/>
          <w:kern w:val="0"/>
          <w:sz w:val="26"/>
          <w:szCs w:val="26"/>
        </w:rPr>
        <w:t>鉴定评估的</w:t>
      </w:r>
      <w:r>
        <w:rPr>
          <w:color w:val="auto"/>
          <w:sz w:val="26"/>
          <w:szCs w:val="26"/>
        </w:rPr>
        <w:t>价值定义为房地产市场价值评估，</w:t>
      </w:r>
      <w:r>
        <w:rPr>
          <w:color w:val="auto"/>
          <w:kern w:val="0"/>
          <w:sz w:val="26"/>
          <w:szCs w:val="26"/>
        </w:rPr>
        <w:t>通常不评估变现价值，不考虑房地产拍卖（变卖）成交后交易的税费以及税费的转移分担。</w:t>
      </w:r>
      <w:r>
        <w:rPr>
          <w:color w:val="auto"/>
          <w:sz w:val="26"/>
          <w:szCs w:val="26"/>
        </w:rPr>
        <w:t>本次估价的价值定义为估价对象</w:t>
      </w:r>
      <w:r>
        <w:rPr>
          <w:color w:val="auto"/>
          <w:kern w:val="0"/>
          <w:sz w:val="26"/>
          <w:szCs w:val="26"/>
        </w:rPr>
        <w:t>房地产市场价值评估。</w:t>
      </w:r>
    </w:p>
    <w:p>
      <w:pPr>
        <w:pStyle w:val="4"/>
        <w:keepNext w:val="0"/>
        <w:keepLines w:val="0"/>
        <w:pageBreakBefore w:val="0"/>
        <w:widowControl w:val="0"/>
        <w:kinsoku/>
        <w:wordWrap/>
        <w:overflowPunct/>
        <w:topLinePunct w:val="0"/>
        <w:autoSpaceDE/>
        <w:autoSpaceDN/>
        <w:bidi w:val="0"/>
        <w:spacing w:line="480" w:lineRule="exact"/>
        <w:ind w:right="0" w:rightChars="0" w:firstLine="0"/>
        <w:jc w:val="both"/>
        <w:textAlignment w:val="auto"/>
        <w:outlineLvl w:val="2"/>
        <w:rPr>
          <w:rFonts w:eastAsia="仿宋_GB2312"/>
          <w:b/>
          <w:bCs/>
          <w:color w:val="auto"/>
          <w:sz w:val="26"/>
          <w:szCs w:val="26"/>
        </w:rPr>
      </w:pPr>
      <w:bookmarkStart w:id="26" w:name="_Toc454373102"/>
      <w:r>
        <w:rPr>
          <w:rFonts w:eastAsia="仿宋_GB2312"/>
          <w:b/>
          <w:bCs/>
          <w:color w:val="auto"/>
          <w:sz w:val="26"/>
          <w:szCs w:val="26"/>
        </w:rPr>
        <w:t>七、估价原则</w:t>
      </w:r>
      <w:bookmarkEnd w:id="26"/>
    </w:p>
    <w:p>
      <w:pPr>
        <w:pStyle w:val="13"/>
        <w:keepNext w:val="0"/>
        <w:keepLines w:val="0"/>
        <w:pageBreakBefore w:val="0"/>
        <w:widowControl w:val="0"/>
        <w:kinsoku/>
        <w:wordWrap/>
        <w:overflowPunct/>
        <w:topLinePunct w:val="0"/>
        <w:autoSpaceDE/>
        <w:autoSpaceDN/>
        <w:bidi w:val="0"/>
        <w:spacing w:line="480" w:lineRule="exact"/>
        <w:ind w:right="0" w:rightChars="0" w:firstLine="520" w:firstLineChars="200"/>
        <w:jc w:val="both"/>
        <w:textAlignment w:val="auto"/>
        <w:rPr>
          <w:rFonts w:ascii="Times New Roman" w:hAnsi="Times New Roman"/>
          <w:color w:val="auto"/>
          <w:kern w:val="0"/>
          <w:sz w:val="26"/>
          <w:szCs w:val="26"/>
        </w:rPr>
      </w:pPr>
      <w:r>
        <w:rPr>
          <w:rFonts w:ascii="Times New Roman" w:hAnsi="Times New Roman"/>
          <w:color w:val="auto"/>
          <w:sz w:val="26"/>
          <w:szCs w:val="26"/>
        </w:rPr>
        <w:t>1、独立、客观、公正原则：要求站在中立的立场上，实事求是、公平正直地评估出对各方利害关系人均是公平合理的价值或价格。</w:t>
      </w:r>
    </w:p>
    <w:p>
      <w:pPr>
        <w:pStyle w:val="13"/>
        <w:keepNext w:val="0"/>
        <w:keepLines w:val="0"/>
        <w:pageBreakBefore w:val="0"/>
        <w:widowControl w:val="0"/>
        <w:kinsoku/>
        <w:wordWrap/>
        <w:overflowPunct/>
        <w:topLinePunct w:val="0"/>
        <w:autoSpaceDE/>
        <w:autoSpaceDN/>
        <w:bidi w:val="0"/>
        <w:spacing w:line="480" w:lineRule="exact"/>
        <w:ind w:right="0" w:rightChars="0" w:firstLine="520" w:firstLineChars="200"/>
        <w:jc w:val="both"/>
        <w:textAlignment w:val="auto"/>
        <w:rPr>
          <w:rFonts w:ascii="Times New Roman" w:hAnsi="Times New Roman"/>
          <w:color w:val="auto"/>
          <w:sz w:val="26"/>
          <w:szCs w:val="26"/>
        </w:rPr>
      </w:pPr>
      <w:r>
        <w:rPr>
          <w:rFonts w:ascii="Times New Roman" w:hAnsi="Times New Roman"/>
          <w:color w:val="auto"/>
          <w:sz w:val="26"/>
          <w:szCs w:val="26"/>
        </w:rPr>
        <w:t>2、合法原则：要求估价结果是在依法判定的估价对象状况下的价值或价格；</w:t>
      </w:r>
    </w:p>
    <w:p>
      <w:pPr>
        <w:pStyle w:val="13"/>
        <w:keepNext w:val="0"/>
        <w:keepLines w:val="0"/>
        <w:pageBreakBefore w:val="0"/>
        <w:widowControl w:val="0"/>
        <w:kinsoku/>
        <w:wordWrap/>
        <w:overflowPunct/>
        <w:topLinePunct w:val="0"/>
        <w:autoSpaceDE/>
        <w:autoSpaceDN/>
        <w:bidi w:val="0"/>
        <w:spacing w:line="480" w:lineRule="exact"/>
        <w:ind w:right="0" w:rightChars="0" w:firstLine="520" w:firstLineChars="200"/>
        <w:jc w:val="both"/>
        <w:textAlignment w:val="auto"/>
        <w:rPr>
          <w:rFonts w:ascii="Times New Roman" w:hAnsi="Times New Roman"/>
          <w:color w:val="auto"/>
          <w:sz w:val="26"/>
          <w:szCs w:val="26"/>
        </w:rPr>
      </w:pPr>
      <w:r>
        <w:rPr>
          <w:rFonts w:ascii="Times New Roman" w:hAnsi="Times New Roman"/>
          <w:color w:val="auto"/>
          <w:sz w:val="26"/>
          <w:szCs w:val="26"/>
        </w:rPr>
        <w:t>3、价值时点原则：要求估价结果是在根据估价目的确定的某一特定时间的价值或价格；</w:t>
      </w:r>
    </w:p>
    <w:p>
      <w:pPr>
        <w:pStyle w:val="13"/>
        <w:keepNext w:val="0"/>
        <w:keepLines w:val="0"/>
        <w:pageBreakBefore w:val="0"/>
        <w:widowControl w:val="0"/>
        <w:kinsoku/>
        <w:wordWrap/>
        <w:overflowPunct/>
        <w:topLinePunct w:val="0"/>
        <w:autoSpaceDE/>
        <w:autoSpaceDN/>
        <w:bidi w:val="0"/>
        <w:spacing w:line="480" w:lineRule="exact"/>
        <w:ind w:right="0" w:rightChars="0" w:firstLine="520" w:firstLineChars="200"/>
        <w:jc w:val="both"/>
        <w:textAlignment w:val="auto"/>
        <w:rPr>
          <w:rFonts w:ascii="Times New Roman" w:hAnsi="Times New Roman"/>
          <w:color w:val="auto"/>
          <w:sz w:val="26"/>
          <w:szCs w:val="26"/>
        </w:rPr>
      </w:pPr>
      <w:r>
        <w:rPr>
          <w:rFonts w:ascii="Times New Roman" w:hAnsi="Times New Roman"/>
          <w:color w:val="auto"/>
          <w:sz w:val="26"/>
          <w:szCs w:val="26"/>
        </w:rPr>
        <w:t>4、替代原则：要求估价结果与估价对象的类似房地产在同等条件下的价值或价格偏差在合理范围内。</w:t>
      </w:r>
    </w:p>
    <w:p>
      <w:pPr>
        <w:pStyle w:val="4"/>
        <w:keepNext w:val="0"/>
        <w:keepLines w:val="0"/>
        <w:pageBreakBefore w:val="0"/>
        <w:widowControl w:val="0"/>
        <w:kinsoku/>
        <w:wordWrap/>
        <w:overflowPunct/>
        <w:topLinePunct w:val="0"/>
        <w:autoSpaceDE/>
        <w:autoSpaceDN/>
        <w:bidi w:val="0"/>
        <w:spacing w:line="480" w:lineRule="exact"/>
        <w:ind w:right="0" w:rightChars="0" w:firstLine="0"/>
        <w:jc w:val="both"/>
        <w:textAlignment w:val="auto"/>
        <w:outlineLvl w:val="2"/>
        <w:rPr>
          <w:rFonts w:eastAsia="仿宋_GB2312"/>
          <w:color w:val="auto"/>
          <w:sz w:val="26"/>
          <w:szCs w:val="26"/>
        </w:rPr>
      </w:pPr>
      <w:bookmarkStart w:id="27" w:name="_Toc454373103"/>
      <w:r>
        <w:rPr>
          <w:rFonts w:eastAsia="仿宋_GB2312"/>
          <w:b/>
          <w:bCs/>
          <w:color w:val="auto"/>
          <w:sz w:val="26"/>
          <w:szCs w:val="26"/>
        </w:rPr>
        <w:t>八、估价依据</w:t>
      </w:r>
      <w:bookmarkEnd w:id="27"/>
    </w:p>
    <w:p>
      <w:pPr>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color w:val="auto"/>
          <w:sz w:val="26"/>
          <w:szCs w:val="26"/>
        </w:rPr>
      </w:pPr>
      <w:r>
        <w:rPr>
          <w:color w:val="auto"/>
          <w:sz w:val="26"/>
          <w:szCs w:val="26"/>
        </w:rPr>
        <w:t>（一）本次估价所依据的有关法律、法规和部门规章</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1.《中华人民共和国物权法》（2007年3月16日中华人民共和国主席令第62号，2007年10月1日起施行）；</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2.《中华人民共和国城市房地产管理法》（2007年8月30日中华人民共和国主席令第72号公布）；</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3.《中华人民共和国土地管理法》（2004年8月28日中华人民共和国主席令第28号公布）；</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4. 《中华人民共和国土地管理法实施条例》（1998年12月27日国务院令第256号，1999年1月1日施行，根据2011年1月8日国务院令第588号《国务院关于废止部分行政法规的决定》修正）；</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5. 《中华人民共和国城乡规划法》（2007年10月28日中华人民共和国主席令第74号公布，2008年1月1日施行）；</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6.《中华人民共和国城镇国有土地使用权出让和转让暂行条例》（1990年5月19日中华人民共和国国务院令第55号发布，1990年5月19日起施行）；</w:t>
      </w:r>
    </w:p>
    <w:p>
      <w:pPr>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color w:val="auto"/>
          <w:sz w:val="26"/>
          <w:szCs w:val="26"/>
        </w:rPr>
      </w:pPr>
      <w:r>
        <w:rPr>
          <w:color w:val="auto"/>
          <w:sz w:val="26"/>
          <w:szCs w:val="26"/>
        </w:rPr>
        <w:t>7.《司法鉴定程序通则》（司法部令第107号，2007年10月1日施行）；</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8.《最高人民法院关于人民法院委托评估、拍卖工作的若干规定》（2011年9月11日）</w:t>
      </w:r>
      <w:r>
        <w:rPr>
          <w:color w:val="auto"/>
          <w:sz w:val="26"/>
          <w:szCs w:val="26"/>
        </w:rPr>
        <w:t>；</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hint="eastAsia" w:eastAsia="仿宋_GB2312"/>
          <w:color w:val="auto"/>
          <w:sz w:val="26"/>
          <w:szCs w:val="26"/>
        </w:rPr>
        <w:t>9</w:t>
      </w:r>
      <w:r>
        <w:rPr>
          <w:rFonts w:eastAsia="仿宋_GB2312"/>
          <w:color w:val="auto"/>
          <w:sz w:val="26"/>
          <w:szCs w:val="26"/>
        </w:rPr>
        <w:t>.《</w:t>
      </w:r>
      <w:r>
        <w:rPr>
          <w:rFonts w:hint="eastAsia" w:eastAsia="仿宋_GB2312"/>
          <w:color w:val="auto"/>
          <w:sz w:val="26"/>
          <w:szCs w:val="26"/>
        </w:rPr>
        <w:t>中华人民共和国资产评估法》(2016年7月2日中华人民共和国主席令第46号公布，2016年12月1日起施行)</w:t>
      </w:r>
      <w:r>
        <w:rPr>
          <w:rFonts w:hint="eastAsia" w:eastAsia="仿宋_GB2312"/>
          <w:color w:val="auto"/>
          <w:sz w:val="26"/>
          <w:szCs w:val="26"/>
          <w:lang w:eastAsia="zh-CN"/>
        </w:rPr>
        <w:t>。</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（二）地方有关部门颁布的法规及相关文件</w:t>
      </w:r>
    </w:p>
    <w:p>
      <w:pPr>
        <w:keepNext w:val="0"/>
        <w:keepLines w:val="0"/>
        <w:pageBreakBefore w:val="0"/>
        <w:widowControl w:val="0"/>
        <w:kinsoku/>
        <w:wordWrap/>
        <w:overflowPunct/>
        <w:topLinePunct w:val="0"/>
        <w:autoSpaceDE/>
        <w:autoSpaceDN/>
        <w:bidi w:val="0"/>
        <w:adjustRightInd w:val="0"/>
        <w:snapToGrid w:val="0"/>
        <w:spacing w:line="470" w:lineRule="exact"/>
        <w:ind w:right="0" w:rightChars="0" w:firstLine="520" w:firstLineChars="200"/>
        <w:jc w:val="both"/>
        <w:textAlignment w:val="auto"/>
        <w:rPr>
          <w:rFonts w:hint="eastAsia" w:ascii="Times New Roman" w:hAnsi="Times New Roman" w:eastAsia="仿宋_GB2312" w:cs="Times New Roman"/>
          <w:color w:val="auto"/>
          <w:sz w:val="26"/>
          <w:szCs w:val="26"/>
          <w:lang w:val="en-US" w:eastAsia="zh-CN"/>
        </w:rPr>
      </w:pPr>
      <w:r>
        <w:rPr>
          <w:rFonts w:hint="eastAsia" w:ascii="Times New Roman" w:hAnsi="Times New Roman" w:eastAsia="仿宋_GB2312" w:cs="Times New Roman"/>
          <w:color w:val="auto"/>
          <w:sz w:val="26"/>
          <w:szCs w:val="26"/>
          <w:lang w:val="en-US" w:eastAsia="zh-CN"/>
        </w:rPr>
        <w:t>1.《浙江省建筑工程节能预算定额》</w:t>
      </w:r>
    </w:p>
    <w:p>
      <w:pPr>
        <w:keepNext w:val="0"/>
        <w:keepLines w:val="0"/>
        <w:pageBreakBefore w:val="0"/>
        <w:widowControl w:val="0"/>
        <w:kinsoku/>
        <w:wordWrap/>
        <w:overflowPunct/>
        <w:topLinePunct w:val="0"/>
        <w:autoSpaceDE/>
        <w:autoSpaceDN/>
        <w:bidi w:val="0"/>
        <w:adjustRightInd w:val="0"/>
        <w:snapToGrid w:val="0"/>
        <w:spacing w:line="470" w:lineRule="exact"/>
        <w:ind w:right="0" w:rightChars="0" w:firstLine="520" w:firstLineChars="200"/>
        <w:jc w:val="both"/>
        <w:textAlignment w:val="auto"/>
        <w:rPr>
          <w:rFonts w:hint="eastAsia" w:ascii="Times New Roman" w:hAnsi="Times New Roman" w:eastAsia="仿宋_GB2312" w:cs="Times New Roman"/>
          <w:color w:val="auto"/>
          <w:sz w:val="26"/>
          <w:szCs w:val="26"/>
          <w:lang w:val="en-US" w:eastAsia="zh-CN"/>
        </w:rPr>
      </w:pPr>
      <w:r>
        <w:rPr>
          <w:rFonts w:hint="eastAsia" w:ascii="Times New Roman" w:hAnsi="Times New Roman" w:eastAsia="仿宋_GB2312" w:cs="Times New Roman"/>
          <w:color w:val="auto"/>
          <w:sz w:val="26"/>
          <w:szCs w:val="26"/>
          <w:lang w:val="en-US" w:eastAsia="zh-CN"/>
        </w:rPr>
        <w:t>2.《浙江省建筑工程预算定额》（2010版）</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（三）本次估价依据的技术标准</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1.《房地产估价规范》（GB/T 50291-2015）；</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2.《房地产估价基本术语标准》（GB/T50899-2013）；</w:t>
      </w:r>
    </w:p>
    <w:p>
      <w:pPr>
        <w:pStyle w:val="4"/>
        <w:keepNext w:val="0"/>
        <w:keepLines w:val="0"/>
        <w:pageBreakBefore w:val="0"/>
        <w:widowControl w:val="0"/>
        <w:kinsoku/>
        <w:wordWrap/>
        <w:overflowPunct/>
        <w:topLinePunct w:val="0"/>
        <w:autoSpaceDE/>
        <w:autoSpaceDN/>
        <w:bidi w:val="0"/>
        <w:spacing w:line="470" w:lineRule="exact"/>
        <w:ind w:right="0" w:rightChars="0" w:firstLine="520" w:firstLineChars="200"/>
        <w:jc w:val="both"/>
        <w:textAlignment w:val="auto"/>
        <w:rPr>
          <w:rFonts w:eastAsia="仿宋_GB2312"/>
          <w:color w:val="auto"/>
          <w:sz w:val="26"/>
          <w:szCs w:val="26"/>
        </w:rPr>
      </w:pPr>
      <w:r>
        <w:rPr>
          <w:rFonts w:eastAsia="仿宋_GB2312"/>
          <w:color w:val="auto"/>
          <w:sz w:val="26"/>
          <w:szCs w:val="26"/>
        </w:rPr>
        <w:t>3</w:t>
      </w:r>
      <w:r>
        <w:rPr>
          <w:rFonts w:hint="eastAsia" w:eastAsia="仿宋_GB2312"/>
          <w:color w:val="auto"/>
          <w:sz w:val="26"/>
          <w:szCs w:val="26"/>
          <w:lang w:val="en-US" w:eastAsia="zh-CN"/>
        </w:rPr>
        <w:t>.</w:t>
      </w:r>
      <w:r>
        <w:rPr>
          <w:rFonts w:eastAsia="仿宋_GB2312"/>
          <w:color w:val="auto"/>
          <w:sz w:val="26"/>
          <w:szCs w:val="26"/>
        </w:rPr>
        <w:t>《房屋完损等级评定标准》（城住字[1984]第678号）；</w:t>
      </w:r>
    </w:p>
    <w:p>
      <w:pPr>
        <w:pStyle w:val="4"/>
        <w:keepNext w:val="0"/>
        <w:keepLines w:val="0"/>
        <w:pageBreakBefore w:val="0"/>
        <w:widowControl w:val="0"/>
        <w:kinsoku/>
        <w:wordWrap/>
        <w:overflowPunct/>
        <w:topLinePunct w:val="0"/>
        <w:autoSpaceDE/>
        <w:autoSpaceDN/>
        <w:bidi w:val="0"/>
        <w:snapToGrid w:val="0"/>
        <w:spacing w:line="480" w:lineRule="atLeast"/>
        <w:ind w:right="0" w:rightChars="0" w:firstLine="520" w:firstLineChars="200"/>
        <w:jc w:val="both"/>
        <w:textAlignment w:val="auto"/>
        <w:rPr>
          <w:rFonts w:eastAsia="仿宋_GB2312"/>
          <w:color w:val="auto"/>
          <w:sz w:val="26"/>
          <w:szCs w:val="26"/>
        </w:rPr>
      </w:pPr>
      <w:r>
        <w:rPr>
          <w:rFonts w:eastAsia="仿宋_GB2312"/>
          <w:color w:val="auto"/>
          <w:sz w:val="26"/>
          <w:szCs w:val="26"/>
        </w:rPr>
        <w:t>（四）委托人提供的有关资料</w:t>
      </w:r>
    </w:p>
    <w:p>
      <w:pPr>
        <w:pStyle w:val="4"/>
        <w:keepNext w:val="0"/>
        <w:keepLines w:val="0"/>
        <w:pageBreakBefore w:val="0"/>
        <w:widowControl w:val="0"/>
        <w:kinsoku/>
        <w:wordWrap/>
        <w:overflowPunct/>
        <w:topLinePunct w:val="0"/>
        <w:autoSpaceDE/>
        <w:autoSpaceDN/>
        <w:bidi w:val="0"/>
        <w:snapToGrid w:val="0"/>
        <w:spacing w:line="480" w:lineRule="atLeast"/>
        <w:ind w:right="0" w:rightChars="0" w:firstLine="520" w:firstLineChars="200"/>
        <w:jc w:val="both"/>
        <w:textAlignment w:val="auto"/>
        <w:rPr>
          <w:rFonts w:eastAsia="仿宋_GB2312"/>
          <w:color w:val="auto"/>
          <w:sz w:val="26"/>
          <w:szCs w:val="26"/>
        </w:rPr>
      </w:pPr>
      <w:r>
        <w:rPr>
          <w:rFonts w:eastAsia="仿宋_GB2312"/>
          <w:color w:val="auto"/>
          <w:sz w:val="26"/>
          <w:szCs w:val="26"/>
        </w:rPr>
        <w:t>1.</w:t>
      </w:r>
      <w:r>
        <w:rPr>
          <w:rFonts w:hint="eastAsia" w:eastAsia="仿宋_GB2312"/>
          <w:color w:val="auto"/>
          <w:spacing w:val="0"/>
          <w:sz w:val="26"/>
          <w:szCs w:val="26"/>
        </w:rPr>
        <w:t>《</w:t>
      </w:r>
      <w:r>
        <w:rPr>
          <w:rFonts w:hint="eastAsia" w:eastAsia="仿宋_GB2312"/>
          <w:color w:val="auto"/>
          <w:spacing w:val="0"/>
          <w:sz w:val="26"/>
          <w:szCs w:val="26"/>
          <w:lang w:eastAsia="zh-CN"/>
        </w:rPr>
        <w:t>浙江省诸暨市人民法院</w:t>
      </w:r>
      <w:r>
        <w:rPr>
          <w:rFonts w:hint="eastAsia" w:eastAsia="仿宋_GB2312"/>
          <w:color w:val="auto"/>
          <w:spacing w:val="0"/>
          <w:sz w:val="26"/>
          <w:szCs w:val="26"/>
        </w:rPr>
        <w:t>司法评估委托书》【</w:t>
      </w:r>
      <w:r>
        <w:rPr>
          <w:rFonts w:hint="eastAsia" w:eastAsia="仿宋_GB2312"/>
          <w:color w:val="auto"/>
          <w:spacing w:val="0"/>
          <w:sz w:val="26"/>
          <w:szCs w:val="26"/>
          <w:lang w:eastAsia="zh-CN"/>
        </w:rPr>
        <w:t>（2019）浙绍诸法委评字第580号</w:t>
      </w:r>
      <w:r>
        <w:rPr>
          <w:rFonts w:hint="eastAsia" w:eastAsia="仿宋_GB2312"/>
          <w:color w:val="auto"/>
          <w:spacing w:val="0"/>
          <w:sz w:val="26"/>
          <w:szCs w:val="26"/>
        </w:rPr>
        <w:t>】</w:t>
      </w:r>
      <w:r>
        <w:rPr>
          <w:rFonts w:eastAsia="仿宋_GB2312"/>
          <w:color w:val="auto"/>
          <w:sz w:val="26"/>
          <w:szCs w:val="26"/>
        </w:rPr>
        <w:t>；</w:t>
      </w:r>
    </w:p>
    <w:p>
      <w:pPr>
        <w:pStyle w:val="4"/>
        <w:keepNext w:val="0"/>
        <w:keepLines w:val="0"/>
        <w:pageBreakBefore w:val="0"/>
        <w:widowControl w:val="0"/>
        <w:kinsoku/>
        <w:wordWrap/>
        <w:overflowPunct/>
        <w:topLinePunct w:val="0"/>
        <w:autoSpaceDE/>
        <w:autoSpaceDN/>
        <w:bidi w:val="0"/>
        <w:snapToGrid w:val="0"/>
        <w:spacing w:line="480" w:lineRule="atLeast"/>
        <w:ind w:right="0" w:rightChars="0" w:firstLine="520" w:firstLineChars="200"/>
        <w:jc w:val="both"/>
        <w:textAlignment w:val="auto"/>
        <w:rPr>
          <w:rFonts w:eastAsia="仿宋_GB2312"/>
          <w:color w:val="auto"/>
          <w:sz w:val="26"/>
          <w:szCs w:val="26"/>
        </w:rPr>
      </w:pPr>
      <w:r>
        <w:rPr>
          <w:rFonts w:eastAsia="仿宋_GB2312"/>
          <w:color w:val="auto"/>
          <w:sz w:val="26"/>
          <w:szCs w:val="26"/>
        </w:rPr>
        <w:t>2.</w:t>
      </w:r>
      <w:r>
        <w:rPr>
          <w:rFonts w:hint="eastAsia" w:eastAsia="仿宋_GB2312"/>
          <w:color w:val="auto"/>
          <w:sz w:val="26"/>
          <w:szCs w:val="26"/>
          <w:lang w:val="en-US" w:eastAsia="zh-CN"/>
        </w:rPr>
        <w:t xml:space="preserve"> </w:t>
      </w:r>
      <w:r>
        <w:rPr>
          <w:rFonts w:hint="eastAsia" w:eastAsia="仿宋_GB2312"/>
          <w:color w:val="auto"/>
          <w:spacing w:val="-3"/>
          <w:sz w:val="26"/>
          <w:szCs w:val="26"/>
        </w:rPr>
        <w:t>委托人提供的《</w:t>
      </w:r>
      <w:r>
        <w:rPr>
          <w:rFonts w:hint="eastAsia" w:eastAsia="仿宋_GB2312"/>
          <w:color w:val="auto"/>
          <w:spacing w:val="-3"/>
          <w:sz w:val="26"/>
          <w:szCs w:val="26"/>
          <w:lang w:eastAsia="zh-CN"/>
        </w:rPr>
        <w:t>房屋所有权证</w:t>
      </w:r>
      <w:r>
        <w:rPr>
          <w:rFonts w:hint="eastAsia" w:eastAsia="仿宋_GB2312"/>
          <w:color w:val="auto"/>
          <w:spacing w:val="-3"/>
          <w:sz w:val="26"/>
          <w:szCs w:val="26"/>
        </w:rPr>
        <w:t>》</w:t>
      </w:r>
      <w:r>
        <w:rPr>
          <w:rFonts w:hint="eastAsia" w:eastAsia="仿宋_GB2312"/>
          <w:color w:val="auto"/>
          <w:spacing w:val="-3"/>
          <w:sz w:val="26"/>
          <w:szCs w:val="26"/>
          <w:lang w:eastAsia="zh-CN"/>
        </w:rPr>
        <w:t>、</w:t>
      </w:r>
      <w:r>
        <w:rPr>
          <w:rFonts w:hint="eastAsia" w:eastAsia="仿宋_GB2312"/>
          <w:color w:val="auto"/>
          <w:spacing w:val="-3"/>
          <w:sz w:val="26"/>
          <w:szCs w:val="26"/>
        </w:rPr>
        <w:t>《</w:t>
      </w:r>
      <w:r>
        <w:rPr>
          <w:rFonts w:hint="eastAsia" w:eastAsia="仿宋_GB2312"/>
          <w:color w:val="auto"/>
          <w:spacing w:val="-3"/>
          <w:sz w:val="26"/>
          <w:szCs w:val="26"/>
          <w:lang w:eastAsia="zh-CN"/>
        </w:rPr>
        <w:t>国有土地使用证</w:t>
      </w:r>
      <w:r>
        <w:rPr>
          <w:rFonts w:hint="eastAsia" w:eastAsia="仿宋_GB2312"/>
          <w:color w:val="auto"/>
          <w:spacing w:val="-3"/>
          <w:sz w:val="26"/>
          <w:szCs w:val="26"/>
        </w:rPr>
        <w:t>》复印件及其他相关资料</w:t>
      </w:r>
      <w:r>
        <w:rPr>
          <w:rFonts w:eastAsia="仿宋_GB2312"/>
          <w:color w:val="auto"/>
          <w:sz w:val="26"/>
          <w:szCs w:val="26"/>
        </w:rPr>
        <w:t>；</w:t>
      </w:r>
    </w:p>
    <w:p>
      <w:pPr>
        <w:pStyle w:val="4"/>
        <w:keepNext w:val="0"/>
        <w:keepLines w:val="0"/>
        <w:pageBreakBefore w:val="0"/>
        <w:widowControl w:val="0"/>
        <w:kinsoku/>
        <w:wordWrap/>
        <w:overflowPunct/>
        <w:topLinePunct w:val="0"/>
        <w:autoSpaceDE/>
        <w:autoSpaceDN/>
        <w:bidi w:val="0"/>
        <w:snapToGrid w:val="0"/>
        <w:spacing w:line="480" w:lineRule="atLeast"/>
        <w:ind w:right="0" w:rightChars="0" w:firstLine="520" w:firstLineChars="200"/>
        <w:jc w:val="both"/>
        <w:textAlignment w:val="auto"/>
        <w:rPr>
          <w:rFonts w:ascii="Times New Roman" w:hAnsi="Times New Roman"/>
          <w:b/>
          <w:bCs/>
          <w:color w:val="auto"/>
          <w:sz w:val="26"/>
          <w:szCs w:val="26"/>
        </w:rPr>
      </w:pPr>
      <w:r>
        <w:rPr>
          <w:rFonts w:hint="eastAsia" w:eastAsia="仿宋_GB2312"/>
          <w:color w:val="auto"/>
          <w:sz w:val="26"/>
          <w:szCs w:val="26"/>
        </w:rPr>
        <w:t>3.</w:t>
      </w:r>
      <w:r>
        <w:rPr>
          <w:rFonts w:hint="eastAsia" w:eastAsia="仿宋_GB2312"/>
          <w:color w:val="auto"/>
          <w:sz w:val="26"/>
          <w:szCs w:val="26"/>
          <w:lang w:val="en-US" w:eastAsia="zh-CN"/>
        </w:rPr>
        <w:t xml:space="preserve"> </w:t>
      </w:r>
      <w:r>
        <w:rPr>
          <w:rFonts w:eastAsia="仿宋_GB2312"/>
          <w:color w:val="auto"/>
          <w:sz w:val="26"/>
          <w:szCs w:val="26"/>
        </w:rPr>
        <w:t>估价委托人提供的基本情况资料。</w:t>
      </w:r>
      <w:bookmarkStart w:id="28" w:name="_Toc454373104"/>
    </w:p>
    <w:p>
      <w:pPr>
        <w:pStyle w:val="13"/>
        <w:keepNext w:val="0"/>
        <w:keepLines w:val="0"/>
        <w:pageBreakBefore w:val="0"/>
        <w:widowControl w:val="0"/>
        <w:kinsoku/>
        <w:wordWrap/>
        <w:overflowPunct/>
        <w:topLinePunct w:val="0"/>
        <w:autoSpaceDE/>
        <w:autoSpaceDN/>
        <w:bidi w:val="0"/>
        <w:snapToGrid w:val="0"/>
        <w:spacing w:line="480" w:lineRule="atLeast"/>
        <w:ind w:right="0" w:rightChars="0"/>
        <w:jc w:val="both"/>
        <w:textAlignment w:val="auto"/>
        <w:outlineLvl w:val="2"/>
        <w:rPr>
          <w:rFonts w:ascii="Times New Roman" w:hAnsi="Times New Roman"/>
          <w:b/>
          <w:bCs/>
          <w:color w:val="auto"/>
          <w:sz w:val="26"/>
          <w:szCs w:val="26"/>
        </w:rPr>
      </w:pPr>
      <w:r>
        <w:rPr>
          <w:rFonts w:ascii="Times New Roman" w:hAnsi="Times New Roman"/>
          <w:b/>
          <w:bCs/>
          <w:color w:val="auto"/>
          <w:sz w:val="26"/>
          <w:szCs w:val="26"/>
        </w:rPr>
        <w:t>九、估价方法</w:t>
      </w:r>
      <w:bookmarkEnd w:id="28"/>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520" w:firstLineChars="200"/>
        <w:jc w:val="both"/>
        <w:textAlignment w:val="auto"/>
        <w:outlineLvl w:val="0"/>
        <w:rPr>
          <w:rFonts w:eastAsia="仿宋_GB2312"/>
          <w:color w:val="auto"/>
          <w:sz w:val="26"/>
          <w:szCs w:val="26"/>
        </w:rPr>
      </w:pPr>
      <w:bookmarkStart w:id="29" w:name="_Toc1726"/>
      <w:bookmarkStart w:id="30" w:name="_Toc6839"/>
      <w:bookmarkStart w:id="31" w:name="_Toc454373105"/>
      <w:r>
        <w:rPr>
          <w:rFonts w:eastAsia="仿宋_GB2312"/>
          <w:color w:val="auto"/>
          <w:sz w:val="26"/>
          <w:szCs w:val="26"/>
        </w:rPr>
        <w:t>根据《房地产估价规范》（</w:t>
      </w:r>
      <w:r>
        <w:rPr>
          <w:rFonts w:hint="eastAsia" w:eastAsia="仿宋_GB2312"/>
          <w:color w:val="auto"/>
          <w:sz w:val="26"/>
          <w:szCs w:val="26"/>
        </w:rPr>
        <w:t>GB/T50291-2015</w:t>
      </w:r>
      <w:r>
        <w:rPr>
          <w:rFonts w:eastAsia="仿宋_GB2312"/>
          <w:color w:val="auto"/>
          <w:sz w:val="26"/>
          <w:szCs w:val="26"/>
        </w:rPr>
        <w:t>），估价方法通常有比较法、收益法、成本法、假设开发法等估价方法。估价方法的选择应按照房地产评估的技术规程，根据当地房地产市场发育情况并结合估价对象的具体特点及估价目的等，选择适当的估价方法。</w:t>
      </w:r>
      <w:bookmarkEnd w:id="29"/>
      <w:bookmarkEnd w:id="30"/>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520" w:firstLineChars="200"/>
        <w:jc w:val="both"/>
        <w:textAlignment w:val="auto"/>
        <w:outlineLvl w:val="0"/>
        <w:rPr>
          <w:rFonts w:eastAsia="仿宋_GB2312"/>
          <w:color w:val="auto"/>
          <w:sz w:val="26"/>
          <w:szCs w:val="26"/>
        </w:rPr>
      </w:pPr>
      <w:bookmarkStart w:id="32" w:name="_Toc13636"/>
      <w:bookmarkStart w:id="33" w:name="_Toc30071"/>
      <w:r>
        <w:rPr>
          <w:rFonts w:eastAsia="仿宋_GB2312"/>
          <w:color w:val="auto"/>
          <w:sz w:val="26"/>
          <w:szCs w:val="26"/>
        </w:rPr>
        <w:t>根据估价对象具体情况，估价对象为住宅用途，位于</w:t>
      </w:r>
      <w:r>
        <w:rPr>
          <w:rFonts w:hint="eastAsia"/>
          <w:color w:val="auto"/>
          <w:sz w:val="26"/>
          <w:szCs w:val="26"/>
          <w:lang w:eastAsia="zh-CN"/>
        </w:rPr>
        <w:t>诸暨市暨阳街道滨江花苑11幢3单元402室</w:t>
      </w:r>
      <w:r>
        <w:rPr>
          <w:rFonts w:eastAsia="仿宋_GB2312"/>
          <w:color w:val="auto"/>
          <w:sz w:val="26"/>
          <w:szCs w:val="26"/>
        </w:rPr>
        <w:t>，在同一供求范围内且在价值时点近期类似房地产市场交易案例可以获得，故可采用比较法评估。</w:t>
      </w:r>
      <w:bookmarkEnd w:id="32"/>
      <w:bookmarkEnd w:id="33"/>
      <w:bookmarkStart w:id="34" w:name="_Toc1488"/>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520" w:firstLineChars="200"/>
        <w:jc w:val="both"/>
        <w:textAlignment w:val="auto"/>
        <w:outlineLvl w:val="0"/>
        <w:rPr>
          <w:rFonts w:eastAsia="仿宋_GB2312"/>
          <w:color w:val="auto"/>
          <w:sz w:val="26"/>
          <w:szCs w:val="26"/>
        </w:rPr>
      </w:pPr>
      <w:bookmarkStart w:id="35" w:name="_Toc27181"/>
      <w:r>
        <w:rPr>
          <w:rFonts w:eastAsia="仿宋_GB2312"/>
          <w:color w:val="auto"/>
          <w:sz w:val="26"/>
          <w:szCs w:val="26"/>
        </w:rPr>
        <w:t>1.比较法</w:t>
      </w:r>
      <w:bookmarkEnd w:id="34"/>
      <w:bookmarkEnd w:id="35"/>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520" w:firstLineChars="200"/>
        <w:jc w:val="both"/>
        <w:textAlignment w:val="auto"/>
        <w:outlineLvl w:val="0"/>
        <w:rPr>
          <w:rFonts w:eastAsia="仿宋_GB2312"/>
          <w:color w:val="auto"/>
          <w:sz w:val="26"/>
          <w:szCs w:val="26"/>
        </w:rPr>
      </w:pPr>
      <w:bookmarkStart w:id="36" w:name="_Toc6249"/>
      <w:bookmarkStart w:id="37" w:name="_Toc31537"/>
      <w:r>
        <w:rPr>
          <w:rFonts w:eastAsia="仿宋_GB2312"/>
          <w:color w:val="auto"/>
          <w:sz w:val="26"/>
          <w:szCs w:val="26"/>
        </w:rPr>
        <w:t>比较法根据替代原则，将估价对象与在价值时点近期有过交易的类似房地产进行比较，对这些类似房地产的已知价格进行处理，分别建立比较基础、交易情况修正、市场状况调整、房地产状况调整，最后计算比较价值，即把多个可比实例的成交价格经过处理得到的多个比较价值综合为</w:t>
      </w:r>
      <w:r>
        <w:rPr>
          <w:rFonts w:hint="eastAsia"/>
          <w:color w:val="auto"/>
          <w:sz w:val="26"/>
          <w:szCs w:val="26"/>
          <w:lang w:eastAsia="zh-CN"/>
        </w:rPr>
        <w:t>一个</w:t>
      </w:r>
      <w:r>
        <w:rPr>
          <w:rFonts w:eastAsia="仿宋_GB2312"/>
          <w:color w:val="auto"/>
          <w:sz w:val="26"/>
          <w:szCs w:val="26"/>
        </w:rPr>
        <w:t>比较价值。</w:t>
      </w:r>
      <w:bookmarkEnd w:id="36"/>
      <w:bookmarkEnd w:id="37"/>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520" w:firstLineChars="200"/>
        <w:jc w:val="both"/>
        <w:textAlignment w:val="auto"/>
        <w:outlineLvl w:val="0"/>
        <w:rPr>
          <w:rFonts w:hint="eastAsia" w:eastAsia="仿宋_GB2312"/>
          <w:color w:val="auto"/>
          <w:sz w:val="26"/>
          <w:szCs w:val="26"/>
        </w:rPr>
      </w:pPr>
      <w:bookmarkStart w:id="38" w:name="_Toc18982"/>
      <w:bookmarkStart w:id="39" w:name="_Toc16538"/>
      <w:r>
        <w:rPr>
          <w:rFonts w:eastAsia="仿宋_GB2312"/>
          <w:color w:val="auto"/>
          <w:sz w:val="26"/>
          <w:szCs w:val="26"/>
        </w:rPr>
        <w:t>比较法公式：比较价值=可比实例成交价格×交易情况修正×市场状况调整×房地产状况调整</w:t>
      </w:r>
      <w:r>
        <w:rPr>
          <w:rFonts w:hint="eastAsia" w:eastAsia="仿宋_GB2312"/>
          <w:color w:val="auto"/>
          <w:sz w:val="26"/>
          <w:szCs w:val="26"/>
        </w:rPr>
        <w:t>；</w:t>
      </w:r>
      <w:bookmarkEnd w:id="38"/>
      <w:bookmarkEnd w:id="39"/>
    </w:p>
    <w:p>
      <w:pPr>
        <w:keepNext w:val="0"/>
        <w:keepLines w:val="0"/>
        <w:pageBreakBefore w:val="0"/>
        <w:widowControl w:val="0"/>
        <w:kinsoku/>
        <w:wordWrap/>
        <w:overflowPunct/>
        <w:topLinePunct w:val="0"/>
        <w:autoSpaceDE/>
        <w:autoSpaceDN/>
        <w:bidi w:val="0"/>
        <w:snapToGrid w:val="0"/>
        <w:spacing w:before="0" w:after="0" w:line="480" w:lineRule="atLeast"/>
        <w:ind w:left="480" w:leftChars="200" w:right="0" w:rightChars="0"/>
        <w:jc w:val="both"/>
        <w:textAlignment w:val="auto"/>
        <w:rPr>
          <w:rFonts w:eastAsia="仿宋_GB2312"/>
          <w:color w:val="auto"/>
          <w:sz w:val="26"/>
          <w:szCs w:val="26"/>
        </w:rPr>
      </w:pPr>
      <w:r>
        <w:rPr>
          <w:rFonts w:hint="eastAsia"/>
          <w:color w:val="auto"/>
          <w:sz w:val="26"/>
          <w:szCs w:val="26"/>
          <w:lang w:val="en-US" w:eastAsia="zh-CN"/>
        </w:rPr>
        <w:t>2</w:t>
      </w:r>
      <w:r>
        <w:rPr>
          <w:rFonts w:eastAsia="仿宋_GB2312"/>
          <w:color w:val="auto"/>
          <w:sz w:val="26"/>
          <w:szCs w:val="26"/>
        </w:rPr>
        <w:t>.价格影响因素分析</w:t>
      </w:r>
    </w:p>
    <w:p>
      <w:pPr>
        <w:keepNext w:val="0"/>
        <w:keepLines w:val="0"/>
        <w:pageBreakBefore w:val="0"/>
        <w:widowControl w:val="0"/>
        <w:kinsoku/>
        <w:wordWrap/>
        <w:overflowPunct/>
        <w:topLinePunct w:val="0"/>
        <w:autoSpaceDE/>
        <w:autoSpaceDN/>
        <w:bidi w:val="0"/>
        <w:snapToGrid w:val="0"/>
        <w:spacing w:before="0" w:after="0" w:line="480" w:lineRule="atLeast"/>
        <w:ind w:right="0" w:rightChars="0" w:firstLine="421" w:firstLineChars="162"/>
        <w:jc w:val="both"/>
        <w:textAlignment w:val="auto"/>
        <w:rPr>
          <w:rFonts w:eastAsia="仿宋_GB2312"/>
          <w:color w:val="auto"/>
          <w:sz w:val="26"/>
          <w:szCs w:val="26"/>
        </w:rPr>
      </w:pPr>
      <w:r>
        <w:rPr>
          <w:rFonts w:eastAsia="仿宋_GB2312"/>
          <w:color w:val="auto"/>
          <w:sz w:val="26"/>
          <w:szCs w:val="26"/>
        </w:rPr>
        <w:t xml:space="preserve"> 价格受租赁、查封、债务情况、产权纠纷等影响。由于本次估价目的是为司法拍卖（变卖）提供房地产市场价值参考依据，故查封不影响估价对象的价值，但租赁情况、产权纠纷将对估价对象的价值产生影响。根据我国相关法律规定，抵押权实现不能对抗抵押权设立前已设定的租赁权，由于承租者权益的存在，将使估价对象价值偏离正常市场价值。产权纠纷对估价对象价值也将产生较大影响，估价委托人应提供上述影响价格的相关资料，以便于估价人员对房地产价格影响因素进行充分分析。本次估价时委托人未提供影响价格的上述资料，故本估价结果为假设不存在上述情况下的分析结果。</w:t>
      </w:r>
    </w:p>
    <w:p>
      <w:pPr>
        <w:pStyle w:val="4"/>
        <w:keepNext w:val="0"/>
        <w:keepLines w:val="0"/>
        <w:pageBreakBefore w:val="0"/>
        <w:widowControl w:val="0"/>
        <w:kinsoku/>
        <w:wordWrap/>
        <w:overflowPunct/>
        <w:topLinePunct w:val="0"/>
        <w:autoSpaceDE/>
        <w:autoSpaceDN/>
        <w:bidi w:val="0"/>
        <w:spacing w:line="460" w:lineRule="exact"/>
        <w:ind w:right="0" w:rightChars="0" w:firstLine="0"/>
        <w:jc w:val="both"/>
        <w:textAlignment w:val="auto"/>
        <w:outlineLvl w:val="2"/>
        <w:rPr>
          <w:rFonts w:eastAsia="仿宋_GB2312"/>
          <w:b/>
          <w:bCs/>
          <w:color w:val="auto"/>
          <w:sz w:val="26"/>
          <w:szCs w:val="26"/>
        </w:rPr>
      </w:pPr>
      <w:r>
        <w:rPr>
          <w:rFonts w:eastAsia="仿宋_GB2312"/>
          <w:b/>
          <w:bCs/>
          <w:color w:val="auto"/>
          <w:sz w:val="26"/>
          <w:szCs w:val="26"/>
        </w:rPr>
        <w:t>十、估价结果</w:t>
      </w:r>
      <w:bookmarkEnd w:id="31"/>
    </w:p>
    <w:p>
      <w:pPr>
        <w:keepNext w:val="0"/>
        <w:keepLines w:val="0"/>
        <w:pageBreakBefore w:val="0"/>
        <w:widowControl w:val="0"/>
        <w:kinsoku/>
        <w:wordWrap/>
        <w:overflowPunct/>
        <w:topLinePunct w:val="0"/>
        <w:autoSpaceDE/>
        <w:autoSpaceDN/>
        <w:bidi w:val="0"/>
        <w:adjustRightInd/>
        <w:snapToGrid/>
        <w:spacing w:line="460" w:lineRule="exact"/>
        <w:ind w:right="0" w:rightChars="0" w:firstLine="520" w:firstLineChars="200"/>
        <w:jc w:val="both"/>
        <w:textAlignment w:val="auto"/>
        <w:outlineLvl w:val="9"/>
        <w:rPr>
          <w:rFonts w:hint="default" w:eastAsia="仿宋_GB2312"/>
          <w:color w:val="auto"/>
          <w:spacing w:val="0"/>
          <w:sz w:val="26"/>
          <w:szCs w:val="26"/>
          <w:lang w:val="en-US" w:eastAsia="zh-CN"/>
        </w:rPr>
      </w:pPr>
      <w:bookmarkStart w:id="40" w:name="_Toc454373106"/>
      <w:r>
        <w:rPr>
          <w:rFonts w:hint="eastAsia" w:eastAsia="仿宋_GB2312"/>
          <w:color w:val="auto"/>
          <w:spacing w:val="0"/>
          <w:sz w:val="26"/>
          <w:szCs w:val="26"/>
        </w:rPr>
        <w:t>房地产估价人员</w:t>
      </w:r>
      <w:r>
        <w:rPr>
          <w:rFonts w:eastAsia="仿宋_GB2312"/>
          <w:color w:val="auto"/>
          <w:spacing w:val="0"/>
          <w:sz w:val="26"/>
          <w:szCs w:val="26"/>
        </w:rPr>
        <w:t>根据特定的估价目的，遵循合法、独立、客观、公正的原则，按照严谨的估价程序，运用</w:t>
      </w:r>
      <w:r>
        <w:rPr>
          <w:rFonts w:hint="eastAsia" w:eastAsia="仿宋_GB2312"/>
          <w:color w:val="auto"/>
          <w:spacing w:val="0"/>
          <w:sz w:val="26"/>
          <w:szCs w:val="26"/>
        </w:rPr>
        <w:t>比较法</w:t>
      </w:r>
      <w:r>
        <w:rPr>
          <w:rFonts w:eastAsia="仿宋_GB2312"/>
          <w:color w:val="auto"/>
          <w:spacing w:val="0"/>
          <w:sz w:val="26"/>
          <w:szCs w:val="26"/>
        </w:rPr>
        <w:t>，经过周密、细致的测算，并结合估价经验，在对影响估价对象价值因素进行综合分析的基础上，</w:t>
      </w:r>
      <w:r>
        <w:rPr>
          <w:rFonts w:hint="eastAsia" w:eastAsia="仿宋_GB2312"/>
          <w:color w:val="auto"/>
          <w:spacing w:val="0"/>
          <w:sz w:val="26"/>
          <w:szCs w:val="26"/>
        </w:rPr>
        <w:t>在报告中已说明的其他假设和限制条件下，最终确定估价对象</w:t>
      </w:r>
      <w:r>
        <w:rPr>
          <w:rFonts w:hint="eastAsia"/>
          <w:color w:val="auto"/>
          <w:spacing w:val="0"/>
          <w:sz w:val="26"/>
          <w:szCs w:val="26"/>
          <w:lang w:eastAsia="zh-CN"/>
        </w:rPr>
        <w:t>（</w:t>
      </w:r>
      <w:r>
        <w:rPr>
          <w:rFonts w:hint="eastAsia"/>
          <w:color w:val="auto"/>
          <w:sz w:val="26"/>
          <w:szCs w:val="26"/>
          <w:lang w:eastAsia="zh-CN"/>
        </w:rPr>
        <w:t>含固定装修及室内动产</w:t>
      </w:r>
      <w:r>
        <w:rPr>
          <w:rFonts w:hint="eastAsia"/>
          <w:color w:val="auto"/>
          <w:spacing w:val="0"/>
          <w:sz w:val="26"/>
          <w:szCs w:val="26"/>
          <w:lang w:eastAsia="zh-CN"/>
        </w:rPr>
        <w:t>）</w:t>
      </w:r>
      <w:r>
        <w:rPr>
          <w:rFonts w:eastAsia="仿宋_GB2312"/>
          <w:color w:val="auto"/>
          <w:sz w:val="26"/>
          <w:szCs w:val="26"/>
        </w:rPr>
        <w:t>于</w:t>
      </w:r>
      <w:r>
        <w:rPr>
          <w:rFonts w:hint="eastAsia" w:eastAsia="仿宋_GB2312"/>
          <w:color w:val="auto"/>
          <w:sz w:val="26"/>
          <w:szCs w:val="26"/>
        </w:rPr>
        <w:t>价值</w:t>
      </w:r>
      <w:r>
        <w:rPr>
          <w:rFonts w:eastAsia="仿宋_GB2312"/>
          <w:color w:val="auto"/>
          <w:sz w:val="26"/>
          <w:szCs w:val="26"/>
        </w:rPr>
        <w:t>时点的</w:t>
      </w:r>
      <w:r>
        <w:rPr>
          <w:rFonts w:hint="eastAsia" w:eastAsia="仿宋_GB2312"/>
          <w:color w:val="auto"/>
          <w:sz w:val="26"/>
          <w:szCs w:val="26"/>
        </w:rPr>
        <w:t>市场</w:t>
      </w:r>
      <w:r>
        <w:rPr>
          <w:rFonts w:eastAsia="仿宋_GB2312"/>
          <w:color w:val="auto"/>
          <w:sz w:val="26"/>
          <w:szCs w:val="26"/>
        </w:rPr>
        <w:t>价值为大写人民币</w:t>
      </w:r>
      <w:r>
        <w:rPr>
          <w:rFonts w:hint="eastAsia" w:eastAsia="仿宋_GB2312"/>
          <w:b/>
          <w:bCs/>
          <w:color w:val="auto"/>
          <w:sz w:val="26"/>
          <w:szCs w:val="26"/>
          <w:lang w:val="en-US" w:eastAsia="zh-CN"/>
        </w:rPr>
        <w:fldChar w:fldCharType="begin"/>
      </w:r>
      <w:r>
        <w:rPr>
          <w:rFonts w:hint="eastAsia" w:eastAsia="仿宋_GB2312"/>
          <w:b/>
          <w:bCs/>
          <w:color w:val="auto"/>
          <w:sz w:val="26"/>
          <w:szCs w:val="26"/>
          <w:lang w:val="en-US" w:eastAsia="zh-CN"/>
        </w:rPr>
        <w:instrText xml:space="preserve"> = 691100 \* CHINESENUM2 \* MERGEFORMAT </w:instrText>
      </w:r>
      <w:r>
        <w:rPr>
          <w:rFonts w:hint="eastAsia" w:eastAsia="仿宋_GB2312"/>
          <w:b/>
          <w:bCs/>
          <w:color w:val="auto"/>
          <w:sz w:val="26"/>
          <w:szCs w:val="26"/>
          <w:lang w:val="en-US" w:eastAsia="zh-CN"/>
        </w:rPr>
        <w:fldChar w:fldCharType="separate"/>
      </w:r>
      <w:r>
        <w:rPr>
          <w:rFonts w:hint="eastAsia"/>
          <w:b/>
          <w:bCs/>
          <w:color w:val="auto"/>
          <w:sz w:val="26"/>
          <w:szCs w:val="26"/>
          <w:lang w:eastAsia="zh-CN"/>
        </w:rPr>
        <w:t>壹佰叁拾贰万叁仟陆佰</w:t>
      </w:r>
      <w:r>
        <w:rPr>
          <w:rFonts w:hint="eastAsia" w:eastAsia="仿宋_GB2312"/>
          <w:b/>
          <w:bCs/>
          <w:color w:val="auto"/>
          <w:sz w:val="26"/>
          <w:szCs w:val="26"/>
          <w:lang w:val="en-US" w:eastAsia="zh-CN"/>
        </w:rPr>
        <w:fldChar w:fldCharType="end"/>
      </w:r>
      <w:r>
        <w:rPr>
          <w:rFonts w:hint="eastAsia" w:ascii="仿宋_GB2312" w:hAnsi="仿宋_GB2312" w:eastAsia="仿宋_GB2312" w:cs="仿宋_GB2312"/>
          <w:b w:val="0"/>
          <w:bCs w:val="0"/>
          <w:color w:val="auto"/>
          <w:sz w:val="26"/>
          <w:szCs w:val="26"/>
          <w:lang w:val="en-US" w:eastAsia="zh-CN"/>
        </w:rPr>
        <w:t>元</w:t>
      </w:r>
      <w:r>
        <w:rPr>
          <w:rFonts w:eastAsia="仿宋_GB2312"/>
          <w:b w:val="0"/>
          <w:bCs w:val="0"/>
          <w:color w:val="auto"/>
          <w:sz w:val="26"/>
          <w:szCs w:val="26"/>
        </w:rPr>
        <w:t>整</w:t>
      </w:r>
      <w:r>
        <w:rPr>
          <w:rFonts w:eastAsia="仿宋_GB2312"/>
          <w:color w:val="auto"/>
          <w:sz w:val="26"/>
          <w:szCs w:val="26"/>
        </w:rPr>
        <w:t>（小写RMB：</w:t>
      </w:r>
      <w:r>
        <w:rPr>
          <w:rFonts w:hint="eastAsia"/>
          <w:color w:val="auto"/>
          <w:sz w:val="26"/>
          <w:szCs w:val="26"/>
          <w:lang w:val="en-US" w:eastAsia="zh-CN"/>
        </w:rPr>
        <w:t>132.36</w:t>
      </w:r>
      <w:r>
        <w:rPr>
          <w:rFonts w:eastAsia="仿宋_GB2312"/>
          <w:color w:val="auto"/>
          <w:sz w:val="26"/>
          <w:szCs w:val="26"/>
        </w:rPr>
        <w:t>万元）</w:t>
      </w:r>
      <w:r>
        <w:rPr>
          <w:rFonts w:hint="eastAsia"/>
          <w:color w:val="auto"/>
          <w:spacing w:val="0"/>
          <w:sz w:val="26"/>
          <w:szCs w:val="26"/>
          <w:lang w:val="en-US" w:eastAsia="zh-CN"/>
        </w:rPr>
        <w:t>。</w:t>
      </w:r>
    </w:p>
    <w:bookmarkEnd w:id="40"/>
    <w:p>
      <w:pPr>
        <w:keepNext w:val="0"/>
        <w:keepLines w:val="0"/>
        <w:pageBreakBefore w:val="0"/>
        <w:widowControl w:val="0"/>
        <w:numPr>
          <w:ilvl w:val="0"/>
          <w:numId w:val="0"/>
        </w:numPr>
        <w:kinsoku/>
        <w:wordWrap/>
        <w:overflowPunct/>
        <w:topLinePunct w:val="0"/>
        <w:autoSpaceDE/>
        <w:autoSpaceDN/>
        <w:bidi w:val="0"/>
        <w:spacing w:line="450" w:lineRule="exact"/>
        <w:ind w:right="0" w:rightChars="0"/>
        <w:jc w:val="both"/>
        <w:textAlignment w:val="auto"/>
        <w:outlineLvl w:val="1"/>
        <w:rPr>
          <w:rFonts w:hint="eastAsia" w:eastAsia="仿宋_GB2312"/>
          <w:b/>
          <w:bCs/>
          <w:color w:val="auto"/>
          <w:sz w:val="26"/>
          <w:szCs w:val="26"/>
        </w:rPr>
      </w:pPr>
      <w:bookmarkStart w:id="41" w:name="_Toc22790"/>
      <w:bookmarkStart w:id="42" w:name="_Toc454373107"/>
      <w:r>
        <w:rPr>
          <w:rFonts w:hint="eastAsia"/>
          <w:b/>
          <w:bCs/>
          <w:color w:val="auto"/>
          <w:sz w:val="26"/>
          <w:szCs w:val="26"/>
          <w:lang w:eastAsia="zh-CN"/>
        </w:rPr>
        <w:t>十一、</w:t>
      </w:r>
      <w:r>
        <w:rPr>
          <w:rFonts w:hint="eastAsia" w:eastAsia="仿宋_GB2312"/>
          <w:b/>
          <w:bCs/>
          <w:color w:val="auto"/>
          <w:sz w:val="26"/>
          <w:szCs w:val="26"/>
        </w:rPr>
        <w:t>注册房地产估价师</w:t>
      </w:r>
      <w:bookmarkEnd w:id="41"/>
    </w:p>
    <w:tbl>
      <w:tblPr>
        <w:tblStyle w:val="30"/>
        <w:tblW w:w="957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340"/>
        <w:gridCol w:w="340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250" w:type="dxa"/>
            <w:vAlign w:val="center"/>
          </w:tcPr>
          <w:p>
            <w:pPr>
              <w:snapToGrid w:val="0"/>
              <w:spacing w:line="420" w:lineRule="exact"/>
              <w:jc w:val="center"/>
              <w:rPr>
                <w:rFonts w:hint="eastAsia" w:ascii="仿宋_GB2312" w:hAnsi="仿宋_GB2312" w:eastAsia="仿宋_GB2312" w:cs="仿宋_GB2312"/>
                <w:color w:val="auto"/>
                <w:sz w:val="26"/>
                <w:szCs w:val="26"/>
              </w:rPr>
            </w:pPr>
            <w:r>
              <w:rPr>
                <w:rFonts w:hint="eastAsia" w:ascii="仿宋_GB2312" w:hAnsi="仿宋_GB2312" w:eastAsia="仿宋_GB2312" w:cs="仿宋_GB2312"/>
                <w:color w:val="auto"/>
                <w:sz w:val="26"/>
                <w:szCs w:val="26"/>
              </w:rPr>
              <w:t>姓  名</w:t>
            </w:r>
          </w:p>
        </w:tc>
        <w:tc>
          <w:tcPr>
            <w:tcW w:w="2340" w:type="dxa"/>
            <w:vAlign w:val="center"/>
          </w:tcPr>
          <w:p>
            <w:pPr>
              <w:snapToGrid w:val="0"/>
              <w:spacing w:line="420" w:lineRule="exact"/>
              <w:jc w:val="center"/>
              <w:rPr>
                <w:rFonts w:hint="eastAsia" w:ascii="仿宋_GB2312" w:hAnsi="仿宋_GB2312" w:eastAsia="仿宋_GB2312" w:cs="仿宋_GB2312"/>
                <w:color w:val="auto"/>
                <w:sz w:val="26"/>
                <w:szCs w:val="26"/>
              </w:rPr>
            </w:pPr>
            <w:r>
              <w:rPr>
                <w:rFonts w:hint="eastAsia" w:ascii="仿宋_GB2312" w:hAnsi="仿宋_GB2312" w:eastAsia="仿宋_GB2312" w:cs="仿宋_GB2312"/>
                <w:color w:val="auto"/>
                <w:sz w:val="26"/>
                <w:szCs w:val="26"/>
              </w:rPr>
              <w:t>注册号</w:t>
            </w:r>
          </w:p>
        </w:tc>
        <w:tc>
          <w:tcPr>
            <w:tcW w:w="3405" w:type="dxa"/>
            <w:vAlign w:val="center"/>
          </w:tcPr>
          <w:p>
            <w:pPr>
              <w:snapToGrid w:val="0"/>
              <w:spacing w:line="420" w:lineRule="exact"/>
              <w:jc w:val="center"/>
              <w:rPr>
                <w:rFonts w:hint="eastAsia" w:ascii="仿宋_GB2312" w:hAnsi="仿宋_GB2312" w:eastAsia="仿宋_GB2312" w:cs="仿宋_GB2312"/>
                <w:color w:val="auto"/>
                <w:sz w:val="26"/>
                <w:szCs w:val="26"/>
              </w:rPr>
            </w:pPr>
            <w:r>
              <w:rPr>
                <w:rFonts w:hint="eastAsia" w:ascii="仿宋_GB2312" w:hAnsi="仿宋_GB2312" w:eastAsia="仿宋_GB2312" w:cs="仿宋_GB2312"/>
                <w:color w:val="auto"/>
                <w:sz w:val="26"/>
                <w:szCs w:val="26"/>
              </w:rPr>
              <w:t>签名盖章</w:t>
            </w:r>
          </w:p>
        </w:tc>
        <w:tc>
          <w:tcPr>
            <w:tcW w:w="1575" w:type="dxa"/>
            <w:vAlign w:val="center"/>
          </w:tcPr>
          <w:p>
            <w:pPr>
              <w:snapToGrid w:val="0"/>
              <w:spacing w:line="420" w:lineRule="exact"/>
              <w:jc w:val="center"/>
              <w:rPr>
                <w:rFonts w:hint="eastAsia" w:ascii="仿宋_GB2312" w:hAnsi="仿宋_GB2312" w:eastAsia="仿宋_GB2312" w:cs="仿宋_GB2312"/>
                <w:color w:val="auto"/>
                <w:sz w:val="26"/>
                <w:szCs w:val="26"/>
              </w:rPr>
            </w:pPr>
            <w:r>
              <w:rPr>
                <w:rFonts w:hint="eastAsia" w:ascii="仿宋_GB2312" w:hAnsi="仿宋_GB2312" w:eastAsia="仿宋_GB2312" w:cs="仿宋_GB2312"/>
                <w:color w:val="auto"/>
                <w:sz w:val="26"/>
                <w:szCs w:val="26"/>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2250" w:type="dxa"/>
            <w:vAlign w:val="center"/>
          </w:tcPr>
          <w:p>
            <w:pPr>
              <w:snapToGrid w:val="0"/>
              <w:spacing w:line="460" w:lineRule="exact"/>
              <w:jc w:val="center"/>
              <w:rPr>
                <w:rFonts w:hint="eastAsia" w:ascii="Times New Roman" w:hAnsi="Times New Roman" w:eastAsia="仿宋_GB2312" w:cs="Times New Roman"/>
                <w:color w:val="auto"/>
                <w:sz w:val="26"/>
                <w:szCs w:val="26"/>
                <w:lang w:eastAsia="zh-CN"/>
              </w:rPr>
            </w:pPr>
            <w:r>
              <w:rPr>
                <w:rFonts w:hint="eastAsia" w:cs="Times New Roman"/>
                <w:color w:val="auto"/>
                <w:sz w:val="26"/>
                <w:szCs w:val="26"/>
                <w:lang w:eastAsia="zh-CN"/>
              </w:rPr>
              <w:t>徐春霞</w:t>
            </w:r>
          </w:p>
        </w:tc>
        <w:tc>
          <w:tcPr>
            <w:tcW w:w="2340" w:type="dxa"/>
            <w:vAlign w:val="center"/>
          </w:tcPr>
          <w:p>
            <w:pPr>
              <w:snapToGrid w:val="0"/>
              <w:spacing w:line="460" w:lineRule="exact"/>
              <w:jc w:val="center"/>
              <w:rPr>
                <w:rFonts w:hint="default" w:ascii="Times New Roman" w:hAnsi="Times New Roman" w:eastAsia="仿宋_GB2312" w:cs="Times New Roman"/>
                <w:color w:val="auto"/>
                <w:sz w:val="26"/>
                <w:szCs w:val="26"/>
              </w:rPr>
            </w:pPr>
            <w:r>
              <w:rPr>
                <w:rFonts w:hint="eastAsia" w:cs="Times New Roman"/>
                <w:color w:val="auto"/>
                <w:sz w:val="26"/>
                <w:szCs w:val="26"/>
                <w:lang w:val="en-US" w:eastAsia="zh-CN"/>
              </w:rPr>
              <w:t>2320050059</w:t>
            </w:r>
          </w:p>
        </w:tc>
        <w:tc>
          <w:tcPr>
            <w:tcW w:w="3405" w:type="dxa"/>
            <w:vAlign w:val="center"/>
          </w:tcPr>
          <w:p>
            <w:pPr>
              <w:snapToGrid w:val="0"/>
              <w:spacing w:line="460" w:lineRule="exact"/>
              <w:jc w:val="center"/>
              <w:rPr>
                <w:rFonts w:hint="eastAsia" w:ascii="仿宋_GB2312" w:hAnsi="仿宋_GB2312" w:eastAsia="仿宋_GB2312" w:cs="仿宋_GB2312"/>
                <w:color w:val="auto"/>
                <w:sz w:val="26"/>
                <w:szCs w:val="26"/>
              </w:rPr>
            </w:pPr>
          </w:p>
        </w:tc>
        <w:tc>
          <w:tcPr>
            <w:tcW w:w="1575" w:type="dxa"/>
            <w:vAlign w:val="center"/>
          </w:tcPr>
          <w:p>
            <w:pPr>
              <w:snapToGrid w:val="0"/>
              <w:spacing w:line="460" w:lineRule="exact"/>
              <w:jc w:val="center"/>
              <w:rPr>
                <w:rFonts w:hint="eastAsia" w:ascii="仿宋_GB2312" w:hAnsi="仿宋_GB2312" w:eastAsia="仿宋_GB2312" w:cs="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2250" w:type="dxa"/>
            <w:vAlign w:val="center"/>
          </w:tcPr>
          <w:p>
            <w:pPr>
              <w:snapToGrid w:val="0"/>
              <w:spacing w:line="460" w:lineRule="exact"/>
              <w:jc w:val="center"/>
              <w:rPr>
                <w:rFonts w:hint="eastAsia" w:ascii="仿宋_GB2312" w:hAnsi="仿宋_GB2312" w:eastAsia="仿宋_GB2312" w:cs="仿宋_GB2312"/>
                <w:color w:val="auto"/>
                <w:sz w:val="26"/>
                <w:szCs w:val="26"/>
                <w:lang w:eastAsia="zh-CN"/>
              </w:rPr>
            </w:pPr>
            <w:r>
              <w:rPr>
                <w:rFonts w:hint="eastAsia" w:ascii="仿宋_GB2312" w:hAnsi="仿宋_GB2312" w:cs="仿宋_GB2312"/>
                <w:color w:val="auto"/>
                <w:sz w:val="26"/>
                <w:szCs w:val="26"/>
                <w:lang w:eastAsia="zh-CN"/>
              </w:rPr>
              <w:t>楼满燕</w:t>
            </w:r>
          </w:p>
        </w:tc>
        <w:tc>
          <w:tcPr>
            <w:tcW w:w="2340" w:type="dxa"/>
            <w:vAlign w:val="center"/>
          </w:tcPr>
          <w:p>
            <w:pPr>
              <w:snapToGrid w:val="0"/>
              <w:spacing w:line="460" w:lineRule="exact"/>
              <w:jc w:val="center"/>
              <w:rPr>
                <w:rFonts w:hint="eastAsia" w:ascii="仿宋_GB2312" w:hAnsi="仿宋_GB2312" w:eastAsia="仿宋_GB2312" w:cs="仿宋_GB2312"/>
                <w:color w:val="auto"/>
                <w:sz w:val="26"/>
                <w:szCs w:val="26"/>
              </w:rPr>
            </w:pPr>
            <w:r>
              <w:rPr>
                <w:rFonts w:hint="eastAsia" w:eastAsia="仿宋_GB2312"/>
                <w:color w:val="auto"/>
                <w:sz w:val="26"/>
                <w:szCs w:val="26"/>
              </w:rPr>
              <w:t>332015</w:t>
            </w:r>
            <w:r>
              <w:rPr>
                <w:rFonts w:hint="eastAsia"/>
                <w:color w:val="auto"/>
                <w:sz w:val="26"/>
                <w:szCs w:val="26"/>
                <w:lang w:val="en-US" w:eastAsia="zh-CN"/>
              </w:rPr>
              <w:t>0063</w:t>
            </w:r>
            <w:r>
              <w:rPr>
                <w:rFonts w:hint="eastAsia" w:eastAsia="仿宋_GB2312"/>
                <w:color w:val="auto"/>
                <w:sz w:val="26"/>
                <w:szCs w:val="26"/>
              </w:rPr>
              <w:t xml:space="preserve">  </w:t>
            </w:r>
          </w:p>
        </w:tc>
        <w:tc>
          <w:tcPr>
            <w:tcW w:w="3405" w:type="dxa"/>
            <w:vAlign w:val="top"/>
          </w:tcPr>
          <w:p>
            <w:pPr>
              <w:snapToGrid w:val="0"/>
              <w:spacing w:line="460" w:lineRule="exact"/>
              <w:jc w:val="center"/>
              <w:rPr>
                <w:rFonts w:hint="eastAsia" w:ascii="仿宋_GB2312" w:hAnsi="仿宋_GB2312" w:eastAsia="仿宋_GB2312" w:cs="仿宋_GB2312"/>
                <w:color w:val="auto"/>
                <w:sz w:val="26"/>
                <w:szCs w:val="26"/>
              </w:rPr>
            </w:pPr>
          </w:p>
        </w:tc>
        <w:tc>
          <w:tcPr>
            <w:tcW w:w="1575" w:type="dxa"/>
            <w:vAlign w:val="top"/>
          </w:tcPr>
          <w:p>
            <w:pPr>
              <w:snapToGrid w:val="0"/>
              <w:spacing w:line="460" w:lineRule="exact"/>
              <w:jc w:val="center"/>
              <w:rPr>
                <w:rFonts w:hint="eastAsia" w:ascii="仿宋_GB2312" w:hAnsi="仿宋_GB2312" w:eastAsia="仿宋_GB2312" w:cs="仿宋_GB2312"/>
                <w:color w:val="auto"/>
                <w:sz w:val="26"/>
                <w:szCs w:val="26"/>
              </w:rPr>
            </w:pPr>
          </w:p>
        </w:tc>
      </w:tr>
    </w:tbl>
    <w:p>
      <w:pPr>
        <w:pStyle w:val="4"/>
        <w:keepNext w:val="0"/>
        <w:keepLines w:val="0"/>
        <w:pageBreakBefore w:val="0"/>
        <w:widowControl w:val="0"/>
        <w:kinsoku/>
        <w:wordWrap/>
        <w:overflowPunct/>
        <w:topLinePunct w:val="0"/>
        <w:autoSpaceDE/>
        <w:autoSpaceDN/>
        <w:bidi w:val="0"/>
        <w:adjustRightInd/>
        <w:spacing w:line="480" w:lineRule="exact"/>
        <w:ind w:left="0" w:leftChars="0" w:right="0" w:rightChars="0" w:firstLine="0"/>
        <w:jc w:val="both"/>
        <w:textAlignment w:val="auto"/>
        <w:outlineLvl w:val="2"/>
        <w:rPr>
          <w:rFonts w:eastAsia="仿宋_GB2312"/>
          <w:b/>
          <w:bCs/>
          <w:color w:val="auto"/>
          <w:sz w:val="26"/>
          <w:szCs w:val="26"/>
        </w:rPr>
      </w:pPr>
      <w:r>
        <w:rPr>
          <w:rFonts w:hint="eastAsia" w:eastAsia="仿宋_GB2312"/>
          <w:b/>
          <w:bCs/>
          <w:color w:val="auto"/>
          <w:sz w:val="26"/>
          <w:szCs w:val="26"/>
          <w:lang w:eastAsia="zh-CN"/>
        </w:rPr>
        <w:t>十二、</w:t>
      </w:r>
      <w:r>
        <w:rPr>
          <w:rFonts w:eastAsia="仿宋_GB2312"/>
          <w:b/>
          <w:bCs/>
          <w:color w:val="auto"/>
          <w:sz w:val="26"/>
          <w:szCs w:val="26"/>
        </w:rPr>
        <w:t>实地勘察期</w:t>
      </w:r>
      <w:bookmarkEnd w:id="42"/>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520" w:firstLineChars="200"/>
        <w:jc w:val="both"/>
        <w:textAlignment w:val="auto"/>
        <w:rPr>
          <w:rFonts w:hint="eastAsia" w:eastAsia="仿宋_GB2312"/>
          <w:color w:val="auto"/>
          <w:sz w:val="26"/>
          <w:szCs w:val="26"/>
          <w:lang w:eastAsia="zh-CN"/>
        </w:rPr>
      </w:pPr>
      <w:r>
        <w:rPr>
          <w:rFonts w:hint="eastAsia"/>
          <w:color w:val="auto"/>
          <w:sz w:val="26"/>
          <w:szCs w:val="26"/>
          <w:lang w:eastAsia="zh-CN"/>
        </w:rPr>
        <w:t>2019年12月16日</w:t>
      </w:r>
    </w:p>
    <w:p>
      <w:pPr>
        <w:pStyle w:val="4"/>
        <w:keepNext w:val="0"/>
        <w:keepLines w:val="0"/>
        <w:pageBreakBefore w:val="0"/>
        <w:widowControl w:val="0"/>
        <w:kinsoku/>
        <w:wordWrap/>
        <w:overflowPunct/>
        <w:topLinePunct w:val="0"/>
        <w:autoSpaceDE/>
        <w:autoSpaceDN/>
        <w:bidi w:val="0"/>
        <w:adjustRightInd/>
        <w:spacing w:line="480" w:lineRule="exact"/>
        <w:ind w:left="0" w:leftChars="0" w:right="0" w:rightChars="0" w:firstLine="0"/>
        <w:jc w:val="both"/>
        <w:textAlignment w:val="auto"/>
        <w:outlineLvl w:val="2"/>
        <w:rPr>
          <w:rFonts w:eastAsia="仿宋_GB2312"/>
          <w:b/>
          <w:bCs/>
          <w:color w:val="auto"/>
          <w:sz w:val="26"/>
          <w:szCs w:val="26"/>
        </w:rPr>
      </w:pPr>
      <w:bookmarkStart w:id="43" w:name="_Toc454373108"/>
      <w:r>
        <w:rPr>
          <w:rFonts w:eastAsia="仿宋_GB2312"/>
          <w:b/>
          <w:bCs/>
          <w:color w:val="auto"/>
          <w:sz w:val="26"/>
          <w:szCs w:val="26"/>
        </w:rPr>
        <w:t>十</w:t>
      </w:r>
      <w:r>
        <w:rPr>
          <w:rFonts w:hint="eastAsia" w:eastAsia="仿宋_GB2312"/>
          <w:b/>
          <w:bCs/>
          <w:color w:val="auto"/>
          <w:sz w:val="26"/>
          <w:szCs w:val="26"/>
          <w:lang w:eastAsia="zh-CN"/>
        </w:rPr>
        <w:t>三</w:t>
      </w:r>
      <w:r>
        <w:rPr>
          <w:rFonts w:eastAsia="仿宋_GB2312"/>
          <w:b/>
          <w:bCs/>
          <w:color w:val="auto"/>
          <w:sz w:val="26"/>
          <w:szCs w:val="26"/>
        </w:rPr>
        <w:t>、估价作业日期</w:t>
      </w:r>
      <w:bookmarkEnd w:id="43"/>
    </w:p>
    <w:p>
      <w:pPr>
        <w:pStyle w:val="4"/>
        <w:keepNext w:val="0"/>
        <w:keepLines w:val="0"/>
        <w:pageBreakBefore w:val="0"/>
        <w:widowControl w:val="0"/>
        <w:kinsoku/>
        <w:wordWrap/>
        <w:overflowPunct/>
        <w:topLinePunct w:val="0"/>
        <w:autoSpaceDE/>
        <w:autoSpaceDN/>
        <w:bidi w:val="0"/>
        <w:adjustRightInd/>
        <w:spacing w:line="480" w:lineRule="exact"/>
        <w:ind w:left="0" w:leftChars="0" w:right="0" w:rightChars="0" w:firstLine="520" w:firstLineChars="200"/>
        <w:jc w:val="both"/>
        <w:textAlignment w:val="auto"/>
        <w:rPr>
          <w:rFonts w:hint="eastAsia" w:eastAsia="仿宋_GB2312"/>
          <w:color w:val="auto"/>
          <w:sz w:val="26"/>
          <w:szCs w:val="26"/>
          <w:lang w:eastAsia="zh-CN"/>
        </w:rPr>
      </w:pPr>
      <w:r>
        <w:rPr>
          <w:rFonts w:hint="eastAsia" w:eastAsia="仿宋_GB2312"/>
          <w:color w:val="auto"/>
          <w:sz w:val="26"/>
          <w:szCs w:val="26"/>
          <w:lang w:eastAsia="zh-CN"/>
        </w:rPr>
        <w:t>2019年1</w:t>
      </w:r>
      <w:r>
        <w:rPr>
          <w:rFonts w:hint="eastAsia" w:eastAsia="仿宋_GB2312"/>
          <w:color w:val="auto"/>
          <w:sz w:val="26"/>
          <w:szCs w:val="26"/>
          <w:lang w:val="en-US" w:eastAsia="zh-CN"/>
        </w:rPr>
        <w:t>2</w:t>
      </w:r>
      <w:r>
        <w:rPr>
          <w:rFonts w:hint="eastAsia" w:eastAsia="仿宋_GB2312"/>
          <w:color w:val="auto"/>
          <w:sz w:val="26"/>
          <w:szCs w:val="26"/>
          <w:lang w:eastAsia="zh-CN"/>
        </w:rPr>
        <w:t>月</w:t>
      </w:r>
      <w:r>
        <w:rPr>
          <w:rFonts w:hint="eastAsia" w:eastAsia="仿宋_GB2312"/>
          <w:color w:val="auto"/>
          <w:sz w:val="26"/>
          <w:szCs w:val="26"/>
          <w:lang w:val="en-US" w:eastAsia="zh-CN"/>
        </w:rPr>
        <w:t>10</w:t>
      </w:r>
      <w:r>
        <w:rPr>
          <w:rFonts w:hint="eastAsia" w:eastAsia="仿宋_GB2312"/>
          <w:color w:val="auto"/>
          <w:sz w:val="26"/>
          <w:szCs w:val="26"/>
          <w:lang w:eastAsia="zh-CN"/>
        </w:rPr>
        <w:t>日</w:t>
      </w:r>
      <w:r>
        <w:rPr>
          <w:rFonts w:eastAsia="仿宋_GB2312"/>
          <w:color w:val="auto"/>
          <w:sz w:val="26"/>
          <w:szCs w:val="26"/>
        </w:rPr>
        <w:t>至</w:t>
      </w:r>
      <w:bookmarkStart w:id="44" w:name="_Toc469641711"/>
      <w:bookmarkStart w:id="45" w:name="_Toc213473261"/>
      <w:bookmarkStart w:id="46" w:name="_Toc7343633"/>
      <w:bookmarkStart w:id="47" w:name="_Toc469826793"/>
      <w:bookmarkStart w:id="48" w:name="_Toc240707870"/>
      <w:bookmarkStart w:id="49" w:name="_Toc119160799"/>
      <w:r>
        <w:rPr>
          <w:rFonts w:hint="eastAsia" w:eastAsia="仿宋_GB2312"/>
          <w:color w:val="auto"/>
          <w:sz w:val="26"/>
          <w:szCs w:val="26"/>
          <w:lang w:eastAsia="zh-CN"/>
        </w:rPr>
        <w:t>2019年1</w:t>
      </w:r>
      <w:r>
        <w:rPr>
          <w:rFonts w:hint="eastAsia" w:eastAsia="仿宋_GB2312"/>
          <w:color w:val="auto"/>
          <w:sz w:val="26"/>
          <w:szCs w:val="26"/>
          <w:lang w:val="en-US" w:eastAsia="zh-CN"/>
        </w:rPr>
        <w:t>2</w:t>
      </w:r>
      <w:r>
        <w:rPr>
          <w:rFonts w:hint="eastAsia" w:eastAsia="仿宋_GB2312"/>
          <w:color w:val="auto"/>
          <w:sz w:val="26"/>
          <w:szCs w:val="26"/>
          <w:lang w:eastAsia="zh-CN"/>
        </w:rPr>
        <w:t>月</w:t>
      </w:r>
      <w:r>
        <w:rPr>
          <w:rFonts w:hint="eastAsia" w:eastAsia="仿宋_GB2312"/>
          <w:color w:val="auto"/>
          <w:sz w:val="26"/>
          <w:szCs w:val="26"/>
          <w:lang w:val="en-US" w:eastAsia="zh-CN"/>
        </w:rPr>
        <w:t>20</w:t>
      </w:r>
      <w:r>
        <w:rPr>
          <w:rFonts w:hint="eastAsia" w:eastAsia="仿宋_GB2312"/>
          <w:color w:val="auto"/>
          <w:sz w:val="26"/>
          <w:szCs w:val="26"/>
          <w:lang w:eastAsia="zh-CN"/>
        </w:rPr>
        <w:t>日</w:t>
      </w: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r>
        <w:rPr>
          <w:rFonts w:hint="eastAsia" w:ascii="仿宋_GB2312" w:hAnsi="仿宋_GB2312" w:eastAsia="仿宋_GB2312"/>
          <w:b/>
          <w:color w:val="auto"/>
          <w:sz w:val="34"/>
          <w:szCs w:val="34"/>
        </w:rPr>
        <w:t>第五部分：附</w:t>
      </w:r>
      <w:r>
        <w:rPr>
          <w:rFonts w:hint="eastAsia" w:ascii="仿宋_GB2312" w:hAnsi="仿宋_GB2312" w:eastAsia="仿宋_GB2312"/>
          <w:b/>
          <w:color w:val="auto"/>
          <w:sz w:val="34"/>
          <w:szCs w:val="34"/>
          <w:lang w:val="en-US" w:eastAsia="zh-CN"/>
        </w:rPr>
        <w:t xml:space="preserve">    </w:t>
      </w:r>
      <w:r>
        <w:rPr>
          <w:rFonts w:hint="eastAsia" w:ascii="仿宋_GB2312" w:hAnsi="仿宋_GB2312" w:eastAsia="仿宋_GB2312"/>
          <w:b/>
          <w:color w:val="auto"/>
          <w:sz w:val="34"/>
          <w:szCs w:val="34"/>
        </w:rPr>
        <w:t>件</w:t>
      </w: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adjustRightInd w:val="0"/>
        <w:snapToGrid w:val="0"/>
        <w:spacing w:line="480" w:lineRule="exact"/>
        <w:ind w:firstLine="2731" w:firstLineChars="800"/>
        <w:jc w:val="both"/>
        <w:outlineLvl w:val="0"/>
        <w:rPr>
          <w:rFonts w:hint="eastAsia" w:ascii="仿宋_GB2312" w:hAnsi="仿宋_GB2312" w:eastAsia="仿宋_GB2312"/>
          <w:b/>
          <w:color w:val="auto"/>
          <w:sz w:val="34"/>
          <w:szCs w:val="3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eastAsia="仿宋_GB2312"/>
          <w:color w:val="auto"/>
          <w:sz w:val="26"/>
          <w:szCs w:val="26"/>
        </w:rPr>
      </w:pPr>
      <w:r>
        <w:rPr>
          <w:rFonts w:hint="eastAsia" w:eastAsia="仿宋_GB2312"/>
          <w:color w:val="auto"/>
          <w:sz w:val="26"/>
          <w:szCs w:val="26"/>
        </w:rPr>
        <w:t xml:space="preserve">           </w:t>
      </w:r>
      <w:r>
        <w:rPr>
          <w:rFonts w:eastAsia="仿宋_GB2312"/>
          <w:color w:val="auto"/>
          <w:sz w:val="26"/>
          <w:szCs w:val="26"/>
        </w:rPr>
        <w:t xml:space="preserve"> 1. 估价对象现场照片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eastAsia="仿宋_GB2312"/>
          <w:color w:val="auto"/>
          <w:sz w:val="26"/>
          <w:szCs w:val="26"/>
        </w:rPr>
      </w:pPr>
      <w:r>
        <w:rPr>
          <w:rFonts w:eastAsia="仿宋_GB2312"/>
          <w:color w:val="auto"/>
          <w:sz w:val="26"/>
          <w:szCs w:val="26"/>
        </w:rPr>
        <w:t xml:space="preserve">            2. 估价对象</w:t>
      </w:r>
      <w:r>
        <w:rPr>
          <w:rFonts w:hint="eastAsia" w:eastAsia="仿宋_GB2312"/>
          <w:color w:val="auto"/>
          <w:sz w:val="26"/>
          <w:szCs w:val="26"/>
        </w:rPr>
        <w:t>地理</w:t>
      </w:r>
      <w:r>
        <w:rPr>
          <w:rFonts w:eastAsia="仿宋_GB2312"/>
          <w:color w:val="auto"/>
          <w:sz w:val="26"/>
          <w:szCs w:val="26"/>
        </w:rPr>
        <w:t>位置示意图</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eastAsia="仿宋_GB2312"/>
          <w:color w:val="auto"/>
          <w:sz w:val="26"/>
          <w:szCs w:val="26"/>
        </w:rPr>
      </w:pPr>
      <w:r>
        <w:rPr>
          <w:rFonts w:hint="eastAsia" w:eastAsia="仿宋_GB2312"/>
          <w:color w:val="auto"/>
          <w:sz w:val="26"/>
          <w:szCs w:val="26"/>
        </w:rPr>
        <w:t xml:space="preserve">            3</w:t>
      </w:r>
      <w:r>
        <w:rPr>
          <w:rFonts w:hint="eastAsia"/>
          <w:color w:val="auto"/>
          <w:sz w:val="26"/>
          <w:szCs w:val="26"/>
          <w:lang w:val="en-US" w:eastAsia="zh-CN"/>
        </w:rPr>
        <w:t>.</w:t>
      </w:r>
      <w:r>
        <w:rPr>
          <w:rFonts w:eastAsia="仿宋_GB2312"/>
          <w:color w:val="auto"/>
          <w:sz w:val="26"/>
          <w:szCs w:val="26"/>
        </w:rPr>
        <w:t>《</w:t>
      </w:r>
      <w:r>
        <w:rPr>
          <w:rFonts w:hint="eastAsia"/>
          <w:color w:val="auto"/>
          <w:sz w:val="26"/>
          <w:szCs w:val="26"/>
          <w:lang w:eastAsia="zh-CN"/>
        </w:rPr>
        <w:t>浙江省诸暨市人民法院</w:t>
      </w:r>
      <w:r>
        <w:rPr>
          <w:rFonts w:eastAsia="仿宋_GB2312"/>
          <w:color w:val="auto"/>
          <w:sz w:val="26"/>
          <w:szCs w:val="26"/>
        </w:rPr>
        <w:t>司法</w:t>
      </w:r>
      <w:r>
        <w:rPr>
          <w:rFonts w:hint="eastAsia" w:eastAsia="仿宋_GB2312"/>
          <w:color w:val="auto"/>
          <w:sz w:val="26"/>
          <w:szCs w:val="26"/>
        </w:rPr>
        <w:t>评估</w:t>
      </w:r>
      <w:r>
        <w:rPr>
          <w:rFonts w:eastAsia="仿宋_GB2312"/>
          <w:color w:val="auto"/>
          <w:sz w:val="26"/>
          <w:szCs w:val="26"/>
        </w:rPr>
        <w:t>委托书》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eastAsia="仿宋_GB2312"/>
          <w:color w:val="auto"/>
          <w:sz w:val="26"/>
          <w:szCs w:val="26"/>
        </w:rPr>
      </w:pPr>
      <w:r>
        <w:rPr>
          <w:rFonts w:eastAsia="仿宋_GB2312"/>
          <w:color w:val="auto"/>
          <w:sz w:val="26"/>
          <w:szCs w:val="26"/>
        </w:rPr>
        <w:t xml:space="preserve">              【</w:t>
      </w:r>
      <w:r>
        <w:rPr>
          <w:rFonts w:hint="eastAsia"/>
          <w:color w:val="auto"/>
          <w:sz w:val="26"/>
          <w:szCs w:val="26"/>
          <w:lang w:eastAsia="zh-CN"/>
        </w:rPr>
        <w:t>（2019）浙绍诸法委评字第580号</w:t>
      </w:r>
      <w:r>
        <w:rPr>
          <w:rFonts w:hint="eastAsia" w:eastAsia="仿宋_GB2312"/>
          <w:color w:val="auto"/>
          <w:sz w:val="26"/>
          <w:szCs w:val="26"/>
        </w:rPr>
        <w:t>】</w:t>
      </w:r>
      <w:r>
        <w:rPr>
          <w:rFonts w:eastAsia="仿宋_GB2312"/>
          <w:color w:val="auto"/>
          <w:sz w:val="26"/>
          <w:szCs w:val="26"/>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1560" w:leftChars="0" w:right="0" w:rightChars="0"/>
        <w:jc w:val="left"/>
        <w:textAlignment w:val="auto"/>
        <w:rPr>
          <w:rFonts w:hint="eastAsia" w:eastAsia="仿宋_GB2312"/>
          <w:color w:val="auto"/>
          <w:spacing w:val="-3"/>
          <w:sz w:val="26"/>
          <w:szCs w:val="26"/>
          <w:lang w:eastAsia="zh-CN"/>
        </w:rPr>
      </w:pPr>
      <w:r>
        <w:rPr>
          <w:rFonts w:hint="eastAsia"/>
          <w:color w:val="auto"/>
          <w:spacing w:val="-3"/>
          <w:sz w:val="26"/>
          <w:szCs w:val="26"/>
          <w:lang w:val="en-US" w:eastAsia="zh-CN"/>
        </w:rPr>
        <w:t>4.</w:t>
      </w:r>
      <w:r>
        <w:rPr>
          <w:rFonts w:hint="eastAsia" w:eastAsia="仿宋_GB2312"/>
          <w:color w:val="auto"/>
          <w:spacing w:val="-3"/>
          <w:sz w:val="26"/>
          <w:szCs w:val="26"/>
        </w:rPr>
        <w:t>《</w:t>
      </w:r>
      <w:r>
        <w:rPr>
          <w:rFonts w:hint="eastAsia"/>
          <w:color w:val="auto"/>
          <w:spacing w:val="-3"/>
          <w:sz w:val="26"/>
          <w:szCs w:val="26"/>
          <w:lang w:eastAsia="zh-CN"/>
        </w:rPr>
        <w:t>房屋所有权证</w:t>
      </w:r>
      <w:r>
        <w:rPr>
          <w:rFonts w:hint="eastAsia" w:eastAsia="仿宋_GB2312"/>
          <w:color w:val="auto"/>
          <w:spacing w:val="-3"/>
          <w:sz w:val="26"/>
          <w:szCs w:val="26"/>
        </w:rPr>
        <w:t>》</w:t>
      </w:r>
      <w:r>
        <w:rPr>
          <w:rFonts w:hint="eastAsia"/>
          <w:color w:val="auto"/>
          <w:spacing w:val="-3"/>
          <w:sz w:val="26"/>
          <w:szCs w:val="26"/>
          <w:lang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1560" w:leftChars="0" w:right="0" w:rightChars="0"/>
        <w:jc w:val="left"/>
        <w:textAlignment w:val="auto"/>
        <w:rPr>
          <w:color w:val="auto"/>
          <w:sz w:val="26"/>
          <w:szCs w:val="26"/>
        </w:rPr>
      </w:pPr>
      <w:r>
        <w:rPr>
          <w:rFonts w:hint="eastAsia"/>
          <w:color w:val="auto"/>
          <w:spacing w:val="-3"/>
          <w:sz w:val="26"/>
          <w:szCs w:val="26"/>
          <w:lang w:val="en-US" w:eastAsia="zh-CN"/>
        </w:rPr>
        <w:t>5.</w:t>
      </w:r>
      <w:r>
        <w:rPr>
          <w:rFonts w:hint="eastAsia" w:eastAsia="仿宋_GB2312"/>
          <w:color w:val="auto"/>
          <w:spacing w:val="-3"/>
          <w:sz w:val="26"/>
          <w:szCs w:val="26"/>
        </w:rPr>
        <w:t>《</w:t>
      </w:r>
      <w:r>
        <w:rPr>
          <w:rFonts w:hint="eastAsia"/>
          <w:color w:val="auto"/>
          <w:spacing w:val="-3"/>
          <w:sz w:val="26"/>
          <w:szCs w:val="26"/>
          <w:lang w:eastAsia="zh-CN"/>
        </w:rPr>
        <w:t>国有土地使用证</w:t>
      </w:r>
      <w:r>
        <w:rPr>
          <w:rFonts w:hint="eastAsia" w:eastAsia="仿宋_GB2312"/>
          <w:color w:val="auto"/>
          <w:spacing w:val="-3"/>
          <w:sz w:val="26"/>
          <w:szCs w:val="26"/>
        </w:rPr>
        <w:t>》</w:t>
      </w:r>
      <w:r>
        <w:rPr>
          <w:color w:val="auto"/>
          <w:sz w:val="26"/>
          <w:szCs w:val="26"/>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1560" w:leftChars="0" w:right="0" w:rightChars="0"/>
        <w:jc w:val="left"/>
        <w:textAlignment w:val="auto"/>
        <w:rPr>
          <w:rFonts w:hint="default" w:eastAsia="仿宋_GB2312"/>
          <w:color w:val="auto"/>
          <w:sz w:val="26"/>
          <w:szCs w:val="26"/>
          <w:lang w:val="en-US" w:eastAsia="zh-CN"/>
        </w:rPr>
      </w:pPr>
      <w:r>
        <w:rPr>
          <w:rFonts w:hint="eastAsia"/>
          <w:color w:val="auto"/>
          <w:sz w:val="26"/>
          <w:szCs w:val="26"/>
          <w:lang w:val="en-US" w:eastAsia="zh-CN"/>
        </w:rPr>
        <w:t>6. 室内动产明细表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1560" w:firstLineChars="600"/>
        <w:jc w:val="left"/>
        <w:textAlignment w:val="auto"/>
        <w:outlineLvl w:val="9"/>
        <w:rPr>
          <w:rFonts w:eastAsia="仿宋_GB2312"/>
          <w:color w:val="auto"/>
          <w:sz w:val="26"/>
          <w:szCs w:val="26"/>
        </w:rPr>
      </w:pPr>
      <w:r>
        <w:rPr>
          <w:rFonts w:hint="eastAsia"/>
          <w:color w:val="auto"/>
          <w:sz w:val="26"/>
          <w:szCs w:val="26"/>
          <w:lang w:val="en-US" w:eastAsia="zh-CN"/>
        </w:rPr>
        <w:t>7</w:t>
      </w:r>
      <w:r>
        <w:rPr>
          <w:rFonts w:hint="eastAsia"/>
          <w:color w:val="auto"/>
          <w:sz w:val="26"/>
          <w:szCs w:val="26"/>
        </w:rPr>
        <w:t>.</w:t>
      </w:r>
      <w:r>
        <w:rPr>
          <w:rFonts w:hint="eastAsia"/>
          <w:color w:val="auto"/>
          <w:sz w:val="26"/>
          <w:szCs w:val="26"/>
          <w:lang w:val="en-US" w:eastAsia="zh-CN"/>
        </w:rPr>
        <w:t xml:space="preserve"> </w:t>
      </w:r>
      <w:r>
        <w:rPr>
          <w:color w:val="auto"/>
          <w:sz w:val="26"/>
          <w:szCs w:val="26"/>
        </w:rPr>
        <w:t>注册房地产估价师资质证书</w:t>
      </w:r>
      <w:r>
        <w:rPr>
          <w:rFonts w:hint="eastAsia"/>
          <w:color w:val="auto"/>
          <w:sz w:val="26"/>
          <w:szCs w:val="26"/>
        </w:rPr>
        <w:t xml:space="preserve"> </w:t>
      </w:r>
      <w:r>
        <w:rPr>
          <w:color w:val="auto"/>
          <w:sz w:val="26"/>
          <w:szCs w:val="26"/>
        </w:rPr>
        <w:t>复印件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eastAsia="仿宋_GB2312"/>
          <w:color w:val="auto"/>
          <w:sz w:val="26"/>
          <w:szCs w:val="26"/>
        </w:rPr>
      </w:pPr>
      <w:r>
        <w:rPr>
          <w:rFonts w:eastAsia="仿宋_GB2312"/>
          <w:color w:val="auto"/>
          <w:sz w:val="26"/>
          <w:szCs w:val="26"/>
        </w:rPr>
        <w:t xml:space="preserve">            </w:t>
      </w:r>
      <w:r>
        <w:rPr>
          <w:rFonts w:hint="eastAsia"/>
          <w:color w:val="auto"/>
          <w:sz w:val="26"/>
          <w:szCs w:val="26"/>
          <w:lang w:val="en-US" w:eastAsia="zh-CN"/>
        </w:rPr>
        <w:t xml:space="preserve">8. </w:t>
      </w:r>
      <w:r>
        <w:rPr>
          <w:rFonts w:eastAsia="仿宋_GB2312"/>
          <w:color w:val="auto"/>
          <w:sz w:val="26"/>
          <w:szCs w:val="26"/>
        </w:rPr>
        <w:t>估价机构资质证书</w:t>
      </w:r>
      <w:r>
        <w:rPr>
          <w:rFonts w:hint="eastAsia" w:eastAsia="仿宋_GB2312"/>
          <w:color w:val="auto"/>
          <w:sz w:val="26"/>
          <w:szCs w:val="26"/>
        </w:rPr>
        <w:t xml:space="preserve"> </w:t>
      </w:r>
      <w:r>
        <w:rPr>
          <w:rFonts w:eastAsia="仿宋_GB2312"/>
          <w:color w:val="auto"/>
          <w:sz w:val="26"/>
          <w:szCs w:val="26"/>
        </w:rPr>
        <w:t>复印件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eastAsia="仿宋_GB2312"/>
          <w:color w:val="auto"/>
          <w:sz w:val="26"/>
          <w:szCs w:val="26"/>
        </w:rPr>
      </w:pPr>
      <w:r>
        <w:rPr>
          <w:rFonts w:hint="eastAsia"/>
          <w:color w:val="auto"/>
          <w:sz w:val="26"/>
          <w:szCs w:val="26"/>
          <w:lang w:val="en-US" w:eastAsia="zh-CN"/>
        </w:rPr>
        <w:t xml:space="preserve">            9. </w:t>
      </w:r>
      <w:r>
        <w:rPr>
          <w:rFonts w:eastAsia="仿宋_GB2312"/>
          <w:color w:val="auto"/>
          <w:sz w:val="26"/>
          <w:szCs w:val="26"/>
        </w:rPr>
        <w:t>估价机构</w:t>
      </w:r>
      <w:r>
        <w:rPr>
          <w:rFonts w:hint="eastAsia"/>
          <w:color w:val="auto"/>
          <w:sz w:val="26"/>
          <w:szCs w:val="26"/>
          <w:lang w:eastAsia="zh-CN"/>
        </w:rPr>
        <w:t>营业执照</w:t>
      </w:r>
      <w:r>
        <w:rPr>
          <w:rFonts w:hint="eastAsia" w:eastAsia="仿宋_GB2312"/>
          <w:color w:val="auto"/>
          <w:sz w:val="26"/>
          <w:szCs w:val="26"/>
        </w:rPr>
        <w:t xml:space="preserve"> </w:t>
      </w:r>
      <w:r>
        <w:rPr>
          <w:rFonts w:eastAsia="仿宋_GB2312"/>
          <w:color w:val="auto"/>
          <w:sz w:val="26"/>
          <w:szCs w:val="26"/>
        </w:rPr>
        <w:t>复印件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eastAsia="仿宋_GB2312"/>
          <w:color w:val="auto"/>
          <w:sz w:val="26"/>
          <w:szCs w:val="26"/>
        </w:rPr>
      </w:pPr>
    </w:p>
    <w:bookmarkEnd w:id="44"/>
    <w:bookmarkEnd w:id="45"/>
    <w:bookmarkEnd w:id="46"/>
    <w:bookmarkEnd w:id="47"/>
    <w:bookmarkEnd w:id="48"/>
    <w:bookmarkEnd w:id="49"/>
    <w:p>
      <w:pPr>
        <w:widowControl/>
        <w:jc w:val="center"/>
        <w:rPr>
          <w:color w:val="auto"/>
          <w:sz w:val="32"/>
          <w:szCs w:val="32"/>
        </w:rPr>
      </w:pPr>
    </w:p>
    <w:sectPr>
      <w:headerReference r:id="rId3" w:type="default"/>
      <w:footerReference r:id="rId4" w:type="default"/>
      <w:pgSz w:w="11907" w:h="16840"/>
      <w:pgMar w:top="850" w:right="1134" w:bottom="964" w:left="1134" w:header="567" w:footer="680" w:gutter="0"/>
      <w:pgBorders>
        <w:top w:val="none" w:sz="0" w:space="0"/>
        <w:left w:val="none" w:sz="0" w:space="0"/>
        <w:bottom w:val="none" w:sz="0" w:space="0"/>
        <w:right w:val="none" w:sz="0" w:space="0"/>
      </w:pgBorders>
      <w:cols w:space="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0"/>
        <w:tab w:val="clear" w:pos="4153"/>
      </w:tabs>
      <w:jc w:val="both"/>
      <w:rPr>
        <w:rFonts w:hint="default" w:ascii="Times New Roman" w:hAnsi="Times New Roman" w:cs="Times New Roman"/>
        <w:kern w:val="0"/>
        <w:u w:val="single"/>
      </w:rPr>
    </w:pPr>
    <w:r>
      <w:rPr>
        <w:rFonts w:hint="eastAsia" w:ascii="宋体" w:hAnsi="宋体"/>
        <w:kern w:val="0"/>
        <w:u w:val="single"/>
      </w:rPr>
      <w:t xml:space="preserve">                                                                                                           </w:t>
    </w:r>
    <w:r>
      <w:rPr>
        <w:rFonts w:hint="default" w:ascii="Times New Roman" w:hAnsi="Times New Roman" w:cs="Times New Roman"/>
        <w:kern w:val="0"/>
        <w:u w:val="single"/>
      </w:rPr>
      <w:t xml:space="preserve">   </w:t>
    </w:r>
  </w:p>
  <w:p>
    <w:pPr>
      <w:pStyle w:val="18"/>
      <w:tabs>
        <w:tab w:val="center" w:pos="0"/>
        <w:tab w:val="right" w:pos="8312"/>
        <w:tab w:val="clear" w:pos="4153"/>
        <w:tab w:val="clear" w:pos="8306"/>
      </w:tabs>
      <w:jc w:val="both"/>
      <w:rPr>
        <w:rFonts w:hint="default" w:ascii="Times New Roman" w:hAnsi="Times New Roman" w:eastAsia="隶书" w:cs="Times New Roman"/>
        <w:lang w:val="en-US"/>
      </w:rPr>
    </w:pPr>
    <w:r>
      <w:rPr>
        <w:rFonts w:hint="default" w:ascii="Times New Roman" w:hAnsi="Times New Roman" w:cs="Times New Roman"/>
      </w:rPr>
      <w:t>地址：诸暨市暨阳街道东昌路15幢2</w:t>
    </w:r>
    <w:r>
      <w:rPr>
        <w:rFonts w:hint="eastAsia" w:cs="Times New Roman"/>
        <w:lang w:eastAsia="zh-CN"/>
      </w:rPr>
      <w:t>、</w:t>
    </w:r>
    <w:r>
      <w:rPr>
        <w:rFonts w:hint="eastAsia" w:cs="Times New Roman"/>
        <w:lang w:val="en-US" w:eastAsia="zh-CN"/>
      </w:rPr>
      <w:t>3</w:t>
    </w:r>
    <w:r>
      <w:rPr>
        <w:rFonts w:hint="default" w:ascii="Times New Roman" w:hAnsi="Times New Roman" w:cs="Times New Roman"/>
      </w:rPr>
      <w:t xml:space="preserve">号                </w:t>
    </w:r>
    <w:r>
      <w:rPr>
        <w:rFonts w:hint="eastAsia"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rPr>
      <w:fldChar w:fldCharType="begin"/>
    </w:r>
    <w:r>
      <w:rPr>
        <w:rStyle w:val="35"/>
        <w:rFonts w:hint="default" w:ascii="Times New Roman" w:hAnsi="Times New Roman" w:cs="Times New Roman"/>
      </w:rPr>
      <w:instrText xml:space="preserve"> PAGE </w:instrText>
    </w:r>
    <w:r>
      <w:rPr>
        <w:rFonts w:hint="default" w:ascii="Times New Roman" w:hAnsi="Times New Roman" w:cs="Times New Roman"/>
      </w:rPr>
      <w:fldChar w:fldCharType="separate"/>
    </w:r>
    <w:r>
      <w:rPr>
        <w:rStyle w:val="35"/>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t xml:space="preserve">                       </w:t>
    </w:r>
    <w:r>
      <w:rPr>
        <w:rFonts w:hint="eastAsia" w:cs="Times New Roman"/>
        <w:lang w:val="en-US" w:eastAsia="zh-CN"/>
      </w:rPr>
      <w:t xml:space="preserve"> </w:t>
    </w:r>
    <w:r>
      <w:rPr>
        <w:rFonts w:hint="default" w:ascii="Times New Roman" w:hAnsi="Times New Roman" w:cs="Times New Roman"/>
      </w:rPr>
      <w:t xml:space="preserve"> 电话：0575-8</w:t>
    </w:r>
    <w:r>
      <w:rPr>
        <w:rFonts w:hint="eastAsia" w:cs="Times New Roman"/>
        <w:lang w:eastAsia="zh-CN"/>
      </w:rPr>
      <w:t>7222225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left"/>
      <w:rPr>
        <w:rFonts w:hint="eastAsia"/>
        <w:lang w:eastAsia="zh-CN"/>
      </w:rPr>
    </w:pPr>
    <w:r>
      <w:rPr>
        <w:rFonts w:hint="eastAsia"/>
        <w:lang w:eastAsia="zh-CN"/>
      </w:rPr>
      <w:drawing>
        <wp:inline distT="0" distB="0" distL="114300" distR="114300">
          <wp:extent cx="722630" cy="231140"/>
          <wp:effectExtent l="0" t="0" r="1270" b="16510"/>
          <wp:docPr id="3" name="图片 3" descr="正信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正信图标"/>
                  <pic:cNvPicPr>
                    <a:picLocks noChangeAspect="1"/>
                  </pic:cNvPicPr>
                </pic:nvPicPr>
                <pic:blipFill>
                  <a:blip r:embed="rId1"/>
                  <a:stretch>
                    <a:fillRect/>
                  </a:stretch>
                </pic:blipFill>
                <pic:spPr>
                  <a:xfrm>
                    <a:off x="0" y="0"/>
                    <a:ext cx="722630" cy="231140"/>
                  </a:xfrm>
                  <a:prstGeom prst="rect">
                    <a:avLst/>
                  </a:prstGeom>
                </pic:spPr>
              </pic:pic>
            </a:graphicData>
          </a:graphic>
        </wp:inline>
      </w:drawing>
    </w:r>
  </w:p>
  <w:p>
    <w:pPr>
      <w:pStyle w:val="19"/>
      <w:pBdr>
        <w:bottom w:val="single" w:color="auto" w:sz="4" w:space="0"/>
      </w:pBdr>
      <w:jc w:val="left"/>
      <w:rPr>
        <w:rFonts w:hint="eastAsia" w:ascii="隶书" w:eastAsia="隶书"/>
        <w:sz w:val="21"/>
        <w:szCs w:val="21"/>
      </w:rPr>
    </w:pPr>
    <w:r>
      <w:rPr>
        <w:rFonts w:hint="eastAsia"/>
        <w:lang w:eastAsia="zh-CN"/>
      </w:rPr>
      <w:t>诸暨市正信房地产评估</w:t>
    </w:r>
    <w:r>
      <w:rPr>
        <w:rFonts w:hint="eastAsia"/>
      </w:rPr>
      <w:t>有限公司</w:t>
    </w:r>
    <w:r>
      <w:rPr>
        <w:rFonts w:hint="eastAsia"/>
        <w:i/>
        <w:iCs/>
      </w:rPr>
      <w:t xml:space="preserve"> </w:t>
    </w:r>
    <w:r>
      <w:rPr>
        <w:rFonts w:hint="eastAsia"/>
        <w:sz w:val="21"/>
        <w:szCs w:val="21"/>
      </w:rPr>
      <w:t xml:space="preserve">                                     </w:t>
    </w:r>
    <w:r>
      <w:rPr>
        <w:rFonts w:hint="eastAsia"/>
        <w:sz w:val="21"/>
        <w:szCs w:val="21"/>
        <w:lang w:val="en-US" w:eastAsia="zh-CN"/>
      </w:rPr>
      <w:t xml:space="preserve">           </w:t>
    </w:r>
    <w:r>
      <w:rPr>
        <w:rFonts w:hint="eastAsia"/>
      </w:rPr>
      <w:t>房地产司法鉴定估价报告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4721B9"/>
    <w:multiLevelType w:val="singleLevel"/>
    <w:tmpl w:val="FE4721B9"/>
    <w:lvl w:ilvl="0" w:tentative="0">
      <w:start w:val="6"/>
      <w:numFmt w:val="chineseCounting"/>
      <w:suff w:val="nothing"/>
      <w:lvlText w:val="（%1）"/>
      <w:lvlJc w:val="left"/>
      <w:rPr>
        <w:rFonts w:hint="eastAsia"/>
      </w:rPr>
    </w:lvl>
  </w:abstractNum>
  <w:abstractNum w:abstractNumId="1">
    <w:nsid w:val="0000000A"/>
    <w:multiLevelType w:val="multilevel"/>
    <w:tmpl w:val="0000000A"/>
    <w:lvl w:ilvl="0" w:tentative="0">
      <w:start w:val="1"/>
      <w:numFmt w:val="chineseCounting"/>
      <w:suff w:val="nothing"/>
      <w:lvlText w:val="%1、"/>
      <w:lvlJc w:val="left"/>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0000000C"/>
    <w:multiLevelType w:val="multilevel"/>
    <w:tmpl w:val="0000000C"/>
    <w:lvl w:ilvl="0" w:tentative="0">
      <w:start w:val="2"/>
      <w:numFmt w:val="chineseCounting"/>
      <w:suff w:val="nothing"/>
      <w:lvlText w:val="（%1）"/>
      <w:lvlJc w:val="left"/>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
    <w:nsid w:val="00000011"/>
    <w:multiLevelType w:val="multilevel"/>
    <w:tmpl w:val="00000011"/>
    <w:lvl w:ilvl="0" w:tentative="0">
      <w:start w:val="3"/>
      <w:numFmt w:val="decimal"/>
      <w:pStyle w:val="33"/>
      <w:lvlText w:val="%1、"/>
      <w:lvlJc w:val="left"/>
      <w:pPr>
        <w:tabs>
          <w:tab w:val="left" w:pos="1275"/>
        </w:tabs>
        <w:ind w:left="1275" w:hanging="720"/>
      </w:pPr>
      <w:rPr>
        <w:rFonts w:hint="default"/>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4">
    <w:nsid w:val="02068648"/>
    <w:multiLevelType w:val="singleLevel"/>
    <w:tmpl w:val="02068648"/>
    <w:lvl w:ilvl="0" w:tentative="0">
      <w:start w:val="5"/>
      <w:numFmt w:val="chineseCounting"/>
      <w:suff w:val="nothing"/>
      <w:lvlText w:val="%1、"/>
      <w:lvlJc w:val="left"/>
      <w:rPr>
        <w:rFonts w:hint="eastAsia"/>
      </w:rPr>
    </w:lvl>
  </w:abstractNum>
  <w:abstractNum w:abstractNumId="5">
    <w:nsid w:val="5A7903E7"/>
    <w:multiLevelType w:val="singleLevel"/>
    <w:tmpl w:val="5A7903E7"/>
    <w:lvl w:ilvl="0" w:tentative="0">
      <w:start w:val="6"/>
      <w:numFmt w:val="chineseCounting"/>
      <w:suff w:val="nothing"/>
      <w:lvlText w:val="%1、"/>
      <w:lvlJc w:val="left"/>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1" w:cryptProviderType="rsaFull" w:cryptAlgorithmClass="hash" w:cryptAlgorithmType="typeAny" w:cryptAlgorithmSid="4" w:cryptSpinCount="0" w:hash="mLMCsjA605YDgZdmpE999FO7MPc=" w:salt="X4Lir/vwbSz+4Ekm3iu3Jg=="/>
  <w:defaultTabStop w:val="420"/>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CE"/>
    <w:rsid w:val="00007971"/>
    <w:rsid w:val="00014C32"/>
    <w:rsid w:val="00015E37"/>
    <w:rsid w:val="00016DCA"/>
    <w:rsid w:val="0001767F"/>
    <w:rsid w:val="00017BF0"/>
    <w:rsid w:val="00022199"/>
    <w:rsid w:val="00025D48"/>
    <w:rsid w:val="000265F0"/>
    <w:rsid w:val="000317AC"/>
    <w:rsid w:val="00033279"/>
    <w:rsid w:val="0003446D"/>
    <w:rsid w:val="000470E3"/>
    <w:rsid w:val="00052787"/>
    <w:rsid w:val="00053436"/>
    <w:rsid w:val="00062C96"/>
    <w:rsid w:val="0006344A"/>
    <w:rsid w:val="000673D9"/>
    <w:rsid w:val="00067A38"/>
    <w:rsid w:val="00071048"/>
    <w:rsid w:val="00072A80"/>
    <w:rsid w:val="00081CC9"/>
    <w:rsid w:val="00083392"/>
    <w:rsid w:val="0008695A"/>
    <w:rsid w:val="00087845"/>
    <w:rsid w:val="000909B8"/>
    <w:rsid w:val="00094EFF"/>
    <w:rsid w:val="000A3E8F"/>
    <w:rsid w:val="000A4927"/>
    <w:rsid w:val="000A5211"/>
    <w:rsid w:val="000B0A6C"/>
    <w:rsid w:val="000B54C8"/>
    <w:rsid w:val="000C0104"/>
    <w:rsid w:val="000C44F5"/>
    <w:rsid w:val="000C53D5"/>
    <w:rsid w:val="000C5E0F"/>
    <w:rsid w:val="000D61C9"/>
    <w:rsid w:val="000E6F0B"/>
    <w:rsid w:val="000E7333"/>
    <w:rsid w:val="000F6DE8"/>
    <w:rsid w:val="0010222C"/>
    <w:rsid w:val="001025AA"/>
    <w:rsid w:val="00102E97"/>
    <w:rsid w:val="00103580"/>
    <w:rsid w:val="00103F94"/>
    <w:rsid w:val="00106E0B"/>
    <w:rsid w:val="001076B7"/>
    <w:rsid w:val="00107937"/>
    <w:rsid w:val="00110D1B"/>
    <w:rsid w:val="0011385D"/>
    <w:rsid w:val="00114C6E"/>
    <w:rsid w:val="001151B9"/>
    <w:rsid w:val="00115911"/>
    <w:rsid w:val="00115B1E"/>
    <w:rsid w:val="00117025"/>
    <w:rsid w:val="00121A7A"/>
    <w:rsid w:val="00123D42"/>
    <w:rsid w:val="00126688"/>
    <w:rsid w:val="00127D20"/>
    <w:rsid w:val="00130823"/>
    <w:rsid w:val="00131D38"/>
    <w:rsid w:val="00134E0F"/>
    <w:rsid w:val="001413BE"/>
    <w:rsid w:val="00147F2C"/>
    <w:rsid w:val="001508CF"/>
    <w:rsid w:val="001515C4"/>
    <w:rsid w:val="001519A3"/>
    <w:rsid w:val="00155057"/>
    <w:rsid w:val="00160E43"/>
    <w:rsid w:val="00162B75"/>
    <w:rsid w:val="0016340E"/>
    <w:rsid w:val="00163FDB"/>
    <w:rsid w:val="00166771"/>
    <w:rsid w:val="001716E8"/>
    <w:rsid w:val="00173672"/>
    <w:rsid w:val="0017422D"/>
    <w:rsid w:val="00176456"/>
    <w:rsid w:val="00176B8C"/>
    <w:rsid w:val="00186462"/>
    <w:rsid w:val="001877C2"/>
    <w:rsid w:val="00191425"/>
    <w:rsid w:val="00191F25"/>
    <w:rsid w:val="00192322"/>
    <w:rsid w:val="00192F88"/>
    <w:rsid w:val="001932AD"/>
    <w:rsid w:val="00194018"/>
    <w:rsid w:val="0019481A"/>
    <w:rsid w:val="00196E6C"/>
    <w:rsid w:val="001A097B"/>
    <w:rsid w:val="001A4306"/>
    <w:rsid w:val="001A48B1"/>
    <w:rsid w:val="001A50AC"/>
    <w:rsid w:val="001A788F"/>
    <w:rsid w:val="001B452C"/>
    <w:rsid w:val="001B53B4"/>
    <w:rsid w:val="001B6DC5"/>
    <w:rsid w:val="001B7EBE"/>
    <w:rsid w:val="001C2D9F"/>
    <w:rsid w:val="001C4398"/>
    <w:rsid w:val="001C505C"/>
    <w:rsid w:val="001C6AA9"/>
    <w:rsid w:val="001C6C87"/>
    <w:rsid w:val="001D012B"/>
    <w:rsid w:val="001D02C0"/>
    <w:rsid w:val="001D38D4"/>
    <w:rsid w:val="001D5DAD"/>
    <w:rsid w:val="001D65C7"/>
    <w:rsid w:val="001E1C77"/>
    <w:rsid w:val="001E4C75"/>
    <w:rsid w:val="001E4FE0"/>
    <w:rsid w:val="001E56C7"/>
    <w:rsid w:val="001E57AD"/>
    <w:rsid w:val="001E6E27"/>
    <w:rsid w:val="001F0350"/>
    <w:rsid w:val="001F2794"/>
    <w:rsid w:val="001F4C22"/>
    <w:rsid w:val="001F5AD5"/>
    <w:rsid w:val="001F7A2C"/>
    <w:rsid w:val="002007E7"/>
    <w:rsid w:val="00204826"/>
    <w:rsid w:val="002057E2"/>
    <w:rsid w:val="002101C6"/>
    <w:rsid w:val="00214BF5"/>
    <w:rsid w:val="0021563E"/>
    <w:rsid w:val="0022282E"/>
    <w:rsid w:val="00222BB1"/>
    <w:rsid w:val="00223E10"/>
    <w:rsid w:val="002245AE"/>
    <w:rsid w:val="00226229"/>
    <w:rsid w:val="00240232"/>
    <w:rsid w:val="00240641"/>
    <w:rsid w:val="0024201D"/>
    <w:rsid w:val="00242ABD"/>
    <w:rsid w:val="002457AE"/>
    <w:rsid w:val="0024726D"/>
    <w:rsid w:val="0025223D"/>
    <w:rsid w:val="00253410"/>
    <w:rsid w:val="002561C5"/>
    <w:rsid w:val="00263D85"/>
    <w:rsid w:val="00264517"/>
    <w:rsid w:val="00264894"/>
    <w:rsid w:val="00265334"/>
    <w:rsid w:val="00265EE1"/>
    <w:rsid w:val="0026722D"/>
    <w:rsid w:val="002700CC"/>
    <w:rsid w:val="0027089E"/>
    <w:rsid w:val="002727D1"/>
    <w:rsid w:val="002755BD"/>
    <w:rsid w:val="00283E62"/>
    <w:rsid w:val="00291736"/>
    <w:rsid w:val="00292288"/>
    <w:rsid w:val="00292A12"/>
    <w:rsid w:val="0029394C"/>
    <w:rsid w:val="00293C00"/>
    <w:rsid w:val="00294855"/>
    <w:rsid w:val="0029576C"/>
    <w:rsid w:val="002A343B"/>
    <w:rsid w:val="002A3C37"/>
    <w:rsid w:val="002B0F1C"/>
    <w:rsid w:val="002B1A35"/>
    <w:rsid w:val="002B3F4F"/>
    <w:rsid w:val="002B6D04"/>
    <w:rsid w:val="002C45D9"/>
    <w:rsid w:val="002D1908"/>
    <w:rsid w:val="002D2E42"/>
    <w:rsid w:val="002D3AEE"/>
    <w:rsid w:val="002D73CA"/>
    <w:rsid w:val="002D7656"/>
    <w:rsid w:val="002D7A6A"/>
    <w:rsid w:val="002E14CD"/>
    <w:rsid w:val="002E2DC0"/>
    <w:rsid w:val="002E2E9B"/>
    <w:rsid w:val="002E4ADD"/>
    <w:rsid w:val="002E64B6"/>
    <w:rsid w:val="002E67A1"/>
    <w:rsid w:val="002F0168"/>
    <w:rsid w:val="002F34F0"/>
    <w:rsid w:val="002F5664"/>
    <w:rsid w:val="002F5D1F"/>
    <w:rsid w:val="002F7144"/>
    <w:rsid w:val="00307A38"/>
    <w:rsid w:val="00311801"/>
    <w:rsid w:val="003124DC"/>
    <w:rsid w:val="0031419E"/>
    <w:rsid w:val="00314F66"/>
    <w:rsid w:val="0031505C"/>
    <w:rsid w:val="00316A33"/>
    <w:rsid w:val="00316B79"/>
    <w:rsid w:val="00317993"/>
    <w:rsid w:val="00333BD1"/>
    <w:rsid w:val="00336ADF"/>
    <w:rsid w:val="00340A55"/>
    <w:rsid w:val="00342F91"/>
    <w:rsid w:val="003464FC"/>
    <w:rsid w:val="0035210C"/>
    <w:rsid w:val="00352284"/>
    <w:rsid w:val="00353FB4"/>
    <w:rsid w:val="00354452"/>
    <w:rsid w:val="00354D3D"/>
    <w:rsid w:val="00354E6F"/>
    <w:rsid w:val="003555C9"/>
    <w:rsid w:val="00360528"/>
    <w:rsid w:val="00362AB2"/>
    <w:rsid w:val="00362BB7"/>
    <w:rsid w:val="00365275"/>
    <w:rsid w:val="0036689C"/>
    <w:rsid w:val="00370596"/>
    <w:rsid w:val="00380B95"/>
    <w:rsid w:val="00381E88"/>
    <w:rsid w:val="0039414D"/>
    <w:rsid w:val="00394C26"/>
    <w:rsid w:val="00395EB4"/>
    <w:rsid w:val="00397B78"/>
    <w:rsid w:val="003A2848"/>
    <w:rsid w:val="003A5A54"/>
    <w:rsid w:val="003B55DE"/>
    <w:rsid w:val="003B729E"/>
    <w:rsid w:val="003C02B4"/>
    <w:rsid w:val="003C3849"/>
    <w:rsid w:val="003D4309"/>
    <w:rsid w:val="003E132A"/>
    <w:rsid w:val="003E54C6"/>
    <w:rsid w:val="003E5EF8"/>
    <w:rsid w:val="003F0C44"/>
    <w:rsid w:val="003F22BD"/>
    <w:rsid w:val="003F2455"/>
    <w:rsid w:val="0040334E"/>
    <w:rsid w:val="00403D58"/>
    <w:rsid w:val="00404E84"/>
    <w:rsid w:val="0040656E"/>
    <w:rsid w:val="00411ACF"/>
    <w:rsid w:val="00411ED9"/>
    <w:rsid w:val="004126EC"/>
    <w:rsid w:val="00413483"/>
    <w:rsid w:val="00420A68"/>
    <w:rsid w:val="0042148E"/>
    <w:rsid w:val="00423BCB"/>
    <w:rsid w:val="0044167F"/>
    <w:rsid w:val="004427F7"/>
    <w:rsid w:val="004463D3"/>
    <w:rsid w:val="00455277"/>
    <w:rsid w:val="00455388"/>
    <w:rsid w:val="0045722C"/>
    <w:rsid w:val="00457433"/>
    <w:rsid w:val="00460E9D"/>
    <w:rsid w:val="00461C3D"/>
    <w:rsid w:val="004636F9"/>
    <w:rsid w:val="0046588C"/>
    <w:rsid w:val="00466A8A"/>
    <w:rsid w:val="00471802"/>
    <w:rsid w:val="004721C3"/>
    <w:rsid w:val="00472834"/>
    <w:rsid w:val="004732E8"/>
    <w:rsid w:val="004743E1"/>
    <w:rsid w:val="004753A9"/>
    <w:rsid w:val="00475712"/>
    <w:rsid w:val="0047642D"/>
    <w:rsid w:val="004823FC"/>
    <w:rsid w:val="004826B8"/>
    <w:rsid w:val="004832CF"/>
    <w:rsid w:val="00484064"/>
    <w:rsid w:val="00484BE8"/>
    <w:rsid w:val="00490F90"/>
    <w:rsid w:val="00491538"/>
    <w:rsid w:val="004961F0"/>
    <w:rsid w:val="00496834"/>
    <w:rsid w:val="00497535"/>
    <w:rsid w:val="004A3511"/>
    <w:rsid w:val="004A4D87"/>
    <w:rsid w:val="004A51A0"/>
    <w:rsid w:val="004A710A"/>
    <w:rsid w:val="004B018F"/>
    <w:rsid w:val="004B02C1"/>
    <w:rsid w:val="004B4F0E"/>
    <w:rsid w:val="004B58BC"/>
    <w:rsid w:val="004B5D3E"/>
    <w:rsid w:val="004B7754"/>
    <w:rsid w:val="004C087B"/>
    <w:rsid w:val="004C0DFF"/>
    <w:rsid w:val="004C31EA"/>
    <w:rsid w:val="004C767C"/>
    <w:rsid w:val="004D1359"/>
    <w:rsid w:val="004D24B6"/>
    <w:rsid w:val="004D33AF"/>
    <w:rsid w:val="004E3084"/>
    <w:rsid w:val="004E432F"/>
    <w:rsid w:val="004E43DC"/>
    <w:rsid w:val="004F01A9"/>
    <w:rsid w:val="004F17BE"/>
    <w:rsid w:val="004F79F9"/>
    <w:rsid w:val="00500D37"/>
    <w:rsid w:val="00501602"/>
    <w:rsid w:val="0050274A"/>
    <w:rsid w:val="00503B61"/>
    <w:rsid w:val="00504A00"/>
    <w:rsid w:val="00505D96"/>
    <w:rsid w:val="00514102"/>
    <w:rsid w:val="005213CB"/>
    <w:rsid w:val="00521B61"/>
    <w:rsid w:val="00531D3B"/>
    <w:rsid w:val="0053332D"/>
    <w:rsid w:val="005341A5"/>
    <w:rsid w:val="00541C83"/>
    <w:rsid w:val="00541D98"/>
    <w:rsid w:val="00557527"/>
    <w:rsid w:val="0056667A"/>
    <w:rsid w:val="005751D6"/>
    <w:rsid w:val="00575549"/>
    <w:rsid w:val="00575C3E"/>
    <w:rsid w:val="00576A03"/>
    <w:rsid w:val="0058300A"/>
    <w:rsid w:val="0058330C"/>
    <w:rsid w:val="005868B6"/>
    <w:rsid w:val="005872AF"/>
    <w:rsid w:val="00592E12"/>
    <w:rsid w:val="005938F6"/>
    <w:rsid w:val="00596389"/>
    <w:rsid w:val="005A2484"/>
    <w:rsid w:val="005A4CD6"/>
    <w:rsid w:val="005A6380"/>
    <w:rsid w:val="005B2590"/>
    <w:rsid w:val="005B468C"/>
    <w:rsid w:val="005B54D3"/>
    <w:rsid w:val="005C210B"/>
    <w:rsid w:val="005C407A"/>
    <w:rsid w:val="005C5752"/>
    <w:rsid w:val="005D118B"/>
    <w:rsid w:val="005D12D5"/>
    <w:rsid w:val="005D146E"/>
    <w:rsid w:val="005D45D8"/>
    <w:rsid w:val="005D6182"/>
    <w:rsid w:val="005D66F7"/>
    <w:rsid w:val="005E15DD"/>
    <w:rsid w:val="005E161D"/>
    <w:rsid w:val="005E1B5B"/>
    <w:rsid w:val="005E25D1"/>
    <w:rsid w:val="005E2957"/>
    <w:rsid w:val="005E4BB2"/>
    <w:rsid w:val="005E569C"/>
    <w:rsid w:val="005E70BD"/>
    <w:rsid w:val="005F1770"/>
    <w:rsid w:val="005F4E9E"/>
    <w:rsid w:val="005F5682"/>
    <w:rsid w:val="005F798A"/>
    <w:rsid w:val="005F7A76"/>
    <w:rsid w:val="006004E4"/>
    <w:rsid w:val="0060065B"/>
    <w:rsid w:val="00600B12"/>
    <w:rsid w:val="00605440"/>
    <w:rsid w:val="006069A5"/>
    <w:rsid w:val="00607220"/>
    <w:rsid w:val="0061307A"/>
    <w:rsid w:val="00613ACB"/>
    <w:rsid w:val="00614292"/>
    <w:rsid w:val="0062347D"/>
    <w:rsid w:val="0062674F"/>
    <w:rsid w:val="0063065E"/>
    <w:rsid w:val="00631F08"/>
    <w:rsid w:val="006335CE"/>
    <w:rsid w:val="00634238"/>
    <w:rsid w:val="00636C80"/>
    <w:rsid w:val="00643C2E"/>
    <w:rsid w:val="0064659C"/>
    <w:rsid w:val="00646AB7"/>
    <w:rsid w:val="00655161"/>
    <w:rsid w:val="00660062"/>
    <w:rsid w:val="0066110E"/>
    <w:rsid w:val="00661FF3"/>
    <w:rsid w:val="0066572E"/>
    <w:rsid w:val="00672539"/>
    <w:rsid w:val="00673479"/>
    <w:rsid w:val="00674BFA"/>
    <w:rsid w:val="006758FD"/>
    <w:rsid w:val="00680528"/>
    <w:rsid w:val="00685CA1"/>
    <w:rsid w:val="006876C0"/>
    <w:rsid w:val="00695B7C"/>
    <w:rsid w:val="006A6377"/>
    <w:rsid w:val="006C244B"/>
    <w:rsid w:val="006C2B25"/>
    <w:rsid w:val="006C3BF4"/>
    <w:rsid w:val="006C44E9"/>
    <w:rsid w:val="006C6354"/>
    <w:rsid w:val="006D0F02"/>
    <w:rsid w:val="006D158A"/>
    <w:rsid w:val="006D1F68"/>
    <w:rsid w:val="006D3DED"/>
    <w:rsid w:val="006D49B0"/>
    <w:rsid w:val="006E15AC"/>
    <w:rsid w:val="006E227D"/>
    <w:rsid w:val="006E61AD"/>
    <w:rsid w:val="006E77FB"/>
    <w:rsid w:val="006F1229"/>
    <w:rsid w:val="006F23C3"/>
    <w:rsid w:val="006F32DB"/>
    <w:rsid w:val="006F77EE"/>
    <w:rsid w:val="006F7CEB"/>
    <w:rsid w:val="00701021"/>
    <w:rsid w:val="0070364D"/>
    <w:rsid w:val="00703EA0"/>
    <w:rsid w:val="0071326B"/>
    <w:rsid w:val="00713A56"/>
    <w:rsid w:val="00713DB7"/>
    <w:rsid w:val="00714E40"/>
    <w:rsid w:val="00715AAA"/>
    <w:rsid w:val="00715AFF"/>
    <w:rsid w:val="007233E2"/>
    <w:rsid w:val="00727A82"/>
    <w:rsid w:val="007355CA"/>
    <w:rsid w:val="00737879"/>
    <w:rsid w:val="00740357"/>
    <w:rsid w:val="00740BF4"/>
    <w:rsid w:val="007415D7"/>
    <w:rsid w:val="00744CB4"/>
    <w:rsid w:val="00746CF6"/>
    <w:rsid w:val="0074772C"/>
    <w:rsid w:val="00750F9C"/>
    <w:rsid w:val="00753FD2"/>
    <w:rsid w:val="00754EA1"/>
    <w:rsid w:val="00756CAD"/>
    <w:rsid w:val="00756E6A"/>
    <w:rsid w:val="00757B01"/>
    <w:rsid w:val="00761B38"/>
    <w:rsid w:val="00764EBB"/>
    <w:rsid w:val="007711B7"/>
    <w:rsid w:val="00771201"/>
    <w:rsid w:val="0077178C"/>
    <w:rsid w:val="00777D06"/>
    <w:rsid w:val="00790C78"/>
    <w:rsid w:val="0079458E"/>
    <w:rsid w:val="00794775"/>
    <w:rsid w:val="007A4641"/>
    <w:rsid w:val="007A773B"/>
    <w:rsid w:val="007B3313"/>
    <w:rsid w:val="007B3587"/>
    <w:rsid w:val="007B6A6C"/>
    <w:rsid w:val="007C041B"/>
    <w:rsid w:val="007C161E"/>
    <w:rsid w:val="007C4D45"/>
    <w:rsid w:val="007C77AF"/>
    <w:rsid w:val="007C7B9A"/>
    <w:rsid w:val="007D26B9"/>
    <w:rsid w:val="007D4914"/>
    <w:rsid w:val="007D5820"/>
    <w:rsid w:val="007E0DF6"/>
    <w:rsid w:val="007E2A1C"/>
    <w:rsid w:val="007E382B"/>
    <w:rsid w:val="007E3AE9"/>
    <w:rsid w:val="007F079A"/>
    <w:rsid w:val="007F2D98"/>
    <w:rsid w:val="007F4A54"/>
    <w:rsid w:val="007F630D"/>
    <w:rsid w:val="007F6786"/>
    <w:rsid w:val="008000F5"/>
    <w:rsid w:val="008018E7"/>
    <w:rsid w:val="008054BD"/>
    <w:rsid w:val="00805C8B"/>
    <w:rsid w:val="00806A52"/>
    <w:rsid w:val="00807221"/>
    <w:rsid w:val="00810292"/>
    <w:rsid w:val="00811336"/>
    <w:rsid w:val="008131C5"/>
    <w:rsid w:val="008208EE"/>
    <w:rsid w:val="00821C23"/>
    <w:rsid w:val="008241D8"/>
    <w:rsid w:val="00825059"/>
    <w:rsid w:val="00825424"/>
    <w:rsid w:val="0082576C"/>
    <w:rsid w:val="00831AA0"/>
    <w:rsid w:val="00832AD4"/>
    <w:rsid w:val="008334CD"/>
    <w:rsid w:val="0083368E"/>
    <w:rsid w:val="008336A0"/>
    <w:rsid w:val="008348B2"/>
    <w:rsid w:val="008351DC"/>
    <w:rsid w:val="00836D76"/>
    <w:rsid w:val="00840059"/>
    <w:rsid w:val="00840E1F"/>
    <w:rsid w:val="008438CE"/>
    <w:rsid w:val="00844F8C"/>
    <w:rsid w:val="008473B1"/>
    <w:rsid w:val="00847C66"/>
    <w:rsid w:val="008513B5"/>
    <w:rsid w:val="00855888"/>
    <w:rsid w:val="00864456"/>
    <w:rsid w:val="008678B7"/>
    <w:rsid w:val="00867A21"/>
    <w:rsid w:val="00870CC8"/>
    <w:rsid w:val="00870E46"/>
    <w:rsid w:val="008721C4"/>
    <w:rsid w:val="008726B0"/>
    <w:rsid w:val="00873AB2"/>
    <w:rsid w:val="0087512D"/>
    <w:rsid w:val="00877105"/>
    <w:rsid w:val="0088151A"/>
    <w:rsid w:val="00883A4B"/>
    <w:rsid w:val="00884FD7"/>
    <w:rsid w:val="008873B8"/>
    <w:rsid w:val="00890D3E"/>
    <w:rsid w:val="00895660"/>
    <w:rsid w:val="00895C9C"/>
    <w:rsid w:val="00896E93"/>
    <w:rsid w:val="008A4D94"/>
    <w:rsid w:val="008A6B69"/>
    <w:rsid w:val="008B0BAC"/>
    <w:rsid w:val="008B28D1"/>
    <w:rsid w:val="008B36E8"/>
    <w:rsid w:val="008B62F6"/>
    <w:rsid w:val="008C03A5"/>
    <w:rsid w:val="008C1E19"/>
    <w:rsid w:val="008C4FB9"/>
    <w:rsid w:val="008C502A"/>
    <w:rsid w:val="008C564A"/>
    <w:rsid w:val="008D0BAA"/>
    <w:rsid w:val="008D0BD5"/>
    <w:rsid w:val="008D0D04"/>
    <w:rsid w:val="008D15B7"/>
    <w:rsid w:val="008D708A"/>
    <w:rsid w:val="008E048B"/>
    <w:rsid w:val="008E38A9"/>
    <w:rsid w:val="008E45E7"/>
    <w:rsid w:val="008E4637"/>
    <w:rsid w:val="008E531F"/>
    <w:rsid w:val="008E5474"/>
    <w:rsid w:val="008E54E8"/>
    <w:rsid w:val="008E7557"/>
    <w:rsid w:val="008E7748"/>
    <w:rsid w:val="008F17FB"/>
    <w:rsid w:val="008F3A79"/>
    <w:rsid w:val="008F3B69"/>
    <w:rsid w:val="008F5299"/>
    <w:rsid w:val="008F5C57"/>
    <w:rsid w:val="00900908"/>
    <w:rsid w:val="00901F10"/>
    <w:rsid w:val="00902822"/>
    <w:rsid w:val="009047BE"/>
    <w:rsid w:val="00904DC5"/>
    <w:rsid w:val="00905FD9"/>
    <w:rsid w:val="00906B06"/>
    <w:rsid w:val="00911F08"/>
    <w:rsid w:val="00912368"/>
    <w:rsid w:val="0091242F"/>
    <w:rsid w:val="00915631"/>
    <w:rsid w:val="00916E62"/>
    <w:rsid w:val="0092130A"/>
    <w:rsid w:val="009248CF"/>
    <w:rsid w:val="009248EE"/>
    <w:rsid w:val="00926AA9"/>
    <w:rsid w:val="009276DB"/>
    <w:rsid w:val="00933717"/>
    <w:rsid w:val="00935AB6"/>
    <w:rsid w:val="00937F0C"/>
    <w:rsid w:val="00940620"/>
    <w:rsid w:val="009449E6"/>
    <w:rsid w:val="00951E7E"/>
    <w:rsid w:val="009531B5"/>
    <w:rsid w:val="0095327C"/>
    <w:rsid w:val="00962E8F"/>
    <w:rsid w:val="0096492A"/>
    <w:rsid w:val="00964AFF"/>
    <w:rsid w:val="00965EF8"/>
    <w:rsid w:val="00967A20"/>
    <w:rsid w:val="00971771"/>
    <w:rsid w:val="00971EF3"/>
    <w:rsid w:val="0097336D"/>
    <w:rsid w:val="0097566F"/>
    <w:rsid w:val="009816B6"/>
    <w:rsid w:val="00982FDB"/>
    <w:rsid w:val="00985EB4"/>
    <w:rsid w:val="009864E9"/>
    <w:rsid w:val="00986C7F"/>
    <w:rsid w:val="00986EF5"/>
    <w:rsid w:val="00992635"/>
    <w:rsid w:val="009944EA"/>
    <w:rsid w:val="00995695"/>
    <w:rsid w:val="009959B2"/>
    <w:rsid w:val="009A1E3F"/>
    <w:rsid w:val="009A222F"/>
    <w:rsid w:val="009A326A"/>
    <w:rsid w:val="009A39EB"/>
    <w:rsid w:val="009A71B1"/>
    <w:rsid w:val="009B4FD7"/>
    <w:rsid w:val="009B54E1"/>
    <w:rsid w:val="009B7841"/>
    <w:rsid w:val="009C3134"/>
    <w:rsid w:val="009C3843"/>
    <w:rsid w:val="009C38F3"/>
    <w:rsid w:val="009C3D98"/>
    <w:rsid w:val="009C5167"/>
    <w:rsid w:val="009C5D4C"/>
    <w:rsid w:val="009E1252"/>
    <w:rsid w:val="009E65CD"/>
    <w:rsid w:val="009F1519"/>
    <w:rsid w:val="009F2C6A"/>
    <w:rsid w:val="009F50DD"/>
    <w:rsid w:val="009F57E6"/>
    <w:rsid w:val="009F7A92"/>
    <w:rsid w:val="00A00411"/>
    <w:rsid w:val="00A06FA5"/>
    <w:rsid w:val="00A10806"/>
    <w:rsid w:val="00A131B5"/>
    <w:rsid w:val="00A13499"/>
    <w:rsid w:val="00A144AC"/>
    <w:rsid w:val="00A14FD7"/>
    <w:rsid w:val="00A157C6"/>
    <w:rsid w:val="00A230EC"/>
    <w:rsid w:val="00A24B05"/>
    <w:rsid w:val="00A24DA9"/>
    <w:rsid w:val="00A257A9"/>
    <w:rsid w:val="00A31DDE"/>
    <w:rsid w:val="00A322C1"/>
    <w:rsid w:val="00A3261A"/>
    <w:rsid w:val="00A33288"/>
    <w:rsid w:val="00A34B6D"/>
    <w:rsid w:val="00A4015A"/>
    <w:rsid w:val="00A43418"/>
    <w:rsid w:val="00A44615"/>
    <w:rsid w:val="00A473A4"/>
    <w:rsid w:val="00A54CB8"/>
    <w:rsid w:val="00A54ED7"/>
    <w:rsid w:val="00A55144"/>
    <w:rsid w:val="00A5685C"/>
    <w:rsid w:val="00A710CC"/>
    <w:rsid w:val="00A743BB"/>
    <w:rsid w:val="00A74EF3"/>
    <w:rsid w:val="00A80466"/>
    <w:rsid w:val="00A80E4A"/>
    <w:rsid w:val="00A84AB5"/>
    <w:rsid w:val="00A875F1"/>
    <w:rsid w:val="00A87B91"/>
    <w:rsid w:val="00A93A0F"/>
    <w:rsid w:val="00A96CC8"/>
    <w:rsid w:val="00AA4BDE"/>
    <w:rsid w:val="00AA5281"/>
    <w:rsid w:val="00AA78D4"/>
    <w:rsid w:val="00AB1BB7"/>
    <w:rsid w:val="00AB4D8C"/>
    <w:rsid w:val="00AB4F87"/>
    <w:rsid w:val="00AB62AF"/>
    <w:rsid w:val="00AC0503"/>
    <w:rsid w:val="00AC23DB"/>
    <w:rsid w:val="00AC2DD3"/>
    <w:rsid w:val="00AD74F9"/>
    <w:rsid w:val="00AE0C5B"/>
    <w:rsid w:val="00AE1C56"/>
    <w:rsid w:val="00AE32DA"/>
    <w:rsid w:val="00AE4316"/>
    <w:rsid w:val="00AE61E1"/>
    <w:rsid w:val="00AE7076"/>
    <w:rsid w:val="00AF1119"/>
    <w:rsid w:val="00AF7141"/>
    <w:rsid w:val="00B05F78"/>
    <w:rsid w:val="00B06D9D"/>
    <w:rsid w:val="00B0721F"/>
    <w:rsid w:val="00B11158"/>
    <w:rsid w:val="00B129AC"/>
    <w:rsid w:val="00B13D6B"/>
    <w:rsid w:val="00B14F32"/>
    <w:rsid w:val="00B1570F"/>
    <w:rsid w:val="00B16821"/>
    <w:rsid w:val="00B21687"/>
    <w:rsid w:val="00B21D82"/>
    <w:rsid w:val="00B247C0"/>
    <w:rsid w:val="00B3022C"/>
    <w:rsid w:val="00B3629C"/>
    <w:rsid w:val="00B37BA6"/>
    <w:rsid w:val="00B41F0D"/>
    <w:rsid w:val="00B43265"/>
    <w:rsid w:val="00B51FFE"/>
    <w:rsid w:val="00B52EED"/>
    <w:rsid w:val="00B561AF"/>
    <w:rsid w:val="00B62A97"/>
    <w:rsid w:val="00B70F2F"/>
    <w:rsid w:val="00B742CF"/>
    <w:rsid w:val="00B7742E"/>
    <w:rsid w:val="00B823BA"/>
    <w:rsid w:val="00B83A96"/>
    <w:rsid w:val="00B872AE"/>
    <w:rsid w:val="00B91861"/>
    <w:rsid w:val="00B931D2"/>
    <w:rsid w:val="00BA172F"/>
    <w:rsid w:val="00BA27FD"/>
    <w:rsid w:val="00BA4B1C"/>
    <w:rsid w:val="00BA5DFE"/>
    <w:rsid w:val="00BA6460"/>
    <w:rsid w:val="00BA727C"/>
    <w:rsid w:val="00BB5D1F"/>
    <w:rsid w:val="00BC27E0"/>
    <w:rsid w:val="00BC2CEB"/>
    <w:rsid w:val="00BE10A2"/>
    <w:rsid w:val="00BE210D"/>
    <w:rsid w:val="00BE34F5"/>
    <w:rsid w:val="00BE42E5"/>
    <w:rsid w:val="00BE5848"/>
    <w:rsid w:val="00BE6B8D"/>
    <w:rsid w:val="00BF1A6A"/>
    <w:rsid w:val="00BF3E7F"/>
    <w:rsid w:val="00BF471F"/>
    <w:rsid w:val="00C01D7C"/>
    <w:rsid w:val="00C107BD"/>
    <w:rsid w:val="00C109EF"/>
    <w:rsid w:val="00C11179"/>
    <w:rsid w:val="00C129C7"/>
    <w:rsid w:val="00C14817"/>
    <w:rsid w:val="00C16CC9"/>
    <w:rsid w:val="00C27BAC"/>
    <w:rsid w:val="00C30CEB"/>
    <w:rsid w:val="00C33E3D"/>
    <w:rsid w:val="00C34F92"/>
    <w:rsid w:val="00C40B01"/>
    <w:rsid w:val="00C40C9F"/>
    <w:rsid w:val="00C42CC0"/>
    <w:rsid w:val="00C464A0"/>
    <w:rsid w:val="00C53148"/>
    <w:rsid w:val="00C53DA0"/>
    <w:rsid w:val="00C5528E"/>
    <w:rsid w:val="00C555BF"/>
    <w:rsid w:val="00C55DDA"/>
    <w:rsid w:val="00C57AFB"/>
    <w:rsid w:val="00C60462"/>
    <w:rsid w:val="00C60B87"/>
    <w:rsid w:val="00C63556"/>
    <w:rsid w:val="00C65132"/>
    <w:rsid w:val="00C66198"/>
    <w:rsid w:val="00C661DF"/>
    <w:rsid w:val="00C70718"/>
    <w:rsid w:val="00C755BD"/>
    <w:rsid w:val="00C77781"/>
    <w:rsid w:val="00C818CC"/>
    <w:rsid w:val="00C8359B"/>
    <w:rsid w:val="00C865F2"/>
    <w:rsid w:val="00C87CEE"/>
    <w:rsid w:val="00C87EA6"/>
    <w:rsid w:val="00CA072D"/>
    <w:rsid w:val="00CA1F27"/>
    <w:rsid w:val="00CA2E49"/>
    <w:rsid w:val="00CA655F"/>
    <w:rsid w:val="00CB7749"/>
    <w:rsid w:val="00CC323F"/>
    <w:rsid w:val="00CD106A"/>
    <w:rsid w:val="00CD6A73"/>
    <w:rsid w:val="00CE0A9B"/>
    <w:rsid w:val="00CF007B"/>
    <w:rsid w:val="00CF1A88"/>
    <w:rsid w:val="00CF350E"/>
    <w:rsid w:val="00CF764F"/>
    <w:rsid w:val="00CF7D92"/>
    <w:rsid w:val="00D00035"/>
    <w:rsid w:val="00D02E26"/>
    <w:rsid w:val="00D07494"/>
    <w:rsid w:val="00D12EC6"/>
    <w:rsid w:val="00D13B7C"/>
    <w:rsid w:val="00D1529C"/>
    <w:rsid w:val="00D15BEE"/>
    <w:rsid w:val="00D15FDE"/>
    <w:rsid w:val="00D253D2"/>
    <w:rsid w:val="00D31C3A"/>
    <w:rsid w:val="00D32DC8"/>
    <w:rsid w:val="00D33181"/>
    <w:rsid w:val="00D349C8"/>
    <w:rsid w:val="00D34B56"/>
    <w:rsid w:val="00D36C77"/>
    <w:rsid w:val="00D372B2"/>
    <w:rsid w:val="00D44093"/>
    <w:rsid w:val="00D454B0"/>
    <w:rsid w:val="00D510C1"/>
    <w:rsid w:val="00D51E98"/>
    <w:rsid w:val="00D51FF1"/>
    <w:rsid w:val="00D60385"/>
    <w:rsid w:val="00D62B69"/>
    <w:rsid w:val="00D63DB2"/>
    <w:rsid w:val="00D66420"/>
    <w:rsid w:val="00D664E8"/>
    <w:rsid w:val="00D66FE8"/>
    <w:rsid w:val="00D720FA"/>
    <w:rsid w:val="00D759B4"/>
    <w:rsid w:val="00D80868"/>
    <w:rsid w:val="00D8156A"/>
    <w:rsid w:val="00D81B9E"/>
    <w:rsid w:val="00D8211A"/>
    <w:rsid w:val="00D85840"/>
    <w:rsid w:val="00D901CF"/>
    <w:rsid w:val="00D9296A"/>
    <w:rsid w:val="00DA0770"/>
    <w:rsid w:val="00DA0CB3"/>
    <w:rsid w:val="00DA25E0"/>
    <w:rsid w:val="00DA3961"/>
    <w:rsid w:val="00DA3DAF"/>
    <w:rsid w:val="00DA406B"/>
    <w:rsid w:val="00DA7A82"/>
    <w:rsid w:val="00DB0D3C"/>
    <w:rsid w:val="00DB3198"/>
    <w:rsid w:val="00DB5E54"/>
    <w:rsid w:val="00DC11BE"/>
    <w:rsid w:val="00DC11E1"/>
    <w:rsid w:val="00DC2B42"/>
    <w:rsid w:val="00DC326C"/>
    <w:rsid w:val="00DD0204"/>
    <w:rsid w:val="00DD08E8"/>
    <w:rsid w:val="00DD2335"/>
    <w:rsid w:val="00DD584F"/>
    <w:rsid w:val="00DD60D0"/>
    <w:rsid w:val="00DE2583"/>
    <w:rsid w:val="00DE3520"/>
    <w:rsid w:val="00DE3EFB"/>
    <w:rsid w:val="00DE4C1B"/>
    <w:rsid w:val="00DE7AB7"/>
    <w:rsid w:val="00DF1033"/>
    <w:rsid w:val="00DF2101"/>
    <w:rsid w:val="00DF3ED4"/>
    <w:rsid w:val="00DF42D3"/>
    <w:rsid w:val="00DF7F26"/>
    <w:rsid w:val="00E01DF9"/>
    <w:rsid w:val="00E02403"/>
    <w:rsid w:val="00E0731F"/>
    <w:rsid w:val="00E11104"/>
    <w:rsid w:val="00E13A87"/>
    <w:rsid w:val="00E25550"/>
    <w:rsid w:val="00E2555E"/>
    <w:rsid w:val="00E26D0E"/>
    <w:rsid w:val="00E27699"/>
    <w:rsid w:val="00E30ABA"/>
    <w:rsid w:val="00E3121C"/>
    <w:rsid w:val="00E33857"/>
    <w:rsid w:val="00E33A36"/>
    <w:rsid w:val="00E34323"/>
    <w:rsid w:val="00E349B2"/>
    <w:rsid w:val="00E40D61"/>
    <w:rsid w:val="00E43394"/>
    <w:rsid w:val="00E43D11"/>
    <w:rsid w:val="00E44D60"/>
    <w:rsid w:val="00E4782D"/>
    <w:rsid w:val="00E47B2B"/>
    <w:rsid w:val="00E47F7E"/>
    <w:rsid w:val="00E5315C"/>
    <w:rsid w:val="00E558F6"/>
    <w:rsid w:val="00E56A61"/>
    <w:rsid w:val="00E56C1F"/>
    <w:rsid w:val="00E610FF"/>
    <w:rsid w:val="00E619C2"/>
    <w:rsid w:val="00E62348"/>
    <w:rsid w:val="00E63E97"/>
    <w:rsid w:val="00E64203"/>
    <w:rsid w:val="00E71FAC"/>
    <w:rsid w:val="00E731B4"/>
    <w:rsid w:val="00E73422"/>
    <w:rsid w:val="00E8125A"/>
    <w:rsid w:val="00E9007B"/>
    <w:rsid w:val="00E955CE"/>
    <w:rsid w:val="00E9783C"/>
    <w:rsid w:val="00EA1A79"/>
    <w:rsid w:val="00EA79B5"/>
    <w:rsid w:val="00EB2FCB"/>
    <w:rsid w:val="00EB306A"/>
    <w:rsid w:val="00EB32B7"/>
    <w:rsid w:val="00EB460B"/>
    <w:rsid w:val="00EC0A62"/>
    <w:rsid w:val="00EC7149"/>
    <w:rsid w:val="00ED0DEC"/>
    <w:rsid w:val="00ED1261"/>
    <w:rsid w:val="00ED1B7B"/>
    <w:rsid w:val="00ED49C3"/>
    <w:rsid w:val="00ED5024"/>
    <w:rsid w:val="00ED6C24"/>
    <w:rsid w:val="00ED6FF8"/>
    <w:rsid w:val="00EE033F"/>
    <w:rsid w:val="00EE17AC"/>
    <w:rsid w:val="00EE2EE4"/>
    <w:rsid w:val="00EE3279"/>
    <w:rsid w:val="00EF12A6"/>
    <w:rsid w:val="00EF2034"/>
    <w:rsid w:val="00EF2379"/>
    <w:rsid w:val="00EF2396"/>
    <w:rsid w:val="00EF2F33"/>
    <w:rsid w:val="00EF455C"/>
    <w:rsid w:val="00EF49E2"/>
    <w:rsid w:val="00EF4AD3"/>
    <w:rsid w:val="00EF64F8"/>
    <w:rsid w:val="00EF72C2"/>
    <w:rsid w:val="00F00672"/>
    <w:rsid w:val="00F03609"/>
    <w:rsid w:val="00F057EF"/>
    <w:rsid w:val="00F05D55"/>
    <w:rsid w:val="00F06743"/>
    <w:rsid w:val="00F07371"/>
    <w:rsid w:val="00F1370B"/>
    <w:rsid w:val="00F147AB"/>
    <w:rsid w:val="00F15DF3"/>
    <w:rsid w:val="00F16F1C"/>
    <w:rsid w:val="00F21BBA"/>
    <w:rsid w:val="00F22CCA"/>
    <w:rsid w:val="00F23F58"/>
    <w:rsid w:val="00F26EC5"/>
    <w:rsid w:val="00F2783D"/>
    <w:rsid w:val="00F27F64"/>
    <w:rsid w:val="00F313A0"/>
    <w:rsid w:val="00F34803"/>
    <w:rsid w:val="00F34AE1"/>
    <w:rsid w:val="00F421E7"/>
    <w:rsid w:val="00F4278E"/>
    <w:rsid w:val="00F45A0D"/>
    <w:rsid w:val="00F46F51"/>
    <w:rsid w:val="00F47A5E"/>
    <w:rsid w:val="00F47F60"/>
    <w:rsid w:val="00F52396"/>
    <w:rsid w:val="00F578E1"/>
    <w:rsid w:val="00F61827"/>
    <w:rsid w:val="00F6319B"/>
    <w:rsid w:val="00F662DF"/>
    <w:rsid w:val="00F72AAC"/>
    <w:rsid w:val="00F74F6F"/>
    <w:rsid w:val="00F75E50"/>
    <w:rsid w:val="00F853F1"/>
    <w:rsid w:val="00F9162C"/>
    <w:rsid w:val="00F93C02"/>
    <w:rsid w:val="00F94B86"/>
    <w:rsid w:val="00FA3AF7"/>
    <w:rsid w:val="00FA4255"/>
    <w:rsid w:val="00FA6B4F"/>
    <w:rsid w:val="00FA7DC3"/>
    <w:rsid w:val="00FB2399"/>
    <w:rsid w:val="00FB56DD"/>
    <w:rsid w:val="00FB7D22"/>
    <w:rsid w:val="00FC2F66"/>
    <w:rsid w:val="00FC60CA"/>
    <w:rsid w:val="00FC6F4D"/>
    <w:rsid w:val="00FD3B2B"/>
    <w:rsid w:val="00FD4C33"/>
    <w:rsid w:val="00FD7C05"/>
    <w:rsid w:val="00FE1826"/>
    <w:rsid w:val="00FE2E99"/>
    <w:rsid w:val="00FE39CA"/>
    <w:rsid w:val="00FE6D3A"/>
    <w:rsid w:val="00FF12A9"/>
    <w:rsid w:val="00FF22DF"/>
    <w:rsid w:val="00FF70BB"/>
    <w:rsid w:val="01113592"/>
    <w:rsid w:val="01215FE2"/>
    <w:rsid w:val="0226572E"/>
    <w:rsid w:val="025B4B3F"/>
    <w:rsid w:val="02C938CB"/>
    <w:rsid w:val="04FB0F13"/>
    <w:rsid w:val="05250957"/>
    <w:rsid w:val="05301C6D"/>
    <w:rsid w:val="05D129B8"/>
    <w:rsid w:val="05FB13AA"/>
    <w:rsid w:val="0645485E"/>
    <w:rsid w:val="06D3025B"/>
    <w:rsid w:val="07070C2F"/>
    <w:rsid w:val="070B00CA"/>
    <w:rsid w:val="07500303"/>
    <w:rsid w:val="078A7AB4"/>
    <w:rsid w:val="07A93A95"/>
    <w:rsid w:val="07E92AB4"/>
    <w:rsid w:val="085E2073"/>
    <w:rsid w:val="08E11BD4"/>
    <w:rsid w:val="091E158D"/>
    <w:rsid w:val="099A564A"/>
    <w:rsid w:val="09E25854"/>
    <w:rsid w:val="0A221085"/>
    <w:rsid w:val="0A8023BB"/>
    <w:rsid w:val="0C0F42A0"/>
    <w:rsid w:val="0C582EBE"/>
    <w:rsid w:val="0C601B73"/>
    <w:rsid w:val="0CE2225C"/>
    <w:rsid w:val="0D2665A9"/>
    <w:rsid w:val="0D4069AD"/>
    <w:rsid w:val="0E362B90"/>
    <w:rsid w:val="0E4E7C25"/>
    <w:rsid w:val="0F357B44"/>
    <w:rsid w:val="0FE51B06"/>
    <w:rsid w:val="107868EB"/>
    <w:rsid w:val="107A7C75"/>
    <w:rsid w:val="10E91C2A"/>
    <w:rsid w:val="11097F02"/>
    <w:rsid w:val="1331779E"/>
    <w:rsid w:val="13F50997"/>
    <w:rsid w:val="141E5591"/>
    <w:rsid w:val="14FF58B7"/>
    <w:rsid w:val="15D57808"/>
    <w:rsid w:val="1684642A"/>
    <w:rsid w:val="16B534B9"/>
    <w:rsid w:val="178A16B8"/>
    <w:rsid w:val="17D74104"/>
    <w:rsid w:val="18373A0A"/>
    <w:rsid w:val="185B3B08"/>
    <w:rsid w:val="187540A6"/>
    <w:rsid w:val="18855FD5"/>
    <w:rsid w:val="188907DA"/>
    <w:rsid w:val="190A7FA1"/>
    <w:rsid w:val="197F2A9E"/>
    <w:rsid w:val="19C02D44"/>
    <w:rsid w:val="19CB1C7A"/>
    <w:rsid w:val="1A2500B7"/>
    <w:rsid w:val="1A6D3D53"/>
    <w:rsid w:val="1ABE2697"/>
    <w:rsid w:val="1C3C42A4"/>
    <w:rsid w:val="1D1207D6"/>
    <w:rsid w:val="1D34270E"/>
    <w:rsid w:val="1EB6538A"/>
    <w:rsid w:val="1EDB0EF2"/>
    <w:rsid w:val="1F295E13"/>
    <w:rsid w:val="1FDA3567"/>
    <w:rsid w:val="20EF2900"/>
    <w:rsid w:val="21396F12"/>
    <w:rsid w:val="214C0985"/>
    <w:rsid w:val="21594743"/>
    <w:rsid w:val="22007368"/>
    <w:rsid w:val="22A6675C"/>
    <w:rsid w:val="234E65F8"/>
    <w:rsid w:val="23E22B3F"/>
    <w:rsid w:val="25F22494"/>
    <w:rsid w:val="275D5AC1"/>
    <w:rsid w:val="285C4EDE"/>
    <w:rsid w:val="29BC5DE2"/>
    <w:rsid w:val="29C97876"/>
    <w:rsid w:val="29E850E8"/>
    <w:rsid w:val="2A3E0E8A"/>
    <w:rsid w:val="2BA846AF"/>
    <w:rsid w:val="2C0E01F7"/>
    <w:rsid w:val="2C504FA2"/>
    <w:rsid w:val="2C894096"/>
    <w:rsid w:val="2D43308B"/>
    <w:rsid w:val="2D7711AA"/>
    <w:rsid w:val="2D8B4612"/>
    <w:rsid w:val="2E6A0C87"/>
    <w:rsid w:val="2EB01925"/>
    <w:rsid w:val="2ED93CC3"/>
    <w:rsid w:val="302F4774"/>
    <w:rsid w:val="3034550A"/>
    <w:rsid w:val="305F1B85"/>
    <w:rsid w:val="31EA659A"/>
    <w:rsid w:val="33364F32"/>
    <w:rsid w:val="338E201E"/>
    <w:rsid w:val="33EB54AF"/>
    <w:rsid w:val="348F4943"/>
    <w:rsid w:val="34E80FD6"/>
    <w:rsid w:val="351A1037"/>
    <w:rsid w:val="354922F4"/>
    <w:rsid w:val="35CA164F"/>
    <w:rsid w:val="363D14FC"/>
    <w:rsid w:val="36500144"/>
    <w:rsid w:val="36613336"/>
    <w:rsid w:val="36720741"/>
    <w:rsid w:val="367F6830"/>
    <w:rsid w:val="370D7B06"/>
    <w:rsid w:val="37174221"/>
    <w:rsid w:val="37497C15"/>
    <w:rsid w:val="38A05F19"/>
    <w:rsid w:val="38CE5B6B"/>
    <w:rsid w:val="39AF2658"/>
    <w:rsid w:val="3AFC2D30"/>
    <w:rsid w:val="3B262615"/>
    <w:rsid w:val="3B6A0822"/>
    <w:rsid w:val="3C7F75EB"/>
    <w:rsid w:val="3C8E40A6"/>
    <w:rsid w:val="3DA5786A"/>
    <w:rsid w:val="3DBB3B23"/>
    <w:rsid w:val="3E696641"/>
    <w:rsid w:val="3FDF37BA"/>
    <w:rsid w:val="403D2EC4"/>
    <w:rsid w:val="40594A6F"/>
    <w:rsid w:val="40B45F6E"/>
    <w:rsid w:val="4160046B"/>
    <w:rsid w:val="41B70C5D"/>
    <w:rsid w:val="42194FE6"/>
    <w:rsid w:val="425A508C"/>
    <w:rsid w:val="439709CD"/>
    <w:rsid w:val="43E85D44"/>
    <w:rsid w:val="445777AF"/>
    <w:rsid w:val="45540884"/>
    <w:rsid w:val="45F66021"/>
    <w:rsid w:val="46004C5D"/>
    <w:rsid w:val="464C197F"/>
    <w:rsid w:val="465B21E1"/>
    <w:rsid w:val="46AF3770"/>
    <w:rsid w:val="46AF57A2"/>
    <w:rsid w:val="47490C09"/>
    <w:rsid w:val="476B7D71"/>
    <w:rsid w:val="4795485C"/>
    <w:rsid w:val="4801674E"/>
    <w:rsid w:val="480F07E3"/>
    <w:rsid w:val="48C665E5"/>
    <w:rsid w:val="48E607FE"/>
    <w:rsid w:val="48F25DC1"/>
    <w:rsid w:val="49063564"/>
    <w:rsid w:val="490D6096"/>
    <w:rsid w:val="4A4448D5"/>
    <w:rsid w:val="4AE35638"/>
    <w:rsid w:val="4BA05DE7"/>
    <w:rsid w:val="4C730541"/>
    <w:rsid w:val="4CF55CA7"/>
    <w:rsid w:val="4DCF22DE"/>
    <w:rsid w:val="4F443B8E"/>
    <w:rsid w:val="4FC01B49"/>
    <w:rsid w:val="51291BB0"/>
    <w:rsid w:val="51356966"/>
    <w:rsid w:val="52182E62"/>
    <w:rsid w:val="52293991"/>
    <w:rsid w:val="53112415"/>
    <w:rsid w:val="5398785C"/>
    <w:rsid w:val="55A97B82"/>
    <w:rsid w:val="55AA6B42"/>
    <w:rsid w:val="563F42E9"/>
    <w:rsid w:val="56EB0118"/>
    <w:rsid w:val="573E665A"/>
    <w:rsid w:val="57B308E1"/>
    <w:rsid w:val="57C005DB"/>
    <w:rsid w:val="581D7325"/>
    <w:rsid w:val="58AD1468"/>
    <w:rsid w:val="58EE710D"/>
    <w:rsid w:val="59DA26D6"/>
    <w:rsid w:val="5A97153D"/>
    <w:rsid w:val="5B6F6305"/>
    <w:rsid w:val="5CB57AE0"/>
    <w:rsid w:val="5CC549F9"/>
    <w:rsid w:val="5D442C73"/>
    <w:rsid w:val="5D9A6243"/>
    <w:rsid w:val="5E7328EC"/>
    <w:rsid w:val="5E951CA2"/>
    <w:rsid w:val="5E9C3CE1"/>
    <w:rsid w:val="5F246932"/>
    <w:rsid w:val="5FF63B1C"/>
    <w:rsid w:val="60510E15"/>
    <w:rsid w:val="605C43C0"/>
    <w:rsid w:val="61D10445"/>
    <w:rsid w:val="62A76BE2"/>
    <w:rsid w:val="631136D1"/>
    <w:rsid w:val="631E752A"/>
    <w:rsid w:val="637E0B2E"/>
    <w:rsid w:val="63896020"/>
    <w:rsid w:val="63DA3B82"/>
    <w:rsid w:val="63EF2D62"/>
    <w:rsid w:val="64036E44"/>
    <w:rsid w:val="64F95A83"/>
    <w:rsid w:val="66823F3B"/>
    <w:rsid w:val="66F70D0B"/>
    <w:rsid w:val="67F21DCB"/>
    <w:rsid w:val="685E4134"/>
    <w:rsid w:val="69A57F95"/>
    <w:rsid w:val="6B271D86"/>
    <w:rsid w:val="6B2F13E4"/>
    <w:rsid w:val="6B617356"/>
    <w:rsid w:val="6BF42475"/>
    <w:rsid w:val="6C066B51"/>
    <w:rsid w:val="6D504730"/>
    <w:rsid w:val="6E26789B"/>
    <w:rsid w:val="706C5427"/>
    <w:rsid w:val="709722A5"/>
    <w:rsid w:val="70AF0AAC"/>
    <w:rsid w:val="70E45B30"/>
    <w:rsid w:val="71575C22"/>
    <w:rsid w:val="71B97444"/>
    <w:rsid w:val="71C156F3"/>
    <w:rsid w:val="72501F4C"/>
    <w:rsid w:val="725524FB"/>
    <w:rsid w:val="726F5054"/>
    <w:rsid w:val="72A127CD"/>
    <w:rsid w:val="72C50DC7"/>
    <w:rsid w:val="734D64C7"/>
    <w:rsid w:val="73674DBC"/>
    <w:rsid w:val="742A4A51"/>
    <w:rsid w:val="74CD2E7D"/>
    <w:rsid w:val="753D0781"/>
    <w:rsid w:val="76C0346E"/>
    <w:rsid w:val="777C7D51"/>
    <w:rsid w:val="781F577C"/>
    <w:rsid w:val="782D6985"/>
    <w:rsid w:val="787D172D"/>
    <w:rsid w:val="78A45119"/>
    <w:rsid w:val="794F35FB"/>
    <w:rsid w:val="7A0A718F"/>
    <w:rsid w:val="7A923E65"/>
    <w:rsid w:val="7AEE0620"/>
    <w:rsid w:val="7C6C41D9"/>
    <w:rsid w:val="7CB51F5B"/>
    <w:rsid w:val="7D4E3E7C"/>
    <w:rsid w:val="7D52346D"/>
    <w:rsid w:val="7EA22F23"/>
    <w:rsid w:val="7EBA7A37"/>
    <w:rsid w:val="7EEE63F5"/>
    <w:rsid w:val="7F620759"/>
    <w:rsid w:val="7F8663A7"/>
    <w:rsid w:val="7FBA55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41"/>
    <w:qFormat/>
    <w:uiPriority w:val="0"/>
    <w:pPr>
      <w:keepNext/>
      <w:keepLines/>
      <w:spacing w:before="340" w:after="330" w:line="578" w:lineRule="auto"/>
      <w:jc w:val="center"/>
      <w:outlineLvl w:val="0"/>
    </w:pPr>
    <w:rPr>
      <w:rFonts w:eastAsia="宋体"/>
      <w:b/>
      <w:spacing w:val="40"/>
      <w:kern w:val="44"/>
      <w:sz w:val="44"/>
    </w:rPr>
  </w:style>
  <w:style w:type="paragraph" w:styleId="3">
    <w:name w:val="heading 2"/>
    <w:basedOn w:val="1"/>
    <w:next w:val="4"/>
    <w:link w:val="42"/>
    <w:qFormat/>
    <w:uiPriority w:val="0"/>
    <w:pPr>
      <w:keepNext/>
      <w:keepLines/>
      <w:spacing w:before="260" w:after="260" w:line="415" w:lineRule="auto"/>
      <w:jc w:val="center"/>
      <w:outlineLvl w:val="1"/>
    </w:pPr>
    <w:rPr>
      <w:rFonts w:ascii="Arial" w:hAnsi="Arial" w:eastAsia="宋体"/>
      <w:b/>
      <w:spacing w:val="20"/>
      <w:sz w:val="36"/>
    </w:rPr>
  </w:style>
  <w:style w:type="paragraph" w:styleId="5">
    <w:name w:val="heading 3"/>
    <w:basedOn w:val="1"/>
    <w:next w:val="4"/>
    <w:link w:val="43"/>
    <w:qFormat/>
    <w:uiPriority w:val="0"/>
    <w:pPr>
      <w:keepNext/>
      <w:keepLines/>
      <w:spacing w:before="260" w:after="260" w:line="415" w:lineRule="auto"/>
      <w:jc w:val="center"/>
      <w:outlineLvl w:val="2"/>
    </w:pPr>
    <w:rPr>
      <w:rFonts w:eastAsia="宋体"/>
      <w:b/>
      <w:spacing w:val="50"/>
      <w:sz w:val="32"/>
    </w:rPr>
  </w:style>
  <w:style w:type="character" w:default="1" w:styleId="32">
    <w:name w:val="Default Paragraph Font"/>
    <w:link w:val="33"/>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4">
    <w:name w:val="Normal Indent"/>
    <w:basedOn w:val="1"/>
    <w:link w:val="57"/>
    <w:qFormat/>
    <w:uiPriority w:val="0"/>
    <w:pPr>
      <w:snapToGrid w:val="0"/>
      <w:spacing w:line="360" w:lineRule="auto"/>
      <w:ind w:firstLine="567"/>
    </w:pPr>
    <w:rPr>
      <w:rFonts w:eastAsia="宋体"/>
      <w:sz w:val="28"/>
    </w:rPr>
  </w:style>
  <w:style w:type="paragraph" w:styleId="6">
    <w:name w:val="toc 7"/>
    <w:basedOn w:val="1"/>
    <w:next w:val="1"/>
    <w:semiHidden/>
    <w:qFormat/>
    <w:uiPriority w:val="0"/>
    <w:pPr>
      <w:ind w:left="2520"/>
    </w:pPr>
  </w:style>
  <w:style w:type="paragraph" w:styleId="7">
    <w:name w:val="Document Map"/>
    <w:basedOn w:val="1"/>
    <w:link w:val="60"/>
    <w:semiHidden/>
    <w:qFormat/>
    <w:uiPriority w:val="0"/>
    <w:pPr>
      <w:shd w:val="clear" w:color="auto" w:fill="000080"/>
    </w:pPr>
  </w:style>
  <w:style w:type="paragraph" w:styleId="8">
    <w:name w:val="annotation text"/>
    <w:basedOn w:val="1"/>
    <w:link w:val="65"/>
    <w:semiHidden/>
    <w:qFormat/>
    <w:uiPriority w:val="0"/>
    <w:pPr>
      <w:jc w:val="left"/>
    </w:pPr>
  </w:style>
  <w:style w:type="paragraph" w:styleId="9">
    <w:name w:val="Salutation"/>
    <w:basedOn w:val="1"/>
    <w:next w:val="1"/>
    <w:link w:val="68"/>
    <w:qFormat/>
    <w:uiPriority w:val="0"/>
    <w:pPr>
      <w:widowControl/>
      <w:spacing w:line="240" w:lineRule="auto"/>
      <w:jc w:val="left"/>
    </w:pPr>
    <w:rPr>
      <w:rFonts w:eastAsia="宋体"/>
      <w:kern w:val="0"/>
      <w:sz w:val="28"/>
    </w:rPr>
  </w:style>
  <w:style w:type="paragraph" w:styleId="10">
    <w:name w:val="Body Text Indent"/>
    <w:basedOn w:val="1"/>
    <w:link w:val="47"/>
    <w:qFormat/>
    <w:uiPriority w:val="0"/>
    <w:pPr>
      <w:ind w:left="360" w:firstLine="540"/>
    </w:pPr>
    <w:rPr>
      <w:rFonts w:ascii="楷体_GB2312" w:eastAsia="楷体_GB2312"/>
      <w:sz w:val="44"/>
    </w:rPr>
  </w:style>
  <w:style w:type="paragraph" w:styleId="11">
    <w:name w:val="toc 5"/>
    <w:basedOn w:val="1"/>
    <w:next w:val="1"/>
    <w:semiHidden/>
    <w:qFormat/>
    <w:uiPriority w:val="0"/>
    <w:pPr>
      <w:ind w:left="1680"/>
    </w:pPr>
  </w:style>
  <w:style w:type="paragraph" w:styleId="12">
    <w:name w:val="toc 3"/>
    <w:basedOn w:val="1"/>
    <w:next w:val="1"/>
    <w:qFormat/>
    <w:uiPriority w:val="39"/>
    <w:pPr>
      <w:tabs>
        <w:tab w:val="right" w:leader="dot" w:pos="8303"/>
      </w:tabs>
      <w:ind w:left="480" w:leftChars="200"/>
    </w:pPr>
  </w:style>
  <w:style w:type="paragraph" w:styleId="13">
    <w:name w:val="Plain Text"/>
    <w:basedOn w:val="1"/>
    <w:link w:val="49"/>
    <w:qFormat/>
    <w:uiPriority w:val="0"/>
    <w:rPr>
      <w:rFonts w:ascii="宋体" w:hAnsi="Courier New"/>
    </w:rPr>
  </w:style>
  <w:style w:type="paragraph" w:styleId="14">
    <w:name w:val="toc 8"/>
    <w:basedOn w:val="1"/>
    <w:next w:val="1"/>
    <w:semiHidden/>
    <w:qFormat/>
    <w:uiPriority w:val="0"/>
    <w:pPr>
      <w:ind w:left="2940"/>
    </w:pPr>
  </w:style>
  <w:style w:type="paragraph" w:styleId="15">
    <w:name w:val="Date"/>
    <w:basedOn w:val="1"/>
    <w:next w:val="1"/>
    <w:link w:val="51"/>
    <w:qFormat/>
    <w:uiPriority w:val="0"/>
    <w:pPr>
      <w:spacing w:line="240" w:lineRule="auto"/>
    </w:pPr>
    <w:rPr>
      <w:rFonts w:eastAsia="宋体"/>
    </w:rPr>
  </w:style>
  <w:style w:type="paragraph" w:styleId="16">
    <w:name w:val="Body Text Indent 2"/>
    <w:basedOn w:val="1"/>
    <w:link w:val="48"/>
    <w:qFormat/>
    <w:uiPriority w:val="0"/>
    <w:pPr>
      <w:ind w:firstLine="570"/>
    </w:pPr>
    <w:rPr>
      <w:rFonts w:ascii="楷体_GB2312" w:eastAsia="楷体_GB2312"/>
      <w:sz w:val="28"/>
    </w:rPr>
  </w:style>
  <w:style w:type="paragraph" w:styleId="17">
    <w:name w:val="Balloon Text"/>
    <w:basedOn w:val="1"/>
    <w:link w:val="53"/>
    <w:semiHidden/>
    <w:qFormat/>
    <w:uiPriority w:val="0"/>
    <w:rPr>
      <w:sz w:val="18"/>
      <w:szCs w:val="18"/>
    </w:rPr>
  </w:style>
  <w:style w:type="paragraph" w:styleId="18">
    <w:name w:val="footer"/>
    <w:basedOn w:val="1"/>
    <w:link w:val="45"/>
    <w:qFormat/>
    <w:uiPriority w:val="99"/>
    <w:pPr>
      <w:tabs>
        <w:tab w:val="center" w:pos="4153"/>
        <w:tab w:val="right" w:pos="8306"/>
      </w:tabs>
      <w:snapToGrid w:val="0"/>
      <w:jc w:val="left"/>
    </w:pPr>
    <w:rPr>
      <w:sz w:val="18"/>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39"/>
    <w:pPr>
      <w:ind w:firstLine="567"/>
    </w:pPr>
    <w:rPr>
      <w:rFonts w:eastAsia="宋体"/>
      <w:spacing w:val="10"/>
      <w:sz w:val="28"/>
    </w:rPr>
  </w:style>
  <w:style w:type="paragraph" w:styleId="21">
    <w:name w:val="toc 4"/>
    <w:basedOn w:val="1"/>
    <w:next w:val="1"/>
    <w:semiHidden/>
    <w:qFormat/>
    <w:uiPriority w:val="0"/>
    <w:pPr>
      <w:ind w:left="1260"/>
    </w:pPr>
  </w:style>
  <w:style w:type="paragraph" w:styleId="22">
    <w:name w:val="footnote text"/>
    <w:basedOn w:val="1"/>
    <w:link w:val="46"/>
    <w:semiHidden/>
    <w:qFormat/>
    <w:uiPriority w:val="0"/>
    <w:pPr>
      <w:snapToGrid w:val="0"/>
      <w:jc w:val="left"/>
    </w:pPr>
    <w:rPr>
      <w:sz w:val="18"/>
    </w:rPr>
  </w:style>
  <w:style w:type="paragraph" w:styleId="23">
    <w:name w:val="toc 6"/>
    <w:basedOn w:val="1"/>
    <w:next w:val="1"/>
    <w:semiHidden/>
    <w:qFormat/>
    <w:uiPriority w:val="0"/>
    <w:pPr>
      <w:ind w:left="2100"/>
    </w:pPr>
  </w:style>
  <w:style w:type="paragraph" w:styleId="24">
    <w:name w:val="Body Text Indent 3"/>
    <w:basedOn w:val="1"/>
    <w:link w:val="50"/>
    <w:qFormat/>
    <w:uiPriority w:val="0"/>
    <w:pPr>
      <w:spacing w:line="480" w:lineRule="exact"/>
      <w:ind w:firstLine="560" w:firstLineChars="200"/>
    </w:pPr>
    <w:rPr>
      <w:rFonts w:ascii="宋体" w:hAnsi="宋体" w:eastAsia="宋体"/>
      <w:sz w:val="28"/>
    </w:rPr>
  </w:style>
  <w:style w:type="paragraph" w:styleId="25">
    <w:name w:val="toc 2"/>
    <w:basedOn w:val="1"/>
    <w:next w:val="1"/>
    <w:qFormat/>
    <w:uiPriority w:val="39"/>
    <w:pPr>
      <w:ind w:left="420"/>
    </w:pPr>
  </w:style>
  <w:style w:type="paragraph" w:styleId="26">
    <w:name w:val="toc 9"/>
    <w:basedOn w:val="1"/>
    <w:next w:val="1"/>
    <w:semiHidden/>
    <w:qFormat/>
    <w:uiPriority w:val="0"/>
    <w:pPr>
      <w:ind w:left="3360"/>
    </w:pPr>
  </w:style>
  <w:style w:type="paragraph" w:styleId="27">
    <w:name w:val="Body Text 2"/>
    <w:basedOn w:val="1"/>
    <w:link w:val="54"/>
    <w:qFormat/>
    <w:uiPriority w:val="0"/>
    <w:pPr>
      <w:adjustRightInd w:val="0"/>
      <w:snapToGrid w:val="0"/>
      <w:spacing w:line="240" w:lineRule="auto"/>
      <w:jc w:val="center"/>
    </w:pPr>
    <w:rPr>
      <w:spacing w:val="-8"/>
      <w:sz w:val="21"/>
    </w:rPr>
  </w:style>
  <w:style w:type="paragraph" w:styleId="28">
    <w:name w:val="Normal (Web)"/>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9">
    <w:name w:val="annotation subject"/>
    <w:basedOn w:val="8"/>
    <w:next w:val="8"/>
    <w:link w:val="66"/>
    <w:semiHidden/>
    <w:qFormat/>
    <w:uiPriority w:val="0"/>
    <w:rPr>
      <w:b/>
      <w:bCs/>
    </w:rPr>
  </w:style>
  <w:style w:type="table" w:styleId="31">
    <w:name w:val="Table Grid"/>
    <w:basedOn w:val="30"/>
    <w:qFormat/>
    <w:uiPriority w:val="0"/>
    <w:pPr>
      <w:widowControl w:val="0"/>
      <w:spacing w:line="288"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
    <w:name w:val=" Char"/>
    <w:basedOn w:val="1"/>
    <w:link w:val="32"/>
    <w:qFormat/>
    <w:uiPriority w:val="0"/>
    <w:pPr>
      <w:numPr>
        <w:ilvl w:val="0"/>
        <w:numId w:val="1"/>
      </w:numPr>
    </w:pPr>
  </w:style>
  <w:style w:type="character" w:styleId="34">
    <w:name w:val="Strong"/>
    <w:qFormat/>
    <w:uiPriority w:val="22"/>
    <w:rPr>
      <w:b/>
      <w:bCs/>
    </w:rPr>
  </w:style>
  <w:style w:type="character" w:styleId="35">
    <w:name w:val="page number"/>
    <w:basedOn w:val="32"/>
    <w:qFormat/>
    <w:uiPriority w:val="0"/>
  </w:style>
  <w:style w:type="character" w:styleId="36">
    <w:name w:val="Emphasis"/>
    <w:qFormat/>
    <w:uiPriority w:val="0"/>
    <w:rPr>
      <w:color w:val="CC0000"/>
    </w:rPr>
  </w:style>
  <w:style w:type="character" w:styleId="37">
    <w:name w:val="line number"/>
    <w:basedOn w:val="32"/>
    <w:qFormat/>
    <w:uiPriority w:val="0"/>
  </w:style>
  <w:style w:type="character" w:styleId="38">
    <w:name w:val="Hyperlink"/>
    <w:qFormat/>
    <w:uiPriority w:val="99"/>
    <w:rPr>
      <w:color w:val="0000FF"/>
      <w:u w:val="single"/>
    </w:rPr>
  </w:style>
  <w:style w:type="character" w:styleId="39">
    <w:name w:val="annotation reference"/>
    <w:semiHidden/>
    <w:qFormat/>
    <w:uiPriority w:val="0"/>
    <w:rPr>
      <w:sz w:val="21"/>
      <w:szCs w:val="21"/>
    </w:rPr>
  </w:style>
  <w:style w:type="character" w:styleId="40">
    <w:name w:val="footnote reference"/>
    <w:semiHidden/>
    <w:qFormat/>
    <w:uiPriority w:val="0"/>
    <w:rPr>
      <w:vertAlign w:val="superscript"/>
    </w:rPr>
  </w:style>
  <w:style w:type="character" w:customStyle="1" w:styleId="41">
    <w:name w:val="标题 1 Char"/>
    <w:basedOn w:val="32"/>
    <w:link w:val="2"/>
    <w:qFormat/>
    <w:uiPriority w:val="0"/>
    <w:rPr>
      <w:rFonts w:ascii="Times New Roman" w:hAnsi="Times New Roman" w:eastAsia="宋体" w:cs="Times New Roman"/>
      <w:b/>
      <w:spacing w:val="40"/>
      <w:kern w:val="44"/>
      <w:sz w:val="44"/>
      <w:szCs w:val="20"/>
    </w:rPr>
  </w:style>
  <w:style w:type="character" w:customStyle="1" w:styleId="42">
    <w:name w:val="标题 2 Char"/>
    <w:basedOn w:val="32"/>
    <w:link w:val="3"/>
    <w:qFormat/>
    <w:uiPriority w:val="0"/>
    <w:rPr>
      <w:rFonts w:ascii="Arial" w:hAnsi="Arial" w:eastAsia="宋体" w:cs="Times New Roman"/>
      <w:b/>
      <w:spacing w:val="20"/>
      <w:sz w:val="36"/>
      <w:szCs w:val="20"/>
    </w:rPr>
  </w:style>
  <w:style w:type="character" w:customStyle="1" w:styleId="43">
    <w:name w:val="标题 3 Char"/>
    <w:basedOn w:val="32"/>
    <w:link w:val="5"/>
    <w:qFormat/>
    <w:uiPriority w:val="0"/>
    <w:rPr>
      <w:rFonts w:ascii="Times New Roman" w:hAnsi="Times New Roman" w:eastAsia="宋体" w:cs="Times New Roman"/>
      <w:b/>
      <w:spacing w:val="50"/>
      <w:sz w:val="32"/>
      <w:szCs w:val="20"/>
    </w:rPr>
  </w:style>
  <w:style w:type="character" w:customStyle="1" w:styleId="44">
    <w:name w:val="页眉 Char"/>
    <w:basedOn w:val="32"/>
    <w:link w:val="19"/>
    <w:qFormat/>
    <w:uiPriority w:val="0"/>
    <w:rPr>
      <w:rFonts w:ascii="Times New Roman" w:hAnsi="Times New Roman" w:eastAsia="仿宋_GB2312" w:cs="Times New Roman"/>
      <w:sz w:val="18"/>
      <w:szCs w:val="20"/>
    </w:rPr>
  </w:style>
  <w:style w:type="character" w:customStyle="1" w:styleId="45">
    <w:name w:val="页脚 Char"/>
    <w:basedOn w:val="32"/>
    <w:link w:val="18"/>
    <w:qFormat/>
    <w:uiPriority w:val="99"/>
    <w:rPr>
      <w:rFonts w:ascii="Times New Roman" w:hAnsi="Times New Roman" w:eastAsia="仿宋_GB2312" w:cs="Times New Roman"/>
      <w:sz w:val="18"/>
      <w:szCs w:val="20"/>
    </w:rPr>
  </w:style>
  <w:style w:type="character" w:customStyle="1" w:styleId="46">
    <w:name w:val="脚注文本 Char"/>
    <w:basedOn w:val="32"/>
    <w:link w:val="22"/>
    <w:semiHidden/>
    <w:qFormat/>
    <w:uiPriority w:val="0"/>
    <w:rPr>
      <w:rFonts w:ascii="Times New Roman" w:hAnsi="Times New Roman" w:eastAsia="仿宋_GB2312" w:cs="Times New Roman"/>
      <w:sz w:val="18"/>
      <w:szCs w:val="20"/>
    </w:rPr>
  </w:style>
  <w:style w:type="character" w:customStyle="1" w:styleId="47">
    <w:name w:val="正文文本缩进 Char"/>
    <w:basedOn w:val="32"/>
    <w:link w:val="10"/>
    <w:qFormat/>
    <w:uiPriority w:val="0"/>
    <w:rPr>
      <w:rFonts w:ascii="楷体_GB2312" w:hAnsi="Times New Roman" w:eastAsia="楷体_GB2312" w:cs="Times New Roman"/>
      <w:sz w:val="44"/>
      <w:szCs w:val="20"/>
    </w:rPr>
  </w:style>
  <w:style w:type="character" w:customStyle="1" w:styleId="48">
    <w:name w:val="正文文本缩进 2 Char"/>
    <w:basedOn w:val="32"/>
    <w:link w:val="16"/>
    <w:qFormat/>
    <w:uiPriority w:val="0"/>
    <w:rPr>
      <w:rFonts w:ascii="楷体_GB2312" w:hAnsi="Times New Roman" w:eastAsia="楷体_GB2312" w:cs="Times New Roman"/>
      <w:sz w:val="28"/>
      <w:szCs w:val="20"/>
    </w:rPr>
  </w:style>
  <w:style w:type="character" w:customStyle="1" w:styleId="49">
    <w:name w:val="纯文本 Char"/>
    <w:basedOn w:val="32"/>
    <w:link w:val="13"/>
    <w:qFormat/>
    <w:uiPriority w:val="0"/>
    <w:rPr>
      <w:rFonts w:ascii="宋体" w:hAnsi="Courier New" w:eastAsia="仿宋_GB2312" w:cs="Times New Roman"/>
      <w:sz w:val="24"/>
      <w:szCs w:val="20"/>
    </w:rPr>
  </w:style>
  <w:style w:type="character" w:customStyle="1" w:styleId="50">
    <w:name w:val="正文文本缩进 3 Char"/>
    <w:basedOn w:val="32"/>
    <w:link w:val="24"/>
    <w:qFormat/>
    <w:uiPriority w:val="0"/>
    <w:rPr>
      <w:rFonts w:ascii="宋体" w:hAnsi="宋体" w:eastAsia="宋体" w:cs="Times New Roman"/>
      <w:sz w:val="28"/>
      <w:szCs w:val="20"/>
    </w:rPr>
  </w:style>
  <w:style w:type="character" w:customStyle="1" w:styleId="51">
    <w:name w:val="日期 Char"/>
    <w:basedOn w:val="32"/>
    <w:link w:val="15"/>
    <w:qFormat/>
    <w:uiPriority w:val="0"/>
    <w:rPr>
      <w:rFonts w:ascii="Times New Roman" w:hAnsi="Times New Roman" w:eastAsia="宋体" w:cs="Times New Roman"/>
      <w:sz w:val="24"/>
      <w:szCs w:val="20"/>
    </w:rPr>
  </w:style>
  <w:style w:type="character" w:customStyle="1" w:styleId="52">
    <w:name w:val="ninetext1"/>
    <w:qFormat/>
    <w:uiPriority w:val="0"/>
    <w:rPr>
      <w:sz w:val="18"/>
      <w:szCs w:val="18"/>
    </w:rPr>
  </w:style>
  <w:style w:type="character" w:customStyle="1" w:styleId="53">
    <w:name w:val="批注框文本 Char"/>
    <w:basedOn w:val="32"/>
    <w:link w:val="17"/>
    <w:semiHidden/>
    <w:qFormat/>
    <w:uiPriority w:val="0"/>
    <w:rPr>
      <w:rFonts w:ascii="Times New Roman" w:hAnsi="Times New Roman" w:eastAsia="仿宋_GB2312" w:cs="Times New Roman"/>
      <w:sz w:val="18"/>
      <w:szCs w:val="18"/>
    </w:rPr>
  </w:style>
  <w:style w:type="character" w:customStyle="1" w:styleId="54">
    <w:name w:val="正文文本 2 Char"/>
    <w:basedOn w:val="32"/>
    <w:link w:val="27"/>
    <w:qFormat/>
    <w:uiPriority w:val="0"/>
    <w:rPr>
      <w:rFonts w:ascii="Times New Roman" w:hAnsi="Times New Roman" w:eastAsia="仿宋_GB2312" w:cs="Times New Roman"/>
      <w:spacing w:val="-8"/>
      <w:szCs w:val="20"/>
    </w:rPr>
  </w:style>
  <w:style w:type="character" w:customStyle="1" w:styleId="55">
    <w:name w:val="正文（首行缩进两字） Char"/>
    <w:qFormat/>
    <w:uiPriority w:val="0"/>
    <w:rPr>
      <w:rFonts w:eastAsia="宋体"/>
      <w:kern w:val="2"/>
      <w:sz w:val="28"/>
      <w:lang w:val="en-US" w:eastAsia="zh-CN" w:bidi="ar-SA"/>
    </w:rPr>
  </w:style>
  <w:style w:type="paragraph" w:customStyle="1" w:styleId="56">
    <w:name w:val="1"/>
    <w:basedOn w:val="1"/>
    <w:next w:val="4"/>
    <w:qFormat/>
    <w:uiPriority w:val="0"/>
    <w:pPr>
      <w:snapToGrid w:val="0"/>
      <w:spacing w:line="360" w:lineRule="auto"/>
      <w:ind w:firstLine="567"/>
    </w:pPr>
    <w:rPr>
      <w:rFonts w:eastAsia="宋体"/>
      <w:sz w:val="28"/>
    </w:rPr>
  </w:style>
  <w:style w:type="character" w:customStyle="1" w:styleId="57">
    <w:name w:val="正文缩进 Char"/>
    <w:link w:val="4"/>
    <w:qFormat/>
    <w:uiPriority w:val="0"/>
    <w:rPr>
      <w:rFonts w:ascii="Times New Roman" w:hAnsi="Times New Roman" w:eastAsia="宋体" w:cs="Times New Roman"/>
      <w:sz w:val="28"/>
      <w:szCs w:val="20"/>
    </w:rPr>
  </w:style>
  <w:style w:type="paragraph" w:customStyle="1" w:styleId="58">
    <w:name w:val="xl30"/>
    <w:basedOn w:val="1"/>
    <w:qFormat/>
    <w:uiPriority w:val="0"/>
    <w:pPr>
      <w:widowControl/>
      <w:spacing w:before="100" w:beforeAutospacing="1" w:after="100" w:afterAutospacing="1" w:line="240" w:lineRule="auto"/>
      <w:jc w:val="center"/>
      <w:textAlignment w:val="center"/>
    </w:pPr>
    <w:rPr>
      <w:rFonts w:ascii="宋体" w:hAnsi="宋体" w:eastAsia="宋体"/>
      <w:kern w:val="0"/>
      <w:szCs w:val="24"/>
    </w:rPr>
  </w:style>
  <w:style w:type="paragraph" w:customStyle="1" w:styleId="59">
    <w:name w:val="列出段落1"/>
    <w:basedOn w:val="1"/>
    <w:qFormat/>
    <w:uiPriority w:val="0"/>
    <w:pPr>
      <w:spacing w:line="360" w:lineRule="auto"/>
      <w:ind w:firstLine="420" w:firstLineChars="200"/>
    </w:pPr>
    <w:rPr>
      <w:rFonts w:ascii="Calibri" w:hAnsi="Calibri" w:eastAsia="宋体" w:cs="Calibri"/>
      <w:sz w:val="21"/>
      <w:szCs w:val="21"/>
    </w:rPr>
  </w:style>
  <w:style w:type="character" w:customStyle="1" w:styleId="60">
    <w:name w:val="文档结构图 Char"/>
    <w:basedOn w:val="32"/>
    <w:link w:val="7"/>
    <w:semiHidden/>
    <w:qFormat/>
    <w:uiPriority w:val="0"/>
    <w:rPr>
      <w:rFonts w:ascii="Times New Roman" w:hAnsi="Times New Roman" w:eastAsia="仿宋_GB2312" w:cs="Times New Roman"/>
      <w:sz w:val="24"/>
      <w:szCs w:val="20"/>
      <w:shd w:val="clear" w:color="auto" w:fill="000080"/>
    </w:rPr>
  </w:style>
  <w:style w:type="paragraph" w:customStyle="1" w:styleId="61">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2">
    <w:name w:val="Char Char1"/>
    <w:qFormat/>
    <w:uiPriority w:val="0"/>
    <w:rPr>
      <w:rFonts w:ascii="宋体" w:eastAsia="宋体"/>
      <w:sz w:val="21"/>
      <w:lang w:val="en-US" w:eastAsia="zh-CN" w:bidi="ar-SA"/>
    </w:rPr>
  </w:style>
  <w:style w:type="character" w:customStyle="1" w:styleId="63">
    <w:name w:val="正文（首行缩进两字） Char3"/>
    <w:qFormat/>
    <w:uiPriority w:val="0"/>
    <w:rPr>
      <w:rFonts w:eastAsia="宋体"/>
      <w:kern w:val="2"/>
      <w:sz w:val="28"/>
      <w:lang w:val="en-US" w:eastAsia="zh-CN" w:bidi="ar-SA"/>
    </w:rPr>
  </w:style>
  <w:style w:type="character" w:customStyle="1" w:styleId="64">
    <w:name w:val="普通文字 Char Char"/>
    <w:qFormat/>
    <w:uiPriority w:val="0"/>
    <w:rPr>
      <w:rFonts w:ascii="宋体" w:hAnsi="Courier New" w:eastAsia="仿宋_GB2312"/>
      <w:kern w:val="2"/>
      <w:sz w:val="24"/>
      <w:lang w:val="en-US" w:eastAsia="zh-CN" w:bidi="ar-SA"/>
    </w:rPr>
  </w:style>
  <w:style w:type="character" w:customStyle="1" w:styleId="65">
    <w:name w:val="批注文字 Char"/>
    <w:basedOn w:val="32"/>
    <w:link w:val="8"/>
    <w:semiHidden/>
    <w:qFormat/>
    <w:uiPriority w:val="0"/>
    <w:rPr>
      <w:rFonts w:ascii="Times New Roman" w:hAnsi="Times New Roman" w:eastAsia="仿宋_GB2312" w:cs="Times New Roman"/>
      <w:sz w:val="24"/>
      <w:szCs w:val="20"/>
    </w:rPr>
  </w:style>
  <w:style w:type="character" w:customStyle="1" w:styleId="66">
    <w:name w:val="批注主题 Char"/>
    <w:basedOn w:val="65"/>
    <w:link w:val="29"/>
    <w:semiHidden/>
    <w:qFormat/>
    <w:uiPriority w:val="0"/>
    <w:rPr>
      <w:rFonts w:ascii="Times New Roman" w:hAnsi="Times New Roman" w:eastAsia="仿宋_GB2312" w:cs="Times New Roman"/>
      <w:b/>
      <w:bCs/>
      <w:sz w:val="24"/>
      <w:szCs w:val="20"/>
    </w:rPr>
  </w:style>
  <w:style w:type="character" w:customStyle="1" w:styleId="67">
    <w:name w:val="apple-style-span"/>
    <w:basedOn w:val="32"/>
    <w:qFormat/>
    <w:uiPriority w:val="0"/>
  </w:style>
  <w:style w:type="character" w:customStyle="1" w:styleId="68">
    <w:name w:val="称呼 Char"/>
    <w:basedOn w:val="32"/>
    <w:link w:val="9"/>
    <w:qFormat/>
    <w:uiPriority w:val="0"/>
    <w:rPr>
      <w:rFonts w:ascii="Times New Roman" w:hAnsi="Times New Roman" w:eastAsia="宋体" w:cs="Times New Roman"/>
      <w:kern w:val="0"/>
      <w:sz w:val="28"/>
      <w:szCs w:val="20"/>
    </w:rPr>
  </w:style>
  <w:style w:type="paragraph" w:customStyle="1" w:styleId="69">
    <w:name w:val="Char"/>
    <w:basedOn w:val="1"/>
    <w:qFormat/>
    <w:uiPriority w:val="0"/>
    <w:pPr>
      <w:spacing w:line="240" w:lineRule="auto"/>
    </w:pPr>
    <w:rPr>
      <w:rFonts w:ascii="Tahoma" w:hAnsi="Tahoma" w:eastAsia="宋体"/>
    </w:rPr>
  </w:style>
  <w:style w:type="paragraph" w:customStyle="1" w:styleId="70">
    <w:name w:val="_Style 30"/>
    <w:basedOn w:val="1"/>
    <w:qFormat/>
    <w:uiPriority w:val="0"/>
    <w:pPr>
      <w:spacing w:line="240" w:lineRule="auto"/>
    </w:pPr>
  </w:style>
  <w:style w:type="character" w:customStyle="1" w:styleId="71">
    <w:name w:val="正文缩进 Char1"/>
    <w:qFormat/>
    <w:uiPriority w:val="0"/>
    <w:rPr>
      <w:rFonts w:ascii="Times New Roman" w:hAnsi="Times New Roman" w:eastAsia="宋体" w:cs="Times New Roman"/>
      <w:sz w:val="28"/>
      <w:szCs w:val="20"/>
    </w:rPr>
  </w:style>
  <w:style w:type="paragraph" w:customStyle="1" w:styleId="72">
    <w:name w:val="List Paragraph"/>
    <w:basedOn w:val="1"/>
    <w:qFormat/>
    <w:uiPriority w:val="0"/>
    <w:pPr>
      <w:spacing w:line="360" w:lineRule="auto"/>
      <w:ind w:firstLine="420" w:firstLineChars="200"/>
    </w:pPr>
    <w:rPr>
      <w:rFonts w:ascii="Calibri" w:hAnsi="Calibri" w:eastAsia="宋体" w:cs="Calibri"/>
      <w:sz w:val="21"/>
      <w:szCs w:val="21"/>
    </w:rPr>
  </w:style>
  <w:style w:type="character" w:customStyle="1" w:styleId="73">
    <w:name w:val="Char Char"/>
    <w:qFormat/>
    <w:uiPriority w:val="0"/>
    <w:rPr>
      <w:rFonts w:eastAsia="宋体"/>
      <w:kern w:val="2"/>
      <w:sz w:val="28"/>
      <w:lang w:val="en-US" w:eastAsia="zh-CN" w:bidi="ar-SA"/>
    </w:rPr>
  </w:style>
  <w:style w:type="paragraph" w:customStyle="1" w:styleId="74">
    <w:name w:val="Char1"/>
    <w:basedOn w:val="1"/>
    <w:qFormat/>
    <w:uiPriority w:val="0"/>
    <w:pPr>
      <w:tabs>
        <w:tab w:val="left" w:pos="420"/>
      </w:tabs>
      <w:adjustRightInd w:val="0"/>
      <w:snapToGrid w:val="0"/>
      <w:spacing w:beforeLines="100" w:afterLines="100" w:line="360" w:lineRule="auto"/>
      <w:ind w:firstLine="57"/>
    </w:pPr>
    <w:rPr>
      <w:rFonts w:eastAsia="宋体"/>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5275F-72FA-4098-A873-9992F1B9EB39}">
  <ds:schemaRefs/>
</ds:datastoreItem>
</file>

<file path=docProps/app.xml><?xml version="1.0" encoding="utf-8"?>
<Properties xmlns="http://schemas.openxmlformats.org/officeDocument/2006/extended-properties" xmlns:vt="http://schemas.openxmlformats.org/officeDocument/2006/docPropsVTypes">
  <Template>Normal</Template>
  <Company>NJ</Company>
  <Pages>32</Pages>
  <Words>1767</Words>
  <Characters>10072</Characters>
  <Lines>83</Lines>
  <Paragraphs>23</Paragraphs>
  <TotalTime>19</TotalTime>
  <ScaleCrop>false</ScaleCrop>
  <LinksUpToDate>false</LinksUpToDate>
  <CharactersWithSpaces>11816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2017-05-19T07:21:00Z</dcterms:created>
  <dc:creator>angbo y</dc:creator>
  <cp:lastModifiedBy>Spring</cp:lastModifiedBy>
  <cp:lastPrinted>2019-12-26T06:46:00Z</cp:lastPrinted>
  <dcterms:modified xsi:type="dcterms:W3CDTF">2019-12-27T01:24:06Z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