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楷体_GB2312" w:eastAsia="楷体_GB2312"/>
          <w:b/>
          <w:sz w:val="44"/>
          <w:szCs w:val="44"/>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180975</wp:posOffset>
            </wp:positionH>
            <wp:positionV relativeFrom="paragraph">
              <wp:posOffset>127635</wp:posOffset>
            </wp:positionV>
            <wp:extent cx="1181735" cy="1181735"/>
            <wp:effectExtent l="0" t="0" r="18415" b="18415"/>
            <wp:wrapSquare wrapText="bothSides"/>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9"/>
                    <a:stretch>
                      <a:fillRect/>
                    </a:stretch>
                  </pic:blipFill>
                  <pic:spPr>
                    <a:xfrm>
                      <a:off x="0" y="0"/>
                      <a:ext cx="1181735" cy="1181735"/>
                    </a:xfrm>
                    <a:prstGeom prst="rect">
                      <a:avLst/>
                    </a:prstGeom>
                    <a:noFill/>
                    <a:ln w="9525">
                      <a:noFill/>
                    </a:ln>
                  </pic:spPr>
                </pic:pic>
              </a:graphicData>
            </a:graphic>
          </wp:anchor>
        </w:drawing>
      </w:r>
    </w:p>
    <w:p>
      <w:pPr>
        <w:jc w:val="both"/>
        <w:rPr>
          <w:rFonts w:ascii="楷体_GB2312" w:eastAsia="楷体_GB2312"/>
          <w:b/>
          <w:sz w:val="44"/>
          <w:szCs w:val="44"/>
        </w:rPr>
      </w:pPr>
      <w:r>
        <w:rPr>
          <w:rFonts w:hint="eastAsia" w:ascii="楷体_GB2312" w:eastAsia="楷体_GB2312"/>
          <w:b/>
          <w:sz w:val="44"/>
          <w:szCs w:val="44"/>
        </w:rPr>
        <w:t>涉执房地产处置司法评估报告</w:t>
      </w:r>
    </w:p>
    <w:p>
      <w:pPr>
        <w:tabs>
          <w:tab w:val="left" w:pos="709"/>
        </w:tabs>
        <w:adjustRightInd w:val="0"/>
        <w:snapToGrid w:val="0"/>
        <w:spacing w:line="480" w:lineRule="auto"/>
        <w:rPr>
          <w:rFonts w:ascii="楷体_GB2312" w:eastAsia="楷体_GB2312"/>
          <w:b/>
          <w:sz w:val="32"/>
          <w:szCs w:val="32"/>
        </w:rPr>
      </w:pPr>
    </w:p>
    <w:p>
      <w:pPr>
        <w:tabs>
          <w:tab w:val="left" w:pos="709"/>
        </w:tabs>
        <w:adjustRightInd w:val="0"/>
        <w:snapToGrid w:val="0"/>
        <w:spacing w:line="480" w:lineRule="auto"/>
        <w:rPr>
          <w:rFonts w:ascii="楷体_GB2312" w:eastAsia="楷体_GB2312"/>
          <w:sz w:val="32"/>
          <w:szCs w:val="32"/>
        </w:rPr>
      </w:pPr>
      <w:r>
        <w:rPr>
          <w:rFonts w:hint="eastAsia" w:ascii="楷体_GB2312" w:eastAsia="楷体_GB2312"/>
          <w:b/>
          <w:sz w:val="32"/>
          <w:szCs w:val="32"/>
        </w:rPr>
        <w:t>估价项目名称</w:t>
      </w:r>
      <w:r>
        <w:rPr>
          <w:rFonts w:hint="eastAsia" w:ascii="楷体_GB2312" w:eastAsia="楷体_GB2312"/>
          <w:sz w:val="32"/>
          <w:szCs w:val="32"/>
        </w:rPr>
        <w:t>：</w:t>
      </w:r>
    </w:p>
    <w:p>
      <w:pPr>
        <w:tabs>
          <w:tab w:val="left" w:pos="709"/>
        </w:tabs>
        <w:adjustRightInd w:val="0"/>
        <w:snapToGrid w:val="0"/>
        <w:spacing w:line="480" w:lineRule="auto"/>
        <w:ind w:firstLine="643" w:firstLineChars="200"/>
        <w:rPr>
          <w:rFonts w:ascii="楷体_GB2312" w:eastAsia="楷体_GB2312"/>
          <w:b/>
          <w:sz w:val="32"/>
          <w:szCs w:val="32"/>
        </w:rPr>
      </w:pPr>
      <w:r>
        <w:rPr>
          <w:rFonts w:hint="eastAsia" w:ascii="楷体_GB2312" w:eastAsia="楷体_GB2312"/>
          <w:b/>
          <w:sz w:val="32"/>
          <w:szCs w:val="32"/>
          <w:lang w:eastAsia="zh-CN"/>
        </w:rPr>
        <w:t>闫子琴、刘培军</w:t>
      </w:r>
      <w:r>
        <w:rPr>
          <w:rFonts w:hint="eastAsia" w:ascii="楷体_GB2312" w:eastAsia="楷体_GB2312"/>
          <w:b/>
          <w:sz w:val="32"/>
          <w:szCs w:val="32"/>
        </w:rPr>
        <w:t>位于</w:t>
      </w:r>
      <w:r>
        <w:rPr>
          <w:rFonts w:hint="eastAsia" w:ascii="楷体_GB2312" w:eastAsia="楷体_GB2312"/>
          <w:b/>
          <w:sz w:val="32"/>
          <w:szCs w:val="32"/>
          <w:lang w:eastAsia="zh-CN"/>
        </w:rPr>
        <w:t>临河区五一西街北欧印象3-0-15车库</w:t>
      </w:r>
      <w:r>
        <w:rPr>
          <w:rFonts w:hint="eastAsia" w:ascii="楷体_GB2312" w:eastAsia="楷体_GB2312"/>
          <w:b/>
          <w:sz w:val="32"/>
          <w:szCs w:val="32"/>
        </w:rPr>
        <w:t>房地产司法处置价值评估（巴彦淖尔市）</w:t>
      </w:r>
    </w:p>
    <w:p>
      <w:pPr>
        <w:tabs>
          <w:tab w:val="left" w:pos="709"/>
          <w:tab w:val="left" w:pos="851"/>
          <w:tab w:val="left" w:pos="993"/>
          <w:tab w:val="left" w:pos="156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估价委托人</w:t>
      </w:r>
      <w:r>
        <w:rPr>
          <w:rFonts w:hint="eastAsia" w:ascii="楷体_GB2312" w:eastAsia="楷体_GB2312"/>
          <w:sz w:val="32"/>
          <w:szCs w:val="32"/>
        </w:rPr>
        <w:t>：</w:t>
      </w:r>
      <w:r>
        <w:rPr>
          <w:rFonts w:hint="eastAsia" w:ascii="楷体_GB2312" w:eastAsia="楷体_GB2312"/>
          <w:b/>
          <w:sz w:val="32"/>
          <w:szCs w:val="32"/>
        </w:rPr>
        <w:t>巴彦淖尔市临河区人民法院</w:t>
      </w:r>
    </w:p>
    <w:p>
      <w:pPr>
        <w:tabs>
          <w:tab w:val="left" w:pos="709"/>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房地产估价机构</w:t>
      </w:r>
      <w:r>
        <w:rPr>
          <w:rFonts w:hint="eastAsia" w:ascii="楷体_GB2312" w:eastAsia="楷体_GB2312"/>
          <w:sz w:val="32"/>
          <w:szCs w:val="32"/>
        </w:rPr>
        <w:t>：</w:t>
      </w:r>
      <w:r>
        <w:rPr>
          <w:rFonts w:hint="eastAsia" w:ascii="楷体_GB2312" w:eastAsia="楷体_GB2312"/>
          <w:b/>
          <w:sz w:val="32"/>
          <w:szCs w:val="32"/>
        </w:rPr>
        <w:t>内蒙古科瑞房地产土地资产评估有限公司</w:t>
      </w:r>
    </w:p>
    <w:p>
      <w:pPr>
        <w:tabs>
          <w:tab w:val="left" w:pos="252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注册房地产估价师</w:t>
      </w:r>
      <w:r>
        <w:rPr>
          <w:rFonts w:hint="eastAsia" w:ascii="楷体_GB2312" w:eastAsia="楷体_GB2312"/>
          <w:sz w:val="32"/>
          <w:szCs w:val="32"/>
        </w:rPr>
        <w:t>：</w:t>
      </w:r>
      <w:r>
        <w:rPr>
          <w:rFonts w:hint="eastAsia" w:ascii="楷体_GB2312" w:eastAsia="楷体_GB2312"/>
          <w:b/>
          <w:sz w:val="32"/>
          <w:szCs w:val="32"/>
        </w:rPr>
        <w:t>历福友  1520050003</w:t>
      </w:r>
      <w:bookmarkStart w:id="243" w:name="_GoBack"/>
      <w:bookmarkEnd w:id="243"/>
    </w:p>
    <w:p>
      <w:pPr>
        <w:tabs>
          <w:tab w:val="left" w:pos="2520"/>
        </w:tabs>
        <w:adjustRightInd w:val="0"/>
        <w:snapToGrid w:val="0"/>
        <w:spacing w:line="480" w:lineRule="auto"/>
        <w:ind w:firstLine="2875" w:firstLineChars="895"/>
        <w:rPr>
          <w:rFonts w:ascii="楷体_GB2312" w:eastAsia="楷体_GB2312"/>
          <w:sz w:val="32"/>
          <w:szCs w:val="32"/>
        </w:rPr>
      </w:pPr>
      <w:r>
        <w:rPr>
          <w:rFonts w:hint="eastAsia" w:ascii="楷体_GB2312" w:eastAsia="楷体_GB2312"/>
          <w:b/>
          <w:sz w:val="32"/>
          <w:szCs w:val="32"/>
        </w:rPr>
        <w:t>毕明梅  1520050020</w:t>
      </w:r>
    </w:p>
    <w:p>
      <w:pPr>
        <w:tabs>
          <w:tab w:val="left" w:pos="540"/>
        </w:tabs>
        <w:snapToGrid w:val="0"/>
        <w:spacing w:line="480" w:lineRule="auto"/>
        <w:rPr>
          <w:rFonts w:hint="eastAsia" w:ascii="楷体_GB2312" w:eastAsia="楷体_GB2312"/>
          <w:b/>
          <w:sz w:val="32"/>
          <w:szCs w:val="32"/>
          <w:lang w:eastAsia="zh-CN"/>
        </w:rPr>
      </w:pPr>
      <w:r>
        <w:rPr>
          <w:rFonts w:hint="eastAsia" w:ascii="楷体_GB2312" w:eastAsia="楷体_GB2312"/>
          <w:b/>
          <w:sz w:val="32"/>
          <w:szCs w:val="32"/>
        </w:rPr>
        <w:t>估价报告出具日期</w:t>
      </w:r>
      <w:r>
        <w:rPr>
          <w:rFonts w:hint="eastAsia" w:ascii="楷体_GB2312" w:eastAsia="楷体_GB2312"/>
          <w:sz w:val="32"/>
          <w:szCs w:val="32"/>
        </w:rPr>
        <w:t>：</w:t>
      </w:r>
      <w:r>
        <w:rPr>
          <w:rFonts w:hint="eastAsia" w:ascii="楷体_GB2312" w:eastAsia="楷体_GB2312"/>
          <w:b/>
          <w:sz w:val="32"/>
          <w:szCs w:val="32"/>
        </w:rPr>
        <w:t>二○一九年</w:t>
      </w:r>
      <w:r>
        <w:rPr>
          <w:rFonts w:hint="eastAsia" w:ascii="楷体_GB2312" w:eastAsia="楷体_GB2312"/>
          <w:b/>
          <w:sz w:val="32"/>
          <w:szCs w:val="32"/>
          <w:lang w:eastAsia="zh-CN"/>
        </w:rPr>
        <w:t>十一月二十五日</w:t>
      </w:r>
    </w:p>
    <w:p>
      <w:pPr>
        <w:tabs>
          <w:tab w:val="left" w:pos="540"/>
        </w:tabs>
        <w:snapToGrid w:val="0"/>
        <w:spacing w:line="480" w:lineRule="auto"/>
        <w:rPr>
          <w:rFonts w:ascii="楷体_GB2312" w:eastAsia="楷体_GB2312"/>
          <w:sz w:val="32"/>
          <w:szCs w:val="32"/>
        </w:rPr>
        <w:sectPr>
          <w:headerReference r:id="rId3" w:type="default"/>
          <w:footerReference r:id="rId5" w:type="default"/>
          <w:headerReference r:id="rId4" w:type="even"/>
          <w:pgSz w:w="11906" w:h="16838"/>
          <w:pgMar w:top="1814" w:right="1247" w:bottom="1418" w:left="1701" w:header="1417" w:footer="737" w:gutter="0"/>
          <w:pgNumType w:start="1"/>
          <w:cols w:space="720" w:num="1"/>
          <w:docGrid w:linePitch="286" w:charSpace="0"/>
        </w:sectPr>
      </w:pPr>
      <w:r>
        <w:rPr>
          <w:rFonts w:hint="eastAsia" w:ascii="楷体_GB2312" w:eastAsia="楷体_GB2312"/>
          <w:b/>
          <w:sz w:val="32"/>
          <w:szCs w:val="32"/>
        </w:rPr>
        <w:t>估价报告编号</w:t>
      </w:r>
      <w:r>
        <w:rPr>
          <w:rFonts w:hint="eastAsia" w:ascii="楷体_GB2312" w:eastAsia="楷体_GB2312"/>
          <w:sz w:val="32"/>
          <w:szCs w:val="32"/>
        </w:rPr>
        <w:t>：</w:t>
      </w:r>
      <w:r>
        <w:rPr>
          <w:rFonts w:hint="eastAsia" w:ascii="楷体_GB2312" w:eastAsia="楷体_GB2312"/>
          <w:b/>
          <w:sz w:val="32"/>
          <w:szCs w:val="32"/>
        </w:rPr>
        <w:t>（巴彦淖尔市）内科瑞估字[2019]第00</w:t>
      </w:r>
      <w:r>
        <w:rPr>
          <w:rFonts w:hint="eastAsia" w:ascii="楷体_GB2312" w:eastAsia="楷体_GB2312"/>
          <w:b/>
          <w:sz w:val="32"/>
          <w:szCs w:val="32"/>
          <w:lang w:val="en-US" w:eastAsia="zh-CN"/>
        </w:rPr>
        <w:t>84</w:t>
      </w:r>
      <w:r>
        <w:rPr>
          <w:rFonts w:hint="eastAsia" w:ascii="楷体_GB2312" w:eastAsia="楷体_GB2312"/>
          <w:b/>
          <w:sz w:val="32"/>
          <w:szCs w:val="32"/>
        </w:rPr>
        <w:t>号</w:t>
      </w:r>
    </w:p>
    <w:p>
      <w:pPr>
        <w:pStyle w:val="2"/>
        <w:spacing w:line="600" w:lineRule="exact"/>
        <w:jc w:val="center"/>
        <w:rPr>
          <w:rFonts w:ascii="仿宋_GB2312" w:eastAsia="仿宋_GB2312"/>
          <w:snapToGrid w:val="0"/>
          <w:kern w:val="0"/>
          <w:sz w:val="28"/>
          <w:szCs w:val="28"/>
        </w:rPr>
      </w:pPr>
      <w:bookmarkStart w:id="0" w:name="_Toc5721398"/>
      <w:r>
        <w:rPr>
          <w:rFonts w:hint="eastAsia" w:ascii="仿宋_GB2312" w:eastAsia="仿宋_GB2312"/>
          <w:snapToGrid w:val="0"/>
          <w:kern w:val="0"/>
          <w:sz w:val="28"/>
          <w:szCs w:val="28"/>
        </w:rPr>
        <w:t>致估价委托人函</w:t>
      </w:r>
      <w:bookmarkEnd w:id="0"/>
    </w:p>
    <w:p>
      <w:pPr>
        <w:adjustRightInd w:val="0"/>
        <w:snapToGrid w:val="0"/>
        <w:spacing w:line="560" w:lineRule="exact"/>
        <w:jc w:val="left"/>
        <w:rPr>
          <w:rFonts w:ascii="仿宋_GB2312" w:hAnsi="仿宋" w:eastAsia="仿宋_GB2312"/>
          <w:sz w:val="28"/>
          <w:szCs w:val="28"/>
        </w:rPr>
      </w:pPr>
      <w:r>
        <w:rPr>
          <w:rFonts w:hint="eastAsia" w:eastAsia="仿宋_GB2312"/>
          <w:sz w:val="28"/>
          <w:szCs w:val="28"/>
        </w:rPr>
        <w:t>巴彦淖尔市临河区人民法院</w:t>
      </w:r>
      <w:r>
        <w:rPr>
          <w:rFonts w:hint="eastAsia" w:ascii="仿宋_GB2312" w:hAnsi="仿宋" w:eastAsia="仿宋_GB2312"/>
          <w:sz w:val="28"/>
          <w:szCs w:val="28"/>
        </w:rPr>
        <w:t>：</w:t>
      </w:r>
    </w:p>
    <w:p>
      <w:pPr>
        <w:adjustRightInd w:val="0"/>
        <w:snapToGrid w:val="0"/>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承蒙委托，我公司对位于</w:t>
      </w:r>
      <w:r>
        <w:rPr>
          <w:rFonts w:hint="eastAsia" w:ascii="仿宋_GB2312" w:hAnsi="仿宋" w:eastAsia="仿宋_GB2312"/>
          <w:sz w:val="28"/>
          <w:szCs w:val="28"/>
          <w:lang w:eastAsia="zh-CN"/>
        </w:rPr>
        <w:t>临河区五一西街北欧印象3-0-15车库</w:t>
      </w:r>
      <w:r>
        <w:rPr>
          <w:rFonts w:hint="eastAsia" w:ascii="仿宋_GB2312" w:hAnsi="仿宋" w:eastAsia="仿宋_GB2312"/>
          <w:sz w:val="28"/>
          <w:szCs w:val="28"/>
        </w:rPr>
        <w:t>房地产（</w:t>
      </w:r>
      <w:r>
        <w:rPr>
          <w:rFonts w:hint="eastAsia" w:ascii="仿宋_GB2312" w:hAnsi="仿宋" w:eastAsia="仿宋_GB2312"/>
          <w:sz w:val="28"/>
          <w:szCs w:val="28"/>
          <w:lang w:eastAsia="zh-CN"/>
        </w:rPr>
        <w:t>权利人</w:t>
      </w:r>
      <w:r>
        <w:rPr>
          <w:rFonts w:hint="eastAsia" w:ascii="仿宋_GB2312" w:hAnsi="仿宋" w:eastAsia="仿宋_GB2312"/>
          <w:sz w:val="28"/>
          <w:szCs w:val="28"/>
        </w:rPr>
        <w:t>为</w:t>
      </w:r>
      <w:r>
        <w:rPr>
          <w:rFonts w:hint="eastAsia" w:ascii="仿宋_GB2312" w:hAnsi="仿宋" w:eastAsia="仿宋_GB2312"/>
          <w:sz w:val="28"/>
          <w:szCs w:val="28"/>
          <w:lang w:eastAsia="zh-CN"/>
        </w:rPr>
        <w:t>闫子琴、刘培军</w:t>
      </w:r>
      <w:r>
        <w:rPr>
          <w:rFonts w:hint="eastAsia" w:ascii="仿宋_GB2312" w:hAnsi="仿宋" w:eastAsia="仿宋_GB2312"/>
          <w:sz w:val="28"/>
          <w:szCs w:val="28"/>
        </w:rPr>
        <w:t>，设计用途为</w:t>
      </w:r>
      <w:r>
        <w:rPr>
          <w:rFonts w:hint="eastAsia" w:ascii="仿宋_GB2312" w:hAnsi="仿宋" w:eastAsia="仿宋_GB2312"/>
          <w:sz w:val="28"/>
          <w:szCs w:val="28"/>
          <w:lang w:eastAsia="zh-CN"/>
        </w:rPr>
        <w:t>车库</w:t>
      </w:r>
      <w:r>
        <w:rPr>
          <w:rFonts w:hint="eastAsia" w:ascii="仿宋_GB2312" w:hAnsi="仿宋" w:eastAsia="仿宋_GB2312"/>
          <w:sz w:val="28"/>
          <w:szCs w:val="28"/>
        </w:rPr>
        <w:t>，建筑面积为</w:t>
      </w:r>
      <w:r>
        <w:rPr>
          <w:rFonts w:hint="eastAsia" w:ascii="仿宋_GB2312" w:hAnsi="仿宋" w:eastAsia="仿宋_GB2312"/>
          <w:sz w:val="28"/>
          <w:szCs w:val="28"/>
          <w:lang w:eastAsia="zh-CN"/>
        </w:rPr>
        <w:t>22.34</w:t>
      </w:r>
      <w:r>
        <w:rPr>
          <w:rFonts w:hint="eastAsia" w:ascii="仿宋_GB2312" w:hAnsi="仿宋" w:eastAsia="仿宋_GB2312"/>
          <w:sz w:val="28"/>
          <w:szCs w:val="28"/>
        </w:rPr>
        <w:t>平方米）的市场价值进行了评估。估价对象状况见下表：</w:t>
      </w:r>
    </w:p>
    <w:p>
      <w:pPr>
        <w:adjustRightInd w:val="0"/>
        <w:snapToGrid w:val="0"/>
        <w:spacing w:before="120" w:beforeLines="50" w:line="360" w:lineRule="auto"/>
        <w:ind w:firstLine="562" w:firstLineChars="200"/>
        <w:jc w:val="center"/>
        <w:rPr>
          <w:rFonts w:ascii="仿宋_GB2312" w:hAnsi="仿宋" w:eastAsia="仿宋_GB2312"/>
          <w:b/>
          <w:sz w:val="28"/>
          <w:szCs w:val="28"/>
        </w:rPr>
      </w:pPr>
      <w:r>
        <w:rPr>
          <w:rFonts w:hint="eastAsia" w:ascii="仿宋_GB2312" w:hAnsi="仿宋" w:eastAsia="仿宋_GB2312"/>
          <w:b/>
          <w:sz w:val="28"/>
          <w:szCs w:val="28"/>
        </w:rPr>
        <w:t>估价对象状况表</w:t>
      </w:r>
    </w:p>
    <w:tbl>
      <w:tblPr>
        <w:tblStyle w:val="42"/>
        <w:tblW w:w="9180" w:type="dxa"/>
        <w:jc w:val="center"/>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uble" w:color="auto" w:sz="4" w:space="0"/>
              <w:left w:val="nil"/>
              <w:bottom w:val="dotted" w:color="auto" w:sz="4" w:space="0"/>
              <w:right w:val="dotted" w:color="auto" w:sz="4" w:space="0"/>
            </w:tcBorders>
            <w:shd w:val="clear" w:color="auto" w:fill="auto"/>
            <w:vAlign w:val="center"/>
          </w:tcPr>
          <w:p>
            <w:pPr>
              <w:spacing w:before="120" w:beforeLines="50"/>
              <w:jc w:val="center"/>
              <w:rPr>
                <w:rFonts w:hint="eastAsia" w:ascii="仿宋" w:hAnsi="仿宋" w:eastAsia="仿宋" w:cs="仿宋"/>
                <w:b/>
                <w:szCs w:val="21"/>
                <w:lang w:eastAsia="zh-CN"/>
              </w:rPr>
            </w:pPr>
            <w:r>
              <w:rPr>
                <w:rFonts w:hint="eastAsia" w:ascii="仿宋" w:hAnsi="仿宋" w:eastAsia="仿宋" w:cs="仿宋"/>
                <w:b/>
                <w:szCs w:val="21"/>
                <w:lang w:eastAsia="zh-CN"/>
              </w:rPr>
              <w:t>权利人</w:t>
            </w:r>
          </w:p>
        </w:tc>
        <w:tc>
          <w:tcPr>
            <w:tcW w:w="7229" w:type="dxa"/>
            <w:gridSpan w:val="4"/>
            <w:tcBorders>
              <w:top w:val="double" w:color="auto" w:sz="4" w:space="0"/>
              <w:left w:val="dotted" w:color="auto" w:sz="4" w:space="0"/>
              <w:bottom w:val="dotted" w:color="auto" w:sz="4" w:space="0"/>
              <w:right w:val="nil"/>
            </w:tcBorders>
            <w:shd w:val="clear" w:color="auto" w:fill="auto"/>
            <w:vAlign w:val="center"/>
          </w:tcPr>
          <w:p>
            <w:pPr>
              <w:spacing w:before="120" w:beforeLines="50"/>
              <w:jc w:val="center"/>
              <w:rPr>
                <w:rFonts w:hint="eastAsia" w:ascii="仿宋" w:hAnsi="仿宋" w:eastAsia="仿宋" w:cs="仿宋"/>
                <w:szCs w:val="21"/>
                <w:lang w:eastAsia="zh-CN"/>
              </w:rPr>
            </w:pPr>
            <w:r>
              <w:rPr>
                <w:rFonts w:hint="eastAsia" w:ascii="仿宋" w:hAnsi="仿宋" w:eastAsia="仿宋" w:cs="仿宋"/>
                <w:szCs w:val="21"/>
                <w:lang w:eastAsia="zh-CN"/>
              </w:rPr>
              <w:t>闫子琴、刘培军</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spacing w:before="50"/>
              <w:jc w:val="center"/>
              <w:rPr>
                <w:rFonts w:ascii="仿宋" w:hAnsi="仿宋" w:eastAsia="仿宋" w:cs="仿宋"/>
                <w:b/>
                <w:szCs w:val="21"/>
              </w:rPr>
            </w:pPr>
            <w:r>
              <w:rPr>
                <w:rFonts w:hint="eastAsia" w:ascii="仿宋" w:hAnsi="仿宋" w:eastAsia="仿宋" w:cs="仿宋"/>
                <w:b/>
                <w:szCs w:val="21"/>
              </w:rPr>
              <w:t>房屋产权证号</w:t>
            </w:r>
          </w:p>
        </w:tc>
        <w:tc>
          <w:tcPr>
            <w:tcW w:w="7229" w:type="dxa"/>
            <w:gridSpan w:val="4"/>
            <w:tcBorders>
              <w:top w:val="dotted" w:color="auto" w:sz="4" w:space="0"/>
              <w:left w:val="dotted" w:color="auto" w:sz="4" w:space="0"/>
              <w:bottom w:val="dotted" w:color="auto" w:sz="4" w:space="0"/>
              <w:right w:val="nil"/>
            </w:tcBorders>
            <w:shd w:val="clear" w:color="auto" w:fill="auto"/>
            <w:vAlign w:val="center"/>
          </w:tcPr>
          <w:p>
            <w:pPr>
              <w:spacing w:before="50"/>
              <w:jc w:val="center"/>
              <w:rPr>
                <w:rFonts w:hint="eastAsia" w:ascii="仿宋" w:hAnsi="仿宋" w:eastAsia="仿宋" w:cs="仿宋"/>
                <w:szCs w:val="21"/>
                <w:lang w:eastAsia="zh-CN"/>
              </w:rPr>
            </w:pPr>
            <w:r>
              <w:rPr>
                <w:rFonts w:hint="eastAsia" w:ascii="仿宋" w:hAnsi="仿宋" w:eastAsia="仿宋" w:cs="仿宋"/>
                <w:szCs w:val="21"/>
                <w:lang w:eastAsia="zh-CN"/>
              </w:rPr>
              <w:t>102021107185</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spacing w:before="50"/>
              <w:jc w:val="center"/>
              <w:rPr>
                <w:rFonts w:ascii="仿宋" w:hAnsi="仿宋" w:eastAsia="仿宋" w:cs="仿宋"/>
                <w:b/>
                <w:szCs w:val="21"/>
              </w:rPr>
            </w:pPr>
            <w:r>
              <w:rPr>
                <w:rFonts w:hint="eastAsia" w:ascii="仿宋" w:hAnsi="仿宋" w:eastAsia="仿宋" w:cs="仿宋"/>
                <w:b/>
                <w:szCs w:val="21"/>
              </w:rPr>
              <w:t>房屋坐落</w:t>
            </w:r>
          </w:p>
        </w:tc>
        <w:tc>
          <w:tcPr>
            <w:tcW w:w="7229" w:type="dxa"/>
            <w:gridSpan w:val="4"/>
            <w:tcBorders>
              <w:top w:val="dotted" w:color="auto" w:sz="4" w:space="0"/>
              <w:left w:val="dotted" w:color="auto" w:sz="4" w:space="0"/>
              <w:bottom w:val="dotted" w:color="auto" w:sz="4" w:space="0"/>
              <w:right w:val="nil"/>
            </w:tcBorders>
            <w:shd w:val="clear" w:color="auto" w:fill="auto"/>
            <w:vAlign w:val="center"/>
          </w:tcPr>
          <w:p>
            <w:pPr>
              <w:spacing w:before="50"/>
              <w:jc w:val="center"/>
              <w:rPr>
                <w:rFonts w:hint="eastAsia" w:ascii="仿宋" w:hAnsi="仿宋" w:eastAsia="仿宋" w:cs="仿宋"/>
                <w:szCs w:val="21"/>
                <w:lang w:eastAsia="zh-CN"/>
              </w:rPr>
            </w:pPr>
            <w:r>
              <w:rPr>
                <w:rFonts w:hint="eastAsia" w:ascii="仿宋" w:hAnsi="仿宋" w:eastAsia="仿宋" w:cs="仿宋"/>
                <w:szCs w:val="21"/>
                <w:lang w:eastAsia="zh-CN"/>
              </w:rPr>
              <w:t>临河区五一西街北欧印象</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幢号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单元</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所在层次</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b/>
                <w:szCs w:val="21"/>
                <w:lang w:eastAsia="zh-CN"/>
              </w:rPr>
            </w:pPr>
            <w:r>
              <w:rPr>
                <w:rFonts w:hint="eastAsia" w:ascii="仿宋" w:hAnsi="仿宋" w:eastAsia="仿宋" w:cs="仿宋"/>
                <w:b/>
                <w:szCs w:val="21"/>
                <w:lang w:eastAsia="zh-CN"/>
              </w:rPr>
              <w:t>房号</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3-0-15</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1</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3-0-15</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6</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建筑结构</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建成年份</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lang w:eastAsia="zh-CN"/>
              </w:rPr>
              <w:t>设计</w:t>
            </w:r>
            <w:r>
              <w:rPr>
                <w:rFonts w:hint="eastAsia" w:ascii="仿宋" w:hAnsi="仿宋" w:eastAsia="仿宋" w:cs="仿宋"/>
                <w:b/>
                <w:szCs w:val="21"/>
              </w:rPr>
              <w:t>用途</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建筑面积（㎡）</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共有情况</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4"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砖混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2010</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车库</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22.34</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lang w:eastAsia="zh-CN"/>
              </w:rPr>
              <w:t>共同共有</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hint="eastAsia" w:ascii="仿宋" w:hAnsi="仿宋" w:eastAsia="仿宋" w:cs="仿宋"/>
                <w:b/>
                <w:szCs w:val="21"/>
                <w:lang w:eastAsia="zh-CN"/>
              </w:rPr>
            </w:pPr>
            <w:r>
              <w:rPr>
                <w:rFonts w:hint="eastAsia" w:ascii="仿宋" w:hAnsi="仿宋" w:eastAsia="仿宋" w:cs="仿宋"/>
                <w:b/>
                <w:szCs w:val="21"/>
                <w:lang w:eastAsia="zh-CN"/>
              </w:rPr>
              <w:t>地号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b/>
                <w:szCs w:val="21"/>
                <w:lang w:eastAsia="zh-CN"/>
              </w:rPr>
            </w:pPr>
            <w:r>
              <w:rPr>
                <w:rFonts w:hint="eastAsia" w:ascii="仿宋" w:hAnsi="仿宋" w:eastAsia="仿宋" w:cs="仿宋"/>
                <w:b/>
                <w:szCs w:val="21"/>
                <w:lang w:eastAsia="zh-CN"/>
              </w:rPr>
              <w:t>权属性质</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b/>
                <w:szCs w:val="21"/>
                <w:lang w:eastAsia="zh-CN"/>
              </w:rPr>
            </w:pPr>
            <w:r>
              <w:rPr>
                <w:rFonts w:hint="eastAsia" w:ascii="仿宋" w:hAnsi="仿宋" w:eastAsia="仿宋" w:cs="仿宋"/>
                <w:b/>
                <w:szCs w:val="21"/>
              </w:rPr>
              <w:t>产别</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color w:val="FF0000"/>
                <w:szCs w:val="21"/>
              </w:rPr>
            </w:pPr>
            <w:r>
              <w:rPr>
                <w:rFonts w:hint="eastAsia" w:ascii="仿宋" w:hAnsi="仿宋" w:eastAsia="仿宋" w:cs="仿宋"/>
                <w:b/>
                <w:color w:val="000000" w:themeColor="text1"/>
                <w:szCs w:val="21"/>
                <w14:textFill>
                  <w14:solidFill>
                    <w14:schemeClr w14:val="tx1"/>
                  </w14:solidFill>
                </w14:textFill>
              </w:rPr>
              <w:t>土地使用权类型</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lang w:eastAsia="zh-CN"/>
              </w:rPr>
              <w:t>登记簿</w:t>
            </w:r>
            <w:r>
              <w:rPr>
                <w:rFonts w:hint="eastAsia" w:ascii="仿宋" w:hAnsi="仿宋" w:eastAsia="仿宋" w:cs="仿宋"/>
                <w:b/>
                <w:szCs w:val="21"/>
              </w:rPr>
              <w:t>登记时间</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hint="default" w:ascii="仿宋" w:hAnsi="仿宋" w:eastAsia="仿宋" w:cs="仿宋"/>
                <w:szCs w:val="21"/>
                <w:lang w:val="en-US" w:eastAsia="zh-CN"/>
              </w:rPr>
            </w:pPr>
            <w:r>
              <w:rPr>
                <w:rFonts w:hint="eastAsia" w:ascii="仿宋" w:hAnsi="仿宋" w:eastAsia="仿宋" w:cs="仿宋"/>
                <w:szCs w:val="21"/>
                <w:lang w:eastAsia="zh-CN"/>
              </w:rPr>
              <w:t>巴彦淖尔市（</w:t>
            </w:r>
            <w:r>
              <w:rPr>
                <w:rFonts w:hint="eastAsia" w:ascii="仿宋" w:hAnsi="仿宋" w:eastAsia="仿宋" w:cs="仿宋"/>
                <w:szCs w:val="21"/>
                <w:lang w:val="en-US" w:eastAsia="zh-CN"/>
              </w:rPr>
              <w:t>2008</w:t>
            </w:r>
            <w:r>
              <w:rPr>
                <w:rFonts w:hint="eastAsia" w:ascii="仿宋" w:hAnsi="仿宋" w:eastAsia="仿宋" w:cs="仿宋"/>
                <w:szCs w:val="21"/>
                <w:lang w:eastAsia="zh-CN"/>
              </w:rPr>
              <w:t>）字第</w:t>
            </w:r>
            <w:r>
              <w:rPr>
                <w:rFonts w:hint="eastAsia" w:ascii="仿宋" w:hAnsi="仿宋" w:eastAsia="仿宋" w:cs="仿宋"/>
                <w:szCs w:val="21"/>
                <w:lang w:val="en-US" w:eastAsia="zh-CN"/>
              </w:rPr>
              <w:t>05号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国有</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default" w:ascii="仿宋" w:hAnsi="仿宋" w:eastAsia="仿宋" w:cs="仿宋"/>
                <w:szCs w:val="21"/>
                <w:lang w:val="en-US" w:eastAsia="zh-CN"/>
              </w:rPr>
            </w:pPr>
            <w:r>
              <w:rPr>
                <w:rFonts w:hint="eastAsia" w:ascii="仿宋" w:hAnsi="仿宋" w:eastAsia="仿宋" w:cs="仿宋"/>
                <w:szCs w:val="21"/>
                <w:lang w:eastAsia="zh-CN"/>
              </w:rPr>
              <w:t>私产</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 w:hAnsi="仿宋" w:eastAsia="仿宋" w:cs="仿宋"/>
                <w:color w:val="FF0000"/>
                <w:szCs w:val="21"/>
                <w:lang w:eastAsia="zh-CN"/>
              </w:rPr>
            </w:pPr>
            <w:r>
              <w:rPr>
                <w:rFonts w:hint="eastAsia" w:ascii="仿宋" w:hAnsi="仿宋" w:eastAsia="仿宋" w:cs="仿宋"/>
                <w:color w:val="000000" w:themeColor="text1"/>
                <w:szCs w:val="21"/>
                <w:lang w:val="en-US" w:eastAsia="zh-CN"/>
                <w14:textFill>
                  <w14:solidFill>
                    <w14:schemeClr w14:val="tx1"/>
                  </w14:solidFill>
                </w14:textFill>
              </w:rPr>
              <w:t>-</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hint="eastAsia" w:ascii="仿宋" w:hAnsi="仿宋" w:eastAsia="仿宋" w:cs="仿宋"/>
                <w:szCs w:val="21"/>
                <w:lang w:eastAsia="zh-CN"/>
              </w:rPr>
            </w:pPr>
            <w:r>
              <w:rPr>
                <w:rFonts w:hint="eastAsia" w:ascii="仿宋" w:hAnsi="仿宋" w:eastAsia="仿宋" w:cs="仿宋"/>
                <w:szCs w:val="21"/>
                <w:lang w:eastAsia="zh-CN"/>
              </w:rPr>
              <w:t>2011-10-16</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uble" w:color="auto" w:sz="4" w:space="0"/>
              <w:right w:val="dotted" w:color="auto" w:sz="4" w:space="0"/>
            </w:tcBorders>
            <w:shd w:val="clear" w:color="auto" w:fill="auto"/>
            <w:vAlign w:val="center"/>
          </w:tcPr>
          <w:p>
            <w:pPr>
              <w:jc w:val="center"/>
              <w:rPr>
                <w:rFonts w:hint="eastAsia" w:ascii="仿宋" w:hAnsi="仿宋" w:eastAsia="仿宋" w:cs="仿宋"/>
                <w:b/>
                <w:bCs/>
                <w:szCs w:val="21"/>
              </w:rPr>
            </w:pPr>
            <w:r>
              <w:rPr>
                <w:rFonts w:hint="eastAsia" w:ascii="仿宋" w:hAnsi="仿宋" w:eastAsia="仿宋" w:cs="仿宋"/>
                <w:b/>
                <w:bCs/>
                <w:szCs w:val="21"/>
                <w:lang w:eastAsia="zh-CN"/>
              </w:rPr>
              <w:t>特殊说明</w:t>
            </w:r>
          </w:p>
        </w:tc>
        <w:tc>
          <w:tcPr>
            <w:tcW w:w="7229" w:type="dxa"/>
            <w:gridSpan w:val="4"/>
            <w:tcBorders>
              <w:top w:val="dotted" w:color="auto" w:sz="4" w:space="0"/>
              <w:left w:val="dotted" w:color="auto" w:sz="4" w:space="0"/>
              <w:bottom w:val="double" w:color="auto" w:sz="4" w:space="0"/>
              <w:right w:val="nil"/>
            </w:tcBorders>
            <w:shd w:val="clear" w:color="auto" w:fill="auto"/>
            <w:vAlign w:val="center"/>
          </w:tcPr>
          <w:p>
            <w:pPr>
              <w:numPr>
                <w:ilvl w:val="0"/>
                <w:numId w:val="2"/>
              </w:numPr>
              <w:spacing w:after="0" w:line="240" w:lineRule="auto"/>
              <w:jc w:val="left"/>
              <w:rPr>
                <w:rFonts w:hint="eastAsia" w:ascii="仿宋" w:hAnsi="仿宋" w:eastAsia="仿宋" w:cs="仿宋"/>
                <w:b/>
                <w:bCs/>
                <w:szCs w:val="21"/>
              </w:rPr>
            </w:pPr>
            <w:r>
              <w:rPr>
                <w:rFonts w:hint="eastAsia" w:ascii="仿宋" w:hAnsi="仿宋" w:eastAsia="仿宋" w:cs="Times New Roman"/>
                <w:b/>
                <w:bCs/>
                <w:szCs w:val="21"/>
                <w:lang w:eastAsia="zh-CN"/>
              </w:rPr>
              <w:t>委托方提供的《内蒙古自治区房地产权属登记簿》中未载明估价对象的建成年代。根据估价人员现场勘查及问询，估价对象建成年代为2010年。故本次评估房屋建成年代以现场实地勘查为准。提醒报告使用者关注此点。</w:t>
            </w:r>
          </w:p>
        </w:tc>
      </w:tr>
    </w:tbl>
    <w:p>
      <w:pPr>
        <w:adjustRightInd w:val="0"/>
        <w:snapToGrid w:val="0"/>
        <w:spacing w:line="540" w:lineRule="exact"/>
        <w:ind w:firstLine="562" w:firstLineChars="200"/>
        <w:rPr>
          <w:rFonts w:eastAsia="仿宋_GB2312"/>
          <w:sz w:val="28"/>
          <w:szCs w:val="28"/>
        </w:rPr>
      </w:pPr>
      <w:r>
        <w:rPr>
          <w:rFonts w:hint="eastAsia" w:ascii="仿宋_GB2312" w:hAnsi="仿宋" w:eastAsia="仿宋_GB2312"/>
          <w:b/>
          <w:sz w:val="28"/>
          <w:szCs w:val="28"/>
        </w:rPr>
        <w:t>估价目的：</w:t>
      </w:r>
      <w:r>
        <w:rPr>
          <w:rFonts w:eastAsia="仿宋_GB2312"/>
          <w:sz w:val="28"/>
          <w:szCs w:val="28"/>
        </w:rPr>
        <w:t>委托方欲核实</w:t>
      </w:r>
      <w:r>
        <w:rPr>
          <w:rFonts w:hint="eastAsia" w:eastAsia="仿宋_GB2312"/>
          <w:sz w:val="28"/>
          <w:szCs w:val="28"/>
          <w:lang w:eastAsia="zh-CN"/>
        </w:rPr>
        <w:t>被执行人闫子琴、刘培军</w:t>
      </w:r>
      <w:r>
        <w:rPr>
          <w:rFonts w:eastAsia="仿宋_GB2312"/>
          <w:sz w:val="28"/>
          <w:szCs w:val="28"/>
        </w:rPr>
        <w:t>位于</w:t>
      </w:r>
      <w:r>
        <w:rPr>
          <w:rFonts w:hint="eastAsia" w:ascii="仿宋_GB2312" w:hAnsi="仿宋" w:eastAsia="仿宋_GB2312"/>
          <w:sz w:val="28"/>
          <w:szCs w:val="28"/>
          <w:lang w:eastAsia="zh-CN"/>
        </w:rPr>
        <w:t>临河区五一西街北欧印象3-0-15车库</w:t>
      </w:r>
      <w:r>
        <w:rPr>
          <w:rFonts w:hint="eastAsia" w:ascii="仿宋_GB2312" w:hAnsi="仿宋" w:eastAsia="仿宋_GB2312"/>
          <w:sz w:val="28"/>
          <w:szCs w:val="28"/>
        </w:rPr>
        <w:t>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adjustRightInd w:val="0"/>
        <w:snapToGrid w:val="0"/>
        <w:spacing w:line="560" w:lineRule="exact"/>
        <w:ind w:firstLine="562" w:firstLineChars="200"/>
        <w:rPr>
          <w:rFonts w:hint="eastAsia" w:ascii="仿宋_GB2312" w:hAnsi="仿宋" w:eastAsia="仿宋_GB2312"/>
          <w:sz w:val="28"/>
          <w:szCs w:val="28"/>
          <w:lang w:eastAsia="zh-CN"/>
        </w:rPr>
      </w:pPr>
      <w:r>
        <w:rPr>
          <w:rFonts w:hint="eastAsia" w:ascii="仿宋_GB2312" w:hAnsi="仿宋" w:eastAsia="仿宋_GB2312"/>
          <w:b/>
          <w:sz w:val="28"/>
          <w:szCs w:val="28"/>
        </w:rPr>
        <w:t>价值时点：</w:t>
      </w:r>
      <w:r>
        <w:rPr>
          <w:rFonts w:hint="eastAsia" w:ascii="仿宋_GB2312" w:hAnsi="仿宋" w:eastAsia="仿宋_GB2312"/>
          <w:sz w:val="28"/>
          <w:szCs w:val="28"/>
        </w:rPr>
        <w:t>2019年</w:t>
      </w:r>
      <w:r>
        <w:rPr>
          <w:rFonts w:hint="eastAsia" w:ascii="仿宋_GB2312" w:hAnsi="仿宋" w:eastAsia="仿宋_GB2312"/>
          <w:sz w:val="28"/>
          <w:szCs w:val="28"/>
          <w:lang w:eastAsia="zh-CN"/>
        </w:rPr>
        <w:t>11月13日</w:t>
      </w:r>
    </w:p>
    <w:p>
      <w:pPr>
        <w:adjustRightInd w:val="0"/>
        <w:snapToGrid w:val="0"/>
        <w:spacing w:line="560" w:lineRule="exact"/>
        <w:ind w:firstLine="562" w:firstLineChars="200"/>
        <w:rPr>
          <w:rFonts w:ascii="仿宋_GB2312" w:hAnsi="仿宋" w:eastAsia="仿宋_GB2312"/>
          <w:sz w:val="28"/>
          <w:szCs w:val="28"/>
        </w:rPr>
      </w:pPr>
      <w:r>
        <w:rPr>
          <w:rFonts w:hint="eastAsia" w:ascii="仿宋_GB2312" w:hAnsi="仿宋" w:eastAsia="仿宋_GB2312"/>
          <w:b/>
          <w:sz w:val="28"/>
          <w:szCs w:val="28"/>
        </w:rPr>
        <w:t>价值类型：</w:t>
      </w:r>
      <w:r>
        <w:rPr>
          <w:rFonts w:ascii="仿宋_GB2312" w:hAnsi="仿宋" w:eastAsia="仿宋_GB2312"/>
          <w:sz w:val="28"/>
          <w:szCs w:val="28"/>
        </w:rPr>
        <w:t xml:space="preserve"> </w:t>
      </w:r>
      <w:r>
        <w:rPr>
          <w:rFonts w:hint="eastAsia" w:eastAsia="仿宋_GB2312"/>
          <w:sz w:val="28"/>
          <w:szCs w:val="28"/>
          <w:lang w:eastAsia="zh-CN"/>
        </w:rPr>
        <w:t>估价</w:t>
      </w:r>
      <w:r>
        <w:rPr>
          <w:rFonts w:eastAsia="仿宋_GB2312"/>
          <w:sz w:val="28"/>
          <w:szCs w:val="28"/>
        </w:rPr>
        <w:t>对象在三级房地产市场的公开市场价格。</w:t>
      </w:r>
      <w:r>
        <w:rPr>
          <w:rFonts w:hint="eastAsia" w:eastAsia="仿宋_GB2312"/>
          <w:sz w:val="28"/>
          <w:szCs w:val="28"/>
        </w:rPr>
        <w:t>市场价值是指评估对象经过适当营销后，由熟悉情况、谨慎行事且不受强迫的交易双方，以公平交易方式于价值时点自愿进行交易的金额。</w:t>
      </w:r>
    </w:p>
    <w:p>
      <w:pPr>
        <w:adjustRightInd w:val="0"/>
        <w:snapToGrid w:val="0"/>
        <w:spacing w:line="560" w:lineRule="exact"/>
        <w:ind w:firstLine="562" w:firstLineChars="200"/>
        <w:rPr>
          <w:rFonts w:ascii="仿宋_GB2312" w:hAnsi="仿宋" w:eastAsia="仿宋_GB2312"/>
          <w:sz w:val="28"/>
          <w:szCs w:val="28"/>
        </w:rPr>
      </w:pPr>
      <w:r>
        <w:rPr>
          <w:rFonts w:hint="eastAsia" w:ascii="仿宋_GB2312" w:hAnsi="仿宋" w:eastAsia="仿宋_GB2312"/>
          <w:b/>
          <w:sz w:val="28"/>
          <w:szCs w:val="28"/>
        </w:rPr>
        <w:t>估价方法：</w:t>
      </w:r>
      <w:r>
        <w:rPr>
          <w:rFonts w:hint="eastAsia" w:ascii="仿宋_GB2312" w:hAnsi="仿宋" w:eastAsia="仿宋_GB2312"/>
          <w:sz w:val="28"/>
          <w:szCs w:val="28"/>
        </w:rPr>
        <w:t>本次评估选用比较法、收益法进行评估。</w:t>
      </w:r>
    </w:p>
    <w:p>
      <w:pPr>
        <w:tabs>
          <w:tab w:val="left" w:pos="993"/>
        </w:tabs>
        <w:adjustRightInd w:val="0"/>
        <w:snapToGrid w:val="0"/>
        <w:spacing w:line="520" w:lineRule="exact"/>
        <w:ind w:firstLine="562" w:firstLineChars="200"/>
        <w:rPr>
          <w:rFonts w:eastAsia="仿宋_GB2312"/>
          <w:b/>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ascii="仿宋_GB2312" w:hAnsi="仿宋" w:eastAsia="仿宋_GB2312"/>
          <w:sz w:val="28"/>
          <w:szCs w:val="28"/>
          <w:lang w:eastAsia="zh-CN"/>
        </w:rPr>
        <w:t>临河区五一西街北欧印象3-0-15车库</w:t>
      </w:r>
      <w:r>
        <w:rPr>
          <w:rFonts w:hint="eastAsia" w:ascii="仿宋_GB2312" w:hAnsi="仿宋" w:eastAsia="仿宋_GB2312"/>
          <w:sz w:val="28"/>
          <w:szCs w:val="28"/>
        </w:rPr>
        <w:t>房地产</w:t>
      </w:r>
      <w:r>
        <w:rPr>
          <w:rFonts w:eastAsia="仿宋_GB2312"/>
          <w:sz w:val="28"/>
          <w:szCs w:val="28"/>
        </w:rPr>
        <w:t>）在满足全部假设和限制条件下于价值时点</w:t>
      </w:r>
      <w:r>
        <w:rPr>
          <w:rFonts w:hint="eastAsia" w:eastAsia="仿宋_GB2312"/>
          <w:sz w:val="28"/>
          <w:szCs w:val="28"/>
        </w:rPr>
        <w:t>2019年</w:t>
      </w:r>
      <w:r>
        <w:rPr>
          <w:rFonts w:hint="eastAsia" w:eastAsia="仿宋_GB2312"/>
          <w:sz w:val="28"/>
          <w:szCs w:val="28"/>
          <w:lang w:eastAsia="zh-CN"/>
        </w:rPr>
        <w:t>11月13日</w:t>
      </w:r>
      <w:r>
        <w:rPr>
          <w:rFonts w:eastAsia="仿宋_GB2312"/>
          <w:sz w:val="28"/>
          <w:szCs w:val="28"/>
        </w:rPr>
        <w:t>的估价结果如下：（币种：人民币）</w:t>
      </w:r>
    </w:p>
    <w:p>
      <w:pPr>
        <w:spacing w:before="120" w:beforeLines="50"/>
        <w:jc w:val="center"/>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81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2815"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3-0-15</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8586</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19.1811</w:t>
            </w:r>
          </w:p>
        </w:tc>
        <w:tc>
          <w:tcPr>
            <w:tcW w:w="2815"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19.1811</w:t>
            </w:r>
          </w:p>
        </w:tc>
        <w:tc>
          <w:tcPr>
            <w:tcW w:w="2815"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bl>
    <w:p>
      <w:pPr>
        <w:tabs>
          <w:tab w:val="left" w:pos="993"/>
        </w:tabs>
        <w:adjustRightInd w:val="0"/>
        <w:snapToGrid w:val="0"/>
        <w:spacing w:line="580" w:lineRule="exact"/>
        <w:ind w:firstLine="562" w:firstLineChars="200"/>
        <w:rPr>
          <w:rFonts w:eastAsia="仿宋_GB2312"/>
          <w:b/>
          <w:sz w:val="28"/>
          <w:szCs w:val="28"/>
        </w:rPr>
      </w:pPr>
      <w:r>
        <w:rPr>
          <w:rFonts w:hint="eastAsia" w:eastAsia="仿宋_GB2312"/>
          <w:b/>
          <w:sz w:val="28"/>
          <w:szCs w:val="28"/>
        </w:rPr>
        <w:t>特别提示：</w:t>
      </w:r>
    </w:p>
    <w:p>
      <w:pPr>
        <w:spacing w:line="600" w:lineRule="exact"/>
        <w:ind w:firstLine="562" w:firstLineChars="200"/>
        <w:rPr>
          <w:rFonts w:eastAsia="仿宋_GB2312"/>
          <w:b/>
          <w:sz w:val="28"/>
          <w:szCs w:val="28"/>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1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①</w:t>
      </w:r>
      <w:r>
        <w:rPr>
          <w:rFonts w:eastAsia="仿宋_GB2312"/>
          <w:b/>
          <w:sz w:val="28"/>
          <w:szCs w:val="28"/>
        </w:rPr>
        <w:fldChar w:fldCharType="end"/>
      </w:r>
      <w:r>
        <w:rPr>
          <w:rFonts w:hint="eastAsia" w:eastAsia="仿宋_GB2312" w:cs="仿宋_GB2312"/>
          <w:b/>
          <w:sz w:val="28"/>
          <w:szCs w:val="28"/>
        </w:rPr>
        <w:t>本次评估委托方提供了估价对象的《内蒙古自治区房地产权属登记簿》，评估结果是在现有收集到的资料信息基础上评估测算的结果。</w:t>
      </w:r>
    </w:p>
    <w:p>
      <w:pPr>
        <w:autoSpaceDE w:val="0"/>
        <w:autoSpaceDN w:val="0"/>
        <w:adjustRightInd w:val="0"/>
        <w:spacing w:line="540" w:lineRule="exact"/>
        <w:ind w:firstLine="562" w:firstLineChars="200"/>
        <w:jc w:val="left"/>
        <w:rPr>
          <w:rFonts w:eastAsia="仿宋_GB2312"/>
          <w:b/>
          <w:sz w:val="28"/>
          <w:szCs w:val="28"/>
        </w:rPr>
      </w:pPr>
      <w:r>
        <w:rPr>
          <w:rFonts w:hint="eastAsia" w:eastAsia="仿宋_GB2312"/>
          <w:b/>
          <w:sz w:val="28"/>
          <w:szCs w:val="28"/>
        </w:rPr>
        <w:t>②委托方提供的《内蒙古自治区房地产权属登记簿》中未载明</w:t>
      </w:r>
      <w:r>
        <w:rPr>
          <w:rFonts w:hint="eastAsia" w:eastAsia="仿宋_GB2312"/>
          <w:b/>
          <w:sz w:val="28"/>
          <w:szCs w:val="28"/>
          <w:lang w:eastAsia="zh-CN"/>
        </w:rPr>
        <w:t>估价</w:t>
      </w:r>
      <w:r>
        <w:rPr>
          <w:rFonts w:hint="eastAsia" w:eastAsia="仿宋_GB2312"/>
          <w:b/>
          <w:sz w:val="28"/>
          <w:szCs w:val="28"/>
        </w:rPr>
        <w:t>对象的建成年代。根据估价人员现场勘查及问询，</w:t>
      </w:r>
      <w:r>
        <w:rPr>
          <w:rFonts w:hint="eastAsia" w:eastAsia="仿宋_GB2312"/>
          <w:b/>
          <w:sz w:val="28"/>
          <w:szCs w:val="28"/>
          <w:lang w:eastAsia="zh-CN"/>
        </w:rPr>
        <w:t>估价</w:t>
      </w:r>
      <w:r>
        <w:rPr>
          <w:rFonts w:hint="eastAsia" w:eastAsia="仿宋_GB2312"/>
          <w:b/>
          <w:sz w:val="28"/>
          <w:szCs w:val="28"/>
        </w:rPr>
        <w:t>对象建成年代为</w:t>
      </w:r>
      <w:r>
        <w:rPr>
          <w:rFonts w:hint="eastAsia" w:eastAsia="仿宋_GB2312"/>
          <w:b/>
          <w:sz w:val="28"/>
          <w:szCs w:val="28"/>
          <w:lang w:eastAsia="zh-CN"/>
        </w:rPr>
        <w:t>2010</w:t>
      </w:r>
      <w:r>
        <w:rPr>
          <w:rFonts w:hint="eastAsia" w:eastAsia="仿宋_GB2312"/>
          <w:b/>
          <w:sz w:val="28"/>
          <w:szCs w:val="28"/>
        </w:rPr>
        <w:t>年。故本次评估房屋建成年代以现场实地勘查为准。提醒报告使用者关注此点。</w:t>
      </w:r>
    </w:p>
    <w:p>
      <w:pPr>
        <w:autoSpaceDE w:val="0"/>
        <w:autoSpaceDN w:val="0"/>
        <w:adjustRightInd w:val="0"/>
        <w:spacing w:line="540" w:lineRule="exact"/>
        <w:ind w:firstLine="562" w:firstLineChars="200"/>
        <w:jc w:val="left"/>
        <w:rPr>
          <w:rFonts w:eastAsia="仿宋_GB2312"/>
          <w:b/>
          <w:sz w:val="28"/>
          <w:szCs w:val="28"/>
        </w:rPr>
      </w:pPr>
      <w:r>
        <w:rPr>
          <w:rFonts w:hint="eastAsia" w:eastAsia="仿宋_GB2312"/>
          <w:b/>
          <w:sz w:val="28"/>
          <w:szCs w:val="28"/>
        </w:rPr>
        <w:t>③估价人员对</w:t>
      </w:r>
      <w:r>
        <w:rPr>
          <w:rFonts w:hint="eastAsia" w:eastAsia="仿宋_GB2312"/>
          <w:b/>
          <w:sz w:val="28"/>
          <w:szCs w:val="28"/>
          <w:lang w:eastAsia="zh-CN"/>
        </w:rPr>
        <w:t>估价</w:t>
      </w:r>
      <w:r>
        <w:rPr>
          <w:rFonts w:hint="eastAsia" w:eastAsia="仿宋_GB2312"/>
          <w:b/>
          <w:sz w:val="28"/>
          <w:szCs w:val="28"/>
        </w:rPr>
        <w:t>对象欠缴税费、拖欠物业费、供暖费、水电气费等情况进行了必要的关注，但受到相关部门的限制，未能掌握相关的情况及金额。提醒报告使用者关注此点。</w:t>
      </w:r>
    </w:p>
    <w:p>
      <w:pPr>
        <w:autoSpaceDE w:val="0"/>
        <w:autoSpaceDN w:val="0"/>
        <w:adjustRightInd w:val="0"/>
        <w:spacing w:line="540" w:lineRule="exact"/>
        <w:ind w:firstLine="562" w:firstLineChars="200"/>
        <w:jc w:val="left"/>
        <w:rPr>
          <w:rFonts w:hint="eastAsia" w:eastAsia="仿宋_GB2312"/>
          <w:b/>
          <w:sz w:val="28"/>
          <w:szCs w:val="28"/>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4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④</w:t>
      </w:r>
      <w:r>
        <w:rPr>
          <w:rFonts w:eastAsia="仿宋_GB2312"/>
          <w:b/>
          <w:sz w:val="28"/>
          <w:szCs w:val="28"/>
        </w:rPr>
        <w:fldChar w:fldCharType="end"/>
      </w:r>
      <w:r>
        <w:rPr>
          <w:rFonts w:hint="eastAsia" w:eastAsia="仿宋_GB2312"/>
          <w:b/>
          <w:sz w:val="28"/>
          <w:szCs w:val="28"/>
        </w:rPr>
        <w:t>根据委托方提供的《巴彦淖尔市临河区人民法院执行裁定书》</w:t>
      </w:r>
      <w:r>
        <w:rPr>
          <w:rFonts w:hint="eastAsia" w:ascii="仿宋_GB2312" w:hAnsi="仿宋_GB2312" w:eastAsia="仿宋_GB2312" w:cs="仿宋_GB2312"/>
          <w:b/>
          <w:sz w:val="28"/>
          <w:szCs w:val="28"/>
        </w:rPr>
        <w:t>[</w:t>
      </w:r>
      <w:r>
        <w:rPr>
          <w:rFonts w:hint="eastAsia" w:eastAsia="仿宋_GB2312"/>
          <w:b/>
          <w:sz w:val="28"/>
          <w:szCs w:val="28"/>
          <w:lang w:eastAsia="zh-CN"/>
        </w:rPr>
        <w:t>（2019）内0802执1352号之一</w:t>
      </w:r>
      <w:r>
        <w:rPr>
          <w:rFonts w:hint="eastAsia" w:ascii="仿宋_GB2312" w:hAnsi="仿宋_GB2312" w:eastAsia="仿宋_GB2312" w:cs="仿宋_GB2312"/>
          <w:b/>
          <w:sz w:val="28"/>
          <w:szCs w:val="28"/>
        </w:rPr>
        <w:t>]</w:t>
      </w:r>
      <w:r>
        <w:rPr>
          <w:rFonts w:hint="eastAsia" w:eastAsia="仿宋_GB2312"/>
          <w:b/>
          <w:sz w:val="28"/>
          <w:szCs w:val="28"/>
        </w:rPr>
        <w:t>可知，</w:t>
      </w:r>
      <w:r>
        <w:rPr>
          <w:rFonts w:hint="eastAsia" w:eastAsia="仿宋_GB2312"/>
          <w:b/>
          <w:sz w:val="28"/>
          <w:szCs w:val="28"/>
          <w:lang w:eastAsia="zh-CN"/>
        </w:rPr>
        <w:t>估价</w:t>
      </w:r>
      <w:r>
        <w:rPr>
          <w:rFonts w:hint="eastAsia" w:eastAsia="仿宋_GB2312"/>
          <w:b/>
          <w:sz w:val="28"/>
          <w:szCs w:val="28"/>
        </w:rPr>
        <w:t>对象存在查封情况。根据《房地产估价规范》（</w:t>
      </w:r>
      <w:r>
        <w:rPr>
          <w:rFonts w:eastAsia="仿宋_GB2312"/>
          <w:b/>
          <w:sz w:val="28"/>
          <w:szCs w:val="28"/>
        </w:rPr>
        <w:t>GB/T50291-2015</w:t>
      </w:r>
      <w:r>
        <w:rPr>
          <w:rFonts w:hint="eastAsia" w:eastAsia="仿宋_GB2312"/>
          <w:b/>
          <w:sz w:val="28"/>
          <w:szCs w:val="28"/>
        </w:rPr>
        <w:t>）第</w:t>
      </w:r>
      <w:r>
        <w:rPr>
          <w:rFonts w:eastAsia="仿宋_GB2312"/>
          <w:b/>
          <w:sz w:val="28"/>
          <w:szCs w:val="28"/>
        </w:rPr>
        <w:t>5.4</w:t>
      </w:r>
      <w:r>
        <w:rPr>
          <w:rFonts w:hint="eastAsia" w:eastAsia="仿宋_GB2312"/>
          <w:b/>
          <w:sz w:val="28"/>
          <w:szCs w:val="28"/>
        </w:rPr>
        <w:t>条：</w:t>
      </w:r>
      <w:r>
        <w:rPr>
          <w:rFonts w:eastAsia="仿宋_GB2312"/>
          <w:b/>
          <w:sz w:val="28"/>
          <w:szCs w:val="28"/>
        </w:rPr>
        <w:t>“</w:t>
      </w:r>
      <w:r>
        <w:rPr>
          <w:rFonts w:hint="eastAsia" w:eastAsia="仿宋_GB2312"/>
          <w:b/>
          <w:sz w:val="28"/>
          <w:szCs w:val="28"/>
        </w:rPr>
        <w:t>房地产司法拍卖估价时，评估价值的影响因素应包括拍卖房地产的瑕疵，但不应包括拍卖房地产被查封及拍卖房地产上原有的担保物权和其他优先受偿权。</w:t>
      </w:r>
      <w:r>
        <w:rPr>
          <w:rFonts w:eastAsia="仿宋_GB2312"/>
          <w:b/>
          <w:sz w:val="28"/>
          <w:szCs w:val="28"/>
        </w:rPr>
        <w:t>”</w:t>
      </w:r>
      <w:r>
        <w:rPr>
          <w:rFonts w:hint="eastAsia" w:eastAsia="仿宋_GB2312"/>
          <w:b/>
          <w:sz w:val="28"/>
          <w:szCs w:val="28"/>
        </w:rPr>
        <w:t>故本次评估未考虑其查封情况。提醒报告使用者关注此点。</w:t>
      </w:r>
    </w:p>
    <w:p>
      <w:pPr>
        <w:autoSpaceDE w:val="0"/>
        <w:autoSpaceDN w:val="0"/>
        <w:adjustRightInd w:val="0"/>
        <w:spacing w:line="540" w:lineRule="exact"/>
        <w:ind w:firstLine="562" w:firstLineChars="200"/>
        <w:jc w:val="left"/>
        <w:rPr>
          <w:rFonts w:hint="eastAsia" w:eastAsia="仿宋_GB2312"/>
          <w:b/>
          <w:sz w:val="28"/>
          <w:szCs w:val="28"/>
        </w:rPr>
      </w:pPr>
      <w:r>
        <w:rPr>
          <w:rFonts w:hint="eastAsia" w:eastAsia="仿宋_GB2312"/>
          <w:b/>
          <w:sz w:val="28"/>
          <w:szCs w:val="28"/>
        </w:rPr>
        <w:t>⑤</w:t>
      </w:r>
      <w:r>
        <w:rPr>
          <w:rFonts w:hint="eastAsia" w:ascii="Times New Roman" w:hAnsi="Times New Roman" w:eastAsia="仿宋_GB2312" w:cs="Times New Roman"/>
          <w:b/>
          <w:sz w:val="28"/>
          <w:szCs w:val="28"/>
        </w:rPr>
        <w:t>根据委托方提供的</w:t>
      </w:r>
      <w:r>
        <w:rPr>
          <w:rFonts w:hint="eastAsia" w:eastAsia="仿宋_GB2312"/>
          <w:b/>
          <w:sz w:val="28"/>
          <w:szCs w:val="28"/>
        </w:rPr>
        <w:t>《内蒙古自治区房地产权属登记簿》</w:t>
      </w:r>
      <w:r>
        <w:rPr>
          <w:rFonts w:hint="eastAsia" w:eastAsia="仿宋_GB2312"/>
          <w:b/>
          <w:sz w:val="28"/>
          <w:szCs w:val="28"/>
          <w:lang w:eastAsia="zh-CN"/>
        </w:rPr>
        <w:t>可知，估价对象存在抵押情况。</w:t>
      </w:r>
      <w:r>
        <w:rPr>
          <w:rFonts w:hint="eastAsia" w:eastAsia="仿宋_GB2312"/>
          <w:b/>
          <w:sz w:val="28"/>
          <w:szCs w:val="28"/>
        </w:rPr>
        <w:t>《内蒙古自治区房地产权属登记簿》</w:t>
      </w:r>
      <w:r>
        <w:rPr>
          <w:rFonts w:hint="eastAsia" w:eastAsia="仿宋_GB2312"/>
          <w:b/>
          <w:sz w:val="28"/>
          <w:szCs w:val="28"/>
          <w:lang w:eastAsia="zh-CN"/>
        </w:rPr>
        <w:t>中抵押登记信息记载，抵押权人为杨利平，抵押人</w:t>
      </w:r>
      <w:r>
        <w:rPr>
          <w:rFonts w:hint="eastAsia" w:ascii="Times New Roman" w:hAnsi="Times New Roman" w:eastAsia="仿宋_GB2312" w:cs="Times New Roman"/>
          <w:b/>
          <w:sz w:val="28"/>
          <w:szCs w:val="28"/>
          <w:lang w:eastAsia="zh-CN"/>
        </w:rPr>
        <w:t>为闫子琴、刘培军，登记日期为</w:t>
      </w:r>
      <w:r>
        <w:rPr>
          <w:rFonts w:hint="eastAsia" w:ascii="Times New Roman" w:hAnsi="Times New Roman" w:eastAsia="仿宋_GB2312" w:cs="Times New Roman"/>
          <w:b/>
          <w:sz w:val="28"/>
          <w:szCs w:val="28"/>
          <w:lang w:val="en-US" w:eastAsia="zh-CN"/>
        </w:rPr>
        <w:t>2018年10月30日，他项权利证书号为102041804320，权利范围为22.34平方米，权利价值为80000元，约定期限为2018年10月30日至2019年1月29日。</w:t>
      </w:r>
      <w:r>
        <w:rPr>
          <w:rFonts w:hint="eastAsia" w:eastAsia="仿宋_GB2312"/>
          <w:b/>
          <w:sz w:val="28"/>
          <w:szCs w:val="28"/>
        </w:rPr>
        <w:t>根据《房地产估价规范》（</w:t>
      </w:r>
      <w:r>
        <w:rPr>
          <w:rFonts w:eastAsia="仿宋_GB2312"/>
          <w:b/>
          <w:sz w:val="28"/>
          <w:szCs w:val="28"/>
        </w:rPr>
        <w:t>GB/T50291-2015</w:t>
      </w:r>
      <w:r>
        <w:rPr>
          <w:rFonts w:hint="eastAsia" w:eastAsia="仿宋_GB2312"/>
          <w:b/>
          <w:sz w:val="28"/>
          <w:szCs w:val="28"/>
        </w:rPr>
        <w:t>）第</w:t>
      </w:r>
      <w:r>
        <w:rPr>
          <w:rFonts w:eastAsia="仿宋_GB2312"/>
          <w:b/>
          <w:sz w:val="28"/>
          <w:szCs w:val="28"/>
        </w:rPr>
        <w:t>5.4</w:t>
      </w:r>
      <w:r>
        <w:rPr>
          <w:rFonts w:hint="eastAsia" w:eastAsia="仿宋_GB2312"/>
          <w:b/>
          <w:sz w:val="28"/>
          <w:szCs w:val="28"/>
        </w:rPr>
        <w:t>条：</w:t>
      </w:r>
      <w:r>
        <w:rPr>
          <w:rFonts w:eastAsia="仿宋_GB2312"/>
          <w:b/>
          <w:sz w:val="28"/>
          <w:szCs w:val="28"/>
        </w:rPr>
        <w:t>“</w:t>
      </w:r>
      <w:r>
        <w:rPr>
          <w:rFonts w:hint="eastAsia" w:eastAsia="仿宋_GB2312"/>
          <w:b/>
          <w:sz w:val="28"/>
          <w:szCs w:val="28"/>
        </w:rPr>
        <w:t>房地产司法拍卖估价时，评估价值的影响因素应包括拍卖房地产的瑕疵，但不应包括拍卖房地产被查封及拍卖房地产上原有的担保物权和其他优先受偿权。</w:t>
      </w:r>
      <w:r>
        <w:rPr>
          <w:rFonts w:eastAsia="仿宋_GB2312"/>
          <w:b/>
          <w:sz w:val="28"/>
          <w:szCs w:val="28"/>
        </w:rPr>
        <w:t>”</w:t>
      </w:r>
      <w:r>
        <w:rPr>
          <w:rFonts w:hint="eastAsia" w:eastAsia="仿宋_GB2312"/>
          <w:b/>
          <w:sz w:val="28"/>
          <w:szCs w:val="28"/>
        </w:rPr>
        <w:t>故本次评估未考虑其</w:t>
      </w:r>
      <w:r>
        <w:rPr>
          <w:rFonts w:hint="eastAsia" w:eastAsia="仿宋_GB2312"/>
          <w:b/>
          <w:sz w:val="28"/>
          <w:szCs w:val="28"/>
          <w:lang w:eastAsia="zh-CN"/>
        </w:rPr>
        <w:t>抵押</w:t>
      </w:r>
      <w:r>
        <w:rPr>
          <w:rFonts w:hint="eastAsia" w:eastAsia="仿宋_GB2312"/>
          <w:b/>
          <w:sz w:val="28"/>
          <w:szCs w:val="28"/>
        </w:rPr>
        <w:t>情况。提醒报告使用者关注此点。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Chars="200" w:firstLine="281" w:firstLineChars="100"/>
        <w:textAlignment w:val="auto"/>
        <w:rPr>
          <w:rFonts w:hint="eastAsia" w:eastAsia="仿宋_GB2312" w:cs="Times New Roman"/>
          <w:b/>
          <w:sz w:val="28"/>
          <w:szCs w:val="28"/>
          <w:lang w:eastAsia="zh-CN"/>
        </w:rPr>
      </w:pPr>
      <w:r>
        <w:rPr>
          <w:rFonts w:hint="eastAsia" w:ascii="Times New Roman" w:hAnsi="Times New Roman" w:eastAsia="仿宋_GB2312" w:cs="Times New Roman"/>
          <w:b/>
          <w:sz w:val="28"/>
          <w:szCs w:val="28"/>
          <w:lang w:eastAsia="zh-CN"/>
        </w:rPr>
        <w:t>⑥</w:t>
      </w:r>
      <w:r>
        <w:rPr>
          <w:rFonts w:hint="eastAsia" w:ascii="Times New Roman" w:hAnsi="Times New Roman" w:eastAsia="仿宋_GB2312" w:cs="Times New Roman"/>
          <w:b/>
          <w:sz w:val="28"/>
          <w:szCs w:val="28"/>
        </w:rPr>
        <w:t>估价人员</w:t>
      </w:r>
      <w:r>
        <w:rPr>
          <w:rFonts w:hint="eastAsia" w:eastAsia="仿宋_GB2312" w:cs="Times New Roman"/>
          <w:b/>
          <w:sz w:val="28"/>
          <w:szCs w:val="28"/>
          <w:lang w:eastAsia="zh-CN"/>
        </w:rPr>
        <w:t>于</w:t>
      </w:r>
      <w:r>
        <w:rPr>
          <w:rFonts w:hint="eastAsia" w:ascii="仿宋_GB2312" w:hAnsi="仿宋" w:eastAsia="仿宋_GB2312"/>
          <w:b/>
          <w:sz w:val="28"/>
          <w:szCs w:val="28"/>
          <w:lang w:eastAsia="zh-CN"/>
        </w:rPr>
        <w:t>1</w:t>
      </w:r>
      <w:r>
        <w:rPr>
          <w:rFonts w:hint="eastAsia" w:ascii="仿宋_GB2312" w:hAnsi="仿宋" w:eastAsia="仿宋_GB2312"/>
          <w:b/>
          <w:sz w:val="28"/>
          <w:szCs w:val="28"/>
          <w:lang w:val="en-US" w:eastAsia="zh-CN"/>
        </w:rPr>
        <w:t>1</w:t>
      </w:r>
      <w:r>
        <w:rPr>
          <w:rFonts w:hint="eastAsia" w:ascii="仿宋_GB2312" w:hAnsi="仿宋" w:eastAsia="仿宋_GB2312"/>
          <w:b/>
          <w:sz w:val="28"/>
          <w:szCs w:val="28"/>
          <w:lang w:eastAsia="zh-CN"/>
        </w:rPr>
        <w:t>月</w:t>
      </w:r>
      <w:r>
        <w:rPr>
          <w:rFonts w:hint="eastAsia" w:ascii="仿宋_GB2312" w:hAnsi="仿宋" w:eastAsia="仿宋_GB2312"/>
          <w:b/>
          <w:sz w:val="28"/>
          <w:szCs w:val="28"/>
          <w:lang w:val="en-US" w:eastAsia="zh-CN"/>
        </w:rPr>
        <w:t>13</w:t>
      </w:r>
      <w:r>
        <w:rPr>
          <w:rFonts w:hint="eastAsia" w:ascii="仿宋_GB2312" w:hAnsi="仿宋" w:eastAsia="仿宋_GB2312"/>
          <w:b/>
          <w:sz w:val="28"/>
          <w:szCs w:val="28"/>
          <w:lang w:eastAsia="zh-CN"/>
        </w:rPr>
        <w:t>日</w:t>
      </w:r>
      <w:r>
        <w:rPr>
          <w:rFonts w:hint="eastAsia" w:eastAsia="仿宋_GB2312" w:cs="Times New Roman"/>
          <w:b/>
          <w:sz w:val="28"/>
          <w:szCs w:val="28"/>
          <w:lang w:val="en-US" w:eastAsia="zh-CN"/>
        </w:rPr>
        <w:t>对估价对象进行</w:t>
      </w:r>
      <w:r>
        <w:rPr>
          <w:rFonts w:hint="eastAsia" w:ascii="Times New Roman" w:hAnsi="Times New Roman" w:eastAsia="仿宋_GB2312" w:cs="Times New Roman"/>
          <w:b/>
          <w:sz w:val="28"/>
          <w:szCs w:val="28"/>
        </w:rPr>
        <w:t>现场勘查时</w:t>
      </w:r>
      <w:r>
        <w:rPr>
          <w:rFonts w:hint="eastAsia" w:eastAsia="仿宋_GB2312" w:cs="Times New Roman"/>
          <w:b/>
          <w:sz w:val="28"/>
          <w:szCs w:val="28"/>
          <w:lang w:eastAsia="zh-CN"/>
        </w:rPr>
        <w:t>，因被申请人</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textAlignment w:val="auto"/>
        <w:rPr>
          <w:rFonts w:hint="eastAsia" w:ascii="Times New Roman" w:hAnsi="Times New Roman" w:eastAsia="仿宋_GB2312" w:cs="Times New Roman"/>
          <w:b/>
          <w:sz w:val="28"/>
          <w:szCs w:val="28"/>
        </w:rPr>
      </w:pPr>
      <w:r>
        <w:rPr>
          <w:rFonts w:hint="eastAsia" w:eastAsia="仿宋_GB2312" w:cs="Times New Roman"/>
          <w:b/>
          <w:sz w:val="28"/>
          <w:szCs w:val="28"/>
          <w:lang w:eastAsia="zh-CN"/>
        </w:rPr>
        <w:t>未到现场</w:t>
      </w:r>
      <w:r>
        <w:rPr>
          <w:rFonts w:hint="eastAsia" w:ascii="Times New Roman" w:hAnsi="Times New Roman" w:eastAsia="仿宋_GB2312" w:cs="Times New Roman"/>
          <w:b/>
          <w:sz w:val="28"/>
          <w:szCs w:val="28"/>
        </w:rPr>
        <w:t>估价人员未能入户，</w:t>
      </w:r>
      <w:r>
        <w:rPr>
          <w:rFonts w:hint="eastAsia" w:ascii="仿宋_GB2312" w:hAnsi="仿宋" w:eastAsia="仿宋_GB2312"/>
          <w:b/>
          <w:sz w:val="28"/>
          <w:szCs w:val="28"/>
        </w:rPr>
        <w:t>估价对象</w:t>
      </w:r>
      <w:r>
        <w:rPr>
          <w:rFonts w:hint="eastAsia" w:ascii="仿宋_GB2312" w:hAnsi="仿宋" w:eastAsia="仿宋_GB2312"/>
          <w:b/>
          <w:sz w:val="28"/>
          <w:szCs w:val="28"/>
          <w:lang w:eastAsia="zh-CN"/>
        </w:rPr>
        <w:t>内部</w:t>
      </w:r>
      <w:r>
        <w:rPr>
          <w:rFonts w:hint="eastAsia" w:ascii="仿宋_GB2312" w:hAnsi="仿宋" w:eastAsia="仿宋_GB2312"/>
          <w:b/>
          <w:sz w:val="28"/>
          <w:szCs w:val="28"/>
        </w:rPr>
        <w:t>状况不确定</w:t>
      </w:r>
      <w:r>
        <w:rPr>
          <w:rFonts w:hint="eastAsia" w:ascii="仿宋_GB2312" w:hAnsi="仿宋" w:eastAsia="仿宋_GB2312"/>
          <w:b/>
          <w:sz w:val="28"/>
          <w:szCs w:val="28"/>
          <w:lang w:eastAsia="zh-CN"/>
        </w:rPr>
        <w:t>，</w:t>
      </w:r>
      <w:r>
        <w:rPr>
          <w:rFonts w:hint="eastAsia" w:ascii="Times New Roman" w:hAnsi="Times New Roman" w:eastAsia="仿宋_GB2312" w:cs="Times New Roman"/>
          <w:b/>
          <w:sz w:val="28"/>
          <w:szCs w:val="28"/>
        </w:rPr>
        <w:t>经</w:t>
      </w:r>
      <w:r>
        <w:rPr>
          <w:rFonts w:hint="eastAsia" w:eastAsia="仿宋_GB2312" w:cs="Times New Roman"/>
          <w:b/>
          <w:sz w:val="28"/>
          <w:szCs w:val="28"/>
          <w:lang w:eastAsia="zh-CN"/>
        </w:rPr>
        <w:t>查勘现场申请人与被申请人通电话确认</w:t>
      </w:r>
      <w:r>
        <w:rPr>
          <w:rFonts w:hint="eastAsia" w:ascii="仿宋_GB2312" w:hAnsi="仿宋" w:eastAsia="仿宋_GB2312"/>
          <w:b/>
          <w:sz w:val="28"/>
          <w:szCs w:val="28"/>
        </w:rPr>
        <w:t>估价对象</w:t>
      </w:r>
      <w:r>
        <w:rPr>
          <w:rFonts w:hint="eastAsia" w:ascii="仿宋_GB2312" w:hAnsi="仿宋" w:eastAsia="仿宋_GB2312"/>
          <w:b/>
          <w:sz w:val="28"/>
          <w:szCs w:val="28"/>
          <w:lang w:eastAsia="zh-CN"/>
        </w:rPr>
        <w:t>内部状况后</w:t>
      </w:r>
      <w:r>
        <w:rPr>
          <w:rFonts w:hint="eastAsia" w:ascii="Times New Roman" w:hAnsi="Times New Roman" w:eastAsia="仿宋_GB2312" w:cs="Times New Roman"/>
          <w:b/>
          <w:sz w:val="28"/>
          <w:szCs w:val="28"/>
        </w:rPr>
        <w:t>，此次评估设定估价对象装修为简单装修</w:t>
      </w:r>
      <w:r>
        <w:rPr>
          <w:rFonts w:hint="eastAsia" w:eastAsia="仿宋_GB2312" w:cs="Times New Roman"/>
          <w:b/>
          <w:sz w:val="28"/>
          <w:szCs w:val="28"/>
          <w:lang w:eastAsia="zh-CN"/>
        </w:rPr>
        <w:t>、</w:t>
      </w:r>
      <w:r>
        <w:rPr>
          <w:rFonts w:hint="eastAsia" w:ascii="仿宋_GB2312" w:hAnsi="仿宋" w:eastAsia="仿宋_GB2312"/>
          <w:b/>
          <w:sz w:val="28"/>
          <w:szCs w:val="28"/>
          <w:lang w:eastAsia="zh-CN"/>
        </w:rPr>
        <w:t>空间布局为合理、</w:t>
      </w:r>
      <w:r>
        <w:rPr>
          <w:rFonts w:hint="eastAsia" w:ascii="仿宋_GB2312" w:hAnsi="仿宋" w:eastAsia="仿宋_GB2312"/>
          <w:b/>
          <w:sz w:val="28"/>
          <w:szCs w:val="28"/>
        </w:rPr>
        <w:t>维护状况</w:t>
      </w:r>
      <w:r>
        <w:rPr>
          <w:rFonts w:hint="eastAsia" w:ascii="仿宋_GB2312" w:hAnsi="仿宋" w:eastAsia="仿宋_GB2312"/>
          <w:b/>
          <w:sz w:val="28"/>
          <w:szCs w:val="28"/>
          <w:lang w:eastAsia="zh-CN"/>
        </w:rPr>
        <w:t>为</w:t>
      </w:r>
      <w:r>
        <w:rPr>
          <w:rFonts w:hint="eastAsia" w:ascii="仿宋_GB2312" w:hAnsi="仿宋" w:eastAsia="仿宋_GB2312"/>
          <w:b/>
          <w:sz w:val="28"/>
          <w:szCs w:val="28"/>
        </w:rPr>
        <w:t>良好</w:t>
      </w:r>
      <w:r>
        <w:rPr>
          <w:rFonts w:hint="eastAsia" w:ascii="仿宋_GB2312" w:hAnsi="仿宋" w:eastAsia="仿宋_GB2312"/>
          <w:b/>
          <w:sz w:val="28"/>
          <w:szCs w:val="28"/>
          <w:lang w:eastAsia="zh-CN"/>
        </w:rPr>
        <w:t>，</w:t>
      </w:r>
      <w:r>
        <w:rPr>
          <w:rFonts w:hint="eastAsia" w:ascii="Times New Roman" w:hAnsi="Times New Roman" w:eastAsia="仿宋_GB2312" w:cs="Times New Roman"/>
          <w:b/>
          <w:sz w:val="28"/>
          <w:szCs w:val="28"/>
        </w:rPr>
        <w:t>如与实际不符，评估公司及估价人员不承担相应责任，估价人员需重新入户勘查。提醒报告使用者关注此点。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Chars="200" w:firstLine="281" w:firstLineChars="100"/>
        <w:textAlignment w:val="auto"/>
        <w:rPr>
          <w:rFonts w:hint="eastAsia" w:ascii="仿宋_GB2312" w:hAnsi="仿宋" w:eastAsia="仿宋_GB2312"/>
          <w:b/>
          <w:sz w:val="28"/>
          <w:szCs w:val="28"/>
        </w:rPr>
      </w:pPr>
      <w:r>
        <w:rPr>
          <w:rFonts w:hint="eastAsia" w:eastAsia="仿宋_GB2312"/>
          <w:b/>
          <w:sz w:val="28"/>
          <w:szCs w:val="28"/>
          <w:lang w:eastAsia="zh-CN"/>
        </w:rPr>
        <w:t>⑦</w:t>
      </w:r>
      <w:r>
        <w:rPr>
          <w:rFonts w:hint="eastAsia" w:ascii="仿宋_GB2312" w:hAnsi="仿宋" w:eastAsia="仿宋_GB2312"/>
          <w:b/>
          <w:sz w:val="28"/>
          <w:szCs w:val="28"/>
          <w:lang w:eastAsia="zh-CN"/>
        </w:rPr>
        <w:t>估价人员于1</w:t>
      </w:r>
      <w:r>
        <w:rPr>
          <w:rFonts w:hint="eastAsia" w:ascii="仿宋_GB2312" w:hAnsi="仿宋" w:eastAsia="仿宋_GB2312"/>
          <w:b/>
          <w:sz w:val="28"/>
          <w:szCs w:val="28"/>
          <w:lang w:val="en-US" w:eastAsia="zh-CN"/>
        </w:rPr>
        <w:t>1</w:t>
      </w:r>
      <w:r>
        <w:rPr>
          <w:rFonts w:hint="eastAsia" w:ascii="仿宋_GB2312" w:hAnsi="仿宋" w:eastAsia="仿宋_GB2312"/>
          <w:b/>
          <w:sz w:val="28"/>
          <w:szCs w:val="28"/>
          <w:lang w:eastAsia="zh-CN"/>
        </w:rPr>
        <w:t>月</w:t>
      </w:r>
      <w:r>
        <w:rPr>
          <w:rFonts w:hint="eastAsia" w:ascii="仿宋_GB2312" w:hAnsi="仿宋" w:eastAsia="仿宋_GB2312"/>
          <w:b/>
          <w:sz w:val="28"/>
          <w:szCs w:val="28"/>
          <w:lang w:val="en-US" w:eastAsia="zh-CN"/>
        </w:rPr>
        <w:t>13</w:t>
      </w:r>
      <w:r>
        <w:rPr>
          <w:rFonts w:hint="eastAsia" w:ascii="仿宋_GB2312" w:hAnsi="仿宋" w:eastAsia="仿宋_GB2312"/>
          <w:b/>
          <w:sz w:val="28"/>
          <w:szCs w:val="28"/>
          <w:lang w:eastAsia="zh-CN"/>
        </w:rPr>
        <w:t>日对估价对象进行现场勘查时未能入户</w:t>
      </w:r>
      <w:r>
        <w:rPr>
          <w:rFonts w:hint="eastAsia" w:ascii="仿宋_GB2312" w:hAnsi="仿宋" w:eastAsia="仿宋_GB2312"/>
          <w:b/>
          <w:sz w:val="28"/>
          <w:szCs w:val="28"/>
        </w:rPr>
        <w:t>，根</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textAlignment w:val="auto"/>
        <w:rPr>
          <w:rFonts w:ascii="仿宋_GB2312" w:hAnsi="仿宋" w:eastAsia="仿宋_GB2312"/>
          <w:b/>
          <w:sz w:val="28"/>
          <w:szCs w:val="28"/>
        </w:rPr>
      </w:pPr>
      <w:r>
        <w:rPr>
          <w:rFonts w:hint="eastAsia" w:ascii="仿宋_GB2312" w:hAnsi="仿宋" w:eastAsia="仿宋_GB2312"/>
          <w:b/>
          <w:sz w:val="28"/>
          <w:szCs w:val="28"/>
        </w:rPr>
        <w:t>据估价对象所在楼层其他房屋室内层高为2.</w:t>
      </w:r>
      <w:r>
        <w:rPr>
          <w:rFonts w:hint="eastAsia" w:ascii="仿宋_GB2312" w:hAnsi="仿宋" w:eastAsia="仿宋_GB2312"/>
          <w:b/>
          <w:sz w:val="28"/>
          <w:szCs w:val="28"/>
          <w:lang w:val="en-US" w:eastAsia="zh-CN"/>
        </w:rPr>
        <w:t>6</w:t>
      </w:r>
      <w:r>
        <w:rPr>
          <w:rFonts w:hint="eastAsia" w:ascii="仿宋_GB2312" w:hAnsi="仿宋" w:eastAsia="仿宋_GB2312"/>
          <w:b/>
          <w:sz w:val="28"/>
          <w:szCs w:val="28"/>
        </w:rPr>
        <w:t>米，如与实际不符，评估公司及估价人员不承担相应责任，估价人员需重新入户勘查。</w:t>
      </w:r>
      <w:r>
        <w:rPr>
          <w:rFonts w:hint="eastAsia" w:eastAsia="仿宋_GB2312"/>
          <w:b/>
          <w:sz w:val="28"/>
          <w:szCs w:val="28"/>
        </w:rPr>
        <w:t>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562" w:firstLineChars="200"/>
        <w:textAlignment w:val="auto"/>
        <w:rPr>
          <w:rFonts w:hint="eastAsia" w:hAnsi="仿宋_GB2312" w:eastAsia="仿宋_GB2312"/>
          <w:b/>
          <w:bCs/>
          <w:color w:val="000000" w:themeColor="text1"/>
          <w:sz w:val="28"/>
          <w:szCs w:val="28"/>
          <w:lang w:eastAsia="zh-CN"/>
          <w14:textFill>
            <w14:solidFill>
              <w14:schemeClr w14:val="tx1"/>
            </w14:solidFill>
          </w14:textFill>
        </w:rPr>
      </w:pPr>
      <w:r>
        <w:rPr>
          <w:rFonts w:hint="eastAsia" w:ascii="仿宋_GB2312" w:hAnsi="仿宋" w:eastAsia="仿宋_GB2312"/>
          <w:b/>
          <w:sz w:val="28"/>
          <w:szCs w:val="28"/>
          <w:lang w:eastAsia="zh-CN"/>
        </w:rPr>
        <w:t>⑧</w:t>
      </w:r>
      <w:r>
        <w:rPr>
          <w:rFonts w:hint="eastAsia" w:hAnsi="仿宋_GB2312" w:eastAsia="仿宋_GB2312"/>
          <w:b/>
          <w:bCs/>
          <w:color w:val="000000" w:themeColor="text1"/>
          <w:sz w:val="28"/>
          <w:szCs w:val="28"/>
          <w14:textFill>
            <w14:solidFill>
              <w14:schemeClr w14:val="tx1"/>
            </w14:solidFill>
          </w14:textFill>
        </w:rPr>
        <w:t>委托方提供</w:t>
      </w:r>
      <w:r>
        <w:rPr>
          <w:rFonts w:hint="eastAsia" w:hAnsi="仿宋_GB2312" w:eastAsia="仿宋_GB2312"/>
          <w:b/>
          <w:bCs/>
          <w:color w:val="000000" w:themeColor="text1"/>
          <w:sz w:val="28"/>
          <w:szCs w:val="28"/>
          <w:lang w:eastAsia="zh-CN"/>
          <w14:textFill>
            <w14:solidFill>
              <w14:schemeClr w14:val="tx1"/>
            </w14:solidFill>
          </w14:textFill>
        </w:rPr>
        <w:t>的</w:t>
      </w:r>
      <w:r>
        <w:rPr>
          <w:rFonts w:hint="eastAsia" w:hAnsi="仿宋_GB2312" w:eastAsia="仿宋_GB2312"/>
          <w:b/>
          <w:bCs/>
          <w:color w:val="000000" w:themeColor="text1"/>
          <w:sz w:val="28"/>
          <w:szCs w:val="28"/>
          <w14:textFill>
            <w14:solidFill>
              <w14:schemeClr w14:val="tx1"/>
            </w14:solidFill>
          </w14:textFill>
        </w:rPr>
        <w:t>《内蒙古自治区房地产权属登记簿》</w:t>
      </w:r>
      <w:r>
        <w:rPr>
          <w:rFonts w:hint="eastAsia" w:hAnsi="仿宋_GB2312" w:eastAsia="仿宋_GB2312"/>
          <w:b/>
          <w:bCs/>
          <w:color w:val="000000" w:themeColor="text1"/>
          <w:sz w:val="28"/>
          <w:szCs w:val="28"/>
          <w:lang w:eastAsia="zh-CN"/>
          <w14:textFill>
            <w14:solidFill>
              <w14:schemeClr w14:val="tx1"/>
            </w14:solidFill>
          </w14:textFill>
        </w:rPr>
        <w:t>中</w:t>
      </w:r>
      <w:r>
        <w:rPr>
          <w:rFonts w:hint="eastAsia" w:hAnsi="仿宋_GB2312" w:eastAsia="仿宋_GB2312"/>
          <w:b/>
          <w:bCs/>
          <w:color w:val="000000" w:themeColor="text1"/>
          <w:sz w:val="28"/>
          <w:szCs w:val="28"/>
          <w14:textFill>
            <w14:solidFill>
              <w14:schemeClr w14:val="tx1"/>
            </w14:solidFill>
          </w14:textFill>
        </w:rPr>
        <w:t>未载明</w:t>
      </w:r>
      <w:r>
        <w:rPr>
          <w:rFonts w:hint="eastAsia" w:hAnsi="仿宋_GB2312" w:eastAsia="仿宋_GB2312"/>
          <w:b/>
          <w:bCs/>
          <w:color w:val="000000" w:themeColor="text1"/>
          <w:sz w:val="28"/>
          <w:szCs w:val="28"/>
          <w:lang w:eastAsia="zh-CN"/>
          <w14:textFill>
            <w14:solidFill>
              <w14:schemeClr w14:val="tx1"/>
            </w14:solidFill>
          </w14:textFill>
        </w:rPr>
        <w:t>估价</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textAlignment w:val="auto"/>
        <w:rPr>
          <w:rFonts w:eastAsia="仿宋_GB2312"/>
          <w:b/>
          <w:bCs/>
          <w:color w:val="000000" w:themeColor="text1"/>
          <w:sz w:val="28"/>
          <w:szCs w:val="28"/>
          <w14:textFill>
            <w14:solidFill>
              <w14:schemeClr w14:val="tx1"/>
            </w14:solidFill>
          </w14:textFill>
        </w:rPr>
      </w:pPr>
      <w:r>
        <w:rPr>
          <w:rFonts w:hint="eastAsia" w:hAnsi="仿宋_GB2312" w:eastAsia="仿宋_GB2312"/>
          <w:b/>
          <w:bCs/>
          <w:color w:val="000000" w:themeColor="text1"/>
          <w:sz w:val="28"/>
          <w:szCs w:val="28"/>
          <w14:textFill>
            <w14:solidFill>
              <w14:schemeClr w14:val="tx1"/>
            </w14:solidFill>
          </w14:textFill>
        </w:rPr>
        <w:t>对象的</w:t>
      </w:r>
      <w:r>
        <w:rPr>
          <w:rFonts w:hint="eastAsia" w:hAnsi="仿宋_GB2312" w:eastAsia="仿宋_GB2312"/>
          <w:b/>
          <w:bCs/>
          <w:color w:val="000000" w:themeColor="text1"/>
          <w:sz w:val="28"/>
          <w:szCs w:val="28"/>
          <w:lang w:eastAsia="zh-CN"/>
          <w14:textFill>
            <w14:solidFill>
              <w14:schemeClr w14:val="tx1"/>
            </w14:solidFill>
          </w14:textFill>
        </w:rPr>
        <w:t>使用权类型</w:t>
      </w:r>
      <w:r>
        <w:rPr>
          <w:rFonts w:hint="eastAsia" w:hAnsi="仿宋_GB2312" w:eastAsia="仿宋_GB2312"/>
          <w:b/>
          <w:bCs/>
          <w:color w:val="000000" w:themeColor="text1"/>
          <w:sz w:val="28"/>
          <w:szCs w:val="28"/>
          <w14:textFill>
            <w14:solidFill>
              <w14:schemeClr w14:val="tx1"/>
            </w14:solidFill>
          </w14:textFill>
        </w:rPr>
        <w:t>，此次设定土地使用权类型为出让，且假设本次评估结果成立前提条件之一为</w:t>
      </w:r>
      <w:r>
        <w:rPr>
          <w:rFonts w:hint="eastAsia" w:hAnsi="仿宋_GB2312" w:eastAsia="仿宋_GB2312"/>
          <w:b/>
          <w:bCs/>
          <w:color w:val="000000" w:themeColor="text1"/>
          <w:sz w:val="28"/>
          <w:szCs w:val="28"/>
          <w:lang w:eastAsia="zh-CN"/>
          <w14:textFill>
            <w14:solidFill>
              <w14:schemeClr w14:val="tx1"/>
            </w14:solidFill>
          </w14:textFill>
        </w:rPr>
        <w:t>估价</w:t>
      </w:r>
      <w:r>
        <w:rPr>
          <w:rFonts w:hint="eastAsia" w:hAnsi="仿宋_GB2312" w:eastAsia="仿宋_GB2312"/>
          <w:b/>
          <w:bCs/>
          <w:color w:val="000000" w:themeColor="text1"/>
          <w:sz w:val="28"/>
          <w:szCs w:val="28"/>
          <w14:textFill>
            <w14:solidFill>
              <w14:schemeClr w14:val="tx1"/>
            </w14:solidFill>
          </w14:textFill>
        </w:rPr>
        <w:t>对象的土地权属无争议，并且委托方可享受按其建筑面积所应分摊土地资产的使用权所带来的收益。提醒委托人在使用报告时关注此点。</w:t>
      </w:r>
    </w:p>
    <w:p>
      <w:pPr>
        <w:autoSpaceDE w:val="0"/>
        <w:autoSpaceDN w:val="0"/>
        <w:adjustRightInd w:val="0"/>
        <w:spacing w:line="540" w:lineRule="exact"/>
        <w:ind w:firstLine="562" w:firstLineChars="200"/>
        <w:jc w:val="left"/>
        <w:rPr>
          <w:rFonts w:hint="eastAsia" w:ascii="仿宋_GB2312" w:hAnsi="仿宋" w:eastAsia="仿宋_GB2312"/>
          <w:sz w:val="28"/>
          <w:szCs w:val="28"/>
          <w:lang w:eastAsia="zh-CN"/>
        </w:rPr>
      </w:pPr>
      <w:r>
        <w:rPr>
          <w:rFonts w:hint="eastAsia" w:eastAsia="仿宋_GB2312"/>
          <w:b/>
          <w:sz w:val="28"/>
          <w:szCs w:val="28"/>
          <w:lang w:eastAsia="zh-CN"/>
        </w:rPr>
        <w:t>⑨</w:t>
      </w:r>
      <w:r>
        <w:rPr>
          <w:rFonts w:hint="eastAsia" w:eastAsia="仿宋_GB2312"/>
          <w:b/>
          <w:sz w:val="28"/>
          <w:szCs w:val="28"/>
        </w:rPr>
        <w:t>本次估价结果受价值时点的限制，且本估价报告使用期限自估价报告出具之日二○一九年</w:t>
      </w:r>
      <w:r>
        <w:rPr>
          <w:rFonts w:hint="eastAsia" w:eastAsia="仿宋_GB2312"/>
          <w:b/>
          <w:sz w:val="28"/>
          <w:szCs w:val="28"/>
          <w:lang w:eastAsia="zh-CN"/>
        </w:rPr>
        <w:t>十一月二十五日</w:t>
      </w:r>
      <w:r>
        <w:rPr>
          <w:rFonts w:hint="eastAsia" w:eastAsia="仿宋_GB2312"/>
          <w:b/>
          <w:sz w:val="28"/>
          <w:szCs w:val="28"/>
        </w:rPr>
        <w:t>起为壹年。提醒委托人在使用报告时关注此点</w:t>
      </w:r>
      <w:r>
        <w:rPr>
          <w:rFonts w:hint="eastAsia" w:eastAsia="仿宋_GB2312"/>
          <w:b/>
          <w:sz w:val="28"/>
          <w:szCs w:val="28"/>
          <w:lang w:eastAsia="zh-CN"/>
        </w:rPr>
        <w:t>。</w:t>
      </w:r>
    </w:p>
    <w:p>
      <w:pPr>
        <w:adjustRightInd w:val="0"/>
        <w:snapToGrid w:val="0"/>
        <w:spacing w:line="560" w:lineRule="exact"/>
        <w:ind w:firstLine="3612" w:firstLineChars="1290"/>
        <w:rPr>
          <w:rFonts w:ascii="仿宋_GB2312" w:hAnsi="仿宋" w:eastAsia="仿宋_GB2312"/>
          <w:sz w:val="28"/>
          <w:szCs w:val="28"/>
        </w:rPr>
      </w:pPr>
      <w:r>
        <w:rPr>
          <w:rFonts w:hint="eastAsia" w:ascii="仿宋_GB2312" w:hAnsi="仿宋" w:eastAsia="仿宋_GB2312"/>
          <w:sz w:val="28"/>
          <w:szCs w:val="28"/>
        </w:rPr>
        <w:t>内蒙古科瑞房地产土地资产评估有限公司</w:t>
      </w:r>
    </w:p>
    <w:p>
      <w:pPr>
        <w:adjustRightInd w:val="0"/>
        <w:snapToGrid w:val="0"/>
        <w:spacing w:line="560" w:lineRule="exact"/>
        <w:ind w:firstLine="5040" w:firstLineChars="1800"/>
        <w:rPr>
          <w:rFonts w:ascii="仿宋_GB2312" w:hAnsi="仿宋" w:eastAsia="仿宋_GB2312"/>
          <w:sz w:val="28"/>
          <w:szCs w:val="28"/>
        </w:rPr>
      </w:pPr>
      <w:r>
        <w:rPr>
          <w:rFonts w:hint="eastAsia" w:ascii="仿宋_GB2312" w:hAnsi="仿宋" w:eastAsia="仿宋_GB2312"/>
          <w:sz w:val="28"/>
          <w:szCs w:val="28"/>
        </w:rPr>
        <w:t>法定代表人：</w:t>
      </w: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r>
        <w:rPr>
          <w:rFonts w:hint="eastAsia" w:ascii="仿宋_GB2312" w:hAnsi="仿宋" w:eastAsia="仿宋_GB2312"/>
          <w:sz w:val="28"/>
          <w:szCs w:val="28"/>
        </w:rPr>
        <w:t>二○一九年</w:t>
      </w:r>
      <w:r>
        <w:rPr>
          <w:rFonts w:hint="eastAsia" w:ascii="仿宋_GB2312" w:hAnsi="仿宋" w:eastAsia="仿宋_GB2312"/>
          <w:sz w:val="28"/>
          <w:szCs w:val="28"/>
          <w:lang w:eastAsia="zh-CN"/>
        </w:rPr>
        <w:t>十一月二十五日</w:t>
      </w: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p>
    <w:p>
      <w:pPr>
        <w:adjustRightInd w:val="0"/>
        <w:snapToGrid w:val="0"/>
        <w:spacing w:line="560" w:lineRule="exact"/>
        <w:ind w:right="260" w:firstLine="4620" w:firstLineChars="1650"/>
        <w:jc w:val="left"/>
        <w:rPr>
          <w:rFonts w:hint="eastAsia" w:ascii="仿宋_GB2312" w:hAnsi="仿宋" w:eastAsia="仿宋_GB2312"/>
          <w:sz w:val="28"/>
          <w:szCs w:val="28"/>
          <w:lang w:eastAsia="zh-CN"/>
        </w:rPr>
      </w:pPr>
    </w:p>
    <w:p>
      <w:pPr>
        <w:adjustRightInd w:val="0"/>
        <w:snapToGrid w:val="0"/>
        <w:spacing w:line="560" w:lineRule="exact"/>
        <w:ind w:right="260"/>
        <w:jc w:val="left"/>
        <w:rPr>
          <w:rFonts w:hint="eastAsia" w:ascii="仿宋_GB2312" w:hAnsi="仿宋" w:eastAsia="仿宋_GB2312"/>
          <w:sz w:val="28"/>
          <w:szCs w:val="28"/>
          <w:lang w:eastAsia="zh-CN"/>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r>
        <w:rPr>
          <w:rFonts w:eastAsia="仿宋_GB2312"/>
          <w:b/>
          <w:snapToGrid w:val="0"/>
          <w:kern w:val="0"/>
          <w:sz w:val="28"/>
          <w:szCs w:val="28"/>
        </w:rPr>
        <w:t>目  录</w:t>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"1-3" \h \z \u </w:instrText>
      </w:r>
      <w:r>
        <w:rPr>
          <w:rFonts w:ascii="Times New Roman" w:hAnsi="Times New Roman" w:eastAsia="仿宋_GB2312"/>
          <w:sz w:val="28"/>
          <w:szCs w:val="28"/>
        </w:rPr>
        <w:fldChar w:fldCharType="separate"/>
      </w:r>
      <w:r>
        <w:fldChar w:fldCharType="begin"/>
      </w:r>
      <w:r>
        <w:instrText xml:space="preserve"> HYPERLINK \l "_Toc5721398" </w:instrText>
      </w:r>
      <w:r>
        <w:fldChar w:fldCharType="separate"/>
      </w:r>
      <w:r>
        <w:rPr>
          <w:rStyle w:val="49"/>
          <w:rFonts w:hint="eastAsia" w:ascii="仿宋_GB2312" w:eastAsia="仿宋_GB2312"/>
          <w:color w:val="auto"/>
          <w:sz w:val="28"/>
          <w:szCs w:val="28"/>
        </w:rPr>
        <w:t>致估价委托人函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_Toc5721398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"_Toc5721399" </w:instrText>
      </w:r>
      <w:r>
        <w:fldChar w:fldCharType="separate"/>
      </w:r>
      <w:r>
        <w:rPr>
          <w:rStyle w:val="49"/>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_Toc5721399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"_Toc5721400" </w:instrText>
      </w:r>
      <w:r>
        <w:fldChar w:fldCharType="separate"/>
      </w:r>
      <w:r>
        <w:rPr>
          <w:rStyle w:val="49"/>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_Toc5721400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"_Toc5721401" </w:instrText>
      </w:r>
      <w:r>
        <w:fldChar w:fldCharType="separate"/>
      </w:r>
      <w:r>
        <w:rPr>
          <w:rStyle w:val="49"/>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_Toc5721401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"_Toc5721402" </w:instrText>
      </w:r>
      <w:r>
        <w:fldChar w:fldCharType="separate"/>
      </w:r>
      <w:r>
        <w:rPr>
          <w:rStyle w:val="49"/>
          <w:rFonts w:hint="eastAsia" w:ascii="仿宋_GB2312" w:hAnsi="仿宋"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_Toc5721402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"_Toc5721403" </w:instrText>
      </w:r>
      <w:r>
        <w:fldChar w:fldCharType="separate"/>
      </w:r>
      <w:r>
        <w:rPr>
          <w:rStyle w:val="49"/>
          <w:rFonts w:hint="eastAsia" w:ascii="仿宋_GB2312" w:hAnsi="仿宋"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_Toc5721403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"_Toc5721404" </w:instrText>
      </w:r>
      <w:r>
        <w:fldChar w:fldCharType="separate"/>
      </w:r>
      <w:r>
        <w:rPr>
          <w:rStyle w:val="49"/>
          <w:rFonts w:hint="eastAsia" w:ascii="仿宋_GB2312" w:hAnsi="仿宋"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_Toc5721404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"_Toc5721405" </w:instrText>
      </w:r>
      <w:r>
        <w:fldChar w:fldCharType="separate"/>
      </w:r>
      <w:r>
        <w:rPr>
          <w:rStyle w:val="49"/>
          <w:rFonts w:hint="eastAsia" w:ascii="仿宋_GB2312" w:hAnsi="仿宋"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_Toc5721405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"_Toc5721406" </w:instrText>
      </w:r>
      <w:r>
        <w:fldChar w:fldCharType="separate"/>
      </w:r>
      <w:r>
        <w:rPr>
          <w:rStyle w:val="49"/>
          <w:rFonts w:hint="eastAsia" w:ascii="仿宋_GB2312" w:hAnsi="仿宋"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_Toc5721406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"_Toc5721407" </w:instrText>
      </w:r>
      <w:r>
        <w:fldChar w:fldCharType="separate"/>
      </w:r>
      <w:r>
        <w:rPr>
          <w:rStyle w:val="49"/>
          <w:rFonts w:hint="eastAsia" w:ascii="仿宋_GB2312" w:hAnsi="仿宋"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_Toc5721407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"_Toc5721408" </w:instrText>
      </w:r>
      <w:r>
        <w:fldChar w:fldCharType="separate"/>
      </w:r>
      <w:r>
        <w:rPr>
          <w:rStyle w:val="49"/>
          <w:rFonts w:hint="eastAsia" w:ascii="仿宋_GB2312" w:hAnsi="仿宋"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_Toc5721408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"_Toc5721409" </w:instrText>
      </w:r>
      <w:r>
        <w:fldChar w:fldCharType="separate"/>
      </w:r>
      <w:r>
        <w:rPr>
          <w:rStyle w:val="49"/>
          <w:rFonts w:hint="eastAsia" w:ascii="仿宋_GB2312" w:hAnsi="仿宋"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_Toc5721409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"_Toc5721410" </w:instrText>
      </w:r>
      <w:r>
        <w:fldChar w:fldCharType="separate"/>
      </w:r>
      <w:r>
        <w:rPr>
          <w:rStyle w:val="49"/>
          <w:rFonts w:hint="eastAsia" w:ascii="仿宋_GB2312" w:hAnsi="仿宋"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_Toc5721410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"_Toc5721411" </w:instrText>
      </w:r>
      <w:r>
        <w:fldChar w:fldCharType="separate"/>
      </w:r>
      <w:r>
        <w:rPr>
          <w:rStyle w:val="49"/>
          <w:rFonts w:hint="eastAsia" w:ascii="仿宋_GB2312" w:hAnsi="仿宋"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_Toc5721411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"_Toc5721412" </w:instrText>
      </w:r>
      <w:r>
        <w:fldChar w:fldCharType="separate"/>
      </w:r>
      <w:r>
        <w:rPr>
          <w:rStyle w:val="49"/>
          <w:rFonts w:hint="eastAsia" w:ascii="仿宋_GB2312" w:hAnsi="仿宋" w:eastAsia="仿宋_GB2312"/>
          <w:color w:val="auto"/>
          <w:sz w:val="28"/>
          <w:szCs w:val="28"/>
        </w:rPr>
        <w:t>（十一）</w:t>
      </w:r>
      <w:r>
        <w:rPr>
          <w:rStyle w:val="49"/>
          <w:rFonts w:hint="eastAsia" w:ascii="仿宋_GB2312" w:eastAsia="仿宋_GB2312"/>
          <w:color w:val="auto"/>
          <w:sz w:val="28"/>
          <w:szCs w:val="28"/>
        </w:rPr>
        <w:t>注册房地产估价师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_Toc5721412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"_Toc5721413" </w:instrText>
      </w:r>
      <w:r>
        <w:fldChar w:fldCharType="separate"/>
      </w:r>
      <w:r>
        <w:rPr>
          <w:rStyle w:val="49"/>
          <w:rFonts w:hint="eastAsia" w:ascii="仿宋_GB2312" w:hAnsi="仿宋" w:eastAsia="仿宋_GB2312"/>
          <w:color w:val="auto"/>
          <w:sz w:val="28"/>
          <w:szCs w:val="28"/>
        </w:rPr>
        <w:t>（十二）</w:t>
      </w:r>
      <w:r>
        <w:rPr>
          <w:rStyle w:val="49"/>
          <w:rFonts w:hint="eastAsia" w:ascii="仿宋_GB2312" w:eastAsia="仿宋_GB2312"/>
          <w:color w:val="auto"/>
          <w:sz w:val="28"/>
          <w:szCs w:val="28"/>
        </w:rPr>
        <w:t>实地查勘期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_Toc5721413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"_Toc5721414" </w:instrText>
      </w:r>
      <w:r>
        <w:fldChar w:fldCharType="separate"/>
      </w:r>
      <w:r>
        <w:rPr>
          <w:rStyle w:val="49"/>
          <w:rFonts w:hint="eastAsia" w:ascii="仿宋_GB2312" w:hAnsi="仿宋"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_Toc5721414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"_Toc5721415" </w:instrText>
      </w:r>
      <w:r>
        <w:fldChar w:fldCharType="separate"/>
      </w:r>
      <w:r>
        <w:rPr>
          <w:rStyle w:val="49"/>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_Toc5721415 \h </w:instrText>
      </w:r>
      <w:r>
        <w:rPr>
          <w:rFonts w:hint="eastAsia" w:ascii="仿宋_GB2312" w:eastAsia="仿宋_GB2312"/>
          <w:sz w:val="28"/>
          <w:szCs w:val="28"/>
        </w:rPr>
        <w:fldChar w:fldCharType="separate"/>
      </w:r>
      <w:r>
        <w:rPr>
          <w:rFonts w:hint="eastAsia" w:ascii="仿宋_GB2312" w:eastAsia="仿宋_GB2312"/>
          <w:sz w:val="28"/>
          <w:szCs w:val="28"/>
          <w:lang w:eastAsia="zh-CN"/>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"_Toc5721416" </w:instrText>
      </w:r>
      <w:r>
        <w:fldChar w:fldCharType="separate"/>
      </w:r>
      <w:r>
        <w:rPr>
          <w:rStyle w:val="49"/>
          <w:rFonts w:hint="eastAsia" w:ascii="仿宋_GB2312" w:hAnsi="仿宋"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_Toc5721416 \h </w:instrText>
      </w:r>
      <w:r>
        <w:rPr>
          <w:rFonts w:hint="eastAsia" w:ascii="仿宋_GB2312" w:eastAsia="仿宋_GB2312"/>
          <w:sz w:val="28"/>
          <w:szCs w:val="28"/>
        </w:rPr>
        <w:fldChar w:fldCharType="separate"/>
      </w:r>
      <w:r>
        <w:rPr>
          <w:rFonts w:hint="eastAsia" w:ascii="仿宋_GB2312" w:eastAsia="仿宋_GB2312"/>
          <w:sz w:val="28"/>
          <w:szCs w:val="28"/>
          <w:lang w:eastAsia="zh-CN"/>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"_Toc5721417" </w:instrText>
      </w:r>
      <w:r>
        <w:fldChar w:fldCharType="separate"/>
      </w:r>
      <w:r>
        <w:rPr>
          <w:rStyle w:val="49"/>
          <w:rFonts w:hint="eastAsia" w:ascii="仿宋_GB2312" w:hAnsi="仿宋"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_Toc5721417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"_Toc5721418" </w:instrText>
      </w:r>
      <w:r>
        <w:fldChar w:fldCharType="separate"/>
      </w:r>
      <w:r>
        <w:rPr>
          <w:rStyle w:val="49"/>
          <w:rFonts w:hint="eastAsia" w:ascii="仿宋_GB2312" w:hAnsi="仿宋"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_Toc5721418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"_Toc5721419" </w:instrText>
      </w:r>
      <w:r>
        <w:fldChar w:fldCharType="separate"/>
      </w:r>
      <w:r>
        <w:rPr>
          <w:rStyle w:val="49"/>
          <w:rFonts w:hint="eastAsia" w:ascii="仿宋_GB2312" w:hAnsi="仿宋"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_Toc5721419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"_Toc5721420" </w:instrText>
      </w:r>
      <w:r>
        <w:fldChar w:fldCharType="separate"/>
      </w:r>
      <w:r>
        <w:rPr>
          <w:rStyle w:val="49"/>
          <w:rFonts w:hint="eastAsia" w:ascii="仿宋_GB2312" w:hAnsi="仿宋"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_Toc5721420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"_Toc5721421" </w:instrText>
      </w:r>
      <w:r>
        <w:fldChar w:fldCharType="separate"/>
      </w:r>
      <w:r>
        <w:rPr>
          <w:rStyle w:val="49"/>
          <w:rFonts w:hint="eastAsia" w:ascii="仿宋_GB2312" w:hAnsi="仿宋"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_Toc5721421 \h </w:instrText>
      </w:r>
      <w:r>
        <w:rPr>
          <w:rFonts w:hint="eastAsia" w:ascii="仿宋_GB2312" w:eastAsia="仿宋_GB2312"/>
          <w:sz w:val="28"/>
          <w:szCs w:val="28"/>
        </w:rPr>
        <w:fldChar w:fldCharType="separate"/>
      </w:r>
      <w:r>
        <w:rPr>
          <w:rFonts w:ascii="仿宋_GB2312" w:eastAsia="仿宋_GB2312"/>
          <w:sz w:val="28"/>
          <w:szCs w:val="28"/>
        </w:rPr>
        <w:t>24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"_Toc5721422" </w:instrText>
      </w:r>
      <w:r>
        <w:fldChar w:fldCharType="separate"/>
      </w:r>
      <w:r>
        <w:rPr>
          <w:rStyle w:val="49"/>
          <w:rFonts w:hint="eastAsia" w:ascii="仿宋_GB2312" w:hAnsi="仿宋" w:eastAsia="仿宋_GB2312"/>
          <w:color w:val="auto"/>
          <w:sz w:val="28"/>
          <w:szCs w:val="28"/>
        </w:rPr>
        <w:t>（七）估价测算过程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_Toc5721422 \h </w:instrText>
      </w:r>
      <w:r>
        <w:rPr>
          <w:rFonts w:hint="eastAsia" w:ascii="仿宋_GB2312" w:eastAsia="仿宋_GB2312"/>
          <w:sz w:val="28"/>
          <w:szCs w:val="28"/>
        </w:rPr>
        <w:fldChar w:fldCharType="separate"/>
      </w:r>
      <w:r>
        <w:rPr>
          <w:rFonts w:ascii="仿宋_GB2312" w:eastAsia="仿宋_GB2312"/>
          <w:sz w:val="28"/>
          <w:szCs w:val="28"/>
        </w:rPr>
        <w:t>25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"_Toc5721423" </w:instrText>
      </w:r>
      <w:r>
        <w:fldChar w:fldCharType="separate"/>
      </w:r>
      <w:r>
        <w:rPr>
          <w:rStyle w:val="49"/>
          <w:rFonts w:hint="eastAsia" w:ascii="仿宋_GB2312"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_Toc5721423 \h </w:instrText>
      </w:r>
      <w:r>
        <w:rPr>
          <w:rFonts w:hint="eastAsia" w:ascii="仿宋_GB2312" w:eastAsia="仿宋_GB2312"/>
          <w:sz w:val="28"/>
          <w:szCs w:val="28"/>
        </w:rPr>
        <w:fldChar w:fldCharType="separate"/>
      </w:r>
      <w:r>
        <w:rPr>
          <w:rFonts w:ascii="仿宋_GB2312" w:eastAsia="仿宋_GB2312"/>
          <w:sz w:val="28"/>
          <w:szCs w:val="28"/>
        </w:rPr>
        <w:t>49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Theme="minorHAnsi" w:hAnsiTheme="minorHAnsi" w:eastAsiaTheme="minorEastAsia" w:cstheme="minorBidi"/>
          <w:b w:val="0"/>
          <w:bCs w:val="0"/>
          <w:iCs w:val="0"/>
          <w:snapToGrid/>
          <w:spacing w:val="0"/>
          <w:kern w:val="2"/>
          <w:sz w:val="21"/>
          <w:szCs w:val="22"/>
        </w:rPr>
      </w:pPr>
      <w:r>
        <w:fldChar w:fldCharType="begin"/>
      </w:r>
      <w:r>
        <w:instrText xml:space="preserve"> HYPERLINK \l "_Toc5721424" </w:instrText>
      </w:r>
      <w:r>
        <w:fldChar w:fldCharType="separate"/>
      </w:r>
      <w:r>
        <w:rPr>
          <w:rStyle w:val="49"/>
          <w:rFonts w:hint="eastAsia" w:ascii="仿宋_GB2312" w:eastAsia="仿宋_GB2312"/>
          <w:color w:val="auto"/>
          <w:spacing w:val="60"/>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_Toc5721424 \h </w:instrText>
      </w:r>
      <w:r>
        <w:rPr>
          <w:rFonts w:hint="eastAsia" w:ascii="仿宋_GB2312" w:eastAsia="仿宋_GB2312"/>
          <w:sz w:val="28"/>
          <w:szCs w:val="28"/>
        </w:rPr>
        <w:fldChar w:fldCharType="separate"/>
      </w:r>
      <w:r>
        <w:rPr>
          <w:rFonts w:ascii="仿宋_GB2312" w:eastAsia="仿宋_GB2312"/>
          <w:sz w:val="28"/>
          <w:szCs w:val="28"/>
        </w:rPr>
        <w:t>51</w:t>
      </w:r>
      <w:r>
        <w:rPr>
          <w:rFonts w:hint="eastAsia" w:ascii="仿宋_GB2312" w:eastAsia="仿宋_GB2312"/>
          <w:sz w:val="28"/>
          <w:szCs w:val="28"/>
        </w:rPr>
        <w:fldChar w:fldCharType="end"/>
      </w:r>
      <w:r>
        <w:rPr>
          <w:rFonts w:hint="eastAsia" w:ascii="仿宋_GB2312" w:eastAsia="仿宋_GB2312"/>
          <w:sz w:val="28"/>
          <w:szCs w:val="28"/>
        </w:rPr>
        <w:fldChar w:fldCharType="end"/>
      </w:r>
      <w:r>
        <w:rPr>
          <w:rFonts w:hint="eastAsia"/>
        </w:rPr>
        <w:t>-</w:t>
      </w:r>
      <w:r>
        <w:rPr>
          <w:rFonts w:hint="eastAsia" w:ascii="仿宋_GB2312" w:eastAsia="仿宋_GB2312"/>
          <w:sz w:val="28"/>
          <w:szCs w:val="28"/>
        </w:rPr>
        <w:t>72</w:t>
      </w:r>
    </w:p>
    <w:p>
      <w:pPr>
        <w:keepNext w:val="0"/>
        <w:keepLines w:val="0"/>
        <w:pageBreakBefore w:val="0"/>
        <w:widowControl w:val="0"/>
        <w:kinsoku/>
        <w:wordWrap/>
        <w:overflowPunct/>
        <w:topLinePunct w:val="0"/>
        <w:autoSpaceDE/>
        <w:autoSpaceDN/>
        <w:bidi w:val="0"/>
        <w:adjustRightInd w:val="0"/>
        <w:snapToGrid w:val="0"/>
        <w:spacing w:after="0" w:line="340" w:lineRule="exact"/>
        <w:ind w:right="260" w:firstLine="3990" w:firstLineChars="1900"/>
        <w:jc w:val="left"/>
        <w:textAlignment w:val="auto"/>
        <w:rPr>
          <w:rFonts w:ascii="仿宋_GB2312" w:hAnsi="仿宋" w:eastAsia="仿宋_GB2312"/>
          <w:sz w:val="28"/>
          <w:szCs w:val="28"/>
        </w:rPr>
        <w:sectPr>
          <w:headerReference r:id="rId6" w:type="default"/>
          <w:footerReference r:id="rId7" w:type="default"/>
          <w:pgSz w:w="11906" w:h="16838"/>
          <w:pgMar w:top="1814" w:right="1247" w:bottom="1418" w:left="1701" w:header="1191" w:footer="283" w:gutter="0"/>
          <w:pgNumType w:start="1"/>
          <w:cols w:space="720" w:num="1"/>
          <w:docGrid w:linePitch="286" w:charSpace="0"/>
        </w:sectPr>
      </w:pPr>
      <w:r>
        <w:rPr>
          <w:rFonts w:eastAsia="仿宋_GB2312"/>
          <w:snapToGrid w:val="0"/>
          <w:kern w:val="0"/>
          <w:szCs w:val="28"/>
        </w:rPr>
        <w:fldChar w:fldCharType="end"/>
      </w:r>
    </w:p>
    <w:p>
      <w:pPr>
        <w:pStyle w:val="2"/>
        <w:spacing w:before="240" w:beforeLines="100" w:after="120" w:afterLines="50" w:line="360" w:lineRule="auto"/>
        <w:jc w:val="center"/>
        <w:rPr>
          <w:rFonts w:ascii="仿宋_GB2312" w:eastAsia="仿宋_GB2312"/>
          <w:snapToGrid w:val="0"/>
          <w:kern w:val="0"/>
          <w:sz w:val="28"/>
          <w:szCs w:val="28"/>
        </w:rPr>
      </w:pPr>
      <w:bookmarkStart w:id="1" w:name="_Toc367869492"/>
      <w:bookmarkStart w:id="2" w:name="_Toc301369710"/>
      <w:bookmarkStart w:id="3" w:name="_Toc5721399"/>
      <w:bookmarkStart w:id="4" w:name="_Toc297196345"/>
      <w:bookmarkStart w:id="5" w:name="_Toc297122050"/>
      <w:r>
        <w:rPr>
          <w:rFonts w:hint="eastAsia" w:ascii="仿宋_GB2312" w:eastAsia="仿宋_GB2312"/>
          <w:snapToGrid w:val="0"/>
          <w:kern w:val="0"/>
          <w:sz w:val="28"/>
          <w:szCs w:val="28"/>
        </w:rPr>
        <w:t>一、估价师声明</w:t>
      </w:r>
      <w:bookmarkEnd w:id="1"/>
      <w:bookmarkEnd w:id="2"/>
      <w:bookmarkEnd w:id="3"/>
      <w:bookmarkEnd w:id="4"/>
      <w:bookmarkEnd w:id="5"/>
    </w:p>
    <w:p>
      <w:pPr>
        <w:spacing w:line="360" w:lineRule="auto"/>
        <w:ind w:firstLine="551" w:firstLineChars="196"/>
        <w:rPr>
          <w:rFonts w:ascii="仿宋_GB2312" w:eastAsia="仿宋_GB2312"/>
          <w:b/>
          <w:sz w:val="28"/>
          <w:szCs w:val="28"/>
        </w:rPr>
      </w:pPr>
      <w:bookmarkStart w:id="6" w:name="_Toc362509711"/>
      <w:r>
        <w:rPr>
          <w:rFonts w:hint="eastAsia" w:ascii="仿宋_GB2312" w:eastAsia="仿宋_GB2312"/>
          <w:b/>
          <w:sz w:val="28"/>
          <w:szCs w:val="28"/>
        </w:rPr>
        <w:t>我们郑重声明：</w:t>
      </w:r>
      <w:bookmarkEnd w:id="6"/>
    </w:p>
    <w:p>
      <w:pPr>
        <w:spacing w:line="360" w:lineRule="auto"/>
        <w:ind w:firstLine="548" w:firstLineChars="196"/>
        <w:rPr>
          <w:rFonts w:ascii="仿宋_GB2312" w:eastAsia="仿宋_GB2312"/>
          <w:b/>
          <w:sz w:val="28"/>
          <w:szCs w:val="28"/>
        </w:rPr>
      </w:pPr>
      <w:r>
        <w:rPr>
          <w:rFonts w:hint="eastAsia" w:ascii="仿宋_GB2312" w:eastAsia="仿宋_GB2312"/>
          <w:sz w:val="28"/>
          <w:szCs w:val="28"/>
        </w:rPr>
        <w:t>1、我们在本估价报告中陈述的事实是真实的和准确的，没有虚假记载、误导性陈述和重大遗漏</w:t>
      </w:r>
      <w:r>
        <w:rPr>
          <w:rFonts w:hint="eastAsia" w:ascii="仿宋_GB2312" w:hAnsi="仿宋" w:eastAsia="仿宋_GB2312"/>
          <w:sz w:val="28"/>
          <w:szCs w:val="28"/>
        </w:rPr>
        <w:t xml:space="preserve">。 </w:t>
      </w:r>
    </w:p>
    <w:p>
      <w:pPr>
        <w:spacing w:line="360" w:lineRule="auto"/>
        <w:ind w:firstLine="548" w:firstLineChars="196"/>
        <w:rPr>
          <w:rFonts w:ascii="仿宋_GB2312" w:eastAsia="仿宋_GB2312"/>
          <w:b/>
          <w:sz w:val="28"/>
          <w:szCs w:val="28"/>
        </w:rPr>
      </w:pPr>
      <w:r>
        <w:rPr>
          <w:rFonts w:hint="eastAsia" w:ascii="仿宋_GB2312" w:eastAsia="仿宋_GB2312"/>
          <w:sz w:val="28"/>
          <w:szCs w:val="28"/>
        </w:rPr>
        <w:t>2、本估价报告中的分析、意见和结论是我们自己独立、客观、公正的专业分析、意见和结论，但受到本估价报告中已说明的假设和限制条件的限制</w:t>
      </w:r>
      <w:r>
        <w:rPr>
          <w:rFonts w:hint="eastAsia" w:ascii="仿宋_GB2312" w:hAnsi="仿宋" w:eastAsia="仿宋_GB2312"/>
          <w:sz w:val="28"/>
          <w:szCs w:val="28"/>
        </w:rPr>
        <w:t>。</w:t>
      </w:r>
    </w:p>
    <w:p>
      <w:pPr>
        <w:spacing w:line="360" w:lineRule="auto"/>
        <w:ind w:firstLine="548" w:firstLineChars="196"/>
        <w:rPr>
          <w:rFonts w:ascii="仿宋_GB2312" w:hAnsi="仿宋" w:eastAsia="仿宋_GB2312"/>
          <w:sz w:val="28"/>
          <w:szCs w:val="28"/>
        </w:rPr>
      </w:pPr>
      <w:r>
        <w:rPr>
          <w:rFonts w:hint="eastAsia" w:ascii="仿宋_GB2312" w:eastAsia="仿宋_GB2312"/>
          <w:sz w:val="28"/>
          <w:szCs w:val="28"/>
        </w:rPr>
        <w:t>3、我们与本估价报告中的估价对象没有现实或潜在的利益，也与估价委托人及估价利害关系人没有利害关系</w:t>
      </w:r>
      <w:r>
        <w:rPr>
          <w:rFonts w:hint="eastAsia" w:ascii="仿宋_GB2312" w:hAnsi="仿宋" w:eastAsia="仿宋_GB2312"/>
          <w:sz w:val="28"/>
          <w:szCs w:val="28"/>
        </w:rPr>
        <w:t>。</w:t>
      </w:r>
    </w:p>
    <w:p>
      <w:pPr>
        <w:spacing w:line="360" w:lineRule="auto"/>
        <w:ind w:firstLine="548" w:firstLineChars="196"/>
        <w:rPr>
          <w:rFonts w:ascii="仿宋_GB2312" w:eastAsia="仿宋_GB2312"/>
          <w:sz w:val="28"/>
          <w:szCs w:val="28"/>
        </w:rPr>
      </w:pPr>
      <w:r>
        <w:rPr>
          <w:rFonts w:hint="eastAsia" w:ascii="仿宋_GB2312" w:eastAsia="仿宋_GB2312"/>
          <w:sz w:val="28"/>
          <w:szCs w:val="28"/>
        </w:rPr>
        <w:t>4、我们对估价报告中的估价对象、估价委托人及估价利害关系人没有偏见。</w:t>
      </w:r>
    </w:p>
    <w:p>
      <w:pPr>
        <w:spacing w:line="360" w:lineRule="auto"/>
        <w:ind w:firstLine="548" w:firstLineChars="196"/>
        <w:rPr>
          <w:rFonts w:ascii="仿宋_GB2312" w:hAnsi="仿宋" w:eastAsia="仿宋_GB2312"/>
          <w:sz w:val="28"/>
          <w:szCs w:val="28"/>
        </w:rPr>
      </w:pPr>
      <w:r>
        <w:rPr>
          <w:rFonts w:hint="eastAsia" w:ascii="仿宋_GB2312" w:eastAsia="仿宋_GB2312"/>
          <w:sz w:val="28"/>
          <w:szCs w:val="28"/>
        </w:rPr>
        <w:t>5、我们</w:t>
      </w:r>
      <w:r>
        <w:rPr>
          <w:rFonts w:hint="eastAsia" w:ascii="仿宋_GB2312" w:hAnsi="仿宋" w:eastAsia="仿宋_GB2312"/>
          <w:sz w:val="28"/>
          <w:szCs w:val="28"/>
        </w:rPr>
        <w:t>依照中华人民共和国国家标准《房地产估价规范》【GB/T 50291-2015】、《</w:t>
      </w:r>
      <w:r>
        <w:rPr>
          <w:rFonts w:hint="eastAsia" w:ascii="仿宋_GB2312" w:eastAsia="仿宋_GB2312"/>
          <w:sz w:val="28"/>
          <w:szCs w:val="28"/>
        </w:rPr>
        <w:t>房地产估价基本术语标准》【GB/T 50899-2013】</w:t>
      </w:r>
      <w:r>
        <w:rPr>
          <w:rFonts w:hint="eastAsia" w:ascii="仿宋_GB2312" w:hAnsi="仿宋" w:eastAsia="仿宋_GB2312"/>
          <w:sz w:val="28"/>
          <w:szCs w:val="28"/>
        </w:rPr>
        <w:t>进行分析，形成意见和结论，撰写本估价报告。</w:t>
      </w:r>
    </w:p>
    <w:p>
      <w:pPr>
        <w:spacing w:line="360" w:lineRule="auto"/>
        <w:ind w:firstLine="548" w:firstLineChars="196"/>
        <w:rPr>
          <w:rFonts w:ascii="仿宋_GB2312" w:eastAsia="仿宋_GB2312"/>
          <w:b/>
          <w:sz w:val="28"/>
          <w:szCs w:val="28"/>
        </w:rPr>
      </w:pPr>
      <w:r>
        <w:rPr>
          <w:rFonts w:hint="eastAsia" w:ascii="仿宋_GB2312" w:eastAsia="仿宋_GB2312"/>
          <w:sz w:val="28"/>
          <w:szCs w:val="28"/>
        </w:rPr>
        <w:t>6、本次估价中所依据估价委托人提供的有关资料和证件，估价委托人对其真实性负责，因其失实造成的后果，估价机构和估价人员不承担相应责任。</w:t>
      </w:r>
    </w:p>
    <w:p>
      <w:pPr>
        <w:spacing w:line="560" w:lineRule="exact"/>
        <w:ind w:firstLine="561"/>
        <w:rPr>
          <w:rFonts w:ascii="仿宋_GB2312" w:eastAsia="仿宋_GB2312"/>
          <w:sz w:val="28"/>
          <w:szCs w:val="28"/>
        </w:rPr>
      </w:pPr>
      <w:r>
        <w:rPr>
          <w:rFonts w:hint="eastAsia" w:ascii="仿宋_GB2312" w:eastAsia="仿宋_GB2312"/>
          <w:sz w:val="28"/>
          <w:szCs w:val="28"/>
        </w:rPr>
        <w:t>7、注册房地产估价师历福友、毕明梅已于2019年</w:t>
      </w:r>
      <w:r>
        <w:rPr>
          <w:rFonts w:hint="eastAsia" w:ascii="仿宋_GB2312" w:eastAsia="仿宋_GB2312"/>
          <w:sz w:val="28"/>
          <w:szCs w:val="28"/>
          <w:lang w:eastAsia="zh-CN"/>
        </w:rPr>
        <w:t>11月13日</w:t>
      </w:r>
      <w:r>
        <w:rPr>
          <w:rFonts w:hint="eastAsia" w:ascii="仿宋_GB2312" w:eastAsia="仿宋_GB2312"/>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560" w:lineRule="exact"/>
        <w:ind w:firstLine="561"/>
        <w:rPr>
          <w:rFonts w:ascii="仿宋_GB2312" w:hAnsi="仿宋" w:eastAsia="仿宋_GB2312"/>
          <w:sz w:val="28"/>
          <w:szCs w:val="28"/>
        </w:rPr>
      </w:pPr>
      <w:r>
        <w:rPr>
          <w:rFonts w:hint="eastAsia" w:ascii="仿宋_GB2312" w:eastAsia="仿宋_GB2312"/>
          <w:sz w:val="28"/>
          <w:szCs w:val="28"/>
        </w:rPr>
        <w:t>8、没有外部专家和单位对本估价报告提供重要专业帮助。</w:t>
      </w:r>
    </w:p>
    <w:p>
      <w:pPr>
        <w:pStyle w:val="89"/>
        <w:adjustRightInd w:val="0"/>
        <w:snapToGrid w:val="0"/>
        <w:spacing w:line="360" w:lineRule="auto"/>
        <w:ind w:firstLineChars="0"/>
        <w:rPr>
          <w:rFonts w:ascii="仿宋_GB2312" w:hAnsi="仿宋" w:eastAsia="仿宋_GB2312"/>
          <w:sz w:val="28"/>
          <w:szCs w:val="28"/>
        </w:rPr>
      </w:pPr>
      <w:r>
        <w:rPr>
          <w:rFonts w:hint="eastAsia" w:ascii="仿宋_GB2312" w:hAnsi="仿宋" w:eastAsia="仿宋_GB2312"/>
          <w:sz w:val="28"/>
          <w:szCs w:val="28"/>
        </w:rPr>
        <w:t xml:space="preserve">参加本次估价的注册房地产估价师为： </w:t>
      </w:r>
    </w:p>
    <w:tbl>
      <w:tblPr>
        <w:tblStyle w:val="42"/>
        <w:tblW w:w="870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19"/>
              <w:adjustRightInd w:val="0"/>
              <w:snapToGrid w:val="0"/>
              <w:spacing w:line="360" w:lineRule="auto"/>
              <w:jc w:val="center"/>
              <w:rPr>
                <w:rFonts w:ascii="仿宋_GB2312" w:hAnsi="仿宋" w:eastAsia="仿宋_GB2312"/>
                <w:b/>
                <w:sz w:val="28"/>
                <w:szCs w:val="28"/>
              </w:rPr>
            </w:pPr>
            <w:r>
              <w:rPr>
                <w:rFonts w:hint="eastAsia" w:ascii="仿宋_GB2312" w:hAnsi="仿宋" w:eastAsia="仿宋_GB2312"/>
                <w:b/>
                <w:sz w:val="28"/>
                <w:szCs w:val="28"/>
              </w:rPr>
              <w:t>姓名</w:t>
            </w:r>
          </w:p>
        </w:tc>
        <w:tc>
          <w:tcPr>
            <w:tcW w:w="228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注册号</w:t>
            </w:r>
          </w:p>
        </w:tc>
        <w:tc>
          <w:tcPr>
            <w:tcW w:w="2397"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    名</w:t>
            </w:r>
          </w:p>
        </w:tc>
        <w:tc>
          <w:tcPr>
            <w:tcW w:w="233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52" w:hRule="atLeast"/>
          <w:jc w:val="center"/>
        </w:trPr>
        <w:tc>
          <w:tcPr>
            <w:tcW w:w="1694"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历福友</w:t>
            </w:r>
          </w:p>
        </w:tc>
        <w:tc>
          <w:tcPr>
            <w:tcW w:w="2280"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1520050003</w:t>
            </w:r>
          </w:p>
        </w:tc>
        <w:tc>
          <w:tcPr>
            <w:tcW w:w="2397"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5" w:hRule="atLeast"/>
          <w:jc w:val="center"/>
        </w:trPr>
        <w:tc>
          <w:tcPr>
            <w:tcW w:w="1694"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毕明梅</w:t>
            </w:r>
          </w:p>
        </w:tc>
        <w:tc>
          <w:tcPr>
            <w:tcW w:w="2280"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1520050020</w:t>
            </w:r>
          </w:p>
        </w:tc>
        <w:tc>
          <w:tcPr>
            <w:tcW w:w="2397"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bl>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tabs>
          <w:tab w:val="left" w:pos="3400"/>
        </w:tabs>
        <w:adjustRightInd w:val="0"/>
        <w:snapToGrid w:val="0"/>
        <w:spacing w:before="240" w:beforeLines="100" w:line="288" w:lineRule="auto"/>
        <w:rPr>
          <w:rFonts w:hint="eastAsia" w:ascii="仿宋_GB2312" w:hAnsi="宋体" w:eastAsia="仿宋_GB2312"/>
          <w:snapToGrid w:val="0"/>
          <w:kern w:val="0"/>
          <w:sz w:val="28"/>
          <w:szCs w:val="28"/>
          <w:lang w:eastAsia="zh-CN"/>
        </w:rPr>
      </w:pPr>
      <w:r>
        <w:rPr>
          <w:rFonts w:hint="eastAsia" w:ascii="仿宋_GB2312" w:hAnsi="宋体" w:eastAsia="仿宋_GB2312"/>
          <w:snapToGrid w:val="0"/>
          <w:kern w:val="0"/>
          <w:sz w:val="28"/>
          <w:szCs w:val="28"/>
          <w:lang w:eastAsia="zh-CN"/>
        </w:rPr>
        <w:tab/>
      </w:r>
    </w:p>
    <w:p>
      <w:pPr>
        <w:tabs>
          <w:tab w:val="left" w:pos="3400"/>
        </w:tabs>
        <w:adjustRightInd w:val="0"/>
        <w:snapToGrid w:val="0"/>
        <w:spacing w:before="240" w:beforeLines="100" w:line="288" w:lineRule="auto"/>
        <w:rPr>
          <w:rFonts w:hint="eastAsia" w:ascii="仿宋_GB2312" w:hAnsi="宋体" w:eastAsia="仿宋_GB2312"/>
          <w:snapToGrid w:val="0"/>
          <w:kern w:val="0"/>
          <w:sz w:val="28"/>
          <w:szCs w:val="28"/>
          <w:lang w:eastAsia="zh-CN"/>
        </w:rPr>
      </w:pPr>
    </w:p>
    <w:p>
      <w:pPr>
        <w:tabs>
          <w:tab w:val="left" w:pos="3400"/>
        </w:tabs>
        <w:adjustRightInd w:val="0"/>
        <w:snapToGrid w:val="0"/>
        <w:spacing w:before="240" w:beforeLines="100" w:line="288" w:lineRule="auto"/>
        <w:rPr>
          <w:rFonts w:hint="eastAsia" w:ascii="仿宋_GB2312" w:hAnsi="宋体" w:eastAsia="仿宋_GB2312"/>
          <w:snapToGrid w:val="0"/>
          <w:kern w:val="0"/>
          <w:sz w:val="28"/>
          <w:szCs w:val="28"/>
          <w:lang w:eastAsia="zh-CN"/>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pStyle w:val="2"/>
        <w:spacing w:before="240" w:beforeLines="100" w:after="0" w:line="360" w:lineRule="auto"/>
        <w:jc w:val="center"/>
        <w:rPr>
          <w:rFonts w:ascii="仿宋_GB2312" w:eastAsia="仿宋_GB2312"/>
          <w:snapToGrid w:val="0"/>
          <w:kern w:val="0"/>
          <w:sz w:val="28"/>
          <w:szCs w:val="28"/>
        </w:rPr>
      </w:pPr>
      <w:bookmarkStart w:id="7" w:name="_Toc5721400"/>
      <w:r>
        <w:rPr>
          <w:rFonts w:hint="eastAsia" w:ascii="仿宋_GB2312" w:eastAsia="仿宋_GB2312"/>
          <w:snapToGrid w:val="0"/>
          <w:kern w:val="0"/>
          <w:sz w:val="28"/>
          <w:szCs w:val="28"/>
        </w:rPr>
        <w:t>二、估价假设和限制条件</w:t>
      </w:r>
      <w:bookmarkEnd w:id="7"/>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ascii="仿宋_GB2312" w:hAnsi="宋体" w:eastAsia="仿宋_GB2312"/>
          <w:b/>
          <w:sz w:val="28"/>
          <w:szCs w:val="28"/>
        </w:rPr>
      </w:pPr>
      <w:r>
        <w:rPr>
          <w:rFonts w:hint="eastAsia" w:ascii="仿宋_GB2312" w:hAnsi="宋体" w:eastAsia="仿宋_GB2312"/>
          <w:b/>
          <w:sz w:val="28"/>
          <w:szCs w:val="28"/>
        </w:rPr>
        <w:t>1.一般假设</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（1）在价值时点的房地产市场为公开、平等、自愿的交易市场。</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（2）估价对象产权明晰，手续齐全，可在公开市场上自由转让。</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（3）任何有关估价对象的运作方式、程序均符合国家、地方的有关法律、法规。</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（4）本次估价结果未考虑国家宏观经济政策发生重大变化以及遇有自然力和其他不可抗力对估价结论的影响。</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（5）本报告以估价对象在价值时点时的状况为依据进行的，且以该状况在估价报告使用期限内无重大变化为前提。</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（6）本次估价未考虑除已披露事项外可能与估价对象产权人有关的债权及债务情况对估价结果的影响。</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（7）本报告估价结果没有考虑快速变现、税费转嫁等特殊的交易方式以及可能发生</w:t>
      </w:r>
      <w:r>
        <w:rPr>
          <w:rFonts w:hint="eastAsia" w:ascii="仿宋_GB2312" w:eastAsia="仿宋_GB2312"/>
          <w:sz w:val="28"/>
          <w:szCs w:val="28"/>
        </w:rPr>
        <w:t>的办理抵押登记、</w:t>
      </w:r>
      <w:r>
        <w:rPr>
          <w:rFonts w:hint="eastAsia" w:ascii="仿宋_GB2312" w:hAnsi="宋体" w:eastAsia="仿宋_GB2312"/>
          <w:sz w:val="28"/>
          <w:szCs w:val="28"/>
        </w:rPr>
        <w:t>权利转移相关费用对估价对象房地产价值的影响，如上述条件发生变化，估价结果需做相应调整。</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eastAsia="仿宋_GB2312"/>
          <w:sz w:val="28"/>
          <w:szCs w:val="28"/>
        </w:rPr>
      </w:pPr>
      <w:r>
        <w:rPr>
          <w:rFonts w:hint="eastAsia" w:ascii="仿宋_GB2312" w:hAnsi="宋体" w:eastAsia="仿宋_GB2312"/>
          <w:sz w:val="28"/>
          <w:szCs w:val="28"/>
        </w:rPr>
        <w:t>（8）本次估价价值时点为</w:t>
      </w:r>
      <w:r>
        <w:rPr>
          <w:rFonts w:hint="eastAsia" w:ascii="仿宋_GB2312" w:hAnsi="仿宋" w:eastAsia="仿宋_GB2312"/>
          <w:sz w:val="28"/>
          <w:szCs w:val="28"/>
        </w:rPr>
        <w:t>2019年</w:t>
      </w:r>
      <w:r>
        <w:rPr>
          <w:rFonts w:hint="eastAsia" w:ascii="仿宋_GB2312" w:hAnsi="仿宋" w:eastAsia="仿宋_GB2312"/>
          <w:sz w:val="28"/>
          <w:szCs w:val="28"/>
          <w:lang w:eastAsia="zh-CN"/>
        </w:rPr>
        <w:t>11月13日</w:t>
      </w:r>
      <w:r>
        <w:rPr>
          <w:rFonts w:hint="eastAsia" w:ascii="仿宋_GB2312" w:hAnsi="宋体" w:eastAsia="仿宋_GB2312"/>
          <w:sz w:val="28"/>
          <w:szCs w:val="28"/>
        </w:rPr>
        <w:t>，实地查勘日期为</w:t>
      </w:r>
      <w:r>
        <w:rPr>
          <w:rFonts w:hint="eastAsia" w:ascii="仿宋_GB2312" w:hAnsi="仿宋" w:eastAsia="仿宋_GB2312"/>
          <w:sz w:val="28"/>
          <w:szCs w:val="28"/>
        </w:rPr>
        <w:t>2019年</w:t>
      </w:r>
      <w:r>
        <w:rPr>
          <w:rFonts w:hint="eastAsia" w:ascii="仿宋_GB2312" w:hAnsi="仿宋" w:eastAsia="仿宋_GB2312"/>
          <w:sz w:val="28"/>
          <w:szCs w:val="28"/>
          <w:lang w:eastAsia="zh-CN"/>
        </w:rPr>
        <w:t>11月13日</w:t>
      </w:r>
      <w:r>
        <w:rPr>
          <w:rFonts w:hint="eastAsia" w:ascii="仿宋_GB2312" w:hAnsi="仿宋" w:eastAsia="仿宋_GB2312"/>
          <w:sz w:val="28"/>
          <w:szCs w:val="28"/>
        </w:rPr>
        <w:t>。</w:t>
      </w:r>
      <w:r>
        <w:rPr>
          <w:rFonts w:hint="eastAsia" w:eastAsia="仿宋_GB2312"/>
          <w:sz w:val="28"/>
          <w:szCs w:val="28"/>
        </w:rPr>
        <w:t>价值时点与完成实地查勘日期一致，本次估价假定价值时点的状况与完成实地查勘之日的状况一致。</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eastAsia="仿宋_GB2312"/>
          <w:sz w:val="28"/>
          <w:szCs w:val="28"/>
        </w:rPr>
      </w:pPr>
      <w:r>
        <w:rPr>
          <w:rFonts w:hint="eastAsia" w:ascii="仿宋_GB2312" w:eastAsia="仿宋_GB2312"/>
          <w:sz w:val="28"/>
          <w:szCs w:val="28"/>
        </w:rPr>
        <w:t>（9）</w:t>
      </w:r>
      <w:r>
        <w:rPr>
          <w:rFonts w:hint="eastAsia" w:eastAsia="仿宋_GB2312"/>
          <w:sz w:val="28"/>
          <w:szCs w:val="28"/>
        </w:rPr>
        <w:t>本次估价对象的房屋权属情况均以《巴彦淖尔市临河区人民法院评估委托书》</w:t>
      </w:r>
      <w:r>
        <w:rPr>
          <w:rFonts w:hint="eastAsia" w:ascii="仿宋_GB2312" w:hAnsi="仿宋_GB2312" w:eastAsia="仿宋_GB2312" w:cs="仿宋_GB2312"/>
          <w:sz w:val="28"/>
          <w:szCs w:val="28"/>
        </w:rPr>
        <w:t>[</w:t>
      </w:r>
      <w:r>
        <w:rPr>
          <w:rFonts w:hint="eastAsia" w:eastAsia="仿宋_GB2312"/>
          <w:sz w:val="28"/>
          <w:szCs w:val="28"/>
          <w:lang w:eastAsia="zh-CN"/>
        </w:rPr>
        <w:t>（2019）内0802执1352号</w:t>
      </w:r>
      <w:r>
        <w:rPr>
          <w:rFonts w:hint="eastAsia" w:ascii="仿宋_GB2312" w:hAnsi="仿宋_GB2312" w:eastAsia="仿宋_GB2312" w:cs="仿宋_GB2312"/>
          <w:sz w:val="28"/>
          <w:szCs w:val="28"/>
        </w:rPr>
        <w:t>]</w:t>
      </w:r>
      <w:r>
        <w:rPr>
          <w:rFonts w:hint="eastAsia" w:eastAsia="仿宋_GB2312"/>
          <w:sz w:val="28"/>
          <w:szCs w:val="28"/>
        </w:rPr>
        <w:t>、《内蒙古自治区房地产权属登记簿》复印件为依据。如上述情况发生变化，估价结果需做相应调整。</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（10）估价人员现场未查看</w:t>
      </w:r>
      <w:r>
        <w:rPr>
          <w:rFonts w:hint="eastAsia" w:ascii="仿宋_GB2312" w:eastAsia="仿宋_GB2312"/>
          <w:sz w:val="28"/>
          <w:szCs w:val="28"/>
          <w:lang w:eastAsia="zh-CN"/>
        </w:rPr>
        <w:t>估价</w:t>
      </w:r>
      <w:r>
        <w:rPr>
          <w:rFonts w:hint="eastAsia" w:ascii="仿宋_GB2312" w:eastAsia="仿宋_GB2312"/>
          <w:sz w:val="28"/>
          <w:szCs w:val="28"/>
        </w:rPr>
        <w:t>对象产权原件，且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（11）根据委托方提供的《内蒙古自治区房地产权属登记簿》可知，</w:t>
      </w:r>
      <w:r>
        <w:rPr>
          <w:rFonts w:hint="eastAsia" w:ascii="仿宋_GB2312" w:eastAsia="仿宋_GB2312"/>
          <w:sz w:val="28"/>
          <w:szCs w:val="28"/>
          <w:lang w:eastAsia="zh-CN"/>
        </w:rPr>
        <w:t>权利人</w:t>
      </w:r>
      <w:r>
        <w:rPr>
          <w:rFonts w:hint="eastAsia" w:ascii="仿宋_GB2312" w:eastAsia="仿宋_GB2312"/>
          <w:sz w:val="28"/>
          <w:szCs w:val="28"/>
        </w:rPr>
        <w:t>为</w:t>
      </w:r>
      <w:r>
        <w:rPr>
          <w:rFonts w:hint="eastAsia" w:ascii="仿宋_GB2312" w:eastAsia="仿宋_GB2312"/>
          <w:sz w:val="28"/>
          <w:szCs w:val="28"/>
          <w:lang w:eastAsia="zh-CN"/>
        </w:rPr>
        <w:t>闫子琴、刘培军</w:t>
      </w:r>
      <w:r>
        <w:rPr>
          <w:rFonts w:hint="eastAsia" w:ascii="仿宋_GB2312" w:eastAsia="仿宋_GB2312"/>
          <w:sz w:val="28"/>
          <w:szCs w:val="28"/>
        </w:rPr>
        <w:t>，房屋坐落为</w:t>
      </w:r>
      <w:r>
        <w:rPr>
          <w:rFonts w:hint="eastAsia" w:ascii="仿宋_GB2312" w:eastAsia="仿宋_GB2312"/>
          <w:sz w:val="28"/>
          <w:szCs w:val="28"/>
          <w:lang w:eastAsia="zh-CN"/>
        </w:rPr>
        <w:t>临河区五一西街北欧印象</w:t>
      </w:r>
      <w:r>
        <w:rPr>
          <w:rFonts w:hint="eastAsia" w:ascii="仿宋_GB2312" w:eastAsia="仿宋_GB2312"/>
          <w:sz w:val="28"/>
          <w:szCs w:val="28"/>
        </w:rPr>
        <w:t>，地号为</w:t>
      </w:r>
      <w:r>
        <w:rPr>
          <w:rFonts w:hint="eastAsia" w:ascii="仿宋_GB2312" w:eastAsia="仿宋_GB2312"/>
          <w:sz w:val="28"/>
          <w:szCs w:val="28"/>
          <w:lang w:eastAsia="zh-CN"/>
        </w:rPr>
        <w:t>巴彦淖尔市（2008）字第05号</w:t>
      </w:r>
      <w:r>
        <w:rPr>
          <w:rFonts w:hint="eastAsia" w:ascii="仿宋_GB2312" w:eastAsia="仿宋_GB2312"/>
          <w:sz w:val="28"/>
          <w:szCs w:val="28"/>
        </w:rPr>
        <w:t>，登记簿登记日期为201</w:t>
      </w:r>
      <w:r>
        <w:rPr>
          <w:rFonts w:hint="eastAsia" w:ascii="仿宋_GB2312" w:eastAsia="仿宋_GB2312"/>
          <w:sz w:val="28"/>
          <w:szCs w:val="28"/>
          <w:lang w:val="en-US" w:eastAsia="zh-CN"/>
        </w:rPr>
        <w:t>1</w:t>
      </w:r>
      <w:r>
        <w:rPr>
          <w:rFonts w:hint="eastAsia" w:ascii="仿宋_GB2312" w:eastAsia="仿宋_GB2312"/>
          <w:sz w:val="28"/>
          <w:szCs w:val="28"/>
        </w:rPr>
        <w:t>年</w:t>
      </w:r>
      <w:r>
        <w:rPr>
          <w:rFonts w:hint="eastAsia" w:ascii="仿宋_GB2312" w:eastAsia="仿宋_GB2312"/>
          <w:sz w:val="28"/>
          <w:szCs w:val="28"/>
          <w:lang w:val="en-US" w:eastAsia="zh-CN"/>
        </w:rPr>
        <w:t>10</w:t>
      </w:r>
      <w:r>
        <w:rPr>
          <w:rFonts w:hint="eastAsia" w:ascii="仿宋_GB2312" w:eastAsia="仿宋_GB2312"/>
          <w:sz w:val="28"/>
          <w:szCs w:val="28"/>
        </w:rPr>
        <w:t>月</w:t>
      </w:r>
      <w:r>
        <w:rPr>
          <w:rFonts w:hint="eastAsia" w:ascii="仿宋_GB2312" w:eastAsia="仿宋_GB2312"/>
          <w:sz w:val="28"/>
          <w:szCs w:val="28"/>
          <w:lang w:val="en-US" w:eastAsia="zh-CN"/>
        </w:rPr>
        <w:t>1</w:t>
      </w:r>
      <w:r>
        <w:rPr>
          <w:rFonts w:hint="eastAsia" w:ascii="仿宋_GB2312" w:eastAsia="仿宋_GB2312"/>
          <w:sz w:val="28"/>
          <w:szCs w:val="28"/>
        </w:rPr>
        <w:t>6日，房屋产权证号为</w:t>
      </w:r>
      <w:r>
        <w:rPr>
          <w:rFonts w:hint="eastAsia" w:ascii="仿宋_GB2312" w:eastAsia="仿宋_GB2312"/>
          <w:sz w:val="28"/>
          <w:szCs w:val="28"/>
          <w:lang w:eastAsia="zh-CN"/>
        </w:rPr>
        <w:t>102021107185</w:t>
      </w:r>
      <w:r>
        <w:rPr>
          <w:rFonts w:hint="eastAsia" w:ascii="仿宋_GB2312" w:eastAsia="仿宋_GB2312"/>
          <w:sz w:val="28"/>
          <w:szCs w:val="28"/>
        </w:rPr>
        <w:t>。土地使用信息记载中，权属性质为国有。房产基本信息记载中，幢（房）号为</w:t>
      </w:r>
      <w:r>
        <w:rPr>
          <w:rFonts w:hint="eastAsia" w:ascii="仿宋_GB2312" w:eastAsia="仿宋_GB2312"/>
          <w:sz w:val="28"/>
          <w:szCs w:val="28"/>
          <w:lang w:eastAsia="zh-CN"/>
        </w:rPr>
        <w:t>3-0-15</w:t>
      </w:r>
      <w:r>
        <w:rPr>
          <w:rFonts w:hint="eastAsia" w:ascii="仿宋_GB2312" w:eastAsia="仿宋_GB2312"/>
          <w:sz w:val="28"/>
          <w:szCs w:val="28"/>
        </w:rPr>
        <w:t>，建筑结构为</w:t>
      </w:r>
      <w:r>
        <w:rPr>
          <w:rFonts w:hint="eastAsia" w:ascii="仿宋_GB2312" w:eastAsia="仿宋_GB2312"/>
          <w:sz w:val="28"/>
          <w:szCs w:val="28"/>
          <w:lang w:eastAsia="zh-CN"/>
        </w:rPr>
        <w:t>砖混</w:t>
      </w:r>
      <w:r>
        <w:rPr>
          <w:rFonts w:hint="eastAsia" w:ascii="仿宋_GB2312" w:eastAsia="仿宋_GB2312"/>
          <w:sz w:val="28"/>
          <w:szCs w:val="28"/>
        </w:rPr>
        <w:t>结构，层数为</w:t>
      </w:r>
      <w:r>
        <w:rPr>
          <w:rFonts w:hint="eastAsia" w:ascii="仿宋_GB2312" w:eastAsia="仿宋_GB2312"/>
          <w:sz w:val="28"/>
          <w:szCs w:val="28"/>
          <w:lang w:eastAsia="zh-CN"/>
        </w:rPr>
        <w:t>6</w:t>
      </w:r>
      <w:r>
        <w:rPr>
          <w:rFonts w:hint="eastAsia" w:ascii="仿宋_GB2312" w:eastAsia="仿宋_GB2312"/>
          <w:sz w:val="28"/>
          <w:szCs w:val="28"/>
        </w:rPr>
        <w:t>层，所在层为1层，产别为私产，设计用途为</w:t>
      </w:r>
      <w:r>
        <w:rPr>
          <w:rFonts w:hint="eastAsia" w:ascii="仿宋_GB2312" w:eastAsia="仿宋_GB2312"/>
          <w:sz w:val="28"/>
          <w:szCs w:val="28"/>
          <w:lang w:eastAsia="zh-CN"/>
        </w:rPr>
        <w:t>车库</w:t>
      </w:r>
      <w:r>
        <w:rPr>
          <w:rFonts w:hint="eastAsia" w:ascii="仿宋_GB2312" w:eastAsia="仿宋_GB2312"/>
          <w:sz w:val="28"/>
          <w:szCs w:val="28"/>
        </w:rPr>
        <w:t>，建筑面积为</w:t>
      </w:r>
      <w:r>
        <w:rPr>
          <w:rFonts w:hint="eastAsia" w:ascii="仿宋_GB2312" w:eastAsia="仿宋_GB2312"/>
          <w:sz w:val="28"/>
          <w:szCs w:val="28"/>
          <w:lang w:eastAsia="zh-CN"/>
        </w:rPr>
        <w:t>22.34</w:t>
      </w:r>
      <w:r>
        <w:rPr>
          <w:rFonts w:hint="eastAsia" w:ascii="仿宋_GB2312" w:eastAsia="仿宋_GB2312"/>
          <w:sz w:val="28"/>
          <w:szCs w:val="28"/>
        </w:rPr>
        <w:t>㎡。如与实际不符对估价结果造成影响，估价机构不承担任何责任。</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Chars="200" w:firstLine="280" w:firstLineChars="100"/>
        <w:textAlignment w:val="auto"/>
        <w:rPr>
          <w:rFonts w:hint="eastAsia" w:hAnsi="仿宋_GB2312" w:eastAsia="仿宋_GB2312"/>
          <w:sz w:val="28"/>
          <w:szCs w:val="28"/>
        </w:rPr>
      </w:pPr>
      <w:r>
        <w:rPr>
          <w:rFonts w:hint="eastAsia" w:ascii="仿宋_GB2312" w:eastAsia="仿宋_GB2312"/>
          <w:sz w:val="28"/>
          <w:szCs w:val="28"/>
        </w:rPr>
        <w:t>（12）</w:t>
      </w:r>
      <w:r>
        <w:rPr>
          <w:rFonts w:hint="eastAsia" w:hAnsi="仿宋_GB2312" w:eastAsia="仿宋_GB2312"/>
          <w:sz w:val="28"/>
          <w:szCs w:val="28"/>
        </w:rPr>
        <w:t>估价人员曾于2019年</w:t>
      </w:r>
      <w:r>
        <w:rPr>
          <w:rFonts w:hint="eastAsia" w:hAnsi="仿宋_GB2312" w:eastAsia="仿宋_GB2312"/>
          <w:sz w:val="28"/>
          <w:szCs w:val="28"/>
          <w:lang w:eastAsia="zh-CN"/>
        </w:rPr>
        <w:t>11月13日</w:t>
      </w:r>
      <w:r>
        <w:rPr>
          <w:rFonts w:hint="eastAsia" w:hAnsi="仿宋_GB2312" w:eastAsia="仿宋_GB2312"/>
          <w:sz w:val="28"/>
          <w:szCs w:val="28"/>
        </w:rPr>
        <w:t>对估价对象进行了实地查勘，</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textAlignment w:val="auto"/>
        <w:rPr>
          <w:rFonts w:hAnsi="仿宋_GB2312" w:eastAsia="仿宋_GB2312"/>
          <w:sz w:val="28"/>
          <w:szCs w:val="28"/>
        </w:rPr>
      </w:pPr>
      <w:r>
        <w:rPr>
          <w:rFonts w:hint="eastAsia" w:eastAsia="仿宋_GB2312"/>
          <w:sz w:val="28"/>
          <w:szCs w:val="28"/>
          <w:lang w:eastAsia="zh-CN"/>
        </w:rPr>
        <w:t>因被申请人未到现场</w:t>
      </w:r>
      <w:r>
        <w:rPr>
          <w:rFonts w:hint="eastAsia" w:eastAsia="仿宋_GB2312"/>
          <w:sz w:val="28"/>
          <w:szCs w:val="28"/>
        </w:rPr>
        <w:t>估价人员未能入户，</w:t>
      </w:r>
      <w:r>
        <w:rPr>
          <w:rFonts w:eastAsia="仿宋_GB2312"/>
          <w:sz w:val="28"/>
          <w:szCs w:val="28"/>
        </w:rPr>
        <w:t>估价人员对估价对象的现场查勘仅限于估价对象的外观，并未对估价对象做建筑物基础、房屋结构上的测量和实验，因此无法确认其内部有无缺损、是否存在结构性损坏。对被遮盖、未暴露及难以接触到的房屋结构部分及其内部设施、设备</w:t>
      </w:r>
      <w:r>
        <w:rPr>
          <w:rFonts w:hint="eastAsia" w:eastAsia="仿宋_GB2312"/>
          <w:sz w:val="28"/>
          <w:szCs w:val="28"/>
        </w:rPr>
        <w:t>、装修</w:t>
      </w:r>
      <w:r>
        <w:rPr>
          <w:rFonts w:hint="eastAsia" w:eastAsia="仿宋_GB2312"/>
          <w:sz w:val="28"/>
          <w:szCs w:val="28"/>
          <w:lang w:eastAsia="zh-CN"/>
        </w:rPr>
        <w:t>及</w:t>
      </w:r>
      <w:r>
        <w:rPr>
          <w:rFonts w:hint="eastAsia" w:eastAsia="仿宋_GB2312"/>
          <w:sz w:val="28"/>
          <w:szCs w:val="28"/>
        </w:rPr>
        <w:t>布局情况</w:t>
      </w:r>
      <w:r>
        <w:rPr>
          <w:rFonts w:eastAsia="仿宋_GB2312"/>
          <w:sz w:val="28"/>
          <w:szCs w:val="28"/>
        </w:rPr>
        <w:t>，</w:t>
      </w:r>
      <w:r>
        <w:rPr>
          <w:rFonts w:hint="eastAsia" w:eastAsia="仿宋_GB2312"/>
          <w:sz w:val="28"/>
          <w:szCs w:val="28"/>
        </w:rPr>
        <w:t>经</w:t>
      </w:r>
      <w:r>
        <w:rPr>
          <w:rFonts w:hint="eastAsia" w:eastAsia="仿宋_GB2312"/>
          <w:sz w:val="28"/>
          <w:szCs w:val="28"/>
          <w:lang w:eastAsia="zh-CN"/>
        </w:rPr>
        <w:t>查勘现场申请人与被申请人通电话确认</w:t>
      </w:r>
      <w:r>
        <w:rPr>
          <w:rFonts w:hint="eastAsia" w:eastAsia="仿宋_GB2312"/>
          <w:sz w:val="28"/>
          <w:szCs w:val="28"/>
        </w:rPr>
        <w:t>估价对象</w:t>
      </w:r>
      <w:r>
        <w:rPr>
          <w:rFonts w:hint="eastAsia" w:eastAsia="仿宋_GB2312"/>
          <w:sz w:val="28"/>
          <w:szCs w:val="28"/>
          <w:lang w:eastAsia="zh-CN"/>
        </w:rPr>
        <w:t>内部状况后</w:t>
      </w:r>
      <w:r>
        <w:rPr>
          <w:rFonts w:hint="eastAsia" w:eastAsia="仿宋_GB2312"/>
          <w:sz w:val="28"/>
          <w:szCs w:val="28"/>
        </w:rPr>
        <w:t>，</w:t>
      </w:r>
      <w:r>
        <w:rPr>
          <w:rFonts w:eastAsia="仿宋_GB2312"/>
          <w:sz w:val="28"/>
          <w:szCs w:val="28"/>
        </w:rPr>
        <w:t>本报告假设其无建筑物基础、房屋结构等方面的重大质量问题，</w:t>
      </w:r>
      <w:r>
        <w:rPr>
          <w:rFonts w:hint="eastAsia" w:eastAsia="仿宋_GB2312"/>
          <w:sz w:val="28"/>
          <w:szCs w:val="28"/>
        </w:rPr>
        <w:t>内部维护状况良好，装修为简单装修，空间布局为合理</w:t>
      </w:r>
      <w:r>
        <w:rPr>
          <w:rFonts w:hint="eastAsia" w:eastAsia="仿宋_GB2312"/>
          <w:sz w:val="28"/>
          <w:szCs w:val="28"/>
          <w:lang w:eastAsia="zh-CN"/>
        </w:rPr>
        <w:t>，</w:t>
      </w:r>
      <w:r>
        <w:rPr>
          <w:rFonts w:hint="eastAsia" w:eastAsia="仿宋_GB2312"/>
          <w:sz w:val="28"/>
          <w:szCs w:val="28"/>
        </w:rPr>
        <w:t>临街宽度与深度比为适中，</w:t>
      </w:r>
      <w:r>
        <w:rPr>
          <w:rFonts w:eastAsia="仿宋_GB2312"/>
          <w:sz w:val="28"/>
          <w:szCs w:val="28"/>
        </w:rPr>
        <w:t>符合国家有关技术、质量、验收规范，且符合国家有关安全使用标准。</w:t>
      </w:r>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hAnsi="仿宋_GB2312" w:eastAsia="仿宋_GB2312"/>
          <w:b/>
          <w:sz w:val="28"/>
          <w:szCs w:val="28"/>
        </w:rPr>
      </w:pPr>
      <w:r>
        <w:rPr>
          <w:rFonts w:hint="eastAsia" w:hAnsi="仿宋_GB2312" w:eastAsia="仿宋_GB2312"/>
          <w:b/>
          <w:sz w:val="28"/>
          <w:szCs w:val="28"/>
        </w:rPr>
        <w:t>2.未定事项假设</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无未定事项假设。</w:t>
      </w:r>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hAnsi="仿宋_GB2312" w:eastAsia="仿宋_GB2312"/>
          <w:b/>
          <w:sz w:val="28"/>
          <w:szCs w:val="28"/>
        </w:rPr>
      </w:pPr>
      <w:r>
        <w:rPr>
          <w:rFonts w:hint="eastAsia" w:hAnsi="仿宋_GB2312" w:eastAsia="仿宋_GB2312"/>
          <w:b/>
          <w:sz w:val="28"/>
          <w:szCs w:val="28"/>
        </w:rPr>
        <w:t>3.背离事实假设</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lang w:eastAsia="zh-CN"/>
        </w:rPr>
        <w:t>（</w:t>
      </w:r>
      <w:r>
        <w:rPr>
          <w:rFonts w:hint="eastAsia" w:hAnsi="仿宋_GB2312" w:eastAsia="仿宋_GB2312"/>
          <w:sz w:val="28"/>
          <w:szCs w:val="28"/>
          <w:lang w:val="en-US" w:eastAsia="zh-CN"/>
        </w:rPr>
        <w:t>1</w:t>
      </w:r>
      <w:r>
        <w:rPr>
          <w:rFonts w:hint="eastAsia" w:hAnsi="仿宋_GB2312" w:eastAsia="仿宋_GB2312"/>
          <w:sz w:val="28"/>
          <w:szCs w:val="28"/>
          <w:lang w:eastAsia="zh-CN"/>
        </w:rPr>
        <w:t>）</w:t>
      </w:r>
      <w:r>
        <w:rPr>
          <w:rFonts w:hAnsi="仿宋_GB2312" w:eastAsia="仿宋_GB2312"/>
          <w:sz w:val="28"/>
          <w:szCs w:val="28"/>
        </w:rPr>
        <w:t>根据</w:t>
      </w:r>
      <w:r>
        <w:rPr>
          <w:rFonts w:hint="eastAsia" w:hAnsi="仿宋_GB2312" w:eastAsia="仿宋_GB2312"/>
          <w:sz w:val="28"/>
          <w:szCs w:val="28"/>
        </w:rPr>
        <w:t>委托方提供的</w:t>
      </w:r>
      <w:r>
        <w:rPr>
          <w:rFonts w:hint="eastAsia" w:eastAsia="仿宋_GB2312"/>
          <w:sz w:val="28"/>
          <w:szCs w:val="28"/>
        </w:rPr>
        <w:t>《巴彦淖尔市临河区人民法院执行裁定书》</w:t>
      </w:r>
      <w:r>
        <w:rPr>
          <w:rFonts w:hint="eastAsia" w:ascii="仿宋_GB2312" w:hAnsi="仿宋_GB2312" w:eastAsia="仿宋_GB2312" w:cs="仿宋_GB2312"/>
          <w:sz w:val="28"/>
          <w:szCs w:val="28"/>
        </w:rPr>
        <w:t>[</w:t>
      </w:r>
      <w:r>
        <w:rPr>
          <w:rFonts w:hint="eastAsia" w:eastAsia="仿宋_GB2312"/>
          <w:sz w:val="28"/>
          <w:szCs w:val="28"/>
          <w:lang w:eastAsia="zh-CN"/>
        </w:rPr>
        <w:t>（2019）内0802执1352号之一</w:t>
      </w:r>
      <w:r>
        <w:rPr>
          <w:rFonts w:hint="eastAsia" w:ascii="仿宋_GB2312" w:hAnsi="仿宋_GB2312" w:eastAsia="仿宋_GB2312" w:cs="仿宋_GB2312"/>
          <w:sz w:val="28"/>
          <w:szCs w:val="28"/>
        </w:rPr>
        <w:t>]</w:t>
      </w:r>
      <w:r>
        <w:rPr>
          <w:rFonts w:hint="eastAsia" w:hAnsi="仿宋_GB2312" w:eastAsia="仿宋_GB2312"/>
          <w:sz w:val="28"/>
          <w:szCs w:val="28"/>
        </w:rPr>
        <w:t>可知，</w:t>
      </w:r>
      <w:r>
        <w:rPr>
          <w:rFonts w:hint="eastAsia" w:hAnsi="仿宋_GB2312" w:eastAsia="仿宋_GB2312"/>
          <w:sz w:val="28"/>
          <w:szCs w:val="28"/>
          <w:lang w:eastAsia="zh-CN"/>
        </w:rPr>
        <w:t>估价</w:t>
      </w:r>
      <w:r>
        <w:rPr>
          <w:rFonts w:hAnsi="仿宋_GB2312" w:eastAsia="仿宋_GB2312"/>
          <w:sz w:val="28"/>
          <w:szCs w:val="28"/>
        </w:rPr>
        <w:t>对象存在</w:t>
      </w:r>
      <w:r>
        <w:rPr>
          <w:rFonts w:hint="eastAsia" w:hAnsi="仿宋_GB2312" w:eastAsia="仿宋_GB2312"/>
          <w:sz w:val="28"/>
          <w:szCs w:val="28"/>
        </w:rPr>
        <w:t>查封情况。</w:t>
      </w:r>
      <w:r>
        <w:rPr>
          <w:rFonts w:hAnsi="仿宋_GB2312" w:eastAsia="仿宋_GB2312"/>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hAnsi="仿宋_GB2312" w:eastAsia="仿宋_GB2312"/>
          <w:sz w:val="28"/>
          <w:szCs w:val="28"/>
        </w:rPr>
        <w:t>查封</w:t>
      </w:r>
      <w:r>
        <w:rPr>
          <w:rFonts w:hAnsi="仿宋_GB2312" w:eastAsia="仿宋_GB2312"/>
          <w:sz w:val="28"/>
          <w:szCs w:val="28"/>
        </w:rPr>
        <w:t>情况。</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ascii="Times New Roman" w:hAnsi="仿宋_GB2312" w:eastAsia="仿宋_GB2312" w:cs="Times New Roman"/>
          <w:sz w:val="28"/>
          <w:szCs w:val="28"/>
        </w:rPr>
      </w:pPr>
      <w:r>
        <w:rPr>
          <w:rFonts w:hint="eastAsia" w:ascii="Times New Roman" w:hAnsi="仿宋_GB2312" w:eastAsia="仿宋_GB2312" w:cs="Times New Roman"/>
          <w:sz w:val="28"/>
          <w:szCs w:val="28"/>
          <w:lang w:eastAsia="zh-CN"/>
        </w:rPr>
        <w:t>（</w:t>
      </w:r>
      <w:r>
        <w:rPr>
          <w:rFonts w:hint="eastAsia" w:ascii="Times New Roman" w:hAnsi="仿宋_GB2312" w:eastAsia="仿宋_GB2312" w:cs="Times New Roman"/>
          <w:sz w:val="28"/>
          <w:szCs w:val="28"/>
          <w:lang w:val="en-US" w:eastAsia="zh-CN"/>
        </w:rPr>
        <w:t>2</w:t>
      </w:r>
      <w:r>
        <w:rPr>
          <w:rFonts w:hint="eastAsia" w:ascii="Times New Roman" w:hAnsi="仿宋_GB2312" w:eastAsia="仿宋_GB2312" w:cs="Times New Roman"/>
          <w:sz w:val="28"/>
          <w:szCs w:val="28"/>
          <w:lang w:eastAsia="zh-CN"/>
        </w:rPr>
        <w:t>）</w:t>
      </w:r>
      <w:r>
        <w:rPr>
          <w:rFonts w:hint="eastAsia" w:ascii="Times New Roman" w:hAnsi="仿宋_GB2312" w:eastAsia="仿宋_GB2312" w:cs="Times New Roman"/>
          <w:sz w:val="28"/>
          <w:szCs w:val="28"/>
        </w:rPr>
        <w:t>根据委托方提供的《内蒙古自治区房地产权属登记簿》</w:t>
      </w:r>
      <w:r>
        <w:rPr>
          <w:rFonts w:hint="eastAsia" w:ascii="Times New Roman" w:hAnsi="仿宋_GB2312" w:eastAsia="仿宋_GB2312" w:cs="Times New Roman"/>
          <w:sz w:val="28"/>
          <w:szCs w:val="28"/>
          <w:lang w:eastAsia="zh-CN"/>
        </w:rPr>
        <w:t>可知，估价对象存在抵押情况。</w:t>
      </w:r>
      <w:r>
        <w:rPr>
          <w:rFonts w:hint="eastAsia" w:ascii="Times New Roman" w:hAnsi="仿宋_GB2312" w:eastAsia="仿宋_GB2312" w:cs="Times New Roman"/>
          <w:sz w:val="28"/>
          <w:szCs w:val="28"/>
        </w:rPr>
        <w:t>《内蒙古自治区房地产权属登记簿》</w:t>
      </w:r>
      <w:r>
        <w:rPr>
          <w:rFonts w:hint="eastAsia" w:ascii="Times New Roman" w:hAnsi="仿宋_GB2312" w:eastAsia="仿宋_GB2312" w:cs="Times New Roman"/>
          <w:sz w:val="28"/>
          <w:szCs w:val="28"/>
          <w:lang w:eastAsia="zh-CN"/>
        </w:rPr>
        <w:t>中抵押登记信息记载，抵押权人为杨利平，抵押人为闫子琴、刘培军，登记日期为</w:t>
      </w:r>
      <w:r>
        <w:rPr>
          <w:rFonts w:hint="eastAsia" w:ascii="Times New Roman" w:hAnsi="仿宋_GB2312" w:eastAsia="仿宋_GB2312" w:cs="Times New Roman"/>
          <w:sz w:val="28"/>
          <w:szCs w:val="28"/>
          <w:lang w:val="en-US" w:eastAsia="zh-CN"/>
        </w:rPr>
        <w:t>2018年10月30日，他项权利证书号为102041804320，权利范围为22.34平方米，权利价值为80000元，约定期限为2018年10月30日至2019年1月29日。</w:t>
      </w:r>
      <w:r>
        <w:rPr>
          <w:rFonts w:hint="eastAsia" w:ascii="Times New Roman" w:hAnsi="仿宋_GB2312" w:eastAsia="仿宋_GB2312" w:cs="Times New Roman"/>
          <w:sz w:val="28"/>
          <w:szCs w:val="28"/>
        </w:rPr>
        <w:t>根据《房地产估价规范》（</w:t>
      </w:r>
      <w:r>
        <w:rPr>
          <w:rFonts w:ascii="Times New Roman" w:hAnsi="仿宋_GB2312" w:eastAsia="仿宋_GB2312" w:cs="Times New Roman"/>
          <w:sz w:val="28"/>
          <w:szCs w:val="28"/>
        </w:rPr>
        <w:t>GB/T50291-2015</w:t>
      </w:r>
      <w:r>
        <w:rPr>
          <w:rFonts w:hint="eastAsia" w:ascii="Times New Roman" w:hAnsi="仿宋_GB2312" w:eastAsia="仿宋_GB2312" w:cs="Times New Roman"/>
          <w:sz w:val="28"/>
          <w:szCs w:val="28"/>
        </w:rPr>
        <w:t>）第</w:t>
      </w:r>
      <w:r>
        <w:rPr>
          <w:rFonts w:ascii="Times New Roman" w:hAnsi="仿宋_GB2312" w:eastAsia="仿宋_GB2312" w:cs="Times New Roman"/>
          <w:sz w:val="28"/>
          <w:szCs w:val="28"/>
        </w:rPr>
        <w:t>5.4</w:t>
      </w:r>
      <w:r>
        <w:rPr>
          <w:rFonts w:hint="eastAsia" w:ascii="Times New Roman" w:hAnsi="仿宋_GB2312" w:eastAsia="仿宋_GB2312" w:cs="Times New Roman"/>
          <w:sz w:val="28"/>
          <w:szCs w:val="28"/>
        </w:rPr>
        <w:t>条：</w:t>
      </w:r>
      <w:r>
        <w:rPr>
          <w:rFonts w:ascii="Times New Roman" w:hAnsi="仿宋_GB2312" w:eastAsia="仿宋_GB2312" w:cs="Times New Roman"/>
          <w:sz w:val="28"/>
          <w:szCs w:val="28"/>
        </w:rPr>
        <w:t>“</w:t>
      </w:r>
      <w:r>
        <w:rPr>
          <w:rFonts w:hint="eastAsia" w:ascii="Times New Roman" w:hAnsi="仿宋_GB2312" w:eastAsia="仿宋_GB2312" w:cs="Times New Roman"/>
          <w:sz w:val="28"/>
          <w:szCs w:val="28"/>
        </w:rPr>
        <w:t>房地产司法拍卖估价时，评估价值的影响因素应包括拍卖房地产的瑕疵，但不应包括拍卖房地产被查封及拍卖房地产上原有的担保物权和其他优先受偿权。</w:t>
      </w:r>
      <w:r>
        <w:rPr>
          <w:rFonts w:ascii="Times New Roman" w:hAnsi="仿宋_GB2312" w:eastAsia="仿宋_GB2312" w:cs="Times New Roman"/>
          <w:sz w:val="28"/>
          <w:szCs w:val="28"/>
        </w:rPr>
        <w:t>”</w:t>
      </w:r>
      <w:r>
        <w:rPr>
          <w:rFonts w:hint="eastAsia" w:ascii="Times New Roman" w:hAnsi="仿宋_GB2312" w:eastAsia="仿宋_GB2312" w:cs="Times New Roman"/>
          <w:sz w:val="28"/>
          <w:szCs w:val="28"/>
        </w:rPr>
        <w:t>故本次评估未考虑其</w:t>
      </w:r>
      <w:r>
        <w:rPr>
          <w:rFonts w:hint="eastAsia" w:ascii="Times New Roman" w:hAnsi="仿宋_GB2312" w:eastAsia="仿宋_GB2312" w:cs="Times New Roman"/>
          <w:sz w:val="28"/>
          <w:szCs w:val="28"/>
          <w:lang w:eastAsia="zh-CN"/>
        </w:rPr>
        <w:t>抵押</w:t>
      </w:r>
      <w:r>
        <w:rPr>
          <w:rFonts w:hint="eastAsia" w:ascii="Times New Roman" w:hAnsi="仿宋_GB2312" w:eastAsia="仿宋_GB2312" w:cs="Times New Roman"/>
          <w:sz w:val="28"/>
          <w:szCs w:val="28"/>
        </w:rPr>
        <w:t>情况。提醒报告使用者关注此点</w:t>
      </w:r>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hAnsi="仿宋_GB2312" w:eastAsia="仿宋_GB2312"/>
          <w:b/>
          <w:sz w:val="28"/>
          <w:szCs w:val="28"/>
        </w:rPr>
      </w:pPr>
      <w:r>
        <w:rPr>
          <w:rFonts w:hint="eastAsia" w:hAnsi="仿宋_GB2312" w:eastAsia="仿宋_GB2312"/>
          <w:b/>
          <w:sz w:val="28"/>
          <w:szCs w:val="28"/>
        </w:rPr>
        <w:t>4.不相一致假设</w:t>
      </w:r>
    </w:p>
    <w:p>
      <w:pPr>
        <w:keepNext w:val="0"/>
        <w:keepLines w:val="0"/>
        <w:pageBreakBefore w:val="0"/>
        <w:widowControl w:val="0"/>
        <w:kinsoku/>
        <w:wordWrap/>
        <w:overflowPunct/>
        <w:topLinePunct w:val="0"/>
        <w:bidi w:val="0"/>
        <w:snapToGrid/>
        <w:spacing w:after="0" w:line="560" w:lineRule="exact"/>
        <w:ind w:firstLine="700" w:firstLineChars="250"/>
        <w:textAlignment w:val="auto"/>
        <w:rPr>
          <w:rFonts w:hAnsi="仿宋_GB2312" w:eastAsia="仿宋_GB2312"/>
          <w:sz w:val="28"/>
          <w:szCs w:val="28"/>
        </w:rPr>
      </w:pPr>
      <w:r>
        <w:rPr>
          <w:rFonts w:hint="eastAsia" w:hAnsi="仿宋_GB2312" w:eastAsia="仿宋_GB2312"/>
          <w:sz w:val="28"/>
          <w:szCs w:val="28"/>
        </w:rPr>
        <w:t>无不相一致假设。</w:t>
      </w:r>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hAnsi="仿宋_GB2312" w:eastAsia="仿宋_GB2312"/>
          <w:b/>
          <w:sz w:val="28"/>
          <w:szCs w:val="28"/>
        </w:rPr>
      </w:pPr>
      <w:r>
        <w:rPr>
          <w:rFonts w:hint="eastAsia" w:hAnsi="仿宋_GB2312" w:eastAsia="仿宋_GB2312"/>
          <w:b/>
          <w:sz w:val="28"/>
          <w:szCs w:val="28"/>
        </w:rPr>
        <w:t>5. 依据不足假设</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（1）委托方提供的《内蒙古自治区房地产权属登记簿》中未载明</w:t>
      </w:r>
      <w:r>
        <w:rPr>
          <w:rFonts w:hint="eastAsia" w:hAnsi="仿宋_GB2312" w:eastAsia="仿宋_GB2312"/>
          <w:sz w:val="28"/>
          <w:szCs w:val="28"/>
          <w:lang w:eastAsia="zh-CN"/>
        </w:rPr>
        <w:t>估价</w:t>
      </w:r>
      <w:r>
        <w:rPr>
          <w:rFonts w:hint="eastAsia" w:hAnsi="仿宋_GB2312" w:eastAsia="仿宋_GB2312"/>
          <w:sz w:val="28"/>
          <w:szCs w:val="28"/>
        </w:rPr>
        <w:t>对象的建成年代。根据估价人员现场勘查及问询，</w:t>
      </w:r>
      <w:r>
        <w:rPr>
          <w:rFonts w:hint="eastAsia" w:hAnsi="仿宋_GB2312" w:eastAsia="仿宋_GB2312"/>
          <w:sz w:val="28"/>
          <w:szCs w:val="28"/>
          <w:lang w:eastAsia="zh-CN"/>
        </w:rPr>
        <w:t>估价</w:t>
      </w:r>
      <w:r>
        <w:rPr>
          <w:rFonts w:hint="eastAsia" w:hAnsi="仿宋_GB2312" w:eastAsia="仿宋_GB2312"/>
          <w:sz w:val="28"/>
          <w:szCs w:val="28"/>
        </w:rPr>
        <w:t>对象建成年代为</w:t>
      </w:r>
      <w:r>
        <w:rPr>
          <w:rFonts w:hint="eastAsia" w:hAnsi="仿宋_GB2312" w:eastAsia="仿宋_GB2312"/>
          <w:sz w:val="28"/>
          <w:szCs w:val="28"/>
          <w:lang w:eastAsia="zh-CN"/>
        </w:rPr>
        <w:t>2010</w:t>
      </w:r>
      <w:r>
        <w:rPr>
          <w:rFonts w:hint="eastAsia" w:hAnsi="仿宋_GB2312" w:eastAsia="仿宋_GB2312"/>
          <w:sz w:val="28"/>
          <w:szCs w:val="28"/>
        </w:rPr>
        <w:t>年。</w:t>
      </w:r>
      <w:r>
        <w:rPr>
          <w:rFonts w:hint="eastAsia" w:eastAsia="仿宋_GB2312"/>
          <w:sz w:val="28"/>
          <w:szCs w:val="28"/>
        </w:rPr>
        <w:t>故本次评估房屋建成年代以现场实地勘查为准</w:t>
      </w:r>
      <w:r>
        <w:rPr>
          <w:rFonts w:hint="eastAsia" w:hAnsi="仿宋_GB2312" w:eastAsia="仿宋_GB2312"/>
          <w:sz w:val="28"/>
          <w:szCs w:val="28"/>
        </w:rPr>
        <w:t>。提醒报告使用者关注此点。</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560" w:firstLineChars="200"/>
        <w:jc w:val="left"/>
        <w:textAlignment w:val="auto"/>
        <w:rPr>
          <w:rFonts w:hint="eastAsia" w:hAnsi="仿宋_GB2312" w:eastAsia="仿宋_GB2312"/>
          <w:sz w:val="28"/>
          <w:szCs w:val="28"/>
        </w:rPr>
      </w:pPr>
      <w:r>
        <w:rPr>
          <w:rFonts w:hint="eastAsia" w:hAnsi="仿宋_GB2312" w:eastAsia="仿宋_GB2312"/>
          <w:sz w:val="28"/>
          <w:szCs w:val="28"/>
        </w:rPr>
        <w:t>（2）估价人员对</w:t>
      </w:r>
      <w:r>
        <w:rPr>
          <w:rFonts w:hint="eastAsia" w:hAnsi="仿宋_GB2312" w:eastAsia="仿宋_GB2312"/>
          <w:sz w:val="28"/>
          <w:szCs w:val="28"/>
          <w:lang w:eastAsia="zh-CN"/>
        </w:rPr>
        <w:t>估价</w:t>
      </w:r>
      <w:r>
        <w:rPr>
          <w:rFonts w:hint="eastAsia" w:hAnsi="仿宋_GB2312" w:eastAsia="仿宋_GB2312"/>
          <w:sz w:val="28"/>
          <w:szCs w:val="28"/>
        </w:rPr>
        <w:t>对象欠缴税费、拖欠物业费、供暖费、水电气费等情况进行了必要的关注，但受到相关部门的限制，未能掌握相关的情况及金额。提醒报告使用者关注此点。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420" w:leftChars="200"/>
        <w:textAlignment w:val="auto"/>
        <w:rPr>
          <w:rFonts w:hint="eastAsia" w:hAnsi="仿宋_GB2312" w:eastAsia="仿宋_GB2312"/>
          <w:sz w:val="28"/>
          <w:szCs w:val="28"/>
          <w:lang w:eastAsia="zh-CN"/>
        </w:rPr>
      </w:pPr>
      <w:r>
        <w:rPr>
          <w:rFonts w:hint="eastAsia" w:hAnsi="仿宋_GB2312" w:eastAsia="仿宋_GB2312"/>
          <w:sz w:val="28"/>
          <w:szCs w:val="28"/>
          <w:lang w:eastAsia="zh-CN"/>
        </w:rPr>
        <w:t>（</w:t>
      </w:r>
      <w:r>
        <w:rPr>
          <w:rFonts w:hint="eastAsia" w:hAnsi="仿宋_GB2312" w:eastAsia="仿宋_GB2312"/>
          <w:sz w:val="28"/>
          <w:szCs w:val="28"/>
          <w:lang w:val="en-US" w:eastAsia="zh-CN"/>
        </w:rPr>
        <w:t>3</w:t>
      </w:r>
      <w:r>
        <w:rPr>
          <w:rFonts w:hint="eastAsia" w:hAnsi="仿宋_GB2312" w:eastAsia="仿宋_GB2312"/>
          <w:sz w:val="28"/>
          <w:szCs w:val="28"/>
          <w:lang w:eastAsia="zh-CN"/>
        </w:rPr>
        <w:t>）</w:t>
      </w:r>
      <w:r>
        <w:rPr>
          <w:rFonts w:hint="eastAsia" w:hAnsi="仿宋_GB2312" w:eastAsia="仿宋_GB2312"/>
          <w:sz w:val="28"/>
          <w:szCs w:val="28"/>
        </w:rPr>
        <w:t>委托方提供</w:t>
      </w:r>
      <w:r>
        <w:rPr>
          <w:rFonts w:hint="eastAsia" w:hAnsi="仿宋_GB2312" w:eastAsia="仿宋_GB2312"/>
          <w:sz w:val="28"/>
          <w:szCs w:val="28"/>
          <w:lang w:eastAsia="zh-CN"/>
        </w:rPr>
        <w:t>的</w:t>
      </w:r>
      <w:r>
        <w:rPr>
          <w:rFonts w:hint="eastAsia" w:hAnsi="仿宋_GB2312" w:eastAsia="仿宋_GB2312"/>
          <w:sz w:val="28"/>
          <w:szCs w:val="28"/>
        </w:rPr>
        <w:t>《内蒙古自治区房地产权属登记簿》</w:t>
      </w:r>
      <w:r>
        <w:rPr>
          <w:rFonts w:hint="eastAsia" w:hAnsi="仿宋_GB2312" w:eastAsia="仿宋_GB2312"/>
          <w:sz w:val="28"/>
          <w:szCs w:val="28"/>
          <w:lang w:eastAsia="zh-CN"/>
        </w:rPr>
        <w:t>中</w:t>
      </w:r>
      <w:r>
        <w:rPr>
          <w:rFonts w:hint="eastAsia" w:hAnsi="仿宋_GB2312" w:eastAsia="仿宋_GB2312"/>
          <w:sz w:val="28"/>
          <w:szCs w:val="28"/>
        </w:rPr>
        <w:t>未载明</w:t>
      </w:r>
      <w:r>
        <w:rPr>
          <w:rFonts w:hint="eastAsia" w:hAnsi="仿宋_GB2312" w:eastAsia="仿宋_GB2312"/>
          <w:sz w:val="28"/>
          <w:szCs w:val="28"/>
          <w:lang w:eastAsia="zh-CN"/>
        </w:rPr>
        <w:t>估价</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eastAsia" w:hAnsi="仿宋_GB2312" w:eastAsia="仿宋_GB2312"/>
          <w:sz w:val="28"/>
          <w:szCs w:val="28"/>
          <w:lang w:eastAsia="zh-CN"/>
        </w:rPr>
      </w:pPr>
      <w:r>
        <w:rPr>
          <w:rFonts w:hint="eastAsia" w:hAnsi="仿宋_GB2312" w:eastAsia="仿宋_GB2312"/>
          <w:sz w:val="28"/>
          <w:szCs w:val="28"/>
        </w:rPr>
        <w:t>对象的</w:t>
      </w:r>
      <w:r>
        <w:rPr>
          <w:rFonts w:hint="eastAsia" w:hAnsi="仿宋_GB2312" w:eastAsia="仿宋_GB2312"/>
          <w:sz w:val="28"/>
          <w:szCs w:val="28"/>
          <w:lang w:eastAsia="zh-CN"/>
        </w:rPr>
        <w:t>使用权类型</w:t>
      </w:r>
      <w:r>
        <w:rPr>
          <w:rFonts w:hint="eastAsia" w:hAnsi="仿宋_GB2312" w:eastAsia="仿宋_GB2312"/>
          <w:sz w:val="28"/>
          <w:szCs w:val="28"/>
        </w:rPr>
        <w:t>，此次设定土地使用权类型为出让，且假设本次评估结果成立前提条件之一为</w:t>
      </w:r>
      <w:r>
        <w:rPr>
          <w:rFonts w:hint="eastAsia" w:hAnsi="仿宋_GB2312" w:eastAsia="仿宋_GB2312"/>
          <w:sz w:val="28"/>
          <w:szCs w:val="28"/>
          <w:lang w:eastAsia="zh-CN"/>
        </w:rPr>
        <w:t>估价</w:t>
      </w:r>
      <w:r>
        <w:rPr>
          <w:rFonts w:hint="eastAsia" w:hAnsi="仿宋_GB2312" w:eastAsia="仿宋_GB2312"/>
          <w:sz w:val="28"/>
          <w:szCs w:val="28"/>
        </w:rPr>
        <w:t>对象的土地权属无争议，并且委托方可享受按其建筑面积所应分摊土地资产的使用权所带来的收益。提醒委托人在使用报告时关注此点。</w:t>
      </w:r>
    </w:p>
    <w:p>
      <w:pPr>
        <w:keepNext w:val="0"/>
        <w:keepLines w:val="0"/>
        <w:pageBreakBefore w:val="0"/>
        <w:widowControl w:val="0"/>
        <w:kinsoku/>
        <w:wordWrap/>
        <w:overflowPunct/>
        <w:topLinePunct w:val="0"/>
        <w:bidi w:val="0"/>
        <w:snapToGrid/>
        <w:spacing w:after="0" w:line="560" w:lineRule="exact"/>
        <w:ind w:firstLine="562" w:firstLineChars="200"/>
        <w:textAlignment w:val="auto"/>
        <w:rPr>
          <w:rFonts w:hAnsi="仿宋_GB2312" w:eastAsia="仿宋_GB2312"/>
          <w:b/>
          <w:sz w:val="28"/>
          <w:szCs w:val="28"/>
        </w:rPr>
      </w:pPr>
      <w:r>
        <w:rPr>
          <w:rFonts w:hint="eastAsia" w:hAnsi="仿宋_GB2312" w:eastAsia="仿宋_GB2312"/>
          <w:b/>
          <w:sz w:val="28"/>
          <w:szCs w:val="28"/>
        </w:rPr>
        <w:t>6. 估价报告使用限制</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（1）本估价报告书仅为</w:t>
      </w:r>
      <w:r>
        <w:rPr>
          <w:rFonts w:hAnsi="仿宋_GB2312" w:eastAsia="仿宋_GB2312"/>
          <w:sz w:val="28"/>
          <w:szCs w:val="28"/>
        </w:rPr>
        <w:t>为</w:t>
      </w:r>
      <w:r>
        <w:rPr>
          <w:rFonts w:hint="eastAsia" w:hAnsi="仿宋_GB2312" w:eastAsia="仿宋_GB2312"/>
          <w:sz w:val="28"/>
          <w:szCs w:val="28"/>
        </w:rPr>
        <w:t>人民法院确定财产处置参考价提供</w:t>
      </w:r>
      <w:r>
        <w:rPr>
          <w:rFonts w:hAnsi="仿宋_GB2312" w:eastAsia="仿宋_GB2312"/>
          <w:sz w:val="28"/>
          <w:szCs w:val="28"/>
        </w:rPr>
        <w:t>参考依据</w:t>
      </w:r>
      <w:r>
        <w:rPr>
          <w:rFonts w:hint="eastAsia" w:hAnsi="仿宋_GB2312" w:eastAsia="仿宋_GB2312"/>
          <w:sz w:val="28"/>
          <w:szCs w:val="28"/>
        </w:rPr>
        <w:t>，不作其他估价目的之用。如果估价条件或目的发生变化，估价报告需做相应调整。</w:t>
      </w:r>
    </w:p>
    <w:p>
      <w:pPr>
        <w:keepNext w:val="0"/>
        <w:keepLines w:val="0"/>
        <w:pageBreakBefore w:val="0"/>
        <w:widowControl w:val="0"/>
        <w:kinsoku/>
        <w:wordWrap/>
        <w:overflowPunct/>
        <w:topLinePunct w:val="0"/>
        <w:bidi w:val="0"/>
        <w:snapToGrid/>
        <w:spacing w:after="0" w:line="560" w:lineRule="exact"/>
        <w:ind w:firstLine="560"/>
        <w:textAlignment w:val="auto"/>
        <w:rPr>
          <w:rFonts w:hAnsi="仿宋_GB2312" w:eastAsia="仿宋_GB2312"/>
          <w:sz w:val="28"/>
          <w:szCs w:val="28"/>
        </w:rPr>
      </w:pPr>
      <w:r>
        <w:rPr>
          <w:rFonts w:hint="eastAsia" w:hAnsi="仿宋_GB2312" w:eastAsia="仿宋_GB2312"/>
          <w:sz w:val="28"/>
          <w:szCs w:val="28"/>
        </w:rPr>
        <w:t>（2）报告中的数据全部采用电算化连续计算得出，由于在报告中计算的数据均按照四舍五入保留两位小数或者取整，因此，可能出现个别等式左右不完全相等的情况，但不影响结果以及最终评估结论的准确性。</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（3）未经本估价机构书面同意，本报告的全部或任何一部分均不得向估价委托人、报告使用者、报告审查部门之外的单位和个人提供，也不得以任何形式公开发表。</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（4）本报告必须完整使用方为有效，对仅使用本报告中部分内容而导致可能的损失，本估价机构不承担责任。</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（5）本次估价结果受价值时点的限制，且本估价报告使用期限自估价报告出具之日</w:t>
      </w:r>
      <w:r>
        <w:rPr>
          <w:rFonts w:hAnsi="仿宋_GB2312" w:eastAsia="仿宋_GB2312"/>
          <w:sz w:val="28"/>
          <w:szCs w:val="28"/>
        </w:rPr>
        <w:t>二</w:t>
      </w:r>
      <w:r>
        <w:rPr>
          <w:rFonts w:hint="eastAsia" w:hAnsi="仿宋_GB2312" w:eastAsia="仿宋_GB2312"/>
          <w:sz w:val="28"/>
          <w:szCs w:val="28"/>
        </w:rPr>
        <w:t>○一九年</w:t>
      </w:r>
      <w:r>
        <w:rPr>
          <w:rFonts w:hint="eastAsia" w:hAnsi="仿宋_GB2312" w:eastAsia="仿宋_GB2312"/>
          <w:sz w:val="28"/>
          <w:szCs w:val="28"/>
          <w:lang w:eastAsia="zh-CN"/>
        </w:rPr>
        <w:t>十一月二十五日</w:t>
      </w:r>
      <w:r>
        <w:rPr>
          <w:rFonts w:hint="eastAsia" w:hAnsi="仿宋_GB2312" w:eastAsia="仿宋_GB2312"/>
          <w:sz w:val="28"/>
          <w:szCs w:val="28"/>
        </w:rPr>
        <w:t>起为壹年。若报告使用期限内，房地产市场、建筑市场或估价对象自身状况发生重大变化，估价结果也需做相应调整或委托估价机构重新估价。</w:t>
      </w:r>
    </w:p>
    <w:p>
      <w:pPr>
        <w:keepNext w:val="0"/>
        <w:keepLines w:val="0"/>
        <w:pageBreakBefore w:val="0"/>
        <w:widowControl w:val="0"/>
        <w:kinsoku/>
        <w:wordWrap/>
        <w:overflowPunct/>
        <w:topLinePunct w:val="0"/>
        <w:bidi w:val="0"/>
        <w:snapToGrid/>
        <w:spacing w:after="0" w:line="560" w:lineRule="exact"/>
        <w:ind w:firstLine="560" w:firstLineChars="200"/>
        <w:textAlignment w:val="auto"/>
        <w:rPr>
          <w:rFonts w:hAnsi="仿宋_GB2312" w:eastAsia="仿宋_GB2312"/>
          <w:sz w:val="28"/>
          <w:szCs w:val="28"/>
        </w:rPr>
      </w:pPr>
      <w:r>
        <w:rPr>
          <w:rFonts w:hint="eastAsia" w:hAnsi="仿宋_GB2312" w:eastAsia="仿宋_GB2312"/>
          <w:sz w:val="28"/>
          <w:szCs w:val="28"/>
        </w:rPr>
        <w:t>（6）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pPr>
        <w:keepNext w:val="0"/>
        <w:keepLines w:val="0"/>
        <w:pageBreakBefore w:val="0"/>
        <w:widowControl w:val="0"/>
        <w:kinsoku/>
        <w:wordWrap/>
        <w:overflowPunct/>
        <w:topLinePunct w:val="0"/>
        <w:bidi w:val="0"/>
        <w:snapToGrid/>
        <w:spacing w:after="0" w:line="560" w:lineRule="exact"/>
        <w:textAlignment w:val="auto"/>
        <w:rPr>
          <w:rFonts w:ascii="仿宋_GB2312" w:hAnsi="仿宋" w:eastAsia="仿宋_GB2312"/>
          <w:sz w:val="28"/>
          <w:szCs w:val="28"/>
        </w:rPr>
        <w:sectPr>
          <w:headerReference r:id="rId10" w:type="first"/>
          <w:headerReference r:id="rId8" w:type="default"/>
          <w:footerReference r:id="rId11" w:type="default"/>
          <w:headerReference r:id="rId9" w:type="even"/>
          <w:footerReference r:id="rId12" w:type="even"/>
          <w:pgSz w:w="11906" w:h="16838"/>
          <w:pgMar w:top="1814" w:right="1247" w:bottom="1418" w:left="1701" w:header="1417" w:footer="340" w:gutter="0"/>
          <w:cols w:space="720" w:num="1"/>
          <w:docGrid w:linePitch="286" w:charSpace="0"/>
        </w:sectPr>
      </w:pPr>
    </w:p>
    <w:p>
      <w:pPr>
        <w:pStyle w:val="2"/>
        <w:spacing w:before="120" w:beforeLines="50" w:after="120" w:afterLines="50" w:line="360" w:lineRule="auto"/>
        <w:jc w:val="center"/>
        <w:rPr>
          <w:rFonts w:ascii="仿宋_GB2312" w:eastAsia="仿宋_GB2312"/>
          <w:snapToGrid w:val="0"/>
          <w:kern w:val="0"/>
          <w:sz w:val="28"/>
          <w:szCs w:val="28"/>
        </w:rPr>
      </w:pPr>
      <w:bookmarkStart w:id="8" w:name="_Toc257051888"/>
      <w:bookmarkStart w:id="9" w:name="_Toc297122054"/>
      <w:bookmarkStart w:id="10" w:name="_Toc297196349"/>
      <w:bookmarkStart w:id="11" w:name="_Toc5721401"/>
      <w:bookmarkStart w:id="12" w:name="_Toc367869494"/>
      <w:bookmarkStart w:id="13" w:name="_Toc301369712"/>
      <w:bookmarkStart w:id="14" w:name="_Toc135016170"/>
      <w:bookmarkStart w:id="15" w:name="_Toc243111683"/>
      <w:bookmarkStart w:id="16" w:name="_Toc269132866"/>
      <w:bookmarkStart w:id="17" w:name="_Toc254860123"/>
      <w:bookmarkStart w:id="18" w:name="_Toc270691065"/>
      <w:bookmarkStart w:id="19" w:name="_Toc130033720"/>
      <w:bookmarkStart w:id="20" w:name="_Toc254875137"/>
      <w:bookmarkStart w:id="21" w:name="_Toc243111712"/>
      <w:r>
        <w:rPr>
          <w:rFonts w:hint="eastAsia" w:ascii="仿宋_GB2312" w:eastAsia="仿宋_GB2312"/>
          <w:snapToGrid w:val="0"/>
          <w:kern w:val="0"/>
          <w:sz w:val="28"/>
          <w:szCs w:val="28"/>
        </w:rPr>
        <w:t>三、估价结果报告</w:t>
      </w:r>
      <w:bookmarkEnd w:id="8"/>
      <w:bookmarkEnd w:id="9"/>
      <w:bookmarkEnd w:id="10"/>
      <w:bookmarkEnd w:id="11"/>
      <w:bookmarkEnd w:id="12"/>
      <w:bookmarkEnd w:id="13"/>
    </w:p>
    <w:bookmarkEnd w:id="14"/>
    <w:bookmarkEnd w:id="15"/>
    <w:bookmarkEnd w:id="16"/>
    <w:bookmarkEnd w:id="17"/>
    <w:bookmarkEnd w:id="18"/>
    <w:bookmarkEnd w:id="19"/>
    <w:bookmarkEnd w:id="20"/>
    <w:bookmarkEnd w:id="21"/>
    <w:p>
      <w:pPr>
        <w:pStyle w:val="3"/>
        <w:spacing w:before="240" w:after="240" w:line="480" w:lineRule="exact"/>
        <w:ind w:firstLine="562" w:firstLineChars="200"/>
        <w:rPr>
          <w:rFonts w:ascii="仿宋_GB2312" w:hAnsi="仿宋" w:eastAsia="仿宋_GB2312"/>
          <w:bCs w:val="0"/>
          <w:sz w:val="28"/>
          <w:szCs w:val="28"/>
        </w:rPr>
      </w:pPr>
      <w:bookmarkStart w:id="22" w:name="_Toc301369713"/>
      <w:bookmarkStart w:id="23" w:name="_Toc367869495"/>
      <w:bookmarkStart w:id="24" w:name="_Toc5721402"/>
      <w:bookmarkStart w:id="25" w:name="_Toc243111728"/>
      <w:bookmarkStart w:id="26" w:name="_Toc299004833"/>
      <w:bookmarkStart w:id="27" w:name="_Toc298936786"/>
      <w:bookmarkStart w:id="28" w:name="_Toc94587045"/>
      <w:bookmarkStart w:id="29" w:name="_Toc299005654"/>
      <w:bookmarkStart w:id="30" w:name="_Toc270691081"/>
      <w:bookmarkStart w:id="31" w:name="_Toc135016185"/>
      <w:bookmarkStart w:id="32" w:name="_Toc299007139"/>
      <w:bookmarkStart w:id="33" w:name="_Toc298936729"/>
      <w:bookmarkStart w:id="34" w:name="_Toc367869511"/>
      <w:bookmarkStart w:id="35" w:name="_Toc299006852"/>
      <w:bookmarkStart w:id="36" w:name="_Toc94587103"/>
      <w:bookmarkStart w:id="37" w:name="_Toc301369729"/>
      <w:bookmarkStart w:id="38" w:name="_Toc254860169"/>
      <w:bookmarkStart w:id="39" w:name="_Toc254875153"/>
      <w:bookmarkStart w:id="40" w:name="_Toc243111699"/>
      <w:bookmarkStart w:id="41" w:name="_Toc254860139"/>
      <w:bookmarkStart w:id="42" w:name="_Toc301369583"/>
      <w:bookmarkStart w:id="43" w:name="_Toc269132882"/>
      <w:r>
        <w:rPr>
          <w:rFonts w:hint="eastAsia" w:ascii="仿宋_GB2312" w:hAnsi="仿宋" w:eastAsia="仿宋_GB2312"/>
          <w:bCs w:val="0"/>
          <w:sz w:val="28"/>
          <w:szCs w:val="28"/>
        </w:rPr>
        <w:t>（一）估价委托人</w:t>
      </w:r>
      <w:bookmarkEnd w:id="22"/>
      <w:bookmarkEnd w:id="23"/>
      <w:bookmarkEnd w:id="24"/>
    </w:p>
    <w:p>
      <w:pPr>
        <w:adjustRightInd w:val="0"/>
        <w:snapToGrid w:val="0"/>
        <w:spacing w:line="520" w:lineRule="exact"/>
        <w:ind w:firstLine="546" w:firstLineChars="195"/>
        <w:rPr>
          <w:rFonts w:ascii="仿宋_GB2312" w:hAnsi="仿宋" w:eastAsia="仿宋_GB2312"/>
          <w:sz w:val="28"/>
          <w:szCs w:val="28"/>
        </w:rPr>
      </w:pPr>
      <w:bookmarkStart w:id="44" w:name="_Toc130033721"/>
      <w:bookmarkStart w:id="45" w:name="_Toc135016171"/>
      <w:r>
        <w:rPr>
          <w:rFonts w:hint="eastAsia" w:ascii="仿宋_GB2312" w:hAnsi="仿宋" w:eastAsia="仿宋_GB2312"/>
          <w:sz w:val="28"/>
          <w:szCs w:val="28"/>
        </w:rPr>
        <w:t>姓名：巴彦淖尔市临河区人民法院</w:t>
      </w:r>
    </w:p>
    <w:p>
      <w:pPr>
        <w:adjustRightInd w:val="0"/>
        <w:snapToGrid w:val="0"/>
        <w:spacing w:line="520" w:lineRule="exact"/>
        <w:ind w:firstLine="546" w:firstLineChars="195"/>
        <w:rPr>
          <w:rFonts w:ascii="仿宋_GB2312" w:hAnsi="仿宋" w:eastAsia="仿宋_GB2312"/>
          <w:sz w:val="28"/>
          <w:szCs w:val="28"/>
        </w:rPr>
      </w:pPr>
      <w:bookmarkStart w:id="46" w:name="_Toc301369714"/>
      <w:bookmarkStart w:id="47" w:name="_Toc269132867"/>
      <w:bookmarkStart w:id="48" w:name="_Toc254875138"/>
      <w:bookmarkStart w:id="49" w:name="_Toc243111684"/>
      <w:bookmarkStart w:id="50" w:name="_Toc367869496"/>
      <w:bookmarkStart w:id="51" w:name="_Toc254860124"/>
      <w:bookmarkStart w:id="52" w:name="_Toc270691066"/>
      <w:bookmarkStart w:id="53" w:name="_Toc243111713"/>
      <w:r>
        <w:rPr>
          <w:rFonts w:hint="eastAsia" w:ascii="仿宋_GB2312" w:hAnsi="仿宋" w:eastAsia="仿宋_GB2312"/>
          <w:sz w:val="28"/>
          <w:szCs w:val="28"/>
        </w:rPr>
        <w:t>联</w:t>
      </w:r>
      <w:r>
        <w:rPr>
          <w:rFonts w:ascii="仿宋_GB2312" w:hAnsi="仿宋" w:eastAsia="仿宋_GB2312"/>
          <w:sz w:val="28"/>
          <w:szCs w:val="28"/>
        </w:rPr>
        <w:t xml:space="preserve">  系  人：</w:t>
      </w:r>
      <w:r>
        <w:rPr>
          <w:rFonts w:hint="eastAsia" w:ascii="仿宋_GB2312" w:hAnsi="仿宋" w:eastAsia="仿宋_GB2312"/>
          <w:sz w:val="28"/>
          <w:szCs w:val="28"/>
        </w:rPr>
        <w:t>袁德惠</w:t>
      </w:r>
    </w:p>
    <w:p>
      <w:pPr>
        <w:adjustRightInd w:val="0"/>
        <w:snapToGrid w:val="0"/>
        <w:spacing w:line="520" w:lineRule="exact"/>
        <w:ind w:firstLine="546" w:firstLineChars="195"/>
        <w:rPr>
          <w:rFonts w:ascii="仿宋_GB2312" w:hAnsi="仿宋" w:eastAsia="仿宋_GB2312"/>
          <w:sz w:val="28"/>
          <w:szCs w:val="28"/>
        </w:rPr>
      </w:pPr>
      <w:r>
        <w:rPr>
          <w:rFonts w:hint="eastAsia" w:ascii="仿宋_GB2312" w:hAnsi="仿宋" w:eastAsia="仿宋_GB2312"/>
          <w:sz w:val="28"/>
          <w:szCs w:val="28"/>
        </w:rPr>
        <w:t>联系电话：0478-8274131</w:t>
      </w:r>
    </w:p>
    <w:p>
      <w:pPr>
        <w:pStyle w:val="3"/>
        <w:spacing w:before="240" w:after="240" w:line="480" w:lineRule="exact"/>
        <w:ind w:firstLine="562" w:firstLineChars="200"/>
        <w:rPr>
          <w:rFonts w:ascii="仿宋_GB2312" w:hAnsi="仿宋" w:eastAsia="仿宋_GB2312"/>
          <w:bCs w:val="0"/>
          <w:sz w:val="28"/>
          <w:szCs w:val="28"/>
        </w:rPr>
      </w:pPr>
      <w:bookmarkStart w:id="54" w:name="_Toc5721403"/>
      <w:r>
        <w:rPr>
          <w:rFonts w:hint="eastAsia" w:ascii="仿宋_GB2312" w:hAnsi="仿宋" w:eastAsia="仿宋_GB2312"/>
          <w:bCs w:val="0"/>
          <w:sz w:val="28"/>
          <w:szCs w:val="28"/>
        </w:rPr>
        <w:t>（二）房地产估价</w:t>
      </w:r>
      <w:bookmarkEnd w:id="44"/>
      <w:bookmarkEnd w:id="45"/>
      <w:bookmarkEnd w:id="46"/>
      <w:bookmarkEnd w:id="47"/>
      <w:bookmarkEnd w:id="48"/>
      <w:bookmarkEnd w:id="49"/>
      <w:bookmarkEnd w:id="50"/>
      <w:bookmarkEnd w:id="51"/>
      <w:bookmarkEnd w:id="52"/>
      <w:bookmarkEnd w:id="53"/>
      <w:r>
        <w:rPr>
          <w:rFonts w:hint="eastAsia" w:ascii="仿宋_GB2312" w:hAnsi="仿宋" w:eastAsia="仿宋_GB2312"/>
          <w:bCs w:val="0"/>
          <w:sz w:val="28"/>
          <w:szCs w:val="28"/>
        </w:rPr>
        <w:t>机构</w:t>
      </w:r>
      <w:bookmarkEnd w:id="54"/>
    </w:p>
    <w:p>
      <w:pPr>
        <w:spacing w:line="520" w:lineRule="exact"/>
        <w:ind w:firstLine="560" w:firstLineChars="200"/>
        <w:rPr>
          <w:rFonts w:ascii="仿宋_GB2312" w:hAnsi="仿宋" w:eastAsia="仿宋_GB2312"/>
          <w:sz w:val="28"/>
          <w:szCs w:val="28"/>
        </w:rPr>
      </w:pPr>
      <w:bookmarkStart w:id="55" w:name="_Toc243111685"/>
      <w:bookmarkStart w:id="56" w:name="_Toc130033722"/>
      <w:bookmarkStart w:id="57" w:name="_Toc254875139"/>
      <w:bookmarkStart w:id="58" w:name="_Toc135016172"/>
      <w:bookmarkStart w:id="59" w:name="_Toc270691067"/>
      <w:bookmarkStart w:id="60" w:name="_Toc254860125"/>
      <w:bookmarkStart w:id="61" w:name="_Toc243111714"/>
      <w:bookmarkStart w:id="62" w:name="_Toc269132868"/>
      <w:r>
        <w:rPr>
          <w:rFonts w:hint="eastAsia" w:ascii="仿宋_GB2312" w:hAnsi="仿宋" w:eastAsia="仿宋_GB2312"/>
          <w:sz w:val="28"/>
          <w:szCs w:val="28"/>
        </w:rPr>
        <w:t>房地产估价机构：内蒙古科瑞房地产土地资产评估有限公司</w:t>
      </w:r>
    </w:p>
    <w:p>
      <w:pPr>
        <w:adjustRightInd w:val="0"/>
        <w:snapToGrid w:val="0"/>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法定代表人：赵闻科</w:t>
      </w:r>
    </w:p>
    <w:p>
      <w:pPr>
        <w:spacing w:line="520" w:lineRule="exact"/>
        <w:ind w:firstLine="560" w:firstLineChars="200"/>
        <w:rPr>
          <w:rFonts w:hint="eastAsia" w:ascii="仿宋_GB2312" w:hAnsi="仿宋" w:eastAsia="仿宋_GB2312" w:cs="Times New Roman"/>
          <w:sz w:val="28"/>
          <w:szCs w:val="28"/>
        </w:rPr>
      </w:pPr>
      <w:r>
        <w:rPr>
          <w:rFonts w:hint="eastAsia" w:ascii="仿宋_GB2312" w:hAnsi="仿宋" w:eastAsia="仿宋_GB2312" w:cs="Times New Roman"/>
          <w:sz w:val="28"/>
          <w:szCs w:val="28"/>
        </w:rPr>
        <w:t>住所：内蒙古自治区呼和浩特市新城区丁香路10号兴诚花园东区办公园区</w:t>
      </w:r>
    </w:p>
    <w:p>
      <w:pPr>
        <w:spacing w:line="520" w:lineRule="exact"/>
        <w:ind w:firstLine="560" w:firstLineChars="200"/>
        <w:rPr>
          <w:rFonts w:hint="eastAsia" w:ascii="仿宋_GB2312" w:hAnsi="仿宋" w:eastAsia="仿宋_GB2312" w:cs="Times New Roman"/>
          <w:sz w:val="28"/>
          <w:szCs w:val="28"/>
        </w:rPr>
      </w:pPr>
      <w:r>
        <w:rPr>
          <w:rFonts w:hint="eastAsia" w:ascii="仿宋_GB2312" w:hAnsi="仿宋" w:eastAsia="仿宋_GB2312" w:cs="Times New Roman"/>
          <w:sz w:val="28"/>
          <w:szCs w:val="28"/>
        </w:rPr>
        <w:t>资质等级：一级</w:t>
      </w:r>
    </w:p>
    <w:p>
      <w:pPr>
        <w:spacing w:line="520" w:lineRule="exact"/>
        <w:ind w:firstLine="560" w:firstLineChars="200"/>
        <w:rPr>
          <w:rFonts w:hint="eastAsia" w:ascii="仿宋_GB2312" w:hAnsi="仿宋" w:eastAsia="仿宋_GB2312" w:cs="Times New Roman"/>
          <w:sz w:val="28"/>
          <w:szCs w:val="28"/>
        </w:rPr>
      </w:pPr>
      <w:r>
        <w:rPr>
          <w:rFonts w:hint="eastAsia" w:ascii="仿宋_GB2312" w:hAnsi="仿宋" w:eastAsia="仿宋_GB2312" w:cs="Times New Roman"/>
          <w:sz w:val="28"/>
          <w:szCs w:val="28"/>
        </w:rPr>
        <w:t>证书编号：内建房估备字[2019]第0025号</w:t>
      </w:r>
    </w:p>
    <w:p>
      <w:pPr>
        <w:spacing w:line="520" w:lineRule="exact"/>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rPr>
        <w:t>联系人：</w:t>
      </w:r>
      <w:r>
        <w:rPr>
          <w:rFonts w:hint="eastAsia" w:ascii="仿宋_GB2312" w:hAnsi="仿宋" w:eastAsia="仿宋_GB2312" w:cs="Times New Roman"/>
          <w:sz w:val="28"/>
          <w:szCs w:val="28"/>
          <w:lang w:eastAsia="zh-CN"/>
        </w:rPr>
        <w:t>候婷瑜</w:t>
      </w:r>
    </w:p>
    <w:p>
      <w:pPr>
        <w:spacing w:line="520" w:lineRule="exact"/>
        <w:ind w:firstLine="560" w:firstLineChars="200"/>
        <w:rPr>
          <w:rFonts w:ascii="仿宋_GB2312" w:hAnsi="仿宋" w:eastAsia="仿宋_GB2312"/>
          <w:sz w:val="28"/>
          <w:szCs w:val="28"/>
        </w:rPr>
      </w:pPr>
      <w:r>
        <w:rPr>
          <w:rFonts w:hint="eastAsia" w:ascii="仿宋_GB2312" w:hAnsi="仿宋" w:eastAsia="仿宋_GB2312" w:cs="Times New Roman"/>
          <w:sz w:val="28"/>
          <w:szCs w:val="28"/>
        </w:rPr>
        <w:t>联系电话： 0478-8901165</w:t>
      </w:r>
    </w:p>
    <w:p>
      <w:pPr>
        <w:pStyle w:val="3"/>
        <w:spacing w:before="240" w:after="240" w:line="480" w:lineRule="exact"/>
        <w:ind w:firstLine="562" w:firstLineChars="200"/>
        <w:rPr>
          <w:rFonts w:ascii="仿宋_GB2312" w:hAnsi="仿宋" w:eastAsia="仿宋_GB2312"/>
          <w:bCs w:val="0"/>
          <w:sz w:val="28"/>
          <w:szCs w:val="28"/>
        </w:rPr>
      </w:pPr>
      <w:bookmarkStart w:id="63" w:name="_Toc5721404"/>
      <w:bookmarkStart w:id="64" w:name="_Toc367869497"/>
      <w:bookmarkStart w:id="65" w:name="_Toc301369715"/>
      <w:r>
        <w:rPr>
          <w:rFonts w:hint="eastAsia" w:ascii="仿宋_GB2312" w:hAnsi="仿宋" w:eastAsia="仿宋_GB2312"/>
          <w:bCs w:val="0"/>
          <w:sz w:val="28"/>
          <w:szCs w:val="28"/>
        </w:rPr>
        <w:t>（三）估价目的</w:t>
      </w:r>
      <w:bookmarkEnd w:id="63"/>
    </w:p>
    <w:p>
      <w:pPr>
        <w:adjustRightInd w:val="0"/>
        <w:snapToGrid w:val="0"/>
        <w:spacing w:line="540" w:lineRule="exact"/>
        <w:ind w:firstLine="560" w:firstLineChars="200"/>
        <w:rPr>
          <w:rFonts w:eastAsia="仿宋_GB2312"/>
          <w:sz w:val="28"/>
          <w:szCs w:val="28"/>
        </w:rPr>
      </w:pPr>
      <w:r>
        <w:rPr>
          <w:rFonts w:eastAsia="仿宋_GB2312"/>
          <w:sz w:val="28"/>
          <w:szCs w:val="28"/>
        </w:rPr>
        <w:t>委托方欲核实</w:t>
      </w:r>
      <w:r>
        <w:rPr>
          <w:rFonts w:hint="eastAsia" w:eastAsia="仿宋_GB2312"/>
          <w:sz w:val="28"/>
          <w:szCs w:val="28"/>
          <w:lang w:eastAsia="zh-CN"/>
        </w:rPr>
        <w:t>被执行人闫子琴、刘培军</w:t>
      </w:r>
      <w:r>
        <w:rPr>
          <w:rFonts w:eastAsia="仿宋_GB2312"/>
          <w:sz w:val="28"/>
          <w:szCs w:val="28"/>
        </w:rPr>
        <w:t>位于</w:t>
      </w:r>
      <w:r>
        <w:rPr>
          <w:rFonts w:hint="eastAsia" w:eastAsia="仿宋_GB2312"/>
          <w:sz w:val="28"/>
          <w:szCs w:val="28"/>
          <w:lang w:eastAsia="zh-CN"/>
        </w:rPr>
        <w:t>临河区五一西街北欧印象3-0-15车库</w:t>
      </w:r>
      <w:r>
        <w:rPr>
          <w:rFonts w:hint="eastAsia" w:ascii="仿宋_GB2312" w:hAnsi="仿宋" w:eastAsia="仿宋_GB2312"/>
          <w:sz w:val="28"/>
          <w:szCs w:val="28"/>
        </w:rPr>
        <w:t>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pStyle w:val="3"/>
        <w:spacing w:before="240" w:after="240" w:line="480" w:lineRule="exact"/>
        <w:ind w:firstLine="562" w:firstLineChars="200"/>
        <w:rPr>
          <w:rFonts w:ascii="仿宋_GB2312" w:hAnsi="仿宋" w:eastAsia="仿宋_GB2312"/>
          <w:sz w:val="28"/>
          <w:szCs w:val="28"/>
        </w:rPr>
      </w:pPr>
      <w:bookmarkStart w:id="66" w:name="_Toc5721405"/>
      <w:r>
        <w:rPr>
          <w:rFonts w:hint="eastAsia" w:ascii="仿宋_GB2312" w:hAnsi="仿宋" w:eastAsia="仿宋_GB2312"/>
          <w:bCs w:val="0"/>
          <w:sz w:val="28"/>
          <w:szCs w:val="28"/>
        </w:rPr>
        <w:t>（四）估价对象</w:t>
      </w:r>
      <w:bookmarkEnd w:id="55"/>
      <w:bookmarkEnd w:id="56"/>
      <w:bookmarkEnd w:id="57"/>
      <w:bookmarkEnd w:id="58"/>
      <w:bookmarkEnd w:id="59"/>
      <w:bookmarkEnd w:id="60"/>
      <w:bookmarkEnd w:id="61"/>
      <w:bookmarkEnd w:id="62"/>
      <w:bookmarkEnd w:id="64"/>
      <w:bookmarkEnd w:id="65"/>
      <w:bookmarkEnd w:id="66"/>
    </w:p>
    <w:p>
      <w:pPr>
        <w:adjustRightInd w:val="0"/>
        <w:snapToGrid w:val="0"/>
        <w:spacing w:line="360" w:lineRule="auto"/>
        <w:ind w:firstLine="562" w:firstLineChars="200"/>
        <w:rPr>
          <w:rFonts w:ascii="仿宋_GB2312" w:hAnsi="仿宋" w:eastAsia="仿宋_GB2312"/>
          <w:sz w:val="28"/>
          <w:szCs w:val="28"/>
        </w:rPr>
      </w:pPr>
      <w:r>
        <w:rPr>
          <w:rFonts w:hint="eastAsia" w:ascii="仿宋_GB2312" w:hAnsi="仿宋" w:eastAsia="仿宋_GB2312"/>
          <w:b/>
          <w:sz w:val="28"/>
          <w:szCs w:val="28"/>
        </w:rPr>
        <w:t>1.估价对象权利登记状况</w:t>
      </w:r>
    </w:p>
    <w:tbl>
      <w:tblPr>
        <w:tblStyle w:val="42"/>
        <w:tblW w:w="8982"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87"/>
        <w:gridCol w:w="1140"/>
        <w:gridCol w:w="1901"/>
        <w:gridCol w:w="1214"/>
        <w:gridCol w:w="1033"/>
        <w:gridCol w:w="210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7395" w:type="dxa"/>
            <w:gridSpan w:val="5"/>
            <w:tcBorders>
              <w:top w:val="thinThickSmallGap" w:color="auto" w:sz="12"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临河区五一西街北欧印象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7395" w:type="dxa"/>
            <w:gridSpan w:val="5"/>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rPr>
              <w:t>东至：</w:t>
            </w:r>
            <w:r>
              <w:rPr>
                <w:rFonts w:hint="eastAsia" w:ascii="仿宋_GB2312" w:hAnsi="仿宋" w:eastAsia="仿宋_GB2312" w:cs="宋体"/>
                <w:b w:val="0"/>
                <w:bCs/>
                <w:kern w:val="0"/>
                <w:sz w:val="18"/>
                <w:szCs w:val="18"/>
                <w:lang w:eastAsia="zh-CN"/>
              </w:rPr>
              <w:t>水源</w:t>
            </w:r>
            <w:r>
              <w:rPr>
                <w:rFonts w:hint="eastAsia" w:ascii="仿宋_GB2312" w:hAnsi="仿宋" w:eastAsia="仿宋_GB2312" w:cs="宋体"/>
                <w:b w:val="0"/>
                <w:bCs/>
                <w:kern w:val="0"/>
                <w:sz w:val="18"/>
                <w:szCs w:val="18"/>
              </w:rPr>
              <w:t>路 南至：</w:t>
            </w:r>
            <w:r>
              <w:rPr>
                <w:rFonts w:hint="eastAsia" w:ascii="仿宋_GB2312" w:hAnsi="仿宋" w:eastAsia="仿宋_GB2312" w:cs="宋体"/>
                <w:b w:val="0"/>
                <w:bCs/>
                <w:kern w:val="0"/>
                <w:sz w:val="18"/>
                <w:szCs w:val="18"/>
                <w:lang w:eastAsia="zh-CN"/>
              </w:rPr>
              <w:t>五一街</w:t>
            </w:r>
            <w:r>
              <w:rPr>
                <w:rFonts w:hint="eastAsia" w:ascii="仿宋_GB2312" w:hAnsi="仿宋" w:eastAsia="仿宋_GB2312" w:cs="宋体"/>
                <w:b w:val="0"/>
                <w:bCs/>
                <w:kern w:val="0"/>
                <w:sz w:val="18"/>
                <w:szCs w:val="18"/>
              </w:rPr>
              <w:t xml:space="preserve"> 西至：</w:t>
            </w:r>
            <w:r>
              <w:rPr>
                <w:rFonts w:hint="eastAsia" w:ascii="仿宋_GB2312" w:hAnsi="仿宋" w:eastAsia="仿宋_GB2312" w:cs="宋体"/>
                <w:b w:val="0"/>
                <w:bCs/>
                <w:kern w:val="0"/>
                <w:sz w:val="18"/>
                <w:szCs w:val="18"/>
                <w:lang w:eastAsia="zh-CN"/>
              </w:rPr>
              <w:t>明珠</w:t>
            </w:r>
            <w:r>
              <w:rPr>
                <w:rFonts w:hint="eastAsia" w:ascii="仿宋_GB2312" w:hAnsi="仿宋" w:eastAsia="仿宋_GB2312" w:cs="宋体"/>
                <w:b w:val="0"/>
                <w:bCs/>
                <w:kern w:val="0"/>
                <w:sz w:val="18"/>
                <w:szCs w:val="18"/>
              </w:rPr>
              <w:t>路 北至：</w:t>
            </w:r>
            <w:r>
              <w:rPr>
                <w:rFonts w:hint="eastAsia" w:ascii="仿宋_GB2312" w:hAnsi="仿宋" w:eastAsia="仿宋_GB2312" w:cs="宋体"/>
                <w:b w:val="0"/>
                <w:bCs/>
                <w:kern w:val="0"/>
                <w:sz w:val="18"/>
                <w:szCs w:val="18"/>
                <w:lang w:eastAsia="zh-CN"/>
              </w:rPr>
              <w:t>支路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7395" w:type="dxa"/>
            <w:gridSpan w:val="5"/>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《内蒙古自治区房地产权属登记簿》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lang w:eastAsia="zh-CN"/>
              </w:rPr>
              <w:t>登记簿登记</w:t>
            </w:r>
            <w:r>
              <w:rPr>
                <w:rFonts w:hint="eastAsia" w:ascii="仿宋_GB2312" w:hAnsi="仿宋" w:eastAsia="仿宋_GB2312" w:cs="宋体"/>
                <w:b/>
                <w:kern w:val="0"/>
                <w:sz w:val="18"/>
                <w:szCs w:val="18"/>
              </w:rPr>
              <w:t>日期</w:t>
            </w:r>
          </w:p>
        </w:tc>
        <w:tc>
          <w:tcPr>
            <w:tcW w:w="3041"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仿宋" w:eastAsia="仿宋_GB2312" w:cs="宋体"/>
                <w:b/>
                <w:kern w:val="0"/>
                <w:sz w:val="18"/>
                <w:szCs w:val="18"/>
                <w:lang w:val="en-US" w:eastAsia="zh-CN"/>
              </w:rPr>
            </w:pPr>
            <w:r>
              <w:rPr>
                <w:rFonts w:hint="eastAsia" w:ascii="仿宋_GB2312" w:hAnsi="仿宋" w:eastAsia="仿宋_GB2312" w:cs="宋体"/>
                <w:b w:val="0"/>
                <w:bCs/>
                <w:kern w:val="0"/>
                <w:sz w:val="18"/>
                <w:szCs w:val="18"/>
                <w:lang w:val="en-US" w:eastAsia="zh-CN"/>
              </w:rPr>
              <w:t>2011-10-16</w:t>
            </w:r>
          </w:p>
        </w:tc>
        <w:tc>
          <w:tcPr>
            <w:tcW w:w="2247"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lang w:eastAsia="zh-CN"/>
              </w:rPr>
              <w:t>权利</w:t>
            </w:r>
            <w:r>
              <w:rPr>
                <w:rFonts w:hint="eastAsia" w:ascii="仿宋_GB2312" w:hAnsi="仿宋" w:eastAsia="仿宋_GB2312" w:cs="宋体"/>
                <w:b/>
                <w:kern w:val="0"/>
                <w:sz w:val="18"/>
                <w:szCs w:val="18"/>
              </w:rPr>
              <w:t>人</w:t>
            </w:r>
          </w:p>
        </w:tc>
        <w:tc>
          <w:tcPr>
            <w:tcW w:w="21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闫子琴、刘培军</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11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t>共同共有</w:t>
            </w:r>
          </w:p>
        </w:tc>
        <w:tc>
          <w:tcPr>
            <w:tcW w:w="190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kern w:val="0"/>
                <w:sz w:val="18"/>
                <w:szCs w:val="18"/>
              </w:rPr>
              <w:t>房屋结构</w:t>
            </w:r>
          </w:p>
        </w:tc>
        <w:tc>
          <w:tcPr>
            <w:tcW w:w="121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t>砖混结构</w:t>
            </w:r>
          </w:p>
        </w:tc>
        <w:tc>
          <w:tcPr>
            <w:tcW w:w="103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kern w:val="0"/>
                <w:sz w:val="18"/>
                <w:szCs w:val="18"/>
              </w:rPr>
              <w:t>建筑面积(㎡)</w:t>
            </w:r>
          </w:p>
        </w:tc>
        <w:tc>
          <w:tcPr>
            <w:tcW w:w="21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val="en-US" w:eastAsia="zh-CN" w:bidi="ar-SA"/>
              </w:rPr>
            </w:pPr>
            <w:r>
              <w:rPr>
                <w:rFonts w:hint="eastAsia" w:ascii="仿宋_GB2312" w:hAnsi="仿宋" w:eastAsia="仿宋_GB2312" w:cs="宋体"/>
                <w:b w:val="0"/>
                <w:bCs/>
                <w:kern w:val="0"/>
                <w:sz w:val="18"/>
                <w:szCs w:val="18"/>
                <w:lang w:eastAsia="zh-CN"/>
              </w:rPr>
              <w:t>22.34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11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6</w:t>
            </w:r>
            <w:r>
              <w:rPr>
                <w:rFonts w:hint="eastAsia" w:ascii="仿宋_GB2312" w:hAnsi="仿宋" w:eastAsia="仿宋_GB2312" w:cs="宋体"/>
                <w:b w:val="0"/>
                <w:bCs/>
                <w:kern w:val="0"/>
                <w:sz w:val="18"/>
                <w:szCs w:val="18"/>
              </w:rPr>
              <w:t>层</w:t>
            </w:r>
          </w:p>
        </w:tc>
        <w:tc>
          <w:tcPr>
            <w:tcW w:w="190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所在层数</w:t>
            </w:r>
          </w:p>
        </w:tc>
        <w:tc>
          <w:tcPr>
            <w:tcW w:w="121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1层</w:t>
            </w:r>
          </w:p>
        </w:tc>
        <w:tc>
          <w:tcPr>
            <w:tcW w:w="103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kern w:val="0"/>
                <w:sz w:val="18"/>
                <w:szCs w:val="18"/>
              </w:rPr>
              <w:t>建成年份</w:t>
            </w:r>
          </w:p>
        </w:tc>
        <w:tc>
          <w:tcPr>
            <w:tcW w:w="21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val="en-US" w:eastAsia="zh-CN" w:bidi="ar-SA"/>
              </w:rPr>
            </w:pPr>
            <w:r>
              <w:rPr>
                <w:rFonts w:hint="eastAsia" w:ascii="仿宋_GB2312" w:hAnsi="仿宋" w:eastAsia="仿宋_GB2312" w:cs="宋体"/>
                <w:b w:val="0"/>
                <w:bCs/>
                <w:kern w:val="0"/>
                <w:sz w:val="18"/>
                <w:szCs w:val="18"/>
                <w:lang w:eastAsia="zh-CN"/>
              </w:rPr>
              <w:t>2010</w:t>
            </w:r>
            <w:r>
              <w:rPr>
                <w:rFonts w:hint="eastAsia" w:ascii="仿宋_GB2312" w:hAnsi="仿宋" w:eastAsia="仿宋_GB2312" w:cs="宋体"/>
                <w:b w:val="0"/>
                <w:bCs/>
                <w:kern w:val="0"/>
                <w:sz w:val="18"/>
                <w:szCs w:val="18"/>
              </w:rPr>
              <w:t>年</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rPr>
              <w:t>房屋设计用途</w:t>
            </w:r>
          </w:p>
        </w:tc>
        <w:tc>
          <w:tcPr>
            <w:tcW w:w="11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val="en-US" w:eastAsia="zh-CN" w:bidi="ar-SA"/>
              </w:rPr>
            </w:pPr>
            <w:r>
              <w:rPr>
                <w:rFonts w:hint="eastAsia" w:ascii="仿宋_GB2312" w:hAnsi="仿宋" w:eastAsia="仿宋_GB2312" w:cs="宋体"/>
                <w:b w:val="0"/>
                <w:bCs/>
                <w:kern w:val="0"/>
                <w:sz w:val="18"/>
                <w:szCs w:val="18"/>
                <w:lang w:eastAsia="zh-CN"/>
              </w:rPr>
              <w:t>车库</w:t>
            </w:r>
          </w:p>
        </w:tc>
        <w:tc>
          <w:tcPr>
            <w:tcW w:w="190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kern w:val="0"/>
                <w:sz w:val="18"/>
                <w:szCs w:val="18"/>
              </w:rPr>
              <w:t>房屋实际用途</w:t>
            </w:r>
          </w:p>
        </w:tc>
        <w:tc>
          <w:tcPr>
            <w:tcW w:w="121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val="en-US" w:eastAsia="zh-CN" w:bidi="ar-SA"/>
              </w:rPr>
            </w:pPr>
            <w:r>
              <w:rPr>
                <w:rFonts w:hint="eastAsia" w:ascii="仿宋_GB2312" w:hAnsi="仿宋" w:eastAsia="仿宋_GB2312" w:cs="宋体"/>
                <w:b w:val="0"/>
                <w:bCs/>
                <w:kern w:val="0"/>
                <w:sz w:val="18"/>
                <w:szCs w:val="18"/>
                <w:lang w:eastAsia="zh-CN"/>
              </w:rPr>
              <w:t>车库</w:t>
            </w:r>
          </w:p>
        </w:tc>
        <w:tc>
          <w:tcPr>
            <w:tcW w:w="103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kern w:val="0"/>
                <w:sz w:val="18"/>
                <w:szCs w:val="18"/>
              </w:rPr>
              <w:t>土地开发程度</w:t>
            </w:r>
          </w:p>
        </w:tc>
        <w:tc>
          <w:tcPr>
            <w:tcW w:w="21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val="0"/>
                <w:bCs/>
                <w:kern w:val="0"/>
                <w:sz w:val="18"/>
                <w:szCs w:val="18"/>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11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出让</w:t>
            </w:r>
          </w:p>
        </w:tc>
        <w:tc>
          <w:tcPr>
            <w:tcW w:w="190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lang w:eastAsia="zh-CN"/>
              </w:rPr>
              <w:t>权属性质</w:t>
            </w:r>
          </w:p>
        </w:tc>
        <w:tc>
          <w:tcPr>
            <w:tcW w:w="121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国有</w:t>
            </w:r>
          </w:p>
        </w:tc>
        <w:tc>
          <w:tcPr>
            <w:tcW w:w="103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default" w:ascii="仿宋_GB2312" w:hAnsi="仿宋" w:eastAsia="仿宋_GB2312" w:cs="宋体"/>
                <w:b/>
                <w:kern w:val="0"/>
                <w:sz w:val="18"/>
                <w:szCs w:val="18"/>
                <w:lang w:val="en-US" w:eastAsia="zh-CN" w:bidi="ar-SA"/>
              </w:rPr>
            </w:pPr>
            <w:r>
              <w:rPr>
                <w:rFonts w:hint="eastAsia" w:ascii="仿宋_GB2312" w:hAnsi="仿宋" w:eastAsia="仿宋_GB2312" w:cs="宋体"/>
                <w:b/>
                <w:kern w:val="0"/>
                <w:sz w:val="18"/>
                <w:szCs w:val="18"/>
              </w:rPr>
              <w:t>他项权利状况</w:t>
            </w:r>
          </w:p>
        </w:tc>
        <w:tc>
          <w:tcPr>
            <w:tcW w:w="21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rPr>
              <w:sym w:font="Wingdings 2" w:char="0052"/>
            </w:r>
            <w:r>
              <w:rPr>
                <w:rFonts w:hint="eastAsia" w:ascii="仿宋_GB2312" w:hAnsi="仿宋" w:eastAsia="仿宋_GB2312" w:cs="宋体"/>
                <w:b w:val="0"/>
                <w:bCs/>
                <w:kern w:val="0"/>
                <w:sz w:val="18"/>
                <w:szCs w:val="18"/>
              </w:rPr>
              <w:t xml:space="preserve">抵押 </w:t>
            </w:r>
            <w:r>
              <w:rPr>
                <w:rFonts w:hint="eastAsia" w:ascii="仿宋_GB2312" w:hAnsi="仿宋" w:eastAsia="仿宋_GB2312" w:cs="宋体"/>
                <w:b w:val="0"/>
                <w:bCs/>
                <w:kern w:val="0"/>
                <w:sz w:val="18"/>
                <w:szCs w:val="18"/>
              </w:rPr>
              <w:sym w:font="Wingdings 2" w:char="00A3"/>
            </w:r>
            <w:r>
              <w:rPr>
                <w:rFonts w:hint="eastAsia" w:ascii="仿宋_GB2312" w:hAnsi="仿宋" w:eastAsia="仿宋_GB2312" w:cs="宋体"/>
                <w:b w:val="0"/>
                <w:bCs/>
                <w:kern w:val="0"/>
                <w:sz w:val="18"/>
                <w:szCs w:val="18"/>
              </w:rPr>
              <w:t>租赁</w:t>
            </w:r>
            <w:r>
              <w:rPr>
                <w:rFonts w:hint="eastAsia" w:ascii="仿宋_GB2312" w:hAnsi="仿宋" w:eastAsia="仿宋_GB2312" w:cs="宋体"/>
                <w:b w:val="0"/>
                <w:bCs/>
                <w:kern w:val="0"/>
                <w:sz w:val="18"/>
                <w:szCs w:val="18"/>
              </w:rPr>
              <w:sym w:font="Wingdings 2" w:char="00A3"/>
            </w:r>
            <w:r>
              <w:rPr>
                <w:rFonts w:hint="eastAsia" w:ascii="仿宋_GB2312" w:hAnsi="仿宋" w:eastAsia="仿宋_GB2312" w:cs="宋体"/>
                <w:b w:val="0"/>
                <w:bCs/>
                <w:kern w:val="0"/>
                <w:sz w:val="18"/>
                <w:szCs w:val="18"/>
              </w:rPr>
              <w:t>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7395" w:type="dxa"/>
            <w:gridSpan w:val="5"/>
            <w:tcBorders>
              <w:top w:val="dotted" w:color="auto" w:sz="4" w:space="0"/>
              <w:left w:val="dotted" w:color="auto" w:sz="4" w:space="0"/>
              <w:bottom w:val="thickThinSmallGap" w:color="auto" w:sz="12" w:space="0"/>
              <w:right w:val="nil"/>
            </w:tcBorders>
            <w:shd w:val="clear" w:color="auto" w:fill="auto"/>
            <w:vAlign w:val="center"/>
          </w:tcPr>
          <w:p>
            <w:pPr>
              <w:widowControl/>
              <w:numPr>
                <w:ilvl w:val="0"/>
                <w:numId w:val="3"/>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估价对象存在查封及抵押情况。</w:t>
            </w:r>
          </w:p>
          <w:p>
            <w:pPr>
              <w:widowControl/>
              <w:numPr>
                <w:ilvl w:val="0"/>
                <w:numId w:val="0"/>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2、委托方提供的材料中未载明估价对象的建成年代。根据估价人员现场勘查及问询，估价对象建成年代为2010年。故本次评估房屋建成年代以现场实地勘查为准。提醒报告使用者关注此点。</w:t>
            </w:r>
          </w:p>
        </w:tc>
      </w:tr>
    </w:tbl>
    <w:p>
      <w:pPr>
        <w:adjustRightInd w:val="0"/>
        <w:snapToGrid w:val="0"/>
        <w:spacing w:line="360" w:lineRule="auto"/>
        <w:ind w:firstLine="562" w:firstLineChars="200"/>
        <w:rPr>
          <w:rFonts w:ascii="仿宋_GB2312" w:hAnsi="仿宋" w:eastAsia="仿宋_GB2312"/>
          <w:sz w:val="28"/>
          <w:szCs w:val="28"/>
        </w:rPr>
      </w:pPr>
      <w:r>
        <w:rPr>
          <w:rFonts w:hint="eastAsia" w:ascii="仿宋_GB2312" w:hAnsi="仿宋" w:eastAsia="仿宋_GB2312"/>
          <w:b/>
          <w:sz w:val="28"/>
          <w:szCs w:val="28"/>
        </w:rPr>
        <w:t>2.估价对象基本情况</w:t>
      </w:r>
    </w:p>
    <w:tbl>
      <w:tblPr>
        <w:tblStyle w:val="42"/>
        <w:tblW w:w="898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07"/>
        <w:gridCol w:w="1277"/>
        <w:gridCol w:w="1558"/>
        <w:gridCol w:w="1419"/>
        <w:gridCol w:w="1133"/>
        <w:gridCol w:w="1133"/>
        <w:gridCol w:w="959"/>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小区名称</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北欧印象</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小区规模</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一般</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社区成熟度</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小区环境</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较好</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绿地</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无</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停车状况</w:t>
            </w:r>
          </w:p>
        </w:tc>
        <w:tc>
          <w:tcPr>
            <w:tcW w:w="959" w:type="dxa"/>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地上停车</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物业管理公司</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rPr>
              <w:t>—</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管理形式</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半开放</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物业费</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建筑形式</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板式</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屋面形式</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平层</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景观</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户型</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平面布局</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合理</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户型结构</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门禁系统</w:t>
            </w:r>
          </w:p>
        </w:tc>
        <w:tc>
          <w:tcPr>
            <w:tcW w:w="2835"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无</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电梯情况</w:t>
            </w:r>
          </w:p>
        </w:tc>
        <w:tc>
          <w:tcPr>
            <w:tcW w:w="3225" w:type="dxa"/>
            <w:gridSpan w:val="3"/>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设施、设备</w:t>
            </w:r>
          </w:p>
        </w:tc>
        <w:tc>
          <w:tcPr>
            <w:tcW w:w="7479" w:type="dxa"/>
            <w:gridSpan w:val="6"/>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t>完善程度为较</w:t>
            </w:r>
            <w:r>
              <w:rPr>
                <w:rFonts w:hint="eastAsia" w:ascii="仿宋_GB2312" w:hAnsi="仿宋" w:eastAsia="仿宋_GB2312" w:cs="宋体"/>
                <w:b w:val="0"/>
                <w:bCs/>
                <w:kern w:val="0"/>
                <w:sz w:val="18"/>
                <w:szCs w:val="18"/>
              </w:rPr>
              <w:t>完备（有消防系统、</w:t>
            </w:r>
            <w:r>
              <w:rPr>
                <w:rFonts w:hint="eastAsia" w:eastAsia="仿宋_GB2312"/>
                <w:sz w:val="18"/>
                <w:szCs w:val="18"/>
                <w:lang w:eastAsia="zh-CN"/>
              </w:rPr>
              <w:t>闭路电视监控系统、</w:t>
            </w:r>
            <w:r>
              <w:rPr>
                <w:rFonts w:hint="eastAsia" w:ascii="仿宋_GB2312" w:hAnsi="仿宋" w:eastAsia="仿宋_GB2312" w:cs="宋体"/>
                <w:b w:val="0"/>
                <w:bCs/>
                <w:kern w:val="0"/>
                <w:sz w:val="18"/>
                <w:szCs w:val="18"/>
                <w:lang w:eastAsia="zh-CN"/>
              </w:rPr>
              <w:t>智能化车辆出入管理</w:t>
            </w:r>
            <w:r>
              <w:rPr>
                <w:rFonts w:hint="eastAsia" w:ascii="仿宋_GB2312" w:hAnsi="仿宋" w:eastAsia="仿宋_GB2312" w:cs="宋体"/>
                <w:b w:val="0"/>
                <w:bCs/>
                <w:kern w:val="0"/>
                <w:sz w:val="18"/>
                <w:szCs w:val="18"/>
              </w:rPr>
              <w:t>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地形状况</w:t>
            </w:r>
          </w:p>
        </w:tc>
        <w:tc>
          <w:tcPr>
            <w:tcW w:w="1277"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平整</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区域内主要物业类型</w:t>
            </w:r>
          </w:p>
        </w:tc>
        <w:tc>
          <w:tcPr>
            <w:tcW w:w="2552" w:type="dxa"/>
            <w:gridSpan w:val="2"/>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车库</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容积率</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外立面装修</w:t>
            </w:r>
          </w:p>
        </w:tc>
        <w:tc>
          <w:tcPr>
            <w:tcW w:w="1277"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涂料</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入户门</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电动卷帘门</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内门</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窗</w:t>
            </w:r>
          </w:p>
        </w:tc>
        <w:tc>
          <w:tcPr>
            <w:tcW w:w="1277" w:type="dxa"/>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设定为</w:t>
            </w:r>
            <w:r>
              <w:rPr>
                <w:rFonts w:hint="eastAsia" w:ascii="仿宋_GB2312" w:hAnsi="仿宋" w:eastAsia="仿宋_GB2312" w:cs="宋体"/>
                <w:b w:val="0"/>
                <w:bCs/>
                <w:kern w:val="0"/>
                <w:sz w:val="18"/>
                <w:szCs w:val="18"/>
              </w:rPr>
              <w:t>简单装修</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朝向</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实际用途</w:t>
            </w:r>
          </w:p>
        </w:tc>
        <w:tc>
          <w:tcPr>
            <w:tcW w:w="1277"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车库</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使用现状</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良好</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单元户数</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公共部位</w:t>
            </w:r>
          </w:p>
        </w:tc>
        <w:tc>
          <w:tcPr>
            <w:tcW w:w="1277"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bCs w:val="0"/>
                <w:kern w:val="0"/>
                <w:sz w:val="18"/>
                <w:szCs w:val="18"/>
              </w:rPr>
              <w:t>地面</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水泥地</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bCs w:val="0"/>
                <w:kern w:val="0"/>
                <w:sz w:val="18"/>
                <w:szCs w:val="18"/>
              </w:rPr>
              <w:t>墙面</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顶棚</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特殊情况说明</w:t>
            </w:r>
          </w:p>
        </w:tc>
        <w:tc>
          <w:tcPr>
            <w:tcW w:w="7479" w:type="dxa"/>
            <w:gridSpan w:val="6"/>
            <w:shd w:val="clear" w:color="auto" w:fill="auto"/>
            <w:noWrap/>
            <w:vAlign w:val="center"/>
          </w:tcPr>
          <w:p>
            <w:pPr>
              <w:widowControl/>
              <w:spacing w:after="0" w:line="240" w:lineRule="auto"/>
              <w:jc w:val="center"/>
              <w:rPr>
                <w:rFonts w:hint="eastAsia" w:ascii="仿宋_GB2312" w:hAnsi="仿宋" w:eastAsia="仿宋_GB2312" w:cs="宋体"/>
                <w:b/>
                <w:bCs w:val="0"/>
                <w:kern w:val="0"/>
                <w:sz w:val="18"/>
                <w:szCs w:val="18"/>
              </w:rPr>
            </w:pPr>
            <w:r>
              <w:rPr>
                <w:rFonts w:hint="eastAsia" w:ascii="仿宋_GB2312" w:hAnsi="仿宋" w:eastAsia="仿宋_GB2312" w:cs="宋体"/>
                <w:b/>
                <w:bCs w:val="0"/>
                <w:kern w:val="0"/>
                <w:sz w:val="18"/>
                <w:szCs w:val="18"/>
                <w:lang w:val="en-US" w:eastAsia="zh-CN"/>
              </w:rPr>
              <w:t xml:space="preserve">  </w:t>
            </w:r>
            <w:r>
              <w:rPr>
                <w:rFonts w:hint="eastAsia" w:ascii="仿宋_GB2312" w:hAnsi="仿宋" w:eastAsia="仿宋_GB2312" w:cs="宋体"/>
                <w:b/>
                <w:bCs w:val="0"/>
                <w:kern w:val="0"/>
                <w:sz w:val="18"/>
                <w:szCs w:val="18"/>
                <w:lang w:eastAsia="zh-CN"/>
              </w:rPr>
              <w:t>估价人员于</w:t>
            </w:r>
            <w:r>
              <w:rPr>
                <w:rFonts w:hint="eastAsia" w:ascii="仿宋_GB2312" w:hAnsi="仿宋" w:eastAsia="仿宋_GB2312" w:cs="宋体"/>
                <w:b/>
                <w:bCs w:val="0"/>
                <w:kern w:val="0"/>
                <w:sz w:val="18"/>
                <w:szCs w:val="18"/>
                <w:lang w:val="en-US" w:eastAsia="zh-CN"/>
              </w:rPr>
              <w:t>11</w:t>
            </w:r>
            <w:r>
              <w:rPr>
                <w:rFonts w:hint="eastAsia" w:ascii="仿宋_GB2312" w:hAnsi="仿宋" w:eastAsia="仿宋_GB2312" w:cs="宋体"/>
                <w:b/>
                <w:bCs w:val="0"/>
                <w:kern w:val="0"/>
                <w:sz w:val="18"/>
                <w:szCs w:val="18"/>
                <w:lang w:eastAsia="zh-CN"/>
              </w:rPr>
              <w:t>月</w:t>
            </w:r>
            <w:r>
              <w:rPr>
                <w:rFonts w:hint="eastAsia" w:ascii="仿宋_GB2312" w:hAnsi="仿宋" w:eastAsia="仿宋_GB2312" w:cs="宋体"/>
                <w:b/>
                <w:bCs w:val="0"/>
                <w:kern w:val="0"/>
                <w:sz w:val="18"/>
                <w:szCs w:val="18"/>
                <w:lang w:val="en-US" w:eastAsia="zh-CN"/>
              </w:rPr>
              <w:t>13</w:t>
            </w:r>
            <w:r>
              <w:rPr>
                <w:rFonts w:hint="eastAsia" w:ascii="仿宋_GB2312" w:hAnsi="仿宋" w:eastAsia="仿宋_GB2312" w:cs="宋体"/>
                <w:b/>
                <w:bCs w:val="0"/>
                <w:kern w:val="0"/>
                <w:sz w:val="18"/>
                <w:szCs w:val="18"/>
                <w:lang w:eastAsia="zh-CN"/>
              </w:rPr>
              <w:t>日对估价对象进行现场勘查时未能入户</w:t>
            </w:r>
            <w:r>
              <w:rPr>
                <w:rFonts w:hint="eastAsia" w:ascii="仿宋_GB2312" w:hAnsi="仿宋" w:eastAsia="仿宋_GB2312" w:cs="宋体"/>
                <w:b/>
                <w:bCs w:val="0"/>
                <w:kern w:val="0"/>
                <w:sz w:val="18"/>
                <w:szCs w:val="18"/>
              </w:rPr>
              <w:t>，经委托方描述以及估价人员</w:t>
            </w:r>
          </w:p>
          <w:p>
            <w:pPr>
              <w:widowControl/>
              <w:spacing w:after="0" w:line="240" w:lineRule="auto"/>
              <w:jc w:val="both"/>
              <w:rPr>
                <w:rFonts w:hint="eastAsia" w:ascii="仿宋_GB2312" w:hAnsi="仿宋" w:eastAsia="仿宋_GB2312" w:cs="宋体"/>
                <w:b/>
                <w:kern w:val="0"/>
                <w:sz w:val="18"/>
                <w:szCs w:val="18"/>
              </w:rPr>
            </w:pPr>
            <w:r>
              <w:rPr>
                <w:rFonts w:hint="eastAsia" w:ascii="仿宋_GB2312" w:hAnsi="仿宋" w:eastAsia="仿宋_GB2312" w:cs="宋体"/>
                <w:b/>
                <w:bCs w:val="0"/>
                <w:kern w:val="0"/>
                <w:sz w:val="18"/>
                <w:szCs w:val="18"/>
              </w:rPr>
              <w:t>多方询问，此次评估设定估价对象装修为简单装修，如与实际不符，评估公司及估价人员不承担相应责任，估价人员需重新入户勘查。提醒报告使用者关注此点。</w:t>
            </w:r>
          </w:p>
        </w:tc>
      </w:tr>
    </w:tbl>
    <w:p>
      <w:pPr>
        <w:adjustRightInd w:val="0"/>
        <w:snapToGrid w:val="0"/>
        <w:spacing w:before="240" w:beforeLines="100" w:line="360" w:lineRule="auto"/>
        <w:ind w:firstLine="562" w:firstLineChars="200"/>
        <w:rPr>
          <w:rFonts w:ascii="仿宋_GB2312" w:hAnsi="宋体" w:eastAsia="仿宋_GB2312"/>
          <w:snapToGrid w:val="0"/>
          <w:kern w:val="0"/>
          <w:sz w:val="28"/>
          <w:szCs w:val="28"/>
        </w:rPr>
      </w:pPr>
      <w:r>
        <w:rPr>
          <w:rFonts w:hint="eastAsia" w:ascii="仿宋_GB2312" w:hAnsi="宋体" w:eastAsia="仿宋_GB2312"/>
          <w:b/>
          <w:snapToGrid w:val="0"/>
          <w:kern w:val="0"/>
          <w:sz w:val="28"/>
          <w:szCs w:val="28"/>
        </w:rPr>
        <w:t>3.区位状况描述与分析</w:t>
      </w:r>
    </w:p>
    <w:tbl>
      <w:tblPr>
        <w:tblStyle w:val="42"/>
        <w:tblW w:w="8955" w:type="dxa"/>
        <w:tblInd w:w="93"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54"/>
        <w:gridCol w:w="73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集聚效应</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基础设施配套</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公共服务设施</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交通便捷度</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周边典型物业</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泰城御景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环境景观</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优</w:t>
            </w:r>
          </w:p>
        </w:tc>
      </w:tr>
    </w:tbl>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67" w:name="_Toc243111689"/>
      <w:bookmarkStart w:id="68" w:name="_Toc254860129"/>
      <w:bookmarkStart w:id="69" w:name="_Toc254875143"/>
      <w:bookmarkStart w:id="70" w:name="_Toc130033725"/>
      <w:bookmarkStart w:id="71" w:name="_Toc135016175"/>
      <w:bookmarkStart w:id="72" w:name="_Toc270691071"/>
      <w:bookmarkStart w:id="73" w:name="_Toc243111718"/>
      <w:bookmarkStart w:id="74" w:name="_Toc367869501"/>
      <w:bookmarkStart w:id="75" w:name="_Toc301369719"/>
      <w:bookmarkStart w:id="76" w:name="_Toc269132872"/>
      <w:bookmarkStart w:id="77" w:name="_Toc5721406"/>
      <w:r>
        <w:rPr>
          <w:rFonts w:hint="eastAsia" w:ascii="仿宋_GB2312" w:hAnsi="仿宋" w:eastAsia="仿宋_GB2312"/>
          <w:bCs w:val="0"/>
          <w:sz w:val="28"/>
          <w:szCs w:val="28"/>
        </w:rPr>
        <w:t>（五）</w:t>
      </w:r>
      <w:bookmarkEnd w:id="67"/>
      <w:bookmarkEnd w:id="68"/>
      <w:bookmarkEnd w:id="69"/>
      <w:bookmarkEnd w:id="70"/>
      <w:bookmarkEnd w:id="71"/>
      <w:bookmarkEnd w:id="72"/>
      <w:bookmarkEnd w:id="73"/>
      <w:bookmarkEnd w:id="74"/>
      <w:bookmarkEnd w:id="75"/>
      <w:bookmarkEnd w:id="76"/>
      <w:r>
        <w:rPr>
          <w:rFonts w:hint="eastAsia" w:ascii="仿宋_GB2312" w:hAnsi="仿宋" w:eastAsia="仿宋_GB2312"/>
          <w:sz w:val="28"/>
          <w:szCs w:val="28"/>
        </w:rPr>
        <w:t>价值时点</w:t>
      </w:r>
      <w:bookmarkEnd w:id="77"/>
    </w:p>
    <w:p>
      <w:pPr>
        <w:pageBreakBefore w:val="0"/>
        <w:kinsoku/>
        <w:wordWrap/>
        <w:overflowPunct/>
        <w:topLinePunct w:val="0"/>
        <w:autoSpaceDE/>
        <w:autoSpaceDN/>
        <w:bidi w:val="0"/>
        <w:adjustRightInd w:val="0"/>
        <w:snapToGrid w:val="0"/>
        <w:spacing w:line="560" w:lineRule="exact"/>
        <w:ind w:firstLine="560" w:firstLineChars="200"/>
        <w:textAlignment w:val="auto"/>
        <w:rPr>
          <w:rFonts w:eastAsia="仿宋_GB2312"/>
          <w:snapToGrid w:val="0"/>
          <w:kern w:val="0"/>
          <w:sz w:val="28"/>
          <w:szCs w:val="28"/>
        </w:rPr>
      </w:pPr>
      <w:bookmarkStart w:id="78" w:name="_Toc384323577"/>
      <w:bookmarkStart w:id="79" w:name="_Toc384364487"/>
      <w:r>
        <w:rPr>
          <w:rFonts w:hint="eastAsia" w:ascii="仿宋_GB2312" w:hAnsi="宋体" w:eastAsia="仿宋_GB2312"/>
          <w:snapToGrid w:val="0"/>
          <w:kern w:val="0"/>
          <w:sz w:val="28"/>
          <w:szCs w:val="28"/>
        </w:rPr>
        <w:t>本次估价完成估价对象实地查勘之日为2019年</w:t>
      </w:r>
      <w:r>
        <w:rPr>
          <w:rFonts w:hint="eastAsia" w:ascii="仿宋_GB2312" w:hAnsi="宋体" w:eastAsia="仿宋_GB2312"/>
          <w:snapToGrid w:val="0"/>
          <w:kern w:val="0"/>
          <w:sz w:val="28"/>
          <w:szCs w:val="28"/>
          <w:lang w:eastAsia="zh-CN"/>
        </w:rPr>
        <w:t>11月13日</w:t>
      </w:r>
      <w:r>
        <w:rPr>
          <w:rFonts w:hint="eastAsia" w:ascii="仿宋_GB2312" w:hAnsi="宋体" w:eastAsia="仿宋_GB2312"/>
          <w:snapToGrid w:val="0"/>
          <w:kern w:val="0"/>
          <w:sz w:val="28"/>
          <w:szCs w:val="28"/>
        </w:rPr>
        <w:t>，价值时点确定为2019年</w:t>
      </w:r>
      <w:r>
        <w:rPr>
          <w:rFonts w:hint="eastAsia" w:ascii="仿宋_GB2312" w:hAnsi="宋体" w:eastAsia="仿宋_GB2312"/>
          <w:snapToGrid w:val="0"/>
          <w:kern w:val="0"/>
          <w:sz w:val="28"/>
          <w:szCs w:val="28"/>
          <w:lang w:eastAsia="zh-CN"/>
        </w:rPr>
        <w:t>11月13日</w:t>
      </w:r>
      <w:r>
        <w:rPr>
          <w:rFonts w:hint="eastAsia" w:ascii="仿宋_GB2312" w:hAnsi="宋体" w:eastAsia="仿宋_GB2312"/>
          <w:snapToGrid w:val="0"/>
          <w:kern w:val="0"/>
          <w:sz w:val="28"/>
          <w:szCs w:val="28"/>
        </w:rPr>
        <w:t>。</w:t>
      </w:r>
      <w:bookmarkEnd w:id="78"/>
      <w:bookmarkEnd w:id="79"/>
    </w:p>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80" w:name="_Toc243111690"/>
      <w:bookmarkStart w:id="81" w:name="_Toc130033726"/>
      <w:bookmarkStart w:id="82" w:name="_Toc270691072"/>
      <w:bookmarkStart w:id="83" w:name="_Toc254860130"/>
      <w:bookmarkStart w:id="84" w:name="_Toc269132873"/>
      <w:bookmarkStart w:id="85" w:name="_Toc367869502"/>
      <w:bookmarkStart w:id="86" w:name="_Toc254875144"/>
      <w:bookmarkStart w:id="87" w:name="_Toc135016176"/>
      <w:bookmarkStart w:id="88" w:name="_Toc301369720"/>
      <w:bookmarkStart w:id="89" w:name="_Toc243111719"/>
      <w:bookmarkStart w:id="90" w:name="_Toc5721407"/>
      <w:r>
        <w:rPr>
          <w:rFonts w:hint="eastAsia" w:ascii="仿宋_GB2312" w:hAnsi="仿宋" w:eastAsia="仿宋_GB2312"/>
          <w:bCs w:val="0"/>
          <w:sz w:val="28"/>
          <w:szCs w:val="28"/>
        </w:rPr>
        <w:t>（六）价值</w:t>
      </w:r>
      <w:bookmarkEnd w:id="80"/>
      <w:bookmarkEnd w:id="81"/>
      <w:bookmarkEnd w:id="82"/>
      <w:bookmarkEnd w:id="83"/>
      <w:bookmarkEnd w:id="84"/>
      <w:bookmarkEnd w:id="85"/>
      <w:bookmarkEnd w:id="86"/>
      <w:bookmarkEnd w:id="87"/>
      <w:bookmarkEnd w:id="88"/>
      <w:bookmarkEnd w:id="89"/>
      <w:r>
        <w:rPr>
          <w:rFonts w:hint="eastAsia" w:ascii="仿宋_GB2312" w:hAnsi="仿宋" w:eastAsia="仿宋_GB2312"/>
          <w:bCs w:val="0"/>
          <w:sz w:val="28"/>
          <w:szCs w:val="28"/>
        </w:rPr>
        <w:t>类型</w:t>
      </w:r>
      <w:bookmarkEnd w:id="90"/>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eastAsia="仿宋_GB2312"/>
          <w:sz w:val="28"/>
          <w:szCs w:val="28"/>
        </w:rPr>
        <w:t>市场价值是指评估对象经过适当营销后，由熟悉情况、谨慎行事且不受强迫的交易双方，以公平交易方式于价值时点自愿进行交易的金额。</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eastAsia="仿宋_GB2312"/>
          <w:snapToGrid w:val="0"/>
          <w:kern w:val="0"/>
          <w:sz w:val="28"/>
          <w:szCs w:val="28"/>
        </w:rPr>
      </w:pPr>
      <w:r>
        <w:rPr>
          <w:rFonts w:eastAsia="仿宋_GB2312"/>
          <w:snapToGrid w:val="0"/>
          <w:kern w:val="0"/>
          <w:sz w:val="28"/>
          <w:szCs w:val="28"/>
        </w:rPr>
        <w:t>本次评估</w:t>
      </w:r>
      <w:r>
        <w:rPr>
          <w:rFonts w:hint="eastAsia" w:eastAsia="仿宋_GB2312"/>
          <w:snapToGrid w:val="0"/>
          <w:kern w:val="0"/>
          <w:sz w:val="28"/>
          <w:szCs w:val="28"/>
          <w:lang w:eastAsia="zh-CN"/>
        </w:rPr>
        <w:t>估价</w:t>
      </w:r>
      <w:r>
        <w:rPr>
          <w:rFonts w:eastAsia="仿宋_GB2312"/>
          <w:snapToGrid w:val="0"/>
          <w:kern w:val="0"/>
          <w:sz w:val="28"/>
          <w:szCs w:val="28"/>
        </w:rPr>
        <w:t>对象在估价时点2019年</w:t>
      </w:r>
      <w:r>
        <w:rPr>
          <w:rFonts w:hint="eastAsia" w:eastAsia="仿宋_GB2312"/>
          <w:snapToGrid w:val="0"/>
          <w:kern w:val="0"/>
          <w:sz w:val="28"/>
          <w:szCs w:val="28"/>
          <w:lang w:eastAsia="zh-CN"/>
        </w:rPr>
        <w:t>11月13日</w:t>
      </w:r>
      <w:r>
        <w:rPr>
          <w:rFonts w:eastAsia="仿宋_GB2312"/>
          <w:snapToGrid w:val="0"/>
          <w:kern w:val="0"/>
          <w:sz w:val="28"/>
          <w:szCs w:val="28"/>
        </w:rPr>
        <w:t>，截止至估价基准日止房产剩余</w:t>
      </w:r>
      <w:r>
        <w:rPr>
          <w:rFonts w:hint="eastAsia" w:eastAsia="仿宋_GB2312"/>
          <w:snapToGrid w:val="0"/>
          <w:kern w:val="0"/>
          <w:sz w:val="28"/>
          <w:szCs w:val="28"/>
        </w:rPr>
        <w:t>年期</w:t>
      </w:r>
      <w:r>
        <w:rPr>
          <w:rFonts w:hint="eastAsia" w:eastAsia="仿宋_GB2312"/>
          <w:snapToGrid w:val="0"/>
          <w:sz w:val="28"/>
          <w:szCs w:val="28"/>
        </w:rPr>
        <w:t>为</w:t>
      </w:r>
      <w:r>
        <w:rPr>
          <w:rFonts w:hint="eastAsia" w:eastAsia="仿宋_GB2312"/>
          <w:snapToGrid w:val="0"/>
          <w:sz w:val="28"/>
          <w:szCs w:val="28"/>
          <w:lang w:val="en-US" w:eastAsia="zh-CN"/>
        </w:rPr>
        <w:t>41</w:t>
      </w:r>
      <w:r>
        <w:rPr>
          <w:rFonts w:hint="eastAsia" w:eastAsia="仿宋_GB2312"/>
          <w:snapToGrid w:val="0"/>
          <w:sz w:val="28"/>
          <w:szCs w:val="28"/>
        </w:rPr>
        <w:t>年</w:t>
      </w:r>
      <w:r>
        <w:rPr>
          <w:rFonts w:hint="eastAsia" w:eastAsia="仿宋_GB2312"/>
          <w:snapToGrid w:val="0"/>
          <w:kern w:val="0"/>
          <w:sz w:val="28"/>
          <w:szCs w:val="28"/>
          <w:lang w:eastAsia="zh-CN"/>
        </w:rPr>
        <w:t>，</w:t>
      </w:r>
      <w:r>
        <w:rPr>
          <w:rFonts w:eastAsia="仿宋_GB2312"/>
          <w:snapToGrid w:val="0"/>
          <w:kern w:val="0"/>
          <w:sz w:val="28"/>
          <w:szCs w:val="28"/>
        </w:rPr>
        <w:t>用途为</w:t>
      </w:r>
      <w:r>
        <w:rPr>
          <w:rFonts w:hint="eastAsia" w:eastAsia="仿宋_GB2312"/>
          <w:snapToGrid w:val="0"/>
          <w:kern w:val="0"/>
          <w:sz w:val="28"/>
          <w:szCs w:val="28"/>
          <w:lang w:eastAsia="zh-CN"/>
        </w:rPr>
        <w:t>车库</w:t>
      </w:r>
      <w:r>
        <w:rPr>
          <w:rFonts w:eastAsia="仿宋_GB2312"/>
          <w:snapToGrid w:val="0"/>
          <w:kern w:val="0"/>
          <w:sz w:val="28"/>
          <w:szCs w:val="28"/>
        </w:rPr>
        <w:t>条件下的房产公开市场价值。根据本次评估目的，估价结果应为</w:t>
      </w:r>
      <w:r>
        <w:rPr>
          <w:rFonts w:hint="eastAsia" w:eastAsia="仿宋_GB2312"/>
          <w:snapToGrid w:val="0"/>
          <w:kern w:val="0"/>
          <w:sz w:val="28"/>
          <w:szCs w:val="28"/>
          <w:lang w:eastAsia="zh-CN"/>
        </w:rPr>
        <w:t>估价</w:t>
      </w:r>
      <w:r>
        <w:rPr>
          <w:rFonts w:eastAsia="仿宋_GB2312"/>
          <w:snapToGrid w:val="0"/>
          <w:kern w:val="0"/>
          <w:sz w:val="28"/>
          <w:szCs w:val="28"/>
        </w:rPr>
        <w:t>对象在三级房地产市场的公开市场价格。</w:t>
      </w:r>
    </w:p>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91" w:name="_Toc269132875"/>
      <w:bookmarkStart w:id="92" w:name="_Toc254875146"/>
      <w:bookmarkStart w:id="93" w:name="_Toc301369722"/>
      <w:bookmarkStart w:id="94" w:name="_Toc135016178"/>
      <w:bookmarkStart w:id="95" w:name="_Toc254860132"/>
      <w:bookmarkStart w:id="96" w:name="_Toc130033728"/>
      <w:bookmarkStart w:id="97" w:name="_Toc243111692"/>
      <w:bookmarkStart w:id="98" w:name="_Toc5721408"/>
      <w:bookmarkStart w:id="99" w:name="_Toc270691074"/>
      <w:bookmarkStart w:id="100" w:name="_Toc367869504"/>
      <w:bookmarkStart w:id="101" w:name="_Toc243111721"/>
      <w:r>
        <w:rPr>
          <w:rFonts w:hint="eastAsia" w:ascii="仿宋_GB2312" w:hAnsi="仿宋" w:eastAsia="仿宋_GB2312"/>
          <w:bCs w:val="0"/>
          <w:sz w:val="28"/>
          <w:szCs w:val="28"/>
        </w:rPr>
        <w:t>（七）估价原则</w:t>
      </w:r>
      <w:bookmarkEnd w:id="91"/>
      <w:bookmarkEnd w:id="92"/>
      <w:bookmarkEnd w:id="93"/>
      <w:bookmarkEnd w:id="94"/>
      <w:bookmarkEnd w:id="95"/>
      <w:bookmarkEnd w:id="96"/>
      <w:bookmarkEnd w:id="97"/>
      <w:bookmarkEnd w:id="98"/>
      <w:bookmarkEnd w:id="99"/>
      <w:bookmarkEnd w:id="100"/>
      <w:bookmarkEnd w:id="101"/>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本次估价遵循的房地产估价原则有：独立、客观、公正原则、合法原则、价值时点原则、替代原则、最高最佳利用原则。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1.独立、客观、公正原则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要求站在中立的立场上，实事求是、公平正直地评估出对各方估价利害关系人均是公平合理的价值或价格的原则。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2.合法原则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要求估价结果是依法判定的估价对象状况下的价值或价格的原则。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3.价值时点原则   </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要求估价结果是在根据估价目的确定的某一特定时间的价值或价格的原则。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4.替代原则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要求估价结果与估价对象的类似房地产在同等条件下的价值或价格偏差应在合理范围内的原则。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5.最高最佳利用原则</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要求估价结果是在估价对象最高最佳利用状况下的价值或价格。</w:t>
      </w:r>
    </w:p>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102" w:name="_Toc130033727"/>
      <w:bookmarkStart w:id="103" w:name="_Toc301369721"/>
      <w:bookmarkStart w:id="104" w:name="_Toc270691073"/>
      <w:bookmarkStart w:id="105" w:name="_Toc367869503"/>
      <w:bookmarkStart w:id="106" w:name="_Toc135016177"/>
      <w:bookmarkStart w:id="107" w:name="_Toc243111691"/>
      <w:bookmarkStart w:id="108" w:name="_Toc254875145"/>
      <w:bookmarkStart w:id="109" w:name="_Toc254860131"/>
      <w:bookmarkStart w:id="110" w:name="_Toc243111720"/>
      <w:bookmarkStart w:id="111" w:name="_Toc269132874"/>
      <w:bookmarkStart w:id="112" w:name="_Toc5721409"/>
      <w:r>
        <w:rPr>
          <w:rFonts w:hint="eastAsia" w:ascii="仿宋_GB2312" w:hAnsi="仿宋" w:eastAsia="仿宋_GB2312"/>
          <w:bCs w:val="0"/>
          <w:sz w:val="28"/>
          <w:szCs w:val="28"/>
        </w:rPr>
        <w:t>（八）估价依据</w:t>
      </w:r>
      <w:bookmarkEnd w:id="102"/>
      <w:bookmarkEnd w:id="103"/>
      <w:bookmarkEnd w:id="104"/>
      <w:bookmarkEnd w:id="105"/>
      <w:bookmarkEnd w:id="106"/>
      <w:bookmarkEnd w:id="107"/>
      <w:bookmarkEnd w:id="108"/>
      <w:bookmarkEnd w:id="109"/>
      <w:bookmarkEnd w:id="110"/>
      <w:bookmarkEnd w:id="111"/>
      <w:bookmarkEnd w:id="112"/>
    </w:p>
    <w:p>
      <w:pPr>
        <w:pStyle w:val="89"/>
        <w:pageBreakBefore w:val="0"/>
        <w:numPr>
          <w:ilvl w:val="1"/>
          <w:numId w:val="4"/>
        </w:numPr>
        <w:tabs>
          <w:tab w:val="left" w:pos="993"/>
        </w:tabs>
        <w:kinsoku/>
        <w:wordWrap/>
        <w:overflowPunct/>
        <w:topLinePunct w:val="0"/>
        <w:autoSpaceDE/>
        <w:autoSpaceDN/>
        <w:bidi w:val="0"/>
        <w:adjustRightInd w:val="0"/>
        <w:snapToGrid w:val="0"/>
        <w:spacing w:line="560" w:lineRule="exact"/>
        <w:ind w:left="0" w:firstLine="633" w:firstLineChars="0"/>
        <w:textAlignment w:val="auto"/>
        <w:rPr>
          <w:rFonts w:ascii="仿宋_GB2312" w:hAnsi="仿宋" w:eastAsia="仿宋_GB2312"/>
          <w:sz w:val="28"/>
          <w:szCs w:val="28"/>
        </w:rPr>
      </w:pPr>
      <w:r>
        <w:rPr>
          <w:rFonts w:hint="eastAsia" w:ascii="仿宋_GB2312" w:eastAsia="仿宋_GB2312"/>
          <w:sz w:val="28"/>
          <w:szCs w:val="28"/>
        </w:rPr>
        <w:t>国家有关法律、行政法规、规章和政策、技术标准文件</w:t>
      </w:r>
      <w:r>
        <w:rPr>
          <w:rFonts w:hint="eastAsia" w:ascii="仿宋_GB2312" w:hAnsi="仿宋" w:eastAsia="仿宋_GB2312"/>
          <w:sz w:val="28"/>
          <w:szCs w:val="28"/>
        </w:rPr>
        <w:t>：</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《中华人民共和国物权法》（中华人民共和国主席令第62号、2007年10月1日起施行）；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《中华人民共和国资产评估法》（中华人民共和国主席令第四十六号，2016年12月1日起施行）；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《中华人民共和国城市房地产管理法》（1994年7月5日中华人民共和国主席令第29号、1995年1月1日起施行）；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《中华人民共和国土地管理法》（2004年8月28日中华人民共和国主席令第28号（第二次修正）、1999年1月1日起施行）；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《中国人民代表大会常务委员会关于司法鉴定管理问题的决定》（2005年2月28日）；</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w:t>
      </w:r>
      <w:r>
        <w:rPr>
          <w:rFonts w:ascii="Times New Roman" w:hAnsi="Times New Roman" w:eastAsia="仿宋_GB2312"/>
          <w:sz w:val="28"/>
          <w:szCs w:val="28"/>
        </w:rPr>
        <w:t>[2004]16</w:t>
      </w:r>
      <w:r>
        <w:rPr>
          <w:rFonts w:hint="eastAsia" w:ascii="Times New Roman" w:hAnsi="Times New Roman" w:eastAsia="仿宋_GB2312"/>
          <w:sz w:val="28"/>
          <w:szCs w:val="28"/>
        </w:rPr>
        <w:t>号）；</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《最高人民法院关于人民法院确定财产处置参考价若干问题的规定》（法释</w:t>
      </w:r>
      <w:r>
        <w:rPr>
          <w:rFonts w:ascii="Times New Roman" w:hAnsi="Times New Roman" w:eastAsia="仿宋_GB2312"/>
          <w:sz w:val="28"/>
          <w:szCs w:val="28"/>
        </w:rPr>
        <w:t>[20</w:t>
      </w:r>
      <w:r>
        <w:rPr>
          <w:rFonts w:hint="eastAsia" w:ascii="Times New Roman" w:hAnsi="Times New Roman" w:eastAsia="仿宋_GB2312"/>
          <w:sz w:val="28"/>
          <w:szCs w:val="28"/>
          <w:lang w:eastAsia="zh-CN"/>
        </w:rPr>
        <w:t>6</w:t>
      </w:r>
      <w:r>
        <w:rPr>
          <w:rFonts w:ascii="Times New Roman" w:hAnsi="Times New Roman" w:eastAsia="仿宋_GB2312"/>
          <w:sz w:val="28"/>
          <w:szCs w:val="28"/>
        </w:rPr>
        <w:t>]1</w:t>
      </w:r>
      <w:r>
        <w:rPr>
          <w:rFonts w:hint="eastAsia" w:ascii="Times New Roman" w:hAnsi="Times New Roman" w:eastAsia="仿宋_GB2312"/>
          <w:sz w:val="28"/>
          <w:szCs w:val="28"/>
        </w:rPr>
        <w:t>5号）；</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《司法鉴定程序通则》（法办发</w:t>
      </w:r>
      <w:r>
        <w:rPr>
          <w:rFonts w:ascii="Times New Roman" w:hAnsi="Times New Roman" w:eastAsia="仿宋_GB2312"/>
          <w:sz w:val="28"/>
          <w:szCs w:val="28"/>
        </w:rPr>
        <w:t>[200</w:t>
      </w:r>
      <w:r>
        <w:rPr>
          <w:rFonts w:hint="eastAsia" w:ascii="Times New Roman" w:hAnsi="Times New Roman" w:eastAsia="仿宋_GB2312"/>
          <w:sz w:val="28"/>
          <w:szCs w:val="28"/>
        </w:rPr>
        <w:t>7</w:t>
      </w:r>
      <w:r>
        <w:rPr>
          <w:rFonts w:ascii="Times New Roman" w:hAnsi="Times New Roman" w:eastAsia="仿宋_GB2312"/>
          <w:sz w:val="28"/>
          <w:szCs w:val="28"/>
        </w:rPr>
        <w:t>]</w:t>
      </w:r>
      <w:r>
        <w:rPr>
          <w:rFonts w:hint="eastAsia" w:ascii="Times New Roman" w:hAnsi="Times New Roman" w:eastAsia="仿宋_GB2312"/>
          <w:sz w:val="28"/>
          <w:szCs w:val="28"/>
        </w:rPr>
        <w:t>5号）；</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w:t>
      </w:r>
      <w:r>
        <w:rPr>
          <w:rFonts w:hint="eastAsia" w:ascii="Times New Roman" w:hAnsi="Times New Roman" w:eastAsia="仿宋_GB2312"/>
          <w:sz w:val="28"/>
          <w:szCs w:val="28"/>
        </w:rPr>
        <w:t>法办</w:t>
      </w:r>
      <w:r>
        <w:rPr>
          <w:rFonts w:ascii="Times New Roman" w:hAnsi="Times New Roman" w:eastAsia="仿宋_GB2312"/>
          <w:sz w:val="28"/>
          <w:szCs w:val="28"/>
        </w:rPr>
        <w:t xml:space="preserve"> [20</w:t>
      </w:r>
      <w:r>
        <w:rPr>
          <w:rFonts w:hint="eastAsia" w:ascii="Times New Roman" w:hAnsi="Times New Roman" w:eastAsia="仿宋_GB2312"/>
          <w:sz w:val="28"/>
          <w:szCs w:val="28"/>
          <w:lang w:eastAsia="zh-CN"/>
        </w:rPr>
        <w:t>6</w:t>
      </w:r>
      <w:r>
        <w:rPr>
          <w:rFonts w:ascii="Times New Roman" w:hAnsi="Times New Roman" w:eastAsia="仿宋_GB2312"/>
          <w:sz w:val="28"/>
          <w:szCs w:val="28"/>
        </w:rPr>
        <w:t>]</w:t>
      </w:r>
      <w:r>
        <w:rPr>
          <w:rFonts w:hint="eastAsia" w:ascii="Times New Roman" w:hAnsi="Times New Roman" w:eastAsia="仿宋_GB2312"/>
          <w:sz w:val="28"/>
          <w:szCs w:val="28"/>
        </w:rPr>
        <w:t>273号</w:t>
      </w:r>
      <w:r>
        <w:rPr>
          <w:rFonts w:hint="eastAsia" w:ascii="仿宋_GB2312" w:hAnsi="Times New Roman" w:eastAsia="仿宋_GB2312"/>
          <w:sz w:val="28"/>
          <w:szCs w:val="28"/>
        </w:rPr>
        <w:t>）；</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《房地产估价规范》（GB/T 50291-2015）；</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right="-6"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《房地产估价基本术语标准》（GB/T50899-2013、中华人民共和国住房和城乡建设部、国家质量监督检验检疫总局联合发布、2013年6月26日发布、2014年2月1日实施）；</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right="-6"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 xml:space="preserve">《关于实施小微企业普惠性税收减免政策的通知》（财税（2019）13号）； </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《国家税务总局关于小规模纳税人免征增值税政策有关征管问题的公告》。</w:t>
      </w:r>
    </w:p>
    <w:p>
      <w:pPr>
        <w:pageBreakBefore w:val="0"/>
        <w:widowControl/>
        <w:kinsoku/>
        <w:wordWrap/>
        <w:overflowPunct/>
        <w:topLinePunct w:val="0"/>
        <w:autoSpaceDE/>
        <w:autoSpaceDN/>
        <w:bidi w:val="0"/>
        <w:snapToGrid w:val="0"/>
        <w:spacing w:line="560" w:lineRule="exact"/>
        <w:ind w:firstLine="560" w:firstLineChars="200"/>
        <w:jc w:val="left"/>
        <w:textAlignment w:val="auto"/>
        <w:rPr>
          <w:rFonts w:ascii="仿宋_GB2312" w:eastAsia="仿宋_GB2312"/>
          <w:sz w:val="28"/>
          <w:szCs w:val="28"/>
        </w:rPr>
      </w:pPr>
      <w:r>
        <w:rPr>
          <w:rFonts w:hint="eastAsia" w:ascii="仿宋_GB2312" w:eastAsia="仿宋_GB2312"/>
          <w:sz w:val="28"/>
          <w:szCs w:val="28"/>
        </w:rPr>
        <w:t>2.估价委托人提供的资料</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《巴彦淖尔市临河区人民法院委托书》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lang w:eastAsia="zh-CN"/>
        </w:rPr>
        <w:t>（2019）内0802执1352号</w:t>
      </w:r>
      <w:r>
        <w:rPr>
          <w:rFonts w:hint="eastAsia" w:ascii="仿宋_GB2312" w:hAnsi="仿宋" w:eastAsia="仿宋_GB2312" w:cs="仿宋_GB2312"/>
          <w:kern w:val="2"/>
          <w:sz w:val="28"/>
          <w:szCs w:val="28"/>
        </w:rPr>
        <w:t>）</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rPr>
        <w:t>；</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宋体" w:hAnsi="Courier New" w:eastAsia="仿宋_GB2312" w:cs="仿宋_GB2312"/>
          <w:kern w:val="2"/>
          <w:sz w:val="28"/>
          <w:szCs w:val="28"/>
        </w:rPr>
        <w:t>《内蒙古自治区房地产权属登记簿》</w:t>
      </w:r>
      <w:r>
        <w:rPr>
          <w:rFonts w:hint="eastAsia" w:ascii="仿宋_GB2312" w:hAnsi="仿宋" w:eastAsia="仿宋_GB2312" w:cs="仿宋_GB2312"/>
          <w:kern w:val="2"/>
          <w:sz w:val="28"/>
          <w:szCs w:val="28"/>
        </w:rPr>
        <w:t>复印件；</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《巴彦淖尔市临河区人民法院执行裁定书》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lang w:eastAsia="zh-CN"/>
        </w:rPr>
        <w:t>（2019）内0802执1352号之一</w:t>
      </w:r>
      <w:r>
        <w:rPr>
          <w:rFonts w:hint="eastAsia" w:ascii="仿宋_GB2312" w:hAnsi="仿宋" w:eastAsia="仿宋_GB2312" w:cs="仿宋_GB2312"/>
          <w:kern w:val="2"/>
          <w:sz w:val="28"/>
          <w:szCs w:val="28"/>
        </w:rPr>
        <w:t>）</w:t>
      </w:r>
      <w:r>
        <w:rPr>
          <w:rFonts w:hint="eastAsia" w:ascii="仿宋_GB2312" w:hAnsi="仿宋_GB2312" w:eastAsia="仿宋_GB2312" w:cs="仿宋_GB2312"/>
          <w:kern w:val="2"/>
          <w:sz w:val="28"/>
          <w:szCs w:val="28"/>
        </w:rPr>
        <w:t>]</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估价委托人提供的其他有关资料。</w:t>
      </w:r>
    </w:p>
    <w:p>
      <w:pPr>
        <w:pageBreakBefore w:val="0"/>
        <w:widowControl/>
        <w:kinsoku/>
        <w:wordWrap/>
        <w:overflowPunct/>
        <w:topLinePunct w:val="0"/>
        <w:autoSpaceDE/>
        <w:autoSpaceDN/>
        <w:bidi w:val="0"/>
        <w:snapToGrid w:val="0"/>
        <w:spacing w:line="560" w:lineRule="exact"/>
        <w:ind w:firstLine="560" w:firstLineChars="200"/>
        <w:jc w:val="left"/>
        <w:textAlignment w:val="auto"/>
        <w:rPr>
          <w:rFonts w:ascii="仿宋_GB2312" w:eastAsia="仿宋_GB2312"/>
          <w:sz w:val="28"/>
          <w:szCs w:val="28"/>
        </w:rPr>
      </w:pPr>
      <w:r>
        <w:rPr>
          <w:rFonts w:hint="eastAsia" w:ascii="仿宋_GB2312" w:eastAsia="仿宋_GB2312"/>
          <w:sz w:val="28"/>
          <w:szCs w:val="28"/>
        </w:rPr>
        <w:t xml:space="preserve">3.房地产估价机构掌握的有关资料以及估价人员实地查勘所获取的资料： </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注册房地产估价师实地查勘资料和估价机构掌握的房地产相关资料；</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巴彦淖尔市房地产市场信息及估价对象所在区域的房地产市场状况、同类房地产市场交易等数据资料；</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巴彦淖尔市城市概况、规划、经济发展及自然、人文环境资料；</w:t>
      </w:r>
    </w:p>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113" w:name="_Toc5721410"/>
      <w:r>
        <w:rPr>
          <w:rFonts w:hint="eastAsia" w:ascii="仿宋_GB2312" w:hAnsi="仿宋" w:eastAsia="仿宋_GB2312"/>
          <w:bCs w:val="0"/>
          <w:sz w:val="28"/>
          <w:szCs w:val="28"/>
        </w:rPr>
        <w:t>（九）</w:t>
      </w:r>
      <w:bookmarkStart w:id="114" w:name="_Toc269132876"/>
      <w:bookmarkStart w:id="115" w:name="_Toc130033729"/>
      <w:bookmarkStart w:id="116" w:name="_Toc254875147"/>
      <w:bookmarkStart w:id="117" w:name="_Toc254860133"/>
      <w:bookmarkStart w:id="118" w:name="_Toc270691075"/>
      <w:bookmarkStart w:id="119" w:name="_Toc243111722"/>
      <w:bookmarkStart w:id="120" w:name="_Toc301369723"/>
      <w:bookmarkStart w:id="121" w:name="_Toc135016179"/>
      <w:bookmarkStart w:id="122" w:name="_Toc367869505"/>
      <w:bookmarkStart w:id="123" w:name="_Toc243111693"/>
      <w:r>
        <w:rPr>
          <w:rFonts w:hint="eastAsia" w:ascii="仿宋_GB2312" w:hAnsi="仿宋" w:eastAsia="仿宋_GB2312"/>
          <w:bCs w:val="0"/>
          <w:sz w:val="28"/>
          <w:szCs w:val="28"/>
        </w:rPr>
        <w:t>估价方法</w:t>
      </w:r>
      <w:bookmarkEnd w:id="113"/>
      <w:bookmarkEnd w:id="114"/>
      <w:bookmarkEnd w:id="115"/>
      <w:bookmarkEnd w:id="116"/>
      <w:bookmarkEnd w:id="117"/>
      <w:bookmarkEnd w:id="118"/>
      <w:bookmarkEnd w:id="119"/>
      <w:bookmarkEnd w:id="120"/>
      <w:bookmarkEnd w:id="121"/>
      <w:bookmarkEnd w:id="122"/>
      <w:bookmarkEnd w:id="123"/>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eastAsia="仿宋_GB2312"/>
          <w:sz w:val="28"/>
          <w:szCs w:val="28"/>
        </w:rPr>
      </w:pPr>
      <w:bookmarkStart w:id="124" w:name="_Toc130033730"/>
      <w:bookmarkStart w:id="125" w:name="_Toc135016180"/>
      <w:r>
        <w:rPr>
          <w:rFonts w:hint="eastAsia" w:ascii="仿宋_GB2312"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本次估价采用了比较法、收益法</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比较法是指选取一定数量的可比实例，将它们与估价对象进行比较，根据其间的差异对可比实例成交价格进行处理后得到估价对象价值或价格的方法。</w:t>
      </w:r>
    </w:p>
    <w:p>
      <w:pPr>
        <w:pageBreakBefore w:val="0"/>
        <w:kinsoku/>
        <w:wordWrap/>
        <w:overflowPunct/>
        <w:topLinePunct w:val="0"/>
        <w:autoSpaceDE/>
        <w:autoSpaceDN/>
        <w:bidi w:val="0"/>
        <w:adjustRightInd w:val="0"/>
        <w:snapToGrid w:val="0"/>
        <w:spacing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收益法是预测估价对象的未来收益，利用报酬率或资本化率、收益乘数将未来收益转换为价值得到估价对象价值或价格的方法。</w:t>
      </w:r>
    </w:p>
    <w:p>
      <w:pPr>
        <w:pStyle w:val="3"/>
        <w:pageBreakBefore w:val="0"/>
        <w:kinsoku/>
        <w:wordWrap/>
        <w:overflowPunct/>
        <w:topLinePunct w:val="0"/>
        <w:autoSpaceDE/>
        <w:autoSpaceDN/>
        <w:bidi w:val="0"/>
        <w:spacing w:before="240" w:after="240" w:line="560" w:lineRule="exact"/>
        <w:ind w:firstLine="562" w:firstLineChars="200"/>
        <w:textAlignment w:val="auto"/>
        <w:rPr>
          <w:rFonts w:ascii="仿宋_GB2312" w:hAnsi="仿宋" w:eastAsia="仿宋_GB2312"/>
          <w:bCs w:val="0"/>
          <w:sz w:val="28"/>
          <w:szCs w:val="28"/>
        </w:rPr>
      </w:pPr>
      <w:bookmarkStart w:id="126" w:name="_Toc367869506"/>
      <w:bookmarkStart w:id="127" w:name="_Toc270691076"/>
      <w:bookmarkStart w:id="128" w:name="_Toc254860134"/>
      <w:bookmarkStart w:id="129" w:name="_Toc254875148"/>
      <w:bookmarkStart w:id="130" w:name="_Toc243111723"/>
      <w:bookmarkStart w:id="131" w:name="_Toc301369724"/>
      <w:bookmarkStart w:id="132" w:name="_Toc243111694"/>
      <w:bookmarkStart w:id="133" w:name="_Toc5721411"/>
      <w:bookmarkStart w:id="134" w:name="_Toc269132877"/>
      <w:r>
        <w:rPr>
          <w:rFonts w:hint="eastAsia" w:ascii="仿宋_GB2312" w:hAnsi="仿宋" w:eastAsia="仿宋_GB2312"/>
          <w:bCs w:val="0"/>
          <w:sz w:val="28"/>
          <w:szCs w:val="28"/>
        </w:rPr>
        <w:t>（十）估价结果</w:t>
      </w:r>
      <w:bookmarkEnd w:id="124"/>
      <w:bookmarkEnd w:id="125"/>
      <w:bookmarkEnd w:id="126"/>
      <w:bookmarkEnd w:id="127"/>
      <w:bookmarkEnd w:id="128"/>
      <w:bookmarkEnd w:id="129"/>
      <w:bookmarkEnd w:id="130"/>
      <w:bookmarkEnd w:id="131"/>
      <w:bookmarkEnd w:id="132"/>
      <w:bookmarkEnd w:id="133"/>
      <w:bookmarkEnd w:id="134"/>
    </w:p>
    <w:p>
      <w:pPr>
        <w:pageBreakBefore w:val="0"/>
        <w:tabs>
          <w:tab w:val="left" w:pos="993"/>
        </w:tabs>
        <w:kinsoku/>
        <w:wordWrap/>
        <w:overflowPunct/>
        <w:topLinePunct w:val="0"/>
        <w:autoSpaceDE/>
        <w:autoSpaceDN/>
        <w:bidi w:val="0"/>
        <w:adjustRightInd w:val="0"/>
        <w:snapToGrid w:val="0"/>
        <w:spacing w:line="560" w:lineRule="exact"/>
        <w:ind w:firstLine="506" w:firstLineChars="181"/>
        <w:textAlignment w:val="auto"/>
        <w:rPr>
          <w:rFonts w:ascii="仿宋_GB2312" w:hAnsi="仿宋" w:eastAsia="仿宋_GB2312"/>
          <w:sz w:val="28"/>
          <w:szCs w:val="28"/>
        </w:rPr>
      </w:pPr>
      <w:bookmarkStart w:id="135" w:name="_Toc254875149"/>
      <w:bookmarkStart w:id="136" w:name="_Toc243111695"/>
      <w:bookmarkStart w:id="137" w:name="_Toc243111724"/>
      <w:bookmarkStart w:id="138" w:name="_Toc367869507"/>
      <w:bookmarkStart w:id="139" w:name="_Toc135016181"/>
      <w:bookmarkStart w:id="140" w:name="_Toc269132878"/>
      <w:bookmarkStart w:id="141" w:name="_Toc301369725"/>
      <w:bookmarkStart w:id="142" w:name="_Toc254860135"/>
      <w:bookmarkStart w:id="143" w:name="_Toc270691077"/>
      <w:bookmarkStart w:id="144" w:name="_Toc130033731"/>
      <w:r>
        <w:rPr>
          <w:rFonts w:hint="eastAsia" w:ascii="仿宋_GB2312" w:hAnsi="仿宋" w:eastAsia="仿宋_GB2312"/>
          <w:sz w:val="28"/>
          <w:szCs w:val="28"/>
        </w:rPr>
        <w:t>估价人员</w:t>
      </w:r>
      <w:r>
        <w:rPr>
          <w:rFonts w:hint="eastAsia" w:ascii="仿宋_GB2312" w:hAnsi="Arial" w:eastAsia="仿宋_GB2312" w:cs="Arial"/>
          <w:sz w:val="28"/>
          <w:szCs w:val="28"/>
        </w:rPr>
        <w:t>遵循各项估价原则，根据估价目的和国家有关房地产估价的规范、规定</w:t>
      </w:r>
      <w:r>
        <w:rPr>
          <w:rFonts w:hint="eastAsia" w:ascii="仿宋_GB2312" w:hAnsi="仿宋" w:eastAsia="仿宋_GB2312"/>
          <w:sz w:val="28"/>
          <w:szCs w:val="28"/>
        </w:rPr>
        <w:t>，按照估价程序，经过实地查勘与市场调查，并进行了测算，确定估</w:t>
      </w:r>
      <w:r>
        <w:rPr>
          <w:rFonts w:hint="eastAsia" w:ascii="仿宋_GB2312" w:hAnsi="Arial" w:eastAsia="仿宋_GB2312" w:cs="Arial"/>
          <w:sz w:val="28"/>
          <w:szCs w:val="28"/>
        </w:rPr>
        <w:t>价对象在满足全部假设和限制条件下于价值时点</w:t>
      </w:r>
      <w:r>
        <w:rPr>
          <w:rFonts w:hint="eastAsia" w:ascii="仿宋_GB2312" w:hAnsi="仿宋" w:eastAsia="仿宋_GB2312"/>
          <w:sz w:val="28"/>
          <w:szCs w:val="28"/>
        </w:rPr>
        <w:t>的估价结果如下：（币种：人民币）</w:t>
      </w:r>
    </w:p>
    <w:p>
      <w:pPr>
        <w:spacing w:before="120" w:beforeLines="50"/>
        <w:jc w:val="center"/>
        <w:rPr>
          <w:rFonts w:eastAsia="楷体_GB2312"/>
          <w:b/>
          <w:bCs/>
          <w:sz w:val="28"/>
          <w:szCs w:val="28"/>
        </w:rPr>
      </w:pPr>
      <w:bookmarkStart w:id="145" w:name="_Toc5721412"/>
      <w:r>
        <w:rPr>
          <w:rFonts w:eastAsia="楷体_GB2312"/>
          <w:b/>
          <w:bCs/>
          <w:sz w:val="28"/>
          <w:szCs w:val="28"/>
        </w:rPr>
        <w:t>估价结果一览表</w:t>
      </w:r>
    </w:p>
    <w:tbl>
      <w:tblPr>
        <w:tblStyle w:val="42"/>
        <w:tblpPr w:leftFromText="180" w:rightFromText="180" w:vertAnchor="text" w:horzAnchor="margin" w:tblpXSpec="center" w:tblpY="313"/>
        <w:tblW w:w="8985"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594"/>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2594"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3-0-15</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8586</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19.1811</w:t>
            </w:r>
          </w:p>
        </w:tc>
        <w:tc>
          <w:tcPr>
            <w:tcW w:w="2594"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19.1811</w:t>
            </w:r>
          </w:p>
        </w:tc>
        <w:tc>
          <w:tcPr>
            <w:tcW w:w="2594"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bl>
    <w:p>
      <w:pPr>
        <w:pStyle w:val="3"/>
        <w:spacing w:before="240" w:after="240" w:line="48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（十一）</w:t>
      </w:r>
      <w:bookmarkEnd w:id="135"/>
      <w:bookmarkEnd w:id="136"/>
      <w:bookmarkEnd w:id="137"/>
      <w:bookmarkEnd w:id="138"/>
      <w:bookmarkEnd w:id="139"/>
      <w:bookmarkEnd w:id="140"/>
      <w:bookmarkEnd w:id="141"/>
      <w:bookmarkEnd w:id="142"/>
      <w:bookmarkEnd w:id="143"/>
      <w:bookmarkEnd w:id="144"/>
      <w:bookmarkStart w:id="146" w:name="_Toc387827702"/>
      <w:r>
        <w:rPr>
          <w:rFonts w:hint="eastAsia" w:ascii="仿宋_GB2312" w:eastAsia="仿宋_GB2312"/>
          <w:sz w:val="28"/>
          <w:szCs w:val="28"/>
        </w:rPr>
        <w:t>注册房地产估价师</w:t>
      </w:r>
      <w:bookmarkEnd w:id="145"/>
      <w:bookmarkEnd w:id="146"/>
    </w:p>
    <w:p>
      <w:pPr>
        <w:adjustRightInd w:val="0"/>
        <w:snapToGrid w:val="0"/>
        <w:spacing w:after="120" w:afterLines="50" w:line="480" w:lineRule="exact"/>
        <w:ind w:firstLine="560" w:firstLineChars="200"/>
        <w:rPr>
          <w:rFonts w:ascii="仿宋_GB2312" w:hAnsi="仿宋" w:eastAsia="仿宋_GB2312"/>
          <w:sz w:val="28"/>
          <w:szCs w:val="28"/>
        </w:rPr>
      </w:pPr>
      <w:bookmarkStart w:id="147" w:name="_Toc135016182"/>
      <w:bookmarkStart w:id="148" w:name="_Toc269132879"/>
      <w:bookmarkStart w:id="149" w:name="_Toc254875150"/>
      <w:bookmarkStart w:id="150" w:name="_Toc243111725"/>
      <w:bookmarkStart w:id="151" w:name="_Toc301369726"/>
      <w:bookmarkStart w:id="152" w:name="_Toc130033732"/>
      <w:bookmarkStart w:id="153" w:name="_Toc270691078"/>
      <w:bookmarkStart w:id="154" w:name="_Toc254860136"/>
      <w:bookmarkStart w:id="155" w:name="_Toc243111696"/>
      <w:bookmarkStart w:id="156" w:name="_Toc367869508"/>
      <w:r>
        <w:rPr>
          <w:rFonts w:hint="eastAsia" w:ascii="仿宋_GB2312" w:hAnsi="仿宋" w:eastAsia="仿宋_GB2312"/>
          <w:sz w:val="28"/>
          <w:szCs w:val="28"/>
        </w:rPr>
        <w:t>参加本次估价的注册房地产估价师为：</w:t>
      </w:r>
    </w:p>
    <w:tbl>
      <w:tblPr>
        <w:tblStyle w:val="42"/>
        <w:tblW w:w="896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51"/>
        <w:gridCol w:w="2737"/>
        <w:gridCol w:w="1569"/>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1" w:hRule="atLeast"/>
          <w:jc w:val="center"/>
        </w:trPr>
        <w:tc>
          <w:tcPr>
            <w:tcW w:w="1407" w:type="dxa"/>
            <w:tcBorders>
              <w:top w:val="thinThickSmallGap" w:color="auto" w:sz="12" w:space="0"/>
              <w:left w:val="nil"/>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bookmarkStart w:id="157" w:name="_Toc5721413"/>
            <w:r>
              <w:rPr>
                <w:rFonts w:hint="eastAsia" w:ascii="Times New Roman" w:hAnsi="Times New Roman" w:eastAsia="仿宋_GB2312" w:cs="仿宋_GB2312"/>
                <w:b/>
                <w:kern w:val="2"/>
                <w:sz w:val="28"/>
                <w:szCs w:val="28"/>
              </w:rPr>
              <w:t>姓名</w:t>
            </w:r>
          </w:p>
        </w:tc>
        <w:tc>
          <w:tcPr>
            <w:tcW w:w="3251"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注册号</w:t>
            </w:r>
          </w:p>
        </w:tc>
        <w:tc>
          <w:tcPr>
            <w:tcW w:w="2737"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w:t>
            </w:r>
            <w:r>
              <w:rPr>
                <w:rFonts w:ascii="Times New Roman" w:hAnsi="Times New Roman" w:eastAsia="仿宋_GB2312"/>
                <w:b/>
                <w:kern w:val="2"/>
                <w:sz w:val="28"/>
                <w:szCs w:val="28"/>
              </w:rPr>
              <w:t xml:space="preserve">    </w:t>
            </w:r>
            <w:r>
              <w:rPr>
                <w:rFonts w:hint="eastAsia" w:ascii="Times New Roman" w:hAnsi="Times New Roman" w:eastAsia="仿宋_GB2312" w:cs="仿宋_GB2312"/>
                <w:b/>
                <w:kern w:val="2"/>
                <w:sz w:val="28"/>
                <w:szCs w:val="28"/>
              </w:rPr>
              <w:t>名</w:t>
            </w:r>
          </w:p>
        </w:tc>
        <w:tc>
          <w:tcPr>
            <w:tcW w:w="1569" w:type="dxa"/>
            <w:tcBorders>
              <w:top w:val="thinThickSmallGap" w:color="auto" w:sz="12" w:space="0"/>
              <w:left w:val="dotted" w:color="auto" w:sz="4" w:space="0"/>
              <w:bottom w:val="single"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4" w:hRule="atLeast"/>
          <w:jc w:val="center"/>
        </w:trPr>
        <w:tc>
          <w:tcPr>
            <w:tcW w:w="1407" w:type="dxa"/>
            <w:tcBorders>
              <w:top w:val="single" w:color="auto" w:sz="4" w:space="0"/>
              <w:left w:val="nil"/>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历福友</w:t>
            </w:r>
          </w:p>
        </w:tc>
        <w:tc>
          <w:tcPr>
            <w:tcW w:w="3251"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1520050003</w:t>
            </w:r>
          </w:p>
        </w:tc>
        <w:tc>
          <w:tcPr>
            <w:tcW w:w="2737"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569" w:type="dxa"/>
            <w:tcBorders>
              <w:top w:val="single" w:color="auto" w:sz="4" w:space="0"/>
              <w:left w:val="dotted" w:color="auto" w:sz="4" w:space="0"/>
              <w:bottom w:val="dotted"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90" w:hRule="atLeast"/>
          <w:jc w:val="center"/>
        </w:trPr>
        <w:tc>
          <w:tcPr>
            <w:tcW w:w="1407" w:type="dxa"/>
            <w:tcBorders>
              <w:top w:val="dotted" w:color="auto" w:sz="4" w:space="0"/>
              <w:left w:val="nil"/>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毕明梅</w:t>
            </w:r>
          </w:p>
        </w:tc>
        <w:tc>
          <w:tcPr>
            <w:tcW w:w="3251"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1520050020</w:t>
            </w:r>
          </w:p>
        </w:tc>
        <w:tc>
          <w:tcPr>
            <w:tcW w:w="2737"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569" w:type="dxa"/>
            <w:tcBorders>
              <w:top w:val="dotted" w:color="auto" w:sz="4" w:space="0"/>
              <w:left w:val="dotted" w:color="auto" w:sz="4" w:space="0"/>
              <w:bottom w:val="thickThinSmallGap" w:color="auto" w:sz="12"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bl>
    <w:p>
      <w:pPr>
        <w:pStyle w:val="3"/>
        <w:spacing w:before="240" w:after="240" w:line="48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（十二）</w:t>
      </w:r>
      <w:bookmarkEnd w:id="147"/>
      <w:bookmarkEnd w:id="148"/>
      <w:bookmarkEnd w:id="149"/>
      <w:bookmarkEnd w:id="150"/>
      <w:bookmarkEnd w:id="151"/>
      <w:bookmarkEnd w:id="152"/>
      <w:bookmarkEnd w:id="153"/>
      <w:bookmarkEnd w:id="154"/>
      <w:bookmarkEnd w:id="155"/>
      <w:bookmarkEnd w:id="156"/>
      <w:r>
        <w:rPr>
          <w:rFonts w:hint="eastAsia" w:ascii="仿宋_GB2312" w:eastAsia="仿宋_GB2312"/>
          <w:sz w:val="28"/>
          <w:szCs w:val="28"/>
        </w:rPr>
        <w:t>实地查勘期</w:t>
      </w:r>
      <w:bookmarkEnd w:id="157"/>
    </w:p>
    <w:p>
      <w:pPr>
        <w:spacing w:line="480" w:lineRule="exact"/>
        <w:ind w:firstLine="560" w:firstLineChars="200"/>
        <w:rPr>
          <w:rFonts w:ascii="仿宋_GB2312" w:hAnsi="仿宋" w:eastAsia="仿宋_GB2312"/>
          <w:sz w:val="28"/>
          <w:szCs w:val="28"/>
        </w:rPr>
      </w:pPr>
      <w:r>
        <w:rPr>
          <w:rFonts w:eastAsia="仿宋_GB2312"/>
          <w:sz w:val="28"/>
          <w:szCs w:val="28"/>
        </w:rPr>
        <w:t>2019</w:t>
      </w:r>
      <w:r>
        <w:rPr>
          <w:rFonts w:hint="eastAsia" w:eastAsia="仿宋_GB2312" w:cs="仿宋_GB2312"/>
          <w:sz w:val="28"/>
          <w:szCs w:val="28"/>
        </w:rPr>
        <w:t>年</w:t>
      </w:r>
      <w:r>
        <w:rPr>
          <w:rFonts w:hint="eastAsia" w:eastAsia="仿宋_GB2312"/>
          <w:sz w:val="28"/>
          <w:szCs w:val="28"/>
          <w:lang w:eastAsia="zh-CN"/>
        </w:rPr>
        <w:t>11月13日</w:t>
      </w:r>
      <w:r>
        <w:rPr>
          <w:rFonts w:hint="eastAsia" w:eastAsia="仿宋_GB2312" w:cs="仿宋_GB2312"/>
          <w:sz w:val="28"/>
          <w:szCs w:val="28"/>
        </w:rPr>
        <w:t>至</w:t>
      </w:r>
      <w:r>
        <w:rPr>
          <w:rFonts w:eastAsia="仿宋_GB2312"/>
          <w:sz w:val="28"/>
          <w:szCs w:val="28"/>
        </w:rPr>
        <w:t>2019</w:t>
      </w:r>
      <w:r>
        <w:rPr>
          <w:rFonts w:hint="eastAsia" w:eastAsia="仿宋_GB2312" w:cs="仿宋_GB2312"/>
          <w:sz w:val="28"/>
          <w:szCs w:val="28"/>
        </w:rPr>
        <w:t>年</w:t>
      </w:r>
      <w:r>
        <w:rPr>
          <w:rFonts w:hint="eastAsia" w:eastAsia="仿宋_GB2312"/>
          <w:sz w:val="28"/>
          <w:szCs w:val="28"/>
          <w:lang w:eastAsia="zh-CN"/>
        </w:rPr>
        <w:t>11月13日</w:t>
      </w:r>
      <w:r>
        <w:rPr>
          <w:rFonts w:hint="eastAsia" w:eastAsia="仿宋_GB2312" w:cs="仿宋_GB2312"/>
          <w:sz w:val="28"/>
          <w:szCs w:val="28"/>
        </w:rPr>
        <w:t>（自进入估价对象现场之日起至完成实地查勘之日止）</w:t>
      </w:r>
    </w:p>
    <w:p>
      <w:pPr>
        <w:pStyle w:val="3"/>
        <w:spacing w:before="240" w:after="240" w:line="480" w:lineRule="exact"/>
        <w:ind w:firstLine="562" w:firstLineChars="200"/>
        <w:rPr>
          <w:rFonts w:ascii="仿宋_GB2312" w:hAnsi="仿宋" w:eastAsia="仿宋_GB2312"/>
          <w:bCs w:val="0"/>
          <w:sz w:val="28"/>
          <w:szCs w:val="28"/>
        </w:rPr>
      </w:pPr>
      <w:bookmarkStart w:id="158" w:name="_Toc269132880"/>
      <w:bookmarkStart w:id="159" w:name="_Toc243111697"/>
      <w:bookmarkStart w:id="160" w:name="_Toc130033733"/>
      <w:bookmarkStart w:id="161" w:name="_Toc270691079"/>
      <w:bookmarkStart w:id="162" w:name="_Toc301369727"/>
      <w:bookmarkStart w:id="163" w:name="_Toc254875151"/>
      <w:bookmarkStart w:id="164" w:name="_Toc254860137"/>
      <w:bookmarkStart w:id="165" w:name="_Toc367869509"/>
      <w:bookmarkStart w:id="166" w:name="_Toc135016183"/>
      <w:bookmarkStart w:id="167" w:name="_Toc243111726"/>
      <w:bookmarkStart w:id="168" w:name="_Toc5721414"/>
      <w:r>
        <w:rPr>
          <w:rFonts w:hint="eastAsia" w:ascii="仿宋_GB2312" w:hAnsi="仿宋" w:eastAsia="仿宋_GB2312"/>
          <w:bCs w:val="0"/>
          <w:sz w:val="28"/>
          <w:szCs w:val="28"/>
        </w:rPr>
        <w:t>（十三）</w:t>
      </w:r>
      <w:bookmarkEnd w:id="158"/>
      <w:bookmarkEnd w:id="159"/>
      <w:bookmarkEnd w:id="160"/>
      <w:bookmarkEnd w:id="161"/>
      <w:bookmarkEnd w:id="162"/>
      <w:bookmarkEnd w:id="163"/>
      <w:bookmarkEnd w:id="164"/>
      <w:bookmarkEnd w:id="165"/>
      <w:bookmarkEnd w:id="166"/>
      <w:bookmarkEnd w:id="167"/>
      <w:r>
        <w:rPr>
          <w:rFonts w:hint="eastAsia" w:ascii="仿宋_GB2312" w:hAnsi="仿宋" w:eastAsia="仿宋_GB2312"/>
          <w:bCs w:val="0"/>
          <w:sz w:val="28"/>
          <w:szCs w:val="28"/>
        </w:rPr>
        <w:t>估价作业期</w:t>
      </w:r>
      <w:bookmarkEnd w:id="168"/>
    </w:p>
    <w:p>
      <w:pPr>
        <w:spacing w:line="540" w:lineRule="exact"/>
        <w:ind w:firstLine="560" w:firstLineChars="200"/>
        <w:rPr>
          <w:rFonts w:hint="eastAsia" w:ascii="仿宋_GB2312" w:hAnsi="仿宋" w:eastAsia="仿宋_GB2312" w:cs="仿宋_GB2312"/>
          <w:sz w:val="28"/>
          <w:szCs w:val="28"/>
          <w:lang w:eastAsia="zh-CN"/>
        </w:rPr>
      </w:pPr>
      <w:bookmarkStart w:id="169" w:name="_Toc135016184"/>
      <w:bookmarkStart w:id="170" w:name="_Toc254860138"/>
      <w:bookmarkStart w:id="171" w:name="_Toc270691080"/>
      <w:bookmarkStart w:id="172" w:name="_Toc243111698"/>
      <w:bookmarkStart w:id="173" w:name="_Toc269132881"/>
      <w:bookmarkStart w:id="174" w:name="_Toc243111727"/>
      <w:bookmarkStart w:id="175" w:name="_Toc299004801"/>
      <w:bookmarkStart w:id="176" w:name="_Toc130033734"/>
      <w:bookmarkStart w:id="177" w:name="_Toc254875152"/>
      <w:bookmarkStart w:id="178" w:name="_Toc299004832"/>
      <w:r>
        <w:rPr>
          <w:rFonts w:hint="eastAsia" w:ascii="仿宋_GB2312" w:hAnsi="仿宋" w:eastAsia="仿宋_GB2312" w:cs="仿宋_GB2312"/>
          <w:sz w:val="28"/>
          <w:szCs w:val="28"/>
        </w:rPr>
        <w:t>二○一九年</w:t>
      </w:r>
      <w:r>
        <w:rPr>
          <w:rFonts w:hint="eastAsia" w:ascii="仿宋_GB2312" w:hAnsi="仿宋" w:eastAsia="仿宋_GB2312" w:cs="仿宋_GB2312"/>
          <w:sz w:val="28"/>
          <w:szCs w:val="28"/>
          <w:lang w:eastAsia="zh-CN"/>
        </w:rPr>
        <w:t>十一月十三日</w:t>
      </w:r>
      <w:r>
        <w:rPr>
          <w:rFonts w:hint="eastAsia" w:ascii="仿宋_GB2312" w:hAnsi="仿宋" w:eastAsia="仿宋_GB2312" w:cs="仿宋_GB2312"/>
          <w:sz w:val="28"/>
          <w:szCs w:val="28"/>
        </w:rPr>
        <w:t>至</w:t>
      </w:r>
      <w:bookmarkStart w:id="179" w:name="_Toc512274805"/>
      <w:r>
        <w:rPr>
          <w:rFonts w:hint="eastAsia" w:ascii="仿宋_GB2312" w:hAnsi="仿宋" w:eastAsia="仿宋_GB2312" w:cs="仿宋_GB2312"/>
          <w:sz w:val="28"/>
          <w:szCs w:val="28"/>
        </w:rPr>
        <w:t>二〇一九年</w:t>
      </w:r>
      <w:bookmarkEnd w:id="179"/>
      <w:r>
        <w:rPr>
          <w:rFonts w:hint="eastAsia" w:ascii="仿宋_GB2312" w:hAnsi="仿宋" w:eastAsia="仿宋_GB2312" w:cs="仿宋_GB2312"/>
          <w:sz w:val="28"/>
          <w:szCs w:val="28"/>
          <w:lang w:eastAsia="zh-CN"/>
        </w:rPr>
        <w:t>十一月二十五日</w:t>
      </w:r>
    </w:p>
    <w:bookmarkEnd w:id="169"/>
    <w:bookmarkEnd w:id="170"/>
    <w:bookmarkEnd w:id="171"/>
    <w:bookmarkEnd w:id="172"/>
    <w:bookmarkEnd w:id="173"/>
    <w:bookmarkEnd w:id="174"/>
    <w:bookmarkEnd w:id="175"/>
    <w:bookmarkEnd w:id="176"/>
    <w:bookmarkEnd w:id="177"/>
    <w:bookmarkEnd w:id="178"/>
    <w:p>
      <w:pPr>
        <w:pStyle w:val="40"/>
        <w:rPr>
          <w:rFonts w:ascii="仿宋_GB2312" w:eastAsia="仿宋_GB2312"/>
          <w:snapToGrid w:val="0"/>
          <w:kern w:val="0"/>
          <w:sz w:val="28"/>
          <w:szCs w:val="28"/>
        </w:rPr>
      </w:pPr>
      <w:bookmarkStart w:id="180" w:name="_Toc5721415"/>
    </w:p>
    <w:p>
      <w:pPr>
        <w:pStyle w:val="40"/>
        <w:jc w:val="both"/>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pStyle w:val="40"/>
        <w:rPr>
          <w:rFonts w:ascii="仿宋_GB2312" w:eastAsia="仿宋_GB2312"/>
          <w:snapToGrid w:val="0"/>
          <w:kern w:val="0"/>
          <w:sz w:val="28"/>
          <w:szCs w:val="28"/>
        </w:rPr>
      </w:pPr>
      <w:r>
        <w:rPr>
          <w:rFonts w:hint="eastAsia" w:ascii="仿宋_GB2312" w:eastAsia="仿宋_GB2312"/>
          <w:snapToGrid w:val="0"/>
          <w:kern w:val="0"/>
          <w:sz w:val="28"/>
          <w:szCs w:val="28"/>
        </w:rPr>
        <w:t>四、估价技术报告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180"/>
    </w:p>
    <w:p>
      <w:pPr>
        <w:pStyle w:val="3"/>
        <w:spacing w:before="240" w:after="240" w:line="240" w:lineRule="auto"/>
        <w:ind w:firstLine="562" w:firstLineChars="200"/>
        <w:rPr>
          <w:rFonts w:ascii="仿宋_GB2312" w:hAnsi="仿宋" w:eastAsia="仿宋_GB2312"/>
          <w:bCs w:val="0"/>
          <w:sz w:val="28"/>
          <w:szCs w:val="28"/>
        </w:rPr>
      </w:pPr>
      <w:bookmarkStart w:id="181" w:name="_Toc270691082"/>
      <w:bookmarkStart w:id="182" w:name="_Toc301369584"/>
      <w:bookmarkStart w:id="183" w:name="_Toc299004834"/>
      <w:bookmarkStart w:id="184" w:name="_Toc243111700"/>
      <w:bookmarkStart w:id="185" w:name="_Toc135016186"/>
      <w:bookmarkStart w:id="186" w:name="_Toc367869512"/>
      <w:bookmarkStart w:id="187" w:name="_Toc299006853"/>
      <w:bookmarkStart w:id="188" w:name="_Toc254860170"/>
      <w:bookmarkStart w:id="189" w:name="_Toc298936730"/>
      <w:bookmarkStart w:id="190" w:name="_Toc254860140"/>
      <w:bookmarkStart w:id="191" w:name="_Toc269132883"/>
      <w:bookmarkStart w:id="192" w:name="_Toc301369730"/>
      <w:bookmarkStart w:id="193" w:name="_Toc94587046"/>
      <w:bookmarkStart w:id="194" w:name="_Toc254875154"/>
      <w:bookmarkStart w:id="195" w:name="_Toc299005655"/>
      <w:bookmarkStart w:id="196" w:name="_Toc243111729"/>
      <w:bookmarkStart w:id="197" w:name="_Toc94587104"/>
      <w:bookmarkStart w:id="198" w:name="_Toc298936787"/>
      <w:bookmarkStart w:id="199" w:name="_Toc299007140"/>
      <w:bookmarkStart w:id="200" w:name="_Toc5721416"/>
      <w:r>
        <w:rPr>
          <w:rFonts w:hint="eastAsia" w:ascii="仿宋_GB2312" w:hAnsi="仿宋" w:eastAsia="仿宋_GB2312"/>
          <w:bCs w:val="0"/>
          <w:sz w:val="28"/>
          <w:szCs w:val="28"/>
        </w:rPr>
        <w:t>（一</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ascii="仿宋_GB2312" w:hAnsi="仿宋" w:eastAsia="仿宋_GB2312"/>
          <w:bCs w:val="0"/>
          <w:sz w:val="28"/>
          <w:szCs w:val="28"/>
        </w:rPr>
        <w:t>）实物状况描述与分析</w:t>
      </w:r>
      <w:bookmarkEnd w:id="200"/>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估价对象实物状况描述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※土地实物状况描述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1土地的名称：-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2土地用途：-   </w:t>
      </w:r>
    </w:p>
    <w:p>
      <w:pPr>
        <w:spacing w:line="540" w:lineRule="exact"/>
        <w:ind w:firstLine="560"/>
        <w:rPr>
          <w:rFonts w:hint="eastAsia" w:ascii="仿宋_GB2312" w:hAnsi="仿宋" w:eastAsia="仿宋_GB2312"/>
          <w:b w:val="0"/>
          <w:bCs w:val="0"/>
          <w:color w:val="FF0000"/>
          <w:sz w:val="28"/>
          <w:szCs w:val="28"/>
          <w:highlight w:val="none"/>
          <w:lang w:eastAsia="zh-CN"/>
        </w:rPr>
      </w:pPr>
      <w:r>
        <w:rPr>
          <w:rFonts w:hint="eastAsia" w:ascii="仿宋_GB2312" w:hAnsi="仿宋" w:eastAsia="仿宋_GB2312"/>
          <w:sz w:val="28"/>
          <w:szCs w:val="28"/>
        </w:rPr>
        <w:t>3土地级别：</w:t>
      </w:r>
      <w:r>
        <w:rPr>
          <w:rFonts w:hint="eastAsia" w:ascii="仿宋_GB2312" w:hAnsi="仿宋" w:eastAsia="仿宋_GB2312"/>
          <w:b w:val="0"/>
          <w:bCs w:val="0"/>
          <w:color w:val="000000" w:themeColor="text1"/>
          <w:sz w:val="28"/>
          <w:szCs w:val="28"/>
          <w:highlight w:val="none"/>
          <w:lang w:eastAsia="zh-CN"/>
          <w14:textFill>
            <w14:solidFill>
              <w14:schemeClr w14:val="tx1"/>
            </w14:solidFill>
          </w14:textFill>
        </w:rPr>
        <w:t>商业二级</w:t>
      </w:r>
    </w:p>
    <w:p>
      <w:pPr>
        <w:spacing w:line="540" w:lineRule="exact"/>
        <w:ind w:firstLine="560"/>
        <w:rPr>
          <w:rFonts w:hint="eastAsia" w:ascii="仿宋_GB2312" w:hAnsi="仿宋" w:eastAsia="仿宋_GB2312"/>
          <w:sz w:val="28"/>
          <w:szCs w:val="28"/>
          <w:lang w:val="en-US" w:eastAsia="zh-CN"/>
        </w:rPr>
      </w:pPr>
      <w:r>
        <w:rPr>
          <w:rFonts w:hint="eastAsia" w:ascii="仿宋_GB2312" w:hAnsi="仿宋" w:eastAsia="仿宋_GB2312"/>
          <w:sz w:val="28"/>
          <w:szCs w:val="28"/>
        </w:rPr>
        <w:t>4土地面积：</w:t>
      </w:r>
      <w:r>
        <w:rPr>
          <w:rFonts w:hint="eastAsia" w:ascii="仿宋_GB2312" w:hAnsi="仿宋" w:eastAsia="仿宋_GB2312"/>
          <w:sz w:val="28"/>
          <w:szCs w:val="28"/>
          <w:lang w:val="en-US" w:eastAsia="zh-CN"/>
        </w:rPr>
        <w:t>-</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5土地四至：东至</w:t>
      </w:r>
      <w:r>
        <w:rPr>
          <w:rFonts w:hint="eastAsia" w:ascii="仿宋_GB2312" w:hAnsi="仿宋" w:eastAsia="仿宋_GB2312"/>
          <w:sz w:val="28"/>
          <w:szCs w:val="28"/>
          <w:lang w:eastAsia="zh-CN"/>
        </w:rPr>
        <w:t>水源路</w:t>
      </w:r>
      <w:r>
        <w:rPr>
          <w:rFonts w:hint="eastAsia" w:ascii="仿宋_GB2312" w:hAnsi="仿宋" w:eastAsia="仿宋_GB2312"/>
          <w:sz w:val="28"/>
          <w:szCs w:val="28"/>
        </w:rPr>
        <w:t>、南至</w:t>
      </w:r>
      <w:r>
        <w:rPr>
          <w:rFonts w:hint="eastAsia" w:ascii="仿宋_GB2312" w:hAnsi="仿宋" w:eastAsia="仿宋_GB2312"/>
          <w:sz w:val="28"/>
          <w:szCs w:val="28"/>
          <w:lang w:eastAsia="zh-CN"/>
        </w:rPr>
        <w:t>五一街</w:t>
      </w:r>
      <w:r>
        <w:rPr>
          <w:rFonts w:hint="eastAsia" w:ascii="仿宋_GB2312" w:hAnsi="仿宋" w:eastAsia="仿宋_GB2312"/>
          <w:sz w:val="28"/>
          <w:szCs w:val="28"/>
        </w:rPr>
        <w:t>、西至</w:t>
      </w:r>
      <w:r>
        <w:rPr>
          <w:rFonts w:hint="eastAsia" w:ascii="仿宋_GB2312" w:hAnsi="仿宋" w:eastAsia="仿宋_GB2312"/>
          <w:sz w:val="28"/>
          <w:szCs w:val="28"/>
          <w:lang w:eastAsia="zh-CN"/>
        </w:rPr>
        <w:t>明珠</w:t>
      </w:r>
      <w:r>
        <w:rPr>
          <w:rFonts w:hint="eastAsia" w:ascii="仿宋_GB2312" w:hAnsi="仿宋" w:eastAsia="仿宋_GB2312"/>
          <w:sz w:val="28"/>
          <w:szCs w:val="28"/>
        </w:rPr>
        <w:t>路、北至</w:t>
      </w:r>
      <w:r>
        <w:rPr>
          <w:rFonts w:hint="eastAsia" w:ascii="仿宋_GB2312" w:hAnsi="仿宋" w:eastAsia="仿宋_GB2312"/>
          <w:sz w:val="28"/>
          <w:szCs w:val="28"/>
          <w:lang w:eastAsia="zh-CN"/>
        </w:rPr>
        <w:t>支路</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6临街状况：</w:t>
      </w:r>
      <w:r>
        <w:rPr>
          <w:rFonts w:hint="eastAsia" w:ascii="仿宋_GB2312" w:hAnsi="仿宋" w:eastAsia="仿宋_GB2312"/>
          <w:sz w:val="28"/>
          <w:szCs w:val="28"/>
          <w:lang w:eastAsia="zh-CN"/>
        </w:rPr>
        <w:t>四</w:t>
      </w:r>
      <w:r>
        <w:rPr>
          <w:rFonts w:hint="eastAsia" w:ascii="仿宋_GB2312" w:hAnsi="仿宋" w:eastAsia="仿宋_GB2312"/>
          <w:sz w:val="28"/>
          <w:szCs w:val="28"/>
        </w:rPr>
        <w:t>面临街</w:t>
      </w:r>
    </w:p>
    <w:p>
      <w:pPr>
        <w:spacing w:line="540" w:lineRule="exact"/>
        <w:ind w:firstLine="560"/>
        <w:rPr>
          <w:rFonts w:hint="eastAsia" w:ascii="仿宋_GB2312" w:hAnsi="仿宋" w:eastAsia="仿宋_GB2312"/>
          <w:sz w:val="28"/>
          <w:szCs w:val="28"/>
          <w:lang w:eastAsia="zh-CN"/>
        </w:rPr>
      </w:pPr>
      <w:r>
        <w:rPr>
          <w:rFonts w:hint="eastAsia" w:ascii="仿宋_GB2312" w:hAnsi="仿宋" w:eastAsia="仿宋_GB2312"/>
          <w:sz w:val="28"/>
          <w:szCs w:val="28"/>
        </w:rPr>
        <w:t>7土地形状：</w:t>
      </w:r>
      <w:r>
        <w:rPr>
          <w:rFonts w:hint="eastAsia" w:ascii="仿宋_GB2312" w:hAnsi="仿宋" w:eastAsia="仿宋_GB2312"/>
          <w:sz w:val="28"/>
          <w:szCs w:val="28"/>
          <w:lang w:val="en-US" w:eastAsia="zh-CN"/>
        </w:rPr>
        <w:t>-</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8土地地势：地势平坦</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9地质水文状况：良好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10土地开发程度：土地开发程度达“七通”（即通路、通电、通讯、通上水、通下水、通热、通气）</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土地面积符合</w:t>
      </w:r>
      <w:r>
        <w:rPr>
          <w:rFonts w:hint="eastAsia" w:ascii="仿宋_GB2312" w:hAnsi="仿宋" w:eastAsia="仿宋_GB2312"/>
          <w:sz w:val="28"/>
          <w:szCs w:val="28"/>
          <w:lang w:eastAsia="zh-CN"/>
        </w:rPr>
        <w:t>车库</w:t>
      </w:r>
      <w:r>
        <w:rPr>
          <w:rFonts w:hint="eastAsia" w:ascii="仿宋_GB2312" w:hAnsi="仿宋" w:eastAsia="仿宋_GB2312"/>
          <w:sz w:val="28"/>
          <w:szCs w:val="28"/>
        </w:rPr>
        <w:t>活动对土地面积的需求，土地形状便于利用和规划设计，基础设施完备有利于房地产市场发展，地势平坦、地基承载力好，对土地的利用及价值影响不大，估价对象现为</w:t>
      </w:r>
      <w:r>
        <w:rPr>
          <w:rFonts w:hint="eastAsia" w:ascii="仿宋_GB2312" w:hAnsi="仿宋" w:eastAsia="仿宋_GB2312"/>
          <w:sz w:val="28"/>
          <w:szCs w:val="28"/>
          <w:lang w:eastAsia="zh-CN"/>
        </w:rPr>
        <w:t>闫子琴、刘培军车库用房</w:t>
      </w:r>
      <w:r>
        <w:rPr>
          <w:rFonts w:hint="eastAsia" w:ascii="仿宋_GB2312" w:hAnsi="仿宋" w:eastAsia="仿宋_GB2312"/>
          <w:sz w:val="28"/>
          <w:szCs w:val="28"/>
        </w:rPr>
        <w:t>，土地不可分割或合并，对土地的利用及价值影响不大，</w:t>
      </w:r>
      <w:r>
        <w:rPr>
          <w:rFonts w:hint="eastAsia" w:ascii="仿宋_GB2312" w:hAnsi="仿宋" w:eastAsia="仿宋_GB2312"/>
          <w:sz w:val="28"/>
          <w:szCs w:val="28"/>
          <w:lang w:eastAsia="zh-CN"/>
        </w:rPr>
        <w:t>估价</w:t>
      </w:r>
      <w:r>
        <w:rPr>
          <w:rFonts w:hint="eastAsia" w:ascii="仿宋_GB2312" w:hAnsi="仿宋" w:eastAsia="仿宋_GB2312"/>
          <w:sz w:val="28"/>
          <w:szCs w:val="28"/>
        </w:rPr>
        <w:t>对象为</w:t>
      </w:r>
      <w:r>
        <w:rPr>
          <w:rFonts w:hint="eastAsia" w:ascii="仿宋_GB2312" w:hAnsi="仿宋" w:eastAsia="仿宋_GB2312"/>
          <w:sz w:val="28"/>
          <w:szCs w:val="28"/>
          <w:lang w:eastAsia="zh-CN"/>
        </w:rPr>
        <w:t>车库</w:t>
      </w:r>
      <w:r>
        <w:rPr>
          <w:rFonts w:hint="eastAsia" w:ascii="仿宋_GB2312" w:hAnsi="仿宋" w:eastAsia="仿宋_GB2312"/>
          <w:sz w:val="28"/>
          <w:szCs w:val="28"/>
        </w:rPr>
        <w:t>用途，</w:t>
      </w:r>
      <w:r>
        <w:rPr>
          <w:rFonts w:hint="eastAsia" w:ascii="仿宋_GB2312" w:hAnsi="仿宋" w:eastAsia="仿宋_GB2312"/>
          <w:sz w:val="28"/>
          <w:szCs w:val="28"/>
          <w:lang w:eastAsia="zh-CN"/>
        </w:rPr>
        <w:t>四</w:t>
      </w:r>
      <w:r>
        <w:rPr>
          <w:rFonts w:hint="eastAsia" w:ascii="仿宋_GB2312" w:hAnsi="仿宋" w:eastAsia="仿宋_GB2312"/>
          <w:sz w:val="28"/>
          <w:szCs w:val="28"/>
        </w:rPr>
        <w:t>面临街，对土地利用及价格影响不大。</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※建筑物实物描述</w:t>
      </w:r>
    </w:p>
    <w:p>
      <w:pPr>
        <w:spacing w:line="540" w:lineRule="exact"/>
        <w:ind w:firstLine="562"/>
        <w:rPr>
          <w:rFonts w:hint="eastAsia" w:ascii="仿宋_GB2312" w:hAnsi="仿宋" w:eastAsia="仿宋_GB2312"/>
          <w:sz w:val="28"/>
          <w:szCs w:val="28"/>
          <w:lang w:eastAsia="zh-CN"/>
        </w:rPr>
      </w:pPr>
      <w:r>
        <w:rPr>
          <w:rFonts w:hint="eastAsia" w:ascii="仿宋_GB2312" w:hAnsi="仿宋" w:eastAsia="仿宋_GB2312"/>
          <w:sz w:val="28"/>
          <w:szCs w:val="28"/>
        </w:rPr>
        <w:t>1名称：权</w:t>
      </w:r>
      <w:r>
        <w:rPr>
          <w:rFonts w:hint="eastAsia" w:ascii="仿宋_GB2312" w:hAnsi="仿宋" w:eastAsia="仿宋_GB2312"/>
          <w:sz w:val="28"/>
          <w:szCs w:val="28"/>
          <w:lang w:eastAsia="zh-CN"/>
        </w:rPr>
        <w:t>利</w:t>
      </w:r>
      <w:r>
        <w:rPr>
          <w:rFonts w:hint="eastAsia" w:ascii="仿宋_GB2312" w:hAnsi="仿宋" w:eastAsia="仿宋_GB2312"/>
          <w:sz w:val="28"/>
          <w:szCs w:val="28"/>
        </w:rPr>
        <w:t>人为</w:t>
      </w:r>
      <w:r>
        <w:rPr>
          <w:rFonts w:hint="eastAsia" w:ascii="仿宋_GB2312" w:hAnsi="仿宋" w:eastAsia="仿宋_GB2312"/>
          <w:sz w:val="28"/>
          <w:szCs w:val="28"/>
          <w:lang w:eastAsia="zh-CN"/>
        </w:rPr>
        <w:t>闫子琴、刘培军共同共有</w:t>
      </w:r>
    </w:p>
    <w:p>
      <w:pPr>
        <w:pStyle w:val="3"/>
        <w:widowControl/>
        <w:spacing w:before="0" w:after="0" w:line="560" w:lineRule="exact"/>
        <w:ind w:right="420" w:firstLine="560"/>
        <w:rPr>
          <w:rFonts w:ascii="仿宋_GB2312" w:hAnsi="仿宋" w:eastAsia="仿宋_GB2312"/>
          <w:sz w:val="28"/>
          <w:szCs w:val="28"/>
        </w:rPr>
      </w:pPr>
      <w:r>
        <w:rPr>
          <w:rFonts w:hint="eastAsia" w:ascii="仿宋_GB2312" w:hAnsi="仿宋" w:eastAsia="仿宋_GB2312"/>
          <w:b w:val="0"/>
          <w:bCs w:val="0"/>
          <w:sz w:val="28"/>
          <w:szCs w:val="28"/>
        </w:rPr>
        <w:t>2规模：</w:t>
      </w:r>
      <w:r>
        <w:rPr>
          <w:rFonts w:hint="eastAsia" w:ascii="仿宋_GB2312" w:hAnsi="仿宋" w:eastAsia="仿宋_GB2312"/>
          <w:b w:val="0"/>
          <w:bCs w:val="0"/>
          <w:sz w:val="28"/>
          <w:szCs w:val="28"/>
          <w:lang w:eastAsia="zh-CN"/>
        </w:rPr>
        <w:t>22.34</w:t>
      </w:r>
      <w:r>
        <w:rPr>
          <w:rFonts w:hint="eastAsia" w:ascii="仿宋_GB2312" w:hAnsi="仿宋" w:eastAsia="仿宋_GB2312"/>
          <w:b w:val="0"/>
          <w:bCs w:val="0"/>
          <w:sz w:val="28"/>
          <w:szCs w:val="28"/>
        </w:rPr>
        <w:t>平方米</w:t>
      </w:r>
    </w:p>
    <w:p>
      <w:pPr>
        <w:spacing w:line="540" w:lineRule="exact"/>
        <w:ind w:firstLine="560"/>
        <w:rPr>
          <w:rFonts w:hint="eastAsia" w:ascii="仿宋_GB2312" w:hAnsi="仿宋" w:eastAsia="仿宋_GB2312"/>
          <w:sz w:val="28"/>
          <w:szCs w:val="28"/>
          <w:lang w:eastAsia="zh-CN"/>
        </w:rPr>
      </w:pPr>
      <w:r>
        <w:rPr>
          <w:rFonts w:hint="eastAsia" w:ascii="仿宋_GB2312" w:hAnsi="仿宋" w:eastAsia="仿宋_GB2312"/>
          <w:sz w:val="28"/>
          <w:szCs w:val="28"/>
        </w:rPr>
        <w:t>3用途：</w:t>
      </w:r>
      <w:r>
        <w:rPr>
          <w:rFonts w:hint="eastAsia" w:ascii="仿宋_GB2312" w:hAnsi="仿宋" w:eastAsia="仿宋_GB2312"/>
          <w:sz w:val="28"/>
          <w:szCs w:val="28"/>
          <w:lang w:eastAsia="zh-CN"/>
        </w:rPr>
        <w:t>车库</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4层数：建筑总层数为</w:t>
      </w:r>
      <w:r>
        <w:rPr>
          <w:rFonts w:hint="eastAsia" w:ascii="仿宋_GB2312" w:hAnsi="仿宋" w:eastAsia="仿宋_GB2312"/>
          <w:sz w:val="28"/>
          <w:szCs w:val="28"/>
          <w:lang w:eastAsia="zh-CN"/>
        </w:rPr>
        <w:t>6</w:t>
      </w:r>
      <w:r>
        <w:rPr>
          <w:rFonts w:hint="eastAsia" w:ascii="仿宋_GB2312" w:hAnsi="仿宋" w:eastAsia="仿宋_GB2312"/>
          <w:sz w:val="28"/>
          <w:szCs w:val="28"/>
        </w:rPr>
        <w:t>层，</w:t>
      </w:r>
      <w:r>
        <w:rPr>
          <w:rFonts w:hint="eastAsia" w:ascii="仿宋_GB2312" w:hAnsi="仿宋" w:eastAsia="仿宋_GB2312"/>
          <w:sz w:val="28"/>
          <w:szCs w:val="28"/>
          <w:lang w:eastAsia="zh-CN"/>
        </w:rPr>
        <w:t>估价</w:t>
      </w:r>
      <w:r>
        <w:rPr>
          <w:rFonts w:hint="eastAsia" w:ascii="仿宋_GB2312" w:hAnsi="仿宋" w:eastAsia="仿宋_GB2312"/>
          <w:sz w:val="28"/>
          <w:szCs w:val="28"/>
        </w:rPr>
        <w:t>对象所在楼层为1层</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5建筑结构：</w:t>
      </w:r>
      <w:r>
        <w:rPr>
          <w:rFonts w:hint="eastAsia" w:ascii="仿宋_GB2312" w:hAnsi="仿宋" w:eastAsia="仿宋_GB2312"/>
          <w:sz w:val="28"/>
          <w:szCs w:val="28"/>
          <w:lang w:eastAsia="zh-CN"/>
        </w:rPr>
        <w:t>砖混</w:t>
      </w:r>
      <w:r>
        <w:rPr>
          <w:rFonts w:hint="eastAsia" w:ascii="仿宋_GB2312" w:hAnsi="仿宋" w:eastAsia="仿宋_GB2312"/>
          <w:sz w:val="28"/>
          <w:szCs w:val="28"/>
        </w:rPr>
        <w:t>结构</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6设施设备：有消防系统</w:t>
      </w:r>
      <w:r>
        <w:rPr>
          <w:rFonts w:hint="eastAsia" w:ascii="仿宋_GB2312" w:hAnsi="仿宋" w:eastAsia="仿宋_GB2312"/>
          <w:sz w:val="28"/>
          <w:szCs w:val="28"/>
          <w:lang w:eastAsia="zh-CN"/>
        </w:rPr>
        <w:t>、智能化车辆出入管理系统、闭路电视监控系统，</w:t>
      </w:r>
      <w:r>
        <w:rPr>
          <w:rFonts w:hint="eastAsia" w:ascii="仿宋_GB2312" w:hAnsi="仿宋" w:eastAsia="仿宋_GB2312"/>
          <w:sz w:val="28"/>
          <w:szCs w:val="28"/>
        </w:rPr>
        <w:t>设施设备</w:t>
      </w:r>
      <w:r>
        <w:rPr>
          <w:rFonts w:hint="eastAsia" w:ascii="仿宋_GB2312" w:hAnsi="仿宋" w:eastAsia="仿宋_GB2312"/>
          <w:sz w:val="28"/>
          <w:szCs w:val="28"/>
          <w:lang w:eastAsia="zh-CN"/>
        </w:rPr>
        <w:t>完善程度为较</w:t>
      </w:r>
      <w:r>
        <w:rPr>
          <w:rFonts w:hint="eastAsia" w:ascii="Calibri" w:hAnsi="Calibri" w:eastAsia="仿宋_GB2312"/>
          <w:sz w:val="28"/>
          <w:szCs w:val="28"/>
        </w:rPr>
        <w:t>完备</w:t>
      </w:r>
    </w:p>
    <w:p>
      <w:pPr>
        <w:spacing w:line="540" w:lineRule="exact"/>
        <w:ind w:firstLine="560"/>
        <w:rPr>
          <w:rFonts w:hint="eastAsia" w:eastAsia="仿宋_GB2312"/>
          <w:sz w:val="28"/>
          <w:szCs w:val="28"/>
          <w:lang w:eastAsia="zh-CN"/>
        </w:rPr>
      </w:pPr>
      <w:r>
        <w:rPr>
          <w:rFonts w:hint="eastAsia" w:ascii="仿宋_GB2312" w:hAnsi="仿宋" w:eastAsia="仿宋_GB2312"/>
          <w:sz w:val="28"/>
          <w:szCs w:val="28"/>
        </w:rPr>
        <w:t>7装饰装修：</w:t>
      </w:r>
      <w:r>
        <w:rPr>
          <w:rFonts w:hint="eastAsia" w:eastAsia="仿宋_GB2312"/>
          <w:sz w:val="28"/>
          <w:szCs w:val="28"/>
        </w:rPr>
        <w:t>外立面为涂料，</w:t>
      </w:r>
      <w:r>
        <w:rPr>
          <w:rFonts w:hint="eastAsia" w:eastAsia="仿宋_GB2312"/>
          <w:sz w:val="28"/>
          <w:szCs w:val="28"/>
          <w:lang w:eastAsia="zh-CN"/>
        </w:rPr>
        <w:t>室</w:t>
      </w:r>
      <w:r>
        <w:rPr>
          <w:rFonts w:hint="eastAsia" w:eastAsia="仿宋_GB2312"/>
          <w:sz w:val="28"/>
          <w:szCs w:val="28"/>
        </w:rPr>
        <w:t>内</w:t>
      </w:r>
      <w:r>
        <w:rPr>
          <w:rFonts w:hint="eastAsia" w:eastAsia="仿宋_GB2312"/>
          <w:sz w:val="28"/>
          <w:szCs w:val="28"/>
          <w:lang w:eastAsia="zh-CN"/>
        </w:rPr>
        <w:t>装修设定</w:t>
      </w:r>
      <w:r>
        <w:rPr>
          <w:rFonts w:hint="eastAsia" w:eastAsia="仿宋_GB2312"/>
          <w:sz w:val="28"/>
          <w:szCs w:val="28"/>
        </w:rPr>
        <w:t>为</w:t>
      </w:r>
      <w:r>
        <w:rPr>
          <w:rFonts w:hint="eastAsia" w:eastAsia="仿宋_GB2312"/>
          <w:sz w:val="28"/>
          <w:szCs w:val="28"/>
          <w:lang w:eastAsia="zh-CN"/>
        </w:rPr>
        <w:t>简单装修</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8层高：</w:t>
      </w:r>
      <w:r>
        <w:rPr>
          <w:rFonts w:hint="eastAsia" w:ascii="仿宋_GB2312" w:hAnsi="仿宋" w:eastAsia="仿宋_GB2312"/>
          <w:sz w:val="28"/>
          <w:szCs w:val="28"/>
          <w:lang w:val="en-US" w:eastAsia="zh-CN"/>
        </w:rPr>
        <w:t>2.6</w:t>
      </w:r>
      <w:r>
        <w:rPr>
          <w:rFonts w:hint="eastAsia" w:ascii="仿宋_GB2312" w:hAnsi="仿宋" w:eastAsia="仿宋_GB2312"/>
          <w:sz w:val="28"/>
          <w:szCs w:val="28"/>
        </w:rPr>
        <w:t>米</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 xml:space="preserve">9空间布局： </w:t>
      </w:r>
      <w:r>
        <w:rPr>
          <w:rFonts w:hint="eastAsia" w:ascii="仿宋_GB2312" w:hAnsi="仿宋" w:eastAsia="仿宋_GB2312"/>
          <w:sz w:val="28"/>
          <w:szCs w:val="28"/>
          <w:lang w:eastAsia="zh-CN"/>
        </w:rPr>
        <w:t>设定为</w:t>
      </w:r>
      <w:r>
        <w:rPr>
          <w:rFonts w:hint="eastAsia" w:ascii="仿宋_GB2312" w:hAnsi="仿宋" w:eastAsia="仿宋_GB2312"/>
          <w:sz w:val="28"/>
          <w:szCs w:val="28"/>
        </w:rPr>
        <w:t>合理</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10建成时间：</w:t>
      </w:r>
      <w:r>
        <w:rPr>
          <w:rFonts w:hint="eastAsia" w:ascii="仿宋_GB2312" w:hAnsi="仿宋" w:eastAsia="仿宋_GB2312"/>
          <w:sz w:val="28"/>
          <w:szCs w:val="28"/>
          <w:lang w:eastAsia="zh-CN"/>
        </w:rPr>
        <w:t>2010</w:t>
      </w:r>
      <w:r>
        <w:rPr>
          <w:rFonts w:hint="eastAsia" w:ascii="仿宋_GB2312" w:hAnsi="仿宋" w:eastAsia="仿宋_GB2312"/>
          <w:sz w:val="28"/>
          <w:szCs w:val="28"/>
        </w:rPr>
        <w:t>年建成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11使用及维护状况：设施使用、维护</w:t>
      </w:r>
      <w:r>
        <w:rPr>
          <w:rFonts w:hint="eastAsia" w:ascii="仿宋_GB2312" w:hAnsi="仿宋" w:eastAsia="仿宋_GB2312"/>
          <w:sz w:val="28"/>
          <w:szCs w:val="28"/>
          <w:lang w:eastAsia="zh-CN"/>
        </w:rPr>
        <w:t>设定为</w:t>
      </w:r>
      <w:r>
        <w:rPr>
          <w:rFonts w:hint="eastAsia" w:ascii="仿宋_GB2312" w:hAnsi="仿宋" w:eastAsia="仿宋_GB2312"/>
          <w:sz w:val="28"/>
          <w:szCs w:val="28"/>
        </w:rPr>
        <w:t>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12完损状况：基础稳固，外墙无损坏</w:t>
      </w:r>
      <w:r>
        <w:rPr>
          <w:rFonts w:hint="eastAsia" w:eastAsia="仿宋_GB2312"/>
          <w:sz w:val="28"/>
          <w:szCs w:val="28"/>
        </w:rPr>
        <w:t>。</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※建筑物实物状况分析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本次</w:t>
      </w:r>
      <w:r>
        <w:rPr>
          <w:rFonts w:hint="eastAsia" w:ascii="仿宋_GB2312" w:hAnsi="仿宋" w:eastAsia="仿宋_GB2312"/>
          <w:sz w:val="28"/>
          <w:szCs w:val="28"/>
          <w:lang w:eastAsia="zh-CN"/>
        </w:rPr>
        <w:t>估价</w:t>
      </w:r>
      <w:r>
        <w:rPr>
          <w:rFonts w:hint="eastAsia" w:ascii="仿宋_GB2312" w:hAnsi="仿宋" w:eastAsia="仿宋_GB2312"/>
          <w:sz w:val="28"/>
          <w:szCs w:val="28"/>
        </w:rPr>
        <w:t>对象建筑结构、房屋设备档次与性能、交通、装饰、装修等对建筑物现有条件下利用与价值影响较小。建筑物维护使用良好，对本次估价价值影响较小。</w:t>
      </w:r>
    </w:p>
    <w:p>
      <w:pPr>
        <w:pStyle w:val="3"/>
        <w:spacing w:before="240" w:after="240" w:line="480" w:lineRule="exact"/>
        <w:ind w:firstLine="562" w:firstLineChars="200"/>
        <w:rPr>
          <w:rFonts w:ascii="仿宋_GB2312" w:hAnsi="仿宋" w:eastAsia="仿宋_GB2312"/>
          <w:bCs w:val="0"/>
          <w:sz w:val="28"/>
          <w:szCs w:val="28"/>
        </w:rPr>
      </w:pPr>
      <w:bookmarkStart w:id="201" w:name="_Toc5721417"/>
      <w:r>
        <w:rPr>
          <w:rFonts w:hint="eastAsia" w:ascii="仿宋_GB2312" w:hAnsi="仿宋" w:eastAsia="仿宋_GB2312"/>
          <w:bCs w:val="0"/>
          <w:sz w:val="28"/>
          <w:szCs w:val="28"/>
        </w:rPr>
        <w:t>（二）权益状况描述与分析</w:t>
      </w:r>
      <w:bookmarkEnd w:id="201"/>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估价对象权益状况描述</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1土地权益状况描述</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土地所有权状况：国家所有</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土地使用权状况：全体业主共同使用权</w:t>
      </w:r>
    </w:p>
    <w:p>
      <w:pPr>
        <w:spacing w:line="520" w:lineRule="exact"/>
        <w:ind w:firstLine="560"/>
        <w:rPr>
          <w:rFonts w:hint="eastAsia" w:ascii="仿宋_GB2312" w:hAnsi="仿宋" w:eastAsia="仿宋_GB2312"/>
          <w:sz w:val="28"/>
          <w:szCs w:val="28"/>
          <w:lang w:eastAsia="zh-CN"/>
        </w:rPr>
      </w:pPr>
      <w:r>
        <w:rPr>
          <w:rFonts w:hint="eastAsia" w:ascii="仿宋_GB2312" w:hAnsi="仿宋" w:eastAsia="仿宋_GB2312"/>
          <w:sz w:val="28"/>
          <w:szCs w:val="28"/>
        </w:rPr>
        <w:t>他项权利设立情况：</w:t>
      </w:r>
      <w:r>
        <w:rPr>
          <w:rFonts w:hint="eastAsia" w:ascii="仿宋_GB2312" w:hAnsi="仿宋" w:eastAsia="仿宋_GB2312"/>
          <w:sz w:val="28"/>
          <w:szCs w:val="28"/>
          <w:lang w:eastAsia="zh-CN"/>
        </w:rPr>
        <w:t>已设立抵押权</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土地使用管制：有一定的管制</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其它特殊情况：无</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2建筑物权益状况描述</w:t>
      </w:r>
    </w:p>
    <w:p>
      <w:pPr>
        <w:pStyle w:val="12"/>
        <w:spacing w:line="520" w:lineRule="exact"/>
        <w:ind w:firstLine="560"/>
        <w:rPr>
          <w:rFonts w:hint="eastAsia" w:ascii="仿宋_GB2312" w:hAnsi="仿宋" w:eastAsia="仿宋_GB2312"/>
          <w:sz w:val="28"/>
          <w:szCs w:val="28"/>
          <w:lang w:eastAsia="zh-CN"/>
        </w:rPr>
      </w:pPr>
      <w:r>
        <w:rPr>
          <w:rFonts w:hint="eastAsia" w:ascii="仿宋_GB2312" w:hAnsi="仿宋" w:eastAsia="仿宋_GB2312"/>
          <w:sz w:val="28"/>
          <w:szCs w:val="28"/>
        </w:rPr>
        <w:t>房屋所有权状况：</w:t>
      </w:r>
      <w:r>
        <w:rPr>
          <w:rFonts w:hint="eastAsia" w:ascii="仿宋_GB2312" w:hAnsi="仿宋" w:eastAsia="仿宋_GB2312"/>
          <w:sz w:val="28"/>
          <w:szCs w:val="28"/>
          <w:lang w:eastAsia="zh-CN"/>
        </w:rPr>
        <w:t>闫子琴、刘培军共同共有</w:t>
      </w:r>
    </w:p>
    <w:p>
      <w:pPr>
        <w:pStyle w:val="12"/>
        <w:spacing w:line="580" w:lineRule="exact"/>
        <w:ind w:firstLine="560" w:firstLineChars="200"/>
        <w:rPr>
          <w:rFonts w:eastAsia="仿宋_GB2312"/>
          <w:sz w:val="28"/>
          <w:szCs w:val="28"/>
        </w:rPr>
      </w:pPr>
      <w:r>
        <w:rPr>
          <w:rFonts w:hint="eastAsia" w:ascii="仿宋_GB2312" w:hAnsi="仿宋" w:eastAsia="仿宋_GB2312"/>
          <w:sz w:val="28"/>
          <w:szCs w:val="28"/>
        </w:rPr>
        <w:t>他项权利设立情况：</w:t>
      </w:r>
      <w:r>
        <w:rPr>
          <w:rFonts w:hint="eastAsia" w:ascii="仿宋_GB2312" w:hAnsi="仿宋" w:eastAsia="仿宋_GB2312"/>
          <w:sz w:val="28"/>
          <w:szCs w:val="28"/>
          <w:lang w:eastAsia="zh-CN"/>
        </w:rPr>
        <w:t>已设立抵押权</w:t>
      </w:r>
    </w:p>
    <w:p>
      <w:pPr>
        <w:pStyle w:val="12"/>
        <w:spacing w:line="520" w:lineRule="exact"/>
        <w:ind w:firstLine="618" w:firstLineChars="221"/>
        <w:rPr>
          <w:rFonts w:ascii="仿宋_GB2312" w:hAnsi="仿宋" w:eastAsia="仿宋_GB2312"/>
          <w:sz w:val="28"/>
          <w:szCs w:val="28"/>
        </w:rPr>
      </w:pPr>
      <w:r>
        <w:rPr>
          <w:rFonts w:hint="eastAsia" w:ascii="仿宋_GB2312" w:hAnsi="仿宋" w:eastAsia="仿宋_GB2312"/>
          <w:sz w:val="28"/>
          <w:szCs w:val="28"/>
        </w:rPr>
        <w:t>出租或占用情况：自用</w:t>
      </w:r>
    </w:p>
    <w:p>
      <w:pPr>
        <w:pStyle w:val="12"/>
        <w:spacing w:line="520" w:lineRule="exact"/>
        <w:ind w:firstLine="560"/>
        <w:rPr>
          <w:rFonts w:ascii="仿宋_GB2312" w:hAnsi="仿宋" w:eastAsia="仿宋_GB2312"/>
          <w:sz w:val="28"/>
          <w:szCs w:val="28"/>
        </w:rPr>
      </w:pPr>
      <w:r>
        <w:rPr>
          <w:rFonts w:hint="eastAsia" w:ascii="仿宋_GB2312" w:hAnsi="仿宋" w:eastAsia="仿宋_GB2312"/>
          <w:sz w:val="28"/>
          <w:szCs w:val="28"/>
        </w:rPr>
        <w:t>其他特殊情况：无</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 xml:space="preserve">※权益状况分析 </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土地权益状况分析</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土地所有权为国家所有，</w:t>
      </w:r>
      <w:r>
        <w:rPr>
          <w:rFonts w:hint="eastAsia" w:ascii="仿宋_GB2312" w:hAnsi="仿宋" w:eastAsia="仿宋_GB2312"/>
          <w:sz w:val="28"/>
          <w:szCs w:val="28"/>
          <w:lang w:eastAsia="zh-CN"/>
        </w:rPr>
        <w:t>估价</w:t>
      </w:r>
      <w:r>
        <w:rPr>
          <w:rFonts w:hint="eastAsia" w:ascii="仿宋_GB2312" w:hAnsi="仿宋" w:eastAsia="仿宋_GB2312"/>
          <w:sz w:val="28"/>
          <w:szCs w:val="28"/>
        </w:rPr>
        <w:t>对象分摊的土地</w:t>
      </w:r>
      <w:r>
        <w:rPr>
          <w:rFonts w:hint="eastAsia" w:ascii="仿宋_GB2312" w:hAnsi="仿宋" w:eastAsia="仿宋_GB2312"/>
          <w:sz w:val="28"/>
          <w:szCs w:val="28"/>
          <w:lang w:eastAsia="zh-CN"/>
        </w:rPr>
        <w:t>已设立抵押权</w:t>
      </w:r>
      <w:r>
        <w:rPr>
          <w:rFonts w:hint="eastAsia" w:ascii="仿宋_GB2312" w:hAnsi="仿宋" w:eastAsia="仿宋_GB2312"/>
          <w:sz w:val="28"/>
          <w:szCs w:val="28"/>
        </w:rPr>
        <w:t>，土地使用在规划范围内，对土地用途、建筑物高度、容积率等有一定的限制。</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“建筑物权益状况分析</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房屋所有权为</w:t>
      </w:r>
      <w:r>
        <w:rPr>
          <w:rFonts w:hint="eastAsia" w:ascii="仿宋_GB2312" w:hAnsi="仿宋" w:eastAsia="仿宋_GB2312"/>
          <w:sz w:val="28"/>
          <w:szCs w:val="28"/>
          <w:lang w:eastAsia="zh-CN"/>
        </w:rPr>
        <w:t>闫子琴、刘培军共同共有</w:t>
      </w:r>
      <w:r>
        <w:rPr>
          <w:rFonts w:hint="eastAsia" w:ascii="仿宋_GB2312" w:hAnsi="仿宋" w:eastAsia="仿宋_GB2312"/>
          <w:sz w:val="28"/>
          <w:szCs w:val="28"/>
        </w:rPr>
        <w:t>，</w:t>
      </w:r>
      <w:r>
        <w:rPr>
          <w:rFonts w:hint="eastAsia" w:ascii="仿宋_GB2312" w:hAnsi="仿宋" w:eastAsia="仿宋_GB2312"/>
          <w:sz w:val="28"/>
          <w:szCs w:val="28"/>
          <w:lang w:eastAsia="zh-CN"/>
        </w:rPr>
        <w:t>已设立抵押权</w:t>
      </w:r>
      <w:r>
        <w:rPr>
          <w:rFonts w:hint="eastAsia" w:ascii="仿宋_GB2312" w:hAnsi="仿宋" w:eastAsia="仿宋_GB2312"/>
          <w:sz w:val="28"/>
          <w:szCs w:val="28"/>
        </w:rPr>
        <w:t>，现房产自用。</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估价对象权益状况分析：</w:t>
      </w:r>
    </w:p>
    <w:p>
      <w:pPr>
        <w:spacing w:line="60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w:t>
      </w:r>
    </w:p>
    <w:p>
      <w:pPr>
        <w:spacing w:line="600" w:lineRule="exact"/>
        <w:ind w:firstLine="560" w:firstLineChars="200"/>
        <w:rPr>
          <w:rFonts w:ascii="仿宋_GB2312" w:hAnsi="仿宋" w:eastAsia="仿宋_GB2312"/>
          <w:sz w:val="28"/>
          <w:szCs w:val="28"/>
        </w:rPr>
      </w:pPr>
      <w:r>
        <w:rPr>
          <w:rFonts w:hint="eastAsia" w:ascii="仿宋_GB2312" w:hAnsi="仿宋" w:eastAsia="仿宋_GB2312"/>
          <w:sz w:val="28"/>
          <w:szCs w:val="28"/>
        </w:rPr>
        <w:t>权益分析：估价对象产权清晰，存在查封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的情况。</w:t>
      </w:r>
    </w:p>
    <w:p>
      <w:pPr>
        <w:pStyle w:val="3"/>
        <w:spacing w:before="240" w:after="240" w:line="480" w:lineRule="exact"/>
        <w:ind w:firstLine="562" w:firstLineChars="200"/>
        <w:rPr>
          <w:rFonts w:ascii="仿宋_GB2312" w:hAnsi="仿宋" w:eastAsia="仿宋_GB2312"/>
          <w:bCs w:val="0"/>
          <w:sz w:val="28"/>
          <w:szCs w:val="28"/>
        </w:rPr>
      </w:pPr>
      <w:bookmarkStart w:id="202" w:name="_Toc5721418"/>
      <w:r>
        <w:rPr>
          <w:rFonts w:hint="eastAsia" w:ascii="仿宋_GB2312" w:hAnsi="仿宋" w:eastAsia="仿宋_GB2312"/>
          <w:bCs w:val="0"/>
          <w:sz w:val="28"/>
          <w:szCs w:val="28"/>
        </w:rPr>
        <w:t>（三）区位状况描述与分析</w:t>
      </w:r>
      <w:bookmarkEnd w:id="202"/>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估价对象位于临河区</w:t>
      </w:r>
      <w:r>
        <w:rPr>
          <w:rFonts w:hint="eastAsia" w:ascii="仿宋_GB2312" w:hAnsi="仿宋" w:eastAsia="仿宋_GB2312" w:cs="仿宋_GB2312"/>
          <w:sz w:val="28"/>
          <w:szCs w:val="28"/>
          <w:lang w:eastAsia="zh-CN"/>
        </w:rPr>
        <w:t>五一西街北欧印象</w:t>
      </w:r>
      <w:r>
        <w:rPr>
          <w:rFonts w:hint="eastAsia" w:ascii="仿宋_GB2312" w:hAnsi="仿宋" w:eastAsia="仿宋_GB2312" w:cs="仿宋_GB2312"/>
          <w:sz w:val="28"/>
          <w:szCs w:val="28"/>
        </w:rPr>
        <w:t>，东至</w:t>
      </w:r>
      <w:r>
        <w:rPr>
          <w:rFonts w:hint="eastAsia" w:ascii="仿宋_GB2312" w:hAnsi="仿宋" w:eastAsia="仿宋_GB2312" w:cs="仿宋_GB2312"/>
          <w:sz w:val="28"/>
          <w:szCs w:val="28"/>
          <w:lang w:eastAsia="zh-CN"/>
        </w:rPr>
        <w:t>水源</w:t>
      </w:r>
      <w:r>
        <w:rPr>
          <w:rFonts w:hint="eastAsia" w:ascii="仿宋_GB2312" w:hAnsi="仿宋" w:eastAsia="仿宋_GB2312" w:cs="仿宋_GB2312"/>
          <w:sz w:val="28"/>
          <w:szCs w:val="28"/>
        </w:rPr>
        <w:t>路、南至</w:t>
      </w:r>
      <w:r>
        <w:rPr>
          <w:rFonts w:hint="eastAsia" w:ascii="仿宋_GB2312" w:hAnsi="仿宋" w:eastAsia="仿宋_GB2312" w:cs="仿宋_GB2312"/>
          <w:sz w:val="28"/>
          <w:szCs w:val="28"/>
          <w:lang w:eastAsia="zh-CN"/>
        </w:rPr>
        <w:t>五一街</w:t>
      </w:r>
      <w:r>
        <w:rPr>
          <w:rFonts w:hint="eastAsia" w:ascii="仿宋_GB2312" w:hAnsi="仿宋" w:eastAsia="仿宋_GB2312" w:cs="仿宋_GB2312"/>
          <w:sz w:val="28"/>
          <w:szCs w:val="28"/>
        </w:rPr>
        <w:t>、西至</w:t>
      </w:r>
      <w:r>
        <w:rPr>
          <w:rFonts w:hint="eastAsia" w:ascii="仿宋_GB2312" w:hAnsi="仿宋" w:eastAsia="仿宋_GB2312" w:cs="仿宋_GB2312"/>
          <w:sz w:val="28"/>
          <w:szCs w:val="28"/>
          <w:lang w:eastAsia="zh-CN"/>
        </w:rPr>
        <w:t>明珠</w:t>
      </w:r>
      <w:r>
        <w:rPr>
          <w:rFonts w:hint="eastAsia" w:ascii="仿宋_GB2312" w:hAnsi="仿宋" w:eastAsia="仿宋_GB2312" w:cs="仿宋_GB2312"/>
          <w:sz w:val="28"/>
          <w:szCs w:val="28"/>
        </w:rPr>
        <w:t>路、北至</w:t>
      </w:r>
      <w:r>
        <w:rPr>
          <w:rFonts w:hint="eastAsia" w:ascii="仿宋_GB2312" w:hAnsi="仿宋" w:eastAsia="仿宋_GB2312" w:cs="仿宋_GB2312"/>
          <w:sz w:val="28"/>
          <w:szCs w:val="28"/>
          <w:lang w:eastAsia="zh-CN"/>
        </w:rPr>
        <w:t>支路</w:t>
      </w:r>
      <w:r>
        <w:rPr>
          <w:rFonts w:hint="eastAsia" w:ascii="仿宋_GB2312" w:hAnsi="仿宋" w:eastAsia="仿宋_GB2312" w:cs="仿宋_GB2312"/>
          <w:sz w:val="28"/>
          <w:szCs w:val="28"/>
        </w:rPr>
        <w:t>。估价对象所在区域居住、购物、休闲及娱乐等方便齐全。附近医疗、教育、卫生等公共设施齐全，周边有</w:t>
      </w:r>
      <w:r>
        <w:rPr>
          <w:rFonts w:hint="eastAsia" w:ascii="仿宋_GB2312" w:hAnsi="仿宋" w:eastAsia="仿宋_GB2312" w:cs="仿宋_GB2312"/>
          <w:sz w:val="28"/>
          <w:szCs w:val="28"/>
          <w:lang w:eastAsia="zh-CN"/>
        </w:rPr>
        <w:t>维多利超市</w:t>
      </w:r>
      <w:r>
        <w:rPr>
          <w:rFonts w:hint="eastAsia" w:ascii="仿宋_GB2312" w:hAnsi="仿宋" w:eastAsia="仿宋_GB2312" w:cs="仿宋_GB2312"/>
          <w:sz w:val="28"/>
          <w:szCs w:val="28"/>
        </w:rPr>
        <w:t>、</w:t>
      </w:r>
      <w:r>
        <w:rPr>
          <w:rFonts w:hint="eastAsia" w:ascii="仿宋_GB2312" w:hAnsi="仿宋" w:eastAsia="仿宋_GB2312" w:cs="仿宋_GB2312"/>
          <w:sz w:val="28"/>
          <w:szCs w:val="28"/>
          <w:lang w:eastAsia="zh-CN"/>
        </w:rPr>
        <w:t>国泰超市、维多利购物中心、中国农业银行、巴彦淖尔市临河黄河村镇银行、</w:t>
      </w:r>
      <w:r>
        <w:rPr>
          <w:rFonts w:hint="eastAsia" w:ascii="仿宋_GB2312" w:hAnsi="仿宋" w:eastAsia="仿宋_GB2312" w:cs="仿宋_GB2312"/>
          <w:sz w:val="28"/>
          <w:szCs w:val="28"/>
        </w:rPr>
        <w:t>包商银行、</w:t>
      </w:r>
      <w:r>
        <w:rPr>
          <w:rFonts w:hint="eastAsia" w:ascii="仿宋_GB2312" w:hAnsi="仿宋" w:eastAsia="仿宋_GB2312" w:cs="仿宋_GB2312"/>
          <w:sz w:val="28"/>
          <w:szCs w:val="28"/>
          <w:lang w:eastAsia="zh-CN"/>
        </w:rPr>
        <w:t>中国银行、</w:t>
      </w:r>
      <w:r>
        <w:rPr>
          <w:rFonts w:hint="eastAsia" w:ascii="仿宋_GB2312" w:hAnsi="仿宋" w:eastAsia="仿宋_GB2312" w:cs="仿宋_GB2312"/>
          <w:sz w:val="28"/>
          <w:szCs w:val="28"/>
        </w:rPr>
        <w:t>中国建设银行、</w:t>
      </w:r>
      <w:r>
        <w:rPr>
          <w:rFonts w:hint="eastAsia" w:ascii="仿宋_GB2312" w:hAnsi="仿宋" w:eastAsia="仿宋_GB2312" w:cs="仿宋_GB2312"/>
          <w:sz w:val="28"/>
          <w:szCs w:val="28"/>
          <w:lang w:eastAsia="zh-CN"/>
        </w:rPr>
        <w:t>巴彦淖尔市</w:t>
      </w:r>
      <w:r>
        <w:rPr>
          <w:rFonts w:hint="eastAsia" w:ascii="仿宋_GB2312" w:hAnsi="仿宋" w:eastAsia="仿宋_GB2312" w:cs="仿宋_GB2312"/>
          <w:sz w:val="28"/>
          <w:szCs w:val="28"/>
        </w:rPr>
        <w:t>河套农</w:t>
      </w:r>
      <w:r>
        <w:rPr>
          <w:rFonts w:hint="eastAsia" w:ascii="仿宋_GB2312" w:hAnsi="仿宋" w:eastAsia="仿宋_GB2312" w:cs="仿宋_GB2312"/>
          <w:sz w:val="28"/>
          <w:szCs w:val="28"/>
          <w:lang w:eastAsia="zh-CN"/>
        </w:rPr>
        <w:t>村</w:t>
      </w:r>
      <w:r>
        <w:rPr>
          <w:rFonts w:hint="eastAsia" w:ascii="仿宋_GB2312" w:hAnsi="仿宋" w:eastAsia="仿宋_GB2312" w:cs="仿宋_GB2312"/>
          <w:sz w:val="28"/>
          <w:szCs w:val="28"/>
        </w:rPr>
        <w:t>商</w:t>
      </w:r>
      <w:r>
        <w:rPr>
          <w:rFonts w:hint="eastAsia" w:ascii="仿宋_GB2312" w:hAnsi="仿宋" w:eastAsia="仿宋_GB2312" w:cs="仿宋_GB2312"/>
          <w:sz w:val="28"/>
          <w:szCs w:val="28"/>
          <w:lang w:eastAsia="zh-CN"/>
        </w:rPr>
        <w:t>业</w:t>
      </w:r>
      <w:r>
        <w:rPr>
          <w:rFonts w:hint="eastAsia" w:ascii="仿宋_GB2312" w:hAnsi="仿宋" w:eastAsia="仿宋_GB2312" w:cs="仿宋_GB2312"/>
          <w:sz w:val="28"/>
          <w:szCs w:val="28"/>
        </w:rPr>
        <w:t>银行、</w:t>
      </w:r>
      <w:r>
        <w:rPr>
          <w:rFonts w:hint="eastAsia" w:ascii="仿宋_GB2312" w:hAnsi="仿宋" w:eastAsia="仿宋_GB2312" w:cs="仿宋_GB2312"/>
          <w:sz w:val="28"/>
          <w:szCs w:val="28"/>
          <w:lang w:eastAsia="zh-CN"/>
        </w:rPr>
        <w:t>临河新现代医院、巴彦淖尔市口腔医院、</w:t>
      </w:r>
      <w:r>
        <w:rPr>
          <w:rFonts w:hint="eastAsia" w:ascii="仿宋_GB2312" w:hAnsi="仿宋" w:eastAsia="仿宋_GB2312"/>
          <w:sz w:val="28"/>
          <w:szCs w:val="28"/>
        </w:rPr>
        <w:t>巴彦淖尔市康复医院</w:t>
      </w:r>
      <w:r>
        <w:rPr>
          <w:rFonts w:hint="eastAsia" w:ascii="仿宋_GB2312" w:hAnsi="仿宋" w:eastAsia="仿宋_GB2312"/>
          <w:sz w:val="28"/>
          <w:szCs w:val="28"/>
          <w:lang w:eastAsia="zh-CN"/>
        </w:rPr>
        <w:t>、临河十中、河套公园、巴彦淖尔国家地质公园、</w:t>
      </w:r>
      <w:r>
        <w:rPr>
          <w:rFonts w:hint="eastAsia" w:ascii="仿宋_GB2312" w:hAnsi="仿宋" w:eastAsia="仿宋_GB2312" w:cs="仿宋_GB2312"/>
          <w:sz w:val="28"/>
          <w:szCs w:val="28"/>
        </w:rPr>
        <w:t>中国联通、中国移动等公共配套设施。总体自然环境、人文环境</w:t>
      </w:r>
      <w:r>
        <w:rPr>
          <w:rFonts w:hint="eastAsia" w:ascii="仿宋_GB2312" w:hAnsi="仿宋" w:eastAsia="仿宋_GB2312" w:cs="仿宋_GB2312"/>
          <w:sz w:val="28"/>
          <w:szCs w:val="28"/>
          <w:lang w:eastAsia="zh-CN"/>
        </w:rPr>
        <w:t>优</w:t>
      </w:r>
      <w:r>
        <w:rPr>
          <w:rFonts w:hint="eastAsia" w:ascii="仿宋_GB2312" w:hAnsi="仿宋" w:eastAsia="仿宋_GB2312" w:cs="仿宋_GB2312"/>
          <w:sz w:val="28"/>
          <w:szCs w:val="28"/>
        </w:rPr>
        <w:t>。附近有</w:t>
      </w:r>
      <w:r>
        <w:rPr>
          <w:rFonts w:hint="eastAsia" w:ascii="仿宋_GB2312" w:hAnsi="仿宋" w:eastAsia="仿宋_GB2312" w:cs="仿宋_GB2312"/>
          <w:sz w:val="28"/>
          <w:szCs w:val="28"/>
          <w:lang w:val="en-US" w:eastAsia="zh-CN"/>
        </w:rPr>
        <w:t>5</w:t>
      </w:r>
      <w:r>
        <w:rPr>
          <w:rFonts w:hint="eastAsia" w:ascii="仿宋_GB2312" w:hAnsi="仿宋" w:eastAsia="仿宋_GB2312" w:cs="仿宋_GB2312"/>
          <w:sz w:val="28"/>
          <w:szCs w:val="28"/>
        </w:rPr>
        <w:t>条公交线路，周边有停车位，无交通管制。配套设施及公共设施完</w:t>
      </w:r>
      <w:r>
        <w:rPr>
          <w:rFonts w:hint="eastAsia" w:ascii="仿宋_GB2312" w:hAnsi="仿宋" w:eastAsia="仿宋_GB2312" w:cs="仿宋_GB2312"/>
          <w:sz w:val="28"/>
          <w:szCs w:val="28"/>
          <w:lang w:eastAsia="zh-CN"/>
        </w:rPr>
        <w:t>备</w:t>
      </w:r>
      <w:r>
        <w:rPr>
          <w:rFonts w:hint="eastAsia" w:ascii="仿宋_GB2312" w:hAnsi="仿宋" w:eastAsia="仿宋_GB2312" w:cs="仿宋_GB2312"/>
          <w:sz w:val="28"/>
          <w:szCs w:val="28"/>
        </w:rPr>
        <w:t>。</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2、区域状况分析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根据估价对象的坐落、朝向、楼层等情况分析，这些因素对价值影响较小；基础设施达到七通一平，公共配套完善，对价值影响较小。</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3、估价对象区位状况分析：</w:t>
      </w:r>
    </w:p>
    <w:p>
      <w:pPr>
        <w:autoSpaceDE w:val="0"/>
        <w:autoSpaceDN w:val="0"/>
        <w:adjustRightInd w:val="0"/>
        <w:spacing w:line="540" w:lineRule="exact"/>
        <w:ind w:firstLine="560" w:firstLineChars="200"/>
        <w:rPr>
          <w:rFonts w:ascii="仿宋_GB2312" w:hAnsi="仿宋" w:eastAsia="仿宋_GB2312" w:cs="仿宋_GB2312"/>
          <w:sz w:val="28"/>
          <w:szCs w:val="28"/>
        </w:rPr>
      </w:pPr>
      <w:bookmarkStart w:id="203" w:name="_Toc5721419"/>
      <w:r>
        <w:rPr>
          <w:rFonts w:hint="eastAsia" w:ascii="仿宋_GB2312" w:hAnsi="仿宋" w:eastAsia="仿宋_GB2312" w:cs="仿宋_GB2312"/>
          <w:sz w:val="28"/>
          <w:szCs w:val="28"/>
        </w:rPr>
        <w:t>估价对象位于临河区</w:t>
      </w:r>
      <w:r>
        <w:rPr>
          <w:rFonts w:hint="eastAsia" w:ascii="仿宋_GB2312" w:hAnsi="仿宋" w:eastAsia="仿宋_GB2312" w:cs="仿宋_GB2312"/>
          <w:sz w:val="28"/>
          <w:szCs w:val="28"/>
          <w:lang w:eastAsia="zh-CN"/>
        </w:rPr>
        <w:t>五一西街北欧印象</w:t>
      </w:r>
      <w:r>
        <w:rPr>
          <w:rFonts w:hint="eastAsia" w:ascii="仿宋_GB2312" w:hAnsi="仿宋" w:eastAsia="仿宋_GB2312" w:cs="仿宋_GB2312"/>
          <w:sz w:val="28"/>
          <w:szCs w:val="28"/>
        </w:rPr>
        <w:t>，周边配有</w:t>
      </w:r>
      <w:r>
        <w:rPr>
          <w:rFonts w:hint="eastAsia" w:ascii="仿宋_GB2312" w:hAnsi="仿宋" w:eastAsia="仿宋_GB2312" w:cs="仿宋_GB2312"/>
          <w:sz w:val="28"/>
          <w:szCs w:val="28"/>
          <w:lang w:eastAsia="zh-CN"/>
        </w:rPr>
        <w:t>维多利超市</w:t>
      </w:r>
      <w:r>
        <w:rPr>
          <w:rFonts w:hint="eastAsia" w:ascii="仿宋_GB2312" w:hAnsi="仿宋" w:eastAsia="仿宋_GB2312" w:cs="仿宋_GB2312"/>
          <w:sz w:val="28"/>
          <w:szCs w:val="28"/>
        </w:rPr>
        <w:t>、</w:t>
      </w:r>
      <w:r>
        <w:rPr>
          <w:rFonts w:hint="eastAsia" w:ascii="仿宋_GB2312" w:hAnsi="仿宋" w:eastAsia="仿宋_GB2312" w:cs="仿宋_GB2312"/>
          <w:sz w:val="28"/>
          <w:szCs w:val="28"/>
          <w:lang w:eastAsia="zh-CN"/>
        </w:rPr>
        <w:t>国泰超市、维多利购物中心、中国农业银行、巴彦淖尔市临河黄河村镇银行、</w:t>
      </w:r>
      <w:r>
        <w:rPr>
          <w:rFonts w:hint="eastAsia" w:ascii="仿宋_GB2312" w:hAnsi="仿宋" w:eastAsia="仿宋_GB2312" w:cs="仿宋_GB2312"/>
          <w:sz w:val="28"/>
          <w:szCs w:val="28"/>
        </w:rPr>
        <w:t>包商银行、</w:t>
      </w:r>
      <w:r>
        <w:rPr>
          <w:rFonts w:hint="eastAsia" w:ascii="仿宋_GB2312" w:hAnsi="仿宋" w:eastAsia="仿宋_GB2312" w:cs="仿宋_GB2312"/>
          <w:sz w:val="28"/>
          <w:szCs w:val="28"/>
          <w:lang w:eastAsia="zh-CN"/>
        </w:rPr>
        <w:t>中国银行、</w:t>
      </w:r>
      <w:r>
        <w:rPr>
          <w:rFonts w:hint="eastAsia" w:ascii="仿宋_GB2312" w:hAnsi="仿宋" w:eastAsia="仿宋_GB2312" w:cs="仿宋_GB2312"/>
          <w:sz w:val="28"/>
          <w:szCs w:val="28"/>
        </w:rPr>
        <w:t>中国建设银行、</w:t>
      </w:r>
      <w:r>
        <w:rPr>
          <w:rFonts w:hint="eastAsia" w:ascii="仿宋_GB2312" w:hAnsi="仿宋" w:eastAsia="仿宋_GB2312" w:cs="仿宋_GB2312"/>
          <w:sz w:val="28"/>
          <w:szCs w:val="28"/>
          <w:lang w:eastAsia="zh-CN"/>
        </w:rPr>
        <w:t>巴彦淖尔市</w:t>
      </w:r>
      <w:r>
        <w:rPr>
          <w:rFonts w:hint="eastAsia" w:ascii="仿宋_GB2312" w:hAnsi="仿宋" w:eastAsia="仿宋_GB2312" w:cs="仿宋_GB2312"/>
          <w:sz w:val="28"/>
          <w:szCs w:val="28"/>
        </w:rPr>
        <w:t>河套农</w:t>
      </w:r>
      <w:r>
        <w:rPr>
          <w:rFonts w:hint="eastAsia" w:ascii="仿宋_GB2312" w:hAnsi="仿宋" w:eastAsia="仿宋_GB2312" w:cs="仿宋_GB2312"/>
          <w:sz w:val="28"/>
          <w:szCs w:val="28"/>
          <w:lang w:eastAsia="zh-CN"/>
        </w:rPr>
        <w:t>村</w:t>
      </w:r>
      <w:r>
        <w:rPr>
          <w:rFonts w:hint="eastAsia" w:ascii="仿宋_GB2312" w:hAnsi="仿宋" w:eastAsia="仿宋_GB2312" w:cs="仿宋_GB2312"/>
          <w:sz w:val="28"/>
          <w:szCs w:val="28"/>
        </w:rPr>
        <w:t>商</w:t>
      </w:r>
      <w:r>
        <w:rPr>
          <w:rFonts w:hint="eastAsia" w:ascii="仿宋_GB2312" w:hAnsi="仿宋" w:eastAsia="仿宋_GB2312" w:cs="仿宋_GB2312"/>
          <w:sz w:val="28"/>
          <w:szCs w:val="28"/>
          <w:lang w:eastAsia="zh-CN"/>
        </w:rPr>
        <w:t>业</w:t>
      </w:r>
      <w:r>
        <w:rPr>
          <w:rFonts w:hint="eastAsia" w:ascii="仿宋_GB2312" w:hAnsi="仿宋" w:eastAsia="仿宋_GB2312" w:cs="仿宋_GB2312"/>
          <w:sz w:val="28"/>
          <w:szCs w:val="28"/>
        </w:rPr>
        <w:t>银行、</w:t>
      </w:r>
      <w:r>
        <w:rPr>
          <w:rFonts w:hint="eastAsia" w:ascii="仿宋_GB2312" w:hAnsi="仿宋" w:eastAsia="仿宋_GB2312" w:cs="仿宋_GB2312"/>
          <w:sz w:val="28"/>
          <w:szCs w:val="28"/>
          <w:lang w:eastAsia="zh-CN"/>
        </w:rPr>
        <w:t>临河新现代医院、巴彦淖尔市口腔医院、</w:t>
      </w:r>
      <w:r>
        <w:rPr>
          <w:rFonts w:hint="eastAsia" w:ascii="仿宋_GB2312" w:hAnsi="仿宋" w:eastAsia="仿宋_GB2312"/>
          <w:sz w:val="28"/>
          <w:szCs w:val="28"/>
        </w:rPr>
        <w:t>巴彦淖尔市康复医院</w:t>
      </w:r>
      <w:r>
        <w:rPr>
          <w:rFonts w:hint="eastAsia" w:ascii="仿宋_GB2312" w:hAnsi="仿宋" w:eastAsia="仿宋_GB2312"/>
          <w:sz w:val="28"/>
          <w:szCs w:val="28"/>
          <w:lang w:eastAsia="zh-CN"/>
        </w:rPr>
        <w:t>、临河十中、河套公园、巴彦淖尔国家地质公园、</w:t>
      </w:r>
      <w:r>
        <w:rPr>
          <w:rFonts w:hint="eastAsia" w:ascii="仿宋_GB2312" w:hAnsi="仿宋" w:eastAsia="仿宋_GB2312" w:cs="仿宋_GB2312"/>
          <w:sz w:val="28"/>
          <w:szCs w:val="28"/>
        </w:rPr>
        <w:t>中国联通、中国移动等公共配套设施。人文环境、自然环境</w:t>
      </w:r>
      <w:r>
        <w:rPr>
          <w:rFonts w:hint="eastAsia" w:ascii="仿宋_GB2312" w:hAnsi="仿宋" w:eastAsia="仿宋_GB2312" w:cs="仿宋_GB2312"/>
          <w:sz w:val="28"/>
          <w:szCs w:val="28"/>
          <w:lang w:eastAsia="zh-CN"/>
        </w:rPr>
        <w:t>优</w:t>
      </w:r>
      <w:r>
        <w:rPr>
          <w:rFonts w:hint="eastAsia" w:ascii="仿宋_GB2312" w:hAnsi="仿宋" w:eastAsia="仿宋_GB2312" w:cs="仿宋_GB2312"/>
          <w:sz w:val="28"/>
          <w:szCs w:val="28"/>
        </w:rPr>
        <w:t>。</w:t>
      </w:r>
    </w:p>
    <w:p>
      <w:pPr>
        <w:pStyle w:val="3"/>
        <w:spacing w:before="240" w:after="240" w:line="48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（四）市场背景描述与分析</w:t>
      </w:r>
      <w:bookmarkEnd w:id="203"/>
    </w:p>
    <w:p>
      <w:pPr>
        <w:autoSpaceDE w:val="0"/>
        <w:autoSpaceDN w:val="0"/>
        <w:adjustRightInd w:val="0"/>
        <w:spacing w:line="540" w:lineRule="exact"/>
        <w:ind w:firstLine="560" w:firstLineChars="200"/>
        <w:rPr>
          <w:rFonts w:ascii="仿宋_GB2312" w:hAnsi="仿宋" w:eastAsia="仿宋_GB2312" w:cs="仿宋_GB2312"/>
          <w:sz w:val="28"/>
          <w:szCs w:val="28"/>
        </w:rPr>
      </w:pPr>
      <w:bookmarkStart w:id="204" w:name="_Toc5721420"/>
      <w:bookmarkStart w:id="205" w:name="_Toc367869516"/>
      <w:bookmarkStart w:id="206" w:name="_Toc299004838"/>
      <w:bookmarkStart w:id="207" w:name="_Toc297196368"/>
      <w:bookmarkStart w:id="208" w:name="_Toc299007144"/>
      <w:bookmarkStart w:id="209" w:name="_Toc299006857"/>
      <w:bookmarkStart w:id="210" w:name="_Toc297122073"/>
      <w:bookmarkStart w:id="211" w:name="_Toc299005659"/>
      <w:bookmarkStart w:id="212" w:name="_Toc301369734"/>
      <w:bookmarkStart w:id="213" w:name="_Toc301369588"/>
      <w:bookmarkStart w:id="214" w:name="_Toc257051907"/>
      <w:bookmarkStart w:id="215" w:name="_Toc257051741"/>
      <w:r>
        <w:rPr>
          <w:rFonts w:hint="eastAsia" w:ascii="仿宋_GB2312" w:hAnsi="仿宋" w:eastAsia="仿宋_GB2312" w:cs="仿宋_GB2312"/>
          <w:sz w:val="28"/>
          <w:szCs w:val="28"/>
        </w:rPr>
        <w:t>1、巴彦淖尔市房地产市场价格对土地市场的影响</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通过以下两个方面的数据对巴彦淖尔市房地产市场状况进行分析。</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（1）巴彦淖尔市楼盘售价</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估价师对巴彦淖尔市20</w:t>
      </w:r>
      <w:r>
        <w:rPr>
          <w:rFonts w:hint="eastAsia" w:ascii="仿宋_GB2312" w:hAnsi="仿宋" w:eastAsia="仿宋_GB2312" w:cs="仿宋_GB2312"/>
          <w:sz w:val="28"/>
          <w:szCs w:val="28"/>
          <w:lang w:val="en-US" w:eastAsia="zh-CN"/>
        </w:rPr>
        <w:t>1</w:t>
      </w:r>
      <w:r>
        <w:rPr>
          <w:rFonts w:hint="eastAsia" w:ascii="仿宋_GB2312" w:hAnsi="仿宋" w:eastAsia="仿宋_GB2312" w:cs="仿宋_GB2312"/>
          <w:sz w:val="28"/>
          <w:szCs w:val="28"/>
          <w:lang w:eastAsia="zh-CN"/>
        </w:rPr>
        <w:t>6</w:t>
      </w:r>
      <w:r>
        <w:rPr>
          <w:rFonts w:hint="eastAsia" w:ascii="仿宋_GB2312" w:hAnsi="仿宋" w:eastAsia="仿宋_GB2312" w:cs="仿宋_GB2312"/>
          <w:sz w:val="28"/>
          <w:szCs w:val="28"/>
        </w:rPr>
        <w:t>-2019年的楼盘售价进行了调查，并做相应比较，见下表：</w:t>
      </w:r>
    </w:p>
    <w:tbl>
      <w:tblPr>
        <w:tblStyle w:val="42"/>
        <w:tblW w:w="9079" w:type="dxa"/>
        <w:tblInd w:w="96" w:type="dxa"/>
        <w:tblLayout w:type="fixed"/>
        <w:tblCellMar>
          <w:top w:w="0" w:type="dxa"/>
          <w:left w:w="108" w:type="dxa"/>
          <w:bottom w:w="0" w:type="dxa"/>
          <w:right w:w="108" w:type="dxa"/>
        </w:tblCellMar>
      </w:tblPr>
      <w:tblGrid>
        <w:gridCol w:w="675"/>
        <w:gridCol w:w="1133"/>
        <w:gridCol w:w="1273"/>
        <w:gridCol w:w="1318"/>
        <w:gridCol w:w="1433"/>
        <w:gridCol w:w="1494"/>
        <w:gridCol w:w="1611"/>
        <w:gridCol w:w="142"/>
      </w:tblGrid>
      <w:tr>
        <w:tblPrEx>
          <w:tblCellMar>
            <w:top w:w="0" w:type="dxa"/>
            <w:left w:w="108" w:type="dxa"/>
            <w:bottom w:w="0" w:type="dxa"/>
            <w:right w:w="108" w:type="dxa"/>
          </w:tblCellMar>
        </w:tblPrEx>
        <w:trPr>
          <w:gridAfter w:val="1"/>
          <w:wAfter w:w="142" w:type="dxa"/>
          <w:trHeight w:val="604" w:hRule="atLeast"/>
        </w:trPr>
        <w:tc>
          <w:tcPr>
            <w:tcW w:w="8937" w:type="dxa"/>
            <w:gridSpan w:val="7"/>
            <w:tcBorders>
              <w:top w:val="nil"/>
              <w:left w:val="nil"/>
              <w:bottom w:val="nil"/>
              <w:right w:val="nil"/>
            </w:tcBorders>
            <w:vAlign w:val="center"/>
          </w:tcPr>
          <w:p>
            <w:pPr>
              <w:widowControl/>
              <w:spacing w:line="540" w:lineRule="exact"/>
              <w:jc w:val="center"/>
              <w:rPr>
                <w:rFonts w:hint="eastAsia" w:ascii="仿宋_GB2312" w:hAnsi="仿宋" w:eastAsia="仿宋_GB2312" w:cs="宋体"/>
                <w:b/>
                <w:bCs/>
                <w:kern w:val="0"/>
                <w:sz w:val="28"/>
                <w:szCs w:val="28"/>
              </w:rPr>
            </w:pPr>
          </w:p>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w:t>
            </w:r>
            <w:r>
              <w:rPr>
                <w:rFonts w:hint="eastAsia" w:ascii="仿宋_GB2312" w:hAnsi="仿宋" w:eastAsia="仿宋_GB2312" w:cs="宋体"/>
                <w:b/>
                <w:bCs/>
                <w:kern w:val="0"/>
                <w:sz w:val="28"/>
                <w:szCs w:val="28"/>
                <w:lang w:eastAsia="zh-CN"/>
              </w:rPr>
              <w:t>6</w:t>
            </w:r>
            <w:r>
              <w:rPr>
                <w:rFonts w:hint="eastAsia" w:ascii="仿宋_GB2312" w:hAnsi="仿宋" w:eastAsia="仿宋_GB2312" w:cs="宋体"/>
                <w:b/>
                <w:bCs/>
                <w:kern w:val="0"/>
                <w:sz w:val="28"/>
                <w:szCs w:val="28"/>
              </w:rPr>
              <w:t>-2019年楼盘均价调查表</w:t>
            </w:r>
          </w:p>
        </w:tc>
      </w:tr>
      <w:tr>
        <w:tblPrEx>
          <w:tblCellMar>
            <w:top w:w="0" w:type="dxa"/>
            <w:left w:w="108" w:type="dxa"/>
            <w:bottom w:w="0" w:type="dxa"/>
            <w:right w:w="108" w:type="dxa"/>
          </w:tblCellMar>
        </w:tblPrEx>
        <w:trPr>
          <w:gridAfter w:val="1"/>
          <w:wAfter w:w="142" w:type="dxa"/>
          <w:trHeight w:val="215"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133"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1611" w:type="dxa"/>
            <w:vMerge w:val="restart"/>
            <w:tcBorders>
              <w:top w:val="single" w:color="auto" w:sz="8" w:space="0"/>
              <w:left w:val="single" w:color="auto" w:sz="4" w:space="0"/>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bCs/>
                <w:kern w:val="0"/>
                <w:szCs w:val="21"/>
              </w:rPr>
              <w:t>备注</w:t>
            </w:r>
          </w:p>
        </w:tc>
      </w:tr>
      <w:tr>
        <w:tblPrEx>
          <w:tblCellMar>
            <w:top w:w="0" w:type="dxa"/>
            <w:left w:w="108" w:type="dxa"/>
            <w:bottom w:w="0" w:type="dxa"/>
            <w:right w:w="108" w:type="dxa"/>
          </w:tblCellMar>
        </w:tblPrEx>
        <w:trPr>
          <w:gridAfter w:val="1"/>
          <w:wAfter w:w="142" w:type="dxa"/>
          <w:trHeight w:val="448"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20</w:t>
            </w:r>
            <w:r>
              <w:rPr>
                <w:rFonts w:hint="eastAsia" w:ascii="仿宋_GB2312" w:hAnsi="仿宋" w:eastAsia="仿宋_GB2312" w:cs="宋体"/>
                <w:b/>
                <w:bCs/>
                <w:kern w:val="0"/>
                <w:szCs w:val="21"/>
                <w:lang w:val="en-US" w:eastAsia="zh-CN"/>
              </w:rPr>
              <w:t>18</w:t>
            </w:r>
            <w:r>
              <w:rPr>
                <w:rFonts w:hint="eastAsia" w:ascii="仿宋_GB2312" w:hAnsi="仿宋" w:eastAsia="仿宋_GB2312" w:cs="宋体"/>
                <w:b/>
                <w:bCs/>
                <w:kern w:val="0"/>
                <w:szCs w:val="21"/>
              </w:rPr>
              <w:t>年</w:t>
            </w:r>
          </w:p>
        </w:tc>
        <w:tc>
          <w:tcPr>
            <w:tcW w:w="149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1611" w:type="dxa"/>
            <w:vMerge w:val="continue"/>
            <w:tcBorders>
              <w:top w:val="single" w:color="auto" w:sz="8" w:space="0"/>
              <w:left w:val="single" w:color="auto" w:sz="4" w:space="0"/>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916"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车库</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车库</w:t>
            </w:r>
          </w:p>
        </w:tc>
        <w:tc>
          <w:tcPr>
            <w:tcW w:w="1611"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74"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1</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明珠城</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五一</w:t>
            </w:r>
            <w:r>
              <w:rPr>
                <w:rFonts w:hint="eastAsia" w:ascii="仿宋_GB2312" w:hAnsi="仿宋" w:eastAsia="仿宋_GB2312" w:cs="宋体"/>
                <w:b w:val="0"/>
                <w:bCs w:val="0"/>
                <w:kern w:val="0"/>
                <w:szCs w:val="21"/>
              </w:rPr>
              <w:t>街以南</w:t>
            </w:r>
          </w:p>
        </w:tc>
        <w:tc>
          <w:tcPr>
            <w:tcW w:w="1318"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7</w:t>
            </w:r>
            <w:r>
              <w:rPr>
                <w:rFonts w:hint="eastAsia" w:ascii="仿宋_GB2312" w:hAnsi="仿宋" w:eastAsia="仿宋_GB2312" w:cs="宋体"/>
                <w:b w:val="0"/>
                <w:bCs w:val="0"/>
                <w:kern w:val="0"/>
                <w:szCs w:val="21"/>
              </w:rPr>
              <w:t>963</w:t>
            </w:r>
          </w:p>
        </w:tc>
        <w:tc>
          <w:tcPr>
            <w:tcW w:w="149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8</w:t>
            </w:r>
            <w:r>
              <w:rPr>
                <w:rFonts w:hint="eastAsia" w:ascii="仿宋_GB2312" w:hAnsi="仿宋" w:eastAsia="仿宋_GB2312" w:cs="宋体"/>
                <w:b w:val="0"/>
                <w:bCs w:val="0"/>
                <w:kern w:val="0"/>
                <w:szCs w:val="21"/>
                <w:lang w:val="en-US" w:eastAsia="zh-CN"/>
              </w:rPr>
              <w:t>0</w:t>
            </w:r>
            <w:r>
              <w:rPr>
                <w:rFonts w:hint="eastAsia" w:ascii="仿宋_GB2312" w:hAnsi="仿宋" w:eastAsia="仿宋_GB2312" w:cs="宋体"/>
                <w:b w:val="0"/>
                <w:bCs w:val="0"/>
                <w:kern w:val="0"/>
                <w:szCs w:val="21"/>
                <w:lang w:eastAsia="zh-CN"/>
              </w:rPr>
              <w:t>6</w:t>
            </w:r>
            <w:r>
              <w:rPr>
                <w:rFonts w:hint="eastAsia" w:ascii="仿宋_GB2312" w:hAnsi="仿宋" w:eastAsia="仿宋_GB2312" w:cs="宋体"/>
                <w:b w:val="0"/>
                <w:bCs w:val="0"/>
                <w:kern w:val="0"/>
                <w:szCs w:val="21"/>
              </w:rPr>
              <w:t>2</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2</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泰城御景</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新华西街以南</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88</w:t>
            </w:r>
            <w:r>
              <w:rPr>
                <w:rFonts w:hint="eastAsia" w:ascii="仿宋_GB2312" w:hAnsi="仿宋" w:eastAsia="仿宋_GB2312" w:cs="宋体"/>
                <w:b w:val="0"/>
                <w:bCs w:val="0"/>
                <w:kern w:val="0"/>
                <w:szCs w:val="21"/>
              </w:rPr>
              <w:t>26</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89</w:t>
            </w:r>
            <w:r>
              <w:rPr>
                <w:rFonts w:hint="eastAsia" w:ascii="仿宋_GB2312" w:hAnsi="仿宋" w:eastAsia="仿宋_GB2312" w:cs="宋体"/>
                <w:b w:val="0"/>
                <w:bCs w:val="0"/>
                <w:kern w:val="0"/>
                <w:szCs w:val="21"/>
              </w:rPr>
              <w:t>63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3</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新盛园</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明珠路以西</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w:t>
            </w:r>
            <w:r>
              <w:rPr>
                <w:rFonts w:hint="eastAsia" w:ascii="仿宋_GB2312" w:hAnsi="仿宋" w:eastAsia="仿宋_GB2312" w:cs="宋体"/>
                <w:b w:val="0"/>
                <w:bCs w:val="0"/>
                <w:kern w:val="0"/>
                <w:szCs w:val="21"/>
              </w:rPr>
              <w:t>5</w:t>
            </w:r>
            <w:r>
              <w:rPr>
                <w:rFonts w:hint="eastAsia" w:ascii="仿宋_GB2312" w:hAnsi="仿宋" w:eastAsia="仿宋_GB2312" w:cs="宋体"/>
                <w:b w:val="0"/>
                <w:bCs w:val="0"/>
                <w:kern w:val="0"/>
                <w:szCs w:val="21"/>
                <w:lang w:eastAsia="zh-CN"/>
              </w:rPr>
              <w:t>6</w:t>
            </w:r>
            <w:r>
              <w:rPr>
                <w:rFonts w:hint="eastAsia" w:ascii="仿宋_GB2312" w:hAnsi="仿宋" w:eastAsia="仿宋_GB2312" w:cs="宋体"/>
                <w:b w:val="0"/>
                <w:bCs w:val="0"/>
                <w:kern w:val="0"/>
                <w:szCs w:val="21"/>
              </w:rPr>
              <w:t>9</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86</w:t>
            </w:r>
            <w:r>
              <w:rPr>
                <w:rFonts w:hint="eastAsia" w:ascii="仿宋_GB2312" w:hAnsi="仿宋" w:eastAsia="仿宋_GB2312" w:cs="宋体"/>
                <w:b w:val="0"/>
                <w:bCs w:val="0"/>
                <w:kern w:val="0"/>
                <w:szCs w:val="21"/>
              </w:rPr>
              <w:t>33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4</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绿都新村</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水源路以东</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7</w:t>
            </w:r>
            <w:r>
              <w:rPr>
                <w:rFonts w:hint="eastAsia" w:ascii="仿宋_GB2312" w:hAnsi="仿宋" w:eastAsia="仿宋_GB2312" w:cs="宋体"/>
                <w:b w:val="0"/>
                <w:bCs w:val="0"/>
                <w:kern w:val="0"/>
                <w:szCs w:val="21"/>
              </w:rPr>
              <w:t>841</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80</w:t>
            </w:r>
            <w:r>
              <w:rPr>
                <w:rFonts w:hint="eastAsia" w:ascii="仿宋_GB2312" w:hAnsi="仿宋" w:eastAsia="仿宋_GB2312" w:cs="宋体"/>
                <w:b w:val="0"/>
                <w:bCs w:val="0"/>
                <w:kern w:val="0"/>
                <w:szCs w:val="21"/>
              </w:rPr>
              <w:t>81</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5</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今日尚品</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水源路以东</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88</w:t>
            </w:r>
            <w:r>
              <w:rPr>
                <w:rFonts w:hint="eastAsia" w:ascii="仿宋_GB2312" w:hAnsi="仿宋" w:eastAsia="仿宋_GB2312" w:cs="宋体"/>
                <w:b w:val="0"/>
                <w:bCs w:val="0"/>
                <w:kern w:val="0"/>
                <w:szCs w:val="21"/>
              </w:rPr>
              <w:t>73</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89</w:t>
            </w:r>
            <w:r>
              <w:rPr>
                <w:rFonts w:hint="eastAsia" w:ascii="仿宋_GB2312" w:hAnsi="仿宋" w:eastAsia="仿宋_GB2312" w:cs="宋体"/>
                <w:b w:val="0"/>
                <w:bCs w:val="0"/>
                <w:kern w:val="0"/>
                <w:szCs w:val="21"/>
              </w:rPr>
              <w:t>08</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6</w:t>
            </w:r>
          </w:p>
        </w:tc>
        <w:tc>
          <w:tcPr>
            <w:tcW w:w="11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检察院小区</w:t>
            </w:r>
          </w:p>
        </w:tc>
        <w:tc>
          <w:tcPr>
            <w:tcW w:w="127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五一</w:t>
            </w:r>
            <w:r>
              <w:rPr>
                <w:rFonts w:hint="eastAsia" w:ascii="仿宋_GB2312" w:hAnsi="仿宋" w:eastAsia="仿宋_GB2312" w:cs="宋体"/>
                <w:b w:val="0"/>
                <w:bCs w:val="0"/>
                <w:kern w:val="0"/>
                <w:szCs w:val="21"/>
              </w:rPr>
              <w:t>街以</w:t>
            </w:r>
            <w:r>
              <w:rPr>
                <w:rFonts w:hint="eastAsia" w:ascii="仿宋_GB2312" w:hAnsi="仿宋" w:eastAsia="仿宋_GB2312" w:cs="宋体"/>
                <w:b w:val="0"/>
                <w:bCs w:val="0"/>
                <w:kern w:val="0"/>
                <w:szCs w:val="21"/>
                <w:lang w:eastAsia="zh-CN"/>
              </w:rPr>
              <w:t>北</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w:t>
            </w:r>
            <w:r>
              <w:rPr>
                <w:rFonts w:hint="eastAsia" w:ascii="仿宋_GB2312" w:hAnsi="仿宋" w:eastAsia="仿宋_GB2312" w:cs="宋体"/>
                <w:b w:val="0"/>
                <w:bCs w:val="0"/>
                <w:kern w:val="0"/>
                <w:szCs w:val="21"/>
              </w:rPr>
              <w:t>773</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89</w:t>
            </w:r>
            <w:r>
              <w:rPr>
                <w:rFonts w:hint="eastAsia" w:ascii="仿宋_GB2312" w:hAnsi="仿宋" w:eastAsia="仿宋_GB2312" w:cs="宋体"/>
                <w:b w:val="0"/>
                <w:bCs w:val="0"/>
                <w:kern w:val="0"/>
                <w:szCs w:val="21"/>
              </w:rPr>
              <w:t>43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gridAfter w:val="1"/>
          <w:wAfter w:w="142" w:type="dxa"/>
          <w:trHeight w:val="535" w:hRule="atLeast"/>
        </w:trPr>
        <w:tc>
          <w:tcPr>
            <w:tcW w:w="675" w:type="dxa"/>
            <w:tcBorders>
              <w:top w:val="nil"/>
              <w:left w:val="single" w:color="auto" w:sz="8" w:space="0"/>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均价</w:t>
            </w:r>
          </w:p>
        </w:tc>
        <w:tc>
          <w:tcPr>
            <w:tcW w:w="1133"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273"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318"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433" w:type="dxa"/>
            <w:tcBorders>
              <w:top w:val="nil"/>
              <w:left w:val="nil"/>
              <w:bottom w:val="single" w:color="auto" w:sz="8" w:space="0"/>
              <w:right w:val="single" w:color="auto" w:sz="4" w:space="0"/>
            </w:tcBorders>
            <w:vAlign w:val="center"/>
          </w:tcPr>
          <w:p>
            <w:pPr>
              <w:widowControl/>
              <w:spacing w:after="0" w:line="240" w:lineRule="auto"/>
              <w:jc w:val="center"/>
              <w:rPr>
                <w:rFonts w:hint="default"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8474</w:t>
            </w:r>
          </w:p>
        </w:tc>
        <w:tc>
          <w:tcPr>
            <w:tcW w:w="1494" w:type="dxa"/>
            <w:tcBorders>
              <w:top w:val="nil"/>
              <w:left w:val="nil"/>
              <w:bottom w:val="single" w:color="auto" w:sz="8" w:space="0"/>
              <w:right w:val="single" w:color="auto" w:sz="4" w:space="0"/>
            </w:tcBorders>
            <w:vAlign w:val="center"/>
          </w:tcPr>
          <w:p>
            <w:pPr>
              <w:widowControl/>
              <w:spacing w:after="0" w:line="240" w:lineRule="auto"/>
              <w:jc w:val="center"/>
              <w:rPr>
                <w:rFonts w:hint="default"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8698</w:t>
            </w:r>
          </w:p>
        </w:tc>
        <w:tc>
          <w:tcPr>
            <w:tcW w:w="1611" w:type="dxa"/>
            <w:tcBorders>
              <w:top w:val="nil"/>
              <w:left w:val="nil"/>
              <w:bottom w:val="single" w:color="auto" w:sz="8" w:space="0"/>
              <w:right w:val="single" w:color="auto" w:sz="8" w:space="0"/>
            </w:tcBorders>
            <w:vAlign w:val="center"/>
          </w:tcPr>
          <w:p>
            <w:pPr>
              <w:widowControl/>
              <w:spacing w:after="0" w:line="240" w:lineRule="auto"/>
              <w:jc w:val="center"/>
              <w:rPr>
                <w:rFonts w:hint="eastAsia" w:ascii="仿宋_GB2312" w:hAnsi="仿宋" w:eastAsia="仿宋_GB2312" w:cs="宋体"/>
                <w:b w:val="0"/>
                <w:bCs w:val="0"/>
                <w:kern w:val="0"/>
                <w:szCs w:val="21"/>
              </w:rPr>
            </w:pPr>
          </w:p>
          <w:p>
            <w:pPr>
              <w:widowControl/>
              <w:spacing w:after="0" w:line="240" w:lineRule="auto"/>
              <w:jc w:val="center"/>
              <w:rPr>
                <w:rFonts w:hint="eastAsia" w:ascii="仿宋_GB2312" w:hAnsi="仿宋" w:eastAsia="仿宋_GB2312" w:cs="宋体"/>
                <w:b w:val="0"/>
                <w:bCs w:val="0"/>
                <w:kern w:val="0"/>
                <w:szCs w:val="21"/>
              </w:rPr>
            </w:pPr>
          </w:p>
        </w:tc>
      </w:tr>
      <w:tr>
        <w:tblPrEx>
          <w:tblCellMar>
            <w:top w:w="0" w:type="dxa"/>
            <w:left w:w="108" w:type="dxa"/>
            <w:bottom w:w="0" w:type="dxa"/>
            <w:right w:w="108" w:type="dxa"/>
          </w:tblCellMar>
        </w:tblPrEx>
        <w:trPr>
          <w:trHeight w:val="803" w:hRule="atLeast"/>
        </w:trPr>
        <w:tc>
          <w:tcPr>
            <w:tcW w:w="9079"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w:t>
            </w:r>
            <w:r>
              <w:rPr>
                <w:rFonts w:hint="eastAsia" w:ascii="仿宋_GB2312" w:hAnsi="仿宋" w:eastAsia="仿宋_GB2312" w:cs="宋体"/>
                <w:b/>
                <w:bCs/>
                <w:kern w:val="0"/>
                <w:sz w:val="28"/>
                <w:szCs w:val="28"/>
                <w:lang w:eastAsia="zh-CN"/>
              </w:rPr>
              <w:t>6</w:t>
            </w:r>
            <w:r>
              <w:rPr>
                <w:rFonts w:hint="eastAsia" w:ascii="仿宋_GB2312" w:hAnsi="仿宋" w:eastAsia="仿宋_GB2312" w:cs="宋体"/>
                <w:b/>
                <w:bCs/>
                <w:kern w:val="0"/>
                <w:sz w:val="28"/>
                <w:szCs w:val="28"/>
              </w:rPr>
              <w:t>-2019年楼盘售价比较表</w:t>
            </w:r>
          </w:p>
          <w:tbl>
            <w:tblPr>
              <w:tblStyle w:val="42"/>
              <w:tblW w:w="9073" w:type="dxa"/>
              <w:tblInd w:w="-254" w:type="dxa"/>
              <w:tblLayout w:type="fixed"/>
              <w:tblCellMar>
                <w:top w:w="0" w:type="dxa"/>
                <w:left w:w="108" w:type="dxa"/>
                <w:bottom w:w="0" w:type="dxa"/>
                <w:right w:w="108" w:type="dxa"/>
              </w:tblCellMar>
            </w:tblPr>
            <w:tblGrid>
              <w:gridCol w:w="1864"/>
              <w:gridCol w:w="1606"/>
              <w:gridCol w:w="1602"/>
              <w:gridCol w:w="1604"/>
              <w:gridCol w:w="2397"/>
            </w:tblGrid>
            <w:tr>
              <w:tblPrEx>
                <w:tblCellMar>
                  <w:top w:w="0" w:type="dxa"/>
                  <w:left w:w="108" w:type="dxa"/>
                  <w:bottom w:w="0" w:type="dxa"/>
                  <w:right w:w="108" w:type="dxa"/>
                </w:tblCellMar>
              </w:tblPrEx>
              <w:trPr>
                <w:trHeight w:val="597" w:hRule="atLeast"/>
              </w:trPr>
              <w:tc>
                <w:tcPr>
                  <w:tcW w:w="1864" w:type="dxa"/>
                  <w:vMerge w:val="restart"/>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序号</w:t>
                  </w:r>
                </w:p>
              </w:tc>
              <w:tc>
                <w:tcPr>
                  <w:tcW w:w="1606"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用途</w:t>
                  </w:r>
                </w:p>
              </w:tc>
              <w:tc>
                <w:tcPr>
                  <w:tcW w:w="3206" w:type="dxa"/>
                  <w:gridSpan w:val="2"/>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楼盘均价（元/平方米）</w:t>
                  </w:r>
                </w:p>
              </w:tc>
              <w:tc>
                <w:tcPr>
                  <w:tcW w:w="2397"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备注</w:t>
                  </w:r>
                </w:p>
              </w:tc>
            </w:tr>
            <w:tr>
              <w:tblPrEx>
                <w:tblCellMar>
                  <w:top w:w="0" w:type="dxa"/>
                  <w:left w:w="108" w:type="dxa"/>
                  <w:bottom w:w="0" w:type="dxa"/>
                  <w:right w:w="108" w:type="dxa"/>
                </w:tblCellMar>
              </w:tblPrEx>
              <w:trPr>
                <w:trHeight w:val="597" w:hRule="atLeast"/>
              </w:trPr>
              <w:tc>
                <w:tcPr>
                  <w:tcW w:w="1864" w:type="dxa"/>
                  <w:vMerge w:val="continue"/>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p>
              </w:tc>
              <w:tc>
                <w:tcPr>
                  <w:tcW w:w="1606"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p>
              </w:tc>
              <w:tc>
                <w:tcPr>
                  <w:tcW w:w="1602"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20</w:t>
                  </w:r>
                  <w:r>
                    <w:rPr>
                      <w:rFonts w:hint="eastAsia" w:ascii="仿宋_GB2312" w:hAnsi="仿宋" w:eastAsia="仿宋_GB2312" w:cs="宋体"/>
                      <w:b/>
                      <w:bCs/>
                      <w:kern w:val="0"/>
                      <w:szCs w:val="21"/>
                      <w:lang w:val="en-US" w:eastAsia="zh-CN"/>
                    </w:rPr>
                    <w:t>18</w:t>
                  </w:r>
                  <w:r>
                    <w:rPr>
                      <w:rFonts w:hint="eastAsia" w:ascii="仿宋_GB2312" w:hAnsi="仿宋" w:eastAsia="仿宋_GB2312" w:cs="宋体"/>
                      <w:b/>
                      <w:bCs/>
                      <w:kern w:val="0"/>
                      <w:szCs w:val="21"/>
                      <w:lang w:eastAsia="zh-CN"/>
                    </w:rPr>
                    <w:t>年</w:t>
                  </w:r>
                </w:p>
              </w:tc>
              <w:tc>
                <w:tcPr>
                  <w:tcW w:w="160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2019年</w:t>
                  </w:r>
                </w:p>
              </w:tc>
              <w:tc>
                <w:tcPr>
                  <w:tcW w:w="2397" w:type="dxa"/>
                  <w:vMerge w:val="continue"/>
                  <w:tcBorders>
                    <w:top w:val="single" w:color="auto" w:sz="4" w:space="0"/>
                    <w:bottom w:val="single" w:color="auto" w:sz="4" w:space="0"/>
                    <w:right w:val="single" w:color="auto" w:sz="4" w:space="0"/>
                  </w:tcBorders>
                </w:tcPr>
                <w:p>
                  <w:pPr>
                    <w:widowControl/>
                    <w:spacing w:after="0" w:line="240" w:lineRule="auto"/>
                    <w:jc w:val="center"/>
                    <w:rPr>
                      <w:rFonts w:hint="eastAsia" w:ascii="仿宋_GB2312" w:hAnsi="仿宋" w:eastAsia="仿宋_GB2312" w:cs="宋体"/>
                      <w:b w:val="0"/>
                      <w:bCs w:val="0"/>
                      <w:kern w:val="0"/>
                      <w:szCs w:val="21"/>
                      <w:lang w:eastAsia="zh-CN"/>
                    </w:rPr>
                  </w:pPr>
                </w:p>
              </w:tc>
            </w:tr>
            <w:tr>
              <w:tblPrEx>
                <w:tblCellMar>
                  <w:top w:w="0" w:type="dxa"/>
                  <w:left w:w="108" w:type="dxa"/>
                  <w:bottom w:w="0" w:type="dxa"/>
                  <w:right w:w="108" w:type="dxa"/>
                </w:tblCellMar>
              </w:tblPrEx>
              <w:trPr>
                <w:trHeight w:val="773" w:hRule="atLeast"/>
              </w:trPr>
              <w:tc>
                <w:tcPr>
                  <w:tcW w:w="1864"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1</w:t>
                  </w:r>
                </w:p>
              </w:tc>
              <w:tc>
                <w:tcPr>
                  <w:tcW w:w="1606"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车库</w:t>
                  </w:r>
                </w:p>
              </w:tc>
              <w:tc>
                <w:tcPr>
                  <w:tcW w:w="160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val="en-US" w:eastAsia="zh-CN"/>
                    </w:rPr>
                    <w:t>8474</w:t>
                  </w:r>
                </w:p>
              </w:tc>
              <w:tc>
                <w:tcPr>
                  <w:tcW w:w="160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val="en-US" w:eastAsia="zh-CN"/>
                    </w:rPr>
                    <w:t>8698</w:t>
                  </w:r>
                </w:p>
              </w:tc>
              <w:tc>
                <w:tcPr>
                  <w:tcW w:w="2397" w:type="dxa"/>
                  <w:tcBorders>
                    <w:top w:val="single" w:color="auto" w:sz="4" w:space="0"/>
                    <w:bottom w:val="single" w:color="auto" w:sz="4" w:space="0"/>
                    <w:right w:val="single" w:color="auto" w:sz="4" w:space="0"/>
                  </w:tcBorders>
                </w:tcPr>
                <w:p>
                  <w:pPr>
                    <w:widowControl/>
                    <w:spacing w:after="0" w:line="240" w:lineRule="auto"/>
                    <w:jc w:val="center"/>
                    <w:rPr>
                      <w:rFonts w:hint="eastAsia" w:ascii="仿宋_GB2312" w:hAnsi="仿宋" w:eastAsia="仿宋_GB2312" w:cs="宋体"/>
                      <w:b w:val="0"/>
                      <w:bCs w:val="0"/>
                      <w:kern w:val="0"/>
                      <w:szCs w:val="21"/>
                      <w:lang w:eastAsia="zh-CN"/>
                    </w:rPr>
                  </w:pPr>
                </w:p>
              </w:tc>
            </w:tr>
          </w:tbl>
          <w:p>
            <w:pPr>
              <w:widowControl/>
              <w:spacing w:line="540" w:lineRule="exact"/>
              <w:jc w:val="center"/>
              <w:rPr>
                <w:rFonts w:ascii="仿宋_GB2312" w:hAnsi="仿宋" w:eastAsia="仿宋_GB2312" w:cs="宋体"/>
                <w:b/>
                <w:bCs/>
                <w:kern w:val="0"/>
                <w:sz w:val="28"/>
                <w:szCs w:val="28"/>
              </w:rPr>
            </w:pPr>
          </w:p>
        </w:tc>
      </w:tr>
      <w:tr>
        <w:tblPrEx>
          <w:tblCellMar>
            <w:top w:w="0" w:type="dxa"/>
            <w:left w:w="108" w:type="dxa"/>
            <w:bottom w:w="0" w:type="dxa"/>
            <w:right w:w="108" w:type="dxa"/>
          </w:tblCellMar>
        </w:tblPrEx>
        <w:trPr>
          <w:trHeight w:val="87" w:hRule="atLeast"/>
        </w:trPr>
        <w:tc>
          <w:tcPr>
            <w:tcW w:w="9079" w:type="dxa"/>
            <w:gridSpan w:val="8"/>
            <w:tcBorders>
              <w:top w:val="nil"/>
              <w:left w:val="nil"/>
              <w:bottom w:val="nil"/>
              <w:right w:val="nil"/>
            </w:tcBorders>
            <w:vAlign w:val="center"/>
          </w:tcPr>
          <w:p>
            <w:pPr>
              <w:widowControl/>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从</w:t>
            </w:r>
            <w:r>
              <w:rPr>
                <w:rFonts w:hint="eastAsia" w:ascii="仿宋_GB2312" w:hAnsi="仿宋" w:eastAsia="仿宋_GB2312"/>
                <w:sz w:val="28"/>
                <w:szCs w:val="28"/>
                <w:lang w:eastAsia="zh-CN"/>
              </w:rPr>
              <w:t>车库</w:t>
            </w:r>
            <w:r>
              <w:rPr>
                <w:rFonts w:hint="eastAsia" w:ascii="仿宋_GB2312" w:hAnsi="仿宋" w:eastAsia="仿宋_GB2312"/>
                <w:sz w:val="28"/>
                <w:szCs w:val="28"/>
              </w:rPr>
              <w:t>用途房产均价比较表中可以看出巴彦淖尔市的</w:t>
            </w:r>
            <w:r>
              <w:rPr>
                <w:rFonts w:hint="eastAsia" w:ascii="仿宋_GB2312" w:hAnsi="仿宋" w:eastAsia="仿宋_GB2312"/>
                <w:sz w:val="28"/>
                <w:szCs w:val="28"/>
                <w:lang w:eastAsia="zh-CN"/>
              </w:rPr>
              <w:t>车库</w:t>
            </w:r>
            <w:r>
              <w:rPr>
                <w:rFonts w:hint="eastAsia" w:ascii="仿宋_GB2312" w:hAnsi="仿宋" w:eastAsia="仿宋_GB2312"/>
                <w:sz w:val="28"/>
                <w:szCs w:val="28"/>
              </w:rPr>
              <w:t>用途房产较往年有所上涨，通过估价师20</w:t>
            </w:r>
            <w:r>
              <w:rPr>
                <w:rFonts w:hint="eastAsia" w:ascii="仿宋_GB2312" w:hAnsi="仿宋" w:eastAsia="仿宋_GB2312"/>
                <w:sz w:val="28"/>
                <w:szCs w:val="28"/>
                <w:lang w:eastAsia="zh-CN"/>
              </w:rPr>
              <w:t>6</w:t>
            </w:r>
            <w:r>
              <w:rPr>
                <w:rFonts w:hint="eastAsia" w:ascii="仿宋_GB2312" w:hAnsi="仿宋" w:eastAsia="仿宋_GB2312"/>
                <w:sz w:val="28"/>
                <w:szCs w:val="28"/>
              </w:rPr>
              <w:t>-2019年对巴彦淖尔市各个楼盘的调查和走访了解，巴彦淖尔市</w:t>
            </w:r>
            <w:r>
              <w:rPr>
                <w:rFonts w:hint="eastAsia" w:ascii="仿宋_GB2312" w:hAnsi="仿宋" w:eastAsia="仿宋_GB2312"/>
                <w:sz w:val="28"/>
                <w:szCs w:val="28"/>
                <w:lang w:eastAsia="zh-CN"/>
              </w:rPr>
              <w:t>车库</w:t>
            </w:r>
            <w:r>
              <w:rPr>
                <w:rFonts w:hint="eastAsia" w:ascii="仿宋_GB2312" w:hAnsi="仿宋" w:eastAsia="仿宋_GB2312"/>
                <w:sz w:val="28"/>
                <w:szCs w:val="28"/>
              </w:rPr>
              <w:t>用途房产用房空置率较低，房地产市场前景广阔。</w:t>
            </w:r>
          </w:p>
        </w:tc>
      </w:tr>
    </w:tbl>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2、巴彦淖尔市经济对房地产市场的影响</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spacing w:before="240" w:after="240" w:line="48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w:t>
      </w:r>
      <w:r>
        <w:rPr>
          <w:rFonts w:hint="eastAsia" w:ascii="仿宋_GB2312" w:hAnsi="仿宋" w:eastAsia="仿宋_GB2312"/>
          <w:sz w:val="28"/>
          <w:szCs w:val="28"/>
        </w:rPr>
        <w:t>五</w:t>
      </w:r>
      <w:r>
        <w:rPr>
          <w:rFonts w:hint="eastAsia" w:ascii="仿宋_GB2312" w:hAnsi="仿宋" w:eastAsia="仿宋_GB2312"/>
          <w:bCs w:val="0"/>
          <w:sz w:val="28"/>
          <w:szCs w:val="28"/>
        </w:rPr>
        <w:t>）</w:t>
      </w:r>
      <w:r>
        <w:rPr>
          <w:rFonts w:hint="eastAsia" w:ascii="仿宋_GB2312" w:hAnsi="仿宋" w:eastAsia="仿宋_GB2312"/>
          <w:sz w:val="28"/>
          <w:szCs w:val="28"/>
        </w:rPr>
        <w:t>最高最佳利用分析</w:t>
      </w:r>
      <w:bookmarkEnd w:id="204"/>
    </w:p>
    <w:bookmarkEnd w:id="205"/>
    <w:bookmarkEnd w:id="206"/>
    <w:bookmarkEnd w:id="207"/>
    <w:bookmarkEnd w:id="208"/>
    <w:bookmarkEnd w:id="209"/>
    <w:bookmarkEnd w:id="210"/>
    <w:bookmarkEnd w:id="211"/>
    <w:bookmarkEnd w:id="212"/>
    <w:bookmarkEnd w:id="213"/>
    <w:bookmarkEnd w:id="214"/>
    <w:bookmarkEnd w:id="215"/>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spacing w:before="240" w:after="240" w:line="480" w:lineRule="exact"/>
        <w:ind w:firstLine="562" w:firstLineChars="200"/>
        <w:rPr>
          <w:rFonts w:ascii="仿宋_GB2312" w:hAnsi="仿宋" w:eastAsia="仿宋_GB2312"/>
          <w:b w:val="0"/>
          <w:bCs w:val="0"/>
          <w:sz w:val="28"/>
          <w:szCs w:val="28"/>
        </w:rPr>
      </w:pPr>
      <w:bookmarkStart w:id="216" w:name="_Toc402442498"/>
      <w:bookmarkStart w:id="217" w:name="_Toc5721421"/>
      <w:bookmarkStart w:id="218" w:name="_Toc287016915"/>
      <w:bookmarkStart w:id="219" w:name="_Toc299005661"/>
      <w:bookmarkStart w:id="220" w:name="_Toc299004840"/>
      <w:bookmarkStart w:id="221" w:name="_Toc299007146"/>
      <w:bookmarkStart w:id="222" w:name="_Toc299006859"/>
      <w:bookmarkStart w:id="223" w:name="_Toc301369736"/>
      <w:bookmarkStart w:id="224" w:name="_Toc301369590"/>
      <w:bookmarkStart w:id="225" w:name="_Toc367869518"/>
      <w:r>
        <w:rPr>
          <w:rFonts w:hint="eastAsia" w:ascii="仿宋_GB2312" w:hAnsi="仿宋" w:eastAsia="仿宋_GB2312"/>
          <w:bCs w:val="0"/>
          <w:sz w:val="28"/>
          <w:szCs w:val="28"/>
        </w:rPr>
        <w:t>（六）</w:t>
      </w:r>
      <w:r>
        <w:rPr>
          <w:rFonts w:hint="eastAsia" w:ascii="仿宋_GB2312" w:hAnsi="仿宋" w:eastAsia="仿宋_GB2312"/>
          <w:sz w:val="28"/>
          <w:szCs w:val="28"/>
        </w:rPr>
        <w:t>估价方法选用</w:t>
      </w:r>
      <w:bookmarkEnd w:id="216"/>
      <w:bookmarkEnd w:id="217"/>
      <w:bookmarkEnd w:id="218"/>
    </w:p>
    <w:p>
      <w:pPr>
        <w:spacing w:line="540" w:lineRule="exact"/>
        <w:ind w:firstLine="560" w:firstLineChars="200"/>
        <w:rPr>
          <w:rFonts w:ascii="仿宋_GB2312" w:hAnsi="仿宋" w:eastAsia="仿宋_GB2312"/>
          <w:sz w:val="28"/>
          <w:szCs w:val="28"/>
        </w:rPr>
      </w:pPr>
      <w:bookmarkStart w:id="226" w:name="_Toc299006858"/>
      <w:bookmarkStart w:id="227" w:name="_Toc135016191"/>
      <w:bookmarkStart w:id="228" w:name="_Toc367869517"/>
      <w:bookmarkStart w:id="229" w:name="_Toc94587108"/>
      <w:bookmarkStart w:id="230" w:name="_Toc301369589"/>
      <w:bookmarkStart w:id="231" w:name="_Toc297122074"/>
      <w:bookmarkStart w:id="232" w:name="_Toc299005660"/>
      <w:bookmarkStart w:id="233" w:name="_Toc299007145"/>
      <w:bookmarkStart w:id="234" w:name="_Toc297196369"/>
      <w:bookmarkStart w:id="235" w:name="_Toc94587050"/>
      <w:bookmarkStart w:id="236" w:name="_Toc301369735"/>
      <w:bookmarkStart w:id="237" w:name="_Toc299004839"/>
      <w:r>
        <w:rPr>
          <w:rFonts w:hint="eastAsia" w:ascii="仿宋_GB2312" w:hAnsi="仿宋" w:eastAsia="仿宋_GB2312"/>
          <w:sz w:val="28"/>
          <w:szCs w:val="28"/>
        </w:rPr>
        <w:t>估价方法适用性分析</w:t>
      </w:r>
      <w:bookmarkEnd w:id="226"/>
      <w:bookmarkEnd w:id="227"/>
      <w:bookmarkEnd w:id="228"/>
      <w:bookmarkEnd w:id="229"/>
      <w:bookmarkEnd w:id="230"/>
      <w:bookmarkEnd w:id="231"/>
      <w:bookmarkEnd w:id="232"/>
      <w:bookmarkEnd w:id="233"/>
      <w:bookmarkEnd w:id="234"/>
      <w:bookmarkEnd w:id="235"/>
      <w:bookmarkEnd w:id="236"/>
      <w:bookmarkEnd w:id="237"/>
      <w:r>
        <w:rPr>
          <w:rFonts w:hint="eastAsia" w:ascii="仿宋_GB2312" w:hAnsi="仿宋" w:eastAsia="仿宋_GB2312"/>
          <w:sz w:val="28"/>
          <w:szCs w:val="28"/>
        </w:rPr>
        <w:t>根据委托方提供的有关资料，估价人员现场踏勘以及对周边环境和房地产市场的调查和预期分析，我们认为保持现状用途最为有利，并以此为前提估价，根据《房地产估价规范》，我们采用比较法和收益法进行测算。</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收益法：根据其客观的租金收益扣减期间所耗的各项费用等计算出房地产在收益年限内的收益价格；</w:t>
      </w:r>
      <w:r>
        <w:rPr>
          <w:rFonts w:hint="eastAsia" w:ascii="仿宋_GB2312" w:hAnsi="仿宋" w:eastAsia="仿宋_GB2312"/>
          <w:sz w:val="28"/>
          <w:szCs w:val="28"/>
          <w:lang w:eastAsia="zh-CN"/>
        </w:rPr>
        <w:t>估价</w:t>
      </w:r>
      <w:r>
        <w:rPr>
          <w:rFonts w:hint="eastAsia" w:ascii="仿宋_GB2312" w:hAnsi="仿宋" w:eastAsia="仿宋_GB2312"/>
          <w:sz w:val="28"/>
          <w:szCs w:val="28"/>
        </w:rPr>
        <w:t>对象房地产出租市场较为活跃，租金和的收益能较好确定，故选用收益法。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不可选用的方法：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假设开发法：预期估价对象开发完成后的价值，扣除预计正常开发成本。税费和利润等，以此估算估价对象的客观合理价格或价值。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因估价对象为已建成的房屋，再投资开发的价值不大，故不适合选用假设开发法。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spacing w:line="580" w:lineRule="exact"/>
        <w:ind w:firstLine="560" w:firstLineChars="200"/>
        <w:rPr>
          <w:rFonts w:eastAsia="仿宋_GB2312"/>
          <w:sz w:val="28"/>
          <w:szCs w:val="28"/>
        </w:rPr>
      </w:pPr>
      <w:r>
        <w:rPr>
          <w:rFonts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spacing w:before="240" w:after="240" w:line="480" w:lineRule="exact"/>
        <w:ind w:firstLine="562" w:firstLineChars="200"/>
        <w:rPr>
          <w:rFonts w:ascii="仿宋_GB2312" w:hAnsi="仿宋" w:eastAsia="仿宋_GB2312"/>
          <w:b w:val="0"/>
          <w:bCs w:val="0"/>
          <w:sz w:val="28"/>
          <w:szCs w:val="28"/>
        </w:rPr>
      </w:pPr>
      <w:bookmarkStart w:id="238" w:name="_Toc5721422"/>
      <w:r>
        <w:rPr>
          <w:rFonts w:hint="eastAsia" w:ascii="仿宋_GB2312" w:hAnsi="仿宋" w:eastAsia="仿宋_GB2312"/>
          <w:bCs w:val="0"/>
          <w:sz w:val="28"/>
          <w:szCs w:val="28"/>
        </w:rPr>
        <w:t>（七）估价测算过程</w:t>
      </w:r>
      <w:bookmarkEnd w:id="219"/>
      <w:bookmarkEnd w:id="220"/>
      <w:bookmarkEnd w:id="221"/>
      <w:bookmarkEnd w:id="222"/>
      <w:bookmarkEnd w:id="223"/>
      <w:bookmarkEnd w:id="224"/>
      <w:bookmarkEnd w:id="225"/>
      <w:bookmarkEnd w:id="238"/>
    </w:p>
    <w:p>
      <w:pPr>
        <w:spacing w:line="480" w:lineRule="exact"/>
        <w:ind w:firstLine="562" w:firstLineChars="200"/>
        <w:rPr>
          <w:rFonts w:ascii="仿宋_GB2312" w:eastAsia="仿宋_GB2312"/>
          <w:b/>
          <w:sz w:val="28"/>
          <w:szCs w:val="28"/>
        </w:rPr>
      </w:pPr>
      <w:r>
        <w:rPr>
          <w:rFonts w:hint="eastAsia" w:ascii="仿宋_GB2312" w:eastAsia="仿宋_GB2312"/>
          <w:b/>
          <w:sz w:val="28"/>
          <w:szCs w:val="28"/>
        </w:rPr>
        <w:t>1. 估价步骤</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tabs>
          <w:tab w:val="left" w:pos="1560"/>
        </w:tabs>
        <w:spacing w:line="480" w:lineRule="exact"/>
        <w:ind w:firstLine="711" w:firstLineChars="253"/>
        <w:rPr>
          <w:rFonts w:ascii="仿宋_GB2312" w:eastAsia="仿宋_GB2312"/>
          <w:b/>
          <w:sz w:val="28"/>
          <w:szCs w:val="28"/>
        </w:rPr>
      </w:pPr>
      <w:r>
        <w:rPr>
          <w:rFonts w:hint="eastAsia" w:ascii="仿宋_GB2312" w:eastAsia="仿宋_GB2312"/>
          <w:b/>
          <w:sz w:val="28"/>
          <w:szCs w:val="28"/>
        </w:rPr>
        <w:t>2.计算过程及结果</w:t>
      </w:r>
    </w:p>
    <w:p>
      <w:pPr>
        <w:spacing w:line="540" w:lineRule="exact"/>
        <w:ind w:firstLine="562" w:firstLineChars="200"/>
        <w:rPr>
          <w:rFonts w:ascii="仿宋_GB2312" w:hAnsi="仿宋" w:eastAsia="仿宋_GB2312" w:cs="仿宋_GB2312"/>
          <w:sz w:val="28"/>
          <w:szCs w:val="28"/>
        </w:rPr>
      </w:pPr>
      <w:r>
        <w:rPr>
          <w:rFonts w:ascii="宋体" w:hAnsi="Calibri" w:cs="Calibri"/>
          <w:b/>
          <w:sz w:val="28"/>
          <w:szCs w:val="28"/>
        </w:rPr>
        <w:t>※</w:t>
      </w:r>
      <w:r>
        <w:rPr>
          <w:rFonts w:hint="eastAsia" w:ascii="Calibri" w:hAnsi="Calibri" w:eastAsia="仿宋_GB2312" w:cs="仿宋_GB2312"/>
          <w:b/>
          <w:sz w:val="28"/>
          <w:szCs w:val="28"/>
        </w:rPr>
        <w:t>比较法的测算过程</w:t>
      </w:r>
    </w:p>
    <w:p>
      <w:pPr>
        <w:pStyle w:val="38"/>
        <w:spacing w:before="120" w:beforeLines="50" w:beforeAutospacing="0" w:after="120" w:afterLines="50" w:afterAutospacing="0" w:line="540" w:lineRule="exact"/>
        <w:ind w:firstLine="562" w:firstLineChars="200"/>
        <w:rPr>
          <w:rFonts w:eastAsia="仿宋_GB2312"/>
          <w:b/>
          <w:sz w:val="28"/>
          <w:szCs w:val="28"/>
        </w:rPr>
      </w:pPr>
      <w:r>
        <w:rPr>
          <w:rFonts w:hint="eastAsia" w:ascii="宋体" w:hAnsi="宋体" w:eastAsia="宋体" w:cs="宋体"/>
          <w:b/>
          <w:sz w:val="28"/>
          <w:szCs w:val="28"/>
        </w:rPr>
        <w:t xml:space="preserve"> ①</w:t>
      </w:r>
      <w:r>
        <w:rPr>
          <w:rFonts w:hint="eastAsia" w:ascii="Calibri" w:hAnsi="Calibri" w:eastAsia="仿宋_GB2312" w:cs="仿宋_GB2312"/>
          <w:b/>
          <w:sz w:val="28"/>
          <w:szCs w:val="28"/>
        </w:rPr>
        <w:t>选取可比实例</w:t>
      </w:r>
    </w:p>
    <w:p>
      <w:pPr>
        <w:pStyle w:val="38"/>
        <w:spacing w:before="0" w:after="0" w:line="540" w:lineRule="exact"/>
        <w:ind w:firstLine="560" w:firstLineChars="200"/>
        <w:rPr>
          <w:rFonts w:eastAsia="仿宋_GB2312"/>
          <w:b/>
          <w:sz w:val="28"/>
          <w:szCs w:val="28"/>
        </w:rPr>
      </w:pPr>
      <w:r>
        <w:rPr>
          <w:rFonts w:hint="eastAsia" w:ascii="仿宋_GB2312" w:hAnsi="仿宋" w:eastAsia="仿宋_GB2312" w:cs="仿宋_GB2312"/>
          <w:sz w:val="28"/>
          <w:szCs w:val="28"/>
        </w:rPr>
        <w:t>根据替代原则，本次估价选取近期同一供需圈内三个用途相同的交易实例作为可比实例进行比较，求出估价对象房地产价值，选择原则如下：</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可比实例房地产与估价对象房地产相似；</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可比实例的交易类型适用于估价目的；</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可比实例的成交日期接近价值时点，不宜超过一年，且不得超过三个月；</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可比实例的成交价格为正常价格或可修正为正常价格。</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根据以上可比实例选取原则，本次估价从估价人员所掌握的交易资料中选取了三个实例，估价对象与可比实例的位置示意图如下：</w:t>
      </w:r>
    </w:p>
    <w:p>
      <w:pPr>
        <w:spacing w:line="360" w:lineRule="auto"/>
        <w:jc w:val="left"/>
        <w:rPr>
          <w:rFonts w:hint="eastAsia" w:ascii="仿宋_GB2312" w:hAnsi="楷体" w:eastAsia="仿宋_GB2312" w:cs="仿宋_GB2312"/>
          <w:sz w:val="28"/>
          <w:szCs w:val="28"/>
        </w:rPr>
      </w:pPr>
    </w:p>
    <w:p>
      <w:pPr>
        <w:spacing w:line="360" w:lineRule="auto"/>
        <w:jc w:val="left"/>
        <w:rPr>
          <w:rFonts w:hint="eastAsia" w:ascii="仿宋_GB2312" w:hAnsi="楷体" w:eastAsia="仿宋_GB2312" w:cs="仿宋_GB2312"/>
          <w:sz w:val="28"/>
          <w:szCs w:val="28"/>
        </w:rPr>
      </w:pPr>
    </w:p>
    <w:p>
      <w:pPr>
        <w:spacing w:line="360" w:lineRule="auto"/>
        <w:jc w:val="left"/>
        <w:rPr>
          <w:rFonts w:hint="eastAsia" w:ascii="仿宋_GB2312" w:hAnsi="楷体" w:eastAsia="仿宋_GB2312" w:cs="仿宋_GB2312"/>
          <w:sz w:val="28"/>
          <w:szCs w:val="28"/>
        </w:rPr>
      </w:pPr>
    </w:p>
    <w:p>
      <w:pPr>
        <w:spacing w:line="360" w:lineRule="auto"/>
        <w:jc w:val="left"/>
        <w:rPr>
          <w:rFonts w:hint="eastAsia" w:ascii="仿宋_GB2312" w:hAnsi="楷体" w:eastAsia="仿宋_GB2312" w:cs="仿宋_GB2312"/>
          <w:sz w:val="28"/>
          <w:szCs w:val="28"/>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685790" cy="3169920"/>
            <wp:effectExtent l="0" t="0" r="10160" b="11430"/>
            <wp:wrapSquare wrapText="bothSides"/>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5685790" cy="3169920"/>
                    </a:xfrm>
                    <a:prstGeom prst="rect">
                      <a:avLst/>
                    </a:prstGeom>
                    <a:noFill/>
                    <a:ln>
                      <a:noFill/>
                    </a:ln>
                  </pic:spPr>
                </pic:pic>
              </a:graphicData>
            </a:graphic>
          </wp:anchor>
        </w:drawing>
      </w:r>
    </w:p>
    <w:p>
      <w:pPr>
        <w:spacing w:line="360" w:lineRule="auto"/>
        <w:jc w:val="left"/>
        <w:rPr>
          <w:rFonts w:ascii="仿宋_GB2312" w:hAnsi="楷体" w:eastAsia="仿宋_GB2312" w:cs="仿宋_GB2312"/>
          <w:sz w:val="28"/>
          <w:szCs w:val="28"/>
        </w:rPr>
      </w:pPr>
      <w:r>
        <w:rPr>
          <w:rFonts w:hint="eastAsia" w:ascii="仿宋_GB2312" w:hAnsi="楷体" w:eastAsia="仿宋_GB2312" w:cs="仿宋_GB2312"/>
          <w:sz w:val="28"/>
          <w:szCs w:val="28"/>
        </w:rPr>
        <w:t>估价对象与可比实例基本状况见表1：</w:t>
      </w:r>
    </w:p>
    <w:p>
      <w:pPr>
        <w:spacing w:line="360" w:lineRule="auto"/>
        <w:ind w:firstLine="482" w:firstLineChars="200"/>
        <w:jc w:val="center"/>
        <w:rPr>
          <w:rFonts w:ascii="仿宋_GB2312" w:hAnsi="楷体" w:eastAsia="仿宋_GB2312" w:cs="仿宋_GB2312"/>
          <w:b/>
          <w:sz w:val="24"/>
          <w:szCs w:val="24"/>
        </w:rPr>
      </w:pPr>
      <w:r>
        <w:rPr>
          <w:rFonts w:hint="eastAsia" w:ascii="仿宋_GB2312" w:hAnsi="楷体" w:eastAsia="仿宋_GB2312" w:cs="仿宋_GB2312"/>
          <w:b/>
          <w:sz w:val="24"/>
          <w:szCs w:val="24"/>
        </w:rPr>
        <w:t>表1  估价对象与可比实例基本状况表</w:t>
      </w:r>
    </w:p>
    <w:tbl>
      <w:tblPr>
        <w:tblStyle w:val="42"/>
        <w:tblW w:w="9494" w:type="dxa"/>
        <w:jc w:val="center"/>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1"/>
        <w:gridCol w:w="1275"/>
        <w:gridCol w:w="1884"/>
        <w:gridCol w:w="1802"/>
        <w:gridCol w:w="1893"/>
        <w:gridCol w:w="1929"/>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5" w:hRule="atLeast"/>
          <w:tblHeader/>
          <w:jc w:val="center"/>
        </w:trPr>
        <w:tc>
          <w:tcPr>
            <w:tcW w:w="1986" w:type="dxa"/>
            <w:gridSpan w:val="2"/>
            <w:vMerge w:val="restart"/>
            <w:tcBorders>
              <w:top w:val="thinThickSmallGap" w:color="auto" w:sz="12"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4"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估价对象</w:t>
            </w:r>
          </w:p>
        </w:tc>
        <w:tc>
          <w:tcPr>
            <w:tcW w:w="1802"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可比实例1</w:t>
            </w:r>
          </w:p>
        </w:tc>
        <w:tc>
          <w:tcPr>
            <w:tcW w:w="1893"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可比实例2</w:t>
            </w:r>
          </w:p>
        </w:tc>
        <w:tc>
          <w:tcPr>
            <w:tcW w:w="1929" w:type="dxa"/>
            <w:tcBorders>
              <w:top w:val="thinThickSmallGap" w:color="auto" w:sz="12"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5" w:hRule="atLeast"/>
          <w:tblHeader/>
          <w:jc w:val="center"/>
        </w:trPr>
        <w:tc>
          <w:tcPr>
            <w:tcW w:w="1986" w:type="dxa"/>
            <w:gridSpan w:val="2"/>
            <w:vMerge w:val="continue"/>
            <w:tcBorders>
              <w:top w:val="thinThickSmallGap" w:color="auto" w:sz="12"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eastAsia="zh-CN"/>
              </w:rPr>
              <w:t>北欧印象</w:t>
            </w:r>
            <w:r>
              <w:rPr>
                <w:rFonts w:hint="eastAsia" w:ascii="仿宋_GB2312" w:hAnsi="楷体" w:eastAsia="仿宋_GB2312" w:cs="宋体"/>
                <w:b w:val="0"/>
                <w:bCs/>
                <w:kern w:val="0"/>
                <w:szCs w:val="21"/>
                <w:lang w:val="en-US" w:eastAsia="zh-CN"/>
              </w:rPr>
              <w:t>3-0-15</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lang w:eastAsia="zh-CN"/>
              </w:rPr>
              <w:t>北欧印象</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lang w:eastAsia="zh-CN"/>
              </w:rPr>
              <w:t>北欧印象</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lang w:eastAsia="zh-CN"/>
              </w:rPr>
              <w:t>北欧印象</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677"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水源</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五一街</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明珠</w:t>
            </w:r>
            <w:r>
              <w:rPr>
                <w:rFonts w:hint="eastAsia" w:ascii="仿宋_GB2312" w:hAnsi="楷体" w:eastAsia="仿宋_GB2312" w:cs="宋体"/>
                <w:b w:val="0"/>
                <w:bCs/>
                <w:kern w:val="0"/>
                <w:szCs w:val="21"/>
              </w:rPr>
              <w:t>路、北至</w:t>
            </w:r>
            <w:r>
              <w:rPr>
                <w:rFonts w:hint="eastAsia" w:ascii="仿宋_GB2312" w:hAnsi="楷体" w:eastAsia="仿宋_GB2312" w:cs="宋体"/>
                <w:b w:val="0"/>
                <w:bCs/>
                <w:kern w:val="0"/>
                <w:szCs w:val="21"/>
                <w:lang w:eastAsia="zh-CN"/>
              </w:rPr>
              <w:t>支路</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水源</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五一街</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明珠</w:t>
            </w:r>
            <w:r>
              <w:rPr>
                <w:rFonts w:hint="eastAsia" w:ascii="仿宋_GB2312" w:hAnsi="楷体" w:eastAsia="仿宋_GB2312" w:cs="宋体"/>
                <w:b w:val="0"/>
                <w:bCs/>
                <w:kern w:val="0"/>
                <w:szCs w:val="21"/>
              </w:rPr>
              <w:t>路、北至</w:t>
            </w:r>
            <w:r>
              <w:rPr>
                <w:rFonts w:hint="eastAsia" w:ascii="仿宋_GB2312" w:hAnsi="楷体" w:eastAsia="仿宋_GB2312" w:cs="宋体"/>
                <w:b w:val="0"/>
                <w:bCs/>
                <w:kern w:val="0"/>
                <w:szCs w:val="21"/>
                <w:lang w:eastAsia="zh-CN"/>
              </w:rPr>
              <w:t>支路</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水源</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五一街</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明珠</w:t>
            </w:r>
            <w:r>
              <w:rPr>
                <w:rFonts w:hint="eastAsia" w:ascii="仿宋_GB2312" w:hAnsi="楷体" w:eastAsia="仿宋_GB2312" w:cs="宋体"/>
                <w:b w:val="0"/>
                <w:bCs/>
                <w:kern w:val="0"/>
                <w:szCs w:val="21"/>
              </w:rPr>
              <w:t>路、北至</w:t>
            </w:r>
            <w:r>
              <w:rPr>
                <w:rFonts w:hint="eastAsia" w:ascii="仿宋_GB2312" w:hAnsi="楷体" w:eastAsia="仿宋_GB2312" w:cs="宋体"/>
                <w:b w:val="0"/>
                <w:bCs/>
                <w:kern w:val="0"/>
                <w:szCs w:val="21"/>
                <w:lang w:eastAsia="zh-CN"/>
              </w:rPr>
              <w:t>支路</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水源</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五一街</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明珠</w:t>
            </w:r>
            <w:r>
              <w:rPr>
                <w:rFonts w:hint="eastAsia" w:ascii="仿宋_GB2312" w:hAnsi="楷体" w:eastAsia="仿宋_GB2312" w:cs="宋体"/>
                <w:b w:val="0"/>
                <w:bCs/>
                <w:kern w:val="0"/>
                <w:szCs w:val="21"/>
              </w:rPr>
              <w:t>路、北至</w:t>
            </w:r>
            <w:r>
              <w:rPr>
                <w:rFonts w:hint="eastAsia" w:ascii="仿宋_GB2312" w:hAnsi="楷体" w:eastAsia="仿宋_GB2312" w:cs="宋体"/>
                <w:b w:val="0"/>
                <w:bCs/>
                <w:kern w:val="0"/>
                <w:szCs w:val="21"/>
                <w:lang w:eastAsia="zh-CN"/>
              </w:rPr>
              <w:t>支路</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07"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车库</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车库</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车库</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车库</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12"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正常价格</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正常价格</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73"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2019年</w:t>
            </w:r>
            <w:r>
              <w:rPr>
                <w:rFonts w:hint="eastAsia" w:ascii="仿宋_GB2312" w:hAnsi="楷体" w:eastAsia="仿宋_GB2312" w:cs="宋体"/>
                <w:b w:val="0"/>
                <w:bCs/>
                <w:kern w:val="0"/>
                <w:szCs w:val="21"/>
                <w:lang w:val="en-US" w:eastAsia="zh-CN"/>
              </w:rPr>
              <w:t>11</w:t>
            </w:r>
            <w:r>
              <w:rPr>
                <w:rFonts w:hint="eastAsia" w:ascii="仿宋_GB2312" w:hAnsi="楷体" w:eastAsia="仿宋_GB2312" w:cs="宋体"/>
                <w:b w:val="0"/>
                <w:bCs/>
                <w:kern w:val="0"/>
                <w:szCs w:val="21"/>
              </w:rPr>
              <w:t>月</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2019年11月</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2019年11月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5"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待估</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restart"/>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4"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802"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893"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929" w:type="dxa"/>
            <w:tcBorders>
              <w:top w:val="dotted" w:color="auto" w:sz="4" w:space="0"/>
              <w:left w:val="dotted" w:color="auto" w:sz="4" w:space="0"/>
              <w:bottom w:val="thinThickSmallGap" w:color="auto" w:sz="12"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r>
    </w:tbl>
    <w:p>
      <w:pPr>
        <w:keepNext w:val="0"/>
        <w:keepLines w:val="0"/>
        <w:pageBreakBefore w:val="0"/>
        <w:widowControl w:val="0"/>
        <w:kinsoku/>
        <w:wordWrap/>
        <w:overflowPunct/>
        <w:topLinePunct w:val="0"/>
        <w:autoSpaceDE/>
        <w:autoSpaceDN/>
        <w:bidi w:val="0"/>
        <w:adjustRightInd/>
        <w:snapToGrid/>
        <w:spacing w:after="0" w:line="640" w:lineRule="exact"/>
        <w:ind w:firstLine="482" w:firstLineChars="200"/>
        <w:textAlignment w:val="auto"/>
        <w:rPr>
          <w:rFonts w:ascii="仿宋_GB2312" w:hAnsi="楷体" w:eastAsia="仿宋_GB2312" w:cs="仿宋_GB2312"/>
          <w:sz w:val="24"/>
          <w:szCs w:val="24"/>
        </w:rPr>
      </w:pPr>
      <w:r>
        <w:rPr>
          <w:rFonts w:hint="eastAsia" w:ascii="仿宋_GB2312" w:hAnsi="楷体" w:eastAsia="仿宋_GB2312" w:cs="仿宋_GB2312"/>
          <w:b/>
          <w:sz w:val="24"/>
          <w:szCs w:val="24"/>
        </w:rPr>
        <w:t>（二） 建立比较基础</w:t>
      </w:r>
    </w:p>
    <w:p>
      <w:pPr>
        <w:keepNext w:val="0"/>
        <w:keepLines w:val="0"/>
        <w:pageBreakBefore w:val="0"/>
        <w:widowControl w:val="0"/>
        <w:kinsoku/>
        <w:wordWrap/>
        <w:overflowPunct/>
        <w:topLinePunct w:val="0"/>
        <w:autoSpaceDE/>
        <w:autoSpaceDN/>
        <w:bidi w:val="0"/>
        <w:adjustRightInd/>
        <w:snapToGrid/>
        <w:spacing w:after="0" w:line="64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keepNext w:val="0"/>
        <w:keepLines w:val="0"/>
        <w:pageBreakBefore w:val="0"/>
        <w:widowControl w:val="0"/>
        <w:numPr>
          <w:ilvl w:val="0"/>
          <w:numId w:val="8"/>
        </w:numPr>
        <w:kinsoku/>
        <w:wordWrap/>
        <w:overflowPunct/>
        <w:topLinePunct w:val="0"/>
        <w:autoSpaceDE/>
        <w:autoSpaceDN/>
        <w:bidi w:val="0"/>
        <w:adjustRightInd/>
        <w:snapToGrid/>
        <w:spacing w:after="0" w:line="64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统一财产范围应对可比实例与估价对象的财产范围进行对比，并应</w:t>
      </w:r>
    </w:p>
    <w:p>
      <w:pPr>
        <w:keepNext w:val="0"/>
        <w:keepLines w:val="0"/>
        <w:pageBreakBefore w:val="0"/>
        <w:widowControl w:val="0"/>
        <w:kinsoku/>
        <w:wordWrap/>
        <w:overflowPunct/>
        <w:topLinePunct w:val="0"/>
        <w:autoSpaceDE/>
        <w:autoSpaceDN/>
        <w:bidi w:val="0"/>
        <w:adjustRightInd/>
        <w:snapToGrid/>
        <w:spacing w:after="0" w:line="64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消除因财产范围不相同造成的价格差异。</w:t>
      </w:r>
    </w:p>
    <w:p>
      <w:pPr>
        <w:keepNext w:val="0"/>
        <w:keepLines w:val="0"/>
        <w:pageBreakBefore w:val="0"/>
        <w:widowControl w:val="0"/>
        <w:numPr>
          <w:ilvl w:val="0"/>
          <w:numId w:val="8"/>
        </w:numPr>
        <w:kinsoku/>
        <w:wordWrap/>
        <w:overflowPunct/>
        <w:topLinePunct w:val="0"/>
        <w:autoSpaceDE/>
        <w:autoSpaceDN/>
        <w:bidi w:val="0"/>
        <w:adjustRightInd/>
        <w:snapToGrid/>
        <w:spacing w:after="0" w:line="64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统一付款方式应将可比实例不是成交日期或一次性付清的价格，调</w:t>
      </w:r>
    </w:p>
    <w:p>
      <w:pPr>
        <w:keepNext w:val="0"/>
        <w:keepLines w:val="0"/>
        <w:pageBreakBefore w:val="0"/>
        <w:widowControl w:val="0"/>
        <w:kinsoku/>
        <w:wordWrap/>
        <w:overflowPunct/>
        <w:topLinePunct w:val="0"/>
        <w:autoSpaceDE/>
        <w:autoSpaceDN/>
        <w:bidi w:val="0"/>
        <w:adjustRightInd/>
        <w:snapToGrid/>
        <w:spacing w:after="0" w:line="64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整为成交日期且一次性付清的价格。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64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统一融资条件应将可比实例在非常规融资条件下的价格，调整为在</w:t>
      </w:r>
    </w:p>
    <w:p>
      <w:pPr>
        <w:keepNext w:val="0"/>
        <w:keepLines w:val="0"/>
        <w:pageBreakBefore w:val="0"/>
        <w:widowControl w:val="0"/>
        <w:kinsoku/>
        <w:wordWrap/>
        <w:overflowPunct/>
        <w:topLinePunct w:val="0"/>
        <w:autoSpaceDE/>
        <w:autoSpaceDN/>
        <w:bidi w:val="0"/>
        <w:adjustRightInd/>
        <w:snapToGrid/>
        <w:spacing w:after="0" w:line="64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常规融资条件下的价格。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64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统一税费负担应将可比实例在交易税费非正常负担下的价格，调整</w:t>
      </w:r>
    </w:p>
    <w:p>
      <w:pPr>
        <w:keepNext w:val="0"/>
        <w:keepLines w:val="0"/>
        <w:pageBreakBefore w:val="0"/>
        <w:widowControl w:val="0"/>
        <w:kinsoku/>
        <w:wordWrap/>
        <w:overflowPunct/>
        <w:topLinePunct w:val="0"/>
        <w:autoSpaceDE/>
        <w:autoSpaceDN/>
        <w:bidi w:val="0"/>
        <w:adjustRightInd/>
        <w:snapToGrid/>
        <w:spacing w:after="0" w:line="64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为在交易税费正常负担下的价格。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64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统一计价单位应包括统一为总价或单价、楼面地价，统一币种和货</w:t>
      </w:r>
    </w:p>
    <w:p>
      <w:pPr>
        <w:keepNext w:val="0"/>
        <w:keepLines w:val="0"/>
        <w:pageBreakBefore w:val="0"/>
        <w:widowControl w:val="0"/>
        <w:kinsoku/>
        <w:wordWrap/>
        <w:overflowPunct/>
        <w:topLinePunct w:val="0"/>
        <w:autoSpaceDE/>
        <w:autoSpaceDN/>
        <w:bidi w:val="0"/>
        <w:adjustRightInd/>
        <w:snapToGrid/>
        <w:spacing w:after="0" w:line="64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币单位，统一面积或体积内涵及计量单位等。</w:t>
      </w:r>
    </w:p>
    <w:p>
      <w:pPr>
        <w:pStyle w:val="38"/>
        <w:widowControl w:val="0"/>
        <w:spacing w:before="0" w:beforeAutospacing="0" w:after="0" w:afterAutospacing="0" w:line="360" w:lineRule="auto"/>
        <w:ind w:left="1271"/>
        <w:jc w:val="center"/>
        <w:rPr>
          <w:rFonts w:ascii="仿宋_GB2312" w:hAnsi="楷体" w:eastAsia="仿宋_GB2312" w:cs="仿宋_GB2312"/>
          <w:b/>
          <w:szCs w:val="20"/>
        </w:rPr>
      </w:pPr>
      <w:r>
        <w:rPr>
          <w:rFonts w:hint="eastAsia" w:ascii="仿宋_GB2312" w:hAnsi="楷体" w:eastAsia="仿宋_GB2312" w:cs="仿宋_GB2312"/>
          <w:b/>
          <w:kern w:val="2"/>
          <w:szCs w:val="20"/>
        </w:rPr>
        <w:t>表2  可比实例标准化处理</w:t>
      </w:r>
    </w:p>
    <w:tbl>
      <w:tblPr>
        <w:tblStyle w:val="42"/>
        <w:tblW w:w="898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78"/>
        <w:gridCol w:w="1700"/>
        <w:gridCol w:w="1700"/>
        <w:gridCol w:w="1700"/>
        <w:gridCol w:w="1508"/>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vMerge w:val="restart"/>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项目名称</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估价对象</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可比实例1</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可比实例2</w:t>
            </w:r>
          </w:p>
        </w:tc>
        <w:tc>
          <w:tcPr>
            <w:tcW w:w="1508" w:type="dxa"/>
            <w:tcBorders>
              <w:top w:val="thinThickSmallGap" w:color="auto" w:sz="12"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jc w:val="center"/>
        </w:trPr>
        <w:tc>
          <w:tcPr>
            <w:tcW w:w="2378" w:type="dxa"/>
            <w:vMerge w:val="continue"/>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eastAsia="zh-CN"/>
              </w:rPr>
              <w:t>北欧印象</w:t>
            </w:r>
            <w:r>
              <w:rPr>
                <w:rFonts w:hint="eastAsia" w:ascii="仿宋_GB2312" w:hAnsi="楷体" w:eastAsia="仿宋_GB2312" w:cs="宋体"/>
                <w:b w:val="0"/>
                <w:bCs/>
                <w:kern w:val="0"/>
                <w:szCs w:val="21"/>
                <w:lang w:val="en-US" w:eastAsia="zh-CN"/>
              </w:rPr>
              <w:t>3-0-15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北欧印象</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北欧印象</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1.成交价格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待估</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2.标准化处理后的价格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统一财产范围后的价格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房地产</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统一付款方式后的价格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一次性付款</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统一融资条件后的价格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常规融资条件下</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统一税费负担后的价格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正常税费负担</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统一计价单位后的价格</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元/建筑平方米</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8500</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8333</w:t>
            </w:r>
          </w:p>
        </w:tc>
        <w:tc>
          <w:tcPr>
            <w:tcW w:w="1508" w:type="dxa"/>
            <w:tcBorders>
              <w:top w:val="dotted" w:color="auto" w:sz="4" w:space="0"/>
              <w:left w:val="dotted" w:color="auto" w:sz="4" w:space="0"/>
              <w:bottom w:val="thickThinSmallGap" w:color="auto" w:sz="12"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9459</w:t>
            </w:r>
          </w:p>
        </w:tc>
      </w:tr>
    </w:tbl>
    <w:p>
      <w:pPr>
        <w:keepNext w:val="0"/>
        <w:keepLines w:val="0"/>
        <w:pageBreakBefore w:val="0"/>
        <w:widowControl w:val="0"/>
        <w:kinsoku/>
        <w:wordWrap/>
        <w:overflowPunct/>
        <w:topLinePunct w:val="0"/>
        <w:autoSpaceDE/>
        <w:autoSpaceDN/>
        <w:bidi w:val="0"/>
        <w:adjustRightInd/>
        <w:snapToGrid/>
        <w:spacing w:after="0" w:line="590" w:lineRule="exact"/>
        <w:ind w:firstLine="482" w:firstLineChars="200"/>
        <w:textAlignment w:val="auto"/>
        <w:rPr>
          <w:rFonts w:ascii="仿宋_GB2312" w:hAnsi="楷体" w:eastAsia="仿宋_GB2312" w:cs="仿宋_GB2312"/>
          <w:sz w:val="24"/>
          <w:szCs w:val="24"/>
        </w:rPr>
      </w:pPr>
      <w:r>
        <w:rPr>
          <w:rFonts w:hint="eastAsia" w:ascii="仿宋_GB2312" w:hAnsi="楷体" w:eastAsia="仿宋_GB2312" w:cs="仿宋_GB2312"/>
          <w:b/>
          <w:sz w:val="24"/>
          <w:szCs w:val="24"/>
        </w:rPr>
        <w:t>（三） 建立比较因素条件说明表</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1.交易情况修正：使可比实例的非正常成交价格成为正常价格的处理；</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2.市场状况调整：使可比实例在其成交日期的价格成为在价值时点的价格的处理。</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3.房地产状况调整：使可比实例在自身状况下的价格成为在估价对象状况下的价格的处理，包括区位状况调整、实物状况调整和权益状况调整。</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1)区位状况调整因素：包括距区域中心的距离、周围环境和景观、道路等级、公共交通便捷度、交通管制情况、基础设施、外部配套设施、集聚效应、临街状况、人流量及密度、楼层、朝向、平面位置。</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3)权益状况调整因素：规划条件、共有情况、权属清晰情况、用益物权设立情况、担保物权设立情况、租赁或占有情况、拖欠税费情况、查封情况。</w:t>
      </w:r>
    </w:p>
    <w:p>
      <w:pPr>
        <w:keepNext w:val="0"/>
        <w:keepLines w:val="0"/>
        <w:pageBreakBefore w:val="0"/>
        <w:widowControl w:val="0"/>
        <w:kinsoku/>
        <w:wordWrap/>
        <w:overflowPunct/>
        <w:topLinePunct w:val="0"/>
        <w:autoSpaceDE/>
        <w:autoSpaceDN/>
        <w:bidi w:val="0"/>
        <w:adjustRightInd/>
        <w:snapToGrid/>
        <w:spacing w:after="0" w:line="59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估价对象与可比实例基本情况详见表3、表4：</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hAnsi="楷体" w:eastAsia="仿宋_GB2312" w:cs="仿宋_GB2312"/>
          <w:b/>
          <w:sz w:val="24"/>
          <w:szCs w:val="24"/>
        </w:rPr>
      </w:pPr>
      <w:r>
        <w:rPr>
          <w:rFonts w:hint="eastAsia" w:ascii="仿宋_GB2312" w:hAnsi="楷体" w:eastAsia="仿宋_GB2312" w:cs="仿宋_GB2312"/>
          <w:b/>
          <w:sz w:val="24"/>
          <w:szCs w:val="24"/>
        </w:rPr>
        <w:t>表3  比较因素情况描述表</w:t>
      </w:r>
    </w:p>
    <w:tbl>
      <w:tblPr>
        <w:tblStyle w:val="42"/>
        <w:tblW w:w="9082"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39"/>
        <w:gridCol w:w="520"/>
        <w:gridCol w:w="1089"/>
        <w:gridCol w:w="1843"/>
        <w:gridCol w:w="1636"/>
        <w:gridCol w:w="1661"/>
        <w:gridCol w:w="1694"/>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0" w:hRule="atLeast"/>
          <w:tblHeader/>
          <w:jc w:val="center"/>
        </w:trPr>
        <w:tc>
          <w:tcPr>
            <w:tcW w:w="2248" w:type="dxa"/>
            <w:gridSpan w:val="3"/>
            <w:vMerge w:val="restart"/>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项目名称</w:t>
            </w:r>
          </w:p>
        </w:tc>
        <w:tc>
          <w:tcPr>
            <w:tcW w:w="1843"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估价对象</w:t>
            </w:r>
          </w:p>
        </w:tc>
        <w:tc>
          <w:tcPr>
            <w:tcW w:w="163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可比实例1</w:t>
            </w:r>
          </w:p>
        </w:tc>
        <w:tc>
          <w:tcPr>
            <w:tcW w:w="1661"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可比实例2</w:t>
            </w:r>
          </w:p>
        </w:tc>
        <w:tc>
          <w:tcPr>
            <w:tcW w:w="1694" w:type="dxa"/>
            <w:tcBorders>
              <w:top w:val="thinThickSmallGap" w:color="auto" w:sz="12"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8" w:hRule="atLeast"/>
          <w:tblHeader/>
          <w:jc w:val="center"/>
        </w:trPr>
        <w:tc>
          <w:tcPr>
            <w:tcW w:w="2248" w:type="dxa"/>
            <w:gridSpan w:val="3"/>
            <w:vMerge w:val="continue"/>
            <w:tcBorders>
              <w:top w:val="thinThickSmallGap" w:color="auto" w:sz="12" w:space="0"/>
              <w:left w:val="nil"/>
              <w:bottom w:val="dotted" w:color="auto" w:sz="4" w:space="0"/>
              <w:right w:val="dotted" w:color="auto" w:sz="4" w:space="0"/>
            </w:tcBorders>
            <w:shd w:val="clear" w:color="auto" w:fill="auto"/>
            <w:vAlign w:val="center"/>
          </w:tcPr>
          <w:p>
            <w:pPr>
              <w:rPr>
                <w:sz w:val="15"/>
                <w:szCs w:val="15"/>
              </w:rPr>
            </w:pPr>
          </w:p>
        </w:tc>
        <w:tc>
          <w:tcPr>
            <w:tcW w:w="1843"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rPr>
                <w:sz w:val="15"/>
                <w:szCs w:val="15"/>
              </w:rPr>
            </w:pP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北欧印象</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北欧印象</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6" w:hRule="atLeast"/>
          <w:jc w:val="center"/>
        </w:trPr>
        <w:tc>
          <w:tcPr>
            <w:tcW w:w="2248"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标准化处理后的成交价格</w:t>
            </w:r>
          </w:p>
        </w:tc>
        <w:tc>
          <w:tcPr>
            <w:tcW w:w="18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待估</w:t>
            </w: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8500</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8333</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2248"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交易情况</w:t>
            </w:r>
          </w:p>
        </w:tc>
        <w:tc>
          <w:tcPr>
            <w:tcW w:w="18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w:t>
            </w: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正常交易</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正常交易</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5" w:hRule="atLeast"/>
          <w:jc w:val="center"/>
        </w:trPr>
        <w:tc>
          <w:tcPr>
            <w:tcW w:w="639"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市场</w:t>
            </w:r>
          </w:p>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状况</w:t>
            </w: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成交日期</w:t>
            </w:r>
          </w:p>
        </w:tc>
        <w:tc>
          <w:tcPr>
            <w:tcW w:w="18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w:t>
            </w: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rPr>
              <w:t>月</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rPr>
              <w:t>月</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9" w:hRule="atLeast"/>
          <w:jc w:val="center"/>
        </w:trPr>
        <w:tc>
          <w:tcPr>
            <w:tcW w:w="639" w:type="dxa"/>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区位状况</w:t>
            </w: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距区域中心的距离</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w:t>
            </w:r>
            <w:r>
              <w:rPr>
                <w:rFonts w:hint="eastAsia" w:ascii="仿宋_GB2312" w:hAnsi="Calibri" w:eastAsia="仿宋_GB2312" w:cs="Times New Roman"/>
                <w:kern w:val="0"/>
                <w:sz w:val="15"/>
                <w:szCs w:val="15"/>
                <w:lang w:eastAsia="zh-CN"/>
              </w:rPr>
              <w:t>维多利购物中心</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00-</w:t>
            </w:r>
            <w:r>
              <w:rPr>
                <w:rFonts w:hint="eastAsia" w:ascii="仿宋_GB2312" w:hAnsi="Calibri" w:eastAsia="仿宋_GB2312" w:cs="Times New Roman"/>
                <w:kern w:val="0"/>
                <w:sz w:val="15"/>
                <w:szCs w:val="15"/>
                <w:lang w:val="en-US" w:eastAsia="zh-CN"/>
              </w:rPr>
              <w:t>1</w:t>
            </w:r>
            <w:r>
              <w:rPr>
                <w:rFonts w:hint="eastAsia" w:ascii="仿宋_GB2312" w:hAnsi="Calibri" w:eastAsia="仿宋_GB2312" w:cs="Times New Roman"/>
                <w:kern w:val="0"/>
                <w:sz w:val="15"/>
                <w:szCs w:val="15"/>
              </w:rPr>
              <w:t>000米</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w:t>
            </w:r>
            <w:r>
              <w:rPr>
                <w:rFonts w:hint="eastAsia" w:ascii="仿宋_GB2312" w:hAnsi="Calibri" w:eastAsia="仿宋_GB2312" w:cs="Times New Roman"/>
                <w:kern w:val="0"/>
                <w:sz w:val="15"/>
                <w:szCs w:val="15"/>
                <w:lang w:eastAsia="zh-CN"/>
              </w:rPr>
              <w:t>维多利购物中心</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00-</w:t>
            </w:r>
            <w:r>
              <w:rPr>
                <w:rFonts w:hint="eastAsia" w:ascii="仿宋_GB2312" w:hAnsi="Calibri" w:eastAsia="仿宋_GB2312" w:cs="Times New Roman"/>
                <w:kern w:val="0"/>
                <w:sz w:val="15"/>
                <w:szCs w:val="15"/>
                <w:lang w:val="en-US" w:eastAsia="zh-CN"/>
              </w:rPr>
              <w:t>1</w:t>
            </w:r>
            <w:r>
              <w:rPr>
                <w:rFonts w:hint="eastAsia" w:ascii="仿宋_GB2312" w:hAnsi="Calibri" w:eastAsia="仿宋_GB2312" w:cs="Times New Roman"/>
                <w:kern w:val="0"/>
                <w:sz w:val="15"/>
                <w:szCs w:val="15"/>
              </w:rPr>
              <w:t>000米</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w:t>
            </w:r>
            <w:r>
              <w:rPr>
                <w:rFonts w:hint="eastAsia" w:ascii="仿宋_GB2312" w:hAnsi="Calibri" w:eastAsia="仿宋_GB2312" w:cs="Times New Roman"/>
                <w:kern w:val="0"/>
                <w:sz w:val="15"/>
                <w:szCs w:val="15"/>
                <w:lang w:eastAsia="zh-CN"/>
              </w:rPr>
              <w:t>维多利购物中心</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00-</w:t>
            </w:r>
            <w:r>
              <w:rPr>
                <w:rFonts w:hint="eastAsia" w:ascii="仿宋_GB2312" w:hAnsi="Calibri" w:eastAsia="仿宋_GB2312" w:cs="Times New Roman"/>
                <w:kern w:val="0"/>
                <w:sz w:val="15"/>
                <w:szCs w:val="15"/>
                <w:lang w:val="en-US" w:eastAsia="zh-CN"/>
              </w:rPr>
              <w:t>1</w:t>
            </w:r>
            <w:r>
              <w:rPr>
                <w:rFonts w:hint="eastAsia" w:ascii="仿宋_GB2312" w:hAnsi="Calibri" w:eastAsia="仿宋_GB2312" w:cs="Times New Roman"/>
                <w:kern w:val="0"/>
                <w:sz w:val="15"/>
                <w:szCs w:val="15"/>
              </w:rPr>
              <w:t>000米</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w:t>
            </w:r>
            <w:r>
              <w:rPr>
                <w:rFonts w:hint="eastAsia" w:ascii="仿宋_GB2312" w:hAnsi="Calibri" w:eastAsia="仿宋_GB2312" w:cs="Times New Roman"/>
                <w:kern w:val="0"/>
                <w:sz w:val="15"/>
                <w:szCs w:val="15"/>
                <w:lang w:eastAsia="zh-CN"/>
              </w:rPr>
              <w:t>维多利购物中心</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00-</w:t>
            </w:r>
            <w:r>
              <w:rPr>
                <w:rFonts w:hint="eastAsia" w:ascii="仿宋_GB2312" w:hAnsi="Calibri" w:eastAsia="仿宋_GB2312" w:cs="Times New Roman"/>
                <w:kern w:val="0"/>
                <w:sz w:val="15"/>
                <w:szCs w:val="15"/>
                <w:lang w:val="en-US" w:eastAsia="zh-CN"/>
              </w:rPr>
              <w:t>1</w:t>
            </w:r>
            <w:r>
              <w:rPr>
                <w:rFonts w:hint="eastAsia" w:ascii="仿宋_GB2312" w:hAnsi="Calibri" w:eastAsia="仿宋_GB2312" w:cs="Times New Roman"/>
                <w:kern w:val="0"/>
                <w:sz w:val="15"/>
                <w:szCs w:val="15"/>
              </w:rPr>
              <w:t>000米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4"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临街状况（小区）</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四</w:t>
            </w:r>
            <w:r>
              <w:rPr>
                <w:rFonts w:hint="eastAsia" w:ascii="仿宋_GB2312" w:hAnsi="Calibri" w:eastAsia="仿宋_GB2312" w:cs="Times New Roman"/>
                <w:kern w:val="0"/>
                <w:sz w:val="15"/>
                <w:szCs w:val="15"/>
              </w:rPr>
              <w:t>面临街</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四</w:t>
            </w:r>
            <w:r>
              <w:rPr>
                <w:rFonts w:hint="eastAsia" w:ascii="仿宋_GB2312" w:hAnsi="Calibri" w:eastAsia="仿宋_GB2312" w:cs="Times New Roman"/>
                <w:kern w:val="0"/>
                <w:sz w:val="15"/>
                <w:szCs w:val="15"/>
              </w:rPr>
              <w:t>面临街</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四</w:t>
            </w:r>
            <w:r>
              <w:rPr>
                <w:rFonts w:hint="eastAsia" w:ascii="仿宋_GB2312" w:hAnsi="Calibri" w:eastAsia="仿宋_GB2312" w:cs="Times New Roman"/>
                <w:kern w:val="0"/>
                <w:sz w:val="15"/>
                <w:szCs w:val="15"/>
              </w:rPr>
              <w:t>面临街</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四</w:t>
            </w:r>
            <w:r>
              <w:rPr>
                <w:rFonts w:hint="eastAsia" w:ascii="仿宋_GB2312" w:hAnsi="Calibri" w:eastAsia="仿宋_GB2312" w:cs="Times New Roman"/>
                <w:kern w:val="0"/>
                <w:sz w:val="15"/>
                <w:szCs w:val="15"/>
              </w:rPr>
              <w:t>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7"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道路等级（小区）</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临次干道</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临次干道</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临次干道</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临次干道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6"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朝向</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北</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北</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7" w:hRule="atLeast"/>
          <w:jc w:val="center"/>
        </w:trPr>
        <w:tc>
          <w:tcPr>
            <w:tcW w:w="639" w:type="dxa"/>
            <w:vMerge w:val="restart"/>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实物状况</w:t>
            </w: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业主消费层次</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平均中高档</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平均中高档</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平均中高档</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平均中高档</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6"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公共交通种类</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出租车、公交车均有</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出租车、公交车均有</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出租车、公交车均有</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出租车、公交车均有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8"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公交线路密度</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较密集</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较密集</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较密集</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较密集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87"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公共交通便捷度</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距离公交站300米处</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条公交线路</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距离公交站300米处</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条公交线路</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距离公交站300米处</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条公交线路</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距离公交站300米处</w:t>
            </w:r>
            <w:r>
              <w:rPr>
                <w:rFonts w:hint="eastAsia" w:ascii="仿宋_GB2312" w:hAnsi="Calibri" w:eastAsia="仿宋_GB2312" w:cs="Times New Roman"/>
                <w:kern w:val="0"/>
                <w:sz w:val="15"/>
                <w:szCs w:val="15"/>
                <w:lang w:val="en-US" w:eastAsia="zh-CN"/>
              </w:rPr>
              <w:t>5</w:t>
            </w:r>
            <w:r>
              <w:rPr>
                <w:rFonts w:hint="eastAsia" w:ascii="仿宋_GB2312" w:hAnsi="Calibri" w:eastAsia="仿宋_GB2312" w:cs="Times New Roman"/>
                <w:kern w:val="0"/>
                <w:sz w:val="15"/>
                <w:szCs w:val="15"/>
              </w:rPr>
              <w:t>条公交线路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生活配套设施状况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1公里范围内</w:t>
            </w:r>
            <w:r>
              <w:rPr>
                <w:rFonts w:hint="eastAsia" w:ascii="仿宋_GB2312" w:hAnsi="Calibri" w:eastAsia="仿宋_GB2312" w:cs="Times New Roman"/>
                <w:kern w:val="0"/>
                <w:sz w:val="15"/>
                <w:szCs w:val="15"/>
                <w:lang w:eastAsia="zh-CN"/>
              </w:rPr>
              <w:t>维多利超市</w:t>
            </w:r>
            <w:r>
              <w:rPr>
                <w:rFonts w:hint="eastAsia" w:ascii="仿宋_GB2312" w:hAnsi="Calibri" w:eastAsia="仿宋_GB2312" w:cs="Times New Roman"/>
                <w:kern w:val="0"/>
                <w:sz w:val="15"/>
                <w:szCs w:val="15"/>
              </w:rPr>
              <w:t>、</w:t>
            </w:r>
            <w:r>
              <w:rPr>
                <w:rFonts w:hint="eastAsia" w:ascii="仿宋_GB2312" w:hAnsi="Calibri" w:eastAsia="仿宋_GB2312" w:cs="Times New Roman"/>
                <w:kern w:val="0"/>
                <w:sz w:val="15"/>
                <w:szCs w:val="15"/>
                <w:lang w:eastAsia="zh-CN"/>
              </w:rPr>
              <w:t>国泰超市、维多利购物中心、中国农业银行、巴彦淖尔市临河黄河村镇银行、</w:t>
            </w:r>
            <w:r>
              <w:rPr>
                <w:rFonts w:hint="eastAsia" w:ascii="仿宋_GB2312" w:hAnsi="Calibri" w:eastAsia="仿宋_GB2312" w:cs="Times New Roman"/>
                <w:kern w:val="0"/>
                <w:sz w:val="15"/>
                <w:szCs w:val="15"/>
              </w:rPr>
              <w:t>包商银行、</w:t>
            </w:r>
            <w:r>
              <w:rPr>
                <w:rFonts w:hint="eastAsia" w:ascii="仿宋_GB2312" w:hAnsi="Calibri" w:eastAsia="仿宋_GB2312" w:cs="Times New Roman"/>
                <w:kern w:val="0"/>
                <w:sz w:val="15"/>
                <w:szCs w:val="15"/>
                <w:lang w:eastAsia="zh-CN"/>
              </w:rPr>
              <w:t>中国银行、</w:t>
            </w:r>
            <w:r>
              <w:rPr>
                <w:rFonts w:hint="eastAsia" w:ascii="仿宋_GB2312" w:hAnsi="Calibri" w:eastAsia="仿宋_GB2312" w:cs="Times New Roman"/>
                <w:kern w:val="0"/>
                <w:sz w:val="15"/>
                <w:szCs w:val="15"/>
              </w:rPr>
              <w:t>中国建设银行、</w:t>
            </w:r>
            <w:r>
              <w:rPr>
                <w:rFonts w:hint="eastAsia" w:ascii="仿宋_GB2312" w:hAnsi="Calibri" w:eastAsia="仿宋_GB2312" w:cs="Times New Roman"/>
                <w:kern w:val="0"/>
                <w:sz w:val="15"/>
                <w:szCs w:val="15"/>
                <w:lang w:eastAsia="zh-CN"/>
              </w:rPr>
              <w:t>巴彦淖尔市</w:t>
            </w:r>
            <w:r>
              <w:rPr>
                <w:rFonts w:hint="eastAsia" w:ascii="仿宋_GB2312" w:hAnsi="Calibri" w:eastAsia="仿宋_GB2312" w:cs="Times New Roman"/>
                <w:kern w:val="0"/>
                <w:sz w:val="15"/>
                <w:szCs w:val="15"/>
              </w:rPr>
              <w:t>河套农</w:t>
            </w:r>
            <w:r>
              <w:rPr>
                <w:rFonts w:hint="eastAsia" w:ascii="仿宋_GB2312" w:hAnsi="Calibri" w:eastAsia="仿宋_GB2312" w:cs="Times New Roman"/>
                <w:kern w:val="0"/>
                <w:sz w:val="15"/>
                <w:szCs w:val="15"/>
                <w:lang w:eastAsia="zh-CN"/>
              </w:rPr>
              <w:t>村</w:t>
            </w:r>
            <w:r>
              <w:rPr>
                <w:rFonts w:hint="eastAsia" w:ascii="仿宋_GB2312" w:hAnsi="Calibri" w:eastAsia="仿宋_GB2312" w:cs="Times New Roman"/>
                <w:kern w:val="0"/>
                <w:sz w:val="15"/>
                <w:szCs w:val="15"/>
              </w:rPr>
              <w:t>商</w:t>
            </w:r>
            <w:r>
              <w:rPr>
                <w:rFonts w:hint="eastAsia" w:ascii="仿宋_GB2312" w:hAnsi="Calibri" w:eastAsia="仿宋_GB2312" w:cs="Times New Roman"/>
                <w:kern w:val="0"/>
                <w:sz w:val="15"/>
                <w:szCs w:val="15"/>
                <w:lang w:eastAsia="zh-CN"/>
              </w:rPr>
              <w:t>业</w:t>
            </w:r>
            <w:r>
              <w:rPr>
                <w:rFonts w:hint="eastAsia" w:ascii="仿宋_GB2312" w:hAnsi="Calibri" w:eastAsia="仿宋_GB2312" w:cs="Times New Roman"/>
                <w:kern w:val="0"/>
                <w:sz w:val="15"/>
                <w:szCs w:val="15"/>
              </w:rPr>
              <w:t>银行、</w:t>
            </w:r>
            <w:r>
              <w:rPr>
                <w:rFonts w:hint="eastAsia" w:ascii="仿宋_GB2312" w:hAnsi="Calibri" w:eastAsia="仿宋_GB2312" w:cs="Times New Roman"/>
                <w:kern w:val="0"/>
                <w:sz w:val="15"/>
                <w:szCs w:val="15"/>
                <w:lang w:eastAsia="zh-CN"/>
              </w:rPr>
              <w:t>临河新现代医院、巴彦淖尔市口腔医院、</w:t>
            </w:r>
            <w:r>
              <w:rPr>
                <w:rFonts w:hint="eastAsia" w:ascii="仿宋_GB2312" w:hAnsi="Calibri" w:eastAsia="仿宋_GB2312" w:cs="Times New Roman"/>
                <w:kern w:val="0"/>
                <w:sz w:val="15"/>
                <w:szCs w:val="15"/>
              </w:rPr>
              <w:t>巴彦淖尔市康复医院</w:t>
            </w:r>
            <w:r>
              <w:rPr>
                <w:rFonts w:hint="eastAsia" w:ascii="仿宋_GB2312" w:hAnsi="Calibri" w:eastAsia="仿宋_GB2312" w:cs="Times New Roman"/>
                <w:kern w:val="0"/>
                <w:sz w:val="15"/>
                <w:szCs w:val="15"/>
                <w:lang w:eastAsia="zh-CN"/>
              </w:rPr>
              <w:t>、临河十中、河套公园、巴彦淖尔国家地质公园、</w:t>
            </w:r>
            <w:r>
              <w:rPr>
                <w:rFonts w:hint="eastAsia" w:ascii="仿宋_GB2312" w:hAnsi="Calibri" w:eastAsia="仿宋_GB2312" w:cs="Times New Roman"/>
                <w:kern w:val="0"/>
                <w:sz w:val="15"/>
                <w:szCs w:val="15"/>
              </w:rPr>
              <w:t>中国联通、中国移动等</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1公里范围内</w:t>
            </w:r>
            <w:r>
              <w:rPr>
                <w:rFonts w:hint="eastAsia" w:ascii="仿宋_GB2312" w:hAnsi="Calibri" w:eastAsia="仿宋_GB2312" w:cs="Times New Roman"/>
                <w:kern w:val="0"/>
                <w:sz w:val="15"/>
                <w:szCs w:val="15"/>
                <w:lang w:eastAsia="zh-CN"/>
              </w:rPr>
              <w:t>维多利超市</w:t>
            </w:r>
            <w:r>
              <w:rPr>
                <w:rFonts w:hint="eastAsia" w:ascii="仿宋_GB2312" w:hAnsi="Calibri" w:eastAsia="仿宋_GB2312" w:cs="Times New Roman"/>
                <w:kern w:val="0"/>
                <w:sz w:val="15"/>
                <w:szCs w:val="15"/>
              </w:rPr>
              <w:t>、</w:t>
            </w:r>
            <w:r>
              <w:rPr>
                <w:rFonts w:hint="eastAsia" w:ascii="仿宋_GB2312" w:hAnsi="Calibri" w:eastAsia="仿宋_GB2312" w:cs="Times New Roman"/>
                <w:kern w:val="0"/>
                <w:sz w:val="15"/>
                <w:szCs w:val="15"/>
                <w:lang w:eastAsia="zh-CN"/>
              </w:rPr>
              <w:t>国泰超市、维多利购物中心、中国农业银行、巴彦淖尔市临河黄河村镇银行、</w:t>
            </w:r>
            <w:r>
              <w:rPr>
                <w:rFonts w:hint="eastAsia" w:ascii="仿宋_GB2312" w:hAnsi="Calibri" w:eastAsia="仿宋_GB2312" w:cs="Times New Roman"/>
                <w:kern w:val="0"/>
                <w:sz w:val="15"/>
                <w:szCs w:val="15"/>
              </w:rPr>
              <w:t>包商银行、</w:t>
            </w:r>
            <w:r>
              <w:rPr>
                <w:rFonts w:hint="eastAsia" w:ascii="仿宋_GB2312" w:hAnsi="Calibri" w:eastAsia="仿宋_GB2312" w:cs="Times New Roman"/>
                <w:kern w:val="0"/>
                <w:sz w:val="15"/>
                <w:szCs w:val="15"/>
                <w:lang w:eastAsia="zh-CN"/>
              </w:rPr>
              <w:t>中国银行、</w:t>
            </w:r>
            <w:r>
              <w:rPr>
                <w:rFonts w:hint="eastAsia" w:ascii="仿宋_GB2312" w:hAnsi="Calibri" w:eastAsia="仿宋_GB2312" w:cs="Times New Roman"/>
                <w:kern w:val="0"/>
                <w:sz w:val="15"/>
                <w:szCs w:val="15"/>
              </w:rPr>
              <w:t>中国建设银行、</w:t>
            </w:r>
            <w:r>
              <w:rPr>
                <w:rFonts w:hint="eastAsia" w:ascii="仿宋_GB2312" w:hAnsi="Calibri" w:eastAsia="仿宋_GB2312" w:cs="Times New Roman"/>
                <w:kern w:val="0"/>
                <w:sz w:val="15"/>
                <w:szCs w:val="15"/>
                <w:lang w:eastAsia="zh-CN"/>
              </w:rPr>
              <w:t>巴彦淖尔市</w:t>
            </w:r>
            <w:r>
              <w:rPr>
                <w:rFonts w:hint="eastAsia" w:ascii="仿宋_GB2312" w:hAnsi="Calibri" w:eastAsia="仿宋_GB2312" w:cs="Times New Roman"/>
                <w:kern w:val="0"/>
                <w:sz w:val="15"/>
                <w:szCs w:val="15"/>
              </w:rPr>
              <w:t>河套农</w:t>
            </w:r>
            <w:r>
              <w:rPr>
                <w:rFonts w:hint="eastAsia" w:ascii="仿宋_GB2312" w:hAnsi="Calibri" w:eastAsia="仿宋_GB2312" w:cs="Times New Roman"/>
                <w:kern w:val="0"/>
                <w:sz w:val="15"/>
                <w:szCs w:val="15"/>
                <w:lang w:eastAsia="zh-CN"/>
              </w:rPr>
              <w:t>村</w:t>
            </w:r>
            <w:r>
              <w:rPr>
                <w:rFonts w:hint="eastAsia" w:ascii="仿宋_GB2312" w:hAnsi="Calibri" w:eastAsia="仿宋_GB2312" w:cs="Times New Roman"/>
                <w:kern w:val="0"/>
                <w:sz w:val="15"/>
                <w:szCs w:val="15"/>
              </w:rPr>
              <w:t>商</w:t>
            </w:r>
            <w:r>
              <w:rPr>
                <w:rFonts w:hint="eastAsia" w:ascii="仿宋_GB2312" w:hAnsi="Calibri" w:eastAsia="仿宋_GB2312" w:cs="Times New Roman"/>
                <w:kern w:val="0"/>
                <w:sz w:val="15"/>
                <w:szCs w:val="15"/>
                <w:lang w:eastAsia="zh-CN"/>
              </w:rPr>
              <w:t>业</w:t>
            </w:r>
            <w:r>
              <w:rPr>
                <w:rFonts w:hint="eastAsia" w:ascii="仿宋_GB2312" w:hAnsi="Calibri" w:eastAsia="仿宋_GB2312" w:cs="Times New Roman"/>
                <w:kern w:val="0"/>
                <w:sz w:val="15"/>
                <w:szCs w:val="15"/>
              </w:rPr>
              <w:t>银行、</w:t>
            </w:r>
            <w:r>
              <w:rPr>
                <w:rFonts w:hint="eastAsia" w:ascii="仿宋_GB2312" w:hAnsi="Calibri" w:eastAsia="仿宋_GB2312" w:cs="Times New Roman"/>
                <w:kern w:val="0"/>
                <w:sz w:val="15"/>
                <w:szCs w:val="15"/>
                <w:lang w:eastAsia="zh-CN"/>
              </w:rPr>
              <w:t>临河新现代医院、巴彦淖尔市口腔医院、</w:t>
            </w:r>
            <w:r>
              <w:rPr>
                <w:rFonts w:hint="eastAsia" w:ascii="仿宋_GB2312" w:hAnsi="Calibri" w:eastAsia="仿宋_GB2312" w:cs="Times New Roman"/>
                <w:kern w:val="0"/>
                <w:sz w:val="15"/>
                <w:szCs w:val="15"/>
              </w:rPr>
              <w:t>巴彦淖尔市康复医院</w:t>
            </w:r>
            <w:r>
              <w:rPr>
                <w:rFonts w:hint="eastAsia" w:ascii="仿宋_GB2312" w:hAnsi="Calibri" w:eastAsia="仿宋_GB2312" w:cs="Times New Roman"/>
                <w:kern w:val="0"/>
                <w:sz w:val="15"/>
                <w:szCs w:val="15"/>
                <w:lang w:eastAsia="zh-CN"/>
              </w:rPr>
              <w:t>、临河十中、河套公园、巴彦淖尔国家地质公园、</w:t>
            </w:r>
            <w:r>
              <w:rPr>
                <w:rFonts w:hint="eastAsia" w:ascii="仿宋_GB2312" w:hAnsi="Calibri" w:eastAsia="仿宋_GB2312" w:cs="Times New Roman"/>
                <w:kern w:val="0"/>
                <w:sz w:val="15"/>
                <w:szCs w:val="15"/>
              </w:rPr>
              <w:t>中国联通、中国移动等</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1公里范围内</w:t>
            </w:r>
            <w:r>
              <w:rPr>
                <w:rFonts w:hint="eastAsia" w:ascii="仿宋_GB2312" w:hAnsi="Calibri" w:eastAsia="仿宋_GB2312" w:cs="Times New Roman"/>
                <w:kern w:val="0"/>
                <w:sz w:val="15"/>
                <w:szCs w:val="15"/>
                <w:lang w:eastAsia="zh-CN"/>
              </w:rPr>
              <w:t>维多利超市</w:t>
            </w:r>
            <w:r>
              <w:rPr>
                <w:rFonts w:hint="eastAsia" w:ascii="仿宋_GB2312" w:hAnsi="Calibri" w:eastAsia="仿宋_GB2312" w:cs="Times New Roman"/>
                <w:kern w:val="0"/>
                <w:sz w:val="15"/>
                <w:szCs w:val="15"/>
              </w:rPr>
              <w:t>、</w:t>
            </w:r>
            <w:r>
              <w:rPr>
                <w:rFonts w:hint="eastAsia" w:ascii="仿宋_GB2312" w:hAnsi="Calibri" w:eastAsia="仿宋_GB2312" w:cs="Times New Roman"/>
                <w:kern w:val="0"/>
                <w:sz w:val="15"/>
                <w:szCs w:val="15"/>
                <w:lang w:eastAsia="zh-CN"/>
              </w:rPr>
              <w:t>国泰超市、维多利购物中心、中国农业银行、巴彦淖尔市临河黄河村镇银行、</w:t>
            </w:r>
            <w:r>
              <w:rPr>
                <w:rFonts w:hint="eastAsia" w:ascii="仿宋_GB2312" w:hAnsi="Calibri" w:eastAsia="仿宋_GB2312" w:cs="Times New Roman"/>
                <w:kern w:val="0"/>
                <w:sz w:val="15"/>
                <w:szCs w:val="15"/>
              </w:rPr>
              <w:t>包商银行、</w:t>
            </w:r>
            <w:r>
              <w:rPr>
                <w:rFonts w:hint="eastAsia" w:ascii="仿宋_GB2312" w:hAnsi="Calibri" w:eastAsia="仿宋_GB2312" w:cs="Times New Roman"/>
                <w:kern w:val="0"/>
                <w:sz w:val="15"/>
                <w:szCs w:val="15"/>
                <w:lang w:eastAsia="zh-CN"/>
              </w:rPr>
              <w:t>中国银行、</w:t>
            </w:r>
            <w:r>
              <w:rPr>
                <w:rFonts w:hint="eastAsia" w:ascii="仿宋_GB2312" w:hAnsi="Calibri" w:eastAsia="仿宋_GB2312" w:cs="Times New Roman"/>
                <w:kern w:val="0"/>
                <w:sz w:val="15"/>
                <w:szCs w:val="15"/>
              </w:rPr>
              <w:t>中国建设银行、</w:t>
            </w:r>
            <w:r>
              <w:rPr>
                <w:rFonts w:hint="eastAsia" w:ascii="仿宋_GB2312" w:hAnsi="Calibri" w:eastAsia="仿宋_GB2312" w:cs="Times New Roman"/>
                <w:kern w:val="0"/>
                <w:sz w:val="15"/>
                <w:szCs w:val="15"/>
                <w:lang w:eastAsia="zh-CN"/>
              </w:rPr>
              <w:t>巴彦淖尔市</w:t>
            </w:r>
            <w:r>
              <w:rPr>
                <w:rFonts w:hint="eastAsia" w:ascii="仿宋_GB2312" w:hAnsi="Calibri" w:eastAsia="仿宋_GB2312" w:cs="Times New Roman"/>
                <w:kern w:val="0"/>
                <w:sz w:val="15"/>
                <w:szCs w:val="15"/>
              </w:rPr>
              <w:t>河套农</w:t>
            </w:r>
            <w:r>
              <w:rPr>
                <w:rFonts w:hint="eastAsia" w:ascii="仿宋_GB2312" w:hAnsi="Calibri" w:eastAsia="仿宋_GB2312" w:cs="Times New Roman"/>
                <w:kern w:val="0"/>
                <w:sz w:val="15"/>
                <w:szCs w:val="15"/>
                <w:lang w:eastAsia="zh-CN"/>
              </w:rPr>
              <w:t>村</w:t>
            </w:r>
            <w:r>
              <w:rPr>
                <w:rFonts w:hint="eastAsia" w:ascii="仿宋_GB2312" w:hAnsi="Calibri" w:eastAsia="仿宋_GB2312" w:cs="Times New Roman"/>
                <w:kern w:val="0"/>
                <w:sz w:val="15"/>
                <w:szCs w:val="15"/>
              </w:rPr>
              <w:t>商</w:t>
            </w:r>
            <w:r>
              <w:rPr>
                <w:rFonts w:hint="eastAsia" w:ascii="仿宋_GB2312" w:hAnsi="Calibri" w:eastAsia="仿宋_GB2312" w:cs="Times New Roman"/>
                <w:kern w:val="0"/>
                <w:sz w:val="15"/>
                <w:szCs w:val="15"/>
                <w:lang w:eastAsia="zh-CN"/>
              </w:rPr>
              <w:t>业</w:t>
            </w:r>
            <w:r>
              <w:rPr>
                <w:rFonts w:hint="eastAsia" w:ascii="仿宋_GB2312" w:hAnsi="Calibri" w:eastAsia="仿宋_GB2312" w:cs="Times New Roman"/>
                <w:kern w:val="0"/>
                <w:sz w:val="15"/>
                <w:szCs w:val="15"/>
              </w:rPr>
              <w:t>银行、</w:t>
            </w:r>
            <w:r>
              <w:rPr>
                <w:rFonts w:hint="eastAsia" w:ascii="仿宋_GB2312" w:hAnsi="Calibri" w:eastAsia="仿宋_GB2312" w:cs="Times New Roman"/>
                <w:kern w:val="0"/>
                <w:sz w:val="15"/>
                <w:szCs w:val="15"/>
                <w:lang w:eastAsia="zh-CN"/>
              </w:rPr>
              <w:t>临河新现代医院、巴彦淖尔市口腔医院、</w:t>
            </w:r>
            <w:r>
              <w:rPr>
                <w:rFonts w:hint="eastAsia" w:ascii="仿宋_GB2312" w:hAnsi="Calibri" w:eastAsia="仿宋_GB2312" w:cs="Times New Roman"/>
                <w:kern w:val="0"/>
                <w:sz w:val="15"/>
                <w:szCs w:val="15"/>
              </w:rPr>
              <w:t>巴彦淖尔市康复医院</w:t>
            </w:r>
            <w:r>
              <w:rPr>
                <w:rFonts w:hint="eastAsia" w:ascii="仿宋_GB2312" w:hAnsi="Calibri" w:eastAsia="仿宋_GB2312" w:cs="Times New Roman"/>
                <w:kern w:val="0"/>
                <w:sz w:val="15"/>
                <w:szCs w:val="15"/>
                <w:lang w:eastAsia="zh-CN"/>
              </w:rPr>
              <w:t>、临河十中、河套公园、巴彦淖尔国家地质公园、</w:t>
            </w:r>
            <w:r>
              <w:rPr>
                <w:rFonts w:hint="eastAsia" w:ascii="仿宋_GB2312" w:hAnsi="Calibri" w:eastAsia="仿宋_GB2312" w:cs="Times New Roman"/>
                <w:kern w:val="0"/>
                <w:sz w:val="15"/>
                <w:szCs w:val="15"/>
              </w:rPr>
              <w:t>中国联通、中国移动等</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1公里范围内</w:t>
            </w:r>
            <w:r>
              <w:rPr>
                <w:rFonts w:hint="eastAsia" w:ascii="仿宋_GB2312" w:hAnsi="Calibri" w:eastAsia="仿宋_GB2312" w:cs="Times New Roman"/>
                <w:kern w:val="0"/>
                <w:sz w:val="15"/>
                <w:szCs w:val="15"/>
                <w:lang w:eastAsia="zh-CN"/>
              </w:rPr>
              <w:t>维多利超市</w:t>
            </w:r>
            <w:r>
              <w:rPr>
                <w:rFonts w:hint="eastAsia" w:ascii="仿宋_GB2312" w:hAnsi="Calibri" w:eastAsia="仿宋_GB2312" w:cs="Times New Roman"/>
                <w:kern w:val="0"/>
                <w:sz w:val="15"/>
                <w:szCs w:val="15"/>
              </w:rPr>
              <w:t>、</w:t>
            </w:r>
            <w:r>
              <w:rPr>
                <w:rFonts w:hint="eastAsia" w:ascii="仿宋_GB2312" w:hAnsi="Calibri" w:eastAsia="仿宋_GB2312" w:cs="Times New Roman"/>
                <w:kern w:val="0"/>
                <w:sz w:val="15"/>
                <w:szCs w:val="15"/>
                <w:lang w:eastAsia="zh-CN"/>
              </w:rPr>
              <w:t>国泰超市、维多利购物中心、中国农业银行、巴彦淖尔市临河黄河村镇银行、</w:t>
            </w:r>
            <w:r>
              <w:rPr>
                <w:rFonts w:hint="eastAsia" w:ascii="仿宋_GB2312" w:hAnsi="Calibri" w:eastAsia="仿宋_GB2312" w:cs="Times New Roman"/>
                <w:kern w:val="0"/>
                <w:sz w:val="15"/>
                <w:szCs w:val="15"/>
              </w:rPr>
              <w:t>包商银行、</w:t>
            </w:r>
            <w:r>
              <w:rPr>
                <w:rFonts w:hint="eastAsia" w:ascii="仿宋_GB2312" w:hAnsi="Calibri" w:eastAsia="仿宋_GB2312" w:cs="Times New Roman"/>
                <w:kern w:val="0"/>
                <w:sz w:val="15"/>
                <w:szCs w:val="15"/>
                <w:lang w:eastAsia="zh-CN"/>
              </w:rPr>
              <w:t>中国银行、</w:t>
            </w:r>
            <w:r>
              <w:rPr>
                <w:rFonts w:hint="eastAsia" w:ascii="仿宋_GB2312" w:hAnsi="Calibri" w:eastAsia="仿宋_GB2312" w:cs="Times New Roman"/>
                <w:kern w:val="0"/>
                <w:sz w:val="15"/>
                <w:szCs w:val="15"/>
              </w:rPr>
              <w:t>中国建设银行、</w:t>
            </w:r>
            <w:r>
              <w:rPr>
                <w:rFonts w:hint="eastAsia" w:ascii="仿宋_GB2312" w:hAnsi="Calibri" w:eastAsia="仿宋_GB2312" w:cs="Times New Roman"/>
                <w:kern w:val="0"/>
                <w:sz w:val="15"/>
                <w:szCs w:val="15"/>
                <w:lang w:eastAsia="zh-CN"/>
              </w:rPr>
              <w:t>巴彦淖尔市</w:t>
            </w:r>
            <w:r>
              <w:rPr>
                <w:rFonts w:hint="eastAsia" w:ascii="仿宋_GB2312" w:hAnsi="Calibri" w:eastAsia="仿宋_GB2312" w:cs="Times New Roman"/>
                <w:kern w:val="0"/>
                <w:sz w:val="15"/>
                <w:szCs w:val="15"/>
              </w:rPr>
              <w:t>河套农</w:t>
            </w:r>
            <w:r>
              <w:rPr>
                <w:rFonts w:hint="eastAsia" w:ascii="仿宋_GB2312" w:hAnsi="Calibri" w:eastAsia="仿宋_GB2312" w:cs="Times New Roman"/>
                <w:kern w:val="0"/>
                <w:sz w:val="15"/>
                <w:szCs w:val="15"/>
                <w:lang w:eastAsia="zh-CN"/>
              </w:rPr>
              <w:t>村</w:t>
            </w:r>
            <w:r>
              <w:rPr>
                <w:rFonts w:hint="eastAsia" w:ascii="仿宋_GB2312" w:hAnsi="Calibri" w:eastAsia="仿宋_GB2312" w:cs="Times New Roman"/>
                <w:kern w:val="0"/>
                <w:sz w:val="15"/>
                <w:szCs w:val="15"/>
              </w:rPr>
              <w:t>商</w:t>
            </w:r>
            <w:r>
              <w:rPr>
                <w:rFonts w:hint="eastAsia" w:ascii="仿宋_GB2312" w:hAnsi="Calibri" w:eastAsia="仿宋_GB2312" w:cs="Times New Roman"/>
                <w:kern w:val="0"/>
                <w:sz w:val="15"/>
                <w:szCs w:val="15"/>
                <w:lang w:eastAsia="zh-CN"/>
              </w:rPr>
              <w:t>业</w:t>
            </w:r>
            <w:r>
              <w:rPr>
                <w:rFonts w:hint="eastAsia" w:ascii="仿宋_GB2312" w:hAnsi="Calibri" w:eastAsia="仿宋_GB2312" w:cs="Times New Roman"/>
                <w:kern w:val="0"/>
                <w:sz w:val="15"/>
                <w:szCs w:val="15"/>
              </w:rPr>
              <w:t>银行、</w:t>
            </w:r>
            <w:r>
              <w:rPr>
                <w:rFonts w:hint="eastAsia" w:ascii="仿宋_GB2312" w:hAnsi="Calibri" w:eastAsia="仿宋_GB2312" w:cs="Times New Roman"/>
                <w:kern w:val="0"/>
                <w:sz w:val="15"/>
                <w:szCs w:val="15"/>
                <w:lang w:eastAsia="zh-CN"/>
              </w:rPr>
              <w:t>临河新现代医院、巴彦淖尔市口腔医院、</w:t>
            </w:r>
            <w:r>
              <w:rPr>
                <w:rFonts w:hint="eastAsia" w:ascii="仿宋_GB2312" w:hAnsi="Calibri" w:eastAsia="仿宋_GB2312" w:cs="Times New Roman"/>
                <w:kern w:val="0"/>
                <w:sz w:val="15"/>
                <w:szCs w:val="15"/>
              </w:rPr>
              <w:t>巴彦淖尔市康复医院</w:t>
            </w:r>
            <w:r>
              <w:rPr>
                <w:rFonts w:hint="eastAsia" w:ascii="仿宋_GB2312" w:hAnsi="Calibri" w:eastAsia="仿宋_GB2312" w:cs="Times New Roman"/>
                <w:kern w:val="0"/>
                <w:sz w:val="15"/>
                <w:szCs w:val="15"/>
                <w:lang w:eastAsia="zh-CN"/>
              </w:rPr>
              <w:t>、临河十中、河套公园、巴彦淖尔国家地质公园、</w:t>
            </w:r>
            <w:r>
              <w:rPr>
                <w:rFonts w:hint="eastAsia" w:ascii="仿宋_GB2312" w:hAnsi="Calibri" w:eastAsia="仿宋_GB2312" w:cs="Times New Roman"/>
                <w:kern w:val="0"/>
                <w:sz w:val="15"/>
                <w:szCs w:val="15"/>
              </w:rPr>
              <w:t>中国联通、中国移动等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4"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小区住宅均价</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default" w:ascii="仿宋_GB2312" w:hAnsi="Calibri" w:eastAsia="仿宋_GB2312" w:cs="Times New Roman"/>
                <w:color w:val="000000" w:themeColor="text1"/>
                <w:kern w:val="0"/>
                <w:sz w:val="15"/>
                <w:szCs w:val="15"/>
                <w:lang w:val="en-US" w:eastAsia="zh-CN"/>
                <w14:textFill>
                  <w14:solidFill>
                    <w14:schemeClr w14:val="tx1"/>
                  </w14:solidFill>
                </w14:textFill>
              </w:rPr>
            </w:pPr>
            <w:r>
              <w:rPr>
                <w:rFonts w:hint="eastAsia" w:ascii="仿宋_GB2312" w:hAnsi="Calibri" w:eastAsia="仿宋_GB2312" w:cs="Times New Roman"/>
                <w:color w:val="000000" w:themeColor="text1"/>
                <w:kern w:val="0"/>
                <w:sz w:val="15"/>
                <w:szCs w:val="15"/>
                <w:lang w:val="en-US" w:eastAsia="zh-CN"/>
                <w14:textFill>
                  <w14:solidFill>
                    <w14:schemeClr w14:val="tx1"/>
                  </w14:solidFill>
                </w14:textFill>
              </w:rPr>
              <w:t>7850</w:t>
            </w:r>
            <w:r>
              <w:rPr>
                <w:rFonts w:hint="eastAsia" w:ascii="仿宋_GB2312" w:hAnsi="Calibri" w:eastAsia="仿宋_GB2312" w:cs="Times New Roman"/>
                <w:color w:val="000000" w:themeColor="text1"/>
                <w:kern w:val="0"/>
                <w:sz w:val="15"/>
                <w:szCs w:val="15"/>
                <w14:textFill>
                  <w14:solidFill>
                    <w14:schemeClr w14:val="tx1"/>
                  </w14:solidFill>
                </w14:textFill>
              </w:rPr>
              <w:t>元/㎡</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color w:val="000000" w:themeColor="text1"/>
                <w:kern w:val="0"/>
                <w:sz w:val="15"/>
                <w:szCs w:val="15"/>
                <w14:textFill>
                  <w14:solidFill>
                    <w14:schemeClr w14:val="tx1"/>
                  </w14:solidFill>
                </w14:textFill>
              </w:rPr>
            </w:pPr>
            <w:r>
              <w:rPr>
                <w:rFonts w:hint="eastAsia" w:ascii="仿宋_GB2312" w:hAnsi="Calibri" w:eastAsia="仿宋_GB2312" w:cs="Times New Roman"/>
                <w:color w:val="000000" w:themeColor="text1"/>
                <w:kern w:val="0"/>
                <w:sz w:val="15"/>
                <w:szCs w:val="15"/>
                <w:lang w:val="en-US" w:eastAsia="zh-CN"/>
                <w14:textFill>
                  <w14:solidFill>
                    <w14:schemeClr w14:val="tx1"/>
                  </w14:solidFill>
                </w14:textFill>
              </w:rPr>
              <w:t>7850</w:t>
            </w:r>
            <w:r>
              <w:rPr>
                <w:rFonts w:hint="eastAsia" w:ascii="仿宋_GB2312" w:hAnsi="Calibri" w:eastAsia="仿宋_GB2312" w:cs="Times New Roman"/>
                <w:color w:val="000000" w:themeColor="text1"/>
                <w:kern w:val="0"/>
                <w:sz w:val="15"/>
                <w:szCs w:val="15"/>
                <w14:textFill>
                  <w14:solidFill>
                    <w14:schemeClr w14:val="tx1"/>
                  </w14:solidFill>
                </w14:textFill>
              </w:rPr>
              <w:t>元/㎡</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color w:val="000000" w:themeColor="text1"/>
                <w:kern w:val="0"/>
                <w:sz w:val="15"/>
                <w:szCs w:val="15"/>
                <w14:textFill>
                  <w14:solidFill>
                    <w14:schemeClr w14:val="tx1"/>
                  </w14:solidFill>
                </w14:textFill>
              </w:rPr>
            </w:pPr>
            <w:r>
              <w:rPr>
                <w:rFonts w:hint="eastAsia" w:ascii="仿宋_GB2312" w:hAnsi="Calibri" w:eastAsia="仿宋_GB2312" w:cs="Times New Roman"/>
                <w:color w:val="000000" w:themeColor="text1"/>
                <w:kern w:val="0"/>
                <w:sz w:val="15"/>
                <w:szCs w:val="15"/>
                <w:lang w:val="en-US" w:eastAsia="zh-CN"/>
                <w14:textFill>
                  <w14:solidFill>
                    <w14:schemeClr w14:val="tx1"/>
                  </w14:solidFill>
                </w14:textFill>
              </w:rPr>
              <w:t>7850</w:t>
            </w:r>
            <w:r>
              <w:rPr>
                <w:rFonts w:hint="eastAsia" w:ascii="仿宋_GB2312" w:hAnsi="Calibri" w:eastAsia="仿宋_GB2312" w:cs="Times New Roman"/>
                <w:color w:val="000000" w:themeColor="text1"/>
                <w:kern w:val="0"/>
                <w:sz w:val="15"/>
                <w:szCs w:val="15"/>
                <w14:textFill>
                  <w14:solidFill>
                    <w14:schemeClr w14:val="tx1"/>
                  </w14:solidFill>
                </w14:textFill>
              </w:rPr>
              <w:t>元/㎡</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color w:val="000000" w:themeColor="text1"/>
                <w:kern w:val="0"/>
                <w:sz w:val="15"/>
                <w:szCs w:val="15"/>
                <w14:textFill>
                  <w14:solidFill>
                    <w14:schemeClr w14:val="tx1"/>
                  </w14:solidFill>
                </w14:textFill>
              </w:rPr>
            </w:pPr>
            <w:r>
              <w:rPr>
                <w:rFonts w:hint="eastAsia" w:ascii="仿宋_GB2312" w:hAnsi="Calibri" w:eastAsia="仿宋_GB2312" w:cs="Times New Roman"/>
                <w:color w:val="000000" w:themeColor="text1"/>
                <w:kern w:val="0"/>
                <w:sz w:val="15"/>
                <w:szCs w:val="15"/>
                <w:lang w:val="en-US" w:eastAsia="zh-CN"/>
                <w14:textFill>
                  <w14:solidFill>
                    <w14:schemeClr w14:val="tx1"/>
                  </w14:solidFill>
                </w14:textFill>
              </w:rPr>
              <w:t>7850</w:t>
            </w:r>
            <w:r>
              <w:rPr>
                <w:rFonts w:hint="eastAsia" w:ascii="仿宋_GB2312" w:hAnsi="Calibri" w:eastAsia="仿宋_GB2312" w:cs="Times New Roman"/>
                <w:color w:val="000000" w:themeColor="text1"/>
                <w:kern w:val="0"/>
                <w:sz w:val="15"/>
                <w:szCs w:val="15"/>
                <w14:textFill>
                  <w14:solidFill>
                    <w14:schemeClr w14:val="tx1"/>
                  </w14:solidFill>
                </w14:textFill>
              </w:rPr>
              <w:t>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周边居住小区状况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周边中档小区偏多，且集聚度较高</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周边中档小区偏多，且集聚度较高</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周边中档小区偏多，且集聚度较高</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周边中档小区偏多，且集聚度较高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用途多样性</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仓储、车库</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仓储、车库</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仓储、车库</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仓储、车库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0"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建筑结构</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砖混</w:t>
            </w:r>
            <w:r>
              <w:rPr>
                <w:rFonts w:hint="eastAsia" w:ascii="仿宋_GB2312" w:hAnsi="Calibri" w:eastAsia="仿宋_GB2312" w:cs="Times New Roman"/>
                <w:kern w:val="0"/>
                <w:sz w:val="15"/>
                <w:szCs w:val="15"/>
              </w:rPr>
              <w:t>结构</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砖混</w:t>
            </w:r>
            <w:r>
              <w:rPr>
                <w:rFonts w:hint="eastAsia" w:ascii="仿宋_GB2312" w:hAnsi="Calibri" w:eastAsia="仿宋_GB2312" w:cs="Times New Roman"/>
                <w:kern w:val="0"/>
                <w:sz w:val="15"/>
                <w:szCs w:val="15"/>
              </w:rPr>
              <w:t>结构</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砖混</w:t>
            </w:r>
            <w:r>
              <w:rPr>
                <w:rFonts w:hint="eastAsia" w:ascii="仿宋_GB2312" w:hAnsi="Calibri" w:eastAsia="仿宋_GB2312" w:cs="Times New Roman"/>
                <w:kern w:val="0"/>
                <w:sz w:val="15"/>
                <w:szCs w:val="15"/>
              </w:rPr>
              <w:t>结构</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lang w:eastAsia="zh-CN"/>
              </w:rPr>
              <w:t>砖混</w:t>
            </w:r>
            <w:r>
              <w:rPr>
                <w:rFonts w:hint="eastAsia" w:ascii="仿宋_GB2312" w:hAnsi="Calibri" w:eastAsia="仿宋_GB2312" w:cs="Times New Roman"/>
                <w:kern w:val="0"/>
                <w:sz w:val="15"/>
                <w:szCs w:val="15"/>
              </w:rPr>
              <w:t>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装饰装修</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简单装修</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简单装修</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简单装修</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简单装修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39"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建筑规模</w:t>
            </w:r>
          </w:p>
        </w:tc>
        <w:tc>
          <w:tcPr>
            <w:tcW w:w="18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五栋至二十栋</w:t>
            </w: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五栋至二十栋</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五栋至二十栋</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五栋至二十栋</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 w:hRule="atLeast"/>
          <w:jc w:val="center"/>
        </w:trPr>
        <w:tc>
          <w:tcPr>
            <w:tcW w:w="639" w:type="dxa"/>
            <w:vMerge w:val="continue"/>
            <w:tcBorders>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60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成新率</w:t>
            </w:r>
          </w:p>
        </w:tc>
        <w:tc>
          <w:tcPr>
            <w:tcW w:w="18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八成</w:t>
            </w:r>
          </w:p>
        </w:tc>
        <w:tc>
          <w:tcPr>
            <w:tcW w:w="163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八成</w:t>
            </w:r>
          </w:p>
        </w:tc>
        <w:tc>
          <w:tcPr>
            <w:tcW w:w="166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八成</w:t>
            </w:r>
          </w:p>
        </w:tc>
        <w:tc>
          <w:tcPr>
            <w:tcW w:w="1694"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639" w:type="dxa"/>
            <w:vMerge w:val="restart"/>
            <w:tcBorders>
              <w:top w:val="dotted" w:color="auto" w:sz="4" w:space="0"/>
              <w:left w:val="nil"/>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权益状况</w:t>
            </w:r>
          </w:p>
        </w:tc>
        <w:tc>
          <w:tcPr>
            <w:tcW w:w="520" w:type="dxa"/>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权益状况（1）</w:t>
            </w: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规划条件</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共有情况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7"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权属清晰情况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权属清晰</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权属清晰</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权属清晰</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93"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restart"/>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权益状况（2）</w:t>
            </w: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用益物权设立情况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9"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担保物权设立情况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2"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租赁或占有情况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8"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拖欠税费情况</w:t>
            </w:r>
          </w:p>
        </w:tc>
        <w:tc>
          <w:tcPr>
            <w:tcW w:w="184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3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4" w:hRule="atLeast"/>
          <w:jc w:val="center"/>
        </w:trPr>
        <w:tc>
          <w:tcPr>
            <w:tcW w:w="639"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520" w:type="dxa"/>
            <w:vMerge w:val="continue"/>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p>
        </w:tc>
        <w:tc>
          <w:tcPr>
            <w:tcW w:w="1089"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rPr>
            </w:pPr>
            <w:r>
              <w:rPr>
                <w:rFonts w:hint="eastAsia" w:ascii="仿宋_GB2312" w:hAnsi="Calibri" w:eastAsia="仿宋_GB2312" w:cs="Times New Roman"/>
                <w:b/>
                <w:bCs/>
                <w:kern w:val="0"/>
                <w:sz w:val="15"/>
                <w:szCs w:val="15"/>
              </w:rPr>
              <w:t>查封情况</w:t>
            </w:r>
          </w:p>
        </w:tc>
        <w:tc>
          <w:tcPr>
            <w:tcW w:w="1843"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有</w:t>
            </w:r>
          </w:p>
        </w:tc>
        <w:tc>
          <w:tcPr>
            <w:tcW w:w="1636"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61"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c>
          <w:tcPr>
            <w:tcW w:w="1694" w:type="dxa"/>
            <w:tcBorders>
              <w:top w:val="dotted" w:color="auto" w:sz="4" w:space="0"/>
              <w:left w:val="dotted" w:color="auto" w:sz="4" w:space="0"/>
              <w:bottom w:val="thickThinSmallGap" w:color="auto" w:sz="12"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rPr>
            </w:pPr>
            <w:r>
              <w:rPr>
                <w:rFonts w:hint="eastAsia" w:ascii="仿宋_GB2312" w:hAnsi="Calibri" w:eastAsia="仿宋_GB2312" w:cs="Times New Roman"/>
                <w:kern w:val="0"/>
                <w:sz w:val="15"/>
                <w:szCs w:val="15"/>
              </w:rPr>
              <w:t>无</w:t>
            </w:r>
          </w:p>
        </w:tc>
      </w:tr>
    </w:tbl>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仿宋_GB2312"/>
          <w:b/>
          <w:sz w:val="24"/>
          <w:szCs w:val="24"/>
        </w:rPr>
      </w:pPr>
      <w:r>
        <w:rPr>
          <w:rFonts w:hint="eastAsia" w:ascii="仿宋_GB2312" w:hAnsi="楷体" w:eastAsia="仿宋_GB2312" w:cs="仿宋_GB2312"/>
          <w:b/>
          <w:sz w:val="24"/>
          <w:szCs w:val="24"/>
        </w:rPr>
        <w:t>表4   比较因素情况说明表</w:t>
      </w:r>
    </w:p>
    <w:tbl>
      <w:tblPr>
        <w:tblStyle w:val="42"/>
        <w:tblpPr w:leftFromText="180" w:rightFromText="180" w:vertAnchor="text" w:horzAnchor="page" w:tblpX="1825" w:tblpY="488"/>
        <w:tblOverlap w:val="never"/>
        <w:tblW w:w="8925" w:type="dxa"/>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54"/>
        <w:gridCol w:w="560"/>
        <w:gridCol w:w="2060"/>
        <w:gridCol w:w="1476"/>
        <w:gridCol w:w="1476"/>
        <w:gridCol w:w="1476"/>
        <w:gridCol w:w="1423"/>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blHeader/>
        </w:trPr>
        <w:tc>
          <w:tcPr>
            <w:tcW w:w="3074" w:type="dxa"/>
            <w:gridSpan w:val="3"/>
            <w:vMerge w:val="restart"/>
            <w:tcBorders>
              <w:top w:val="thinThickSmallGap" w:color="auto" w:sz="12" w:space="0"/>
              <w:left w:val="nil"/>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项目名称</w:t>
            </w:r>
          </w:p>
        </w:tc>
        <w:tc>
          <w:tcPr>
            <w:tcW w:w="1476"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估价对象</w:t>
            </w:r>
          </w:p>
        </w:tc>
        <w:tc>
          <w:tcPr>
            <w:tcW w:w="147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可比实例1</w:t>
            </w:r>
          </w:p>
        </w:tc>
        <w:tc>
          <w:tcPr>
            <w:tcW w:w="147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可比实例2</w:t>
            </w:r>
          </w:p>
        </w:tc>
        <w:tc>
          <w:tcPr>
            <w:tcW w:w="1423" w:type="dxa"/>
            <w:tcBorders>
              <w:top w:val="thinThickSmallGap" w:color="auto" w:sz="12" w:space="0"/>
              <w:left w:val="dotted" w:color="auto" w:sz="4" w:space="0"/>
              <w:bottom w:val="dotted" w:color="auto" w:sz="4" w:space="0"/>
              <w:right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blHeader/>
        </w:trPr>
        <w:tc>
          <w:tcPr>
            <w:tcW w:w="3074" w:type="dxa"/>
            <w:gridSpan w:val="3"/>
            <w:vMerge w:val="continue"/>
            <w:tcBorders>
              <w:top w:val="thinThickSmallGap" w:color="auto" w:sz="12" w:space="0"/>
              <w:left w:val="nil"/>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kern w:val="0"/>
                <w:sz w:val="15"/>
                <w:szCs w:val="15"/>
                <w:lang w:eastAsia="zh-CN"/>
              </w:rPr>
            </w:pPr>
          </w:p>
        </w:tc>
        <w:tc>
          <w:tcPr>
            <w:tcW w:w="1476"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kern w:val="0"/>
                <w:sz w:val="15"/>
                <w:szCs w:val="15"/>
                <w:lang w:eastAsia="zh-CN"/>
              </w:rPr>
            </w:pP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北欧印象</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北欧印象</w:t>
            </w:r>
          </w:p>
        </w:tc>
        <w:tc>
          <w:tcPr>
            <w:tcW w:w="1423" w:type="dxa"/>
            <w:tcBorders>
              <w:top w:val="dotted" w:color="auto" w:sz="4" w:space="0"/>
              <w:left w:val="dotted" w:color="auto" w:sz="4" w:space="0"/>
              <w:bottom w:val="dotted"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3074"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标准化处理后的成交价格</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待估</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8500</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8333</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4" w:hRule="atLeast"/>
        </w:trPr>
        <w:tc>
          <w:tcPr>
            <w:tcW w:w="3074"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交易情况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正常交易</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正常交易</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市场状况</w:t>
            </w: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成交日期</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lang w:eastAsia="zh-CN"/>
              </w:rPr>
              <w:t>月</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lang w:eastAsia="zh-CN"/>
              </w:rPr>
              <w:t>月</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2019年</w:t>
            </w:r>
            <w:r>
              <w:rPr>
                <w:rFonts w:hint="eastAsia" w:ascii="仿宋_GB2312" w:hAnsi="Calibri" w:eastAsia="仿宋_GB2312" w:cs="Times New Roman"/>
                <w:kern w:val="0"/>
                <w:sz w:val="15"/>
                <w:szCs w:val="15"/>
                <w:lang w:val="en-US" w:eastAsia="zh-CN"/>
              </w:rPr>
              <w:t>11</w:t>
            </w:r>
            <w:r>
              <w:rPr>
                <w:rFonts w:hint="eastAsia" w:ascii="仿宋_GB2312" w:hAnsi="Calibri" w:eastAsia="仿宋_GB2312" w:cs="Times New Roman"/>
                <w:kern w:val="0"/>
                <w:sz w:val="15"/>
                <w:szCs w:val="15"/>
                <w:lang w:eastAsia="zh-CN"/>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区位状况</w:t>
            </w: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距区域中心的距离</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较近</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临街状况（小区）</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四面临街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四面临街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四面临街</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四面临街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道路等级（小区）</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临次干道</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临次干道</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临次干道</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临次干道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朝向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北</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restart"/>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实物状况</w:t>
            </w: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业主消费层次</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较优</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公共交通种类</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优</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公交线路密度</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较密集</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较密集</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较密集</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较密集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公共交通便捷度</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便捷</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便捷</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便捷</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 xml:space="preserve">生活配套设施状况 </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完备</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小区住宅均价</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同档次</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同档次</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同档次</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同档次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周边居住小区状况</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用途多样性</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建筑结构</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砖混结构</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砖混结构</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砖混结构</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装饰装修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简单装修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简单装修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简单装修</w:t>
            </w:r>
          </w:p>
        </w:tc>
        <w:tc>
          <w:tcPr>
            <w:tcW w:w="1423"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简单装修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建筑规模</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14" w:type="dxa"/>
            <w:gridSpan w:val="2"/>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成新率</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八成</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八成</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八成</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权益状况</w:t>
            </w:r>
          </w:p>
        </w:tc>
        <w:tc>
          <w:tcPr>
            <w:tcW w:w="560" w:type="dxa"/>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权益状况（1）</w:t>
            </w:r>
          </w:p>
        </w:tc>
        <w:tc>
          <w:tcPr>
            <w:tcW w:w="20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规划条件</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共有情况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有</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权属清晰情况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权属清晰</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权属清晰</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权属清晰</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用益物权设立情况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restart"/>
            <w:textDirection w:val="tbRlV"/>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权益状况（2）</w:t>
            </w: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担保物权设立情况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有</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租赁或占有情况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拖欠税费情况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454" w:type="dxa"/>
            <w:vMerge w:val="continue"/>
            <w:tcBorders>
              <w:left w:val="nil"/>
              <w:right w:val="dotted" w:color="auto" w:sz="4" w:space="0"/>
            </w:tcBorders>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560" w:type="dxa"/>
            <w:vMerge w:val="continue"/>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p>
        </w:tc>
        <w:tc>
          <w:tcPr>
            <w:tcW w:w="2060" w:type="dxa"/>
            <w:vAlign w:val="center"/>
          </w:tcPr>
          <w:p>
            <w:pPr>
              <w:widowControl/>
              <w:spacing w:after="0" w:line="240" w:lineRule="auto"/>
              <w:jc w:val="center"/>
              <w:rPr>
                <w:rFonts w:hint="eastAsia" w:ascii="仿宋_GB2312" w:hAnsi="Calibri" w:eastAsia="仿宋_GB2312" w:cs="Times New Roman"/>
                <w:b/>
                <w:bCs/>
                <w:kern w:val="0"/>
                <w:sz w:val="15"/>
                <w:szCs w:val="15"/>
                <w:lang w:eastAsia="zh-CN"/>
              </w:rPr>
            </w:pPr>
            <w:r>
              <w:rPr>
                <w:rFonts w:hint="eastAsia" w:ascii="仿宋_GB2312" w:hAnsi="Calibri" w:eastAsia="仿宋_GB2312" w:cs="Times New Roman"/>
                <w:b/>
                <w:bCs/>
                <w:kern w:val="0"/>
                <w:sz w:val="15"/>
                <w:szCs w:val="15"/>
                <w:lang w:eastAsia="zh-CN"/>
              </w:rPr>
              <w:t>查封情况</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有</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76"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c>
          <w:tcPr>
            <w:tcW w:w="1423" w:type="dxa"/>
            <w:vAlign w:val="center"/>
          </w:tcPr>
          <w:p>
            <w:pPr>
              <w:widowControl/>
              <w:spacing w:after="0" w:line="240" w:lineRule="auto"/>
              <w:jc w:val="center"/>
              <w:rPr>
                <w:rFonts w:hint="eastAsia" w:ascii="仿宋_GB2312" w:hAnsi="Calibri" w:eastAsia="仿宋_GB2312" w:cs="Times New Roman"/>
                <w:kern w:val="0"/>
                <w:sz w:val="15"/>
                <w:szCs w:val="15"/>
                <w:lang w:eastAsia="zh-CN"/>
              </w:rPr>
            </w:pPr>
            <w:r>
              <w:rPr>
                <w:rFonts w:hint="eastAsia" w:ascii="仿宋_GB2312" w:hAnsi="Calibri" w:eastAsia="仿宋_GB2312" w:cs="Times New Roman"/>
                <w:kern w:val="0"/>
                <w:sz w:val="15"/>
                <w:szCs w:val="15"/>
                <w:lang w:eastAsia="zh-CN"/>
              </w:rPr>
              <w:t>无</w:t>
            </w:r>
          </w:p>
        </w:tc>
      </w:tr>
    </w:tbl>
    <w:p>
      <w:pPr>
        <w:tabs>
          <w:tab w:val="left" w:pos="426"/>
        </w:tabs>
        <w:adjustRightInd w:val="0"/>
        <w:spacing w:before="120" w:beforeLines="50" w:after="120" w:afterLines="50" w:line="540" w:lineRule="exact"/>
        <w:ind w:firstLine="482" w:firstLineChars="200"/>
        <w:rPr>
          <w:rFonts w:ascii="仿宋_GB2312" w:hAnsi="楷体" w:eastAsia="仿宋_GB2312" w:cs="仿宋_GB2312"/>
          <w:b/>
          <w:sz w:val="24"/>
          <w:szCs w:val="24"/>
        </w:rPr>
      </w:pPr>
      <w:r>
        <w:rPr>
          <w:rFonts w:hint="eastAsia" w:ascii="仿宋_GB2312" w:hAnsi="楷体" w:eastAsia="仿宋_GB2312" w:cs="仿宋_GB2312"/>
          <w:b/>
          <w:sz w:val="24"/>
          <w:szCs w:val="24"/>
        </w:rPr>
        <w:t>（四） 建立比较因素条件分数表和因素比较修正系数表</w:t>
      </w:r>
    </w:p>
    <w:p>
      <w:pPr>
        <w:tabs>
          <w:tab w:val="left" w:pos="426"/>
        </w:tabs>
        <w:adjustRightInd w:val="0"/>
        <w:spacing w:line="540" w:lineRule="exact"/>
        <w:ind w:firstLine="560" w:firstLineChars="200"/>
        <w:rPr>
          <w:rFonts w:ascii="仿宋_GB2312" w:hAnsi="楷体" w:eastAsia="仿宋_GB2312" w:cs="仿宋_GB2312"/>
          <w:b/>
          <w:sz w:val="28"/>
          <w:szCs w:val="28"/>
        </w:rPr>
      </w:pPr>
      <w:r>
        <w:rPr>
          <w:rFonts w:hint="eastAsia" w:ascii="仿宋_GB2312" w:hAnsi="楷体" w:eastAsia="仿宋_GB2312" w:cs="仿宋_GB2312"/>
          <w:sz w:val="28"/>
          <w:szCs w:val="28"/>
        </w:rPr>
        <w:t>根据对估价对象和可比实例情况的分析，把各可比实例的自身状况按照参比因素分别与评估对象的相应状况进行比较，编制比较因素条件分数表。比较因素分数确定如下：</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1.交易情况修正</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根据估价人员调查了解，可比实例1、2、3三个可比实例均是正常成交，故不进行交易情况修正。</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2.市场状况调整</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根据交易日期，进行市场状况调整。由于1、2、3三个可比实例均在距估价时点近3个月内成交，在此期间，</w:t>
      </w:r>
      <w:r>
        <w:rPr>
          <w:rFonts w:hint="eastAsia" w:ascii="仿宋_GB2312" w:hAnsi="楷体" w:eastAsia="仿宋_GB2312"/>
          <w:kern w:val="2"/>
          <w:sz w:val="28"/>
          <w:szCs w:val="28"/>
          <w:lang w:eastAsia="zh-CN"/>
        </w:rPr>
        <w:t>车库</w:t>
      </w:r>
      <w:r>
        <w:rPr>
          <w:rFonts w:hint="eastAsia" w:ascii="仿宋_GB2312" w:hAnsi="楷体" w:eastAsia="仿宋_GB2312"/>
          <w:kern w:val="2"/>
          <w:sz w:val="28"/>
          <w:szCs w:val="28"/>
        </w:rPr>
        <w:t>房地产市场较平稳，无明显波动，故不进行交易日期修正。</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3.区位状况调整</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1）距区域中心的距离，将</w:t>
      </w:r>
      <w:r>
        <w:rPr>
          <w:rFonts w:ascii="Times New Roman" w:hAnsi="Times New Roman"/>
          <w:sz w:val="28"/>
          <w:szCs w:val="28"/>
        </w:rPr>
        <w:t>距区域中心</w:t>
      </w:r>
      <w:r>
        <w:rPr>
          <w:rFonts w:hint="eastAsia" w:ascii="Times New Roman" w:hAnsi="Times New Roman"/>
          <w:sz w:val="28"/>
          <w:szCs w:val="28"/>
          <w:lang w:eastAsia="zh-CN"/>
        </w:rPr>
        <w:t>维多利购物中心</w:t>
      </w:r>
      <w:r>
        <w:rPr>
          <w:rFonts w:ascii="Times New Roman" w:hAnsi="Times New Roman"/>
          <w:sz w:val="28"/>
          <w:szCs w:val="28"/>
        </w:rPr>
        <w:t>的距离</w:t>
      </w:r>
      <w:r>
        <w:rPr>
          <w:rFonts w:hint="eastAsia" w:ascii="Times New Roman" w:hAnsi="Times New Roman"/>
          <w:sz w:val="28"/>
          <w:szCs w:val="28"/>
        </w:rPr>
        <w:t>分为近、较近、一般、较远、远五个级别，其中距离≤</w:t>
      </w:r>
      <w:r>
        <w:rPr>
          <w:rFonts w:ascii="Times New Roman" w:hAnsi="Times New Roman"/>
          <w:sz w:val="28"/>
          <w:szCs w:val="28"/>
        </w:rPr>
        <w:t>500</w:t>
      </w:r>
      <w:r>
        <w:rPr>
          <w:rFonts w:hint="eastAsia" w:ascii="Times New Roman" w:hAnsi="Times New Roman"/>
          <w:sz w:val="28"/>
          <w:szCs w:val="28"/>
        </w:rPr>
        <w:t>米为近，（</w:t>
      </w:r>
      <w:r>
        <w:rPr>
          <w:rFonts w:ascii="Times New Roman" w:hAnsi="Times New Roman"/>
          <w:sz w:val="28"/>
          <w:szCs w:val="28"/>
        </w:rPr>
        <w:t>500</w:t>
      </w:r>
      <w:r>
        <w:rPr>
          <w:rFonts w:hint="eastAsia" w:ascii="Times New Roman" w:hAnsi="Times New Roman"/>
          <w:sz w:val="28"/>
          <w:szCs w:val="28"/>
        </w:rPr>
        <w:t>，</w:t>
      </w:r>
      <w:r>
        <w:rPr>
          <w:rFonts w:ascii="Times New Roman" w:hAnsi="Times New Roman"/>
          <w:sz w:val="28"/>
          <w:szCs w:val="28"/>
        </w:rPr>
        <w:t>1000]</w:t>
      </w:r>
      <w:r>
        <w:rPr>
          <w:rFonts w:hint="eastAsia" w:ascii="Times New Roman" w:hAnsi="Times New Roman"/>
          <w:sz w:val="28"/>
          <w:szCs w:val="28"/>
        </w:rPr>
        <w:t>米为较近，（</w:t>
      </w:r>
      <w:r>
        <w:rPr>
          <w:rFonts w:ascii="Times New Roman" w:hAnsi="Times New Roman"/>
          <w:sz w:val="28"/>
          <w:szCs w:val="28"/>
        </w:rPr>
        <w:t>1000</w:t>
      </w:r>
      <w:r>
        <w:rPr>
          <w:rFonts w:hint="eastAsia" w:ascii="Times New Roman" w:hAnsi="Times New Roman"/>
          <w:sz w:val="28"/>
          <w:szCs w:val="28"/>
        </w:rPr>
        <w:t>，</w:t>
      </w:r>
      <w:r>
        <w:rPr>
          <w:rFonts w:ascii="Times New Roman" w:hAnsi="Times New Roman"/>
          <w:sz w:val="28"/>
          <w:szCs w:val="28"/>
        </w:rPr>
        <w:t>2000]</w:t>
      </w:r>
      <w:r>
        <w:rPr>
          <w:rFonts w:hint="eastAsia" w:ascii="Times New Roman" w:hAnsi="Times New Roman"/>
          <w:sz w:val="28"/>
          <w:szCs w:val="28"/>
        </w:rPr>
        <w:t>米为一般，（</w:t>
      </w:r>
      <w:r>
        <w:rPr>
          <w:rFonts w:ascii="Times New Roman" w:hAnsi="Times New Roman"/>
          <w:sz w:val="28"/>
          <w:szCs w:val="28"/>
        </w:rPr>
        <w:t>2000</w:t>
      </w:r>
      <w:r>
        <w:rPr>
          <w:rFonts w:hint="eastAsia" w:ascii="Times New Roman" w:hAnsi="Times New Roman"/>
          <w:sz w:val="28"/>
          <w:szCs w:val="28"/>
        </w:rPr>
        <w:t>，</w:t>
      </w:r>
      <w:r>
        <w:rPr>
          <w:rFonts w:ascii="Times New Roman" w:hAnsi="Times New Roman"/>
          <w:sz w:val="28"/>
          <w:szCs w:val="28"/>
        </w:rPr>
        <w:t>3000]</w:t>
      </w:r>
      <w:r>
        <w:rPr>
          <w:rFonts w:hint="eastAsia" w:ascii="Times New Roman" w:hAnsi="Times New Roman"/>
          <w:sz w:val="28"/>
          <w:szCs w:val="28"/>
        </w:rPr>
        <w:t>米为较远，≥</w:t>
      </w:r>
      <w:r>
        <w:rPr>
          <w:rFonts w:ascii="Times New Roman" w:hAnsi="Times New Roman"/>
          <w:sz w:val="28"/>
          <w:szCs w:val="28"/>
        </w:rPr>
        <w:t>3000</w:t>
      </w:r>
      <w:r>
        <w:rPr>
          <w:rFonts w:hint="eastAsia" w:ascii="Times New Roman" w:hAnsi="Times New Roman"/>
          <w:sz w:val="28"/>
          <w:szCs w:val="28"/>
        </w:rPr>
        <w:t>米为远，以评估对象距区域中心的距离分数为</w:t>
      </w:r>
      <w:r>
        <w:rPr>
          <w:rFonts w:ascii="Times New Roman" w:hAnsi="Times New Roman"/>
          <w:sz w:val="28"/>
          <w:szCs w:val="28"/>
        </w:rPr>
        <w:t>100</w:t>
      </w:r>
      <w:r>
        <w:rPr>
          <w:rFonts w:hint="eastAsia" w:ascii="Times New Roman" w:hAnsi="Times New Roman"/>
          <w:sz w:val="28"/>
          <w:szCs w:val="28"/>
        </w:rPr>
        <w:t>，将可比实例与评估对象相比，每相差一个等级修正2</w:t>
      </w:r>
      <w:r>
        <w:rPr>
          <w:rFonts w:ascii="Times New Roman" w:hAnsi="Times New Roman"/>
          <w:sz w:val="28"/>
          <w:szCs w:val="28"/>
        </w:rPr>
        <w:t>%</w:t>
      </w:r>
      <w:r>
        <w:rPr>
          <w:rFonts w:hint="eastAsia"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2）</w:t>
      </w:r>
      <w:r>
        <w:rPr>
          <w:rFonts w:ascii="Times New Roman" w:hAnsi="Times New Roman"/>
          <w:sz w:val="28"/>
          <w:szCs w:val="28"/>
        </w:rPr>
        <w:t>临街状况，自好向差分为四面临街、三面临街、两面临街、</w:t>
      </w:r>
      <w:r>
        <w:rPr>
          <w:rFonts w:hint="eastAsia" w:ascii="Times New Roman" w:hAnsi="Times New Roman"/>
          <w:sz w:val="28"/>
          <w:szCs w:val="28"/>
        </w:rPr>
        <w:t>一</w:t>
      </w:r>
      <w:r>
        <w:rPr>
          <w:rFonts w:ascii="Times New Roman" w:hAnsi="Times New Roman"/>
          <w:sz w:val="28"/>
          <w:szCs w:val="28"/>
        </w:rPr>
        <w:t>面临街、不临街五个等级，以评估对象为100, 每相差一个等级修正</w:t>
      </w:r>
      <w:r>
        <w:rPr>
          <w:rFonts w:hint="eastAsia" w:ascii="Times New Roman" w:hAnsi="Times New Roman"/>
          <w:sz w:val="28"/>
          <w:szCs w:val="28"/>
        </w:rPr>
        <w:t>1</w:t>
      </w:r>
      <w:r>
        <w:rPr>
          <w:rFonts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3）</w:t>
      </w:r>
      <w:r>
        <w:rPr>
          <w:rFonts w:ascii="Times New Roman" w:hAnsi="Times New Roman"/>
          <w:sz w:val="28"/>
          <w:szCs w:val="28"/>
        </w:rPr>
        <w:t>道路等级</w:t>
      </w:r>
      <w:r>
        <w:rPr>
          <w:rFonts w:hint="eastAsia" w:ascii="Times New Roman" w:hAnsi="Times New Roman"/>
          <w:sz w:val="28"/>
          <w:szCs w:val="28"/>
        </w:rPr>
        <w:t>（小区）</w:t>
      </w:r>
      <w:r>
        <w:rPr>
          <w:rFonts w:ascii="Times New Roman" w:hAnsi="Times New Roman"/>
          <w:sz w:val="28"/>
          <w:szCs w:val="28"/>
        </w:rPr>
        <w:t>，自好向差分为临主干道、临次干道、临支路、临</w:t>
      </w:r>
      <w:r>
        <w:rPr>
          <w:rFonts w:hint="eastAsia" w:ascii="Times New Roman" w:hAnsi="Times New Roman"/>
          <w:sz w:val="28"/>
          <w:szCs w:val="28"/>
        </w:rPr>
        <w:t>巷道</w:t>
      </w:r>
      <w:r>
        <w:rPr>
          <w:rFonts w:ascii="Times New Roman" w:hAnsi="Times New Roman"/>
          <w:sz w:val="28"/>
          <w:szCs w:val="28"/>
        </w:rPr>
        <w:t>、临小区道路五个等级，以</w:t>
      </w:r>
      <w:r>
        <w:rPr>
          <w:rFonts w:hint="eastAsia" w:ascii="Times New Roman" w:hAnsi="Times New Roman"/>
          <w:sz w:val="28"/>
          <w:szCs w:val="28"/>
        </w:rPr>
        <w:t>评估</w:t>
      </w:r>
      <w:r>
        <w:rPr>
          <w:rFonts w:ascii="Times New Roman" w:hAnsi="Times New Roman"/>
          <w:sz w:val="28"/>
          <w:szCs w:val="28"/>
        </w:rPr>
        <w:t>对象的等级为100，每相差一个等级修正</w:t>
      </w:r>
      <w:r>
        <w:rPr>
          <w:rFonts w:hint="eastAsia" w:ascii="Times New Roman" w:hAnsi="Times New Roman"/>
          <w:sz w:val="28"/>
          <w:szCs w:val="28"/>
        </w:rPr>
        <w:t>2</w:t>
      </w:r>
      <w:r>
        <w:rPr>
          <w:rFonts w:ascii="Times New Roman" w:hAnsi="Times New Roman"/>
          <w:sz w:val="28"/>
          <w:szCs w:val="28"/>
        </w:rPr>
        <w:t>%。</w:t>
      </w:r>
    </w:p>
    <w:p>
      <w:pPr>
        <w:spacing w:line="540" w:lineRule="exact"/>
        <w:ind w:left="567"/>
        <w:rPr>
          <w:rFonts w:hint="eastAsia" w:ascii="Times New Roman" w:hAnsi="Times New Roman" w:eastAsia="仿宋_GB2312" w:cs="Times New Roman"/>
          <w:kern w:val="2"/>
          <w:sz w:val="28"/>
          <w:szCs w:val="28"/>
          <w:lang w:val="en-US" w:eastAsia="zh-CN" w:bidi="ar-SA"/>
        </w:rPr>
      </w:pPr>
      <w:r>
        <w:rPr>
          <w:rFonts w:hint="eastAsia"/>
          <w:sz w:val="28"/>
          <w:szCs w:val="28"/>
        </w:rPr>
        <w:t>4）</w:t>
      </w:r>
      <w:r>
        <w:rPr>
          <w:rFonts w:hint="eastAsia" w:ascii="Times New Roman" w:hAnsi="Times New Roman" w:eastAsia="仿宋_GB2312" w:cs="Times New Roman"/>
          <w:kern w:val="2"/>
          <w:sz w:val="28"/>
          <w:szCs w:val="28"/>
          <w:lang w:val="en-US" w:eastAsia="zh-CN" w:bidi="ar-SA"/>
        </w:rPr>
        <w:t>朝向，根据朝向对房地产价格的影响，向南、向东</w:t>
      </w:r>
      <w:r>
        <w:rPr>
          <w:rFonts w:hint="eastAsia" w:eastAsia="仿宋_GB2312" w:cs="Times New Roman"/>
          <w:kern w:val="2"/>
          <w:sz w:val="28"/>
          <w:szCs w:val="28"/>
          <w:lang w:val="en-US" w:eastAsia="zh-CN" w:bidi="ar-SA"/>
        </w:rPr>
        <w:t>、向</w:t>
      </w:r>
      <w:r>
        <w:rPr>
          <w:rFonts w:hint="eastAsia" w:ascii="Times New Roman" w:hAnsi="Times New Roman" w:eastAsia="仿宋_GB2312" w:cs="Times New Roman"/>
          <w:kern w:val="2"/>
          <w:sz w:val="28"/>
          <w:szCs w:val="28"/>
          <w:lang w:val="en-US" w:eastAsia="zh-CN" w:bidi="ar-SA"/>
        </w:rPr>
        <w:t>西、向北，</w:t>
      </w:r>
    </w:p>
    <w:p>
      <w:pPr>
        <w:spacing w:line="540" w:lineRule="exact"/>
        <w:rPr>
          <w:rFonts w:hint="eastAsia"/>
          <w:sz w:val="28"/>
          <w:szCs w:val="28"/>
        </w:rPr>
      </w:pPr>
      <w:r>
        <w:rPr>
          <w:rFonts w:hint="eastAsia" w:ascii="Times New Roman" w:hAnsi="Times New Roman" w:eastAsia="仿宋_GB2312" w:cs="Times New Roman"/>
          <w:kern w:val="2"/>
          <w:sz w:val="28"/>
          <w:szCs w:val="28"/>
          <w:lang w:val="en-US" w:eastAsia="zh-CN" w:bidi="ar-SA"/>
        </w:rPr>
        <w:t>依次为优、</w:t>
      </w:r>
      <w:r>
        <w:rPr>
          <w:rFonts w:hint="eastAsia" w:eastAsia="仿宋_GB2312" w:cs="Times New Roman"/>
          <w:kern w:val="2"/>
          <w:sz w:val="28"/>
          <w:szCs w:val="28"/>
          <w:lang w:val="en-US" w:eastAsia="zh-CN" w:bidi="ar-SA"/>
        </w:rPr>
        <w:t>较优、</w:t>
      </w:r>
      <w:r>
        <w:rPr>
          <w:rFonts w:hint="eastAsia" w:ascii="Times New Roman" w:hAnsi="Times New Roman" w:eastAsia="仿宋_GB2312" w:cs="Times New Roman"/>
          <w:kern w:val="2"/>
          <w:sz w:val="28"/>
          <w:szCs w:val="28"/>
          <w:lang w:val="en-US" w:eastAsia="zh-CN" w:bidi="ar-SA"/>
        </w:rPr>
        <w:t>一般、劣，以评估对象的朝向为100，每相差一个等级修正</w:t>
      </w:r>
      <w:r>
        <w:rPr>
          <w:rFonts w:hint="eastAsia" w:eastAsia="仿宋_GB2312" w:cs="Times New Roman"/>
          <w:kern w:val="2"/>
          <w:sz w:val="28"/>
          <w:szCs w:val="28"/>
          <w:lang w:val="en-US" w:eastAsia="zh-CN" w:bidi="ar-SA"/>
        </w:rPr>
        <w:t>2</w:t>
      </w:r>
      <w:r>
        <w:rPr>
          <w:rFonts w:hint="eastAsia" w:ascii="Times New Roman" w:hAnsi="Times New Roman" w:eastAsia="仿宋_GB2312" w:cs="Times New Roman"/>
          <w:kern w:val="2"/>
          <w:sz w:val="28"/>
          <w:szCs w:val="28"/>
          <w:lang w:val="en-US" w:eastAsia="zh-CN" w:bidi="ar-SA"/>
        </w:rPr>
        <w:t>%。</w:t>
      </w:r>
    </w:p>
    <w:p>
      <w:pPr>
        <w:spacing w:line="540" w:lineRule="exact"/>
        <w:ind w:left="567"/>
        <w:rPr>
          <w:rFonts w:hint="eastAsia" w:ascii="仿宋_GB2312" w:hAnsi="楷体" w:eastAsia="仿宋_GB2312" w:cs="仿宋_GB2312"/>
          <w:sz w:val="28"/>
          <w:szCs w:val="28"/>
        </w:rPr>
      </w:pPr>
      <w:r>
        <w:rPr>
          <w:rFonts w:hint="eastAsia" w:ascii="仿宋_GB2312" w:hAnsi="楷体" w:eastAsia="仿宋_GB2312" w:cs="仿宋_GB2312"/>
          <w:sz w:val="28"/>
          <w:szCs w:val="28"/>
        </w:rPr>
        <w:t>4.实物状况调整</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1）业主消费层次：小区业主消费层次越高，则该小区业主对私家车及车位的需求越多，对车位价格呈正效应；反之，小区业主消费层次越低，则该小区业主对私家车及车位的需求越少，对车位价格呈负效应。业主消费层次分为高档、中高档、中低档、低档，分别为优、较优、一般、劣，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2）公共交通种类，公共交通种类越少，则业主对私家车库的需求越多，对车库价格呈正效应；反之，公共交通种类数越多，则业主对私家车及车位的需求越少，对车位价格呈负效应。公共交通种类从优到劣分为出租车、公交车均有，仅有出租车。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3）公交线路密度</w:t>
      </w:r>
      <w:r>
        <w:rPr>
          <w:rFonts w:ascii="Times New Roman" w:hAnsi="Times New Roman"/>
          <w:sz w:val="28"/>
          <w:szCs w:val="28"/>
        </w:rPr>
        <w:t xml:space="preserve">, </w:t>
      </w:r>
      <w:r>
        <w:rPr>
          <w:rFonts w:hint="eastAsia" w:ascii="Times New Roman" w:hAnsi="Times New Roman"/>
          <w:sz w:val="28"/>
          <w:szCs w:val="28"/>
        </w:rPr>
        <w:t>公交线路密度越低，则业主对私家车库的需求越多，对车位价格呈正效应。公交线路密度从优到劣分为密集、较密集、一般、较不密集、</w:t>
      </w:r>
      <w:r>
        <w:rPr>
          <w:rFonts w:hint="eastAsia" w:ascii="Times New Roman" w:hAnsi="Times New Roman"/>
          <w:sz w:val="28"/>
          <w:szCs w:val="28"/>
          <w:lang w:eastAsia="zh-CN"/>
        </w:rPr>
        <w:t>不</w:t>
      </w:r>
      <w:r>
        <w:rPr>
          <w:rFonts w:hint="eastAsia" w:ascii="Times New Roman" w:hAnsi="Times New Roman"/>
          <w:sz w:val="28"/>
          <w:szCs w:val="28"/>
        </w:rPr>
        <w:t>密集。以评估对象为100，每相差一个等级修正2%。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4）</w:t>
      </w:r>
      <w:r>
        <w:rPr>
          <w:rFonts w:ascii="Times New Roman" w:hAnsi="Times New Roman"/>
          <w:sz w:val="28"/>
          <w:szCs w:val="28"/>
        </w:rPr>
        <w:t>公共交通便捷度，</w:t>
      </w:r>
      <w:r>
        <w:rPr>
          <w:rFonts w:hint="eastAsia" w:ascii="Times New Roman" w:hAnsi="Times New Roman"/>
          <w:sz w:val="28"/>
          <w:szCs w:val="28"/>
        </w:rPr>
        <w:t>公共交通便捷度越低，则业主对私家车及车位的需求越多，对车位价格呈正效应；反之，公共交通便捷度越高，则业主对私家车及车位的需求越少，对车位价格呈负效应</w:t>
      </w:r>
      <w:r>
        <w:rPr>
          <w:rFonts w:ascii="Times New Roman" w:hAnsi="Times New Roman"/>
          <w:sz w:val="28"/>
          <w:szCs w:val="28"/>
        </w:rPr>
        <w:t>。公共交通便捷度</w:t>
      </w:r>
      <w:r>
        <w:rPr>
          <w:rFonts w:hint="eastAsia" w:ascii="Times New Roman" w:hAnsi="Times New Roman"/>
          <w:sz w:val="28"/>
          <w:szCs w:val="28"/>
        </w:rPr>
        <w:t>分为便捷、较便捷、一般便捷、较不便捷、不便捷。以评估对象为100，每相差一个等级修正2%。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5）生活配套设施状况，生活配套设施越不便利，则业主对私家车库的需求越多，对车库价格呈正效应。生活配套设施状况分为完备、较完备、一般完备、较不完备、不完备。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6）小区住宅均价，在同一供求圈内，小区住宅平均价格越高，则该小区档次越高，小区业主对私家车及车位的需求越多，对车位价格呈正效应；反之，小区住宅平均价格越低，则该小区档次越低，小区业主对私家车及车位的需求越少，对车位价格呈负效应。因可比实例1、2、3与估价对象均在同一档次，故不作调整。</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7）周边居住小区状况，周边居住小区高档住宅越多，则周边小区业主对私家车库的需求越多，则车库的价格呈正效应。周边居住小区状况从优到劣分为高档小区多、中档小区多、低档小区多。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8）用途多样性</w:t>
      </w:r>
      <w:r>
        <w:rPr>
          <w:rFonts w:ascii="Times New Roman" w:hAnsi="Times New Roman"/>
          <w:sz w:val="28"/>
          <w:szCs w:val="28"/>
        </w:rPr>
        <w:t>，</w:t>
      </w:r>
      <w:r>
        <w:rPr>
          <w:rFonts w:hint="eastAsia" w:ascii="Times New Roman" w:hAnsi="Times New Roman"/>
          <w:sz w:val="28"/>
          <w:szCs w:val="28"/>
        </w:rPr>
        <w:t>由于现在地上车库不仅仅作为车库进行使用，大多数业主对车库进行的改造，可以用作商业经营、住宅居住等。以评估对象为100，每相差一种用途修正1%。</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9）</w:t>
      </w:r>
      <w:r>
        <w:rPr>
          <w:rFonts w:ascii="Times New Roman" w:hAnsi="Times New Roman"/>
          <w:sz w:val="28"/>
          <w:szCs w:val="28"/>
        </w:rPr>
        <w:t>建筑结构，自好向差分为钢结构、钢混</w:t>
      </w:r>
      <w:r>
        <w:rPr>
          <w:rFonts w:hint="eastAsia" w:ascii="Times New Roman" w:hAnsi="Times New Roman"/>
          <w:sz w:val="28"/>
          <w:szCs w:val="28"/>
        </w:rPr>
        <w:t>（</w:t>
      </w:r>
      <w:r>
        <w:rPr>
          <w:rFonts w:hint="eastAsia" w:ascii="Times New Roman" w:hAnsi="Times New Roman"/>
          <w:sz w:val="28"/>
          <w:szCs w:val="28"/>
          <w:lang w:eastAsia="zh-CN"/>
        </w:rPr>
        <w:t>同</w:t>
      </w:r>
      <w:r>
        <w:rPr>
          <w:rFonts w:hint="eastAsia" w:ascii="Times New Roman" w:hAnsi="Times New Roman"/>
          <w:sz w:val="28"/>
          <w:szCs w:val="28"/>
        </w:rPr>
        <w:t>框架）</w:t>
      </w:r>
      <w:r>
        <w:rPr>
          <w:rFonts w:ascii="Times New Roman" w:hAnsi="Times New Roman"/>
          <w:sz w:val="28"/>
          <w:szCs w:val="28"/>
        </w:rPr>
        <w:t>结构、混合（含砖混）结构、砖木结构四个等级，每相差一个等级修正2%。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10）</w:t>
      </w:r>
      <w:r>
        <w:rPr>
          <w:rFonts w:ascii="Times New Roman" w:hAnsi="Times New Roman"/>
          <w:sz w:val="28"/>
          <w:szCs w:val="28"/>
        </w:rPr>
        <w:t>装饰装修, 自好向差分为豪华装修、精装修、中等装修、简单装修、毛坯五个等级，以评估对象为100，每相差一个等级修正</w:t>
      </w:r>
      <w:r>
        <w:rPr>
          <w:rFonts w:hint="eastAsia" w:ascii="Times New Roman" w:hAnsi="Times New Roman"/>
          <w:sz w:val="28"/>
          <w:szCs w:val="28"/>
        </w:rPr>
        <w:t>3</w:t>
      </w:r>
      <w:r>
        <w:rPr>
          <w:rFonts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11）</w:t>
      </w:r>
      <w:r>
        <w:rPr>
          <w:rFonts w:ascii="Times New Roman" w:hAnsi="Times New Roman"/>
          <w:sz w:val="28"/>
          <w:szCs w:val="28"/>
        </w:rPr>
        <w:t>建筑规模，根据住宅规模的影响建筑规模从劣到</w:t>
      </w:r>
      <w:r>
        <w:rPr>
          <w:rFonts w:hint="eastAsia" w:ascii="Times New Roman" w:hAnsi="Times New Roman"/>
          <w:sz w:val="28"/>
          <w:szCs w:val="28"/>
        </w:rPr>
        <w:t>优</w:t>
      </w:r>
      <w:r>
        <w:rPr>
          <w:rFonts w:ascii="Times New Roman" w:hAnsi="Times New Roman"/>
          <w:sz w:val="28"/>
          <w:szCs w:val="28"/>
        </w:rPr>
        <w:t>分为</w:t>
      </w:r>
      <w:r>
        <w:rPr>
          <w:rFonts w:hint="eastAsia" w:ascii="Times New Roman" w:hAnsi="Times New Roman"/>
          <w:sz w:val="28"/>
          <w:szCs w:val="28"/>
        </w:rPr>
        <w:t>五栋以下，五栋至二十栋，二十栋以上三个等级</w:t>
      </w:r>
      <w:r>
        <w:rPr>
          <w:rFonts w:ascii="Times New Roman" w:hAnsi="Times New Roman"/>
          <w:sz w:val="28"/>
          <w:szCs w:val="28"/>
        </w:rPr>
        <w:t>，以评估对象为100, 每相差一个等级修正1%</w:t>
      </w:r>
      <w:r>
        <w:rPr>
          <w:rFonts w:hint="eastAsia"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rPr>
        <w:t>12）</w:t>
      </w:r>
      <w:r>
        <w:rPr>
          <w:rFonts w:ascii="Times New Roman" w:hAnsi="Times New Roman"/>
          <w:sz w:val="28"/>
          <w:szCs w:val="28"/>
        </w:rPr>
        <w:t>成新率，根据评估对象及三个可比实例的竣工年份及维护使用状况，判断成新率</w:t>
      </w:r>
      <w:r>
        <w:rPr>
          <w:rFonts w:hint="eastAsia" w:ascii="Times New Roman" w:hAnsi="Times New Roman"/>
          <w:sz w:val="28"/>
          <w:szCs w:val="28"/>
        </w:rPr>
        <w:t>，</w:t>
      </w:r>
      <w:r>
        <w:rPr>
          <w:rFonts w:hint="eastAsia" w:hAnsi="Times New Roman"/>
          <w:sz w:val="28"/>
          <w:szCs w:val="28"/>
          <w:lang w:eastAsia="zh-CN"/>
        </w:rPr>
        <w:t>估价</w:t>
      </w:r>
      <w:r>
        <w:rPr>
          <w:rFonts w:hint="eastAsia" w:hAnsi="Times New Roman"/>
          <w:sz w:val="28"/>
          <w:szCs w:val="28"/>
        </w:rPr>
        <w:t>对象建于</w:t>
      </w:r>
      <w:r>
        <w:rPr>
          <w:rFonts w:hint="eastAsia" w:hAnsi="Times New Roman"/>
          <w:sz w:val="28"/>
          <w:szCs w:val="28"/>
          <w:lang w:val="en-US" w:eastAsia="zh-CN"/>
        </w:rPr>
        <w:t>2010</w:t>
      </w:r>
      <w:r>
        <w:rPr>
          <w:rFonts w:hint="eastAsia" w:hAnsi="Times New Roman"/>
          <w:sz w:val="28"/>
          <w:szCs w:val="28"/>
        </w:rPr>
        <w:t>年，但其维护保养情况较好，故成新率确定为</w:t>
      </w:r>
      <w:r>
        <w:rPr>
          <w:rFonts w:hint="eastAsia" w:hAnsi="Times New Roman"/>
          <w:sz w:val="28"/>
          <w:szCs w:val="28"/>
          <w:lang w:eastAsia="zh-CN"/>
        </w:rPr>
        <w:t>八</w:t>
      </w:r>
      <w:r>
        <w:rPr>
          <w:rFonts w:hint="eastAsia" w:hAnsi="Times New Roman"/>
          <w:sz w:val="28"/>
          <w:szCs w:val="28"/>
        </w:rPr>
        <w:t>成</w:t>
      </w:r>
      <w:r>
        <w:rPr>
          <w:rFonts w:ascii="Times New Roman" w:hAnsi="Times New Roman"/>
          <w:sz w:val="28"/>
          <w:szCs w:val="28"/>
        </w:rPr>
        <w:t>，以评估对象为100，每相差一成修正</w:t>
      </w:r>
      <w:r>
        <w:rPr>
          <w:rFonts w:hint="eastAsia" w:ascii="Times New Roman" w:hAnsi="Times New Roman"/>
          <w:sz w:val="28"/>
          <w:szCs w:val="28"/>
        </w:rPr>
        <w:t>1</w:t>
      </w:r>
      <w:r>
        <w:rPr>
          <w:rFonts w:ascii="Times New Roman" w:hAnsi="Times New Roman"/>
          <w:sz w:val="28"/>
          <w:szCs w:val="28"/>
        </w:rPr>
        <w:t>%</w:t>
      </w:r>
    </w:p>
    <w:p>
      <w:pPr>
        <w:spacing w:line="540" w:lineRule="exact"/>
        <w:ind w:left="567"/>
        <w:rPr>
          <w:rFonts w:hint="eastAsia" w:ascii="仿宋_GB2312" w:hAnsi="楷体" w:eastAsia="仿宋_GB2312" w:cs="仿宋_GB2312"/>
          <w:sz w:val="28"/>
          <w:szCs w:val="28"/>
        </w:rPr>
      </w:pPr>
      <w:r>
        <w:rPr>
          <w:rFonts w:hint="eastAsia" w:ascii="仿宋_GB2312" w:hAnsi="楷体" w:eastAsia="仿宋_GB2312" w:cs="仿宋_GB2312"/>
          <w:sz w:val="28"/>
          <w:szCs w:val="28"/>
        </w:rPr>
        <w:t>5.权益状况调整说明</w:t>
      </w:r>
    </w:p>
    <w:p>
      <w:pPr>
        <w:pStyle w:val="105"/>
        <w:spacing w:line="600" w:lineRule="exact"/>
        <w:ind w:firstLine="560" w:firstLineChars="200"/>
        <w:rPr>
          <w:rFonts w:ascii="Times New Roman" w:hAnsi="Times New Roman"/>
          <w:sz w:val="28"/>
          <w:szCs w:val="28"/>
        </w:rPr>
      </w:pPr>
      <w:r>
        <w:rPr>
          <w:rFonts w:ascii="Times New Roman" w:hAnsi="Times New Roman"/>
          <w:sz w:val="28"/>
          <w:szCs w:val="28"/>
        </w:rPr>
        <w:t>规划条件、共有情况、权属清晰情况采用百分比修正；用益物权设立情况、担保物权设立情况、租赁或占有情况、拖欠税费情况、查封情况采用增减金额修正。</w:t>
      </w:r>
    </w:p>
    <w:p>
      <w:pPr>
        <w:pStyle w:val="105"/>
        <w:numPr>
          <w:ilvl w:val="2"/>
          <w:numId w:val="9"/>
        </w:numPr>
        <w:spacing w:line="600" w:lineRule="exact"/>
        <w:ind w:left="0" w:firstLine="560" w:firstLineChars="200"/>
        <w:rPr>
          <w:rFonts w:ascii="Times New Roman" w:hAnsi="Times New Roman"/>
          <w:sz w:val="28"/>
          <w:szCs w:val="28"/>
        </w:rPr>
      </w:pPr>
      <w:r>
        <w:rPr>
          <w:rFonts w:ascii="Times New Roman" w:hAnsi="Times New Roman"/>
          <w:sz w:val="28"/>
          <w:szCs w:val="28"/>
        </w:rPr>
        <w:t>规划条件，评估对象与三个可比实例均</w:t>
      </w:r>
      <w:r>
        <w:rPr>
          <w:rFonts w:hint="eastAsia" w:ascii="Times New Roman" w:hAnsi="Times New Roman"/>
          <w:sz w:val="28"/>
          <w:szCs w:val="28"/>
          <w:lang w:eastAsia="zh-CN"/>
        </w:rPr>
        <w:t>有</w:t>
      </w:r>
      <w:r>
        <w:rPr>
          <w:rFonts w:ascii="Times New Roman" w:hAnsi="Times New Roman"/>
          <w:sz w:val="28"/>
          <w:szCs w:val="28"/>
        </w:rPr>
        <w:t>规划限制条件，故不进行修正，修正系数为100%。</w:t>
      </w:r>
    </w:p>
    <w:p>
      <w:pPr>
        <w:pStyle w:val="105"/>
        <w:numPr>
          <w:ilvl w:val="2"/>
          <w:numId w:val="9"/>
        </w:numPr>
        <w:spacing w:line="600" w:lineRule="exact"/>
        <w:ind w:left="0" w:firstLine="560" w:firstLineChars="200"/>
        <w:rPr>
          <w:rFonts w:ascii="Times New Roman" w:hAnsi="Times New Roman" w:cs="Times New Roman"/>
          <w:sz w:val="28"/>
          <w:szCs w:val="28"/>
        </w:rPr>
      </w:pPr>
      <w:r>
        <w:rPr>
          <w:rFonts w:ascii="Times New Roman" w:hAnsi="Times New Roman"/>
          <w:sz w:val="28"/>
          <w:szCs w:val="28"/>
        </w:rPr>
        <w:t xml:space="preserve">共有情况, </w:t>
      </w:r>
      <w:r>
        <w:rPr>
          <w:rFonts w:hint="eastAsia" w:ascii="Times New Roman" w:hAnsi="Times New Roman" w:cs="Times New Roman"/>
          <w:sz w:val="28"/>
          <w:szCs w:val="28"/>
        </w:rPr>
        <w:t>估价对象</w:t>
      </w:r>
      <w:r>
        <w:rPr>
          <w:rFonts w:hint="eastAsia" w:ascii="Times New Roman" w:hAnsi="Times New Roman" w:cs="Times New Roman"/>
          <w:sz w:val="28"/>
          <w:szCs w:val="28"/>
          <w:lang w:eastAsia="zh-CN"/>
        </w:rPr>
        <w:t>有共有情况，</w:t>
      </w:r>
      <w:r>
        <w:rPr>
          <w:rFonts w:hint="eastAsia" w:ascii="Times New Roman" w:hAnsi="Times New Roman" w:cs="Times New Roman"/>
          <w:sz w:val="28"/>
          <w:szCs w:val="28"/>
        </w:rPr>
        <w:t>三个可比实例均无共有情况，</w:t>
      </w:r>
      <w:r>
        <w:rPr>
          <w:rFonts w:hint="eastAsia" w:ascii="Times New Roman" w:hAnsi="Times New Roman" w:cs="Times New Roman"/>
          <w:sz w:val="28"/>
          <w:szCs w:val="28"/>
          <w:lang w:eastAsia="zh-CN"/>
        </w:rPr>
        <w:t>共有情况对房地产价值影响不大，</w:t>
      </w:r>
      <w:r>
        <w:rPr>
          <w:rFonts w:hint="eastAsia" w:ascii="Times New Roman" w:hAnsi="Times New Roman" w:cs="Times New Roman"/>
          <w:sz w:val="28"/>
          <w:szCs w:val="28"/>
        </w:rPr>
        <w:t>故本次评估未考虑其</w:t>
      </w:r>
      <w:r>
        <w:rPr>
          <w:rFonts w:hint="eastAsia" w:ascii="Times New Roman" w:hAnsi="Times New Roman" w:cs="Times New Roman"/>
          <w:sz w:val="28"/>
          <w:szCs w:val="28"/>
          <w:lang w:eastAsia="zh-CN"/>
        </w:rPr>
        <w:t>共有</w:t>
      </w:r>
      <w:r>
        <w:rPr>
          <w:rFonts w:hint="eastAsia" w:ascii="Times New Roman" w:hAnsi="Times New Roman" w:cs="Times New Roman"/>
          <w:sz w:val="28"/>
          <w:szCs w:val="28"/>
        </w:rPr>
        <w:t>情况，修正系数为100%</w:t>
      </w:r>
      <w:r>
        <w:rPr>
          <w:rFonts w:ascii="Times New Roman" w:hAnsi="Times New Roman" w:cs="Times New Roman"/>
          <w:sz w:val="28"/>
          <w:szCs w:val="28"/>
        </w:rPr>
        <w:t>。</w:t>
      </w:r>
    </w:p>
    <w:p>
      <w:pPr>
        <w:pStyle w:val="105"/>
        <w:numPr>
          <w:ilvl w:val="2"/>
          <w:numId w:val="9"/>
        </w:numPr>
        <w:spacing w:line="600" w:lineRule="exact"/>
        <w:ind w:left="0" w:firstLine="560" w:firstLineChars="200"/>
        <w:rPr>
          <w:rFonts w:ascii="Times New Roman" w:hAnsi="Times New Roman"/>
          <w:sz w:val="28"/>
          <w:szCs w:val="28"/>
        </w:rPr>
      </w:pPr>
      <w:r>
        <w:rPr>
          <w:rFonts w:ascii="Times New Roman" w:hAnsi="Times New Roman"/>
          <w:sz w:val="28"/>
          <w:szCs w:val="28"/>
        </w:rPr>
        <w:t>权属清晰情况, 评估对象与三个可比实例均权属清晰，故不进行修正，修正系数为100%。</w:t>
      </w:r>
    </w:p>
    <w:p>
      <w:pPr>
        <w:pStyle w:val="105"/>
        <w:numPr>
          <w:ilvl w:val="2"/>
          <w:numId w:val="9"/>
        </w:numPr>
        <w:spacing w:line="600" w:lineRule="exact"/>
        <w:ind w:left="0" w:firstLine="560" w:firstLineChars="200"/>
        <w:rPr>
          <w:rFonts w:ascii="Times New Roman" w:hAnsi="Times New Roman"/>
          <w:sz w:val="28"/>
          <w:szCs w:val="28"/>
        </w:rPr>
      </w:pPr>
      <w:r>
        <w:rPr>
          <w:rFonts w:ascii="Times New Roman" w:hAnsi="Times New Roman"/>
          <w:sz w:val="28"/>
          <w:szCs w:val="28"/>
        </w:rPr>
        <w:t>用益物权设立情况, 评估对象与三个可比实例均无用益物权设立情况，故不进行修正，金额修正为0。</w:t>
      </w:r>
    </w:p>
    <w:p>
      <w:pPr>
        <w:pStyle w:val="105"/>
        <w:numPr>
          <w:ilvl w:val="2"/>
          <w:numId w:val="9"/>
        </w:numPr>
        <w:spacing w:line="600" w:lineRule="exact"/>
        <w:ind w:left="0" w:firstLine="560" w:firstLineChars="200"/>
        <w:rPr>
          <w:rFonts w:hint="eastAsia" w:ascii="Times New Roman" w:hAnsi="Times New Roman" w:cs="Times New Roman"/>
          <w:sz w:val="28"/>
          <w:szCs w:val="28"/>
        </w:rPr>
      </w:pPr>
      <w:r>
        <w:rPr>
          <w:rFonts w:ascii="Times New Roman" w:hAnsi="Times New Roman"/>
          <w:sz w:val="28"/>
          <w:szCs w:val="28"/>
        </w:rPr>
        <w:t>担保物权设立情况</w:t>
      </w:r>
      <w:r>
        <w:rPr>
          <w:sz w:val="28"/>
          <w:szCs w:val="28"/>
        </w:rPr>
        <w:t>，</w:t>
      </w:r>
      <w:r>
        <w:rPr>
          <w:rFonts w:hint="eastAsia" w:ascii="Times New Roman" w:hAnsi="Times New Roman" w:cs="Times New Roman"/>
          <w:sz w:val="28"/>
          <w:szCs w:val="28"/>
        </w:rPr>
        <w:t>估价对象有抵押权设立情况，三个可比实例均无抵押权设立情况，根据《房地产估价规范》（GB/T50291-2015）第5.4条：“房地产司法拍卖估价时，评估价值的影响因素应包括拍卖房地产的瑕疵，但不应包括拍卖房地产被查封及拍卖房地产上原有的担保物权和其他优先受偿权。”故本次评估未考虑其抵押权设立情况，故不进行修正，金额修正为0。</w:t>
      </w:r>
    </w:p>
    <w:p>
      <w:pPr>
        <w:pStyle w:val="105"/>
        <w:numPr>
          <w:ilvl w:val="2"/>
          <w:numId w:val="9"/>
        </w:numPr>
        <w:spacing w:line="600" w:lineRule="exact"/>
        <w:ind w:left="0" w:firstLine="560" w:firstLineChars="200"/>
        <w:rPr>
          <w:rFonts w:ascii="Times New Roman" w:hAnsi="Times New Roman"/>
          <w:sz w:val="28"/>
          <w:szCs w:val="28"/>
        </w:rPr>
      </w:pPr>
      <w:r>
        <w:rPr>
          <w:rFonts w:ascii="Times New Roman" w:hAnsi="Times New Roman"/>
          <w:sz w:val="28"/>
          <w:szCs w:val="28"/>
        </w:rPr>
        <w:t>租赁或占有情况,</w:t>
      </w:r>
      <w:r>
        <w:rPr>
          <w:rFonts w:hint="eastAsia" w:ascii="Times New Roman" w:hAnsi="Times New Roman"/>
          <w:sz w:val="28"/>
          <w:szCs w:val="28"/>
        </w:rPr>
        <w:t xml:space="preserve"> 估价对象与三个可比实例均不存在租赁或占有情况</w:t>
      </w:r>
      <w:r>
        <w:rPr>
          <w:rFonts w:hint="eastAsia" w:hAnsi="Times New Roman"/>
          <w:sz w:val="28"/>
          <w:szCs w:val="28"/>
        </w:rPr>
        <w:t>，</w:t>
      </w:r>
      <w:r>
        <w:rPr>
          <w:rFonts w:hint="eastAsia" w:hAnsi="Times New Roman"/>
          <w:sz w:val="28"/>
          <w:szCs w:val="28"/>
          <w:lang w:eastAsia="zh-CN"/>
        </w:rPr>
        <w:t>故</w:t>
      </w:r>
      <w:r>
        <w:rPr>
          <w:rFonts w:hint="eastAsia" w:hAnsi="Times New Roman"/>
          <w:sz w:val="28"/>
          <w:szCs w:val="28"/>
        </w:rPr>
        <w:t>不进行修正，金额修正为0</w:t>
      </w:r>
      <w:r>
        <w:rPr>
          <w:rFonts w:ascii="Times New Roman" w:hAnsi="Times New Roman"/>
          <w:sz w:val="28"/>
          <w:szCs w:val="28"/>
        </w:rPr>
        <w:t>。</w:t>
      </w:r>
    </w:p>
    <w:p>
      <w:pPr>
        <w:pStyle w:val="105"/>
        <w:numPr>
          <w:ilvl w:val="2"/>
          <w:numId w:val="9"/>
        </w:numPr>
        <w:spacing w:line="600" w:lineRule="exact"/>
        <w:ind w:left="0" w:firstLine="560" w:firstLineChars="200"/>
        <w:rPr>
          <w:rFonts w:ascii="Times New Roman" w:hAnsi="Times New Roman"/>
          <w:sz w:val="28"/>
          <w:szCs w:val="28"/>
        </w:rPr>
      </w:pPr>
      <w:r>
        <w:rPr>
          <w:rFonts w:ascii="Times New Roman" w:hAnsi="Times New Roman"/>
          <w:sz w:val="28"/>
          <w:szCs w:val="28"/>
        </w:rPr>
        <w:t>拖欠税费情况, 评估对象与三个可比实例均无拖欠税费情况，故不进行修正，金额修正为0。</w:t>
      </w:r>
    </w:p>
    <w:p>
      <w:pPr>
        <w:pStyle w:val="105"/>
        <w:numPr>
          <w:ilvl w:val="2"/>
          <w:numId w:val="9"/>
        </w:numPr>
        <w:spacing w:line="600" w:lineRule="exact"/>
        <w:ind w:left="0" w:firstLine="560" w:firstLineChars="200"/>
        <w:rPr>
          <w:rFonts w:ascii="Times New Roman" w:hAnsi="Times New Roman"/>
          <w:sz w:val="28"/>
          <w:szCs w:val="28"/>
        </w:rPr>
      </w:pPr>
      <w:r>
        <w:rPr>
          <w:rFonts w:hint="eastAsia" w:ascii="Times New Roman" w:hAnsi="Times New Roman"/>
          <w:sz w:val="28"/>
          <w:szCs w:val="28"/>
        </w:rPr>
        <w:t>查</w:t>
      </w:r>
      <w:r>
        <w:rPr>
          <w:rFonts w:hint="eastAsia" w:ascii="Times New Roman" w:hAnsi="Times New Roman" w:cs="Times New Roman"/>
          <w:sz w:val="28"/>
          <w:szCs w:val="28"/>
        </w:rPr>
        <w:t>封情况，估价对象存在查封情况，三个可比实例均无查封情况。</w:t>
      </w:r>
      <w:r>
        <w:rPr>
          <w:rFonts w:ascii="Times New Roman" w:hAnsi="Times New Roman" w:cs="Times New Roman"/>
          <w:sz w:val="28"/>
          <w:szCs w:val="28"/>
        </w:rPr>
        <w:t>根据《房地产估价规范》（GB/T50291-2015）第5.4条：“房地产司法拍卖估价时，评估价值的影响因素应包括拍卖房地产的瑕疵，但不应包括拍卖房地产被查封及</w:t>
      </w:r>
      <w:r>
        <w:rPr>
          <w:rFonts w:hint="eastAsia" w:ascii="Times New Roman" w:hAnsi="Times New Roman" w:cs="Times New Roman"/>
          <w:sz w:val="28"/>
          <w:szCs w:val="28"/>
        </w:rPr>
        <w:t>抵押</w:t>
      </w:r>
      <w:r>
        <w:rPr>
          <w:rFonts w:ascii="Times New Roman" w:hAnsi="Times New Roman" w:cs="Times New Roman"/>
          <w:sz w:val="28"/>
          <w:szCs w:val="28"/>
        </w:rPr>
        <w:t>拍卖房地产上原有的担保物权和其他优先受偿权。”本次评估未考虑其查封情况</w:t>
      </w:r>
      <w:r>
        <w:rPr>
          <w:rFonts w:hint="eastAsia" w:ascii="Times New Roman" w:hAnsi="Times New Roman" w:cs="Times New Roman"/>
          <w:sz w:val="28"/>
          <w:szCs w:val="28"/>
        </w:rPr>
        <w:t>，故不进行修正，金额修正为0。</w:t>
      </w:r>
    </w:p>
    <w:p>
      <w:pPr>
        <w:pStyle w:val="38"/>
        <w:widowControl w:val="0"/>
        <w:spacing w:before="120" w:beforeLines="50" w:beforeAutospacing="0" w:after="120" w:afterLines="50" w:afterAutospacing="0" w:line="540" w:lineRule="exact"/>
        <w:ind w:firstLine="482" w:firstLineChars="200"/>
        <w:jc w:val="both"/>
        <w:rPr>
          <w:rFonts w:hint="eastAsia" w:ascii="仿宋_GB2312" w:hAnsi="楷体" w:eastAsia="仿宋_GB2312"/>
          <w:b/>
          <w:kern w:val="2"/>
        </w:rPr>
      </w:pPr>
    </w:p>
    <w:p>
      <w:pPr>
        <w:pStyle w:val="38"/>
        <w:widowControl w:val="0"/>
        <w:spacing w:before="120" w:beforeLines="50" w:beforeAutospacing="0" w:after="120" w:afterLines="50" w:afterAutospacing="0" w:line="540" w:lineRule="exact"/>
        <w:ind w:firstLine="482" w:firstLineChars="200"/>
        <w:jc w:val="both"/>
        <w:rPr>
          <w:rFonts w:hAnsi="楷体"/>
          <w:b/>
        </w:rPr>
      </w:pPr>
      <w:r>
        <w:rPr>
          <w:rFonts w:hint="eastAsia" w:ascii="仿宋_GB2312" w:hAnsi="楷体" w:eastAsia="仿宋_GB2312"/>
          <w:b/>
          <w:kern w:val="2"/>
        </w:rPr>
        <w:t>（五） 编制比较因素条件分数表</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根据以上比较因素指数的说明，编制比较因素条件分数表，详见表5：</w:t>
      </w:r>
    </w:p>
    <w:p>
      <w:pPr>
        <w:pStyle w:val="38"/>
        <w:widowControl w:val="0"/>
        <w:spacing w:before="0" w:beforeAutospacing="0" w:after="0" w:afterAutospacing="0" w:line="360" w:lineRule="auto"/>
        <w:ind w:firstLine="357"/>
        <w:jc w:val="center"/>
        <w:rPr>
          <w:rFonts w:hAnsi="楷体"/>
          <w:b/>
        </w:rPr>
      </w:pPr>
      <w:r>
        <w:rPr>
          <w:rFonts w:hint="eastAsia" w:ascii="仿宋_GB2312" w:hAnsi="楷体" w:eastAsia="仿宋_GB2312"/>
          <w:b/>
          <w:kern w:val="2"/>
        </w:rPr>
        <w:t>表5   因素条件分数表</w:t>
      </w:r>
    </w:p>
    <w:tbl>
      <w:tblPr>
        <w:tblStyle w:val="42"/>
        <w:tblW w:w="8959"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71"/>
        <w:gridCol w:w="1082"/>
        <w:gridCol w:w="1994"/>
        <w:gridCol w:w="1252"/>
        <w:gridCol w:w="8"/>
        <w:gridCol w:w="1258"/>
        <w:gridCol w:w="8"/>
        <w:gridCol w:w="1258"/>
        <w:gridCol w:w="8"/>
        <w:gridCol w:w="1281"/>
        <w:gridCol w:w="39"/>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tblHeader/>
          <w:jc w:val="center"/>
        </w:trPr>
        <w:tc>
          <w:tcPr>
            <w:tcW w:w="3847" w:type="dxa"/>
            <w:gridSpan w:val="3"/>
            <w:vMerge w:val="restart"/>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项目名称</w:t>
            </w:r>
          </w:p>
        </w:tc>
        <w:tc>
          <w:tcPr>
            <w:tcW w:w="1252"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估价对象</w:t>
            </w:r>
          </w:p>
        </w:tc>
        <w:tc>
          <w:tcPr>
            <w:tcW w:w="1266" w:type="dxa"/>
            <w:gridSpan w:val="2"/>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可比实例1</w:t>
            </w:r>
          </w:p>
        </w:tc>
        <w:tc>
          <w:tcPr>
            <w:tcW w:w="1266" w:type="dxa"/>
            <w:gridSpan w:val="2"/>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可比实例2</w:t>
            </w:r>
          </w:p>
        </w:tc>
        <w:tc>
          <w:tcPr>
            <w:tcW w:w="1328" w:type="dxa"/>
            <w:gridSpan w:val="3"/>
            <w:tcBorders>
              <w:top w:val="thinThickSmallGap" w:color="auto" w:sz="12"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4" w:hRule="atLeast"/>
          <w:tblHeader/>
          <w:jc w:val="center"/>
        </w:trPr>
        <w:tc>
          <w:tcPr>
            <w:tcW w:w="3847" w:type="dxa"/>
            <w:gridSpan w:val="3"/>
            <w:vMerge w:val="continue"/>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252"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c>
          <w:tcPr>
            <w:tcW w:w="1328" w:type="dxa"/>
            <w:gridSpan w:val="3"/>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51" w:hRule="atLeast"/>
          <w:jc w:val="center"/>
        </w:trPr>
        <w:tc>
          <w:tcPr>
            <w:tcW w:w="3847"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标准化处理后的成交价格</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待估</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8500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8333</w:t>
            </w:r>
          </w:p>
        </w:tc>
        <w:tc>
          <w:tcPr>
            <w:tcW w:w="1328" w:type="dxa"/>
            <w:gridSpan w:val="3"/>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3847" w:type="dxa"/>
            <w:gridSpan w:val="3"/>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交易情况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28" w:type="dxa"/>
            <w:gridSpan w:val="3"/>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6" w:hRule="atLeast"/>
          <w:jc w:val="center"/>
        </w:trPr>
        <w:tc>
          <w:tcPr>
            <w:tcW w:w="1853"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市场</w:t>
            </w:r>
          </w:p>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成交日期</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28" w:type="dxa"/>
            <w:gridSpan w:val="3"/>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5" w:hRule="atLeast"/>
          <w:jc w:val="center"/>
        </w:trPr>
        <w:tc>
          <w:tcPr>
            <w:tcW w:w="1853" w:type="dxa"/>
            <w:gridSpan w:val="2"/>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区位状况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距区域中心的距离</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46"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临街状况（小区）</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46"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道路等级（小区）</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46" w:hRule="atLeast"/>
          <w:jc w:val="center"/>
        </w:trPr>
        <w:tc>
          <w:tcPr>
            <w:tcW w:w="1853" w:type="dxa"/>
            <w:gridSpan w:val="2"/>
            <w:vMerge w:val="continue"/>
            <w:tcBorders>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朝向</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405" w:hRule="atLeast"/>
          <w:jc w:val="center"/>
        </w:trPr>
        <w:tc>
          <w:tcPr>
            <w:tcW w:w="1853" w:type="dxa"/>
            <w:gridSpan w:val="2"/>
            <w:vMerge w:val="restart"/>
            <w:tcBorders>
              <w:top w:val="dotted" w:color="auto" w:sz="4" w:space="0"/>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实物状况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业主消费层次</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405"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公共交通种类</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405"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公交线路密度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405"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公共交通便捷度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46"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 xml:space="preserve">生活配套设施状况 </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46"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小区住宅均价</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周边居住小区状况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用途多样性</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建筑结构</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装饰装修</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建筑规模</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74" w:hRule="atLeast"/>
          <w:jc w:val="center"/>
        </w:trPr>
        <w:tc>
          <w:tcPr>
            <w:tcW w:w="1853" w:type="dxa"/>
            <w:gridSpan w:val="2"/>
            <w:vMerge w:val="continue"/>
            <w:tcBorders>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成新率</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restart"/>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w:t>
            </w:r>
          </w:p>
        </w:tc>
        <w:tc>
          <w:tcPr>
            <w:tcW w:w="1082"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权益状况（1）</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规划条件</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共有情况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权属清晰情况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289"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restart"/>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权益状况（2）</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用益物权设立情况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81"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担保物权设立情况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81"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租赁或占有情况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81"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拖欠税费情况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81"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39"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1994"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查封情况</w:t>
            </w:r>
          </w:p>
        </w:tc>
        <w:tc>
          <w:tcPr>
            <w:tcW w:w="1260"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266"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66"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281" w:type="dxa"/>
            <w:tcBorders>
              <w:top w:val="dotted" w:color="auto" w:sz="4" w:space="0"/>
              <w:left w:val="dotted" w:color="auto" w:sz="4" w:space="0"/>
              <w:bottom w:val="thickThinSmallGap" w:color="auto" w:sz="12"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bl>
    <w:p>
      <w:pPr>
        <w:spacing w:before="120" w:beforeLines="50" w:after="120" w:afterLines="50"/>
        <w:ind w:firstLine="482" w:firstLineChars="200"/>
        <w:jc w:val="left"/>
        <w:rPr>
          <w:rFonts w:ascii="仿宋_GB2312" w:hAnsi="楷体" w:eastAsia="仿宋_GB2312" w:cs="仿宋_GB2312"/>
          <w:b/>
          <w:sz w:val="24"/>
          <w:szCs w:val="24"/>
        </w:rPr>
      </w:pPr>
      <w:r>
        <w:rPr>
          <w:rFonts w:hint="eastAsia" w:ascii="仿宋_GB2312" w:hAnsi="楷体" w:eastAsia="仿宋_GB2312" w:cs="仿宋_GB2312"/>
          <w:b/>
          <w:sz w:val="24"/>
          <w:szCs w:val="24"/>
        </w:rPr>
        <w:t>（六）编制因素比准价格表</w:t>
      </w:r>
    </w:p>
    <w:p>
      <w:pPr>
        <w:widowControl/>
        <w:adjustRightInd w:val="0"/>
        <w:snapToGrid w:val="0"/>
        <w:spacing w:line="360" w:lineRule="auto"/>
        <w:ind w:left="130" w:leftChars="62" w:firstLine="420" w:firstLineChars="150"/>
        <w:textAlignment w:val="bottom"/>
        <w:rPr>
          <w:rFonts w:ascii="仿宋_GB2312" w:hAnsi="楷体" w:eastAsia="仿宋_GB2312" w:cs="仿宋_GB2312"/>
          <w:sz w:val="28"/>
          <w:szCs w:val="28"/>
        </w:rPr>
      </w:pPr>
      <w:r>
        <w:rPr>
          <w:rFonts w:hint="eastAsia" w:ascii="仿宋_GB2312" w:hAnsi="楷体" w:eastAsia="仿宋_GB2312" w:cs="仿宋_GB2312"/>
          <w:sz w:val="28"/>
          <w:szCs w:val="28"/>
        </w:rPr>
        <w:t>根据比较因素条件分数表，编制因素比较修正系数，详见表6：</w:t>
      </w:r>
    </w:p>
    <w:p>
      <w:pPr>
        <w:widowControl/>
        <w:adjustRightInd w:val="0"/>
        <w:snapToGrid w:val="0"/>
        <w:spacing w:line="360" w:lineRule="auto"/>
        <w:ind w:left="2" w:firstLine="2"/>
        <w:jc w:val="center"/>
        <w:textAlignment w:val="bottom"/>
        <w:rPr>
          <w:rFonts w:hint="eastAsia" w:ascii="仿宋_GB2312" w:hAnsi="楷体" w:eastAsia="仿宋_GB2312" w:cs="仿宋_GB2312"/>
          <w:b/>
          <w:sz w:val="24"/>
          <w:szCs w:val="24"/>
        </w:rPr>
      </w:pPr>
    </w:p>
    <w:p>
      <w:pPr>
        <w:widowControl/>
        <w:adjustRightInd w:val="0"/>
        <w:snapToGrid w:val="0"/>
        <w:spacing w:line="360" w:lineRule="auto"/>
        <w:ind w:left="2" w:firstLine="2"/>
        <w:jc w:val="center"/>
        <w:textAlignment w:val="bottom"/>
        <w:rPr>
          <w:rFonts w:ascii="仿宋_GB2312" w:hAnsi="楷体" w:eastAsia="仿宋_GB2312" w:cs="仿宋_GB2312"/>
          <w:b/>
          <w:sz w:val="24"/>
          <w:szCs w:val="24"/>
        </w:rPr>
      </w:pPr>
      <w:r>
        <w:rPr>
          <w:rFonts w:hint="eastAsia" w:ascii="仿宋_GB2312" w:hAnsi="楷体" w:eastAsia="仿宋_GB2312" w:cs="仿宋_GB2312"/>
          <w:b/>
          <w:sz w:val="24"/>
          <w:szCs w:val="24"/>
        </w:rPr>
        <w:t>表6  因素比较修正系数表</w:t>
      </w:r>
    </w:p>
    <w:tbl>
      <w:tblPr>
        <w:tblStyle w:val="42"/>
        <w:tblW w:w="8758"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258"/>
        <w:gridCol w:w="2009"/>
        <w:gridCol w:w="1274"/>
        <w:gridCol w:w="1355"/>
        <w:gridCol w:w="1355"/>
        <w:gridCol w:w="150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blHeader/>
          <w:jc w:val="center"/>
        </w:trPr>
        <w:tc>
          <w:tcPr>
            <w:tcW w:w="3267" w:type="dxa"/>
            <w:gridSpan w:val="2"/>
            <w:vMerge w:val="restart"/>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项目名称</w:t>
            </w:r>
          </w:p>
        </w:tc>
        <w:tc>
          <w:tcPr>
            <w:tcW w:w="1274"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估价对象</w:t>
            </w:r>
          </w:p>
        </w:tc>
        <w:tc>
          <w:tcPr>
            <w:tcW w:w="1355"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可比实例1</w:t>
            </w:r>
          </w:p>
        </w:tc>
        <w:tc>
          <w:tcPr>
            <w:tcW w:w="1355"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可比实例2</w:t>
            </w:r>
          </w:p>
        </w:tc>
        <w:tc>
          <w:tcPr>
            <w:tcW w:w="1507" w:type="dxa"/>
            <w:tcBorders>
              <w:top w:val="thinThickSmallGap" w:color="auto" w:sz="12"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blHeader/>
          <w:jc w:val="center"/>
        </w:trPr>
        <w:tc>
          <w:tcPr>
            <w:tcW w:w="3267" w:type="dxa"/>
            <w:gridSpan w:val="2"/>
            <w:vMerge w:val="continue"/>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p>
        </w:tc>
        <w:tc>
          <w:tcPr>
            <w:tcW w:w="1274"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北欧印象</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2" w:hRule="atLeast"/>
          <w:jc w:val="center"/>
        </w:trPr>
        <w:tc>
          <w:tcPr>
            <w:tcW w:w="3267"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标准化处理后的成交价格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待估</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8500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8333</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9459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2" w:hRule="atLeast"/>
          <w:jc w:val="center"/>
        </w:trPr>
        <w:tc>
          <w:tcPr>
            <w:tcW w:w="3267"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交易情况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25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市场状况</w:t>
            </w: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成交日期</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jc w:val="center"/>
        </w:trPr>
        <w:tc>
          <w:tcPr>
            <w:tcW w:w="1258" w:type="dxa"/>
            <w:vMerge w:val="restart"/>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区位状况</w:t>
            </w: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距区域中心的距离</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4" w:hRule="atLeast"/>
          <w:jc w:val="center"/>
        </w:trPr>
        <w:tc>
          <w:tcPr>
            <w:tcW w:w="1258"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临街状况（小区）</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258"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道路等级（小区）</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1258" w:type="dxa"/>
            <w:vMerge w:val="continue"/>
            <w:tcBorders>
              <w:left w:val="nil"/>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朝向</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5" w:hRule="atLeast"/>
          <w:jc w:val="center"/>
        </w:trPr>
        <w:tc>
          <w:tcPr>
            <w:tcW w:w="1258" w:type="dxa"/>
            <w:vMerge w:val="restart"/>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实物状况</w:t>
            </w: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业主消费层次</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9"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公共交通种类</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公交线路密度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公共交通便捷度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2"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 xml:space="preserve">生活配套设施状况 </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小区住宅均价</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1"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周边居住小区状况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用途多样性</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建筑结构</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装饰装修</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8"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建筑规模</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9"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成新率</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28" w:hRule="atLeast"/>
          <w:jc w:val="center"/>
        </w:trPr>
        <w:tc>
          <w:tcPr>
            <w:tcW w:w="1258"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权益状况（1）</w:t>
            </w: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规划条件</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9"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共有情况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权属清晰情况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267"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修正系数</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94.34%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267"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可比实例比较价值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8500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8333</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8924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权益状况（2）</w:t>
            </w: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用益物权设立情况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担保物权设立情况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租赁或占有情况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拖欠税费情况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58"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00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查封情况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267" w:type="dxa"/>
            <w:gridSpan w:val="2"/>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可比实例比较价值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8500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8333</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8924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267" w:type="dxa"/>
            <w:gridSpan w:val="2"/>
            <w:tcBorders>
              <w:top w:val="dotted" w:color="auto" w:sz="4" w:space="0"/>
              <w:left w:val="nil"/>
              <w:bottom w:val="thickThinSmallGap" w:color="auto" w:sz="12" w:space="0"/>
              <w:right w:val="nil"/>
            </w:tcBorders>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比较价值</w:t>
            </w:r>
          </w:p>
        </w:tc>
        <w:tc>
          <w:tcPr>
            <w:tcW w:w="5491" w:type="dxa"/>
            <w:gridSpan w:val="4"/>
            <w:tcBorders>
              <w:top w:val="dotted" w:color="auto" w:sz="4" w:space="0"/>
              <w:left w:val="dotted" w:color="auto" w:sz="4" w:space="0"/>
              <w:bottom w:val="thickThinSmallGap" w:color="auto" w:sz="12" w:space="0"/>
              <w:right w:val="nil"/>
            </w:tcBorders>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8586</w:t>
            </w:r>
          </w:p>
        </w:tc>
      </w:tr>
    </w:tbl>
    <w:p>
      <w:pPr>
        <w:pStyle w:val="38"/>
        <w:widowControl w:val="0"/>
        <w:spacing w:before="120" w:beforeLines="50" w:beforeAutospacing="0" w:after="120" w:afterLines="50" w:afterAutospacing="0" w:line="360" w:lineRule="auto"/>
        <w:ind w:firstLine="482" w:firstLineChars="200"/>
        <w:jc w:val="both"/>
        <w:rPr>
          <w:rFonts w:hAnsi="楷体"/>
          <w:b/>
        </w:rPr>
      </w:pPr>
      <w:r>
        <w:rPr>
          <w:rFonts w:hint="eastAsia" w:ascii="仿宋_GB2312" w:hAnsi="楷体" w:eastAsia="仿宋_GB2312"/>
          <w:b/>
          <w:kern w:val="2"/>
        </w:rPr>
        <w:t>（七） 求取房地产比较价值</w:t>
      </w:r>
    </w:p>
    <w:p>
      <w:pPr>
        <w:pStyle w:val="38"/>
        <w:widowControl w:val="0"/>
        <w:spacing w:before="50" w:beforeAutospacing="0" w:after="5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采用各因素修正系数连乘法，求取各可比实例经因素修正后达到估价对象条件时的比准价格。</w:t>
      </w:r>
    </w:p>
    <w:p>
      <w:pPr>
        <w:pStyle w:val="38"/>
        <w:widowControl w:val="0"/>
        <w:spacing w:before="0" w:beforeAutospacing="0" w:after="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38"/>
        <w:widowControl w:val="0"/>
        <w:spacing w:before="0" w:beforeAutospacing="0" w:after="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房地产单价＝（</w:t>
      </w:r>
      <w:r>
        <w:rPr>
          <w:rFonts w:hint="eastAsia" w:ascii="仿宋_GB2312" w:hAnsi="楷体" w:eastAsia="仿宋_GB2312"/>
          <w:kern w:val="2"/>
          <w:sz w:val="28"/>
          <w:szCs w:val="28"/>
          <w:lang w:val="en-US" w:eastAsia="zh-CN"/>
        </w:rPr>
        <w:t>8500</w:t>
      </w:r>
      <w:r>
        <w:rPr>
          <w:rFonts w:hint="eastAsia" w:ascii="仿宋_GB2312" w:hAnsi="楷体" w:eastAsia="仿宋_GB2312"/>
          <w:kern w:val="2"/>
          <w:sz w:val="28"/>
          <w:szCs w:val="28"/>
        </w:rPr>
        <w:t>+</w:t>
      </w:r>
      <w:r>
        <w:rPr>
          <w:rFonts w:hint="eastAsia" w:ascii="仿宋_GB2312" w:hAnsi="楷体" w:eastAsia="仿宋_GB2312"/>
          <w:kern w:val="2"/>
          <w:sz w:val="28"/>
          <w:szCs w:val="28"/>
          <w:lang w:eastAsia="zh-CN"/>
        </w:rPr>
        <w:t>8333</w:t>
      </w:r>
      <w:r>
        <w:rPr>
          <w:rFonts w:hint="eastAsia" w:ascii="仿宋_GB2312" w:hAnsi="楷体" w:eastAsia="仿宋_GB2312"/>
          <w:kern w:val="2"/>
          <w:sz w:val="28"/>
          <w:szCs w:val="28"/>
        </w:rPr>
        <w:t>+</w:t>
      </w:r>
      <w:r>
        <w:rPr>
          <w:rFonts w:hint="eastAsia" w:ascii="仿宋_GB2312" w:hAnsi="楷体" w:eastAsia="仿宋_GB2312"/>
          <w:kern w:val="2"/>
          <w:sz w:val="28"/>
          <w:szCs w:val="28"/>
          <w:lang w:val="en-US" w:eastAsia="zh-CN"/>
        </w:rPr>
        <w:t>8924</w:t>
      </w:r>
      <w:r>
        <w:rPr>
          <w:rFonts w:hint="eastAsia" w:ascii="仿宋_GB2312" w:hAnsi="楷体" w:eastAsia="仿宋_GB2312"/>
          <w:kern w:val="2"/>
          <w:sz w:val="28"/>
          <w:szCs w:val="28"/>
        </w:rPr>
        <w:t>）÷3≈</w:t>
      </w:r>
      <w:r>
        <w:rPr>
          <w:rFonts w:hint="eastAsia" w:ascii="仿宋_GB2312" w:hAnsi="楷体" w:eastAsia="仿宋_GB2312"/>
          <w:kern w:val="2"/>
          <w:sz w:val="28"/>
          <w:szCs w:val="28"/>
          <w:lang w:val="en-US" w:eastAsia="zh-CN"/>
        </w:rPr>
        <w:t>8586</w:t>
      </w:r>
      <w:r>
        <w:rPr>
          <w:rFonts w:hint="eastAsia" w:ascii="仿宋_GB2312" w:hAnsi="楷体" w:eastAsia="仿宋_GB2312"/>
          <w:kern w:val="2"/>
          <w:sz w:val="28"/>
          <w:szCs w:val="28"/>
        </w:rPr>
        <w:t>元/平方米。</w:t>
      </w:r>
    </w:p>
    <w:p>
      <w:pPr>
        <w:spacing w:line="540" w:lineRule="exact"/>
        <w:ind w:firstLine="562" w:firstLineChars="200"/>
        <w:rPr>
          <w:rFonts w:eastAsia="仿宋"/>
          <w:b/>
          <w:sz w:val="28"/>
          <w:szCs w:val="28"/>
        </w:rPr>
      </w:pPr>
      <w:bookmarkStart w:id="239" w:name="_Toc5721423"/>
      <w:r>
        <w:rPr>
          <w:rFonts w:ascii="宋体"/>
          <w:b/>
          <w:sz w:val="28"/>
          <w:szCs w:val="28"/>
        </w:rPr>
        <w:t>※</w:t>
      </w:r>
      <w:r>
        <w:rPr>
          <w:rFonts w:hint="eastAsia" w:eastAsia="仿宋" w:cs="仿宋"/>
          <w:b/>
          <w:sz w:val="28"/>
          <w:szCs w:val="28"/>
        </w:rPr>
        <w:t>收益法的测算过程</w:t>
      </w:r>
      <w:r>
        <w:rPr>
          <w:rFonts w:eastAsia="仿宋"/>
          <w:b/>
          <w:sz w:val="28"/>
          <w:szCs w:val="28"/>
        </w:rPr>
        <w:t xml:space="preserve"> </w:t>
      </w:r>
    </w:p>
    <w:p>
      <w:pPr>
        <w:spacing w:line="540" w:lineRule="exact"/>
        <w:ind w:firstLine="420"/>
        <w:rPr>
          <w:rFonts w:eastAsia="仿宋"/>
          <w:b/>
          <w:sz w:val="28"/>
          <w:szCs w:val="28"/>
        </w:rPr>
      </w:pPr>
      <w:r>
        <w:rPr>
          <w:rFonts w:hint="eastAsia" w:eastAsia="仿宋" w:cs="仿宋"/>
          <w:b/>
          <w:sz w:val="28"/>
          <w:szCs w:val="28"/>
        </w:rPr>
        <w:t>估价思路：由于</w:t>
      </w:r>
      <w:r>
        <w:rPr>
          <w:rFonts w:hint="eastAsia" w:eastAsia="仿宋" w:cs="仿宋"/>
          <w:b/>
          <w:sz w:val="28"/>
          <w:szCs w:val="28"/>
          <w:lang w:eastAsia="zh-CN"/>
        </w:rPr>
        <w:t>估价对象现自用</w:t>
      </w:r>
      <w:r>
        <w:rPr>
          <w:rFonts w:hint="eastAsia" w:eastAsia="仿宋" w:cs="仿宋"/>
          <w:b/>
          <w:sz w:val="28"/>
          <w:szCs w:val="28"/>
        </w:rPr>
        <w:t>，故采用市场租金测算该房地产价值。</w:t>
      </w:r>
    </w:p>
    <w:p>
      <w:pPr>
        <w:spacing w:line="600" w:lineRule="exact"/>
        <w:ind w:firstLine="562" w:firstLineChars="200"/>
        <w:rPr>
          <w:rFonts w:eastAsia="仿宋"/>
          <w:b/>
          <w:sz w:val="28"/>
          <w:szCs w:val="28"/>
        </w:rPr>
      </w:pPr>
      <w:r>
        <w:rPr>
          <w:rFonts w:eastAsia="仿宋"/>
          <w:b/>
          <w:sz w:val="28"/>
          <w:szCs w:val="28"/>
        </w:rPr>
        <w:t xml:space="preserve"> 1. </w:t>
      </w:r>
      <w:r>
        <w:rPr>
          <w:rFonts w:hint="eastAsia" w:ascii="仿宋_GB2312" w:hAnsi="楷体" w:eastAsia="仿宋_GB2312" w:cs="仿宋_GB2312"/>
          <w:b/>
          <w:sz w:val="28"/>
          <w:szCs w:val="28"/>
        </w:rPr>
        <w:t>公式介绍</w:t>
      </w:r>
    </w:p>
    <w:p>
      <w:pPr>
        <w:tabs>
          <w:tab w:val="left" w:pos="4515"/>
        </w:tabs>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选</w:t>
      </w:r>
      <w:r>
        <w:rPr>
          <w:rFonts w:hint="eastAsia" w:ascii="仿宋_GB2312" w:hAnsi="楷体" w:eastAsia="仿宋_GB2312" w:cs="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cs="仿宋_GB2312"/>
          <w:sz w:val="24"/>
          <w:szCs w:val="24"/>
        </w:rPr>
      </w:pPr>
      <w:r>
        <w:rPr>
          <w:rFonts w:hint="eastAsia" w:ascii="仿宋_GB2312" w:hAnsi="楷体" w:eastAsia="仿宋_GB2312" w:cs="仿宋_GB2312"/>
          <w:sz w:val="24"/>
          <w:szCs w:val="24"/>
        </w:rPr>
        <w:object>
          <v:shape id="_x0000_i1025" o:spt="75" type="#_x0000_t75" style="height:41.25pt;width:144.75pt;" o:ole="t" filled="f" o:preferrelative="t" stroked="f" coordsize="21600,21600">
            <v:path/>
            <v:fill on="f" focussize="0,0"/>
            <v:stroke on="f" joinstyle="miter"/>
            <v:imagedata r:id="rId22" o:title=""/>
            <o:lock v:ext="edit" aspectratio="t"/>
            <w10:wrap type="none"/>
            <w10:anchorlock/>
          </v:shape>
          <o:OLEObject Type="Embed" ProgID="" ShapeID="_x0000_i1025" DrawAspect="Content" ObjectID="_1468075725" r:id="rId21">
            <o:LockedField>false</o:LockedField>
          </o:OLEObject>
        </w:obje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cs="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cs="仿宋_GB2312"/>
          <w:sz w:val="28"/>
          <w:szCs w:val="28"/>
        </w:rPr>
        <w:t>。</w:t>
      </w:r>
    </w:p>
    <w:p>
      <w:pPr>
        <w:spacing w:line="360" w:lineRule="auto"/>
        <w:ind w:firstLine="565" w:firstLineChars="202"/>
        <w:rPr>
          <w:rFonts w:ascii="仿宋_GB2312" w:hAnsi="楷体" w:eastAsia="仿宋_GB2312" w:cs="仿宋_GB2312"/>
          <w:b/>
          <w:sz w:val="28"/>
          <w:szCs w:val="28"/>
        </w:rPr>
      </w:pPr>
      <w:r>
        <w:rPr>
          <w:rFonts w:hint="eastAsia" w:ascii="仿宋_GB2312" w:hAnsi="楷体" w:eastAsia="仿宋_GB2312" w:cs="仿宋_GB2312"/>
          <w:sz w:val="28"/>
          <w:szCs w:val="28"/>
        </w:rPr>
        <w:t>运用收益法求取估价对象</w:t>
      </w:r>
      <w:r>
        <w:rPr>
          <w:rFonts w:hint="eastAsia" w:ascii="仿宋_GB2312" w:hAnsi="楷体" w:eastAsia="仿宋_GB2312" w:cs="仿宋_GB2312"/>
          <w:sz w:val="28"/>
          <w:szCs w:val="28"/>
          <w:lang w:eastAsia="zh-CN"/>
        </w:rPr>
        <w:t>车库</w:t>
      </w:r>
      <w:r>
        <w:rPr>
          <w:rFonts w:hint="eastAsia" w:ascii="仿宋_GB2312" w:hAnsi="楷体" w:eastAsia="仿宋_GB2312" w:cs="仿宋_GB2312"/>
          <w:sz w:val="28"/>
          <w:szCs w:val="28"/>
        </w:rPr>
        <w:t>用途房地产价值。</w:t>
      </w:r>
    </w:p>
    <w:p>
      <w:pPr>
        <w:spacing w:line="360" w:lineRule="auto"/>
        <w:ind w:firstLine="568" w:firstLineChars="202"/>
        <w:rPr>
          <w:rFonts w:ascii="仿宋_GB2312" w:hAnsi="楷体" w:eastAsia="仿宋_GB2312" w:cs="仿宋_GB2312"/>
          <w:b/>
          <w:sz w:val="28"/>
          <w:szCs w:val="28"/>
        </w:rPr>
      </w:pPr>
      <w:r>
        <w:rPr>
          <w:rFonts w:hint="eastAsia" w:ascii="仿宋_GB2312" w:hAnsi="楷体" w:eastAsia="仿宋_GB2312" w:cs="仿宋_GB2312"/>
          <w:b/>
          <w:sz w:val="28"/>
          <w:szCs w:val="28"/>
        </w:rPr>
        <w:t>1) 第1年客观租金确定</w:t>
      </w:r>
      <w:r>
        <w:rPr>
          <w:rFonts w:hint="eastAsia" w:ascii="Calibri" w:hAnsi="Calibri" w:eastAsia="仿宋_GB2312" w:cs="仿宋_GB2312"/>
          <w:b/>
          <w:sz w:val="28"/>
          <w:szCs w:val="28"/>
        </w:rPr>
        <w:t>（采用比较法）</w:t>
      </w:r>
    </w:p>
    <w:p>
      <w:pPr>
        <w:spacing w:line="600" w:lineRule="exact"/>
        <w:ind w:firstLine="560" w:firstLineChars="200"/>
        <w:rPr>
          <w:rFonts w:eastAsia="仿宋_GB2312"/>
          <w:sz w:val="28"/>
          <w:szCs w:val="28"/>
        </w:rPr>
      </w:pPr>
      <w:r>
        <w:rPr>
          <w:rFonts w:hint="eastAsia" w:eastAsia="仿宋_GB2312" w:cs="仿宋_GB2312"/>
          <w:sz w:val="28"/>
          <w:szCs w:val="28"/>
        </w:rPr>
        <w:t>在测算估价对象未来各年潜在客观总收益的基础上，考虑物业使用过程中的正常空置等损失后，实际所能获得的总收益</w:t>
      </w:r>
      <w:r>
        <w:rPr>
          <w:rFonts w:eastAsia="仿宋_GB2312"/>
          <w:sz w:val="28"/>
          <w:szCs w:val="28"/>
        </w:rPr>
        <w:t>,</w:t>
      </w:r>
      <w:r>
        <w:rPr>
          <w:rFonts w:hint="eastAsia" w:eastAsia="仿宋_GB2312" w:cs="仿宋_GB2312"/>
          <w:sz w:val="28"/>
          <w:szCs w:val="28"/>
        </w:rPr>
        <w:t>扣除其在</w:t>
      </w:r>
      <w:r>
        <w:rPr>
          <w:rFonts w:hint="eastAsia" w:eastAsia="仿宋_GB2312" w:cs="仿宋_GB2312"/>
          <w:sz w:val="28"/>
          <w:szCs w:val="28"/>
          <w:lang w:eastAsia="zh-CN"/>
        </w:rPr>
        <w:t>出租</w:t>
      </w:r>
      <w:r>
        <w:rPr>
          <w:rFonts w:hint="eastAsia" w:eastAsia="仿宋_GB2312" w:cs="仿宋_GB2312"/>
          <w:sz w:val="28"/>
          <w:szCs w:val="28"/>
        </w:rPr>
        <w:t>过程需花费的维修费用、管理费用、税金等得出估价对象未来各年的净收益（其中收益、费用等均采用本地同类</w:t>
      </w:r>
      <w:r>
        <w:rPr>
          <w:rFonts w:hint="eastAsia" w:eastAsia="仿宋_GB2312" w:cs="仿宋_GB2312"/>
          <w:sz w:val="28"/>
          <w:szCs w:val="28"/>
          <w:lang w:eastAsia="zh-CN"/>
        </w:rPr>
        <w:t>车库</w:t>
      </w:r>
      <w:r>
        <w:rPr>
          <w:rFonts w:hint="eastAsia" w:eastAsia="仿宋_GB2312" w:cs="仿宋_GB2312"/>
          <w:sz w:val="28"/>
          <w:szCs w:val="28"/>
        </w:rPr>
        <w:t>客观数据）。</w:t>
      </w:r>
    </w:p>
    <w:p>
      <w:pPr>
        <w:spacing w:line="600" w:lineRule="exact"/>
        <w:ind w:firstLine="560" w:firstLineChars="200"/>
        <w:rPr>
          <w:rFonts w:eastAsia="仿宋_GB2312"/>
          <w:sz w:val="28"/>
          <w:szCs w:val="28"/>
        </w:rPr>
      </w:pPr>
      <w:r>
        <w:rPr>
          <w:rFonts w:hint="eastAsia" w:eastAsia="仿宋_GB2312" w:cs="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hint="eastAsia" w:eastAsia="仿宋_GB2312" w:cs="仿宋_GB2312"/>
          <w:sz w:val="28"/>
          <w:szCs w:val="28"/>
          <w:lang w:eastAsia="zh-CN"/>
        </w:rPr>
      </w:pPr>
      <w:r>
        <w:rPr>
          <w:rFonts w:hint="eastAsia" w:eastAsia="仿宋_GB2312" w:cs="仿宋_GB2312"/>
          <w:sz w:val="28"/>
          <w:szCs w:val="28"/>
        </w:rPr>
        <w:t>实例</w:t>
      </w:r>
      <w:r>
        <w:rPr>
          <w:rFonts w:eastAsia="仿宋_GB2312"/>
          <w:sz w:val="28"/>
          <w:szCs w:val="28"/>
        </w:rPr>
        <w:t>A</w:t>
      </w:r>
      <w:r>
        <w:rPr>
          <w:rFonts w:hint="eastAsia" w:eastAsia="仿宋_GB2312" w:cs="仿宋_GB2312"/>
          <w:sz w:val="28"/>
          <w:szCs w:val="28"/>
        </w:rPr>
        <w:t>：</w:t>
      </w:r>
      <w:r>
        <w:rPr>
          <w:rFonts w:hint="eastAsia" w:eastAsia="仿宋_GB2312" w:cs="仿宋_GB2312"/>
          <w:sz w:val="28"/>
          <w:szCs w:val="28"/>
          <w:lang w:eastAsia="zh-CN"/>
        </w:rPr>
        <w:t>北欧印象</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w:t>
      </w:r>
      <w:r>
        <w:rPr>
          <w:rFonts w:hint="eastAsia" w:eastAsia="仿宋_GB2312" w:cs="仿宋_GB2312"/>
          <w:sz w:val="28"/>
          <w:szCs w:val="28"/>
          <w:lang w:eastAsia="zh-CN"/>
        </w:rPr>
        <w:t>水源</w:t>
      </w:r>
      <w:r>
        <w:rPr>
          <w:rFonts w:hint="eastAsia" w:eastAsia="仿宋_GB2312" w:cs="仿宋_GB2312"/>
          <w:sz w:val="28"/>
          <w:szCs w:val="28"/>
        </w:rPr>
        <w:t>路东</w:t>
      </w:r>
      <w:r>
        <w:rPr>
          <w:rFonts w:hint="eastAsia" w:eastAsia="仿宋_GB2312" w:cs="仿宋_GB2312"/>
          <w:sz w:val="28"/>
          <w:szCs w:val="28"/>
          <w:lang w:eastAsia="zh-CN"/>
        </w:rPr>
        <w:t>、明珠</w:t>
      </w:r>
      <w:r>
        <w:rPr>
          <w:rFonts w:hint="eastAsia" w:eastAsia="仿宋_GB2312" w:cs="仿宋_GB2312"/>
          <w:sz w:val="28"/>
          <w:szCs w:val="28"/>
        </w:rPr>
        <w:t>路西，用途为</w:t>
      </w:r>
      <w:r>
        <w:rPr>
          <w:rFonts w:hint="eastAsia" w:eastAsia="仿宋_GB2312" w:cs="仿宋_GB2312"/>
          <w:sz w:val="28"/>
          <w:szCs w:val="28"/>
          <w:lang w:eastAsia="zh-CN"/>
        </w:rPr>
        <w:t>车库</w:t>
      </w:r>
      <w:r>
        <w:rPr>
          <w:rFonts w:hint="eastAsia" w:eastAsia="仿宋_GB2312" w:cs="仿宋_GB2312"/>
          <w:sz w:val="28"/>
          <w:szCs w:val="28"/>
        </w:rPr>
        <w:t>，总楼层数为</w:t>
      </w:r>
      <w:r>
        <w:rPr>
          <w:rFonts w:hint="eastAsia" w:eastAsia="仿宋_GB2312" w:cs="仿宋_GB2312"/>
          <w:sz w:val="28"/>
          <w:szCs w:val="28"/>
          <w:lang w:eastAsia="zh-CN"/>
        </w:rPr>
        <w:t>6</w:t>
      </w:r>
      <w:r>
        <w:rPr>
          <w:rFonts w:hint="eastAsia" w:eastAsia="仿宋_GB2312" w:cs="仿宋_GB2312"/>
          <w:sz w:val="28"/>
          <w:szCs w:val="28"/>
        </w:rPr>
        <w:t>层，所在楼层为1层，建筑面积为</w:t>
      </w:r>
      <w:r>
        <w:rPr>
          <w:rFonts w:hint="eastAsia" w:eastAsia="仿宋_GB2312"/>
          <w:sz w:val="28"/>
          <w:szCs w:val="28"/>
          <w:lang w:val="en-US" w:eastAsia="zh-CN"/>
        </w:rPr>
        <w:t>30</w:t>
      </w:r>
      <w:r>
        <w:rPr>
          <w:rFonts w:hint="eastAsia" w:eastAsia="仿宋_GB2312" w:cs="仿宋_GB2312"/>
          <w:sz w:val="28"/>
          <w:szCs w:val="28"/>
        </w:rPr>
        <w:t>平方米，租金为</w:t>
      </w:r>
      <w:r>
        <w:rPr>
          <w:rFonts w:hint="eastAsia" w:eastAsia="仿宋_GB2312" w:cs="仿宋_GB2312"/>
          <w:sz w:val="28"/>
          <w:szCs w:val="28"/>
          <w:lang w:val="en-US" w:eastAsia="zh-CN"/>
        </w:rPr>
        <w:t>7</w:t>
      </w:r>
      <w:r>
        <w:rPr>
          <w:rFonts w:hint="eastAsia" w:eastAsia="仿宋_GB2312" w:cs="仿宋_GB2312"/>
          <w:sz w:val="28"/>
          <w:szCs w:val="28"/>
        </w:rPr>
        <w:t>000元</w:t>
      </w:r>
      <w:r>
        <w:rPr>
          <w:rFonts w:eastAsia="仿宋_GB2312"/>
          <w:sz w:val="28"/>
          <w:szCs w:val="28"/>
        </w:rPr>
        <w:t>/</w:t>
      </w:r>
      <w:r>
        <w:rPr>
          <w:rFonts w:hint="eastAsia" w:eastAsia="仿宋_GB2312" w:cs="仿宋_GB2312"/>
          <w:sz w:val="28"/>
          <w:szCs w:val="28"/>
        </w:rPr>
        <w:t>年，</w:t>
      </w:r>
      <w:r>
        <w:rPr>
          <w:rFonts w:hint="eastAsia" w:eastAsia="仿宋_GB2312" w:cs="仿宋_GB2312"/>
          <w:sz w:val="28"/>
          <w:szCs w:val="28"/>
          <w:lang w:eastAsia="zh-CN"/>
        </w:rPr>
        <w:t>砖混</w:t>
      </w:r>
      <w:r>
        <w:rPr>
          <w:rFonts w:hint="eastAsia" w:eastAsia="仿宋_GB2312" w:cs="仿宋_GB2312"/>
          <w:sz w:val="28"/>
          <w:szCs w:val="28"/>
        </w:rPr>
        <w:t>结构，交通</w:t>
      </w:r>
      <w:r>
        <w:rPr>
          <w:rFonts w:hint="eastAsia" w:eastAsia="仿宋_GB2312" w:cs="仿宋_GB2312"/>
          <w:sz w:val="28"/>
          <w:szCs w:val="28"/>
          <w:lang w:eastAsia="zh-CN"/>
        </w:rPr>
        <w:t>优</w:t>
      </w:r>
      <w:r>
        <w:rPr>
          <w:rFonts w:hint="eastAsia" w:eastAsia="仿宋_GB2312" w:cs="仿宋_GB2312"/>
          <w:sz w:val="28"/>
          <w:szCs w:val="28"/>
        </w:rPr>
        <w:t>，简单装修，年毛租金为</w:t>
      </w:r>
      <w:r>
        <w:rPr>
          <w:rFonts w:hint="eastAsia" w:eastAsia="仿宋_GB2312"/>
          <w:sz w:val="28"/>
          <w:szCs w:val="28"/>
          <w:lang w:val="en-US" w:eastAsia="zh-CN"/>
        </w:rPr>
        <w:t>233</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cs="仿宋_GB2312"/>
          <w:sz w:val="28"/>
          <w:szCs w:val="28"/>
        </w:rPr>
      </w:pPr>
      <w:r>
        <w:rPr>
          <w:rFonts w:hint="eastAsia" w:eastAsia="仿宋_GB2312" w:cs="仿宋_GB2312"/>
          <w:sz w:val="28"/>
          <w:szCs w:val="28"/>
        </w:rPr>
        <w:t>实例</w:t>
      </w:r>
      <w:r>
        <w:rPr>
          <w:rFonts w:eastAsia="仿宋_GB2312"/>
          <w:sz w:val="28"/>
          <w:szCs w:val="28"/>
        </w:rPr>
        <w:t>B</w:t>
      </w:r>
      <w:r>
        <w:rPr>
          <w:rFonts w:hint="eastAsia" w:eastAsia="仿宋_GB2312" w:cs="仿宋_GB2312"/>
          <w:sz w:val="28"/>
          <w:szCs w:val="28"/>
        </w:rPr>
        <w:t>：</w:t>
      </w:r>
      <w:r>
        <w:rPr>
          <w:rFonts w:hint="eastAsia" w:eastAsia="仿宋_GB2312" w:cs="仿宋_GB2312"/>
          <w:sz w:val="28"/>
          <w:szCs w:val="28"/>
          <w:lang w:eastAsia="zh-CN"/>
        </w:rPr>
        <w:t>北欧印象</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w:t>
      </w:r>
      <w:r>
        <w:rPr>
          <w:rFonts w:hint="eastAsia" w:eastAsia="仿宋_GB2312" w:cs="仿宋_GB2312"/>
          <w:sz w:val="28"/>
          <w:szCs w:val="28"/>
          <w:lang w:eastAsia="zh-CN"/>
        </w:rPr>
        <w:t>水源</w:t>
      </w:r>
      <w:r>
        <w:rPr>
          <w:rFonts w:hint="eastAsia" w:eastAsia="仿宋_GB2312" w:cs="仿宋_GB2312"/>
          <w:sz w:val="28"/>
          <w:szCs w:val="28"/>
        </w:rPr>
        <w:t>路东</w:t>
      </w:r>
      <w:r>
        <w:rPr>
          <w:rFonts w:hint="eastAsia" w:eastAsia="仿宋_GB2312" w:cs="仿宋_GB2312"/>
          <w:sz w:val="28"/>
          <w:szCs w:val="28"/>
          <w:lang w:eastAsia="zh-CN"/>
        </w:rPr>
        <w:t>、明珠</w:t>
      </w:r>
      <w:r>
        <w:rPr>
          <w:rFonts w:hint="eastAsia" w:eastAsia="仿宋_GB2312" w:cs="仿宋_GB2312"/>
          <w:sz w:val="28"/>
          <w:szCs w:val="28"/>
        </w:rPr>
        <w:t>路西，用途为</w:t>
      </w:r>
      <w:r>
        <w:rPr>
          <w:rFonts w:hint="eastAsia" w:eastAsia="仿宋_GB2312" w:cs="仿宋_GB2312"/>
          <w:sz w:val="28"/>
          <w:szCs w:val="28"/>
          <w:lang w:eastAsia="zh-CN"/>
        </w:rPr>
        <w:t>车库</w:t>
      </w:r>
      <w:r>
        <w:rPr>
          <w:rFonts w:hint="eastAsia" w:eastAsia="仿宋_GB2312" w:cs="仿宋_GB2312"/>
          <w:sz w:val="28"/>
          <w:szCs w:val="28"/>
        </w:rPr>
        <w:t>，总楼层数为</w:t>
      </w:r>
      <w:r>
        <w:rPr>
          <w:rFonts w:hint="eastAsia" w:eastAsia="仿宋_GB2312" w:cs="仿宋_GB2312"/>
          <w:sz w:val="28"/>
          <w:szCs w:val="28"/>
          <w:lang w:eastAsia="zh-CN"/>
        </w:rPr>
        <w:t>6</w:t>
      </w:r>
      <w:r>
        <w:rPr>
          <w:rFonts w:hint="eastAsia" w:eastAsia="仿宋_GB2312" w:cs="仿宋_GB2312"/>
          <w:sz w:val="28"/>
          <w:szCs w:val="28"/>
        </w:rPr>
        <w:t>层，所在楼层为1层，建筑面积为</w:t>
      </w:r>
      <w:r>
        <w:rPr>
          <w:rFonts w:hint="eastAsia" w:eastAsia="仿宋_GB2312"/>
          <w:sz w:val="28"/>
          <w:szCs w:val="28"/>
          <w:lang w:val="en-US" w:eastAsia="zh-CN"/>
        </w:rPr>
        <w:t>20</w:t>
      </w:r>
      <w:r>
        <w:rPr>
          <w:rFonts w:hint="eastAsia" w:eastAsia="仿宋_GB2312" w:cs="仿宋_GB2312"/>
          <w:sz w:val="28"/>
          <w:szCs w:val="28"/>
        </w:rPr>
        <w:t>平方米，租金为</w:t>
      </w:r>
      <w:r>
        <w:rPr>
          <w:rFonts w:hint="eastAsia" w:eastAsia="仿宋_GB2312"/>
          <w:sz w:val="28"/>
          <w:szCs w:val="28"/>
          <w:lang w:val="en-US" w:eastAsia="zh-CN"/>
        </w:rPr>
        <w:t>4</w:t>
      </w:r>
      <w:r>
        <w:rPr>
          <w:rFonts w:hint="eastAsia" w:eastAsia="仿宋_GB2312"/>
          <w:sz w:val="28"/>
          <w:szCs w:val="28"/>
        </w:rPr>
        <w:t>000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年，</w:t>
      </w:r>
      <w:r>
        <w:rPr>
          <w:rFonts w:hint="eastAsia" w:eastAsia="仿宋_GB2312" w:cs="仿宋_GB2312"/>
          <w:sz w:val="28"/>
          <w:szCs w:val="28"/>
          <w:lang w:eastAsia="zh-CN"/>
        </w:rPr>
        <w:t>砖混</w:t>
      </w:r>
      <w:r>
        <w:rPr>
          <w:rFonts w:hint="eastAsia" w:eastAsia="仿宋_GB2312" w:cs="仿宋_GB2312"/>
          <w:sz w:val="28"/>
          <w:szCs w:val="28"/>
        </w:rPr>
        <w:t>结构，交通</w:t>
      </w:r>
      <w:r>
        <w:rPr>
          <w:rFonts w:hint="eastAsia" w:eastAsia="仿宋_GB2312" w:cs="仿宋_GB2312"/>
          <w:sz w:val="28"/>
          <w:szCs w:val="28"/>
          <w:lang w:eastAsia="zh-CN"/>
        </w:rPr>
        <w:t>优</w:t>
      </w:r>
      <w:r>
        <w:rPr>
          <w:rFonts w:hint="eastAsia" w:eastAsia="仿宋_GB2312" w:cs="仿宋_GB2312"/>
          <w:sz w:val="28"/>
          <w:szCs w:val="28"/>
        </w:rPr>
        <w:t>，简单装修，年毛租金为</w:t>
      </w:r>
      <w:r>
        <w:rPr>
          <w:rFonts w:hint="eastAsia" w:eastAsia="仿宋_GB2312"/>
          <w:sz w:val="28"/>
          <w:szCs w:val="28"/>
          <w:lang w:val="en-US" w:eastAsia="zh-CN"/>
        </w:rPr>
        <w:t>200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实例</w:t>
      </w:r>
      <w:r>
        <w:rPr>
          <w:rFonts w:eastAsia="仿宋_GB2312"/>
          <w:sz w:val="28"/>
          <w:szCs w:val="28"/>
        </w:rPr>
        <w:t>C</w:t>
      </w:r>
      <w:r>
        <w:rPr>
          <w:rFonts w:hint="eastAsia" w:eastAsia="仿宋_GB2312" w:cs="仿宋_GB2312"/>
          <w:sz w:val="28"/>
          <w:szCs w:val="28"/>
        </w:rPr>
        <w:t>：</w:t>
      </w:r>
      <w:r>
        <w:rPr>
          <w:rFonts w:hint="eastAsia" w:eastAsia="仿宋_GB2312" w:cs="仿宋_GB2312"/>
          <w:sz w:val="28"/>
          <w:szCs w:val="28"/>
          <w:lang w:eastAsia="zh-CN"/>
        </w:rPr>
        <w:t>北欧印象</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w:t>
      </w:r>
      <w:r>
        <w:rPr>
          <w:rFonts w:hint="eastAsia" w:eastAsia="仿宋_GB2312" w:cs="仿宋_GB2312"/>
          <w:sz w:val="28"/>
          <w:szCs w:val="28"/>
          <w:lang w:eastAsia="zh-CN"/>
        </w:rPr>
        <w:t>水源</w:t>
      </w:r>
      <w:r>
        <w:rPr>
          <w:rFonts w:hint="eastAsia" w:eastAsia="仿宋_GB2312" w:cs="仿宋_GB2312"/>
          <w:sz w:val="28"/>
          <w:szCs w:val="28"/>
        </w:rPr>
        <w:t>路东</w:t>
      </w:r>
      <w:r>
        <w:rPr>
          <w:rFonts w:hint="eastAsia" w:eastAsia="仿宋_GB2312" w:cs="仿宋_GB2312"/>
          <w:sz w:val="28"/>
          <w:szCs w:val="28"/>
          <w:lang w:eastAsia="zh-CN"/>
        </w:rPr>
        <w:t>、明珠</w:t>
      </w:r>
      <w:r>
        <w:rPr>
          <w:rFonts w:hint="eastAsia" w:eastAsia="仿宋_GB2312" w:cs="仿宋_GB2312"/>
          <w:sz w:val="28"/>
          <w:szCs w:val="28"/>
        </w:rPr>
        <w:t>路西，用途为</w:t>
      </w:r>
      <w:r>
        <w:rPr>
          <w:rFonts w:hint="eastAsia" w:eastAsia="仿宋_GB2312" w:cs="仿宋_GB2312"/>
          <w:sz w:val="28"/>
          <w:szCs w:val="28"/>
          <w:lang w:eastAsia="zh-CN"/>
        </w:rPr>
        <w:t>车库</w:t>
      </w:r>
      <w:r>
        <w:rPr>
          <w:rFonts w:hint="eastAsia" w:eastAsia="仿宋_GB2312" w:cs="仿宋_GB2312"/>
          <w:sz w:val="28"/>
          <w:szCs w:val="28"/>
        </w:rPr>
        <w:t>，总楼层数为</w:t>
      </w:r>
      <w:r>
        <w:rPr>
          <w:rFonts w:hint="eastAsia" w:eastAsia="仿宋_GB2312" w:cs="仿宋_GB2312"/>
          <w:sz w:val="28"/>
          <w:szCs w:val="28"/>
          <w:lang w:eastAsia="zh-CN"/>
        </w:rPr>
        <w:t>6</w:t>
      </w:r>
      <w:r>
        <w:rPr>
          <w:rFonts w:hint="eastAsia" w:eastAsia="仿宋_GB2312" w:cs="仿宋_GB2312"/>
          <w:sz w:val="28"/>
          <w:szCs w:val="28"/>
        </w:rPr>
        <w:t>层，所在楼层为1层，建筑面积为</w:t>
      </w:r>
      <w:r>
        <w:rPr>
          <w:rFonts w:hint="eastAsia" w:eastAsia="仿宋_GB2312"/>
          <w:sz w:val="28"/>
          <w:szCs w:val="28"/>
          <w:lang w:val="en-US" w:eastAsia="zh-CN"/>
        </w:rPr>
        <w:t>24</w:t>
      </w:r>
      <w:r>
        <w:rPr>
          <w:rFonts w:hint="eastAsia" w:eastAsia="仿宋_GB2312" w:cs="仿宋_GB2312"/>
          <w:sz w:val="28"/>
          <w:szCs w:val="28"/>
        </w:rPr>
        <w:t>平方米，租金为</w:t>
      </w:r>
      <w:r>
        <w:rPr>
          <w:rFonts w:hint="eastAsia" w:eastAsia="仿宋_GB2312"/>
          <w:sz w:val="28"/>
          <w:szCs w:val="28"/>
        </w:rPr>
        <w:t>5000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年，</w:t>
      </w:r>
      <w:r>
        <w:rPr>
          <w:rFonts w:hint="eastAsia" w:eastAsia="仿宋_GB2312" w:cs="仿宋_GB2312"/>
          <w:sz w:val="28"/>
          <w:szCs w:val="28"/>
          <w:lang w:eastAsia="zh-CN"/>
        </w:rPr>
        <w:t>砖混</w:t>
      </w:r>
      <w:r>
        <w:rPr>
          <w:rFonts w:hint="eastAsia" w:eastAsia="仿宋_GB2312" w:cs="仿宋_GB2312"/>
          <w:sz w:val="28"/>
          <w:szCs w:val="28"/>
        </w:rPr>
        <w:t>结构，交通</w:t>
      </w:r>
      <w:r>
        <w:rPr>
          <w:rFonts w:hint="eastAsia" w:eastAsia="仿宋_GB2312" w:cs="仿宋_GB2312"/>
          <w:sz w:val="28"/>
          <w:szCs w:val="28"/>
          <w:lang w:eastAsia="zh-CN"/>
        </w:rPr>
        <w:t>优</w:t>
      </w:r>
      <w:r>
        <w:rPr>
          <w:rFonts w:hint="eastAsia" w:eastAsia="仿宋_GB2312" w:cs="仿宋_GB2312"/>
          <w:sz w:val="28"/>
          <w:szCs w:val="28"/>
        </w:rPr>
        <w:t>，简单装修，年毛租金为</w:t>
      </w:r>
      <w:r>
        <w:rPr>
          <w:rFonts w:hint="eastAsia" w:eastAsia="仿宋_GB2312"/>
          <w:sz w:val="28"/>
          <w:szCs w:val="28"/>
          <w:lang w:val="en-US" w:eastAsia="zh-CN"/>
        </w:rPr>
        <w:t>208</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结合影响房屋租金的主要因素，以估价对象因素为</w:t>
      </w:r>
      <w:r>
        <w:rPr>
          <w:rFonts w:eastAsia="仿宋_GB2312"/>
          <w:sz w:val="28"/>
          <w:szCs w:val="28"/>
        </w:rPr>
        <w:t>100</w:t>
      </w:r>
      <w:r>
        <w:rPr>
          <w:rFonts w:hint="eastAsia" w:eastAsia="仿宋_GB2312" w:cs="仿宋_GB2312"/>
          <w:sz w:val="28"/>
          <w:szCs w:val="28"/>
        </w:rPr>
        <w:t>，进行租金修正，估价对象与实例比较因素情况详见表</w:t>
      </w:r>
      <w:r>
        <w:rPr>
          <w:rFonts w:eastAsia="仿宋_GB2312"/>
          <w:sz w:val="28"/>
          <w:szCs w:val="28"/>
        </w:rPr>
        <w:t>7</w:t>
      </w:r>
      <w:r>
        <w:rPr>
          <w:rFonts w:hint="eastAsia" w:eastAsia="仿宋_GB2312" w:cs="仿宋_GB2312"/>
          <w:sz w:val="28"/>
          <w:szCs w:val="28"/>
        </w:rPr>
        <w:t>。</w:t>
      </w:r>
    </w:p>
    <w:p>
      <w:pPr>
        <w:widowControl/>
        <w:adjustRightInd w:val="0"/>
        <w:snapToGrid w:val="0"/>
        <w:spacing w:line="600" w:lineRule="exact"/>
        <w:ind w:left="2" w:firstLine="2"/>
        <w:jc w:val="center"/>
        <w:textAlignment w:val="bottom"/>
        <w:rPr>
          <w:rFonts w:eastAsia="仿宋_GB2312"/>
          <w:b/>
          <w:sz w:val="24"/>
          <w:szCs w:val="24"/>
        </w:rPr>
      </w:pPr>
      <w:r>
        <w:rPr>
          <w:rFonts w:hint="eastAsia" w:eastAsia="仿宋_GB2312" w:cs="仿宋_GB2312"/>
          <w:b/>
          <w:sz w:val="24"/>
          <w:szCs w:val="24"/>
        </w:rPr>
        <w:t>表</w:t>
      </w:r>
      <w:r>
        <w:rPr>
          <w:rFonts w:eastAsia="仿宋_GB2312"/>
          <w:b/>
          <w:sz w:val="24"/>
          <w:szCs w:val="24"/>
        </w:rPr>
        <w:t xml:space="preserve">7   </w:t>
      </w:r>
      <w:r>
        <w:rPr>
          <w:rFonts w:hint="eastAsia" w:eastAsia="仿宋_GB2312" w:cs="仿宋_GB2312"/>
          <w:b/>
          <w:sz w:val="24"/>
          <w:szCs w:val="24"/>
        </w:rPr>
        <w:t>因素条件说明表</w:t>
      </w:r>
    </w:p>
    <w:tbl>
      <w:tblPr>
        <w:tblStyle w:val="42"/>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2051"/>
        <w:gridCol w:w="1719"/>
        <w:gridCol w:w="1795"/>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估价对象及</w:t>
            </w:r>
          </w:p>
          <w:p>
            <w:pPr>
              <w:snapToGrid w:val="0"/>
              <w:spacing w:line="300" w:lineRule="atLeast"/>
              <w:ind w:left="-630" w:leftChars="-300"/>
              <w:jc w:val="center"/>
              <w:rPr>
                <w:rFonts w:ascii="仿宋_GB2312" w:eastAsia="仿宋_GB2312" w:cs="仿宋_GB2312"/>
                <w:b/>
                <w:sz w:val="18"/>
                <w:szCs w:val="18"/>
              </w:rPr>
            </w:pPr>
            <w:r>
              <w:rPr>
                <w:rFonts w:hint="eastAsia" w:ascii="仿宋_GB2312" w:eastAsia="仿宋_GB2312" w:cs="仿宋_GB2312"/>
                <w:b/>
                <w:sz w:val="18"/>
                <w:szCs w:val="18"/>
              </w:rPr>
              <w:t>比较实例</w:t>
            </w:r>
          </w:p>
          <w:p>
            <w:pPr>
              <w:snapToGrid w:val="0"/>
              <w:spacing w:line="300" w:lineRule="atLeast"/>
              <w:ind w:firstLine="181" w:firstLineChars="100"/>
              <w:jc w:val="center"/>
              <w:rPr>
                <w:rFonts w:ascii="仿宋_GB2312" w:eastAsia="仿宋_GB2312" w:cs="仿宋_GB2312"/>
                <w:b/>
                <w:sz w:val="18"/>
                <w:szCs w:val="18"/>
              </w:rPr>
            </w:pPr>
            <w:r>
              <w:rPr>
                <w:rFonts w:hint="eastAsia" w:ascii="仿宋_GB2312" w:eastAsia="仿宋_GB2312" w:cs="仿宋_GB2312"/>
                <w:b/>
                <w:sz w:val="18"/>
                <w:szCs w:val="18"/>
              </w:rPr>
              <w:t>比较因素</w:t>
            </w:r>
          </w:p>
        </w:tc>
        <w:tc>
          <w:tcPr>
            <w:tcW w:w="2051"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估价对象</w:t>
            </w:r>
          </w:p>
        </w:tc>
        <w:tc>
          <w:tcPr>
            <w:tcW w:w="1719"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实例A</w:t>
            </w:r>
          </w:p>
        </w:tc>
        <w:tc>
          <w:tcPr>
            <w:tcW w:w="1795"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实例B</w:t>
            </w:r>
          </w:p>
        </w:tc>
        <w:tc>
          <w:tcPr>
            <w:tcW w:w="1653"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名称</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待估对象</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北欧印象</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北欧印象</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北欧印象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用途</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车库</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车库</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车库</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年毛租金（元/㎡）</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待估</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233</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200</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距区域中心的距离</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较近</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较近</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较近</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临街状况</w:t>
            </w:r>
            <w:r>
              <w:rPr>
                <w:rFonts w:hint="eastAsia" w:ascii="仿宋_GB2312" w:eastAsia="仿宋_GB2312"/>
                <w:sz w:val="18"/>
                <w:szCs w:val="18"/>
                <w:lang w:eastAsia="zh-CN"/>
              </w:rPr>
              <w:t>（小区）</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四</w:t>
            </w:r>
            <w:r>
              <w:rPr>
                <w:rFonts w:hint="eastAsia" w:ascii="仿宋_GB2312" w:eastAsia="仿宋_GB2312"/>
                <w:sz w:val="18"/>
                <w:szCs w:val="18"/>
              </w:rPr>
              <w:t>面临街</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四</w:t>
            </w:r>
            <w:r>
              <w:rPr>
                <w:rFonts w:hint="eastAsia" w:ascii="仿宋_GB2312" w:eastAsia="仿宋_GB2312"/>
                <w:sz w:val="18"/>
                <w:szCs w:val="18"/>
              </w:rPr>
              <w:t>面临街</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四</w:t>
            </w:r>
            <w:r>
              <w:rPr>
                <w:rFonts w:hint="eastAsia" w:ascii="仿宋_GB2312" w:eastAsia="仿宋_GB2312"/>
                <w:sz w:val="18"/>
                <w:szCs w:val="18"/>
              </w:rPr>
              <w:t>面临街</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四</w:t>
            </w:r>
            <w:r>
              <w:rPr>
                <w:rFonts w:hint="eastAsia" w:ascii="仿宋_GB2312" w:eastAsia="仿宋_GB2312"/>
                <w:sz w:val="18"/>
                <w:szCs w:val="18"/>
              </w:rPr>
              <w:t>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道路等级（小区）</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临</w:t>
            </w:r>
            <w:r>
              <w:rPr>
                <w:rFonts w:hint="eastAsia" w:ascii="仿宋_GB2312" w:eastAsia="仿宋_GB2312"/>
                <w:sz w:val="18"/>
                <w:szCs w:val="18"/>
                <w:lang w:eastAsia="zh-CN"/>
              </w:rPr>
              <w:t>次</w:t>
            </w:r>
            <w:r>
              <w:rPr>
                <w:rFonts w:hint="eastAsia" w:ascii="仿宋_GB2312" w:eastAsia="仿宋_GB2312"/>
                <w:sz w:val="18"/>
                <w:szCs w:val="18"/>
              </w:rPr>
              <w:t>干道</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临</w:t>
            </w:r>
            <w:r>
              <w:rPr>
                <w:rFonts w:hint="eastAsia" w:ascii="仿宋_GB2312" w:eastAsia="仿宋_GB2312"/>
                <w:sz w:val="18"/>
                <w:szCs w:val="18"/>
                <w:lang w:eastAsia="zh-CN"/>
              </w:rPr>
              <w:t>次</w:t>
            </w:r>
            <w:r>
              <w:rPr>
                <w:rFonts w:hint="eastAsia" w:ascii="仿宋_GB2312" w:eastAsia="仿宋_GB2312"/>
                <w:sz w:val="18"/>
                <w:szCs w:val="18"/>
              </w:rPr>
              <w:t>干道</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临</w:t>
            </w:r>
            <w:r>
              <w:rPr>
                <w:rFonts w:hint="eastAsia" w:ascii="仿宋_GB2312" w:eastAsia="仿宋_GB2312"/>
                <w:sz w:val="18"/>
                <w:szCs w:val="18"/>
                <w:lang w:eastAsia="zh-CN"/>
              </w:rPr>
              <w:t>次</w:t>
            </w:r>
            <w:r>
              <w:rPr>
                <w:rFonts w:hint="eastAsia" w:ascii="仿宋_GB2312" w:eastAsia="仿宋_GB2312"/>
                <w:sz w:val="18"/>
                <w:szCs w:val="18"/>
              </w:rPr>
              <w:t>干道</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临</w:t>
            </w:r>
            <w:r>
              <w:rPr>
                <w:rFonts w:hint="eastAsia" w:ascii="仿宋_GB2312" w:eastAsia="仿宋_GB2312"/>
                <w:sz w:val="18"/>
                <w:szCs w:val="18"/>
                <w:lang w:eastAsia="zh-CN"/>
              </w:rPr>
              <w:t>次</w:t>
            </w:r>
            <w:r>
              <w:rPr>
                <w:rFonts w:hint="eastAsia" w:ascii="仿宋_GB2312" w:eastAsia="仿宋_GB2312"/>
                <w:sz w:val="18"/>
                <w:szCs w:val="18"/>
              </w:rPr>
              <w:t>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朝向</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北</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南</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北</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业主消费层次</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较优</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较优</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较优</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公共交通种类</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优</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优</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优</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公交线路密度</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较密集</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较密集</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较密集</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较密集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公共交通便捷度</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便捷</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便捷</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便捷</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 xml:space="preserve">生活配套设施状况 </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完备</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完备</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完备</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小区住宅均价</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同档次</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同档次</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同档次</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同档次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周边居住小区状况</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一般</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一般</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一般</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用途多样性</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w:t>
            </w:r>
            <w:r>
              <w:rPr>
                <w:rFonts w:hint="eastAsia" w:ascii="仿宋_GB2312" w:eastAsia="仿宋_GB2312"/>
                <w:sz w:val="18"/>
                <w:szCs w:val="18"/>
              </w:rPr>
              <w:t>优</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w:t>
            </w:r>
            <w:r>
              <w:rPr>
                <w:rFonts w:hint="eastAsia" w:ascii="仿宋_GB2312" w:eastAsia="仿宋_GB2312"/>
                <w:sz w:val="18"/>
                <w:szCs w:val="18"/>
              </w:rPr>
              <w:t>优</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w:t>
            </w:r>
            <w:r>
              <w:rPr>
                <w:rFonts w:hint="eastAsia" w:ascii="仿宋_GB2312" w:eastAsia="仿宋_GB2312"/>
                <w:sz w:val="18"/>
                <w:szCs w:val="18"/>
              </w:rPr>
              <w:t>优</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较</w:t>
            </w:r>
            <w:r>
              <w:rPr>
                <w:rFonts w:hint="eastAsia" w:ascii="仿宋_GB2312" w:eastAsia="仿宋_GB2312"/>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建筑结构</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砖混</w:t>
            </w:r>
            <w:r>
              <w:rPr>
                <w:rFonts w:hint="eastAsia" w:ascii="仿宋_GB2312" w:eastAsia="仿宋_GB2312"/>
                <w:sz w:val="18"/>
                <w:szCs w:val="18"/>
              </w:rPr>
              <w:t>结构</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砖混</w:t>
            </w:r>
            <w:r>
              <w:rPr>
                <w:rFonts w:hint="eastAsia" w:ascii="仿宋_GB2312" w:eastAsia="仿宋_GB2312"/>
                <w:sz w:val="18"/>
                <w:szCs w:val="18"/>
              </w:rPr>
              <w:t>结构</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砖混</w:t>
            </w:r>
            <w:r>
              <w:rPr>
                <w:rFonts w:hint="eastAsia" w:ascii="仿宋_GB2312" w:eastAsia="仿宋_GB2312"/>
                <w:sz w:val="18"/>
                <w:szCs w:val="18"/>
              </w:rPr>
              <w:t>结构</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lang w:eastAsia="zh-CN"/>
              </w:rPr>
              <w:t>砖混</w:t>
            </w:r>
            <w:r>
              <w:rPr>
                <w:rFonts w:hint="eastAsia" w:ascii="仿宋_GB2312" w:eastAsia="仿宋_GB2312"/>
                <w:sz w:val="18"/>
                <w:szCs w:val="18"/>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装饰装修</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简单装修</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简单装修</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简单装修</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建筑规模</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一般</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一般</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一般</w:t>
            </w:r>
          </w:p>
        </w:tc>
        <w:tc>
          <w:tcPr>
            <w:tcW w:w="165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成新率</w:t>
            </w:r>
          </w:p>
        </w:tc>
        <w:tc>
          <w:tcPr>
            <w:tcW w:w="2051"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八成</w:t>
            </w:r>
          </w:p>
        </w:tc>
        <w:tc>
          <w:tcPr>
            <w:tcW w:w="1719"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八成</w:t>
            </w:r>
          </w:p>
        </w:tc>
        <w:tc>
          <w:tcPr>
            <w:tcW w:w="1795"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八成</w:t>
            </w:r>
          </w:p>
        </w:tc>
        <w:tc>
          <w:tcPr>
            <w:tcW w:w="1653"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eastAsia="zh-CN"/>
              </w:rPr>
              <w:t>八成</w:t>
            </w:r>
          </w:p>
        </w:tc>
      </w:tr>
    </w:tbl>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年毛租金的比较因素修正说明：</w:t>
      </w:r>
    </w:p>
    <w:p>
      <w:pPr>
        <w:snapToGrid w:val="0"/>
        <w:spacing w:line="600" w:lineRule="exact"/>
        <w:ind w:firstLine="560" w:firstLineChars="200"/>
        <w:textAlignment w:val="bottom"/>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A、距区域中心的距离，将</w:t>
      </w:r>
      <w:r>
        <w:rPr>
          <w:rFonts w:ascii="Times New Roman" w:hAnsi="Times New Roman" w:eastAsia="仿宋_GB2312" w:cs="Times New Roman"/>
          <w:kern w:val="2"/>
          <w:sz w:val="28"/>
          <w:szCs w:val="28"/>
          <w:lang w:val="en-US" w:eastAsia="zh-CN" w:bidi="ar-SA"/>
        </w:rPr>
        <w:t>距区域中心</w:t>
      </w:r>
      <w:r>
        <w:rPr>
          <w:rFonts w:hint="eastAsia" w:eastAsia="仿宋_GB2312" w:cs="Times New Roman"/>
          <w:kern w:val="2"/>
          <w:sz w:val="28"/>
          <w:szCs w:val="28"/>
          <w:lang w:val="en-US" w:eastAsia="zh-CN" w:bidi="ar-SA"/>
        </w:rPr>
        <w:t>维多利购物中心</w:t>
      </w:r>
      <w:r>
        <w:rPr>
          <w:rFonts w:ascii="Times New Roman" w:hAnsi="Times New Roman" w:eastAsia="仿宋_GB2312" w:cs="Times New Roman"/>
          <w:kern w:val="2"/>
          <w:sz w:val="28"/>
          <w:szCs w:val="28"/>
          <w:lang w:val="en-US" w:eastAsia="zh-CN" w:bidi="ar-SA"/>
        </w:rPr>
        <w:t>的距离</w:t>
      </w:r>
      <w:r>
        <w:rPr>
          <w:rFonts w:hint="eastAsia" w:ascii="Times New Roman" w:hAnsi="Times New Roman" w:eastAsia="仿宋_GB2312" w:cs="Times New Roman"/>
          <w:kern w:val="2"/>
          <w:sz w:val="28"/>
          <w:szCs w:val="28"/>
          <w:lang w:val="en-US" w:eastAsia="zh-CN" w:bidi="ar-SA"/>
        </w:rPr>
        <w:t>分为近、较近、一般、较远、远五个级别，其中距离≤</w:t>
      </w:r>
      <w:r>
        <w:rPr>
          <w:rFonts w:ascii="Times New Roman" w:hAnsi="Times New Roman" w:eastAsia="仿宋_GB2312" w:cs="Times New Roman"/>
          <w:kern w:val="2"/>
          <w:sz w:val="28"/>
          <w:szCs w:val="28"/>
          <w:lang w:val="en-US" w:eastAsia="zh-CN" w:bidi="ar-SA"/>
        </w:rPr>
        <w:t>500</w:t>
      </w:r>
      <w:r>
        <w:rPr>
          <w:rFonts w:hint="eastAsia" w:ascii="Times New Roman" w:hAnsi="Times New Roman" w:eastAsia="仿宋_GB2312" w:cs="Times New Roman"/>
          <w:kern w:val="2"/>
          <w:sz w:val="28"/>
          <w:szCs w:val="28"/>
          <w:lang w:val="en-US" w:eastAsia="zh-CN" w:bidi="ar-SA"/>
        </w:rPr>
        <w:t>米为近，（</w:t>
      </w:r>
      <w:r>
        <w:rPr>
          <w:rFonts w:ascii="Times New Roman" w:hAnsi="Times New Roman" w:eastAsia="仿宋_GB2312" w:cs="Times New Roman"/>
          <w:kern w:val="2"/>
          <w:sz w:val="28"/>
          <w:szCs w:val="28"/>
          <w:lang w:val="en-US" w:eastAsia="zh-CN" w:bidi="ar-SA"/>
        </w:rPr>
        <w:t>500</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1000]</w:t>
      </w:r>
      <w:r>
        <w:rPr>
          <w:rFonts w:hint="eastAsia" w:ascii="Times New Roman" w:hAnsi="Times New Roman" w:eastAsia="仿宋_GB2312" w:cs="Times New Roman"/>
          <w:kern w:val="2"/>
          <w:sz w:val="28"/>
          <w:szCs w:val="28"/>
          <w:lang w:val="en-US" w:eastAsia="zh-CN" w:bidi="ar-SA"/>
        </w:rPr>
        <w:t>米为较近，（</w:t>
      </w:r>
      <w:r>
        <w:rPr>
          <w:rFonts w:ascii="Times New Roman" w:hAnsi="Times New Roman" w:eastAsia="仿宋_GB2312" w:cs="Times New Roman"/>
          <w:kern w:val="2"/>
          <w:sz w:val="28"/>
          <w:szCs w:val="28"/>
          <w:lang w:val="en-US" w:eastAsia="zh-CN" w:bidi="ar-SA"/>
        </w:rPr>
        <w:t>1000</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2000]</w:t>
      </w:r>
      <w:r>
        <w:rPr>
          <w:rFonts w:hint="eastAsia" w:ascii="Times New Roman" w:hAnsi="Times New Roman" w:eastAsia="仿宋_GB2312" w:cs="Times New Roman"/>
          <w:kern w:val="2"/>
          <w:sz w:val="28"/>
          <w:szCs w:val="28"/>
          <w:lang w:val="en-US" w:eastAsia="zh-CN" w:bidi="ar-SA"/>
        </w:rPr>
        <w:t>米为一般，（</w:t>
      </w:r>
      <w:r>
        <w:rPr>
          <w:rFonts w:ascii="Times New Roman" w:hAnsi="Times New Roman" w:eastAsia="仿宋_GB2312" w:cs="Times New Roman"/>
          <w:kern w:val="2"/>
          <w:sz w:val="28"/>
          <w:szCs w:val="28"/>
          <w:lang w:val="en-US" w:eastAsia="zh-CN" w:bidi="ar-SA"/>
        </w:rPr>
        <w:t>2000</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3000]</w:t>
      </w:r>
      <w:r>
        <w:rPr>
          <w:rFonts w:hint="eastAsia" w:ascii="Times New Roman" w:hAnsi="Times New Roman" w:eastAsia="仿宋_GB2312" w:cs="Times New Roman"/>
          <w:kern w:val="2"/>
          <w:sz w:val="28"/>
          <w:szCs w:val="28"/>
          <w:lang w:val="en-US" w:eastAsia="zh-CN" w:bidi="ar-SA"/>
        </w:rPr>
        <w:t>米为较远，≥</w:t>
      </w:r>
      <w:r>
        <w:rPr>
          <w:rFonts w:ascii="Times New Roman" w:hAnsi="Times New Roman" w:eastAsia="仿宋_GB2312" w:cs="Times New Roman"/>
          <w:kern w:val="2"/>
          <w:sz w:val="28"/>
          <w:szCs w:val="28"/>
          <w:lang w:val="en-US" w:eastAsia="zh-CN" w:bidi="ar-SA"/>
        </w:rPr>
        <w:t>3000</w:t>
      </w:r>
      <w:r>
        <w:rPr>
          <w:rFonts w:hint="eastAsia" w:ascii="Times New Roman" w:hAnsi="Times New Roman" w:eastAsia="仿宋_GB2312" w:cs="Times New Roman"/>
          <w:kern w:val="2"/>
          <w:sz w:val="28"/>
          <w:szCs w:val="28"/>
          <w:lang w:val="en-US" w:eastAsia="zh-CN" w:bidi="ar-SA"/>
        </w:rPr>
        <w:t>米为远，以评估对象距区域中心的距离分数为</w:t>
      </w:r>
      <w:r>
        <w:rPr>
          <w:rFonts w:ascii="Times New Roman" w:hAnsi="Times New Roman" w:eastAsia="仿宋_GB2312" w:cs="Times New Roman"/>
          <w:kern w:val="2"/>
          <w:sz w:val="28"/>
          <w:szCs w:val="28"/>
          <w:lang w:val="en-US" w:eastAsia="zh-CN" w:bidi="ar-SA"/>
        </w:rPr>
        <w:t>100</w:t>
      </w:r>
      <w:r>
        <w:rPr>
          <w:rFonts w:hint="eastAsia" w:ascii="Times New Roman" w:hAnsi="Times New Roman" w:eastAsia="仿宋_GB2312" w:cs="Times New Roman"/>
          <w:kern w:val="2"/>
          <w:sz w:val="28"/>
          <w:szCs w:val="28"/>
          <w:lang w:val="en-US" w:eastAsia="zh-CN" w:bidi="ar-SA"/>
        </w:rPr>
        <w:t>，将可比实例与评估对象相比，每相差一个等级修正2</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B、</w:t>
      </w:r>
      <w:r>
        <w:rPr>
          <w:rFonts w:ascii="Times New Roman" w:hAnsi="Times New Roman"/>
          <w:sz w:val="28"/>
          <w:szCs w:val="28"/>
        </w:rPr>
        <w:t>临街状况，自好向差分为四面临街、三面临街、两面临街、</w:t>
      </w:r>
      <w:r>
        <w:rPr>
          <w:rFonts w:hint="eastAsia" w:ascii="Times New Roman" w:hAnsi="Times New Roman"/>
          <w:sz w:val="28"/>
          <w:szCs w:val="28"/>
        </w:rPr>
        <w:t>一</w:t>
      </w:r>
      <w:r>
        <w:rPr>
          <w:rFonts w:ascii="Times New Roman" w:hAnsi="Times New Roman"/>
          <w:sz w:val="28"/>
          <w:szCs w:val="28"/>
        </w:rPr>
        <w:t>面临街、不临街五个等级，以评估对象为100, 每相差一个等级修正</w:t>
      </w:r>
      <w:r>
        <w:rPr>
          <w:rFonts w:hint="eastAsia" w:ascii="Times New Roman" w:hAnsi="Times New Roman"/>
          <w:sz w:val="28"/>
          <w:szCs w:val="28"/>
        </w:rPr>
        <w:t>1</w:t>
      </w:r>
      <w:r>
        <w:rPr>
          <w:rFonts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C、</w:t>
      </w:r>
      <w:r>
        <w:rPr>
          <w:rFonts w:ascii="Times New Roman" w:hAnsi="Times New Roman"/>
          <w:sz w:val="28"/>
          <w:szCs w:val="28"/>
        </w:rPr>
        <w:t>道路等级</w:t>
      </w:r>
      <w:r>
        <w:rPr>
          <w:rFonts w:hint="eastAsia" w:ascii="Times New Roman" w:hAnsi="Times New Roman"/>
          <w:sz w:val="28"/>
          <w:szCs w:val="28"/>
        </w:rPr>
        <w:t>（小区）</w:t>
      </w:r>
      <w:r>
        <w:rPr>
          <w:rFonts w:ascii="Times New Roman" w:hAnsi="Times New Roman"/>
          <w:sz w:val="28"/>
          <w:szCs w:val="28"/>
        </w:rPr>
        <w:t>，自好向差分为临主干道、临次干道、临支路、临</w:t>
      </w:r>
      <w:r>
        <w:rPr>
          <w:rFonts w:hint="eastAsia" w:ascii="Times New Roman" w:hAnsi="Times New Roman"/>
          <w:sz w:val="28"/>
          <w:szCs w:val="28"/>
        </w:rPr>
        <w:t>巷道</w:t>
      </w:r>
      <w:r>
        <w:rPr>
          <w:rFonts w:ascii="Times New Roman" w:hAnsi="Times New Roman"/>
          <w:sz w:val="28"/>
          <w:szCs w:val="28"/>
        </w:rPr>
        <w:t>、临小区道路五个等级，以</w:t>
      </w:r>
      <w:r>
        <w:rPr>
          <w:rFonts w:hint="eastAsia" w:ascii="Times New Roman" w:hAnsi="Times New Roman"/>
          <w:sz w:val="28"/>
          <w:szCs w:val="28"/>
        </w:rPr>
        <w:t>评估</w:t>
      </w:r>
      <w:r>
        <w:rPr>
          <w:rFonts w:ascii="Times New Roman" w:hAnsi="Times New Roman"/>
          <w:sz w:val="28"/>
          <w:szCs w:val="28"/>
        </w:rPr>
        <w:t>对象的等级为100，每相差一个等级修正</w:t>
      </w:r>
      <w:r>
        <w:rPr>
          <w:rFonts w:hint="eastAsia" w:ascii="Times New Roman" w:hAnsi="Times New Roman"/>
          <w:sz w:val="28"/>
          <w:szCs w:val="28"/>
          <w:lang w:val="en-US" w:eastAsia="zh-CN"/>
        </w:rPr>
        <w:t>2</w:t>
      </w:r>
      <w:r>
        <w:rPr>
          <w:rFonts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D、</w:t>
      </w:r>
      <w:r>
        <w:rPr>
          <w:rFonts w:hint="eastAsia" w:ascii="Times New Roman" w:hAnsi="Times New Roman"/>
          <w:sz w:val="28"/>
          <w:szCs w:val="28"/>
        </w:rPr>
        <w:t>朝向，根据朝向对房地产价格的影响，向南、向东</w:t>
      </w:r>
      <w:r>
        <w:rPr>
          <w:rFonts w:hint="eastAsia" w:ascii="Times New Roman" w:hAnsi="Times New Roman"/>
          <w:sz w:val="28"/>
          <w:szCs w:val="28"/>
          <w:lang w:eastAsia="zh-CN"/>
        </w:rPr>
        <w:t>、</w:t>
      </w:r>
      <w:r>
        <w:rPr>
          <w:rFonts w:hint="eastAsia" w:ascii="Times New Roman" w:hAnsi="Times New Roman"/>
          <w:sz w:val="28"/>
          <w:szCs w:val="28"/>
        </w:rPr>
        <w:t>向西、向北，依次为优、</w:t>
      </w:r>
      <w:r>
        <w:rPr>
          <w:rFonts w:hint="eastAsia" w:ascii="Times New Roman" w:hAnsi="Times New Roman"/>
          <w:sz w:val="28"/>
          <w:szCs w:val="28"/>
          <w:lang w:eastAsia="zh-CN"/>
        </w:rPr>
        <w:t>较优、</w:t>
      </w:r>
      <w:r>
        <w:rPr>
          <w:rFonts w:hint="eastAsia" w:ascii="Times New Roman" w:hAnsi="Times New Roman"/>
          <w:sz w:val="28"/>
          <w:szCs w:val="28"/>
        </w:rPr>
        <w:t>一般、劣，以评估对象的朝向为100，每相差一个等级修正</w:t>
      </w:r>
      <w:r>
        <w:rPr>
          <w:rFonts w:hint="eastAsia" w:ascii="Times New Roman" w:hAnsi="Times New Roman"/>
          <w:sz w:val="28"/>
          <w:szCs w:val="28"/>
          <w:lang w:val="en-US" w:eastAsia="zh-CN"/>
        </w:rPr>
        <w:t>2</w:t>
      </w:r>
      <w:r>
        <w:rPr>
          <w:rFonts w:hint="eastAsia"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E、</w:t>
      </w:r>
      <w:r>
        <w:rPr>
          <w:rFonts w:hint="eastAsia" w:ascii="Times New Roman" w:hAnsi="Times New Roman"/>
          <w:sz w:val="28"/>
          <w:szCs w:val="28"/>
        </w:rPr>
        <w:t>业主消费层次：小区业主消费层次越高，则该小区业主对私家车及车位的需求越多，对车位价格呈正效应；反之，小区业主消费层次越低，则该小区业主对私家车及车位的需求越少，对车位价格呈负效应。业主消费层次分为高档、中高档、中低档、低档，分别为优、较优、一般、劣，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F、</w:t>
      </w:r>
      <w:r>
        <w:rPr>
          <w:rFonts w:hint="eastAsia" w:ascii="Times New Roman" w:hAnsi="Times New Roman"/>
          <w:sz w:val="28"/>
          <w:szCs w:val="28"/>
        </w:rPr>
        <w:t>公共交通种类，公共交通种类越少，则业主对私家车库的需求越多，对车库价格呈正效应；反之，公共交通种类数越多，则业主对私家车及车位的需求越少，对车位价格呈负效应。公共交通种类从优到劣分为出租车、公交车均有，仅有出租车。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G、</w:t>
      </w:r>
      <w:r>
        <w:rPr>
          <w:rFonts w:hint="eastAsia" w:ascii="Times New Roman" w:hAnsi="Times New Roman"/>
          <w:sz w:val="28"/>
          <w:szCs w:val="28"/>
        </w:rPr>
        <w:t>公交线路密度</w:t>
      </w:r>
      <w:r>
        <w:rPr>
          <w:rFonts w:ascii="Times New Roman" w:hAnsi="Times New Roman"/>
          <w:sz w:val="28"/>
          <w:szCs w:val="28"/>
        </w:rPr>
        <w:t xml:space="preserve">, </w:t>
      </w:r>
      <w:r>
        <w:rPr>
          <w:rFonts w:hint="eastAsia" w:ascii="Times New Roman" w:hAnsi="Times New Roman"/>
          <w:sz w:val="28"/>
          <w:szCs w:val="28"/>
        </w:rPr>
        <w:t>公交线路密度越低，则业主对私家车库的需求越多，对车位价格呈正效应。公交线路密度从优到劣分为密集、较密集、一般、较不密集、密集。以评估对象为100，每相差一个等级修正2%。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H、</w:t>
      </w:r>
      <w:r>
        <w:rPr>
          <w:rFonts w:ascii="Times New Roman" w:hAnsi="Times New Roman"/>
          <w:sz w:val="28"/>
          <w:szCs w:val="28"/>
        </w:rPr>
        <w:t>公共交通便捷度，</w:t>
      </w:r>
      <w:r>
        <w:rPr>
          <w:rFonts w:hint="eastAsia" w:ascii="Times New Roman" w:hAnsi="Times New Roman"/>
          <w:sz w:val="28"/>
          <w:szCs w:val="28"/>
        </w:rPr>
        <w:t>公共交通便捷度越低，则业主对私家车及车位的需求越多，对车位价格呈正效应；反之，公共交通便捷度越高，则业主对私家车及车位的需求越少，对车位价格呈负效应</w:t>
      </w:r>
      <w:r>
        <w:rPr>
          <w:rFonts w:ascii="Times New Roman" w:hAnsi="Times New Roman"/>
          <w:sz w:val="28"/>
          <w:szCs w:val="28"/>
        </w:rPr>
        <w:t>。公共交通便捷度</w:t>
      </w:r>
      <w:r>
        <w:rPr>
          <w:rFonts w:hint="eastAsia" w:ascii="Times New Roman" w:hAnsi="Times New Roman"/>
          <w:sz w:val="28"/>
          <w:szCs w:val="28"/>
        </w:rPr>
        <w:t>分为便捷、较便捷、一般便捷、较不便捷、不便捷。以评估对象为100，每相差一个等级修正2%。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I、</w:t>
      </w:r>
      <w:r>
        <w:rPr>
          <w:rFonts w:hint="eastAsia" w:ascii="Times New Roman" w:hAnsi="Times New Roman"/>
          <w:sz w:val="28"/>
          <w:szCs w:val="28"/>
        </w:rPr>
        <w:t>生活配套设施状况，生活配套设施越不便利，则业主对私家车库的需求越多，对车库价格呈正效应。生活配套设施状况分为完备、较完备、一般完备、较不完备、不完备。以评估对象为100，每相差一个等级修正2%。</w:t>
      </w:r>
    </w:p>
    <w:p>
      <w:pPr>
        <w:pStyle w:val="105"/>
        <w:spacing w:line="600" w:lineRule="exact"/>
        <w:ind w:firstLine="560" w:firstLineChars="200"/>
        <w:rPr>
          <w:rFonts w:hint="eastAsia" w:ascii="Times New Roman" w:hAnsi="Times New Roman"/>
          <w:sz w:val="28"/>
          <w:szCs w:val="28"/>
        </w:rPr>
      </w:pPr>
      <w:r>
        <w:rPr>
          <w:rFonts w:hint="eastAsia" w:ascii="Times New Roman" w:hAnsi="Times New Roman"/>
          <w:sz w:val="28"/>
          <w:szCs w:val="28"/>
          <w:lang w:val="en-US" w:eastAsia="zh-CN"/>
        </w:rPr>
        <w:t>J、</w:t>
      </w:r>
      <w:r>
        <w:rPr>
          <w:rFonts w:hint="eastAsia" w:ascii="Times New Roman" w:hAnsi="Times New Roman"/>
          <w:sz w:val="28"/>
          <w:szCs w:val="28"/>
        </w:rPr>
        <w:t>小区住宅均价，在同一供求圈内，小区住宅平均价格越高，则该小区档次越高，小区业主对私家车及车位的需求越多，对车位价格呈正效应；反之，小区住宅平均价格越低，则该小区档次越低，小区业主对私家车及车位的需求越少，对车位价格呈负效应。因可比实例1、2、3与估价对象均在同一档次，故不作调整。</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K、</w:t>
      </w:r>
      <w:r>
        <w:rPr>
          <w:rFonts w:hint="eastAsia" w:ascii="Times New Roman" w:hAnsi="Times New Roman"/>
          <w:sz w:val="28"/>
          <w:szCs w:val="28"/>
        </w:rPr>
        <w:t>周边居住小区状况，周边居住小区高档住宅越多，则周边小区业主对私家车库的需求越多，则车库的价格呈正效应。周边居住小区状况从优到劣分为高档小区多、中档小区多、低档小区多。以评估对象为100，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L、</w:t>
      </w:r>
      <w:r>
        <w:rPr>
          <w:rFonts w:hint="eastAsia" w:ascii="Times New Roman" w:hAnsi="Times New Roman"/>
          <w:sz w:val="28"/>
          <w:szCs w:val="28"/>
        </w:rPr>
        <w:t>用途多样性</w:t>
      </w:r>
      <w:r>
        <w:rPr>
          <w:rFonts w:ascii="Times New Roman" w:hAnsi="Times New Roman"/>
          <w:sz w:val="28"/>
          <w:szCs w:val="28"/>
        </w:rPr>
        <w:t>，</w:t>
      </w:r>
      <w:r>
        <w:rPr>
          <w:rFonts w:hint="eastAsia" w:ascii="Times New Roman" w:hAnsi="Times New Roman"/>
          <w:sz w:val="28"/>
          <w:szCs w:val="28"/>
        </w:rPr>
        <w:t>由于现在地上车库不仅仅作为车库进行使用，大多数业主对车库进行的改造，可以用作商业经营、住宅居住等。以评估对象为100，每相差一种用途修正1%。</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M、</w:t>
      </w:r>
      <w:r>
        <w:rPr>
          <w:rFonts w:ascii="Times New Roman" w:hAnsi="Times New Roman"/>
          <w:sz w:val="28"/>
          <w:szCs w:val="28"/>
        </w:rPr>
        <w:t>建筑结构，自好向差分为钢结构、钢混</w:t>
      </w:r>
      <w:r>
        <w:rPr>
          <w:rFonts w:hint="eastAsia" w:ascii="Times New Roman" w:hAnsi="Times New Roman"/>
          <w:sz w:val="28"/>
          <w:szCs w:val="28"/>
        </w:rPr>
        <w:t>（同框架）</w:t>
      </w:r>
      <w:r>
        <w:rPr>
          <w:rFonts w:ascii="Times New Roman" w:hAnsi="Times New Roman"/>
          <w:sz w:val="28"/>
          <w:szCs w:val="28"/>
        </w:rPr>
        <w:t>结构、混合（含砖混）结构、砖木结构四个等级，每相差一个等级修正2%。</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N、</w:t>
      </w:r>
      <w:r>
        <w:rPr>
          <w:rFonts w:ascii="Times New Roman" w:hAnsi="Times New Roman"/>
          <w:sz w:val="28"/>
          <w:szCs w:val="28"/>
        </w:rPr>
        <w:t>装饰装修, 自好向差分为豪华装修、精装修、中等装修、简单装修、毛坯房五个等级，以评估对象为100，每相差一个等级修正</w:t>
      </w:r>
      <w:r>
        <w:rPr>
          <w:rFonts w:hint="eastAsia" w:ascii="Times New Roman" w:hAnsi="Times New Roman"/>
          <w:sz w:val="28"/>
          <w:szCs w:val="28"/>
          <w:lang w:val="en-US" w:eastAsia="zh-CN"/>
        </w:rPr>
        <w:t>3</w:t>
      </w:r>
      <w:r>
        <w:rPr>
          <w:rFonts w:ascii="Times New Roman" w:hAnsi="Times New Roman"/>
          <w:sz w:val="28"/>
          <w:szCs w:val="28"/>
        </w:rPr>
        <w:t>%。</w:t>
      </w:r>
    </w:p>
    <w:p>
      <w:pPr>
        <w:pStyle w:val="105"/>
        <w:spacing w:line="600" w:lineRule="exact"/>
        <w:ind w:firstLine="560" w:firstLineChars="200"/>
        <w:rPr>
          <w:rFonts w:ascii="Times New Roman" w:hAnsi="Times New Roman"/>
          <w:sz w:val="28"/>
          <w:szCs w:val="28"/>
        </w:rPr>
      </w:pPr>
      <w:r>
        <w:rPr>
          <w:rFonts w:hint="eastAsia" w:ascii="Times New Roman" w:hAnsi="Times New Roman"/>
          <w:sz w:val="28"/>
          <w:szCs w:val="28"/>
          <w:lang w:val="en-US" w:eastAsia="zh-CN"/>
        </w:rPr>
        <w:t>O、</w:t>
      </w:r>
      <w:r>
        <w:rPr>
          <w:rFonts w:ascii="Times New Roman" w:hAnsi="Times New Roman"/>
          <w:sz w:val="28"/>
          <w:szCs w:val="28"/>
        </w:rPr>
        <w:t>建筑规模，根据住宅规模的影响建筑规模从劣到</w:t>
      </w:r>
      <w:r>
        <w:rPr>
          <w:rFonts w:hint="eastAsia" w:ascii="Times New Roman" w:hAnsi="Times New Roman"/>
          <w:sz w:val="28"/>
          <w:szCs w:val="28"/>
        </w:rPr>
        <w:t>优</w:t>
      </w:r>
      <w:r>
        <w:rPr>
          <w:rFonts w:ascii="Times New Roman" w:hAnsi="Times New Roman"/>
          <w:sz w:val="28"/>
          <w:szCs w:val="28"/>
        </w:rPr>
        <w:t>分为</w:t>
      </w:r>
      <w:r>
        <w:rPr>
          <w:rFonts w:hint="eastAsia" w:ascii="Times New Roman" w:hAnsi="Times New Roman"/>
          <w:sz w:val="28"/>
          <w:szCs w:val="28"/>
        </w:rPr>
        <w:t>五栋以下，五栋至二十栋，二十栋以上三个等级</w:t>
      </w:r>
      <w:r>
        <w:rPr>
          <w:rFonts w:ascii="Times New Roman" w:hAnsi="Times New Roman"/>
          <w:sz w:val="28"/>
          <w:szCs w:val="28"/>
        </w:rPr>
        <w:t>，以评估对象为100, 每相差一个等级修正1%</w:t>
      </w:r>
      <w:r>
        <w:rPr>
          <w:rFonts w:hint="eastAsia" w:ascii="Times New Roman" w:hAnsi="Times New Roman"/>
          <w:sz w:val="28"/>
          <w:szCs w:val="28"/>
        </w:rPr>
        <w:t>。</w:t>
      </w:r>
    </w:p>
    <w:p>
      <w:pPr>
        <w:widowControl/>
        <w:adjustRightInd w:val="0"/>
        <w:snapToGrid w:val="0"/>
        <w:spacing w:line="560" w:lineRule="exact"/>
        <w:ind w:firstLine="560" w:firstLineChars="200"/>
        <w:textAlignment w:val="bottom"/>
        <w:rPr>
          <w:rFonts w:hint="eastAsia" w:ascii="仿宋_GB2312" w:eastAsia="仿宋_GB2312" w:cs="仿宋_GB2312"/>
          <w:sz w:val="28"/>
          <w:szCs w:val="28"/>
        </w:rPr>
      </w:pPr>
      <w:r>
        <w:rPr>
          <w:rFonts w:hint="eastAsia" w:eastAsia="仿宋_GB2312" w:cs="Times New Roman"/>
          <w:kern w:val="2"/>
          <w:sz w:val="28"/>
          <w:szCs w:val="28"/>
          <w:lang w:val="en-US" w:eastAsia="zh-CN" w:bidi="ar-SA"/>
        </w:rPr>
        <w:t>P、</w:t>
      </w:r>
      <w:r>
        <w:rPr>
          <w:rFonts w:ascii="Times New Roman" w:hAnsi="Times New Roman" w:eastAsia="仿宋_GB2312" w:cs="Times New Roman"/>
          <w:kern w:val="2"/>
          <w:sz w:val="28"/>
          <w:szCs w:val="28"/>
          <w:lang w:val="en-US" w:eastAsia="zh-CN" w:bidi="ar-SA"/>
        </w:rPr>
        <w:t>成新率，根据评估对象及三个可比实例的竣工年份及维护使用状况，判断成新率</w:t>
      </w:r>
      <w:r>
        <w:rPr>
          <w:rFonts w:hint="eastAsia" w:ascii="Times New Roman" w:hAnsi="Times New Roman" w:eastAsia="仿宋_GB2312" w:cs="Times New Roman"/>
          <w:kern w:val="2"/>
          <w:sz w:val="28"/>
          <w:szCs w:val="28"/>
          <w:lang w:val="en-US" w:eastAsia="zh-CN" w:bidi="ar-SA"/>
        </w:rPr>
        <w:t>，</w:t>
      </w:r>
      <w:r>
        <w:rPr>
          <w:rFonts w:hint="eastAsia" w:eastAsia="仿宋_GB2312" w:cs="Times New Roman"/>
          <w:kern w:val="2"/>
          <w:sz w:val="28"/>
          <w:szCs w:val="28"/>
          <w:lang w:val="en-US" w:eastAsia="zh-CN" w:bidi="ar-SA"/>
        </w:rPr>
        <w:t>估价</w:t>
      </w:r>
      <w:r>
        <w:rPr>
          <w:rFonts w:hint="eastAsia" w:ascii="Times New Roman" w:hAnsi="Times New Roman" w:eastAsia="仿宋_GB2312" w:cs="Times New Roman"/>
          <w:kern w:val="2"/>
          <w:sz w:val="28"/>
          <w:szCs w:val="28"/>
          <w:lang w:val="en-US" w:eastAsia="zh-CN" w:bidi="ar-SA"/>
        </w:rPr>
        <w:t>对象建于</w:t>
      </w:r>
      <w:r>
        <w:rPr>
          <w:rFonts w:hint="eastAsia" w:eastAsia="仿宋_GB2312" w:cs="Times New Roman"/>
          <w:kern w:val="2"/>
          <w:sz w:val="28"/>
          <w:szCs w:val="28"/>
          <w:lang w:val="en-US" w:eastAsia="zh-CN" w:bidi="ar-SA"/>
        </w:rPr>
        <w:t>2010</w:t>
      </w:r>
      <w:r>
        <w:rPr>
          <w:rFonts w:hint="eastAsia" w:ascii="Times New Roman" w:hAnsi="Times New Roman" w:eastAsia="仿宋_GB2312" w:cs="Times New Roman"/>
          <w:kern w:val="2"/>
          <w:sz w:val="28"/>
          <w:szCs w:val="28"/>
          <w:lang w:val="en-US" w:eastAsia="zh-CN" w:bidi="ar-SA"/>
        </w:rPr>
        <w:t>年，但其维护保养情况较好，故成新率确定为八成</w:t>
      </w:r>
      <w:r>
        <w:rPr>
          <w:rFonts w:ascii="Times New Roman" w:hAnsi="Times New Roman" w:eastAsia="仿宋_GB2312" w:cs="Times New Roman"/>
          <w:kern w:val="2"/>
          <w:sz w:val="28"/>
          <w:szCs w:val="28"/>
          <w:lang w:val="en-US" w:eastAsia="zh-CN" w:bidi="ar-SA"/>
        </w:rPr>
        <w:t>，以评估对象为100，每相差一成修正</w:t>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 xml:space="preserve"> </w:t>
      </w:r>
      <w:r>
        <w:rPr>
          <w:rFonts w:hint="eastAsia" w:eastAsia="仿宋_GB2312" w:cs="Times New Roman"/>
          <w:kern w:val="2"/>
          <w:sz w:val="28"/>
          <w:szCs w:val="28"/>
          <w:lang w:val="en-US" w:eastAsia="zh-CN" w:bidi="ar-SA"/>
        </w:rPr>
        <w:t>。</w:t>
      </w:r>
      <w:r>
        <w:rPr>
          <w:rFonts w:hint="eastAsia" w:ascii="仿宋_GB2312" w:eastAsia="仿宋_GB2312" w:cs="仿宋_GB2312"/>
          <w:sz w:val="28"/>
          <w:szCs w:val="28"/>
        </w:rPr>
        <w:t xml:space="preserve"> </w:t>
      </w:r>
    </w:p>
    <w:p>
      <w:pPr>
        <w:widowControl/>
        <w:adjustRightInd w:val="0"/>
        <w:snapToGrid w:val="0"/>
        <w:spacing w:line="56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根据比较因素条件指数表8，编制比较因素修正系数表9。</w:t>
      </w:r>
    </w:p>
    <w:p>
      <w:pPr>
        <w:adjustRightInd w:val="0"/>
        <w:snapToGrid w:val="0"/>
        <w:spacing w:line="540" w:lineRule="exact"/>
        <w:ind w:firstLine="561"/>
        <w:jc w:val="center"/>
        <w:rPr>
          <w:rFonts w:hint="eastAsia" w:eastAsia="仿宋_GB2312" w:cs="仿宋_GB2312"/>
          <w:b/>
          <w:sz w:val="24"/>
          <w:szCs w:val="24"/>
        </w:rPr>
      </w:pPr>
    </w:p>
    <w:p>
      <w:pPr>
        <w:adjustRightInd w:val="0"/>
        <w:snapToGrid w:val="0"/>
        <w:spacing w:line="540" w:lineRule="exact"/>
        <w:ind w:firstLine="561"/>
        <w:jc w:val="center"/>
        <w:rPr>
          <w:rFonts w:hint="eastAsia" w:eastAsia="仿宋_GB2312" w:cs="仿宋_GB2312"/>
          <w:b/>
          <w:sz w:val="24"/>
          <w:szCs w:val="24"/>
        </w:rPr>
      </w:pPr>
    </w:p>
    <w:p>
      <w:pPr>
        <w:adjustRightInd w:val="0"/>
        <w:snapToGrid w:val="0"/>
        <w:spacing w:line="540" w:lineRule="exact"/>
        <w:ind w:firstLine="561"/>
        <w:jc w:val="center"/>
        <w:rPr>
          <w:rFonts w:eastAsia="仿宋_GB2312"/>
          <w:b/>
          <w:sz w:val="24"/>
          <w:szCs w:val="24"/>
        </w:rPr>
      </w:pPr>
      <w:r>
        <w:rPr>
          <w:rFonts w:hint="eastAsia" w:eastAsia="仿宋_GB2312" w:cs="仿宋_GB2312"/>
          <w:b/>
          <w:sz w:val="24"/>
          <w:szCs w:val="24"/>
        </w:rPr>
        <w:t>表</w:t>
      </w:r>
      <w:r>
        <w:rPr>
          <w:rFonts w:eastAsia="仿宋_GB2312"/>
          <w:b/>
          <w:sz w:val="24"/>
          <w:szCs w:val="24"/>
        </w:rPr>
        <w:t xml:space="preserve">8   </w:t>
      </w:r>
      <w:r>
        <w:rPr>
          <w:rFonts w:hint="eastAsia" w:eastAsia="仿宋_GB2312" w:cs="仿宋_GB2312"/>
          <w:b/>
          <w:sz w:val="24"/>
          <w:szCs w:val="24"/>
        </w:rPr>
        <w:t>比较因素条件指数表</w:t>
      </w:r>
    </w:p>
    <w:tbl>
      <w:tblPr>
        <w:tblStyle w:val="42"/>
        <w:tblW w:w="8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5"/>
        <w:gridCol w:w="1452"/>
        <w:gridCol w:w="1326"/>
        <w:gridCol w:w="1377"/>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2945"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       估价对象及</w:t>
            </w:r>
          </w:p>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            比较实例</w:t>
            </w:r>
          </w:p>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比较因素       </w:t>
            </w:r>
          </w:p>
        </w:tc>
        <w:tc>
          <w:tcPr>
            <w:tcW w:w="1452"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估价对象</w:t>
            </w:r>
          </w:p>
        </w:tc>
        <w:tc>
          <w:tcPr>
            <w:tcW w:w="1326"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实例A </w:t>
            </w:r>
          </w:p>
        </w:tc>
        <w:tc>
          <w:tcPr>
            <w:tcW w:w="1377"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实例B </w:t>
            </w:r>
          </w:p>
        </w:tc>
        <w:tc>
          <w:tcPr>
            <w:tcW w:w="1434"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ascii="仿宋_GB2312" w:eastAsia="仿宋_GB2312" w:cs="仿宋_GB2312"/>
                <w:sz w:val="18"/>
                <w:szCs w:val="18"/>
              </w:rPr>
            </w:pPr>
            <w:r>
              <w:rPr>
                <w:rFonts w:hint="eastAsia" w:ascii="仿宋_GB2312" w:eastAsia="仿宋_GB2312" w:cs="仿宋_GB2312"/>
                <w:sz w:val="18"/>
                <w:szCs w:val="18"/>
              </w:rPr>
              <w:t>年毛租金（元/平方米·年）</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ascii="仿宋_GB2312" w:eastAsia="仿宋_GB2312" w:cs="仿宋_GB2312"/>
                <w:sz w:val="18"/>
                <w:szCs w:val="18"/>
              </w:rPr>
            </w:pPr>
            <w:r>
              <w:rPr>
                <w:rFonts w:hint="eastAsia" w:ascii="仿宋_GB2312" w:eastAsia="仿宋_GB2312" w:cs="仿宋_GB2312"/>
                <w:sz w:val="18"/>
                <w:szCs w:val="18"/>
              </w:rPr>
              <w:t>待估</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233</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距区域中心的距离</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临街状况</w:t>
            </w:r>
            <w:r>
              <w:rPr>
                <w:rFonts w:hint="eastAsia" w:ascii="仿宋_GB2312" w:eastAsia="仿宋_GB2312" w:cs="仿宋_GB2312"/>
                <w:sz w:val="18"/>
                <w:szCs w:val="18"/>
                <w:lang w:eastAsia="zh-CN"/>
              </w:rPr>
              <w:t>（小区）</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道路等级</w:t>
            </w:r>
            <w:r>
              <w:rPr>
                <w:rFonts w:hint="eastAsia" w:ascii="仿宋_GB2312" w:eastAsia="仿宋_GB2312" w:cs="仿宋_GB2312"/>
                <w:sz w:val="18"/>
                <w:szCs w:val="18"/>
                <w:lang w:eastAsia="zh-CN"/>
              </w:rPr>
              <w:t>（小区）</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朝向</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106</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业主消费层次</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公共交通种类</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公交线路密度</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公共交通便捷度</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 xml:space="preserve">生活配套设施状况 </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小区住宅均价</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周边居住小区状况</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用途多样性</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建筑结构</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装饰装修</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建筑规模</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成新率</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w:t>
            </w:r>
          </w:p>
        </w:tc>
      </w:tr>
    </w:tbl>
    <w:p>
      <w:pPr>
        <w:adjustRightInd w:val="0"/>
        <w:snapToGrid w:val="0"/>
        <w:spacing w:after="120" w:afterLines="50" w:line="540" w:lineRule="exact"/>
        <w:ind w:firstLine="562"/>
        <w:jc w:val="center"/>
        <w:rPr>
          <w:rFonts w:eastAsia="仿宋_GB2312"/>
          <w:b/>
          <w:sz w:val="24"/>
          <w:szCs w:val="24"/>
        </w:rPr>
      </w:pPr>
      <w:r>
        <w:rPr>
          <w:rFonts w:hint="eastAsia" w:eastAsia="仿宋_GB2312" w:cs="仿宋_GB2312"/>
          <w:b/>
          <w:sz w:val="24"/>
          <w:szCs w:val="24"/>
        </w:rPr>
        <w:t>表</w:t>
      </w:r>
      <w:r>
        <w:rPr>
          <w:rFonts w:eastAsia="仿宋_GB2312"/>
          <w:b/>
          <w:sz w:val="24"/>
          <w:szCs w:val="24"/>
        </w:rPr>
        <w:t xml:space="preserve">9   </w:t>
      </w:r>
      <w:r>
        <w:rPr>
          <w:rFonts w:hint="eastAsia" w:eastAsia="仿宋_GB2312" w:cs="仿宋_GB2312"/>
          <w:b/>
          <w:sz w:val="24"/>
          <w:szCs w:val="24"/>
        </w:rPr>
        <w:t>比较因素修正系数表</w:t>
      </w:r>
    </w:p>
    <w:tbl>
      <w:tblPr>
        <w:tblStyle w:val="42"/>
        <w:tblW w:w="8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1"/>
        <w:gridCol w:w="1701"/>
        <w:gridCol w:w="1703"/>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         估价对象及</w:t>
            </w:r>
          </w:p>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                 比较实例</w:t>
            </w:r>
          </w:p>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比较因素       </w:t>
            </w:r>
          </w:p>
        </w:tc>
        <w:tc>
          <w:tcPr>
            <w:tcW w:w="1701"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实例A </w:t>
            </w:r>
          </w:p>
        </w:tc>
        <w:tc>
          <w:tcPr>
            <w:tcW w:w="1703"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 xml:space="preserve">实例B </w:t>
            </w:r>
          </w:p>
        </w:tc>
        <w:tc>
          <w:tcPr>
            <w:tcW w:w="1758" w:type="dxa"/>
            <w:tcBorders>
              <w:top w:val="double"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b/>
                <w:bCs/>
                <w:sz w:val="18"/>
                <w:szCs w:val="18"/>
              </w:rPr>
            </w:pPr>
            <w:r>
              <w:rPr>
                <w:rFonts w:hint="eastAsia" w:ascii="仿宋_GB2312" w:eastAsia="仿宋_GB2312" w:cs="仿宋_GB2312"/>
                <w:b/>
                <w:bCs/>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年毛租金（元/平方米·年）</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lang w:val="en-US" w:eastAsia="zh-CN"/>
              </w:rPr>
              <w:t>233</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lang w:val="en-US" w:eastAsia="zh-CN"/>
              </w:rPr>
              <w:t>200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距区域中心的距离</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临街状况</w:t>
            </w:r>
            <w:r>
              <w:rPr>
                <w:rFonts w:hint="eastAsia" w:ascii="仿宋_GB2312" w:eastAsia="仿宋_GB2312" w:cs="仿宋_GB2312"/>
                <w:sz w:val="18"/>
                <w:szCs w:val="18"/>
                <w:lang w:eastAsia="zh-CN"/>
              </w:rPr>
              <w:t>（小区）</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道路等级</w:t>
            </w:r>
            <w:r>
              <w:rPr>
                <w:rFonts w:hint="eastAsia" w:ascii="仿宋_GB2312" w:eastAsia="仿宋_GB2312" w:cs="仿宋_GB2312"/>
                <w:sz w:val="18"/>
                <w:szCs w:val="18"/>
                <w:lang w:eastAsia="zh-CN"/>
              </w:rPr>
              <w:t>（小区）</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朝向</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rPr>
              <w:t>100/</w:t>
            </w:r>
            <w:r>
              <w:rPr>
                <w:rFonts w:hint="eastAsia" w:ascii="仿宋_GB2312" w:eastAsia="仿宋_GB2312" w:cs="仿宋_GB2312"/>
                <w:sz w:val="18"/>
                <w:szCs w:val="18"/>
                <w:lang w:val="en-US" w:eastAsia="zh-CN"/>
              </w:rPr>
              <w:t>106</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100/10</w:t>
            </w:r>
            <w:r>
              <w:rPr>
                <w:rFonts w:hint="eastAsia" w:ascii="仿宋_GB2312" w:eastAsia="仿宋_GB2312" w:cs="仿宋_GB231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业主消费层次</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公共交通种类</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公交线路密度</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公共交通便捷度</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 xml:space="preserve">生活配套设施状况 </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小区住宅均价</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周边居住小区状况</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用途多样性</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建筑结构</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装饰装修</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建筑规模</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成新率</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比较因素修正系数</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0.9434</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1.0000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0.9615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比准年毛租金（元/平方米·年）</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220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lang w:val="en-US" w:eastAsia="zh-CN"/>
              </w:rPr>
              <w:t>200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72" w:beforeLines="30" w:after="24" w:afterLines="10"/>
              <w:jc w:val="center"/>
              <w:rPr>
                <w:rFonts w:hint="eastAsia" w:ascii="仿宋_GB2312" w:eastAsia="仿宋_GB2312" w:cs="仿宋_GB2312"/>
                <w:sz w:val="18"/>
                <w:szCs w:val="18"/>
              </w:rPr>
            </w:pPr>
            <w:r>
              <w:rPr>
                <w:rFonts w:hint="eastAsia" w:ascii="仿宋_GB2312" w:eastAsia="仿宋_GB2312" w:cs="仿宋_GB2312"/>
                <w:sz w:val="18"/>
                <w:szCs w:val="18"/>
              </w:rPr>
              <w:t>简单算术平均值（元/平方米·年）</w:t>
            </w:r>
          </w:p>
        </w:tc>
        <w:tc>
          <w:tcPr>
            <w:tcW w:w="5162" w:type="dxa"/>
            <w:gridSpan w:val="3"/>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72" w:beforeLines="30" w:after="24"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207</w:t>
            </w:r>
          </w:p>
        </w:tc>
      </w:tr>
    </w:tbl>
    <w:p>
      <w:pPr>
        <w:tabs>
          <w:tab w:val="left" w:pos="4515"/>
        </w:tabs>
        <w:spacing w:before="72" w:beforeLines="30" w:after="24" w:afterLines="10" w:line="600" w:lineRule="exact"/>
        <w:ind w:firstLine="560" w:firstLineChars="200"/>
        <w:rPr>
          <w:rFonts w:eastAsia="仿宋_GB2312"/>
          <w:sz w:val="28"/>
          <w:szCs w:val="28"/>
        </w:rPr>
      </w:pPr>
      <w:r>
        <w:rPr>
          <w:rFonts w:hint="eastAsia" w:eastAsia="仿宋_GB2312" w:cs="仿宋_GB2312"/>
          <w:sz w:val="28"/>
          <w:szCs w:val="28"/>
        </w:rPr>
        <w:t>通过市场比较，估价对象与</w:t>
      </w:r>
      <w:r>
        <w:rPr>
          <w:rFonts w:eastAsia="仿宋_GB2312"/>
          <w:sz w:val="28"/>
          <w:szCs w:val="28"/>
        </w:rPr>
        <w:t>3</w:t>
      </w:r>
      <w:r>
        <w:rPr>
          <w:rFonts w:hint="eastAsia" w:eastAsia="仿宋_GB2312" w:cs="仿宋_GB2312"/>
          <w:sz w:val="28"/>
          <w:szCs w:val="28"/>
        </w:rPr>
        <w:t>个比较实例的比准租金为</w:t>
      </w:r>
      <w:r>
        <w:rPr>
          <w:rFonts w:hint="eastAsia" w:eastAsia="仿宋_GB2312"/>
          <w:sz w:val="28"/>
          <w:szCs w:val="28"/>
          <w:lang w:val="en-US" w:eastAsia="zh-CN"/>
        </w:rPr>
        <w:t>220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r>
        <w:rPr>
          <w:rFonts w:hint="eastAsia" w:eastAsia="仿宋_GB2312"/>
          <w:sz w:val="28"/>
          <w:szCs w:val="28"/>
          <w:lang w:val="en-US" w:eastAsia="zh-CN"/>
        </w:rPr>
        <w:t>200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r>
        <w:rPr>
          <w:rFonts w:hint="eastAsia" w:eastAsia="仿宋_GB2312"/>
          <w:sz w:val="28"/>
          <w:szCs w:val="28"/>
          <w:lang w:val="en-US" w:eastAsia="zh-CN"/>
        </w:rPr>
        <w:t>200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年，由于</w:t>
      </w:r>
      <w:r>
        <w:rPr>
          <w:rFonts w:eastAsia="仿宋_GB2312"/>
          <w:sz w:val="28"/>
          <w:szCs w:val="28"/>
        </w:rPr>
        <w:t>3</w:t>
      </w:r>
      <w:r>
        <w:rPr>
          <w:rFonts w:hint="eastAsia" w:eastAsia="仿宋_GB2312" w:cs="仿宋_GB2312"/>
          <w:sz w:val="28"/>
          <w:szCs w:val="28"/>
        </w:rPr>
        <w:t>个结果接近，所以采取</w:t>
      </w:r>
      <w:r>
        <w:rPr>
          <w:rFonts w:eastAsia="仿宋_GB2312"/>
          <w:sz w:val="28"/>
          <w:szCs w:val="28"/>
        </w:rPr>
        <w:t>3</w:t>
      </w:r>
      <w:r>
        <w:rPr>
          <w:rFonts w:hint="eastAsia" w:eastAsia="仿宋_GB2312" w:cs="仿宋_GB2312"/>
          <w:sz w:val="28"/>
          <w:szCs w:val="28"/>
        </w:rPr>
        <w:t>个结果的简单算术平均值作为估价对象的年毛租金为</w:t>
      </w:r>
      <w:r>
        <w:rPr>
          <w:rFonts w:hint="eastAsia" w:eastAsia="仿宋_GB2312"/>
          <w:sz w:val="28"/>
          <w:szCs w:val="28"/>
          <w:lang w:val="en-US" w:eastAsia="zh-CN"/>
        </w:rPr>
        <w:t>207</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年（取整）。</w:t>
      </w:r>
    </w:p>
    <w:p>
      <w:pPr>
        <w:spacing w:line="540" w:lineRule="exact"/>
        <w:jc w:val="left"/>
        <w:rPr>
          <w:rFonts w:ascii="仿宋_GB2312" w:hAnsi="楷体" w:eastAsia="仿宋_GB2312" w:cs="仿宋_GB2312"/>
          <w:b/>
          <w:sz w:val="28"/>
          <w:szCs w:val="28"/>
        </w:rPr>
      </w:pPr>
      <w:r>
        <w:rPr>
          <w:rFonts w:hint="eastAsia" w:ascii="仿宋_GB2312" w:hAnsi="楷体" w:eastAsia="仿宋_GB2312" w:cs="仿宋_GB2312"/>
          <w:b/>
          <w:sz w:val="28"/>
          <w:szCs w:val="28"/>
        </w:rPr>
        <w:t xml:space="preserve">    2)租约限制说明</w:t>
      </w:r>
    </w:p>
    <w:p>
      <w:pPr>
        <w:tabs>
          <w:tab w:val="left" w:pos="4515"/>
        </w:tabs>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根据估价人员的实地查勘，估价对象</w:t>
      </w:r>
      <w:r>
        <w:rPr>
          <w:rFonts w:hint="eastAsia" w:ascii="仿宋_GB2312" w:hAnsi="楷体" w:eastAsia="仿宋_GB2312" w:cs="Arial"/>
          <w:sz w:val="28"/>
          <w:szCs w:val="28"/>
          <w:lang w:eastAsia="zh-CN"/>
        </w:rPr>
        <w:t>现</w:t>
      </w:r>
      <w:r>
        <w:rPr>
          <w:rFonts w:hint="eastAsia" w:ascii="仿宋_GB2312" w:hAnsi="楷体" w:eastAsia="仿宋_GB2312" w:cs="Arial"/>
          <w:sz w:val="28"/>
          <w:szCs w:val="28"/>
        </w:rPr>
        <w:t>自用</w:t>
      </w:r>
      <w:r>
        <w:rPr>
          <w:rFonts w:hint="eastAsia" w:ascii="仿宋_GB2312" w:hAnsi="楷体" w:eastAsia="仿宋_GB2312" w:cs="Arial"/>
          <w:sz w:val="28"/>
          <w:szCs w:val="28"/>
          <w:lang w:eastAsia="zh-CN"/>
        </w:rPr>
        <w:t>，</w:t>
      </w:r>
      <w:r>
        <w:rPr>
          <w:rFonts w:eastAsia="仿宋_GB2312"/>
          <w:sz w:val="28"/>
          <w:szCs w:val="28"/>
        </w:rPr>
        <w:t>故本次估价</w:t>
      </w:r>
      <w:r>
        <w:rPr>
          <w:rFonts w:hint="eastAsia" w:eastAsia="仿宋_GB2312"/>
          <w:sz w:val="28"/>
          <w:szCs w:val="28"/>
        </w:rPr>
        <w:t>不</w:t>
      </w:r>
      <w:r>
        <w:rPr>
          <w:rFonts w:eastAsia="仿宋_GB2312"/>
          <w:sz w:val="28"/>
          <w:szCs w:val="28"/>
        </w:rPr>
        <w:t>考虑租约对估价结果的影响</w:t>
      </w:r>
      <w:r>
        <w:rPr>
          <w:rFonts w:eastAsia="仿宋_GB2312"/>
          <w:color w:val="000000"/>
          <w:sz w:val="28"/>
          <w:szCs w:val="28"/>
        </w:rPr>
        <w:t>。</w:t>
      </w:r>
    </w:p>
    <w:p>
      <w:pPr>
        <w:tabs>
          <w:tab w:val="left" w:pos="4515"/>
        </w:tabs>
        <w:spacing w:line="540" w:lineRule="exact"/>
        <w:ind w:firstLine="562" w:firstLineChars="200"/>
        <w:rPr>
          <w:rFonts w:ascii="仿宋_GB2312" w:hAnsi="楷体" w:eastAsia="仿宋_GB2312" w:cs="仿宋_GB2312"/>
          <w:sz w:val="28"/>
          <w:szCs w:val="28"/>
        </w:rPr>
      </w:pPr>
      <w:r>
        <w:rPr>
          <w:rFonts w:hint="eastAsia" w:ascii="仿宋_GB2312" w:hAnsi="楷体" w:eastAsia="仿宋_GB2312" w:cs="仿宋_GB2312"/>
          <w:b/>
          <w:sz w:val="28"/>
          <w:szCs w:val="28"/>
        </w:rPr>
        <w:t>3)潜在毛收入</w:t>
      </w:r>
    </w:p>
    <w:p>
      <w:pPr>
        <w:numPr>
          <w:ilvl w:val="0"/>
          <w:numId w:val="10"/>
        </w:numPr>
        <w:spacing w:line="540" w:lineRule="exact"/>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spacing w:line="540" w:lineRule="exact"/>
        <w:ind w:firstLine="570"/>
        <w:rPr>
          <w:rFonts w:ascii="仿宋_GB2312" w:hAnsi="楷体" w:eastAsia="仿宋_GB2312" w:cs="Arial"/>
          <w:sz w:val="28"/>
          <w:szCs w:val="28"/>
        </w:rPr>
      </w:pPr>
      <w:r>
        <w:rPr>
          <w:rFonts w:hint="eastAsia" w:ascii="仿宋_GB2312" w:hAnsi="楷体" w:eastAsia="仿宋_GB2312" w:cs="Arial"/>
          <w:sz w:val="28"/>
          <w:szCs w:val="28"/>
        </w:rPr>
        <w:t>未来第1年潜在毛租金收入＝</w:t>
      </w:r>
      <w:r>
        <w:rPr>
          <w:rFonts w:hint="eastAsia" w:ascii="仿宋_GB2312" w:hAnsi="楷体" w:eastAsia="仿宋_GB2312" w:cs="Arial"/>
          <w:sz w:val="28"/>
          <w:szCs w:val="28"/>
          <w:lang w:val="en-US" w:eastAsia="zh-CN"/>
        </w:rPr>
        <w:t>207</w:t>
      </w:r>
      <w:r>
        <w:rPr>
          <w:rFonts w:hint="eastAsia" w:ascii="仿宋_GB2312" w:hAnsi="楷体" w:eastAsia="仿宋_GB2312" w:cs="Arial"/>
          <w:sz w:val="28"/>
          <w:szCs w:val="28"/>
        </w:rPr>
        <w:t>元/年·平方米</w:t>
      </w:r>
    </w:p>
    <w:p>
      <w:pPr>
        <w:spacing w:line="540" w:lineRule="exact"/>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根据估价人员对周边市场的调查，空置率为5%，有效</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面积为95%,则有效毛租金收入</w:t>
      </w:r>
    </w:p>
    <w:p>
      <w:pPr>
        <w:spacing w:line="360" w:lineRule="auto"/>
        <w:ind w:firstLine="845" w:firstLineChars="302"/>
        <w:rPr>
          <w:rFonts w:ascii="仿宋_GB2312" w:hAnsi="楷体" w:eastAsia="仿宋_GB2312" w:cs="Arial"/>
          <w:sz w:val="28"/>
          <w:szCs w:val="28"/>
        </w:rPr>
      </w:pPr>
      <w:r>
        <w:rPr>
          <w:rFonts w:hint="eastAsia" w:ascii="仿宋_GB2312" w:hAnsi="楷体" w:eastAsia="仿宋_GB2312" w:cs="Arial"/>
          <w:sz w:val="28"/>
          <w:szCs w:val="28"/>
          <w:lang w:val="en-US" w:eastAsia="zh-CN"/>
        </w:rPr>
        <w:t>207</w:t>
      </w:r>
      <w:r>
        <w:rPr>
          <w:rFonts w:hint="eastAsia" w:ascii="仿宋_GB2312" w:hAnsi="楷体" w:eastAsia="仿宋_GB2312" w:cs="Arial"/>
          <w:sz w:val="28"/>
          <w:szCs w:val="28"/>
        </w:rPr>
        <w:t>×（1-5%）×95%=</w:t>
      </w:r>
      <w:r>
        <w:rPr>
          <w:rFonts w:hint="eastAsia" w:ascii="仿宋_GB2312" w:hAnsi="楷体" w:eastAsia="仿宋_GB2312" w:cs="Arial"/>
          <w:sz w:val="28"/>
          <w:szCs w:val="28"/>
          <w:lang w:val="en-US" w:eastAsia="zh-CN"/>
        </w:rPr>
        <w:t>186.82</w:t>
      </w:r>
      <w:r>
        <w:rPr>
          <w:rFonts w:hint="eastAsia" w:ascii="仿宋_GB2312" w:hAnsi="楷体" w:eastAsia="仿宋_GB2312" w:cs="Arial"/>
          <w:sz w:val="28"/>
          <w:szCs w:val="28"/>
        </w:rPr>
        <w:t>元/平方米。</w:t>
      </w:r>
    </w:p>
    <w:p>
      <w:pPr>
        <w:numPr>
          <w:ilvl w:val="0"/>
          <w:numId w:val="10"/>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spacing w:line="360" w:lineRule="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w:t>
      </w:r>
      <w:r>
        <w:rPr>
          <w:rFonts w:hint="eastAsia" w:ascii="仿宋_GB2312" w:hAnsi="楷体" w:eastAsia="仿宋_GB2312" w:cs="Arial"/>
          <w:sz w:val="28"/>
          <w:szCs w:val="28"/>
          <w:lang w:eastAsia="zh-CN"/>
        </w:rPr>
        <w:t>车库</w:t>
      </w:r>
      <w:r>
        <w:rPr>
          <w:rFonts w:hint="eastAsia" w:ascii="仿宋_GB2312" w:hAnsi="楷体" w:eastAsia="仿宋_GB2312" w:cs="Arial"/>
          <w:sz w:val="28"/>
          <w:szCs w:val="28"/>
        </w:rPr>
        <w:t>用房</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押金一般为2个月，同时，估价对象于价值时点</w:t>
      </w:r>
      <w:r>
        <w:rPr>
          <w:rFonts w:hint="eastAsia" w:ascii="仿宋_GB2312" w:hAnsi="楷体" w:eastAsia="仿宋_GB2312" w:cs="Arial"/>
          <w:sz w:val="28"/>
          <w:szCs w:val="28"/>
          <w:lang w:eastAsia="zh-CN"/>
        </w:rPr>
        <w:t>2019年11月</w:t>
      </w:r>
      <w:r>
        <w:rPr>
          <w:rFonts w:hint="eastAsia" w:ascii="仿宋_GB2312" w:hAnsi="楷体" w:eastAsia="仿宋_GB2312" w:cs="Arial"/>
          <w:sz w:val="28"/>
          <w:szCs w:val="28"/>
        </w:rPr>
        <w:t>2日的活期存款利率为0.35％，则</w:t>
      </w:r>
    </w:p>
    <w:p>
      <w:pPr>
        <w:spacing w:line="360" w:lineRule="auto"/>
        <w:ind w:firstLine="570"/>
        <w:rPr>
          <w:rFonts w:ascii="仿宋_GB2312" w:hAnsi="楷体" w:eastAsia="仿宋_GB2312" w:cs="Arial"/>
          <w:sz w:val="28"/>
          <w:szCs w:val="28"/>
        </w:rPr>
      </w:pPr>
      <w:r>
        <w:rPr>
          <w:rFonts w:hint="eastAsia" w:ascii="仿宋_GB2312" w:hAnsi="楷体" w:eastAsia="仿宋_GB2312" w:cs="Arial"/>
          <w:sz w:val="28"/>
          <w:szCs w:val="28"/>
        </w:rPr>
        <w:t>未来第1年潜在押金利息收入＝年毛租金÷12×2×活期存款利率</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207</w:t>
      </w:r>
      <w:r>
        <w:rPr>
          <w:rFonts w:hint="eastAsia" w:ascii="仿宋_GB2312" w:hAnsi="楷体" w:eastAsia="仿宋_GB2312" w:cs="Arial"/>
          <w:sz w:val="28"/>
          <w:szCs w:val="28"/>
        </w:rPr>
        <w:t>÷12×2×0.35％</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12</w:t>
      </w:r>
      <w:r>
        <w:rPr>
          <w:rFonts w:hint="eastAsia" w:ascii="仿宋_GB2312" w:hAnsi="楷体" w:eastAsia="仿宋_GB2312" w:cs="Arial"/>
          <w:sz w:val="28"/>
          <w:szCs w:val="28"/>
        </w:rPr>
        <w:t>元/年·平方米</w:t>
      </w:r>
    </w:p>
    <w:p>
      <w:pPr>
        <w:numPr>
          <w:ilvl w:val="0"/>
          <w:numId w:val="10"/>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估价对象位于1层，现作为</w:t>
      </w:r>
      <w:r>
        <w:rPr>
          <w:rFonts w:hint="eastAsia" w:ascii="仿宋_GB2312" w:hAnsi="楷体" w:eastAsia="仿宋_GB2312" w:cs="Arial"/>
          <w:sz w:val="28"/>
          <w:szCs w:val="28"/>
          <w:lang w:eastAsia="zh-CN"/>
        </w:rPr>
        <w:t>车库</w:t>
      </w:r>
      <w:r>
        <w:rPr>
          <w:rFonts w:hint="eastAsia" w:ascii="仿宋_GB2312" w:hAnsi="楷体" w:eastAsia="仿宋_GB2312" w:cs="Arial"/>
          <w:sz w:val="28"/>
          <w:szCs w:val="28"/>
        </w:rPr>
        <w:t>用房自用，除上述房地产出租收入和租赁押金收入外，无其他收入。</w:t>
      </w:r>
    </w:p>
    <w:p>
      <w:pPr>
        <w:numPr>
          <w:ilvl w:val="0"/>
          <w:numId w:val="10"/>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w:t>
      </w:r>
      <w:r>
        <w:rPr>
          <w:rFonts w:hint="eastAsia" w:ascii="仿宋_GB2312" w:hAnsi="楷体" w:eastAsia="仿宋_GB2312" w:cs="Arial"/>
          <w:sz w:val="28"/>
          <w:szCs w:val="28"/>
          <w:lang w:val="en-US" w:eastAsia="zh-CN"/>
        </w:rPr>
        <w:t>186.82</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12</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186.94</w:t>
      </w:r>
      <w:r>
        <w:rPr>
          <w:rFonts w:hint="eastAsia" w:ascii="仿宋_GB2312" w:hAnsi="楷体" w:eastAsia="仿宋_GB2312" w:cs="Arial"/>
          <w:sz w:val="28"/>
          <w:szCs w:val="28"/>
        </w:rPr>
        <w:t>元/年·平方米</w:t>
      </w:r>
    </w:p>
    <w:p>
      <w:pPr>
        <w:spacing w:line="360" w:lineRule="auto"/>
        <w:ind w:firstLine="568" w:firstLineChars="202"/>
        <w:rPr>
          <w:rFonts w:ascii="仿宋_GB2312" w:hAnsi="楷体" w:eastAsia="仿宋_GB2312" w:cs="Arial"/>
          <w:sz w:val="28"/>
          <w:szCs w:val="28"/>
        </w:rPr>
      </w:pPr>
      <w:r>
        <w:rPr>
          <w:rFonts w:hint="eastAsia" w:ascii="仿宋_GB2312" w:hAnsi="楷体" w:eastAsia="仿宋_GB2312" w:cs="仿宋_GB2312"/>
          <w:b/>
          <w:sz w:val="28"/>
          <w:szCs w:val="28"/>
        </w:rPr>
        <w:t>4)</w:t>
      </w:r>
      <w:r>
        <w:rPr>
          <w:rFonts w:hint="eastAsia" w:ascii="仿宋_GB2312" w:hAnsi="楷体" w:eastAsia="仿宋_GB2312" w:cs="仿宋_GB2312"/>
          <w:b/>
          <w:sz w:val="28"/>
          <w:szCs w:val="28"/>
          <w:lang w:eastAsia="zh-CN"/>
        </w:rPr>
        <w:t>出租</w:t>
      </w:r>
      <w:r>
        <w:rPr>
          <w:rFonts w:hint="eastAsia" w:ascii="仿宋_GB2312" w:hAnsi="楷体" w:eastAsia="仿宋_GB2312" w:cs="仿宋_GB2312"/>
          <w:b/>
          <w:sz w:val="28"/>
          <w:szCs w:val="28"/>
        </w:rPr>
        <w:t>净收入</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维修费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指为保障房屋正常使用每年需支付的修缮费。一般参考委托方的实际维修费，按建筑物重置价的2%计算。重置价根据《内蒙古自治区巴彦淖尔市临河区土地定级与基准地价更新技术报告》市场建筑费用确定为</w:t>
      </w:r>
      <w:r>
        <w:rPr>
          <w:rFonts w:hint="eastAsia" w:ascii="仿宋_GB2312" w:hAnsi="楷体" w:eastAsia="仿宋_GB2312" w:cs="Arial"/>
          <w:sz w:val="28"/>
          <w:szCs w:val="28"/>
          <w:lang w:val="en-US" w:eastAsia="zh-CN"/>
        </w:rPr>
        <w:t>9</w:t>
      </w:r>
      <w:r>
        <w:rPr>
          <w:rFonts w:hint="eastAsia" w:ascii="仿宋_GB2312" w:hAnsi="楷体" w:eastAsia="仿宋_GB2312" w:cs="Arial"/>
          <w:sz w:val="28"/>
          <w:szCs w:val="28"/>
          <w:lang w:eastAsia="zh-CN"/>
        </w:rPr>
        <w:t>6</w:t>
      </w:r>
      <w:r>
        <w:rPr>
          <w:rFonts w:hint="eastAsia" w:ascii="仿宋_GB2312" w:hAnsi="楷体" w:eastAsia="仿宋_GB2312" w:cs="Arial"/>
          <w:sz w:val="28"/>
          <w:szCs w:val="28"/>
        </w:rPr>
        <w:t>0元/平方米。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年维修费=</w:t>
      </w:r>
      <w:r>
        <w:rPr>
          <w:rFonts w:hint="eastAsia" w:ascii="仿宋_GB2312" w:hAnsi="楷体" w:eastAsia="仿宋_GB2312" w:cs="Arial"/>
          <w:sz w:val="28"/>
          <w:szCs w:val="28"/>
          <w:lang w:val="en-US" w:eastAsia="zh-CN"/>
        </w:rPr>
        <w:t>960</w:t>
      </w:r>
      <w:r>
        <w:rPr>
          <w:rFonts w:hint="eastAsia" w:ascii="仿宋_GB2312" w:hAnsi="楷体" w:eastAsia="仿宋_GB2312" w:cs="Arial"/>
          <w:sz w:val="28"/>
          <w:szCs w:val="28"/>
        </w:rPr>
        <w:t>×2%=</w:t>
      </w:r>
      <w:r>
        <w:rPr>
          <w:rFonts w:hint="eastAsia" w:ascii="仿宋_GB2312" w:hAnsi="楷体" w:eastAsia="仿宋_GB2312" w:cs="Arial"/>
          <w:sz w:val="28"/>
          <w:szCs w:val="28"/>
          <w:lang w:val="en-US" w:eastAsia="zh-CN"/>
        </w:rPr>
        <w:t>19.2</w:t>
      </w:r>
      <w:r>
        <w:rPr>
          <w:rFonts w:hint="eastAsia" w:ascii="仿宋_GB2312" w:hAnsi="楷体" w:eastAsia="仿宋_GB2312" w:cs="Arial"/>
          <w:sz w:val="28"/>
          <w:szCs w:val="28"/>
        </w:rPr>
        <w:t>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管理费：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指对</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房屋进行的必要管理所需的费用。按年租赁收入的3%收取。</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年管理费=</w:t>
      </w:r>
      <w:r>
        <w:rPr>
          <w:rFonts w:hint="eastAsia" w:ascii="仿宋_GB2312" w:hAnsi="楷体" w:eastAsia="仿宋_GB2312" w:cs="Arial"/>
          <w:sz w:val="28"/>
          <w:szCs w:val="28"/>
          <w:lang w:val="en-US" w:eastAsia="zh-CN"/>
        </w:rPr>
        <w:t>186.94</w:t>
      </w:r>
      <w:r>
        <w:rPr>
          <w:rFonts w:hint="eastAsia" w:ascii="仿宋_GB2312" w:hAnsi="楷体" w:eastAsia="仿宋_GB2312" w:cs="Arial"/>
          <w:sz w:val="28"/>
          <w:szCs w:val="28"/>
        </w:rPr>
        <w:t>×3%=</w:t>
      </w:r>
      <w:r>
        <w:rPr>
          <w:rFonts w:hint="eastAsia" w:ascii="仿宋_GB2312" w:hAnsi="楷体" w:eastAsia="仿宋_GB2312" w:cs="Arial"/>
          <w:sz w:val="28"/>
          <w:szCs w:val="28"/>
          <w:lang w:val="en-US" w:eastAsia="zh-CN"/>
        </w:rPr>
        <w:t>5.61</w:t>
      </w:r>
      <w:r>
        <w:rPr>
          <w:rFonts w:hint="eastAsia" w:ascii="仿宋_GB2312" w:hAnsi="楷体" w:eastAsia="仿宋_GB2312" w:cs="Arial"/>
          <w:sz w:val="28"/>
          <w:szCs w:val="28"/>
        </w:rPr>
        <w:t>元/平方米·年</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保险费：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指房产所有人为使自己的房产避免意外损失而向保险公司支付的费用。一般按重置价格的0.2%计算，房屋重置价格计算公式为：</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年保险费＝房屋重置价×0.2%=</w:t>
      </w:r>
      <w:r>
        <w:rPr>
          <w:rFonts w:hint="eastAsia" w:ascii="仿宋_GB2312" w:hAnsi="楷体" w:eastAsia="仿宋_GB2312" w:cs="Arial"/>
          <w:sz w:val="28"/>
          <w:szCs w:val="28"/>
          <w:lang w:val="en-US" w:eastAsia="zh-CN"/>
        </w:rPr>
        <w:t>1.92</w:t>
      </w:r>
      <w:r>
        <w:rPr>
          <w:rFonts w:hint="eastAsia" w:ascii="仿宋_GB2312" w:hAnsi="楷体" w:eastAsia="仿宋_GB2312" w:cs="Arial"/>
          <w:sz w:val="28"/>
          <w:szCs w:val="28"/>
        </w:rPr>
        <w:t>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a.房产税:依据《中华人民共和国房产税暂行条例》及当地税务部门要求确定税率为房屋年总收益的12%，房地年总收益×房产税税率； </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b.增值税：经国务院批准，自20</w:t>
      </w:r>
      <w:r>
        <w:rPr>
          <w:rFonts w:hint="eastAsia" w:ascii="仿宋_GB2312" w:hAnsi="楷体" w:eastAsia="仿宋_GB2312" w:cs="Arial"/>
          <w:sz w:val="28"/>
          <w:szCs w:val="28"/>
          <w:lang w:eastAsia="zh-CN"/>
        </w:rPr>
        <w:t>6</w:t>
      </w:r>
      <w:r>
        <w:rPr>
          <w:rFonts w:hint="eastAsia" w:ascii="仿宋_GB2312" w:hAnsi="楷体" w:eastAsia="仿宋_GB2312" w:cs="Arial"/>
          <w:sz w:val="28"/>
          <w:szCs w:val="28"/>
        </w:rPr>
        <w:t>年5月1日起，在全国范围内全面推开营业税改征增值税（以下称营改增）试点，建筑业、房地产业、金融业、生活服务业等全部营业税纳税人，纳入试点范围，由缴纳营业税改为缴纳增值税。小规模纳税人</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自己使用过的固定资产，房地年总收益÷（1+5%）×1.5%；</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纳税人所在地为城市市区的，税率为7%；；纳税人所在地为县城、建制镇的，税率为5%；纳税人所在地不在城市市区、县城或建制镇的，税率为1%，故城市维护建设税按增值税税额的7%计。</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d.教育费附加：教育费附加，按增值税税额的3%计；</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spacing w:line="540" w:lineRule="exact"/>
        <w:ind w:firstLine="565" w:firstLineChars="202"/>
        <w:rPr>
          <w:rFonts w:ascii="仿宋_GB2312" w:hAnsi="楷体" w:eastAsia="仿宋_GB2312" w:cs="Arial"/>
          <w:sz w:val="28"/>
          <w:szCs w:val="28"/>
          <w:highlight w:val="none"/>
        </w:rPr>
      </w:pPr>
      <w:r>
        <w:rPr>
          <w:rFonts w:hint="eastAsia" w:ascii="仿宋_GB2312" w:hAnsi="楷体" w:eastAsia="仿宋_GB2312" w:cs="Arial"/>
          <w:sz w:val="28"/>
          <w:szCs w:val="28"/>
          <w:highlight w:val="none"/>
        </w:rPr>
        <w:t>年税费＝房屋总收益×</w:t>
      </w:r>
      <w:r>
        <w:rPr>
          <w:rFonts w:hint="eastAsia" w:ascii="仿宋_GB2312" w:hAnsi="楷体" w:eastAsia="仿宋_GB2312" w:cs="Arial"/>
          <w:sz w:val="28"/>
          <w:szCs w:val="28"/>
          <w:highlight w:val="none"/>
          <w:lang w:val="en-US" w:eastAsia="zh-CN"/>
        </w:rPr>
        <w:t>12</w:t>
      </w:r>
      <w:r>
        <w:rPr>
          <w:rFonts w:hint="eastAsia" w:ascii="仿宋_GB2312" w:hAnsi="楷体" w:eastAsia="仿宋_GB2312" w:cs="Arial"/>
          <w:sz w:val="28"/>
          <w:szCs w:val="28"/>
          <w:highlight w:val="none"/>
        </w:rPr>
        <w:t>%=</w:t>
      </w:r>
      <w:r>
        <w:rPr>
          <w:rFonts w:hint="eastAsia" w:ascii="仿宋_GB2312" w:hAnsi="楷体" w:eastAsia="仿宋_GB2312" w:cs="Arial"/>
          <w:sz w:val="28"/>
          <w:szCs w:val="28"/>
          <w:highlight w:val="none"/>
          <w:lang w:val="en-US" w:eastAsia="zh-CN"/>
        </w:rPr>
        <w:t>22.43</w:t>
      </w:r>
      <w:r>
        <w:rPr>
          <w:rFonts w:hint="eastAsia" w:ascii="仿宋_GB2312" w:hAnsi="楷体" w:eastAsia="仿宋_GB2312" w:cs="Arial"/>
          <w:sz w:val="28"/>
          <w:szCs w:val="28"/>
          <w:highlight w:val="none"/>
        </w:rPr>
        <w:t>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年</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净收入＝年租赁收入-年维修费-年管理费-年保险费-年税金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137.78</w:t>
      </w:r>
      <w:r>
        <w:rPr>
          <w:rFonts w:hint="eastAsia" w:ascii="仿宋_GB2312" w:hAnsi="楷体" w:eastAsia="仿宋_GB2312" w:cs="Arial"/>
          <w:sz w:val="28"/>
          <w:szCs w:val="28"/>
        </w:rPr>
        <w:t>元/平方米</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5) 房地产报酬率</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cs="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我们选取当前中国人民银行公布的一年期定期整存整取存款利率为1.75%作为安全利率，考虑到投资房地产存在一定风险，经综合分析，确定风险调整值为2.5-6.5%，由此推算房地产报酬率为8</w:t>
      </w:r>
      <w:r>
        <w:rPr>
          <w:rFonts w:hint="eastAsia" w:ascii="仿宋_GB2312" w:hAnsi="楷体" w:eastAsia="仿宋_GB2312" w:cs="仿宋_GB2312"/>
          <w:sz w:val="28"/>
          <w:szCs w:val="28"/>
        </w:rPr>
        <w:t>%</w:t>
      </w:r>
      <w:r>
        <w:rPr>
          <w:rFonts w:hint="eastAsia" w:ascii="仿宋_GB2312" w:hAnsi="楷体" w:eastAsia="仿宋_GB2312" w:cs="Arial"/>
          <w:sz w:val="28"/>
          <w:szCs w:val="28"/>
        </w:rPr>
        <w:t>。</w:t>
      </w:r>
    </w:p>
    <w:p>
      <w:pPr>
        <w:spacing w:line="360" w:lineRule="auto"/>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期间收益和期末转售收益具有相同的报酬率，取8%</w:t>
      </w:r>
      <w:r>
        <w:rPr>
          <w:rFonts w:hint="eastAsia" w:ascii="仿宋_GB2312" w:hAnsi="楷体" w:eastAsia="仿宋_GB2312" w:cs="仿宋_GB2312"/>
          <w:sz w:val="28"/>
          <w:szCs w:val="28"/>
        </w:rPr>
        <w:t>。</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6）净收益逐年递增率的确定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w:t>
      </w:r>
      <w:r>
        <w:rPr>
          <w:rFonts w:hint="eastAsia" w:ascii="仿宋_GB2312" w:hAnsi="楷体" w:eastAsia="仿宋_GB2312" w:cs="Arial"/>
          <w:sz w:val="28"/>
          <w:szCs w:val="28"/>
          <w:lang w:eastAsia="zh-CN"/>
        </w:rPr>
        <w:t>车库</w:t>
      </w:r>
      <w:r>
        <w:rPr>
          <w:rFonts w:hint="eastAsia" w:ascii="仿宋_GB2312" w:hAnsi="楷体" w:eastAsia="仿宋_GB2312" w:cs="Arial"/>
          <w:sz w:val="28"/>
          <w:szCs w:val="28"/>
        </w:rPr>
        <w:t>房地产的净收益逐年递增率为2%。</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7)收益期确定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lang w:eastAsia="zh-CN"/>
        </w:rPr>
        <w:t>估价</w:t>
      </w:r>
      <w:r>
        <w:rPr>
          <w:rFonts w:hint="eastAsia" w:ascii="仿宋_GB2312" w:hAnsi="楷体" w:eastAsia="仿宋_GB2312" w:cs="Arial"/>
          <w:sz w:val="28"/>
          <w:szCs w:val="28"/>
        </w:rPr>
        <w:t>对象建成于</w:t>
      </w:r>
      <w:r>
        <w:rPr>
          <w:rFonts w:hint="eastAsia" w:ascii="仿宋_GB2312" w:hAnsi="楷体" w:eastAsia="仿宋_GB2312" w:cs="Arial"/>
          <w:sz w:val="28"/>
          <w:szCs w:val="28"/>
          <w:lang w:eastAsia="zh-CN"/>
        </w:rPr>
        <w:t>2010</w:t>
      </w:r>
      <w:r>
        <w:rPr>
          <w:rFonts w:hint="eastAsia" w:ascii="仿宋_GB2312" w:hAnsi="楷体" w:eastAsia="仿宋_GB2312" w:cs="Arial"/>
          <w:sz w:val="28"/>
          <w:szCs w:val="28"/>
        </w:rPr>
        <w:t>年,</w:t>
      </w:r>
      <w:r>
        <w:rPr>
          <w:rFonts w:hint="eastAsia" w:ascii="仿宋_GB2312" w:hAnsi="楷体" w:eastAsia="仿宋_GB2312" w:cs="Arial"/>
          <w:sz w:val="28"/>
          <w:szCs w:val="28"/>
          <w:lang w:eastAsia="zh-CN"/>
        </w:rPr>
        <w:t>砖混</w:t>
      </w:r>
      <w:r>
        <w:rPr>
          <w:rFonts w:hint="eastAsia" w:ascii="仿宋_GB2312" w:hAnsi="楷体" w:eastAsia="仿宋_GB2312" w:cs="Arial"/>
          <w:sz w:val="28"/>
          <w:szCs w:val="28"/>
        </w:rPr>
        <w:t>结构，房屋耐用年期为</w:t>
      </w:r>
      <w:r>
        <w:rPr>
          <w:rFonts w:hint="eastAsia" w:ascii="仿宋_GB2312" w:hAnsi="楷体" w:eastAsia="仿宋_GB2312" w:cs="Arial"/>
          <w:sz w:val="28"/>
          <w:szCs w:val="28"/>
          <w:lang w:val="en-US" w:eastAsia="zh-CN"/>
        </w:rPr>
        <w:t>5</w:t>
      </w:r>
      <w:r>
        <w:rPr>
          <w:rFonts w:hint="eastAsia" w:ascii="仿宋_GB2312" w:hAnsi="楷体" w:eastAsia="仿宋_GB2312" w:cs="Arial"/>
          <w:sz w:val="28"/>
          <w:szCs w:val="28"/>
        </w:rPr>
        <w:t>0年，已使用</w:t>
      </w:r>
      <w:r>
        <w:rPr>
          <w:rFonts w:hint="eastAsia" w:ascii="仿宋_GB2312" w:hAnsi="楷体" w:eastAsia="仿宋_GB2312" w:cs="Arial"/>
          <w:sz w:val="28"/>
          <w:szCs w:val="28"/>
          <w:lang w:val="en-US" w:eastAsia="zh-CN"/>
        </w:rPr>
        <w:t>9</w:t>
      </w:r>
      <w:r>
        <w:rPr>
          <w:rFonts w:hint="eastAsia" w:ascii="仿宋_GB2312" w:hAnsi="楷体" w:eastAsia="仿宋_GB2312" w:cs="Arial"/>
          <w:sz w:val="28"/>
          <w:szCs w:val="28"/>
        </w:rPr>
        <w:t>年，剩余耐用年限为</w:t>
      </w:r>
      <w:r>
        <w:rPr>
          <w:rFonts w:hint="eastAsia" w:ascii="仿宋_GB2312" w:hAnsi="楷体" w:eastAsia="仿宋_GB2312" w:cs="Arial"/>
          <w:sz w:val="28"/>
          <w:szCs w:val="28"/>
          <w:lang w:val="en-US" w:eastAsia="zh-CN"/>
        </w:rPr>
        <w:t>41</w:t>
      </w:r>
      <w:r>
        <w:rPr>
          <w:rFonts w:hint="eastAsia" w:ascii="仿宋_GB2312" w:hAnsi="楷体" w:eastAsia="仿宋_GB2312" w:cs="Arial"/>
          <w:sz w:val="28"/>
          <w:szCs w:val="28"/>
        </w:rPr>
        <w:t>年，</w:t>
      </w:r>
      <w:r>
        <w:rPr>
          <w:rFonts w:hint="eastAsia" w:eastAsia="仿宋_GB2312" w:cs="仿宋_GB2312"/>
          <w:sz w:val="28"/>
          <w:szCs w:val="28"/>
        </w:rPr>
        <w:t>本次评估收益期确定为</w:t>
      </w:r>
      <w:r>
        <w:rPr>
          <w:rFonts w:hint="eastAsia" w:ascii="仿宋_GB2312" w:hAnsi="楷体" w:eastAsia="仿宋_GB2312" w:cs="Arial"/>
          <w:sz w:val="28"/>
          <w:szCs w:val="28"/>
          <w:lang w:val="en-US" w:eastAsia="zh-CN"/>
        </w:rPr>
        <w:t>41</w:t>
      </w:r>
      <w:r>
        <w:rPr>
          <w:rFonts w:hint="eastAsia" w:ascii="仿宋_GB2312" w:hAnsi="楷体" w:eastAsia="仿宋_GB2312" w:cs="Arial"/>
          <w:sz w:val="28"/>
          <w:szCs w:val="28"/>
        </w:rPr>
        <w:t>年。</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8) 运用公式确定收益价格</w:t>
      </w:r>
    </w:p>
    <w:p>
      <w:pPr>
        <w:snapToGrid w:val="0"/>
        <w:spacing w:line="360" w:lineRule="auto"/>
        <w:ind w:firstLine="523" w:firstLineChars="187"/>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hint="eastAsia" w:ascii="仿宋_GB2312" w:hAnsi="楷体" w:eastAsia="仿宋_GB2312" w:cs="Arial"/>
          <w:i/>
          <w:position w:val="-32"/>
          <w:sz w:val="24"/>
        </w:rPr>
        <w:object>
          <v:shape id="_x0000_i1026" o:spt="75" type="#_x0000_t75" style="height:41.25pt;width:142.5pt;" o:ole="t" filled="f" o:preferrelative="t" stroked="f" coordsize="21600,21600">
            <v:path/>
            <v:fill on="f" focussize="0,0"/>
            <v:stroke on="f" joinstyle="miter"/>
            <v:imagedata r:id="rId22" o:title=""/>
            <o:lock v:ext="edit" aspectratio="t"/>
            <w10:wrap type="none"/>
            <w10:anchorlock/>
          </v:shape>
          <o:OLEObject Type="Embed" ProgID="" ShapeID="_x0000_i1026" DrawAspect="Content" ObjectID="_1468075726" r:id="rId23">
            <o:LockedField>false</o:LockedField>
          </o:OLEObject>
        </w:object>
      </w:r>
    </w:p>
    <w:p>
      <w:pPr>
        <w:spacing w:line="540" w:lineRule="exact"/>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g—为净收益逐年递增的比率</w:t>
      </w:r>
    </w:p>
    <w:p>
      <w:pPr>
        <w:spacing w:line="540" w:lineRule="exact"/>
        <w:ind w:firstLine="630" w:firstLineChars="225"/>
        <w:rPr>
          <w:rFonts w:ascii="仿宋_GB2312" w:hAnsi="楷体" w:eastAsia="仿宋_GB2312" w:cs="Arial"/>
          <w:sz w:val="28"/>
          <w:szCs w:val="28"/>
        </w:rPr>
      </w:pPr>
      <w:r>
        <w:rPr>
          <w:rFonts w:hint="eastAsia" w:ascii="仿宋_GB2312" w:hAnsi="楷体" w:eastAsia="仿宋_GB2312" w:cs="Arial"/>
          <w:sz w:val="28"/>
          <w:szCs w:val="28"/>
        </w:rPr>
        <w:t>收益单价＝</w:t>
      </w:r>
      <w:r>
        <w:rPr>
          <w:rFonts w:hint="eastAsia" w:ascii="仿宋_GB2312" w:hAnsi="楷体" w:eastAsia="仿宋_GB2312" w:cs="Arial"/>
          <w:sz w:val="28"/>
          <w:szCs w:val="28"/>
          <w:lang w:val="en-US" w:eastAsia="zh-CN"/>
        </w:rPr>
        <w:t>137.78</w:t>
      </w:r>
      <w:r>
        <w:rPr>
          <w:rFonts w:hint="eastAsia" w:ascii="仿宋_GB2312" w:hAnsi="楷体" w:eastAsia="仿宋_GB2312" w:cs="Arial"/>
          <w:sz w:val="28"/>
          <w:szCs w:val="28"/>
        </w:rPr>
        <w:t>÷（8%-2％）×{1-[(1+2%)÷(1+8%)]</w:t>
      </w:r>
      <w:r>
        <w:rPr>
          <w:rFonts w:hint="eastAsia" w:ascii="仿宋_GB2312" w:hAnsi="楷体" w:eastAsia="仿宋_GB2312" w:cs="Arial"/>
          <w:sz w:val="28"/>
          <w:szCs w:val="28"/>
          <w:vertAlign w:val="superscript"/>
          <w:lang w:val="en-US" w:eastAsia="zh-CN"/>
        </w:rPr>
        <w:t>41</w:t>
      </w:r>
      <w:r>
        <w:rPr>
          <w:rFonts w:hint="eastAsia" w:ascii="仿宋_GB2312" w:hAnsi="楷体" w:eastAsia="仿宋_GB2312" w:cs="Arial"/>
          <w:sz w:val="28"/>
          <w:szCs w:val="28"/>
        </w:rPr>
        <w:t>}</w:t>
      </w:r>
    </w:p>
    <w:p>
      <w:pPr>
        <w:spacing w:line="540" w:lineRule="exact"/>
        <w:ind w:firstLine="1825" w:firstLineChars="652"/>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2076</w:t>
      </w:r>
      <w:r>
        <w:rPr>
          <w:rFonts w:hint="eastAsia" w:ascii="仿宋_GB2312" w:hAnsi="楷体" w:eastAsia="仿宋_GB2312" w:cs="Arial"/>
          <w:sz w:val="28"/>
          <w:szCs w:val="28"/>
        </w:rPr>
        <w:t>元/平方米</w:t>
      </w:r>
    </w:p>
    <w:p>
      <w:pPr>
        <w:pStyle w:val="3"/>
        <w:spacing w:before="120" w:beforeLines="50" w:after="120" w:afterLines="50" w:line="360" w:lineRule="auto"/>
        <w:ind w:firstLine="562" w:firstLineChars="200"/>
        <w:rPr>
          <w:rFonts w:ascii="仿宋_GB2312" w:eastAsia="仿宋_GB2312"/>
          <w:sz w:val="28"/>
          <w:szCs w:val="28"/>
        </w:rPr>
      </w:pPr>
      <w:r>
        <w:rPr>
          <w:rFonts w:hint="eastAsia" w:ascii="仿宋_GB2312" w:eastAsia="仿宋_GB2312"/>
          <w:sz w:val="28"/>
          <w:szCs w:val="28"/>
        </w:rPr>
        <w:t>（八）估价结果</w:t>
      </w:r>
      <w:bookmarkEnd w:id="239"/>
    </w:p>
    <w:p>
      <w:pPr>
        <w:spacing w:line="54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出租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w:t>
      </w:r>
      <w:r>
        <w:rPr>
          <w:rFonts w:hint="eastAsia" w:eastAsia="仿宋_GB2312"/>
          <w:sz w:val="28"/>
          <w:szCs w:val="28"/>
          <w:lang w:eastAsia="zh-CN"/>
        </w:rPr>
        <w:t>估价</w:t>
      </w:r>
      <w:r>
        <w:rPr>
          <w:rFonts w:eastAsia="仿宋_GB2312"/>
          <w:sz w:val="28"/>
          <w:szCs w:val="28"/>
        </w:rPr>
        <w:t>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spacing w:line="600" w:lineRule="exact"/>
        <w:ind w:firstLine="560" w:firstLineChars="200"/>
        <w:rPr>
          <w:rFonts w:eastAsia="仿宋_GB2312"/>
          <w:sz w:val="28"/>
          <w:szCs w:val="28"/>
        </w:rPr>
      </w:pPr>
      <w:r>
        <w:rPr>
          <w:rFonts w:eastAsia="仿宋_GB2312"/>
          <w:sz w:val="28"/>
          <w:szCs w:val="28"/>
        </w:rPr>
        <w:t>因两种方法的结果差异较大，并且普遍出现租售比失衡的现象，用当前的租金去衡量</w:t>
      </w:r>
      <w:r>
        <w:rPr>
          <w:rFonts w:hint="eastAsia" w:eastAsia="仿宋_GB2312"/>
          <w:sz w:val="28"/>
          <w:szCs w:val="28"/>
          <w:lang w:eastAsia="zh-CN"/>
        </w:rPr>
        <w:t>估价</w:t>
      </w:r>
      <w:r>
        <w:rPr>
          <w:rFonts w:eastAsia="仿宋_GB2312"/>
          <w:sz w:val="28"/>
          <w:szCs w:val="28"/>
        </w:rPr>
        <w:t>对象房地产价值会偏低，所以收益法的价格不能更准确、客观的反映</w:t>
      </w:r>
      <w:r>
        <w:rPr>
          <w:rFonts w:hint="eastAsia" w:eastAsia="仿宋_GB2312"/>
          <w:sz w:val="28"/>
          <w:szCs w:val="28"/>
          <w:lang w:eastAsia="zh-CN"/>
        </w:rPr>
        <w:t>估价</w:t>
      </w:r>
      <w:r>
        <w:rPr>
          <w:rFonts w:eastAsia="仿宋_GB2312"/>
          <w:sz w:val="28"/>
          <w:szCs w:val="28"/>
        </w:rPr>
        <w:t>对象的房地产市场价格，故本次评估采用比较法的价格为最终结果，确定估价对象在满足全部假设和限制条件下于价值时点</w:t>
      </w:r>
      <w:r>
        <w:rPr>
          <w:rFonts w:hint="eastAsia" w:eastAsia="仿宋_GB2312"/>
          <w:sz w:val="28"/>
          <w:szCs w:val="28"/>
        </w:rPr>
        <w:t>2019年</w:t>
      </w:r>
      <w:r>
        <w:rPr>
          <w:rFonts w:hint="eastAsia" w:eastAsia="仿宋_GB2312"/>
          <w:sz w:val="28"/>
          <w:szCs w:val="28"/>
          <w:lang w:eastAsia="zh-CN"/>
        </w:rPr>
        <w:t>11月13日</w:t>
      </w:r>
      <w:r>
        <w:rPr>
          <w:rFonts w:eastAsia="仿宋_GB2312"/>
          <w:sz w:val="28"/>
          <w:szCs w:val="28"/>
        </w:rPr>
        <w:t>的估价结果如下：（币种：人民币）</w:t>
      </w:r>
    </w:p>
    <w:p>
      <w:pPr>
        <w:spacing w:before="120" w:beforeLines="50"/>
        <w:jc w:val="center"/>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06"/>
        <w:gridCol w:w="1131"/>
        <w:gridCol w:w="1459"/>
        <w:gridCol w:w="1350"/>
        <w:gridCol w:w="1350"/>
        <w:gridCol w:w="3010"/>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9" w:hRule="atLeast"/>
        </w:trPr>
        <w:tc>
          <w:tcPr>
            <w:tcW w:w="906"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45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35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5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301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906"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3-0-15</w:t>
            </w:r>
          </w:p>
        </w:tc>
        <w:tc>
          <w:tcPr>
            <w:tcW w:w="145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35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default" w:ascii="仿宋_GB2312" w:eastAsia="仿宋_GB2312" w:cs="仿宋_GB2312"/>
                <w:szCs w:val="21"/>
                <w:lang w:val="en-US" w:eastAsia="zh-CN"/>
              </w:rPr>
            </w:pPr>
            <w:r>
              <w:rPr>
                <w:rFonts w:hint="eastAsia" w:ascii="仿宋_GB2312" w:eastAsia="仿宋_GB2312" w:cs="仿宋_GB2312"/>
                <w:szCs w:val="21"/>
                <w:lang w:val="en-US" w:eastAsia="zh-CN"/>
              </w:rPr>
              <w:t>8586</w:t>
            </w:r>
          </w:p>
        </w:tc>
        <w:tc>
          <w:tcPr>
            <w:tcW w:w="135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default" w:ascii="仿宋_GB2312" w:eastAsia="仿宋_GB2312" w:cs="仿宋_GB2312"/>
                <w:szCs w:val="21"/>
                <w:lang w:val="en-US" w:eastAsia="zh-CN"/>
              </w:rPr>
            </w:pPr>
            <w:r>
              <w:rPr>
                <w:rFonts w:hint="eastAsia" w:ascii="仿宋_GB2312" w:eastAsia="仿宋_GB2312" w:cs="仿宋_GB2312"/>
                <w:szCs w:val="21"/>
                <w:lang w:val="en-US" w:eastAsia="zh-CN"/>
              </w:rPr>
              <w:t>19.1811</w:t>
            </w:r>
          </w:p>
        </w:tc>
        <w:tc>
          <w:tcPr>
            <w:tcW w:w="301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906"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31"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45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22.34</w:t>
            </w:r>
          </w:p>
        </w:tc>
        <w:tc>
          <w:tcPr>
            <w:tcW w:w="135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50"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val="en-US" w:eastAsia="zh-CN"/>
              </w:rPr>
              <w:t>19.1811</w:t>
            </w:r>
          </w:p>
        </w:tc>
        <w:tc>
          <w:tcPr>
            <w:tcW w:w="3010"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壹拾玖万壹仟捌佰壹拾壹</w:t>
            </w:r>
            <w:r>
              <w:rPr>
                <w:rFonts w:hint="eastAsia" w:ascii="仿宋_GB2312" w:eastAsia="仿宋_GB2312" w:cs="仿宋_GB2312"/>
                <w:szCs w:val="21"/>
              </w:rPr>
              <w:t>元整</w:t>
            </w:r>
          </w:p>
        </w:tc>
      </w:tr>
    </w:tbl>
    <w:p>
      <w:pPr>
        <w:adjustRightInd w:val="0"/>
        <w:snapToGrid w:val="0"/>
        <w:spacing w:line="460" w:lineRule="exact"/>
        <w:ind w:firstLine="480" w:firstLineChars="200"/>
        <w:rPr>
          <w:rFonts w:ascii="仿宋_GB2312" w:hAnsi="宋体" w:eastAsia="仿宋_GB2312"/>
          <w:snapToGrid w:val="0"/>
          <w:kern w:val="0"/>
          <w:sz w:val="24"/>
        </w:rPr>
        <w:sectPr>
          <w:headerReference r:id="rId13" w:type="default"/>
          <w:pgSz w:w="11906" w:h="16838"/>
          <w:pgMar w:top="1814" w:right="1247" w:bottom="1418" w:left="1701" w:header="1417" w:footer="737" w:gutter="0"/>
          <w:cols w:space="720" w:num="1"/>
          <w:docGrid w:linePitch="286" w:charSpace="0"/>
        </w:sectPr>
      </w:pPr>
    </w:p>
    <w:p>
      <w:pPr>
        <w:pStyle w:val="2"/>
        <w:adjustRightInd w:val="0"/>
        <w:snapToGrid w:val="0"/>
        <w:spacing w:before="120" w:beforeLines="50" w:after="120" w:afterLines="50" w:line="360" w:lineRule="auto"/>
        <w:jc w:val="center"/>
        <w:rPr>
          <w:rFonts w:ascii="仿宋_GB2312" w:hAnsi="宋体" w:eastAsia="仿宋_GB2312"/>
          <w:snapToGrid w:val="0"/>
          <w:spacing w:val="60"/>
          <w:sz w:val="30"/>
          <w:szCs w:val="30"/>
        </w:rPr>
      </w:pPr>
      <w:bookmarkStart w:id="240" w:name="_Toc367869510"/>
      <w:bookmarkStart w:id="241" w:name="_Toc5721424"/>
      <w:bookmarkStart w:id="242" w:name="_Toc301369728"/>
      <w:r>
        <w:rPr>
          <w:rFonts w:hint="eastAsia" w:ascii="仿宋_GB2312" w:hAnsi="宋体" w:eastAsia="仿宋_GB2312"/>
          <w:snapToGrid w:val="0"/>
          <w:spacing w:val="60"/>
          <w:sz w:val="30"/>
          <w:szCs w:val="30"/>
        </w:rPr>
        <w:t>五、附件</w:t>
      </w:r>
      <w:bookmarkEnd w:id="240"/>
      <w:bookmarkEnd w:id="241"/>
      <w:bookmarkEnd w:id="242"/>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估价对象位置图</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估价对象状况照片</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w:t>
      </w:r>
      <w:r>
        <w:rPr>
          <w:rFonts w:hint="eastAsia" w:ascii="仿宋_GB2312" w:hAnsi="仿宋" w:eastAsia="仿宋_GB2312" w:cs="仿宋_GB2312"/>
          <w:kern w:val="2"/>
          <w:sz w:val="28"/>
          <w:szCs w:val="28"/>
          <w:lang w:eastAsia="zh-CN"/>
        </w:rPr>
        <w:t>临河区</w:t>
      </w:r>
      <w:r>
        <w:rPr>
          <w:rFonts w:hint="eastAsia" w:ascii="仿宋_GB2312" w:hAnsi="仿宋" w:eastAsia="仿宋_GB2312" w:cs="仿宋_GB2312"/>
          <w:kern w:val="2"/>
          <w:sz w:val="28"/>
          <w:szCs w:val="28"/>
        </w:rPr>
        <w:t>人民法院评估委托书》复印件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w:t>
      </w:r>
      <w:r>
        <w:rPr>
          <w:rFonts w:hint="eastAsia" w:ascii="仿宋_GB2312" w:hAnsi="仿宋" w:eastAsia="仿宋_GB2312" w:cs="仿宋_GB2312"/>
          <w:kern w:val="2"/>
          <w:sz w:val="28"/>
          <w:szCs w:val="28"/>
          <w:lang w:eastAsia="zh-CN"/>
        </w:rPr>
        <w:t>临河区</w:t>
      </w:r>
      <w:r>
        <w:rPr>
          <w:rFonts w:hint="eastAsia" w:ascii="仿宋_GB2312" w:hAnsi="仿宋" w:eastAsia="仿宋_GB2312" w:cs="仿宋_GB2312"/>
          <w:kern w:val="2"/>
          <w:sz w:val="28"/>
          <w:szCs w:val="28"/>
        </w:rPr>
        <w:t>人民法院执行裁定书》复印件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《内蒙古自治区房地产权属登记簿》复印件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lang w:eastAsia="zh-CN"/>
        </w:rPr>
        <w:t>《法院现场勘查记录表》</w:t>
      </w:r>
      <w:r>
        <w:rPr>
          <w:rFonts w:hint="eastAsia" w:ascii="仿宋_GB2312" w:hAnsi="仿宋" w:eastAsia="仿宋_GB2312" w:cs="仿宋_GB2312"/>
          <w:kern w:val="2"/>
          <w:sz w:val="28"/>
          <w:szCs w:val="28"/>
        </w:rPr>
        <w:t>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房地产估价机构营业执照复印件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房地产估价机构资质证书复印件</w:t>
      </w:r>
    </w:p>
    <w:p>
      <w:pPr>
        <w:pStyle w:val="38"/>
        <w:widowControl w:val="0"/>
        <w:numPr>
          <w:ilvl w:val="2"/>
          <w:numId w:val="11"/>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注册房地产估价师注册证书复印件</w:t>
      </w:r>
    </w:p>
    <w:p/>
    <w:p/>
    <w:p/>
    <w:p/>
    <w:p/>
    <w:p/>
    <w:p/>
    <w:p/>
    <w:p/>
    <w:p/>
    <w:p/>
    <w:p/>
    <w:p/>
    <w:p/>
    <w:p/>
    <w:p/>
    <w:p/>
    <w:p>
      <w:pPr>
        <w:jc w:val="center"/>
        <w:rPr>
          <w:rFonts w:ascii="仿宋_GB2312" w:eastAsia="仿宋_GB2312"/>
          <w:b/>
          <w:sz w:val="30"/>
          <w:szCs w:val="30"/>
        </w:rPr>
      </w:pPr>
    </w:p>
    <w:p>
      <w:pPr>
        <w:jc w:val="center"/>
        <w:rPr>
          <w:rFonts w:ascii="仿宋_GB2312" w:eastAsia="仿宋_GB2312"/>
          <w:b/>
          <w:sz w:val="30"/>
          <w:szCs w:val="30"/>
        </w:rPr>
      </w:pPr>
      <w:r>
        <w:rPr>
          <w:rFonts w:hint="eastAsia" w:ascii="仿宋_GB2312" w:eastAsia="仿宋_GB2312"/>
          <w:b/>
          <w:sz w:val="30"/>
          <w:szCs w:val="30"/>
        </w:rPr>
        <w:t>估价对象区域位置图</w:t>
      </w:r>
    </w:p>
    <w:p>
      <w:pPr>
        <w:jc w:val="center"/>
        <w:rPr>
          <w:rFonts w:ascii="仿宋_GB2312" w:eastAsia="仿宋_GB2312"/>
          <w:b/>
          <w:sz w:val="30"/>
          <w:szCs w:val="30"/>
        </w:rPr>
      </w:pPr>
    </w:p>
    <w:p>
      <w:pPr>
        <w:jc w:val="center"/>
        <w:rPr>
          <w:rFonts w:ascii="仿宋_GB2312" w:eastAsia="仿宋_GB2312"/>
          <w:b/>
          <w:sz w:val="30"/>
          <w:szCs w:val="30"/>
        </w:rPr>
      </w:pPr>
      <w:r>
        <w:drawing>
          <wp:inline distT="0" distB="0" distL="114300" distR="114300">
            <wp:extent cx="5684520" cy="5295900"/>
            <wp:effectExtent l="0" t="0" r="1143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4"/>
                    <a:stretch>
                      <a:fillRect/>
                    </a:stretch>
                  </pic:blipFill>
                  <pic:spPr>
                    <a:xfrm>
                      <a:off x="0" y="0"/>
                      <a:ext cx="5684520" cy="5295900"/>
                    </a:xfrm>
                    <a:prstGeom prst="rect">
                      <a:avLst/>
                    </a:prstGeom>
                    <a:noFill/>
                    <a:ln>
                      <a:noFill/>
                    </a:ln>
                  </pic:spPr>
                </pic:pic>
              </a:graphicData>
            </a:graphic>
          </wp:inline>
        </w:drawing>
      </w:r>
    </w:p>
    <w:p>
      <w:pPr>
        <w:jc w:val="center"/>
        <w:rPr>
          <w:rFonts w:ascii="仿宋_GB2312" w:eastAsia="仿宋_GB2312"/>
          <w:b/>
          <w:sz w:val="30"/>
          <w:szCs w:val="30"/>
        </w:rPr>
      </w:pPr>
    </w:p>
    <w:p>
      <w:pPr>
        <w:jc w:val="center"/>
        <w:rPr>
          <w:rFonts w:ascii="仿宋_GB2312" w:eastAsia="仿宋_GB2312"/>
          <w:b/>
          <w:sz w:val="30"/>
          <w:szCs w:val="30"/>
        </w:rPr>
      </w:pPr>
    </w:p>
    <w:p>
      <w:pPr>
        <w:jc w:val="center"/>
        <w:rPr>
          <w:rFonts w:ascii="仿宋_GB2312" w:eastAsia="仿宋_GB2312"/>
          <w:b/>
          <w:sz w:val="30"/>
          <w:szCs w:val="30"/>
        </w:rPr>
      </w:pPr>
    </w:p>
    <w:p>
      <w:pPr>
        <w:jc w:val="both"/>
        <w:rPr>
          <w:rFonts w:ascii="仿宋_GB2312" w:eastAsia="仿宋_GB2312"/>
          <w:b/>
          <w:sz w:val="30"/>
          <w:szCs w:val="30"/>
        </w:rPr>
      </w:pPr>
    </w:p>
    <w:p>
      <w:pPr>
        <w:jc w:val="center"/>
        <w:rPr>
          <w:rFonts w:ascii="仿宋_GB2312" w:eastAsia="仿宋_GB2312"/>
          <w:b/>
          <w:sz w:val="30"/>
          <w:szCs w:val="30"/>
        </w:rPr>
      </w:pPr>
      <w:r>
        <w:rPr>
          <w:rFonts w:hint="eastAsia" w:ascii="仿宋_GB2312" w:eastAsia="仿宋_GB2312"/>
          <w:b/>
          <w:sz w:val="30"/>
          <w:szCs w:val="30"/>
        </w:rPr>
        <w:t>估价对象位置图</w:t>
      </w:r>
    </w:p>
    <w:p>
      <w:pPr>
        <w:jc w:val="center"/>
        <w:rPr>
          <w:rFonts w:ascii="仿宋_GB2312" w:eastAsia="仿宋_GB2312"/>
          <w:b/>
          <w:sz w:val="30"/>
          <w:szCs w:val="30"/>
        </w:rPr>
      </w:pPr>
    </w:p>
    <w:p>
      <w:pPr>
        <w:jc w:val="center"/>
        <w:rPr>
          <w:rFonts w:ascii="仿宋_GB2312" w:eastAsia="仿宋_GB2312"/>
          <w:b/>
          <w:sz w:val="30"/>
          <w:szCs w:val="30"/>
        </w:rPr>
      </w:pPr>
      <w:r>
        <w:drawing>
          <wp:anchor distT="0" distB="0" distL="114300" distR="114300" simplePos="0" relativeHeight="251663360" behindDoc="0" locked="0" layoutInCell="1" allowOverlap="1">
            <wp:simplePos x="0" y="0"/>
            <wp:positionH relativeFrom="column">
              <wp:posOffset>2849245</wp:posOffset>
            </wp:positionH>
            <wp:positionV relativeFrom="paragraph">
              <wp:posOffset>31115</wp:posOffset>
            </wp:positionV>
            <wp:extent cx="2562225" cy="2454275"/>
            <wp:effectExtent l="0" t="0" r="9525" b="317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2562225" cy="245427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595880" cy="2480310"/>
            <wp:effectExtent l="0" t="0" r="13970" b="1524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6"/>
                    <a:stretch>
                      <a:fillRect/>
                    </a:stretch>
                  </pic:blipFill>
                  <pic:spPr>
                    <a:xfrm>
                      <a:off x="0" y="0"/>
                      <a:ext cx="2595880" cy="2480310"/>
                    </a:xfrm>
                    <a:prstGeom prst="rect">
                      <a:avLst/>
                    </a:prstGeom>
                    <a:noFill/>
                    <a:ln>
                      <a:noFill/>
                    </a:ln>
                  </pic:spPr>
                </pic:pic>
              </a:graphicData>
            </a:graphic>
          </wp:anchor>
        </w:drawing>
      </w:r>
    </w:p>
    <w:p>
      <w:pPr>
        <w:jc w:val="center"/>
        <w:rPr>
          <w:rFonts w:ascii="仿宋_GB2312" w:eastAsia="仿宋_GB2312"/>
          <w:b/>
          <w:sz w:val="30"/>
          <w:szCs w:val="30"/>
        </w:rPr>
      </w:pPr>
    </w:p>
    <w:p>
      <w:pPr>
        <w:jc w:val="center"/>
        <w:rPr>
          <w:rFonts w:ascii="仿宋_GB2312" w:eastAsia="仿宋_GB2312"/>
          <w:b/>
          <w:sz w:val="30"/>
          <w:szCs w:val="30"/>
        </w:rPr>
      </w:pPr>
      <w:r>
        <w:drawing>
          <wp:anchor distT="0" distB="0" distL="114300" distR="114300" simplePos="0" relativeHeight="251665408" behindDoc="0" locked="0" layoutInCell="1" allowOverlap="1">
            <wp:simplePos x="0" y="0"/>
            <wp:positionH relativeFrom="column">
              <wp:posOffset>3050540</wp:posOffset>
            </wp:positionH>
            <wp:positionV relativeFrom="paragraph">
              <wp:posOffset>26035</wp:posOffset>
            </wp:positionV>
            <wp:extent cx="2570480" cy="3184525"/>
            <wp:effectExtent l="0" t="0" r="1270" b="1587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2570480" cy="318452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614295" cy="3199130"/>
            <wp:effectExtent l="0" t="0" r="14605" b="127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5"/>
                    <a:stretch>
                      <a:fillRect/>
                    </a:stretch>
                  </pic:blipFill>
                  <pic:spPr>
                    <a:xfrm>
                      <a:off x="0" y="0"/>
                      <a:ext cx="2614295" cy="3199130"/>
                    </a:xfrm>
                    <a:prstGeom prst="rect">
                      <a:avLst/>
                    </a:prstGeom>
                    <a:noFill/>
                    <a:ln>
                      <a:noFill/>
                    </a:ln>
                  </pic:spPr>
                </pic:pic>
              </a:graphicData>
            </a:graphic>
          </wp:anchor>
        </w:drawing>
      </w:r>
    </w:p>
    <w:sectPr>
      <w:headerReference r:id="rId16" w:type="first"/>
      <w:headerReference r:id="rId14" w:type="default"/>
      <w:footerReference r:id="rId17" w:type="default"/>
      <w:headerReference r:id="rId15" w:type="even"/>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46055"/>
    </w:sdtPr>
    <w:sdtContent>
      <w:p>
        <w:pPr>
          <w:rPr>
            <w:kern w:val="0"/>
            <w:sz w:val="18"/>
          </w:rPr>
        </w:pPr>
      </w:p>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25959"/>
    </w:sdtPr>
    <w:sdtContent>
      <w:p>
        <w:pPr>
          <w:pStyle w:val="25"/>
          <w:spacing w:before="120" w:beforeLines="50"/>
          <w:jc w:val="center"/>
          <w:rPr>
            <w:szCs w:val="18"/>
          </w:rPr>
        </w:pPr>
        <w:r>
          <w:rPr>
            <w:szCs w:val="18"/>
          </w:rPr>
          <w:pict>
            <v:shape id="自选图形 39" o:spid="_x0000_s2050" o:spt="32" type="#_x0000_t32" style="position:absolute;left:0pt;margin-left:-0.4pt;margin-top:4.5pt;height:0pt;width:450.8pt;z-index:251668480;mso-width-relative:page;mso-height-relative:page;" filled="f" coordsize="21600,21600">
              <v:path arrowok="t"/>
              <v:fill on="f" focussize="0,0"/>
              <v:stroke/>
              <v:imagedata o:title=""/>
              <o:lock v:ext="edit"/>
            </v:shape>
          </w:pict>
        </w:r>
      </w:p>
      <w:p>
        <w:pPr>
          <w:pStyle w:val="25"/>
          <w:jc w:val="right"/>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4</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52613"/>
    </w:sdtPr>
    <w:sdtContent>
      <w:p>
        <w:pPr>
          <w:pStyle w:val="25"/>
          <w:spacing w:before="120" w:beforeLines="50"/>
          <w:jc w:val="center"/>
          <w:rPr>
            <w:szCs w:val="18"/>
          </w:rPr>
        </w:pPr>
        <w:r>
          <w:rPr>
            <w:szCs w:val="18"/>
          </w:rPr>
          <w:pict>
            <v:shape id="自选图形 9" o:spid="_x0000_s2053" o:spt="32" type="#_x0000_t32" style="position:absolute;left:0pt;margin-left:-0.4pt;margin-top:4.5pt;height:0pt;width:450.8pt;z-index:251659264;mso-width-relative:page;mso-height-relative:page;" filled="f" coordsize="21600,21600">
              <v:path arrowok="t"/>
              <v:fill on="f" focussize="0,0"/>
              <v:stroke/>
              <v:imagedata o:title=""/>
              <o:lock v:ext="edit"/>
            </v:shape>
          </w:pic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25</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7"/>
      </w:rPr>
    </w:pPr>
    <w:r>
      <w:rPr>
        <w:rStyle w:val="47"/>
      </w:rPr>
      <w:fldChar w:fldCharType="begin"/>
    </w:r>
    <w:r>
      <w:rPr>
        <w:rStyle w:val="47"/>
      </w:rPr>
      <w:instrText xml:space="preserve">PAGE  </w:instrText>
    </w:r>
    <w:r>
      <w:rPr>
        <w:rStyle w:val="47"/>
      </w:rPr>
      <w:fldChar w:fldCharType="separate"/>
    </w:r>
    <w:r>
      <w:rPr>
        <w:rStyle w:val="47"/>
      </w:rP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beforeLines="50"/>
      <w:jc w:val="center"/>
      <w:rPr>
        <w:szCs w:val="18"/>
      </w:rPr>
    </w:pPr>
    <w:r>
      <w:rPr>
        <w:szCs w:val="18"/>
      </w:rPr>
      <w:pict>
        <v:shape id="自选图形 10" o:spid="_x0000_s2056" o:spt="32" type="#_x0000_t32" style="position:absolute;left:0pt;margin-left:-0.4pt;margin-top:4.5pt;height:0pt;width:450.8pt;z-index:251660288;mso-width-relative:page;mso-height-relative:page;" filled="f" coordsize="21600,21600">
          <v:path arrowok="t"/>
          <v:fill on="f" focussize="0,0"/>
          <v:stroke/>
          <v:imagedata o:title=""/>
          <o:lock v:ext="edit"/>
        </v:shape>
      </w:pict>
    </w:r>
    <w:r>
      <w:pict>
        <v:shape id="自选图形 29" o:spid="_x0000_s2057" o:spt="32" type="#_x0000_t32" style="position:absolute;left:0pt;margin-left:-0.4pt;margin-top:4.5pt;height:0pt;width:450.8pt;z-index:251664384;mso-width-relative:page;mso-height-relative:page;" filled="f" coordsize="21600,21600">
          <v:path arrowok="t"/>
          <v:fill on="f" focussize="0,0"/>
          <v:stroke/>
          <v:imagedata o:title=""/>
          <o:lock v:ext="edit"/>
        </v:shape>
      </w:pic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w:t>
    </w:r>
    <w:r>
      <w:rPr>
        <w:rFonts w:ascii="方正姚体" w:eastAsia="方正姚体"/>
        <w:szCs w:val="18"/>
      </w:rPr>
      <w:t xml:space="preserve">                                </w:t>
    </w:r>
    <w:r>
      <w:rPr>
        <w:rFonts w:hint="eastAsia" w:ascii="方正姚体" w:eastAsia="方正姚体"/>
        <w:szCs w:val="18"/>
      </w:rPr>
      <w:t>联系电话：</w:t>
    </w:r>
    <w:r>
      <w:rPr>
        <w:rFonts w:ascii="方正姚体" w:eastAsia="方正姚体"/>
        <w:szCs w:val="18"/>
      </w:rPr>
      <w:t>0471-4663576</w:t>
    </w:r>
    <w:r>
      <w:rPr>
        <w:szCs w:val="18"/>
      </w:rPr>
      <w:t xml:space="preserve"> </w:t>
    </w:r>
    <w:r>
      <w:rPr>
        <w:rFonts w:hint="eastAsia"/>
        <w:szCs w:val="18"/>
      </w:rPr>
      <w:t xml:space="preserve"> </w: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47</w:t>
    </w:r>
    <w:r>
      <w:rPr>
        <w:rFonts w:hint="eastAsia" w:ascii="方正姚体" w:eastAsia="方正姚体"/>
        <w:szCs w:val="18"/>
      </w:rPr>
      <w:fldChar w:fldCharType="end"/>
    </w:r>
    <w:r>
      <w:rPr>
        <w:rFonts w:hint="eastAsia" w:ascii="方正姚体" w:eastAsia="方正姚体"/>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文本框 38" o:spid="_x0000_s2049" o:spt="202" type="#_x0000_t202" style="position:absolute;left:0pt;margin-left:241.9pt;margin-top:-15pt;height:19.15pt;width:206.8pt;z-index:251667456;mso-width-relative:page;mso-height-relative:page;" stroked="f" coordsize="21600,21600">
          <v:path/>
          <v:fill focussize="0,0"/>
          <v:stroke on="f" joinstyle="miter"/>
          <v:imagedata o:title=""/>
          <o:lock v:ext="edit"/>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hint="eastAsia" w:ascii="楷体" w:hAnsi="楷体" w:eastAsia="楷体"/>
                    <w:b/>
                    <w:color w:val="948A54"/>
                    <w:sz w:val="32"/>
                    <w:szCs w:val="32"/>
                  </w:rPr>
                  <w:t>LOGO</w:t>
                </w:r>
              </w:p>
            </w:txbxContent>
          </v:textbox>
        </v:shape>
      </w:pict>
    </w:r>
    <w:r>
      <w:rPr>
        <w:rFonts w:ascii="宋体" w:hAnsi="宋体"/>
        <w:u w:val="single"/>
      </w:rPr>
      <w:drawing>
        <wp:anchor distT="0" distB="0" distL="114300" distR="114300" simplePos="0" relativeHeight="251671552"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5"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drawing>
        <wp:anchor distT="0" distB="0" distL="114300" distR="114300" simplePos="0" relativeHeight="251663360"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4"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ascii="宋体" w:hAnsi="宋体"/>
        <w:u w:val="single"/>
      </w:rPr>
      <w:pict>
        <v:shape id="文本框 5" o:spid="_x0000_s2052" o:spt="202" type="#_x0000_t202" style="position:absolute;left:0pt;margin-left:241pt;margin-top:-14.45pt;height:20.6pt;width:204.7pt;z-index:251658240;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rPr>
        <w:rFonts w:hint="eastAsia" w:ascii="宋体" w:hAnsi="宋体"/>
        <w:u w:val="single"/>
      </w:rPr>
      <w:t xml:space="preserve">                                                                       </w:t>
    </w:r>
    <w:r>
      <w:rPr>
        <w:rFonts w:hint="eastAsia" w:ascii="宋体" w:hAnsi="宋体"/>
        <w:color w:val="FF0000"/>
        <w:u w:val="single"/>
      </w:rPr>
      <w:t xml:space="preserve">  </w:t>
    </w:r>
    <w:r>
      <w:rPr>
        <w:rFonts w:hint="eastAsia" w:ascii="宋体" w:hAnsi="宋体"/>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5"/>
      <w:numPr>
        <w:ilvl w:val="0"/>
        <w:numId w:val="1"/>
      </w:numPr>
      <w:pBdr>
        <w:bottom w:val="single" w:color="auto" w:sz="4" w:space="1"/>
      </w:pBdr>
    </w:pPr>
    <w:r>
      <w:pict>
        <v:shape id="文本框 37" o:spid="_x0000_s2054" o:spt="202" type="#_x0000_t202" style="position:absolute;left:0pt;margin-left:241.1pt;margin-top:-9.2pt;height:20.6pt;width:204.7pt;z-index:25166643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6540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237" y="0"/>
              <wp:lineTo x="-237" y="21000"/>
              <wp:lineTo x="21600" y="21000"/>
              <wp:lineTo x="21600" y="0"/>
              <wp:lineTo x="-237" y="0"/>
            </wp:wrapPolygon>
          </wp:wrapTight>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_x0000_s2055" o:spid="_x0000_s2055" o:spt="202" type="#_x0000_t202" style="position:absolute;left:0pt;margin-left:238.65pt;margin-top:-10.35pt;height:18.95pt;width:211.75pt;z-index:25166131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p>
                <w:pPr>
                  <w:rPr>
                    <w:szCs w:val="32"/>
                  </w:rPr>
                </w:pPr>
              </w:p>
            </w:txbxContent>
          </v:textbox>
        </v:shape>
      </w:pict>
    </w:r>
    <w:r>
      <w:rPr>
        <w:rFonts w:ascii="宋体" w:hAnsi="宋体"/>
        <w:u w:val="single"/>
      </w:rPr>
      <w:drawing>
        <wp:anchor distT="0" distB="0" distL="114300" distR="114300" simplePos="0" relativeHeight="251670528" behindDoc="0" locked="0" layoutInCell="1" allowOverlap="1">
          <wp:simplePos x="0" y="0"/>
          <wp:positionH relativeFrom="page">
            <wp:posOffset>950595</wp:posOffset>
          </wp:positionH>
          <wp:positionV relativeFrom="page">
            <wp:posOffset>603250</wp:posOffset>
          </wp:positionV>
          <wp:extent cx="998855" cy="370840"/>
          <wp:effectExtent l="19050" t="0" r="0" b="0"/>
          <wp:wrapSquare wrapText="bothSides"/>
          <wp:docPr id="29"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标志2.jpg"/>
                  <pic:cNvPicPr>
                    <a:picLocks noChangeAspect="1" noChangeArrowheads="1"/>
                  </pic:cNvPicPr>
                </pic:nvPicPr>
                <pic:blipFill>
                  <a:blip r:embed="rId1">
                    <a:biLevel thresh="50000"/>
                  </a:blip>
                  <a:srcRect/>
                  <a:stretch>
                    <a:fillRect/>
                  </a:stretch>
                </pic:blipFill>
                <pic:spPr>
                  <a:xfrm>
                    <a:off x="0" y="0"/>
                    <a:ext cx="998855" cy="370840"/>
                  </a:xfrm>
                  <a:prstGeom prst="rect">
                    <a:avLst/>
                  </a:prstGeom>
                  <a:noFill/>
                  <a:ln w="9525">
                    <a:noFill/>
                    <a:miter lim="800000"/>
                    <a:headEnd/>
                    <a:tailEnd/>
                  </a:ln>
                </pic:spPr>
              </pic:pic>
            </a:graphicData>
          </a:graphic>
        </wp:anchor>
      </w:drawing>
    </w:r>
    <w:r>
      <w:rPr>
        <w:rFonts w:ascii="宋体" w:hAnsi="宋体"/>
        <w:u w:val="single"/>
      </w:rPr>
      <w:drawing>
        <wp:anchor distT="0" distB="0" distL="114300" distR="114300" simplePos="0" relativeHeight="251662336" behindDoc="0" locked="0" layoutInCell="1" allowOverlap="1">
          <wp:simplePos x="0" y="0"/>
          <wp:positionH relativeFrom="column">
            <wp:posOffset>45085</wp:posOffset>
          </wp:positionH>
          <wp:positionV relativeFrom="paragraph">
            <wp:posOffset>-255905</wp:posOffset>
          </wp:positionV>
          <wp:extent cx="829310" cy="328930"/>
          <wp:effectExtent l="19050" t="0" r="8687" b="0"/>
          <wp:wrapNone/>
          <wp:docPr id="3" name="图片 4"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标志-小"/>
                  <pic:cNvPicPr>
                    <a:picLocks noChangeAspect="1" noChangeArrowheads="1"/>
                  </pic:cNvPicPr>
                </pic:nvPicPr>
                <pic:blipFill>
                  <a:blip r:embed="rId2"/>
                  <a:srcRect/>
                  <a:stretch>
                    <a:fillRect/>
                  </a:stretch>
                </pic:blipFill>
                <pic:spPr>
                  <a:xfrm>
                    <a:off x="0" y="0"/>
                    <a:ext cx="829513" cy="329184"/>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DBA912"/>
    <w:multiLevelType w:val="singleLevel"/>
    <w:tmpl w:val="B2DBA912"/>
    <w:lvl w:ilvl="0" w:tentative="0">
      <w:start w:val="1"/>
      <w:numFmt w:val="decimal"/>
      <w:suff w:val="nothing"/>
      <w:lvlText w:val="%1、"/>
      <w:lvlJc w:val="left"/>
    </w:lvl>
  </w:abstractNum>
  <w:abstractNum w:abstractNumId="1">
    <w:nsid w:val="E1AB8F25"/>
    <w:multiLevelType w:val="multilevel"/>
    <w:tmpl w:val="E1AB8F25"/>
    <w:lvl w:ilvl="0" w:tentative="0">
      <w:start w:val="1"/>
      <w:numFmt w:val="decimalEnclosedCircle"/>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2">
    <w:nsid w:val="0B29492D"/>
    <w:multiLevelType w:val="singleLevel"/>
    <w:tmpl w:val="0B29492D"/>
    <w:lvl w:ilvl="0" w:tentative="0">
      <w:start w:val="1"/>
      <w:numFmt w:val="decimal"/>
      <w:lvlText w:val="%1."/>
      <w:lvlJc w:val="left"/>
      <w:pPr>
        <w:tabs>
          <w:tab w:val="left" w:pos="312"/>
        </w:tabs>
      </w:pPr>
    </w:lvl>
  </w:abstractNum>
  <w:abstractNum w:abstractNumId="3">
    <w:nsid w:val="1C055F87"/>
    <w:multiLevelType w:val="multilevel"/>
    <w:tmpl w:val="1C055F87"/>
    <w:lvl w:ilvl="0" w:tentative="0">
      <w:start w:val="1"/>
      <w:numFmt w:val="decimal"/>
      <w:lvlText w:val="%1．"/>
      <w:lvlJc w:val="left"/>
      <w:pPr>
        <w:ind w:left="480" w:hanging="480"/>
      </w:pPr>
      <w:rPr>
        <w:rFonts w:cs="Times New Roman"/>
        <w:b/>
        <w:bCs/>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4">
    <w:nsid w:val="1C95F225"/>
    <w:multiLevelType w:val="multilevel"/>
    <w:tmpl w:val="1C95F225"/>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abstractNum w:abstractNumId="5">
    <w:nsid w:val="21F800BD"/>
    <w:multiLevelType w:val="singleLevel"/>
    <w:tmpl w:val="21F800BD"/>
    <w:lvl w:ilvl="0" w:tentative="0">
      <w:start w:val="1"/>
      <w:numFmt w:val="decimal"/>
      <w:suff w:val="nothing"/>
      <w:lvlText w:val="%1、"/>
      <w:lvlJc w:val="left"/>
    </w:lvl>
  </w:abstractNum>
  <w:abstractNum w:abstractNumId="6">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2023A19"/>
    <w:multiLevelType w:val="multilevel"/>
    <w:tmpl w:val="32023A19"/>
    <w:lvl w:ilvl="0" w:tentative="0">
      <w:start w:val="1"/>
      <w:numFmt w:val="decimal"/>
      <w:lvlText w:val="（%1）"/>
      <w:lvlJc w:val="left"/>
      <w:pPr>
        <w:ind w:left="1728" w:hanging="1160"/>
      </w:pPr>
      <w:rPr>
        <w:rFonts w:hint="eastAsia"/>
      </w:rPr>
    </w:lvl>
    <w:lvl w:ilvl="1" w:tentative="0">
      <w:start w:val="1"/>
      <w:numFmt w:val="decimal"/>
      <w:lvlText w:val="%2."/>
      <w:lvlJc w:val="left"/>
      <w:pPr>
        <w:ind w:left="1360" w:hanging="360"/>
      </w:pPr>
      <w:rPr>
        <w:rFonts w:hint="eastAsia"/>
      </w:rPr>
    </w:lvl>
    <w:lvl w:ilvl="2" w:tentative="0">
      <w:start w:val="6"/>
      <w:numFmt w:val="bullet"/>
      <w:lvlText w:val="●"/>
      <w:lvlJc w:val="left"/>
      <w:pPr>
        <w:ind w:left="1840" w:hanging="360"/>
      </w:pPr>
      <w:rPr>
        <w:rFonts w:hint="eastAsia" w:ascii="仿宋_GB2312" w:hAnsi="仿宋" w:eastAsia="仿宋_GB2312" w:cs="Times New Roman"/>
      </w:rPr>
    </w:lvl>
    <w:lvl w:ilvl="3" w:tentative="0">
      <w:start w:val="1"/>
      <w:numFmt w:val="decimal"/>
      <w:lvlText w:val="%4."/>
      <w:lvlJc w:val="left"/>
      <w:pPr>
        <w:ind w:left="2440" w:hanging="480"/>
      </w:pPr>
    </w:lvl>
    <w:lvl w:ilvl="4" w:tentative="0">
      <w:start w:val="1"/>
      <w:numFmt w:val="lowerLetter"/>
      <w:lvlText w:val="%5)"/>
      <w:lvlJc w:val="left"/>
      <w:pPr>
        <w:ind w:left="2920" w:hanging="480"/>
      </w:pPr>
    </w:lvl>
    <w:lvl w:ilvl="5" w:tentative="0">
      <w:start w:val="1"/>
      <w:numFmt w:val="lowerRoman"/>
      <w:lvlText w:val="%6."/>
      <w:lvlJc w:val="right"/>
      <w:pPr>
        <w:ind w:left="3400" w:hanging="480"/>
      </w:pPr>
    </w:lvl>
    <w:lvl w:ilvl="6" w:tentative="0">
      <w:start w:val="1"/>
      <w:numFmt w:val="decimal"/>
      <w:lvlText w:val="%7."/>
      <w:lvlJc w:val="left"/>
      <w:pPr>
        <w:ind w:left="3880" w:hanging="480"/>
      </w:pPr>
    </w:lvl>
    <w:lvl w:ilvl="7" w:tentative="0">
      <w:start w:val="1"/>
      <w:numFmt w:val="lowerLetter"/>
      <w:lvlText w:val="%8)"/>
      <w:lvlJc w:val="left"/>
      <w:pPr>
        <w:ind w:left="4360" w:hanging="480"/>
      </w:pPr>
    </w:lvl>
    <w:lvl w:ilvl="8" w:tentative="0">
      <w:start w:val="1"/>
      <w:numFmt w:val="lowerRoman"/>
      <w:lvlText w:val="%9."/>
      <w:lvlJc w:val="right"/>
      <w:pPr>
        <w:ind w:left="4840" w:hanging="480"/>
      </w:pPr>
    </w:lvl>
  </w:abstractNum>
  <w:abstractNum w:abstractNumId="9">
    <w:nsid w:val="340975DF"/>
    <w:multiLevelType w:val="multilevel"/>
    <w:tmpl w:val="340975DF"/>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decimal"/>
      <w:lvlText w:val="%3)"/>
      <w:lvlJc w:val="lef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0">
    <w:nsid w:val="6490299F"/>
    <w:multiLevelType w:val="multilevel"/>
    <w:tmpl w:val="6490299F"/>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num w:numId="1">
    <w:abstractNumId w:val="7"/>
  </w:num>
  <w:num w:numId="2">
    <w:abstractNumId w:val="0"/>
  </w:num>
  <w:num w:numId="3">
    <w:abstractNumId w:val="5"/>
  </w:num>
  <w:num w:numId="4">
    <w:abstractNumId w:val="8"/>
  </w:num>
  <w:num w:numId="5">
    <w:abstractNumId w:val="6"/>
  </w:num>
  <w:num w:numId="6">
    <w:abstractNumId w:val="4"/>
  </w:num>
  <w:num w:numId="7">
    <w:abstractNumId w:val="10"/>
  </w:num>
  <w:num w:numId="8">
    <w:abstractNumId w:val="2"/>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4"/>
  <w:drawingGridHorizontalSpacing w:val="105"/>
  <w:drawingGridVerticalSpacing w:val="143"/>
  <w:displayHorizontalDrawingGridEvery w:val="1"/>
  <w:displayVerticalDrawingGridEvery w:val="1"/>
  <w:noPunctuationKerning w:val="1"/>
  <w:characterSpacingControl w:val="compressPunctuation"/>
  <w:hdrShapeDefaults>
    <o:shapelayout v:ext="edit">
      <o:idmap v:ext="edit" data="2"/>
      <o:rules v:ext="edit">
        <o:r id="V:Rule1" type="connector" idref="#自选图形 39"/>
        <o:r id="V:Rule2" type="connector" idref="#自选图形 9"/>
        <o:r id="V:Rule3" type="connector" idref="#自选图形 10"/>
        <o:r id="V:Rule4" type="connector" idref="#自选图形 29"/>
      </o:rules>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CB7CFF"/>
    <w:rsid w:val="09602CB8"/>
    <w:rsid w:val="0B906E76"/>
    <w:rsid w:val="0D6505F8"/>
    <w:rsid w:val="18831465"/>
    <w:rsid w:val="1A3713C8"/>
    <w:rsid w:val="1F1D1F5F"/>
    <w:rsid w:val="1F9F6EE0"/>
    <w:rsid w:val="1FA263E4"/>
    <w:rsid w:val="21B027C0"/>
    <w:rsid w:val="222E55A0"/>
    <w:rsid w:val="25830F39"/>
    <w:rsid w:val="26F93EAF"/>
    <w:rsid w:val="27021859"/>
    <w:rsid w:val="28554CD7"/>
    <w:rsid w:val="291554D5"/>
    <w:rsid w:val="29E90260"/>
    <w:rsid w:val="2A0D5DBA"/>
    <w:rsid w:val="2C38460F"/>
    <w:rsid w:val="2DF75D81"/>
    <w:rsid w:val="30A75A0C"/>
    <w:rsid w:val="3171434F"/>
    <w:rsid w:val="31E85304"/>
    <w:rsid w:val="3B5C2A6A"/>
    <w:rsid w:val="3B777624"/>
    <w:rsid w:val="423070EB"/>
    <w:rsid w:val="43477578"/>
    <w:rsid w:val="439C0F5D"/>
    <w:rsid w:val="45954522"/>
    <w:rsid w:val="48076352"/>
    <w:rsid w:val="4B516983"/>
    <w:rsid w:val="4B7F6473"/>
    <w:rsid w:val="4E0E1061"/>
    <w:rsid w:val="4F6F05D5"/>
    <w:rsid w:val="56D67258"/>
    <w:rsid w:val="5ECC40F8"/>
    <w:rsid w:val="5FA67910"/>
    <w:rsid w:val="60A76F61"/>
    <w:rsid w:val="61C617DC"/>
    <w:rsid w:val="6A361827"/>
    <w:rsid w:val="6A7F2623"/>
    <w:rsid w:val="70861B76"/>
    <w:rsid w:val="742164FD"/>
    <w:rsid w:val="765B3DB4"/>
    <w:rsid w:val="7DFA53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99" w:name="Note Heading"/>
    <w:lsdException w:uiPriority="0" w:name="Body Text 2"/>
    <w:lsdException w:uiPriority="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9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06"/>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4"/>
    <w:qFormat/>
    <w:uiPriority w:val="99"/>
    <w:pPr>
      <w:keepNext/>
      <w:keepLines/>
      <w:spacing w:before="260" w:after="260" w:line="416" w:lineRule="auto"/>
      <w:outlineLvl w:val="2"/>
    </w:pPr>
    <w:rPr>
      <w:b/>
      <w:bCs/>
      <w:sz w:val="32"/>
      <w:szCs w:val="32"/>
    </w:rPr>
  </w:style>
  <w:style w:type="paragraph" w:styleId="5">
    <w:name w:val="heading 4"/>
    <w:basedOn w:val="1"/>
    <w:next w:val="1"/>
    <w:link w:val="92"/>
    <w:unhideWhenUsed/>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93"/>
    <w:qFormat/>
    <w:uiPriority w:val="99"/>
    <w:pPr>
      <w:keepNext/>
      <w:keepLines/>
      <w:spacing w:before="280" w:after="290" w:line="376" w:lineRule="auto"/>
      <w:outlineLvl w:val="4"/>
    </w:pPr>
    <w:rPr>
      <w:rFonts w:ascii="Calibri" w:hAnsi="Calibri"/>
      <w:b/>
      <w:bCs/>
      <w:sz w:val="28"/>
      <w:szCs w:val="28"/>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ind w:left="1260"/>
      <w:jc w:val="left"/>
    </w:pPr>
    <w:rPr>
      <w:sz w:val="20"/>
    </w:rPr>
  </w:style>
  <w:style w:type="paragraph" w:styleId="8">
    <w:name w:val="index 8"/>
    <w:basedOn w:val="1"/>
    <w:next w:val="1"/>
    <w:semiHidden/>
    <w:qFormat/>
    <w:uiPriority w:val="99"/>
    <w:pPr>
      <w:ind w:left="1400" w:leftChars="1400"/>
    </w:pPr>
  </w:style>
  <w:style w:type="paragraph" w:styleId="9">
    <w:name w:val="Normal Indent"/>
    <w:basedOn w:val="1"/>
    <w:qFormat/>
    <w:uiPriority w:val="99"/>
    <w:pPr>
      <w:ind w:firstLine="420"/>
    </w:pPr>
  </w:style>
  <w:style w:type="paragraph" w:styleId="10">
    <w:name w:val="index 5"/>
    <w:basedOn w:val="1"/>
    <w:next w:val="1"/>
    <w:semiHidden/>
    <w:qFormat/>
    <w:uiPriority w:val="99"/>
    <w:pPr>
      <w:ind w:left="800" w:leftChars="800"/>
    </w:pPr>
  </w:style>
  <w:style w:type="paragraph" w:styleId="11">
    <w:name w:val="Document Map"/>
    <w:basedOn w:val="1"/>
    <w:link w:val="85"/>
    <w:qFormat/>
    <w:uiPriority w:val="99"/>
    <w:rPr>
      <w:rFonts w:ascii="宋体"/>
      <w:sz w:val="18"/>
      <w:szCs w:val="18"/>
    </w:rPr>
  </w:style>
  <w:style w:type="paragraph" w:styleId="12">
    <w:name w:val="annotation text"/>
    <w:basedOn w:val="1"/>
    <w:link w:val="86"/>
    <w:qFormat/>
    <w:uiPriority w:val="99"/>
    <w:pPr>
      <w:jc w:val="left"/>
    </w:pPr>
  </w:style>
  <w:style w:type="paragraph" w:styleId="13">
    <w:name w:val="index 6"/>
    <w:basedOn w:val="1"/>
    <w:next w:val="1"/>
    <w:semiHidden/>
    <w:qFormat/>
    <w:uiPriority w:val="99"/>
    <w:pPr>
      <w:ind w:left="1000" w:leftChars="1000"/>
    </w:pPr>
  </w:style>
  <w:style w:type="paragraph" w:styleId="14">
    <w:name w:val="Body Text"/>
    <w:basedOn w:val="1"/>
    <w:link w:val="109"/>
    <w:qFormat/>
    <w:uiPriority w:val="99"/>
    <w:rPr>
      <w:spacing w:val="20"/>
      <w:sz w:val="24"/>
      <w:szCs w:val="24"/>
    </w:rPr>
  </w:style>
  <w:style w:type="paragraph" w:styleId="15">
    <w:name w:val="Body Text Indent"/>
    <w:basedOn w:val="1"/>
    <w:link w:val="101"/>
    <w:qFormat/>
    <w:uiPriority w:val="99"/>
    <w:pPr>
      <w:adjustRightInd w:val="0"/>
      <w:spacing w:line="360" w:lineRule="auto"/>
      <w:ind w:firstLine="660"/>
      <w:textAlignment w:val="baseline"/>
    </w:pPr>
    <w:rPr>
      <w:rFonts w:ascii="宋体"/>
      <w:spacing w:val="20"/>
      <w:kern w:val="0"/>
      <w:sz w:val="28"/>
    </w:rPr>
  </w:style>
  <w:style w:type="paragraph" w:styleId="16">
    <w:name w:val="index 4"/>
    <w:basedOn w:val="1"/>
    <w:next w:val="1"/>
    <w:semiHidden/>
    <w:qFormat/>
    <w:uiPriority w:val="99"/>
    <w:pPr>
      <w:ind w:left="600" w:leftChars="600"/>
    </w:pPr>
  </w:style>
  <w:style w:type="paragraph" w:styleId="17">
    <w:name w:val="toc 5"/>
    <w:basedOn w:val="1"/>
    <w:next w:val="1"/>
    <w:qFormat/>
    <w:uiPriority w:val="99"/>
    <w:pPr>
      <w:ind w:left="840"/>
      <w:jc w:val="left"/>
    </w:pPr>
    <w:rPr>
      <w:sz w:val="20"/>
    </w:rPr>
  </w:style>
  <w:style w:type="paragraph" w:styleId="18">
    <w:name w:val="toc 3"/>
    <w:basedOn w:val="1"/>
    <w:next w:val="1"/>
    <w:qFormat/>
    <w:uiPriority w:val="99"/>
    <w:pPr>
      <w:ind w:left="420"/>
      <w:jc w:val="left"/>
    </w:pPr>
    <w:rPr>
      <w:sz w:val="20"/>
    </w:rPr>
  </w:style>
  <w:style w:type="paragraph" w:styleId="19">
    <w:name w:val="Plain Text"/>
    <w:basedOn w:val="1"/>
    <w:link w:val="91"/>
    <w:qFormat/>
    <w:uiPriority w:val="99"/>
    <w:pPr>
      <w:spacing w:line="500" w:lineRule="exact"/>
    </w:pPr>
    <w:rPr>
      <w:rFonts w:ascii="宋体" w:hAnsi="Courier New"/>
    </w:rPr>
  </w:style>
  <w:style w:type="paragraph" w:styleId="20">
    <w:name w:val="toc 8"/>
    <w:basedOn w:val="1"/>
    <w:next w:val="1"/>
    <w:qFormat/>
    <w:uiPriority w:val="99"/>
    <w:pPr>
      <w:ind w:left="1470"/>
      <w:jc w:val="left"/>
    </w:pPr>
    <w:rPr>
      <w:sz w:val="20"/>
    </w:rPr>
  </w:style>
  <w:style w:type="paragraph" w:styleId="21">
    <w:name w:val="index 3"/>
    <w:basedOn w:val="1"/>
    <w:next w:val="1"/>
    <w:semiHidden/>
    <w:qFormat/>
    <w:uiPriority w:val="99"/>
    <w:pPr>
      <w:ind w:left="400" w:leftChars="400"/>
    </w:pPr>
  </w:style>
  <w:style w:type="paragraph" w:styleId="22">
    <w:name w:val="Date"/>
    <w:basedOn w:val="1"/>
    <w:next w:val="1"/>
    <w:link w:val="107"/>
    <w:qFormat/>
    <w:uiPriority w:val="99"/>
    <w:pPr>
      <w:adjustRightInd w:val="0"/>
      <w:spacing w:line="312" w:lineRule="atLeast"/>
      <w:jc w:val="right"/>
      <w:textAlignment w:val="baseline"/>
    </w:pPr>
    <w:rPr>
      <w:rFonts w:ascii="宋体"/>
      <w:spacing w:val="20"/>
      <w:kern w:val="0"/>
      <w:sz w:val="28"/>
    </w:rPr>
  </w:style>
  <w:style w:type="paragraph" w:styleId="23">
    <w:name w:val="Body Text Indent 2"/>
    <w:basedOn w:val="1"/>
    <w:link w:val="98"/>
    <w:qFormat/>
    <w:uiPriority w:val="99"/>
    <w:pPr>
      <w:spacing w:line="360" w:lineRule="auto"/>
      <w:ind w:firstLine="624"/>
    </w:pPr>
    <w:rPr>
      <w:spacing w:val="20"/>
      <w:sz w:val="28"/>
    </w:rPr>
  </w:style>
  <w:style w:type="paragraph" w:styleId="24">
    <w:name w:val="Balloon Text"/>
    <w:basedOn w:val="1"/>
    <w:link w:val="99"/>
    <w:qFormat/>
    <w:uiPriority w:val="99"/>
    <w:rPr>
      <w:sz w:val="18"/>
      <w:szCs w:val="18"/>
    </w:rPr>
  </w:style>
  <w:style w:type="paragraph" w:styleId="25">
    <w:name w:val="footer"/>
    <w:basedOn w:val="1"/>
    <w:link w:val="51"/>
    <w:qFormat/>
    <w:uiPriority w:val="99"/>
    <w:pPr>
      <w:tabs>
        <w:tab w:val="center" w:pos="4153"/>
        <w:tab w:val="right" w:pos="8306"/>
      </w:tabs>
      <w:adjustRightInd w:val="0"/>
      <w:spacing w:line="240" w:lineRule="atLeast"/>
      <w:jc w:val="left"/>
      <w:textAlignment w:val="baseline"/>
    </w:pPr>
    <w:rPr>
      <w:kern w:val="0"/>
      <w:sz w:val="18"/>
    </w:rPr>
  </w:style>
  <w:style w:type="paragraph" w:styleId="26">
    <w:name w:val="header"/>
    <w:basedOn w:val="1"/>
    <w:link w:val="53"/>
    <w:qFormat/>
    <w:uiPriority w:val="99"/>
    <w:pP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28">
    <w:name w:val="toc 4"/>
    <w:basedOn w:val="1"/>
    <w:next w:val="1"/>
    <w:qFormat/>
    <w:uiPriority w:val="99"/>
    <w:pPr>
      <w:ind w:left="630"/>
      <w:jc w:val="left"/>
    </w:pPr>
    <w:rPr>
      <w:sz w:val="20"/>
    </w:rPr>
  </w:style>
  <w:style w:type="paragraph" w:styleId="29">
    <w:name w:val="index heading"/>
    <w:basedOn w:val="1"/>
    <w:next w:val="30"/>
    <w:semiHidden/>
    <w:qFormat/>
    <w:uiPriority w:val="99"/>
  </w:style>
  <w:style w:type="paragraph" w:styleId="30">
    <w:name w:val="index 1"/>
    <w:basedOn w:val="1"/>
    <w:next w:val="1"/>
    <w:semiHidden/>
    <w:qFormat/>
    <w:uiPriority w:val="99"/>
    <w:pPr>
      <w:spacing w:line="360" w:lineRule="auto"/>
      <w:jc w:val="center"/>
    </w:pPr>
    <w:rPr>
      <w:b/>
      <w:bCs/>
      <w:snapToGrid w:val="0"/>
      <w:kern w:val="0"/>
      <w:sz w:val="30"/>
    </w:rPr>
  </w:style>
  <w:style w:type="paragraph" w:styleId="31">
    <w:name w:val="Subtitle"/>
    <w:basedOn w:val="1"/>
    <w:next w:val="1"/>
    <w:link w:val="97"/>
    <w:qFormat/>
    <w:uiPriority w:val="99"/>
    <w:pPr>
      <w:spacing w:before="240" w:after="60" w:line="312" w:lineRule="auto"/>
      <w:jc w:val="center"/>
      <w:outlineLvl w:val="1"/>
    </w:pPr>
    <w:rPr>
      <w:rFonts w:ascii="Cambria" w:hAnsi="Cambria"/>
      <w:b/>
      <w:bCs/>
      <w:kern w:val="28"/>
      <w:sz w:val="32"/>
      <w:szCs w:val="32"/>
    </w:rPr>
  </w:style>
  <w:style w:type="paragraph" w:styleId="32">
    <w:name w:val="toc 6"/>
    <w:basedOn w:val="1"/>
    <w:next w:val="1"/>
    <w:qFormat/>
    <w:uiPriority w:val="99"/>
    <w:pPr>
      <w:ind w:left="1050"/>
      <w:jc w:val="left"/>
    </w:pPr>
    <w:rPr>
      <w:sz w:val="20"/>
    </w:rPr>
  </w:style>
  <w:style w:type="paragraph" w:styleId="33">
    <w:name w:val="Body Text Indent 3"/>
    <w:basedOn w:val="1"/>
    <w:link w:val="108"/>
    <w:qFormat/>
    <w:uiPriority w:val="99"/>
    <w:pPr>
      <w:adjustRightInd w:val="0"/>
      <w:spacing w:line="360" w:lineRule="auto"/>
      <w:ind w:firstLine="660"/>
      <w:jc w:val="left"/>
      <w:textAlignment w:val="baseline"/>
    </w:pPr>
    <w:rPr>
      <w:rFonts w:ascii="宋体"/>
      <w:spacing w:val="20"/>
      <w:kern w:val="0"/>
      <w:sz w:val="28"/>
    </w:rPr>
  </w:style>
  <w:style w:type="paragraph" w:styleId="34">
    <w:name w:val="index 7"/>
    <w:basedOn w:val="1"/>
    <w:next w:val="1"/>
    <w:semiHidden/>
    <w:qFormat/>
    <w:uiPriority w:val="99"/>
    <w:pPr>
      <w:ind w:left="1200" w:leftChars="1200"/>
    </w:pPr>
  </w:style>
  <w:style w:type="paragraph" w:styleId="35">
    <w:name w:val="index 9"/>
    <w:basedOn w:val="1"/>
    <w:next w:val="1"/>
    <w:semiHidden/>
    <w:qFormat/>
    <w:uiPriority w:val="99"/>
    <w:pPr>
      <w:ind w:left="1600" w:leftChars="1600"/>
    </w:pPr>
  </w:style>
  <w:style w:type="paragraph" w:styleId="36">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7">
    <w:name w:val="toc 9"/>
    <w:basedOn w:val="1"/>
    <w:next w:val="1"/>
    <w:qFormat/>
    <w:uiPriority w:val="99"/>
    <w:pPr>
      <w:ind w:left="1680"/>
      <w:jc w:val="left"/>
    </w:pPr>
    <w:rPr>
      <w:sz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39">
    <w:name w:val="index 2"/>
    <w:basedOn w:val="1"/>
    <w:next w:val="1"/>
    <w:semiHidden/>
    <w:qFormat/>
    <w:uiPriority w:val="99"/>
    <w:pPr>
      <w:ind w:left="200" w:leftChars="200"/>
    </w:pPr>
  </w:style>
  <w:style w:type="paragraph" w:styleId="40">
    <w:name w:val="Title"/>
    <w:basedOn w:val="1"/>
    <w:next w:val="1"/>
    <w:link w:val="164"/>
    <w:qFormat/>
    <w:uiPriority w:val="0"/>
    <w:pPr>
      <w:spacing w:before="240" w:after="60"/>
      <w:jc w:val="center"/>
      <w:outlineLvl w:val="0"/>
    </w:pPr>
    <w:rPr>
      <w:rFonts w:asciiTheme="majorHAnsi" w:hAnsiTheme="majorHAnsi" w:cstheme="majorBidi"/>
      <w:b/>
      <w:bCs/>
      <w:sz w:val="32"/>
      <w:szCs w:val="32"/>
    </w:rPr>
  </w:style>
  <w:style w:type="paragraph" w:styleId="41">
    <w:name w:val="annotation subject"/>
    <w:basedOn w:val="12"/>
    <w:next w:val="12"/>
    <w:link w:val="87"/>
    <w:qFormat/>
    <w:uiPriority w:val="99"/>
    <w:rPr>
      <w:b/>
      <w:bCs/>
    </w:rPr>
  </w:style>
  <w:style w:type="table" w:styleId="43">
    <w:name w:val="Table Grid"/>
    <w:basedOn w:val="4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44">
    <w:name w:val="Table Theme"/>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99"/>
    <w:rPr>
      <w:b/>
      <w:bCs/>
    </w:rPr>
  </w:style>
  <w:style w:type="character" w:styleId="47">
    <w:name w:val="page number"/>
    <w:basedOn w:val="45"/>
    <w:qFormat/>
    <w:uiPriority w:val="99"/>
    <w:rPr>
      <w:rFonts w:hint="default" w:ascii="Times New Roman" w:hAnsi="Times New Roman" w:eastAsia="宋体" w:cs="Times New Roman"/>
    </w:rPr>
  </w:style>
  <w:style w:type="character" w:styleId="48">
    <w:name w:val="FollowedHyperlink"/>
    <w:basedOn w:val="45"/>
    <w:qFormat/>
    <w:uiPriority w:val="99"/>
    <w:rPr>
      <w:color w:val="800080"/>
      <w:u w:val="single"/>
    </w:rPr>
  </w:style>
  <w:style w:type="character" w:styleId="49">
    <w:name w:val="Hyperlink"/>
    <w:basedOn w:val="45"/>
    <w:qFormat/>
    <w:uiPriority w:val="99"/>
    <w:rPr>
      <w:color w:val="0000FF"/>
      <w:u w:val="single"/>
    </w:rPr>
  </w:style>
  <w:style w:type="character" w:styleId="50">
    <w:name w:val="annotation reference"/>
    <w:basedOn w:val="45"/>
    <w:qFormat/>
    <w:uiPriority w:val="99"/>
    <w:rPr>
      <w:sz w:val="21"/>
      <w:szCs w:val="21"/>
    </w:rPr>
  </w:style>
  <w:style w:type="character" w:customStyle="1" w:styleId="51">
    <w:name w:val="页脚 Char"/>
    <w:basedOn w:val="45"/>
    <w:link w:val="25"/>
    <w:qFormat/>
    <w:uiPriority w:val="99"/>
    <w:rPr>
      <w:sz w:val="18"/>
    </w:rPr>
  </w:style>
  <w:style w:type="paragraph" w:customStyle="1" w:styleId="52">
    <w:name w:val="样式2"/>
    <w:basedOn w:val="26"/>
    <w:qFormat/>
    <w:uiPriority w:val="0"/>
    <w:pPr>
      <w:pBdr>
        <w:bottom w:val="single" w:color="auto" w:sz="4" w:space="1"/>
      </w:pBdr>
      <w:jc w:val="both"/>
    </w:pPr>
    <w:rPr>
      <w:rFonts w:ascii="宋体"/>
      <w:u w:val="single"/>
    </w:rPr>
  </w:style>
  <w:style w:type="character" w:customStyle="1" w:styleId="53">
    <w:name w:val="页眉 Char"/>
    <w:link w:val="26"/>
    <w:qFormat/>
    <w:uiPriority w:val="99"/>
    <w:rPr>
      <w:kern w:val="2"/>
      <w:sz w:val="18"/>
      <w:szCs w:val="18"/>
    </w:rPr>
  </w:style>
  <w:style w:type="paragraph" w:customStyle="1" w:styleId="54">
    <w:name w:val="font5"/>
    <w:basedOn w:val="1"/>
    <w:qFormat/>
    <w:uiPriority w:val="99"/>
    <w:pPr>
      <w:widowControl/>
      <w:spacing w:before="100" w:beforeAutospacing="1" w:after="100" w:afterAutospacing="1"/>
      <w:jc w:val="left"/>
    </w:pPr>
    <w:rPr>
      <w:rFonts w:hint="eastAsia" w:ascii="宋体" w:hAnsi="宋体" w:cs="Arial Unicode MS"/>
      <w:kern w:val="0"/>
      <w:sz w:val="18"/>
      <w:szCs w:val="18"/>
    </w:rPr>
  </w:style>
  <w:style w:type="paragraph" w:customStyle="1" w:styleId="55">
    <w:name w:val="font6"/>
    <w:basedOn w:val="1"/>
    <w:qFormat/>
    <w:uiPriority w:val="99"/>
    <w:pPr>
      <w:widowControl/>
      <w:spacing w:before="100" w:beforeAutospacing="1" w:after="100" w:afterAutospacing="1"/>
      <w:jc w:val="left"/>
    </w:pPr>
    <w:rPr>
      <w:rFonts w:eastAsia="Arial Unicode MS"/>
      <w:kern w:val="0"/>
      <w:sz w:val="18"/>
      <w:szCs w:val="18"/>
    </w:rPr>
  </w:style>
  <w:style w:type="paragraph" w:customStyle="1" w:styleId="56">
    <w:name w:val="font7"/>
    <w:basedOn w:val="1"/>
    <w:qFormat/>
    <w:uiPriority w:val="99"/>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7">
    <w:name w:val="font8"/>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8">
    <w:name w:val="font9"/>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9">
    <w:name w:val="font10"/>
    <w:basedOn w:val="1"/>
    <w:qFormat/>
    <w:uiPriority w:val="99"/>
    <w:pPr>
      <w:widowControl/>
      <w:spacing w:before="100" w:beforeAutospacing="1" w:after="100" w:afterAutospacing="1"/>
      <w:jc w:val="left"/>
    </w:pPr>
    <w:rPr>
      <w:rFonts w:eastAsia="Arial Unicode MS"/>
      <w:color w:val="000000"/>
      <w:kern w:val="0"/>
      <w:sz w:val="18"/>
      <w:szCs w:val="18"/>
    </w:rPr>
  </w:style>
  <w:style w:type="paragraph" w:customStyle="1" w:styleId="60">
    <w:name w:val="font11"/>
    <w:basedOn w:val="1"/>
    <w:qFormat/>
    <w:uiPriority w:val="99"/>
    <w:pPr>
      <w:widowControl/>
      <w:spacing w:before="100" w:beforeAutospacing="1" w:after="100" w:afterAutospacing="1"/>
      <w:jc w:val="left"/>
    </w:pPr>
    <w:rPr>
      <w:rFonts w:eastAsia="Arial Unicode MS"/>
      <w:kern w:val="0"/>
      <w:sz w:val="16"/>
      <w:szCs w:val="16"/>
    </w:rPr>
  </w:style>
  <w:style w:type="paragraph" w:customStyle="1" w:styleId="61">
    <w:name w:val="xl2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2">
    <w:name w:val="xl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4">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5">
    <w:name w:val="xl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6">
    <w:name w:val="xl29"/>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7">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8">
    <w:name w:val="xl3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9">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1">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2">
    <w:name w:val="xl3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3">
    <w:name w:val="xl36"/>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4">
    <w:name w:val="xl3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5">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6">
    <w:name w:val="xl39"/>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7">
    <w:name w:val="font1"/>
    <w:basedOn w:val="1"/>
    <w:qFormat/>
    <w:uiPriority w:val="99"/>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78">
    <w:name w:val="xl4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79">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80">
    <w:name w:val="Char1 Char Char Char11"/>
    <w:basedOn w:val="1"/>
    <w:qFormat/>
    <w:uiPriority w:val="99"/>
    <w:pPr>
      <w:widowControl/>
      <w:spacing w:after="160" w:line="240" w:lineRule="exact"/>
      <w:jc w:val="left"/>
    </w:pPr>
    <w:rPr>
      <w:rFonts w:ascii="Tahoma" w:hAnsi="Tahoma"/>
      <w:kern w:val="0"/>
      <w:sz w:val="24"/>
      <w:szCs w:val="24"/>
      <w:lang w:eastAsia="en-US"/>
    </w:rPr>
  </w:style>
  <w:style w:type="character" w:customStyle="1" w:styleId="81">
    <w:name w:val="short_text1"/>
    <w:basedOn w:val="45"/>
    <w:qFormat/>
    <w:uiPriority w:val="99"/>
    <w:rPr>
      <w:sz w:val="29"/>
      <w:szCs w:val="29"/>
    </w:rPr>
  </w:style>
  <w:style w:type="paragraph" w:customStyle="1" w:styleId="82">
    <w:name w:val="Default"/>
    <w:qFormat/>
    <w:uiPriority w:val="99"/>
    <w:pPr>
      <w:widowControl w:val="0"/>
      <w:autoSpaceDE w:val="0"/>
      <w:autoSpaceDN w:val="0"/>
      <w:adjustRightInd w:val="0"/>
      <w:spacing w:after="200" w:line="276" w:lineRule="auto"/>
    </w:pPr>
    <w:rPr>
      <w:rFonts w:ascii="楷体_GB2312" w:hAnsi="Times New Roman" w:eastAsia="楷体_GB2312" w:cs="楷体_GB2312"/>
      <w:color w:val="000000"/>
      <w:sz w:val="24"/>
      <w:szCs w:val="24"/>
      <w:lang w:val="en-US" w:eastAsia="zh-CN" w:bidi="ar-SA"/>
    </w:rPr>
  </w:style>
  <w:style w:type="character" w:customStyle="1" w:styleId="83">
    <w:name w:val="apple-style-span"/>
    <w:basedOn w:val="45"/>
    <w:qFormat/>
    <w:uiPriority w:val="99"/>
  </w:style>
  <w:style w:type="character" w:customStyle="1" w:styleId="84">
    <w:name w:val="apple-converted-space"/>
    <w:basedOn w:val="45"/>
    <w:qFormat/>
    <w:uiPriority w:val="99"/>
  </w:style>
  <w:style w:type="character" w:customStyle="1" w:styleId="85">
    <w:name w:val="文档结构图 Char"/>
    <w:basedOn w:val="45"/>
    <w:link w:val="11"/>
    <w:qFormat/>
    <w:uiPriority w:val="99"/>
    <w:rPr>
      <w:rFonts w:ascii="宋体"/>
      <w:kern w:val="2"/>
      <w:sz w:val="18"/>
      <w:szCs w:val="18"/>
    </w:rPr>
  </w:style>
  <w:style w:type="character" w:customStyle="1" w:styleId="86">
    <w:name w:val="批注文字 Char"/>
    <w:basedOn w:val="45"/>
    <w:link w:val="12"/>
    <w:qFormat/>
    <w:uiPriority w:val="99"/>
    <w:rPr>
      <w:kern w:val="2"/>
      <w:sz w:val="21"/>
    </w:rPr>
  </w:style>
  <w:style w:type="character" w:customStyle="1" w:styleId="87">
    <w:name w:val="批注主题 Char"/>
    <w:basedOn w:val="86"/>
    <w:link w:val="41"/>
    <w:qFormat/>
    <w:uiPriority w:val="99"/>
    <w:rPr>
      <w:b/>
      <w:bCs/>
      <w:kern w:val="2"/>
      <w:sz w:val="21"/>
    </w:rPr>
  </w:style>
  <w:style w:type="paragraph" w:customStyle="1" w:styleId="88">
    <w:name w:val="Char1"/>
    <w:basedOn w:val="1"/>
    <w:qFormat/>
    <w:uiPriority w:val="0"/>
    <w:pPr>
      <w:widowControl/>
      <w:spacing w:after="160" w:line="240" w:lineRule="exact"/>
      <w:jc w:val="left"/>
    </w:pPr>
    <w:rPr>
      <w:rFonts w:ascii="Verdana" w:hAnsi="Verdana"/>
      <w:kern w:val="0"/>
      <w:sz w:val="20"/>
      <w:lang w:eastAsia="en-US"/>
    </w:rPr>
  </w:style>
  <w:style w:type="paragraph" w:styleId="89">
    <w:name w:val="List Paragraph"/>
    <w:basedOn w:val="1"/>
    <w:qFormat/>
    <w:uiPriority w:val="34"/>
    <w:pPr>
      <w:ind w:firstLine="420" w:firstLineChars="200"/>
    </w:pPr>
    <w:rPr>
      <w:szCs w:val="24"/>
    </w:rPr>
  </w:style>
  <w:style w:type="paragraph" w:customStyle="1" w:styleId="90">
    <w:name w:val="Char"/>
    <w:basedOn w:val="1"/>
    <w:qFormat/>
    <w:uiPriority w:val="99"/>
    <w:rPr>
      <w:szCs w:val="24"/>
    </w:rPr>
  </w:style>
  <w:style w:type="character" w:customStyle="1" w:styleId="91">
    <w:name w:val="纯文本 Char"/>
    <w:link w:val="19"/>
    <w:qFormat/>
    <w:uiPriority w:val="99"/>
    <w:rPr>
      <w:rFonts w:ascii="宋体" w:hAnsi="Courier New"/>
      <w:kern w:val="2"/>
      <w:sz w:val="21"/>
    </w:rPr>
  </w:style>
  <w:style w:type="character" w:customStyle="1" w:styleId="92">
    <w:name w:val="标题 4 Char"/>
    <w:basedOn w:val="45"/>
    <w:link w:val="5"/>
    <w:qFormat/>
    <w:uiPriority w:val="99"/>
    <w:rPr>
      <w:rFonts w:ascii="Cambria" w:hAnsi="Cambria"/>
      <w:b/>
      <w:bCs/>
      <w:kern w:val="2"/>
      <w:sz w:val="28"/>
      <w:szCs w:val="28"/>
    </w:rPr>
  </w:style>
  <w:style w:type="character" w:customStyle="1" w:styleId="93">
    <w:name w:val="标题 5 Char"/>
    <w:basedOn w:val="45"/>
    <w:link w:val="6"/>
    <w:qFormat/>
    <w:uiPriority w:val="99"/>
    <w:rPr>
      <w:rFonts w:ascii="Calibri" w:hAnsi="Calibri"/>
      <w:b/>
      <w:bCs/>
      <w:kern w:val="2"/>
      <w:sz w:val="28"/>
      <w:szCs w:val="28"/>
    </w:rPr>
  </w:style>
  <w:style w:type="paragraph" w:customStyle="1" w:styleId="94">
    <w:name w:val="Char Char Char Char Char Char"/>
    <w:basedOn w:val="1"/>
    <w:qFormat/>
    <w:uiPriority w:val="99"/>
    <w:pPr>
      <w:widowControl/>
      <w:spacing w:after="160" w:line="240" w:lineRule="exact"/>
      <w:jc w:val="left"/>
    </w:pPr>
    <w:rPr>
      <w:rFonts w:ascii="Verdana" w:hAnsi="Verdana" w:cs="Verdana"/>
      <w:kern w:val="0"/>
      <w:sz w:val="20"/>
      <w:lang w:eastAsia="en-US"/>
    </w:rPr>
  </w:style>
  <w:style w:type="paragraph" w:customStyle="1" w:styleId="9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96">
    <w:name w:val="标题 1 Char"/>
    <w:link w:val="2"/>
    <w:qFormat/>
    <w:uiPriority w:val="99"/>
    <w:rPr>
      <w:b/>
      <w:bCs/>
      <w:kern w:val="44"/>
      <w:sz w:val="44"/>
      <w:szCs w:val="44"/>
    </w:rPr>
  </w:style>
  <w:style w:type="character" w:customStyle="1" w:styleId="97">
    <w:name w:val="副标题 Char"/>
    <w:basedOn w:val="45"/>
    <w:link w:val="31"/>
    <w:qFormat/>
    <w:uiPriority w:val="99"/>
    <w:rPr>
      <w:rFonts w:ascii="Cambria" w:hAnsi="Cambria"/>
      <w:b/>
      <w:bCs/>
      <w:kern w:val="28"/>
      <w:sz w:val="32"/>
      <w:szCs w:val="32"/>
    </w:rPr>
  </w:style>
  <w:style w:type="character" w:customStyle="1" w:styleId="98">
    <w:name w:val="正文文本缩进 2 Char"/>
    <w:link w:val="23"/>
    <w:qFormat/>
    <w:uiPriority w:val="99"/>
    <w:rPr>
      <w:spacing w:val="20"/>
      <w:kern w:val="2"/>
      <w:sz w:val="28"/>
    </w:rPr>
  </w:style>
  <w:style w:type="character" w:customStyle="1" w:styleId="99">
    <w:name w:val="批注框文本 Char"/>
    <w:link w:val="24"/>
    <w:qFormat/>
    <w:uiPriority w:val="99"/>
    <w:rPr>
      <w:kern w:val="2"/>
      <w:sz w:val="18"/>
      <w:szCs w:val="18"/>
    </w:rPr>
  </w:style>
  <w:style w:type="paragraph" w:customStyle="1" w:styleId="100">
    <w:name w:val="默认段落字体 Para Char Char Char Char Char Char Char"/>
    <w:basedOn w:val="1"/>
    <w:qFormat/>
    <w:uiPriority w:val="99"/>
    <w:rPr>
      <w:rFonts w:ascii="Tahoma" w:hAnsi="Tahoma"/>
      <w:sz w:val="24"/>
    </w:rPr>
  </w:style>
  <w:style w:type="character" w:customStyle="1" w:styleId="101">
    <w:name w:val="正文文本缩进 Char"/>
    <w:link w:val="15"/>
    <w:qFormat/>
    <w:uiPriority w:val="99"/>
    <w:rPr>
      <w:rFonts w:ascii="宋体"/>
      <w:spacing w:val="20"/>
      <w:sz w:val="28"/>
    </w:rPr>
  </w:style>
  <w:style w:type="paragraph" w:customStyle="1" w:styleId="102">
    <w:name w:val="修订1"/>
    <w:hidden/>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103">
    <w:name w:val="正文文本缩进 21"/>
    <w:basedOn w:val="1"/>
    <w:qFormat/>
    <w:uiPriority w:val="0"/>
    <w:pPr>
      <w:spacing w:after="120" w:line="480" w:lineRule="auto"/>
      <w:ind w:left="420" w:leftChars="200"/>
    </w:pPr>
  </w:style>
  <w:style w:type="character" w:customStyle="1" w:styleId="104">
    <w:name w:val="标题 3 Char"/>
    <w:link w:val="4"/>
    <w:qFormat/>
    <w:uiPriority w:val="99"/>
    <w:rPr>
      <w:b/>
      <w:bCs/>
      <w:kern w:val="2"/>
      <w:sz w:val="32"/>
      <w:szCs w:val="32"/>
    </w:rPr>
  </w:style>
  <w:style w:type="paragraph" w:customStyle="1" w:styleId="105">
    <w:name w:val="样式1"/>
    <w:basedOn w:val="1"/>
    <w:qFormat/>
    <w:uiPriority w:val="0"/>
    <w:pPr>
      <w:spacing w:line="360" w:lineRule="auto"/>
      <w:ind w:firstLine="360" w:firstLineChars="150"/>
    </w:pPr>
    <w:rPr>
      <w:rFonts w:ascii="仿宋_GB2312" w:hAnsi="宋体" w:eastAsia="仿宋_GB2312"/>
      <w:sz w:val="24"/>
      <w:szCs w:val="24"/>
    </w:rPr>
  </w:style>
  <w:style w:type="character" w:customStyle="1" w:styleId="106">
    <w:name w:val="标题 2 Char"/>
    <w:link w:val="3"/>
    <w:qFormat/>
    <w:uiPriority w:val="99"/>
    <w:rPr>
      <w:rFonts w:ascii="Arial" w:hAnsi="Arial" w:eastAsia="黑体"/>
      <w:b/>
      <w:bCs/>
      <w:kern w:val="2"/>
      <w:sz w:val="32"/>
      <w:szCs w:val="32"/>
    </w:rPr>
  </w:style>
  <w:style w:type="character" w:customStyle="1" w:styleId="107">
    <w:name w:val="日期 Char"/>
    <w:link w:val="22"/>
    <w:qFormat/>
    <w:uiPriority w:val="99"/>
    <w:rPr>
      <w:rFonts w:ascii="宋体"/>
      <w:spacing w:val="20"/>
      <w:sz w:val="28"/>
    </w:rPr>
  </w:style>
  <w:style w:type="character" w:customStyle="1" w:styleId="108">
    <w:name w:val="正文文本缩进 3 Char"/>
    <w:link w:val="33"/>
    <w:qFormat/>
    <w:uiPriority w:val="99"/>
    <w:rPr>
      <w:rFonts w:ascii="宋体"/>
      <w:spacing w:val="20"/>
      <w:sz w:val="28"/>
    </w:rPr>
  </w:style>
  <w:style w:type="character" w:customStyle="1" w:styleId="109">
    <w:name w:val="正文文本 Char"/>
    <w:link w:val="14"/>
    <w:qFormat/>
    <w:uiPriority w:val="99"/>
    <w:rPr>
      <w:spacing w:val="20"/>
      <w:kern w:val="2"/>
      <w:sz w:val="24"/>
      <w:szCs w:val="24"/>
    </w:rPr>
  </w:style>
  <w:style w:type="paragraph" w:customStyle="1" w:styleId="110">
    <w:name w:val="font12"/>
    <w:basedOn w:val="1"/>
    <w:qFormat/>
    <w:uiPriority w:val="99"/>
    <w:pPr>
      <w:widowControl/>
      <w:spacing w:before="100" w:beforeAutospacing="1" w:after="100" w:afterAutospacing="1"/>
      <w:jc w:val="left"/>
    </w:pPr>
    <w:rPr>
      <w:b/>
      <w:bCs/>
      <w:color w:val="000000"/>
      <w:kern w:val="0"/>
      <w:sz w:val="18"/>
      <w:szCs w:val="18"/>
    </w:rPr>
  </w:style>
  <w:style w:type="character" w:customStyle="1" w:styleId="111">
    <w:name w:val="unnamed11"/>
    <w:qFormat/>
    <w:uiPriority w:val="99"/>
    <w:rPr>
      <w:rFonts w:hint="eastAsia" w:ascii="宋体" w:hAnsi="宋体" w:eastAsia="宋体"/>
      <w:spacing w:val="240"/>
      <w:sz w:val="18"/>
      <w:szCs w:val="18"/>
    </w:rPr>
  </w:style>
  <w:style w:type="character" w:customStyle="1" w:styleId="112">
    <w:name w:val="duanl"/>
    <w:basedOn w:val="45"/>
    <w:qFormat/>
    <w:uiPriority w:val="99"/>
  </w:style>
  <w:style w:type="character" w:customStyle="1" w:styleId="113">
    <w:name w:val="divtxt1"/>
    <w:qFormat/>
    <w:uiPriority w:val="99"/>
    <w:rPr>
      <w:color w:val="000000"/>
      <w:spacing w:val="15"/>
    </w:rPr>
  </w:style>
  <w:style w:type="character" w:customStyle="1" w:styleId="114">
    <w:name w:val="bb1"/>
    <w:qFormat/>
    <w:uiPriority w:val="99"/>
    <w:rPr>
      <w:sz w:val="24"/>
      <w:szCs w:val="24"/>
    </w:rPr>
  </w:style>
  <w:style w:type="paragraph" w:customStyle="1" w:styleId="115">
    <w:name w:val="4"/>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6">
    <w:name w:val="3"/>
    <w:basedOn w:val="1"/>
    <w:next w:val="38"/>
    <w:qFormat/>
    <w:uiPriority w:val="99"/>
    <w:pPr>
      <w:widowControl/>
      <w:spacing w:before="100" w:after="100"/>
      <w:jc w:val="left"/>
    </w:pPr>
    <w:rPr>
      <w:rFonts w:ascii="宋体" w:hAnsi="宋体"/>
      <w:kern w:val="0"/>
      <w:sz w:val="18"/>
    </w:rPr>
  </w:style>
  <w:style w:type="paragraph" w:customStyle="1" w:styleId="117">
    <w:name w:val="2"/>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8">
    <w:name w:val="1"/>
    <w:basedOn w:val="1"/>
    <w:next w:val="38"/>
    <w:qFormat/>
    <w:uiPriority w:val="99"/>
    <w:pPr>
      <w:widowControl/>
      <w:spacing w:before="100" w:after="100"/>
      <w:jc w:val="left"/>
    </w:pPr>
    <w:rPr>
      <w:rFonts w:ascii="宋体" w:hAnsi="宋体"/>
      <w:kern w:val="0"/>
      <w:sz w:val="18"/>
    </w:rPr>
  </w:style>
  <w:style w:type="paragraph" w:customStyle="1" w:styleId="119">
    <w:name w:val="正文 + 宋体"/>
    <w:basedOn w:val="1"/>
    <w:link w:val="120"/>
    <w:qFormat/>
    <w:uiPriority w:val="99"/>
    <w:pPr>
      <w:adjustRightInd w:val="0"/>
      <w:snapToGrid w:val="0"/>
      <w:spacing w:line="360" w:lineRule="auto"/>
      <w:ind w:firstLine="527"/>
    </w:pPr>
    <w:rPr>
      <w:rFonts w:ascii="宋体" w:hAnsi="宋体"/>
      <w:sz w:val="26"/>
    </w:rPr>
  </w:style>
  <w:style w:type="character" w:customStyle="1" w:styleId="120">
    <w:name w:val="正文 + 宋体 Char"/>
    <w:link w:val="119"/>
    <w:qFormat/>
    <w:uiPriority w:val="99"/>
    <w:rPr>
      <w:rFonts w:ascii="宋体" w:hAnsi="宋体"/>
      <w:kern w:val="2"/>
      <w:sz w:val="26"/>
    </w:rPr>
  </w:style>
  <w:style w:type="character" w:customStyle="1" w:styleId="121">
    <w:name w:val="f101"/>
    <w:qFormat/>
    <w:uiPriority w:val="99"/>
    <w:rPr>
      <w:rFonts w:hint="default" w:ascii="Arial" w:hAnsi="Arial" w:cs="Arial"/>
      <w:spacing w:val="480"/>
      <w:sz w:val="18"/>
      <w:szCs w:val="18"/>
    </w:rPr>
  </w:style>
  <w:style w:type="character" w:customStyle="1" w:styleId="122">
    <w:name w:val="f131"/>
    <w:basedOn w:val="45"/>
    <w:qFormat/>
    <w:uiPriority w:val="99"/>
  </w:style>
  <w:style w:type="character" w:customStyle="1" w:styleId="123">
    <w:name w:val="ts2"/>
    <w:qFormat/>
    <w:uiPriority w:val="99"/>
    <w:rPr>
      <w:rFonts w:hint="eastAsia" w:ascii="楷体" w:eastAsia="楷体"/>
      <w:sz w:val="24"/>
      <w:szCs w:val="24"/>
    </w:rPr>
  </w:style>
  <w:style w:type="paragraph" w:customStyle="1" w:styleId="124">
    <w:name w:val="font0"/>
    <w:basedOn w:val="1"/>
    <w:qFormat/>
    <w:uiPriority w:val="99"/>
    <w:pPr>
      <w:widowControl/>
      <w:spacing w:before="100" w:beforeAutospacing="1" w:after="100" w:afterAutospacing="1"/>
      <w:jc w:val="left"/>
    </w:pPr>
    <w:rPr>
      <w:rFonts w:hint="eastAsia" w:ascii="宋体" w:hAnsi="宋体" w:cs="Arial Unicode MS"/>
      <w:kern w:val="0"/>
      <w:sz w:val="24"/>
      <w:szCs w:val="24"/>
    </w:rPr>
  </w:style>
  <w:style w:type="paragraph" w:customStyle="1" w:styleId="125">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6">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7">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rPr>
  </w:style>
  <w:style w:type="character" w:customStyle="1" w:styleId="128">
    <w:name w:val="正文 + 宋体 Char1"/>
    <w:qFormat/>
    <w:uiPriority w:val="99"/>
    <w:rPr>
      <w:rFonts w:eastAsia="宋体"/>
      <w:kern w:val="2"/>
      <w:sz w:val="21"/>
      <w:lang w:val="en-US" w:eastAsia="zh-CN" w:bidi="ar-SA"/>
    </w:rPr>
  </w:style>
  <w:style w:type="paragraph" w:customStyle="1" w:styleId="129">
    <w:name w:val="xl4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0">
    <w:name w:val="xl42"/>
    <w:basedOn w:val="1"/>
    <w:qFormat/>
    <w:uiPriority w:val="99"/>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1">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2">
    <w:name w:val="普通(网站)1"/>
    <w:basedOn w:val="1"/>
    <w:qFormat/>
    <w:uiPriority w:val="99"/>
    <w:pPr>
      <w:widowControl/>
      <w:spacing w:before="100" w:after="100"/>
      <w:jc w:val="left"/>
    </w:pPr>
    <w:rPr>
      <w:rFonts w:ascii="宋体" w:hAnsi="宋体"/>
      <w:kern w:val="0"/>
      <w:sz w:val="18"/>
    </w:rPr>
  </w:style>
  <w:style w:type="paragraph" w:customStyle="1" w:styleId="133">
    <w:name w:val="样式3"/>
    <w:basedOn w:val="1"/>
    <w:qFormat/>
    <w:uiPriority w:val="99"/>
    <w:pPr>
      <w:adjustRightInd w:val="0"/>
      <w:spacing w:line="400" w:lineRule="exact"/>
      <w:ind w:firstLine="737"/>
      <w:jc w:val="left"/>
      <w:textAlignment w:val="baseline"/>
    </w:pPr>
    <w:rPr>
      <w:rFonts w:ascii="仿宋体"/>
      <w:spacing w:val="24"/>
      <w:kern w:val="0"/>
      <w:sz w:val="30"/>
    </w:rPr>
  </w:style>
  <w:style w:type="paragraph" w:customStyle="1" w:styleId="134">
    <w:name w:val="列出段落1"/>
    <w:basedOn w:val="1"/>
    <w:qFormat/>
    <w:uiPriority w:val="99"/>
    <w:pPr>
      <w:ind w:firstLine="420" w:firstLineChars="200"/>
    </w:pPr>
    <w:rPr>
      <w:rFonts w:ascii="Calibri" w:hAnsi="Calibri"/>
      <w:szCs w:val="22"/>
    </w:rPr>
  </w:style>
  <w:style w:type="character" w:customStyle="1" w:styleId="135">
    <w:name w:val="批注引用1"/>
    <w:qFormat/>
    <w:uiPriority w:val="99"/>
    <w:rPr>
      <w:sz w:val="21"/>
      <w:szCs w:val="21"/>
    </w:rPr>
  </w:style>
  <w:style w:type="paragraph" w:customStyle="1" w:styleId="136">
    <w:name w:val="彩色列表 - 强调文字颜色 11"/>
    <w:basedOn w:val="1"/>
    <w:qFormat/>
    <w:uiPriority w:val="99"/>
    <w:pPr>
      <w:ind w:firstLine="420" w:firstLineChars="200"/>
    </w:pPr>
    <w:rPr>
      <w:rFonts w:ascii="Calibri" w:hAnsi="Calibri"/>
      <w:szCs w:val="22"/>
    </w:rPr>
  </w:style>
  <w:style w:type="paragraph" w:customStyle="1" w:styleId="137">
    <w:name w:val="Char111"/>
    <w:basedOn w:val="1"/>
    <w:qFormat/>
    <w:uiPriority w:val="99"/>
    <w:pPr>
      <w:widowControl/>
      <w:spacing w:after="160" w:line="240" w:lineRule="exact"/>
      <w:jc w:val="left"/>
    </w:pPr>
    <w:rPr>
      <w:rFonts w:ascii="Verdana" w:hAnsi="Verdana"/>
      <w:kern w:val="0"/>
      <w:sz w:val="20"/>
      <w:lang w:eastAsia="en-US"/>
    </w:rPr>
  </w:style>
  <w:style w:type="paragraph" w:customStyle="1" w:styleId="138">
    <w:name w:val="正文文本缩进 2111"/>
    <w:basedOn w:val="1"/>
    <w:qFormat/>
    <w:uiPriority w:val="99"/>
    <w:pPr>
      <w:spacing w:after="120" w:line="480" w:lineRule="auto"/>
      <w:ind w:left="420" w:leftChars="200"/>
    </w:pPr>
  </w:style>
  <w:style w:type="paragraph" w:styleId="139">
    <w:name w:val="Quote"/>
    <w:basedOn w:val="1"/>
    <w:next w:val="1"/>
    <w:link w:val="140"/>
    <w:qFormat/>
    <w:uiPriority w:val="29"/>
    <w:rPr>
      <w:i/>
      <w:iCs/>
      <w:color w:val="000000"/>
    </w:rPr>
  </w:style>
  <w:style w:type="character" w:customStyle="1" w:styleId="140">
    <w:name w:val="引用 Char"/>
    <w:basedOn w:val="45"/>
    <w:link w:val="139"/>
    <w:qFormat/>
    <w:uiPriority w:val="99"/>
    <w:rPr>
      <w:i/>
      <w:iCs/>
      <w:color w:val="000000"/>
      <w:kern w:val="2"/>
      <w:sz w:val="21"/>
    </w:rPr>
  </w:style>
  <w:style w:type="paragraph" w:customStyle="1" w:styleId="141">
    <w:name w:val="List Paragraph1"/>
    <w:basedOn w:val="1"/>
    <w:qFormat/>
    <w:uiPriority w:val="99"/>
    <w:pPr>
      <w:ind w:firstLine="420" w:firstLineChars="200"/>
    </w:pPr>
    <w:rPr>
      <w:szCs w:val="24"/>
    </w:rPr>
  </w:style>
  <w:style w:type="character" w:customStyle="1" w:styleId="142">
    <w:name w:val="文档结构图 Char1"/>
    <w:basedOn w:val="45"/>
    <w:semiHidden/>
    <w:qFormat/>
    <w:uiPriority w:val="99"/>
    <w:rPr>
      <w:rFonts w:ascii="宋体" w:hAnsi="Times New Roman" w:eastAsia="宋体" w:cs="Times New Roman"/>
      <w:sz w:val="18"/>
      <w:szCs w:val="18"/>
    </w:rPr>
  </w:style>
  <w:style w:type="character" w:customStyle="1" w:styleId="143">
    <w:name w:val="批注文字 Char1"/>
    <w:basedOn w:val="45"/>
    <w:semiHidden/>
    <w:qFormat/>
    <w:uiPriority w:val="99"/>
    <w:rPr>
      <w:rFonts w:ascii="Times New Roman" w:hAnsi="Times New Roman" w:eastAsia="宋体" w:cs="Times New Roman"/>
      <w:szCs w:val="20"/>
    </w:rPr>
  </w:style>
  <w:style w:type="character" w:customStyle="1" w:styleId="144">
    <w:name w:val="批注主题 Char1"/>
    <w:basedOn w:val="143"/>
    <w:semiHidden/>
    <w:qFormat/>
    <w:uiPriority w:val="99"/>
    <w:rPr>
      <w:b/>
      <w:bCs/>
    </w:rPr>
  </w:style>
  <w:style w:type="character" w:customStyle="1" w:styleId="145">
    <w:name w:val="副标题 Char1"/>
    <w:basedOn w:val="45"/>
    <w:qFormat/>
    <w:uiPriority w:val="11"/>
    <w:rPr>
      <w:rFonts w:eastAsia="宋体" w:asciiTheme="majorHAnsi" w:hAnsiTheme="majorHAnsi" w:cstheme="majorBidi"/>
      <w:b/>
      <w:bCs/>
      <w:kern w:val="28"/>
      <w:sz w:val="32"/>
      <w:szCs w:val="32"/>
    </w:rPr>
  </w:style>
  <w:style w:type="character" w:customStyle="1" w:styleId="146">
    <w:name w:val="批注框文本 Char1"/>
    <w:basedOn w:val="45"/>
    <w:semiHidden/>
    <w:qFormat/>
    <w:uiPriority w:val="99"/>
    <w:rPr>
      <w:rFonts w:ascii="Times New Roman" w:hAnsi="Times New Roman" w:eastAsia="宋体" w:cs="Times New Roman"/>
      <w:sz w:val="18"/>
      <w:szCs w:val="18"/>
    </w:rPr>
  </w:style>
  <w:style w:type="character" w:customStyle="1" w:styleId="147">
    <w:name w:val="正文文本 Char1"/>
    <w:basedOn w:val="45"/>
    <w:semiHidden/>
    <w:qFormat/>
    <w:uiPriority w:val="99"/>
    <w:rPr>
      <w:rFonts w:ascii="Times New Roman" w:hAnsi="Times New Roman" w:eastAsia="宋体" w:cs="Times New Roman"/>
      <w:szCs w:val="20"/>
    </w:rPr>
  </w:style>
  <w:style w:type="character" w:customStyle="1" w:styleId="148">
    <w:name w:val="正文文本缩进 Char1"/>
    <w:basedOn w:val="45"/>
    <w:semiHidden/>
    <w:qFormat/>
    <w:uiPriority w:val="99"/>
    <w:rPr>
      <w:rFonts w:ascii="Times New Roman" w:hAnsi="Times New Roman" w:eastAsia="宋体" w:cs="Times New Roman"/>
      <w:szCs w:val="20"/>
    </w:rPr>
  </w:style>
  <w:style w:type="character" w:customStyle="1" w:styleId="149">
    <w:name w:val="纯文本 Char1"/>
    <w:basedOn w:val="45"/>
    <w:semiHidden/>
    <w:qFormat/>
    <w:uiPriority w:val="99"/>
    <w:rPr>
      <w:rFonts w:ascii="宋体" w:hAnsi="Courier New" w:eastAsia="宋体" w:cs="Courier New"/>
      <w:szCs w:val="21"/>
    </w:rPr>
  </w:style>
  <w:style w:type="character" w:customStyle="1" w:styleId="150">
    <w:name w:val="日期 Char1"/>
    <w:basedOn w:val="45"/>
    <w:semiHidden/>
    <w:qFormat/>
    <w:uiPriority w:val="99"/>
    <w:rPr>
      <w:rFonts w:ascii="Times New Roman" w:hAnsi="Times New Roman" w:eastAsia="宋体" w:cs="Times New Roman"/>
      <w:szCs w:val="20"/>
    </w:rPr>
  </w:style>
  <w:style w:type="character" w:customStyle="1" w:styleId="151">
    <w:name w:val="正文文本缩进 2 Char1"/>
    <w:basedOn w:val="45"/>
    <w:semiHidden/>
    <w:qFormat/>
    <w:uiPriority w:val="99"/>
    <w:rPr>
      <w:rFonts w:ascii="Times New Roman" w:hAnsi="Times New Roman" w:eastAsia="宋体" w:cs="Times New Roman"/>
      <w:szCs w:val="20"/>
    </w:rPr>
  </w:style>
  <w:style w:type="character" w:customStyle="1" w:styleId="152">
    <w:name w:val="正文文本缩进 3 Char1"/>
    <w:basedOn w:val="45"/>
    <w:semiHidden/>
    <w:qFormat/>
    <w:uiPriority w:val="99"/>
    <w:rPr>
      <w:rFonts w:ascii="Times New Roman" w:hAnsi="Times New Roman" w:eastAsia="宋体" w:cs="Times New Roman"/>
      <w:sz w:val="16"/>
      <w:szCs w:val="16"/>
    </w:rPr>
  </w:style>
  <w:style w:type="paragraph" w:customStyle="1" w:styleId="153">
    <w:name w:val="Char1 Char Char Char1"/>
    <w:basedOn w:val="1"/>
    <w:qFormat/>
    <w:uiPriority w:val="99"/>
    <w:pPr>
      <w:widowControl/>
      <w:spacing w:after="160" w:line="240" w:lineRule="exact"/>
      <w:jc w:val="left"/>
    </w:pPr>
    <w:rPr>
      <w:rFonts w:ascii="Tahoma" w:hAnsi="Tahoma"/>
      <w:kern w:val="0"/>
      <w:sz w:val="24"/>
      <w:szCs w:val="24"/>
      <w:lang w:eastAsia="en-US"/>
    </w:rPr>
  </w:style>
  <w:style w:type="paragraph" w:customStyle="1" w:styleId="154">
    <w:name w:val="修订1_0"/>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155">
    <w:name w:val="样式7"/>
    <w:basedOn w:val="26"/>
    <w:qFormat/>
    <w:uiPriority w:val="0"/>
    <w:pPr>
      <w:pBdr>
        <w:bottom w:val="single" w:color="auto" w:sz="4" w:space="1"/>
      </w:pBdr>
      <w:jc w:val="both"/>
    </w:pPr>
    <w:rPr>
      <w:rFonts w:ascii="宋体" w:hAnsi="宋体"/>
      <w:u w:val="single"/>
    </w:rPr>
  </w:style>
  <w:style w:type="paragraph" w:customStyle="1" w:styleId="156">
    <w:name w:val="样式6"/>
    <w:basedOn w:val="26"/>
    <w:qFormat/>
    <w:uiPriority w:val="0"/>
    <w:pPr>
      <w:pBdr>
        <w:bottom w:val="single" w:color="auto" w:sz="4" w:space="1"/>
      </w:pBdr>
      <w:jc w:val="both"/>
    </w:pPr>
    <w:rPr>
      <w:rFonts w:ascii="宋体" w:hAnsi="宋体"/>
      <w:u w:val="single"/>
    </w:rPr>
  </w:style>
  <w:style w:type="paragraph" w:customStyle="1" w:styleId="157">
    <w:name w:val="正文文本缩进 211"/>
    <w:basedOn w:val="1"/>
    <w:qFormat/>
    <w:uiPriority w:val="99"/>
    <w:pPr>
      <w:spacing w:after="120" w:line="480" w:lineRule="auto"/>
      <w:ind w:left="420" w:leftChars="200"/>
    </w:pPr>
  </w:style>
  <w:style w:type="paragraph" w:customStyle="1" w:styleId="158">
    <w:name w:val="样式4"/>
    <w:basedOn w:val="52"/>
    <w:qFormat/>
    <w:uiPriority w:val="0"/>
    <w:pPr>
      <w:pBdr>
        <w:bottom w:val="none" w:color="auto" w:sz="0" w:space="0"/>
      </w:pBdr>
    </w:pPr>
  </w:style>
  <w:style w:type="paragraph" w:customStyle="1" w:styleId="159">
    <w:name w:val="引用1"/>
    <w:basedOn w:val="1"/>
    <w:next w:val="1"/>
    <w:qFormat/>
    <w:uiPriority w:val="99"/>
    <w:rPr>
      <w:rFonts w:asciiTheme="minorHAnsi" w:hAnsiTheme="minorHAnsi" w:eastAsiaTheme="minorEastAsia"/>
      <w:i/>
      <w:iCs/>
      <w:color w:val="000000"/>
      <w:szCs w:val="22"/>
    </w:rPr>
  </w:style>
  <w:style w:type="paragraph" w:customStyle="1" w:styleId="160">
    <w:name w:val="样式5"/>
    <w:basedOn w:val="158"/>
    <w:qFormat/>
    <w:uiPriority w:val="0"/>
    <w:pPr>
      <w:pBdr>
        <w:bottom w:val="single" w:color="auto" w:sz="4" w:space="1"/>
      </w:pBdr>
    </w:pPr>
  </w:style>
  <w:style w:type="paragraph" w:customStyle="1" w:styleId="161">
    <w:name w:val="列出段落11"/>
    <w:basedOn w:val="1"/>
    <w:qFormat/>
    <w:uiPriority w:val="99"/>
    <w:pPr>
      <w:ind w:firstLine="420" w:firstLineChars="200"/>
    </w:pPr>
    <w:rPr>
      <w:rFonts w:ascii="Calibri" w:hAnsi="Calibri"/>
      <w:szCs w:val="22"/>
    </w:rPr>
  </w:style>
  <w:style w:type="paragraph" w:customStyle="1" w:styleId="162">
    <w:name w:val="Char11"/>
    <w:basedOn w:val="1"/>
    <w:qFormat/>
    <w:uiPriority w:val="99"/>
    <w:pPr>
      <w:widowControl/>
      <w:spacing w:after="160" w:line="240" w:lineRule="exact"/>
      <w:jc w:val="left"/>
    </w:pPr>
    <w:rPr>
      <w:rFonts w:ascii="Verdana" w:hAnsi="Verdana"/>
      <w:kern w:val="0"/>
      <w:sz w:val="20"/>
      <w:lang w:eastAsia="en-US"/>
    </w:rPr>
  </w:style>
  <w:style w:type="character" w:customStyle="1" w:styleId="163">
    <w:name w:val="引用 Char1"/>
    <w:basedOn w:val="45"/>
    <w:qFormat/>
    <w:uiPriority w:val="99"/>
    <w:rPr>
      <w:rFonts w:ascii="Times New Roman" w:hAnsi="Times New Roman" w:eastAsia="宋体" w:cs="Times New Roman"/>
      <w:i/>
      <w:iCs/>
      <w:color w:val="000000"/>
      <w:szCs w:val="20"/>
    </w:rPr>
  </w:style>
  <w:style w:type="character" w:customStyle="1" w:styleId="164">
    <w:name w:val="标题 Char"/>
    <w:basedOn w:val="45"/>
    <w:link w:val="40"/>
    <w:qFormat/>
    <w:uiPriority w:val="0"/>
    <w:rPr>
      <w:rFonts w:asciiTheme="majorHAnsi" w:hAnsiTheme="majorHAnsi" w:cstheme="majorBidi"/>
      <w:b/>
      <w:bCs/>
      <w:kern w:val="2"/>
      <w:sz w:val="32"/>
      <w:szCs w:val="32"/>
    </w:rPr>
  </w:style>
  <w:style w:type="paragraph" w:customStyle="1" w:styleId="165">
    <w:name w:val="msolist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oleObject" Target="embeddings/oleObject2.bin"/><Relationship Id="rId22" Type="http://schemas.openxmlformats.org/officeDocument/2006/relationships/image" Target="media/image5.wmf"/><Relationship Id="rId21" Type="http://schemas.openxmlformats.org/officeDocument/2006/relationships/oleObject" Target="embeddings/oleObject1.bin"/><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2"/>
    <customShpInfo spid="_x0000_s2053"/>
    <customShpInfo spid="_x0000_s2054"/>
    <customShpInfo spid="_x0000_s2055"/>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2A2E3-3E33-46DF-A1AB-7572880CCE78}">
  <ds:schemaRefs/>
</ds:datastoreItem>
</file>

<file path=docProps/app.xml><?xml version="1.0" encoding="utf-8"?>
<Properties xmlns="http://schemas.openxmlformats.org/officeDocument/2006/extended-properties" xmlns:vt="http://schemas.openxmlformats.org/officeDocument/2006/docPropsVTypes">
  <Template>Normal.dotm</Template>
  <Company>hengtong</Company>
  <Pages>50</Pages>
  <Words>4187</Words>
  <Characters>23870</Characters>
  <Lines>198</Lines>
  <Paragraphs>56</Paragraphs>
  <TotalTime>2</TotalTime>
  <ScaleCrop>false</ScaleCrop>
  <LinksUpToDate>false</LinksUpToDate>
  <CharactersWithSpaces>28001</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2019-04-09T09:01:00Z</dcterms:created>
  <dc:creator>yu</dc:creator>
  <cp:lastModifiedBy>瑜儿</cp:lastModifiedBy>
  <cp:lastPrinted>2019-07-18T03:43:00Z</cp:lastPrinted>
  <dcterms:modified xsi:type="dcterms:W3CDTF">2019-12-10T00:53:31Z</dcterms:modified>
  <dc:title>致 委 托 方 函</dc:title>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