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00" w:lineRule="exact"/>
        <w:ind w:left="-1" w:leftChars="-171" w:hanging="358" w:hangingChars="112"/>
        <w:rPr>
          <w:rFonts w:hint="eastAsia" w:ascii="楷体" w:hAnsi="楷体" w:eastAsia="楷体"/>
          <w:sz w:val="44"/>
          <w:szCs w:val="44"/>
        </w:rPr>
      </w:pPr>
      <w:bookmarkStart w:id="0" w:name="_Toc11858"/>
      <w:r>
        <w:rPr>
          <w:rFonts w:ascii="宋体" w:hAnsi="宋体"/>
          <w:sz w:val="32"/>
          <w:szCs w:val="32"/>
        </w:rPr>
        <w:drawing>
          <wp:anchor distT="0" distB="0" distL="114300" distR="114300" simplePos="0" relativeHeight="251664384" behindDoc="0" locked="0" layoutInCell="1" allowOverlap="1">
            <wp:simplePos x="0" y="0"/>
            <wp:positionH relativeFrom="column">
              <wp:posOffset>-371475</wp:posOffset>
            </wp:positionH>
            <wp:positionV relativeFrom="paragraph">
              <wp:posOffset>-128270</wp:posOffset>
            </wp:positionV>
            <wp:extent cx="455930" cy="452120"/>
            <wp:effectExtent l="0" t="0" r="1270" b="5080"/>
            <wp:wrapSquare wrapText="bothSides"/>
            <wp:docPr id="7" name="图片 7" descr="图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标"/>
                    <pic:cNvPicPr>
                      <a:picLocks noChangeAspect="1"/>
                    </pic:cNvPicPr>
                  </pic:nvPicPr>
                  <pic:blipFill>
                    <a:blip r:embed="rId13"/>
                    <a:stretch>
                      <a:fillRect/>
                    </a:stretch>
                  </pic:blipFill>
                  <pic:spPr>
                    <a:xfrm>
                      <a:off x="0" y="0"/>
                      <a:ext cx="455930" cy="452120"/>
                    </a:xfrm>
                    <a:prstGeom prst="rect">
                      <a:avLst/>
                    </a:prstGeom>
                    <a:noFill/>
                    <a:ln>
                      <a:noFill/>
                    </a:ln>
                  </pic:spPr>
                </pic:pic>
              </a:graphicData>
            </a:graphic>
          </wp:anchor>
        </w:drawing>
      </w:r>
      <w:r>
        <w:rPr>
          <w:rFonts w:hint="eastAsia" w:ascii="楷体" w:hAnsi="楷体" w:eastAsia="楷体"/>
          <w:b/>
          <w:sz w:val="44"/>
          <w:szCs w:val="44"/>
        </w:rPr>
        <w:t>中 信 评 估</w:t>
      </w:r>
    </w:p>
    <w:p>
      <w:pPr>
        <w:spacing w:line="400" w:lineRule="exact"/>
        <w:rPr>
          <w:rFonts w:hint="eastAsia" w:ascii="新宋体" w:hAnsi="新宋体" w:eastAsia="新宋体"/>
          <w:sz w:val="44"/>
          <w:szCs w:val="44"/>
        </w:rPr>
      </w:pPr>
      <w:r>
        <w:rPr>
          <w:rFonts w:hint="eastAsia" w:ascii="新宋体" w:hAnsi="新宋体" w:eastAsia="新宋体"/>
          <w:sz w:val="24"/>
        </w:rPr>
        <w:t>ZHONGXIN  EVALUATION</w:t>
      </w:r>
    </w:p>
    <w:p>
      <w:pPr>
        <w:jc w:val="center"/>
        <w:rPr>
          <w:rFonts w:hint="eastAsia" w:ascii="宋体" w:hAnsi="宋体"/>
          <w:bCs/>
          <w:sz w:val="84"/>
        </w:rPr>
      </w:pPr>
    </w:p>
    <w:p>
      <w:pPr>
        <w:jc w:val="center"/>
        <w:rPr>
          <w:rFonts w:ascii="宋体" w:hAnsi="宋体"/>
          <w:bCs/>
          <w:sz w:val="84"/>
        </w:rPr>
      </w:pPr>
      <w:r>
        <w:rPr>
          <w:rFonts w:hint="eastAsia" w:ascii="宋体" w:hAnsi="宋体"/>
          <w:bCs/>
          <w:sz w:val="84"/>
        </w:rPr>
        <w:t>房地产估价报告书</w:t>
      </w:r>
    </w:p>
    <w:p>
      <w:pPr>
        <w:ind w:firstLine="529" w:firstLineChars="294"/>
        <w:rPr>
          <w:rFonts w:hint="eastAsia"/>
          <w:bCs/>
          <w:sz w:val="18"/>
          <w:szCs w:val="18"/>
        </w:rPr>
      </w:pPr>
    </w:p>
    <w:p>
      <w:pPr>
        <w:ind w:firstLine="1906" w:firstLineChars="681"/>
        <w:rPr>
          <w:rFonts w:hint="default" w:ascii="宋体" w:hAnsi="宋体" w:eastAsia="宋体"/>
          <w:color w:val="auto"/>
          <w:sz w:val="32"/>
          <w:szCs w:val="32"/>
          <w:lang w:val="en-US" w:eastAsia="zh-CN"/>
        </w:rPr>
      </w:pPr>
      <w:r>
        <w:rPr>
          <w:rFonts w:hint="eastAsia"/>
          <w:sz w:val="28"/>
        </w:rPr>
        <w:t xml:space="preserve">   </w:t>
      </w:r>
      <w:r>
        <w:rPr>
          <w:rFonts w:hint="eastAsia" w:ascii="宋体" w:hAnsi="宋体"/>
          <w:sz w:val="32"/>
          <w:szCs w:val="32"/>
        </w:rPr>
        <w:t>五</w:t>
      </w:r>
      <w:r>
        <w:rPr>
          <w:rFonts w:hint="eastAsia" w:ascii="宋体" w:hAnsi="宋体"/>
          <w:color w:val="auto"/>
          <w:sz w:val="32"/>
          <w:szCs w:val="32"/>
        </w:rPr>
        <w:t>中信估字[2020]-JZ-</w:t>
      </w:r>
      <w:r>
        <w:rPr>
          <w:rFonts w:hint="eastAsia" w:ascii="宋体" w:hAnsi="宋体"/>
          <w:color w:val="auto"/>
          <w:sz w:val="32"/>
          <w:szCs w:val="32"/>
          <w:lang w:val="en-US" w:eastAsia="zh-CN"/>
        </w:rPr>
        <w:t>011</w:t>
      </w:r>
    </w:p>
    <w:p>
      <w:pPr>
        <w:rPr>
          <w:rFonts w:hint="eastAsia"/>
          <w:color w:val="auto"/>
          <w:sz w:val="28"/>
        </w:rPr>
      </w:pPr>
    </w:p>
    <w:p>
      <w:pPr>
        <w:rPr>
          <w:sz w:val="28"/>
        </w:rPr>
      </w:pPr>
    </w:p>
    <w:p>
      <w:pPr>
        <w:rPr>
          <w:rFonts w:hint="eastAsia"/>
          <w:sz w:val="28"/>
        </w:rPr>
      </w:pPr>
    </w:p>
    <w:p>
      <w:pPr>
        <w:rPr>
          <w:rFonts w:hint="eastAsia"/>
          <w:sz w:val="28"/>
        </w:rPr>
      </w:pPr>
    </w:p>
    <w:p>
      <w:pPr>
        <w:rPr>
          <w:rFonts w:hint="eastAsia"/>
          <w:sz w:val="28"/>
        </w:rPr>
      </w:pPr>
    </w:p>
    <w:p>
      <w:pPr>
        <w:rPr>
          <w:rFonts w:hint="eastAsia"/>
          <w:sz w:val="28"/>
        </w:rPr>
      </w:pPr>
    </w:p>
    <w:p>
      <w:pPr>
        <w:rPr>
          <w:rFonts w:hint="eastAsia"/>
          <w:sz w:val="28"/>
        </w:rPr>
      </w:pPr>
    </w:p>
    <w:p>
      <w:pPr>
        <w:ind w:left="2521" w:leftChars="267" w:hanging="1960" w:hangingChars="700"/>
        <w:rPr>
          <w:rFonts w:hint="eastAsia" w:ascii="宋体" w:hAnsi="宋体"/>
          <w:position w:val="2"/>
          <w:sz w:val="28"/>
          <w:szCs w:val="28"/>
          <w:lang w:eastAsia="zh-CN"/>
        </w:rPr>
      </w:pPr>
      <w:r>
        <w:rPr>
          <w:rFonts w:hint="eastAsia" w:ascii="宋体" w:hAnsi="宋体"/>
          <w:position w:val="2"/>
          <w:sz w:val="28"/>
          <w:szCs w:val="28"/>
          <w:lang w:eastAsia="zh-CN"/>
        </w:rPr>
        <w:t>估价报告名称：王敏</w:t>
      </w:r>
      <w:r>
        <w:rPr>
          <w:rFonts w:hint="eastAsia" w:ascii="宋体" w:hAnsi="宋体"/>
          <w:position w:val="2"/>
          <w:sz w:val="28"/>
          <w:szCs w:val="28"/>
        </w:rPr>
        <w:t>位于</w:t>
      </w:r>
      <w:r>
        <w:rPr>
          <w:rFonts w:hint="eastAsia" w:ascii="宋体" w:hAnsi="宋体"/>
          <w:position w:val="2"/>
          <w:sz w:val="28"/>
          <w:szCs w:val="28"/>
          <w:lang w:eastAsia="zh-CN"/>
        </w:rPr>
        <w:t>巴彦淖尔市五原县隆兴昌镇胜利办事处福中园小区2-2-252</w:t>
      </w:r>
      <w:r>
        <w:rPr>
          <w:rFonts w:hint="eastAsia" w:ascii="宋体" w:hAnsi="宋体"/>
          <w:position w:val="2"/>
          <w:sz w:val="28"/>
          <w:szCs w:val="28"/>
        </w:rPr>
        <w:t>房地产价值</w:t>
      </w:r>
      <w:r>
        <w:rPr>
          <w:rFonts w:hint="eastAsia" w:ascii="宋体" w:hAnsi="宋体"/>
          <w:position w:val="2"/>
          <w:sz w:val="28"/>
          <w:szCs w:val="28"/>
          <w:lang w:eastAsia="zh-CN"/>
        </w:rPr>
        <w:t>评估</w:t>
      </w:r>
    </w:p>
    <w:p>
      <w:pPr>
        <w:ind w:firstLine="560" w:firstLineChars="200"/>
        <w:rPr>
          <w:rFonts w:hint="eastAsia" w:ascii="宋体" w:hAnsi="宋体"/>
          <w:position w:val="2"/>
          <w:sz w:val="28"/>
          <w:szCs w:val="28"/>
          <w:lang w:eastAsia="zh-CN"/>
        </w:rPr>
      </w:pPr>
      <w:r>
        <w:rPr>
          <w:rFonts w:hint="eastAsia" w:ascii="宋体" w:hAnsi="宋体"/>
          <w:bCs/>
          <w:sz w:val="28"/>
        </w:rPr>
        <w:t>估价委托人：</w:t>
      </w:r>
      <w:r>
        <w:rPr>
          <w:rFonts w:hint="eastAsia" w:ascii="宋体" w:hAnsi="宋体"/>
          <w:position w:val="2"/>
          <w:sz w:val="28"/>
          <w:szCs w:val="28"/>
          <w:lang w:eastAsia="zh-CN"/>
        </w:rPr>
        <w:t>五原县人民法院</w:t>
      </w:r>
    </w:p>
    <w:p>
      <w:pPr>
        <w:ind w:firstLine="560" w:firstLineChars="200"/>
        <w:rPr>
          <w:rFonts w:hint="eastAsia" w:ascii="宋体" w:hAnsi="宋体"/>
          <w:sz w:val="28"/>
        </w:rPr>
      </w:pPr>
      <w:r>
        <w:rPr>
          <w:rFonts w:hint="eastAsia" w:ascii="宋体" w:hAnsi="宋体"/>
          <w:bCs/>
          <w:sz w:val="28"/>
        </w:rPr>
        <w:t>房地产估价机构：</w:t>
      </w:r>
      <w:r>
        <w:rPr>
          <w:rFonts w:hint="eastAsia" w:ascii="宋体" w:hAnsi="宋体"/>
          <w:sz w:val="30"/>
          <w:szCs w:val="30"/>
        </w:rPr>
        <w:t>五原县中信房地产价格评估有限责任公司</w:t>
      </w:r>
    </w:p>
    <w:p>
      <w:pPr>
        <w:ind w:firstLine="560" w:firstLineChars="200"/>
        <w:rPr>
          <w:rFonts w:hint="eastAsia" w:ascii="宋体" w:hAnsi="宋体"/>
          <w:color w:val="auto"/>
          <w:sz w:val="30"/>
          <w:szCs w:val="30"/>
        </w:rPr>
      </w:pPr>
      <w:r>
        <w:rPr>
          <w:rFonts w:hint="eastAsia" w:ascii="宋体" w:hAnsi="宋体"/>
          <w:sz w:val="28"/>
        </w:rPr>
        <w:t>注册房地产估价</w:t>
      </w:r>
      <w:r>
        <w:rPr>
          <w:rFonts w:hint="eastAsia" w:ascii="宋体" w:hAnsi="宋体"/>
          <w:color w:val="auto"/>
          <w:sz w:val="28"/>
        </w:rPr>
        <w:t>师：</w:t>
      </w:r>
      <w:r>
        <w:rPr>
          <w:rFonts w:hint="eastAsia" w:ascii="宋体" w:hAnsi="宋体"/>
          <w:bCs/>
          <w:sz w:val="28"/>
          <w:lang w:eastAsia="zh-CN"/>
        </w:rPr>
        <w:t>王</w:t>
      </w:r>
      <w:r>
        <w:rPr>
          <w:rFonts w:hint="eastAsia" w:ascii="宋体" w:hAnsi="宋体"/>
          <w:bCs/>
          <w:sz w:val="28"/>
          <w:lang w:val="en-US" w:eastAsia="zh-CN"/>
        </w:rPr>
        <w:t xml:space="preserve">  </w:t>
      </w:r>
      <w:r>
        <w:rPr>
          <w:rFonts w:hint="eastAsia" w:ascii="宋体" w:hAnsi="宋体"/>
          <w:bCs/>
          <w:sz w:val="28"/>
          <w:lang w:eastAsia="zh-CN"/>
        </w:rPr>
        <w:t>欢</w:t>
      </w:r>
      <w:r>
        <w:rPr>
          <w:rFonts w:hint="eastAsia" w:ascii="宋体" w:hAnsi="宋体"/>
          <w:bCs/>
          <w:sz w:val="28"/>
        </w:rPr>
        <w:t>（注册证号：1520050041）</w:t>
      </w:r>
    </w:p>
    <w:p>
      <w:pPr>
        <w:ind w:firstLine="3080" w:firstLineChars="1100"/>
        <w:rPr>
          <w:rFonts w:hint="eastAsia" w:ascii="宋体" w:hAnsi="宋体"/>
          <w:color w:val="auto"/>
          <w:sz w:val="30"/>
          <w:szCs w:val="30"/>
          <w:lang w:val="en-US" w:eastAsia="zh-CN"/>
        </w:rPr>
      </w:pPr>
      <w:bookmarkStart w:id="55" w:name="_GoBack"/>
      <w:bookmarkEnd w:id="55"/>
      <w:r>
        <w:rPr>
          <w:rFonts w:hint="eastAsia" w:ascii="宋体" w:hAnsi="宋体"/>
          <w:bCs/>
          <w:sz w:val="28"/>
          <w:lang w:eastAsia="zh-CN"/>
        </w:rPr>
        <w:t>李春敏</w:t>
      </w:r>
      <w:r>
        <w:rPr>
          <w:rFonts w:hint="eastAsia" w:ascii="宋体" w:hAnsi="宋体"/>
          <w:bCs/>
          <w:sz w:val="28"/>
        </w:rPr>
        <w:t>（注册证号：</w:t>
      </w:r>
      <w:r>
        <w:rPr>
          <w:rFonts w:hint="eastAsia" w:ascii="宋体" w:hAnsi="宋体"/>
          <w:bCs/>
          <w:sz w:val="28"/>
          <w:lang w:val="en-US" w:eastAsia="zh-CN"/>
        </w:rPr>
        <w:t>1520120008</w:t>
      </w:r>
      <w:r>
        <w:rPr>
          <w:rFonts w:hint="eastAsia" w:ascii="宋体" w:hAnsi="宋体"/>
          <w:bCs/>
          <w:sz w:val="28"/>
        </w:rPr>
        <w:t>）</w:t>
      </w:r>
      <w:r>
        <w:rPr>
          <w:rFonts w:hint="eastAsia" w:ascii="宋体" w:hAnsi="宋体"/>
          <w:color w:val="auto"/>
          <w:sz w:val="30"/>
          <w:szCs w:val="30"/>
          <w:lang w:val="en-US" w:eastAsia="zh-CN"/>
        </w:rPr>
        <w:t xml:space="preserve"> </w:t>
      </w:r>
    </w:p>
    <w:p>
      <w:pPr>
        <w:ind w:firstLine="3300" w:firstLineChars="1100"/>
        <w:rPr>
          <w:rFonts w:hint="default" w:ascii="宋体" w:hAnsi="宋体"/>
          <w:color w:val="auto"/>
          <w:sz w:val="30"/>
          <w:szCs w:val="30"/>
          <w:lang w:val="en-US" w:eastAsia="zh-CN"/>
        </w:rPr>
      </w:pPr>
    </w:p>
    <w:p>
      <w:pPr>
        <w:ind w:firstLine="600" w:firstLineChars="200"/>
        <w:rPr>
          <w:rFonts w:hint="eastAsia" w:ascii="宋体" w:hAnsi="宋体" w:eastAsia="宋体"/>
          <w:color w:val="auto"/>
          <w:sz w:val="28"/>
          <w:lang w:eastAsia="zh-CN"/>
        </w:rPr>
      </w:pPr>
      <w:r>
        <w:rPr>
          <w:rFonts w:hint="eastAsia" w:ascii="宋体" w:hAnsi="宋体"/>
          <w:color w:val="auto"/>
          <w:sz w:val="30"/>
          <w:szCs w:val="30"/>
          <w:lang w:eastAsia="zh-CN"/>
        </w:rPr>
        <w:t>估价报告出具日期：</w:t>
      </w:r>
      <w:r>
        <w:rPr>
          <w:rFonts w:hint="eastAsia" w:ascii="宋体" w:hAnsi="宋体"/>
          <w:color w:val="auto"/>
          <w:sz w:val="28"/>
          <w:lang w:eastAsia="zh-CN"/>
        </w:rPr>
        <w:t>2020年7月9日</w:t>
      </w:r>
    </w:p>
    <w:p>
      <w:pPr>
        <w:ind w:left="-359" w:leftChars="-171" w:firstLine="971" w:firstLineChars="347"/>
        <w:rPr>
          <w:rFonts w:hint="eastAsia" w:ascii="宋体" w:hAnsi="宋体"/>
          <w:sz w:val="30"/>
          <w:szCs w:val="30"/>
        </w:rPr>
      </w:pPr>
      <w:r>
        <w:rPr>
          <w:rFonts w:hint="eastAsia" w:ascii="宋体" w:hAnsi="宋体"/>
          <w:sz w:val="28"/>
        </w:rPr>
        <w:t xml:space="preserve">电     话： </w:t>
      </w:r>
      <w:r>
        <w:rPr>
          <w:rFonts w:hint="eastAsia" w:ascii="宋体" w:hAnsi="宋体"/>
          <w:sz w:val="30"/>
          <w:szCs w:val="30"/>
        </w:rPr>
        <w:t>（0478）5228663</w:t>
      </w:r>
      <w:r>
        <w:rPr>
          <w:rFonts w:hint="eastAsia" w:ascii="宋体" w:hAnsi="宋体"/>
          <w:sz w:val="28"/>
        </w:rPr>
        <w:t xml:space="preserve">   </w:t>
      </w:r>
      <w:r>
        <w:rPr>
          <w:rFonts w:hint="eastAsia" w:ascii="宋体" w:hAnsi="宋体"/>
          <w:sz w:val="30"/>
          <w:szCs w:val="30"/>
        </w:rPr>
        <w:t>邮编015100</w:t>
      </w:r>
    </w:p>
    <w:bookmarkEnd w:id="0"/>
    <w:p>
      <w:pPr>
        <w:pStyle w:val="2"/>
        <w:jc w:val="center"/>
        <w:rPr>
          <w:rFonts w:hint="eastAsia"/>
          <w:color w:val="auto"/>
        </w:rPr>
        <w:sectPr>
          <w:headerReference r:id="rId4" w:type="first"/>
          <w:headerReference r:id="rId3" w:type="default"/>
          <w:pgSz w:w="11906" w:h="16838"/>
          <w:pgMar w:top="1440" w:right="1468" w:bottom="1440" w:left="1797" w:header="851" w:footer="992" w:gutter="0"/>
          <w:pgNumType w:fmt="numberInDash" w:start="1"/>
          <w:cols w:space="720" w:num="1"/>
          <w:titlePg/>
          <w:docGrid w:type="lines" w:linePitch="312" w:charSpace="0"/>
        </w:sectPr>
      </w:pPr>
      <w:bookmarkStart w:id="1" w:name="_Toc31201"/>
      <w:bookmarkStart w:id="2" w:name="_Toc511811423"/>
      <w:bookmarkStart w:id="3" w:name="_Toc502310512"/>
      <w:bookmarkStart w:id="4" w:name="_Toc439861587"/>
      <w:bookmarkStart w:id="5" w:name="_Toc29157"/>
      <w:bookmarkStart w:id="6" w:name="_Toc439763357"/>
      <w:bookmarkStart w:id="7" w:name="_Toc7112911"/>
    </w:p>
    <w:p>
      <w:pPr>
        <w:pStyle w:val="2"/>
        <w:jc w:val="center"/>
        <w:rPr>
          <w:rFonts w:hint="eastAsia"/>
          <w:color w:val="auto"/>
          <w:sz w:val="28"/>
        </w:rPr>
      </w:pPr>
      <w:r>
        <w:rPr>
          <w:rFonts w:hint="eastAsia"/>
          <w:color w:val="auto"/>
        </w:rPr>
        <w:t>致估价委托人函</w:t>
      </w:r>
      <w:bookmarkEnd w:id="1"/>
    </w:p>
    <w:p>
      <w:pPr>
        <w:rPr>
          <w:rFonts w:hint="eastAsia" w:ascii="宋体" w:hAnsi="宋体"/>
          <w:color w:val="auto"/>
          <w:sz w:val="28"/>
          <w:szCs w:val="28"/>
        </w:rPr>
      </w:pPr>
      <w:r>
        <w:rPr>
          <w:rFonts w:hint="eastAsia" w:ascii="宋体" w:hAnsi="宋体"/>
          <w:color w:val="auto"/>
          <w:sz w:val="28"/>
          <w:szCs w:val="28"/>
          <w:lang w:eastAsia="zh-CN"/>
        </w:rPr>
        <w:t>五原县人民法院</w:t>
      </w:r>
      <w:r>
        <w:rPr>
          <w:rFonts w:hint="eastAsia" w:ascii="宋体" w:hAnsi="宋体"/>
          <w:color w:val="auto"/>
          <w:sz w:val="28"/>
          <w:szCs w:val="28"/>
        </w:rPr>
        <w:t>：</w:t>
      </w:r>
    </w:p>
    <w:p>
      <w:pPr>
        <w:ind w:firstLine="560" w:firstLineChars="200"/>
        <w:rPr>
          <w:rFonts w:hint="eastAsia" w:ascii="宋体" w:hAnsi="宋体"/>
          <w:color w:val="auto"/>
          <w:sz w:val="28"/>
          <w:szCs w:val="28"/>
        </w:rPr>
      </w:pPr>
      <w:r>
        <w:rPr>
          <w:rFonts w:hint="eastAsia" w:ascii="宋体" w:hAnsi="宋体"/>
          <w:color w:val="auto"/>
          <w:sz w:val="28"/>
          <w:szCs w:val="28"/>
        </w:rPr>
        <w:t>受贵方委托，我公司对位于</w:t>
      </w:r>
      <w:r>
        <w:rPr>
          <w:rFonts w:hint="eastAsia" w:ascii="宋体" w:hAnsi="宋体"/>
          <w:color w:val="auto"/>
          <w:sz w:val="28"/>
          <w:szCs w:val="28"/>
          <w:lang w:eastAsia="zh-CN"/>
        </w:rPr>
        <w:t>巴彦淖尔市五原县隆兴昌镇胜利办事处福中园小区2-2-252王敏</w:t>
      </w:r>
      <w:r>
        <w:rPr>
          <w:rFonts w:hint="eastAsia" w:ascii="宋体" w:hAnsi="宋体"/>
          <w:color w:val="auto"/>
          <w:sz w:val="28"/>
          <w:szCs w:val="28"/>
        </w:rPr>
        <w:t>的房地产在</w:t>
      </w:r>
      <w:r>
        <w:rPr>
          <w:rFonts w:hint="eastAsia" w:ascii="宋体" w:hAnsi="宋体"/>
          <w:color w:val="auto"/>
          <w:sz w:val="28"/>
          <w:szCs w:val="28"/>
          <w:lang w:eastAsia="zh-CN"/>
        </w:rPr>
        <w:t>二○二○年六月二十四日</w:t>
      </w:r>
      <w:r>
        <w:rPr>
          <w:rFonts w:hint="eastAsia" w:ascii="宋体" w:hAnsi="宋体"/>
          <w:color w:val="auto"/>
          <w:sz w:val="28"/>
          <w:szCs w:val="28"/>
        </w:rPr>
        <w:t>的市场价值进行</w:t>
      </w:r>
      <w:r>
        <w:rPr>
          <w:rFonts w:hint="eastAsia" w:ascii="宋体" w:hAnsi="宋体"/>
          <w:color w:val="auto"/>
          <w:sz w:val="28"/>
          <w:szCs w:val="28"/>
          <w:lang w:eastAsia="zh-CN"/>
        </w:rPr>
        <w:t>评估</w:t>
      </w:r>
      <w:r>
        <w:rPr>
          <w:rFonts w:hint="eastAsia" w:ascii="宋体" w:hAnsi="宋体"/>
          <w:color w:val="auto"/>
          <w:position w:val="2"/>
          <w:sz w:val="28"/>
          <w:szCs w:val="28"/>
        </w:rPr>
        <w:t>，</w:t>
      </w:r>
      <w:r>
        <w:rPr>
          <w:rFonts w:hint="eastAsia" w:ascii="宋体" w:hAnsi="宋体"/>
          <w:color w:val="auto"/>
          <w:position w:val="2"/>
          <w:sz w:val="28"/>
          <w:szCs w:val="28"/>
          <w:lang w:eastAsia="zh-CN"/>
        </w:rPr>
        <w:t>估价对象房屋所有权证号为</w:t>
      </w:r>
      <w:r>
        <w:rPr>
          <w:rFonts w:hint="eastAsia" w:ascii="宋体" w:hAnsi="宋体"/>
          <w:color w:val="auto"/>
          <w:position w:val="2"/>
          <w:sz w:val="28"/>
          <w:szCs w:val="28"/>
          <w:lang w:val="en-US" w:eastAsia="zh-CN"/>
        </w:rPr>
        <w:t>4731号，该宗房地产建筑面积为83.43㎡，</w:t>
      </w:r>
      <w:r>
        <w:rPr>
          <w:rFonts w:hint="eastAsia" w:ascii="宋体" w:hAnsi="宋体"/>
          <w:color w:val="auto"/>
          <w:position w:val="2"/>
          <w:sz w:val="28"/>
          <w:szCs w:val="28"/>
          <w:lang w:eastAsia="zh-CN"/>
        </w:rPr>
        <w:t>经我公司的估价人员进行市场调查和现场查勘，并查询、收集、调查估价所需的相关文件</w:t>
      </w:r>
      <w:r>
        <w:rPr>
          <w:rFonts w:hint="eastAsia" w:ascii="宋体" w:hAnsi="宋体" w:cs="宋体"/>
          <w:color w:val="auto"/>
          <w:sz w:val="28"/>
          <w:szCs w:val="28"/>
        </w:rPr>
        <w:t>、资料，根据估价目的，遵循估价原则，按照法定估价工作程序，运用</w:t>
      </w:r>
      <w:r>
        <w:rPr>
          <w:rFonts w:hint="eastAsia" w:ascii="宋体" w:hAnsi="宋体" w:cs="宋体"/>
          <w:color w:val="auto"/>
          <w:sz w:val="28"/>
          <w:szCs w:val="28"/>
          <w:lang w:eastAsia="zh-CN"/>
        </w:rPr>
        <w:t>比较法、收益法</w:t>
      </w:r>
      <w:r>
        <w:rPr>
          <w:rFonts w:hint="eastAsia" w:ascii="宋体" w:hAnsi="宋体" w:cs="宋体"/>
          <w:color w:val="auto"/>
          <w:sz w:val="28"/>
          <w:szCs w:val="28"/>
        </w:rPr>
        <w:t>，</w:t>
      </w:r>
      <w:r>
        <w:rPr>
          <w:rFonts w:hint="eastAsia" w:ascii="宋体" w:hAnsi="宋体"/>
          <w:color w:val="auto"/>
          <w:sz w:val="28"/>
          <w:szCs w:val="28"/>
        </w:rPr>
        <w:t>评估测算出估价对象在</w:t>
      </w:r>
      <w:r>
        <w:rPr>
          <w:rFonts w:hint="eastAsia" w:ascii="宋体" w:hAnsi="宋体"/>
          <w:color w:val="auto"/>
          <w:sz w:val="28"/>
          <w:szCs w:val="28"/>
          <w:lang w:eastAsia="zh-CN"/>
        </w:rPr>
        <w:t>二○二○年六月二十四日</w:t>
      </w:r>
      <w:r>
        <w:rPr>
          <w:rFonts w:hint="eastAsia" w:ascii="宋体" w:hAnsi="宋体"/>
          <w:color w:val="auto"/>
          <w:sz w:val="28"/>
          <w:szCs w:val="28"/>
        </w:rPr>
        <w:t>的市场价值为人民币(大写)</w:t>
      </w:r>
      <w:r>
        <w:rPr>
          <w:rFonts w:hint="eastAsia" w:ascii="宋体" w:hAnsi="宋体"/>
          <w:color w:val="auto"/>
          <w:sz w:val="28"/>
          <w:szCs w:val="28"/>
          <w:u w:val="single"/>
          <w:lang w:eastAsia="zh-CN"/>
        </w:rPr>
        <w:t>贰拾捌万陆仟零捌拾壹</w:t>
      </w:r>
      <w:r>
        <w:rPr>
          <w:rFonts w:hint="eastAsia" w:ascii="宋体" w:hAnsi="宋体"/>
          <w:color w:val="auto"/>
          <w:sz w:val="28"/>
          <w:szCs w:val="28"/>
          <w:u w:val="single"/>
        </w:rPr>
        <w:t>元整(￥</w:t>
      </w:r>
      <w:r>
        <w:rPr>
          <w:rFonts w:hint="eastAsia" w:ascii="宋体" w:hAnsi="宋体"/>
          <w:color w:val="auto"/>
          <w:sz w:val="28"/>
          <w:szCs w:val="28"/>
          <w:u w:val="single"/>
          <w:lang w:eastAsia="zh-CN"/>
        </w:rPr>
        <w:t>286081</w:t>
      </w:r>
      <w:r>
        <w:rPr>
          <w:rFonts w:hint="eastAsia" w:ascii="宋体" w:hAnsi="宋体"/>
          <w:color w:val="auto"/>
          <w:sz w:val="28"/>
          <w:szCs w:val="28"/>
          <w:u w:val="single"/>
        </w:rPr>
        <w:t>元)</w:t>
      </w:r>
      <w:r>
        <w:rPr>
          <w:rFonts w:hint="eastAsia" w:ascii="宋体" w:hAnsi="宋体"/>
          <w:color w:val="auto"/>
          <w:sz w:val="28"/>
          <w:szCs w:val="28"/>
        </w:rPr>
        <w:t>。</w:t>
      </w:r>
    </w:p>
    <w:p>
      <w:pPr>
        <w:rPr>
          <w:rFonts w:ascii="宋体" w:hAnsi="宋体"/>
          <w:color w:val="auto"/>
          <w:sz w:val="28"/>
          <w:szCs w:val="28"/>
        </w:rPr>
      </w:pPr>
    </w:p>
    <w:p>
      <w:pPr>
        <w:rPr>
          <w:rFonts w:hint="eastAsia" w:ascii="宋体" w:hAnsi="宋体"/>
          <w:sz w:val="28"/>
          <w:szCs w:val="28"/>
        </w:rPr>
      </w:pPr>
      <w:r>
        <w:rPr>
          <w:rFonts w:hint="eastAsia" w:ascii="宋体" w:hAnsi="宋体"/>
          <w:sz w:val="28"/>
          <w:szCs w:val="28"/>
        </w:rPr>
        <w:t xml:space="preserve"> </w:t>
      </w:r>
    </w:p>
    <w:p>
      <w:pPr>
        <w:rPr>
          <w:rFonts w:hint="eastAsia" w:ascii="宋体" w:hAnsi="宋体"/>
          <w:sz w:val="28"/>
          <w:szCs w:val="28"/>
        </w:rPr>
      </w:pPr>
      <w:r>
        <w:rPr>
          <w:rFonts w:hint="eastAsia" w:ascii="宋体" w:hAnsi="宋体"/>
          <w:sz w:val="28"/>
          <w:szCs w:val="28"/>
        </w:rPr>
        <w:t xml:space="preserve">  特发此函</w:t>
      </w:r>
    </w:p>
    <w:p>
      <w:pPr>
        <w:spacing w:line="520" w:lineRule="exact"/>
        <w:rPr>
          <w:rFonts w:ascii="宋体" w:hAnsi="宋体"/>
          <w:sz w:val="28"/>
          <w:szCs w:val="28"/>
        </w:rPr>
      </w:pPr>
    </w:p>
    <w:p>
      <w:pPr>
        <w:spacing w:line="520" w:lineRule="exact"/>
        <w:rPr>
          <w:rFonts w:hint="eastAsia" w:ascii="宋体" w:hAnsi="宋体"/>
          <w:sz w:val="28"/>
          <w:szCs w:val="28"/>
        </w:rPr>
      </w:pPr>
    </w:p>
    <w:p>
      <w:pPr>
        <w:spacing w:line="520" w:lineRule="exact"/>
        <w:rPr>
          <w:rFonts w:hint="eastAsia" w:ascii="宋体" w:hAnsi="宋体"/>
          <w:sz w:val="28"/>
          <w:szCs w:val="28"/>
        </w:rPr>
      </w:pPr>
    </w:p>
    <w:p>
      <w:pPr>
        <w:spacing w:line="520" w:lineRule="exact"/>
        <w:rPr>
          <w:rFonts w:hint="eastAsia" w:ascii="宋体" w:hAnsi="宋体"/>
          <w:sz w:val="28"/>
          <w:szCs w:val="28"/>
        </w:rPr>
      </w:pPr>
    </w:p>
    <w:p>
      <w:pPr>
        <w:spacing w:line="520" w:lineRule="exact"/>
        <w:ind w:firstLine="3080" w:firstLineChars="1100"/>
        <w:rPr>
          <w:rFonts w:hint="eastAsia" w:ascii="宋体" w:hAnsi="宋体"/>
          <w:sz w:val="28"/>
          <w:szCs w:val="28"/>
        </w:rPr>
      </w:pPr>
      <w:r>
        <w:rPr>
          <w:rFonts w:hint="eastAsia" w:ascii="宋体" w:hAnsi="宋体"/>
          <w:sz w:val="28"/>
          <w:szCs w:val="28"/>
        </w:rPr>
        <w:t>五原县中信房地产价格评估有限责任公司</w:t>
      </w:r>
    </w:p>
    <w:p>
      <w:pPr>
        <w:spacing w:line="520" w:lineRule="exact"/>
        <w:rPr>
          <w:rFonts w:hint="eastAsia" w:eastAsia="宋体"/>
          <w:sz w:val="24"/>
          <w:lang w:eastAsia="zh-CN"/>
        </w:rPr>
      </w:pPr>
      <w:r>
        <w:rPr>
          <w:rFonts w:hint="eastAsia" w:ascii="宋体" w:hAnsi="宋体"/>
          <w:sz w:val="28"/>
          <w:szCs w:val="28"/>
        </w:rPr>
        <w:t xml:space="preserve">                             </w:t>
      </w:r>
      <w:r>
        <w:rPr>
          <w:rFonts w:hint="eastAsia" w:ascii="宋体" w:hAnsi="宋体"/>
          <w:sz w:val="28"/>
          <w:szCs w:val="28"/>
          <w:lang w:eastAsia="zh-CN"/>
        </w:rPr>
        <w:t xml:space="preserve"> 二○二○年七月九日</w:t>
      </w:r>
    </w:p>
    <w:p/>
    <w:p>
      <w:pPr>
        <w:spacing w:line="480" w:lineRule="exact"/>
        <w:ind w:firstLine="2613" w:firstLineChars="594"/>
        <w:outlineLvl w:val="0"/>
        <w:rPr>
          <w:bCs/>
          <w:sz w:val="44"/>
          <w:szCs w:val="44"/>
        </w:rPr>
      </w:pPr>
      <w:r>
        <w:rPr>
          <w:bCs/>
          <w:sz w:val="44"/>
          <w:szCs w:val="44"/>
        </w:rPr>
        <w:br w:type="page"/>
      </w:r>
    </w:p>
    <w:p>
      <w:pPr>
        <w:spacing w:before="0" w:beforeLines="0" w:after="0" w:afterLines="0" w:line="240" w:lineRule="auto"/>
        <w:ind w:left="0" w:leftChars="0" w:right="0" w:rightChars="0" w:firstLine="0" w:firstLineChars="0"/>
        <w:jc w:val="center"/>
      </w:pPr>
      <w:r>
        <w:rPr>
          <w:rFonts w:ascii="宋体" w:hAnsi="宋体" w:eastAsia="宋体"/>
          <w:sz w:val="21"/>
        </w:rPr>
        <w:t>目录</w:t>
      </w:r>
    </w:p>
    <w:p>
      <w:pPr>
        <w:pStyle w:val="18"/>
        <w:tabs>
          <w:tab w:val="right" w:leader="dot" w:pos="8643"/>
        </w:tabs>
      </w:pPr>
      <w:r>
        <w:fldChar w:fldCharType="begin"/>
      </w:r>
      <w:r>
        <w:instrText xml:space="preserve">TOC \o "1-1" \h \u </w:instrText>
      </w:r>
      <w:r>
        <w:fldChar w:fldCharType="separate"/>
      </w:r>
      <w:r>
        <w:fldChar w:fldCharType="begin"/>
      </w:r>
      <w:r>
        <w:instrText xml:space="preserve"> HYPERLINK \l _Toc31201 </w:instrText>
      </w:r>
      <w:r>
        <w:fldChar w:fldCharType="separate"/>
      </w:r>
      <w:r>
        <w:rPr>
          <w:rFonts w:hint="eastAsia"/>
        </w:rPr>
        <w:t>致估价委托人函</w:t>
      </w:r>
      <w:r>
        <w:tab/>
      </w:r>
      <w:r>
        <w:fldChar w:fldCharType="begin"/>
      </w:r>
      <w:r>
        <w:instrText xml:space="preserve"> PAGEREF _Toc31201 </w:instrText>
      </w:r>
      <w:r>
        <w:fldChar w:fldCharType="separate"/>
      </w:r>
      <w:r>
        <w:t>- 1 -</w:t>
      </w:r>
      <w:r>
        <w:fldChar w:fldCharType="end"/>
      </w:r>
      <w:r>
        <w:fldChar w:fldCharType="end"/>
      </w:r>
    </w:p>
    <w:p>
      <w:pPr>
        <w:pStyle w:val="18"/>
        <w:tabs>
          <w:tab w:val="right" w:leader="dot" w:pos="8643"/>
        </w:tabs>
      </w:pPr>
      <w:r>
        <w:fldChar w:fldCharType="begin"/>
      </w:r>
      <w:r>
        <w:instrText xml:space="preserve"> HYPERLINK \l _Toc21808 </w:instrText>
      </w:r>
      <w:r>
        <w:fldChar w:fldCharType="separate"/>
      </w:r>
      <w:r>
        <w:rPr>
          <w:rFonts w:hint="eastAsia"/>
          <w:bCs/>
          <w:szCs w:val="44"/>
        </w:rPr>
        <w:t>估 价 师 声 明</w:t>
      </w:r>
      <w:r>
        <w:tab/>
      </w:r>
      <w:r>
        <w:fldChar w:fldCharType="begin"/>
      </w:r>
      <w:r>
        <w:instrText xml:space="preserve"> PAGEREF _Toc21808 </w:instrText>
      </w:r>
      <w:r>
        <w:fldChar w:fldCharType="separate"/>
      </w:r>
      <w:r>
        <w:t>- 3 -</w:t>
      </w:r>
      <w:r>
        <w:fldChar w:fldCharType="end"/>
      </w:r>
      <w:r>
        <w:fldChar w:fldCharType="end"/>
      </w:r>
    </w:p>
    <w:p>
      <w:pPr>
        <w:pStyle w:val="18"/>
        <w:tabs>
          <w:tab w:val="right" w:leader="dot" w:pos="8643"/>
        </w:tabs>
      </w:pPr>
      <w:r>
        <w:fldChar w:fldCharType="begin"/>
      </w:r>
      <w:r>
        <w:instrText xml:space="preserve"> HYPERLINK \l _Toc14542 </w:instrText>
      </w:r>
      <w:r>
        <w:fldChar w:fldCharType="separate"/>
      </w:r>
      <w:r>
        <w:rPr>
          <w:rFonts w:hint="eastAsia" w:ascii="宋体" w:hAnsi="宋体"/>
          <w:bCs/>
          <w:szCs w:val="44"/>
        </w:rPr>
        <w:t>估价假设和限制条件</w:t>
      </w:r>
      <w:r>
        <w:tab/>
      </w:r>
      <w:r>
        <w:fldChar w:fldCharType="begin"/>
      </w:r>
      <w:r>
        <w:instrText xml:space="preserve"> PAGEREF _Toc14542 </w:instrText>
      </w:r>
      <w:r>
        <w:fldChar w:fldCharType="separate"/>
      </w:r>
      <w:r>
        <w:t>- 4 -</w:t>
      </w:r>
      <w:r>
        <w:fldChar w:fldCharType="end"/>
      </w:r>
      <w:r>
        <w:fldChar w:fldCharType="end"/>
      </w:r>
    </w:p>
    <w:p>
      <w:pPr>
        <w:pStyle w:val="18"/>
        <w:tabs>
          <w:tab w:val="right" w:leader="dot" w:pos="8643"/>
        </w:tabs>
      </w:pPr>
      <w:r>
        <w:fldChar w:fldCharType="begin"/>
      </w:r>
      <w:r>
        <w:instrText xml:space="preserve"> HYPERLINK \l _Toc20546 </w:instrText>
      </w:r>
      <w:r>
        <w:fldChar w:fldCharType="separate"/>
      </w:r>
      <w:r>
        <w:rPr>
          <w:rFonts w:hint="eastAsia" w:ascii="宋体" w:hAnsi="宋体"/>
          <w:szCs w:val="28"/>
        </w:rPr>
        <w:t>一、估价的假设</w:t>
      </w:r>
      <w:r>
        <w:tab/>
      </w:r>
      <w:r>
        <w:fldChar w:fldCharType="begin"/>
      </w:r>
      <w:r>
        <w:instrText xml:space="preserve"> PAGEREF _Toc20546 </w:instrText>
      </w:r>
      <w:r>
        <w:fldChar w:fldCharType="separate"/>
      </w:r>
      <w:r>
        <w:t>- 4 -</w:t>
      </w:r>
      <w:r>
        <w:fldChar w:fldCharType="end"/>
      </w:r>
      <w:r>
        <w:fldChar w:fldCharType="end"/>
      </w:r>
    </w:p>
    <w:p>
      <w:pPr>
        <w:pStyle w:val="18"/>
        <w:tabs>
          <w:tab w:val="right" w:leader="dot" w:pos="8643"/>
        </w:tabs>
      </w:pPr>
      <w:r>
        <w:fldChar w:fldCharType="begin"/>
      </w:r>
      <w:r>
        <w:instrText xml:space="preserve"> HYPERLINK \l _Toc6704 </w:instrText>
      </w:r>
      <w:r>
        <w:fldChar w:fldCharType="separate"/>
      </w:r>
      <w:r>
        <w:rPr>
          <w:rFonts w:hint="eastAsia" w:ascii="宋体" w:hAnsi="宋体"/>
          <w:szCs w:val="28"/>
        </w:rPr>
        <w:t>二、估价的限制条件</w:t>
      </w:r>
      <w:r>
        <w:tab/>
      </w:r>
      <w:r>
        <w:fldChar w:fldCharType="begin"/>
      </w:r>
      <w:r>
        <w:instrText xml:space="preserve"> PAGEREF _Toc6704 </w:instrText>
      </w:r>
      <w:r>
        <w:fldChar w:fldCharType="separate"/>
      </w:r>
      <w:r>
        <w:t>- 4 -</w:t>
      </w:r>
      <w:r>
        <w:fldChar w:fldCharType="end"/>
      </w:r>
      <w:r>
        <w:fldChar w:fldCharType="end"/>
      </w:r>
    </w:p>
    <w:p>
      <w:pPr>
        <w:pStyle w:val="18"/>
        <w:tabs>
          <w:tab w:val="right" w:leader="dot" w:pos="8643"/>
        </w:tabs>
      </w:pPr>
      <w:r>
        <w:fldChar w:fldCharType="begin"/>
      </w:r>
      <w:r>
        <w:instrText xml:space="preserve"> HYPERLINK \l _Toc17906 </w:instrText>
      </w:r>
      <w:r>
        <w:fldChar w:fldCharType="separate"/>
      </w:r>
      <w:r>
        <w:rPr>
          <w:rFonts w:hint="eastAsia"/>
          <w:bCs/>
          <w:szCs w:val="44"/>
        </w:rPr>
        <w:t>估价结果报告</w:t>
      </w:r>
      <w:r>
        <w:tab/>
      </w:r>
      <w:r>
        <w:fldChar w:fldCharType="begin"/>
      </w:r>
      <w:r>
        <w:instrText xml:space="preserve"> PAGEREF _Toc17906 </w:instrText>
      </w:r>
      <w:r>
        <w:fldChar w:fldCharType="separate"/>
      </w:r>
      <w:r>
        <w:t>- 6 -</w:t>
      </w:r>
      <w:r>
        <w:fldChar w:fldCharType="end"/>
      </w:r>
      <w:r>
        <w:fldChar w:fldCharType="end"/>
      </w:r>
    </w:p>
    <w:p>
      <w:pPr>
        <w:pStyle w:val="18"/>
        <w:tabs>
          <w:tab w:val="right" w:leader="dot" w:pos="8643"/>
        </w:tabs>
      </w:pPr>
      <w:r>
        <w:fldChar w:fldCharType="begin"/>
      </w:r>
      <w:r>
        <w:instrText xml:space="preserve"> HYPERLINK \l _Toc14008 </w:instrText>
      </w:r>
      <w:r>
        <w:fldChar w:fldCharType="separate"/>
      </w:r>
      <w:r>
        <w:rPr>
          <w:rFonts w:hint="eastAsia" w:ascii="宋体" w:hAnsi="宋体"/>
          <w:szCs w:val="28"/>
        </w:rPr>
        <w:t>一、估价委托人</w:t>
      </w:r>
      <w:r>
        <w:tab/>
      </w:r>
      <w:r>
        <w:fldChar w:fldCharType="begin"/>
      </w:r>
      <w:r>
        <w:instrText xml:space="preserve"> PAGEREF _Toc14008 </w:instrText>
      </w:r>
      <w:r>
        <w:fldChar w:fldCharType="separate"/>
      </w:r>
      <w:r>
        <w:t>- 6 -</w:t>
      </w:r>
      <w:r>
        <w:fldChar w:fldCharType="end"/>
      </w:r>
      <w:r>
        <w:fldChar w:fldCharType="end"/>
      </w:r>
    </w:p>
    <w:p>
      <w:pPr>
        <w:pStyle w:val="18"/>
        <w:tabs>
          <w:tab w:val="right" w:leader="dot" w:pos="8643"/>
        </w:tabs>
      </w:pPr>
      <w:r>
        <w:fldChar w:fldCharType="begin"/>
      </w:r>
      <w:r>
        <w:instrText xml:space="preserve"> HYPERLINK \l _Toc5686 </w:instrText>
      </w:r>
      <w:r>
        <w:fldChar w:fldCharType="separate"/>
      </w:r>
      <w:r>
        <w:rPr>
          <w:rFonts w:hint="eastAsia" w:ascii="宋体" w:hAnsi="宋体"/>
          <w:szCs w:val="28"/>
        </w:rPr>
        <w:t>二、房地产估价机构</w:t>
      </w:r>
      <w:r>
        <w:tab/>
      </w:r>
      <w:r>
        <w:fldChar w:fldCharType="begin"/>
      </w:r>
      <w:r>
        <w:instrText xml:space="preserve"> PAGEREF _Toc5686 </w:instrText>
      </w:r>
      <w:r>
        <w:fldChar w:fldCharType="separate"/>
      </w:r>
      <w:r>
        <w:t>- 6 -</w:t>
      </w:r>
      <w:r>
        <w:fldChar w:fldCharType="end"/>
      </w:r>
      <w:r>
        <w:fldChar w:fldCharType="end"/>
      </w:r>
    </w:p>
    <w:p>
      <w:pPr>
        <w:pStyle w:val="18"/>
        <w:tabs>
          <w:tab w:val="right" w:leader="dot" w:pos="8643"/>
        </w:tabs>
      </w:pPr>
      <w:r>
        <w:fldChar w:fldCharType="begin"/>
      </w:r>
      <w:r>
        <w:instrText xml:space="preserve"> HYPERLINK \l _Toc29129 </w:instrText>
      </w:r>
      <w:r>
        <w:fldChar w:fldCharType="separate"/>
      </w:r>
      <w:r>
        <w:rPr>
          <w:rFonts w:hint="eastAsia" w:ascii="宋体" w:hAnsi="宋体"/>
          <w:szCs w:val="28"/>
          <w:lang w:eastAsia="zh-CN"/>
        </w:rPr>
        <w:t>三</w:t>
      </w:r>
      <w:r>
        <w:rPr>
          <w:rFonts w:hint="eastAsia" w:ascii="宋体" w:hAnsi="宋体"/>
          <w:szCs w:val="28"/>
        </w:rPr>
        <w:t>、估价目的：</w:t>
      </w:r>
      <w:r>
        <w:tab/>
      </w:r>
      <w:r>
        <w:fldChar w:fldCharType="begin"/>
      </w:r>
      <w:r>
        <w:instrText xml:space="preserve"> PAGEREF _Toc29129 </w:instrText>
      </w:r>
      <w:r>
        <w:fldChar w:fldCharType="separate"/>
      </w:r>
      <w:r>
        <w:t>- 6 -</w:t>
      </w:r>
      <w:r>
        <w:fldChar w:fldCharType="end"/>
      </w:r>
      <w:r>
        <w:fldChar w:fldCharType="end"/>
      </w:r>
    </w:p>
    <w:p>
      <w:pPr>
        <w:pStyle w:val="18"/>
        <w:tabs>
          <w:tab w:val="right" w:leader="dot" w:pos="8643"/>
        </w:tabs>
      </w:pPr>
      <w:r>
        <w:fldChar w:fldCharType="begin"/>
      </w:r>
      <w:r>
        <w:instrText xml:space="preserve"> HYPERLINK \l _Toc20281 </w:instrText>
      </w:r>
      <w:r>
        <w:fldChar w:fldCharType="separate"/>
      </w:r>
      <w:r>
        <w:rPr>
          <w:rFonts w:hint="eastAsia" w:ascii="宋体" w:hAnsi="宋体"/>
          <w:szCs w:val="28"/>
        </w:rPr>
        <w:t>四、 估价对象</w:t>
      </w:r>
      <w:r>
        <w:tab/>
      </w:r>
      <w:r>
        <w:fldChar w:fldCharType="begin"/>
      </w:r>
      <w:r>
        <w:instrText xml:space="preserve"> PAGEREF _Toc20281 </w:instrText>
      </w:r>
      <w:r>
        <w:fldChar w:fldCharType="separate"/>
      </w:r>
      <w:r>
        <w:t>- 6 -</w:t>
      </w:r>
      <w:r>
        <w:fldChar w:fldCharType="end"/>
      </w:r>
      <w:r>
        <w:fldChar w:fldCharType="end"/>
      </w:r>
    </w:p>
    <w:p>
      <w:pPr>
        <w:pStyle w:val="18"/>
        <w:tabs>
          <w:tab w:val="right" w:leader="dot" w:pos="8643"/>
        </w:tabs>
      </w:pPr>
      <w:r>
        <w:fldChar w:fldCharType="begin"/>
      </w:r>
      <w:r>
        <w:instrText xml:space="preserve"> HYPERLINK \l _Toc19646 </w:instrText>
      </w:r>
      <w:r>
        <w:fldChar w:fldCharType="separate"/>
      </w:r>
      <w:r>
        <w:rPr>
          <w:rFonts w:hint="eastAsia" w:ascii="宋体" w:hAnsi="宋体"/>
          <w:szCs w:val="28"/>
          <w:lang w:eastAsia="zh-CN"/>
        </w:rPr>
        <w:t>（一）实物状况</w:t>
      </w:r>
      <w:r>
        <w:tab/>
      </w:r>
      <w:r>
        <w:fldChar w:fldCharType="begin"/>
      </w:r>
      <w:r>
        <w:instrText xml:space="preserve"> PAGEREF _Toc19646 </w:instrText>
      </w:r>
      <w:r>
        <w:fldChar w:fldCharType="separate"/>
      </w:r>
      <w:r>
        <w:t>- 6 -</w:t>
      </w:r>
      <w:r>
        <w:fldChar w:fldCharType="end"/>
      </w:r>
      <w:r>
        <w:fldChar w:fldCharType="end"/>
      </w:r>
    </w:p>
    <w:p>
      <w:pPr>
        <w:pStyle w:val="18"/>
        <w:tabs>
          <w:tab w:val="right" w:leader="dot" w:pos="8643"/>
        </w:tabs>
      </w:pPr>
      <w:r>
        <w:fldChar w:fldCharType="begin"/>
      </w:r>
      <w:r>
        <w:instrText xml:space="preserve"> HYPERLINK \l _Toc6113 </w:instrText>
      </w:r>
      <w:r>
        <w:fldChar w:fldCharType="separate"/>
      </w:r>
      <w:r>
        <w:rPr>
          <w:rFonts w:hint="eastAsia" w:ascii="宋体" w:hAnsi="宋体"/>
          <w:szCs w:val="28"/>
          <w:lang w:val="en-US" w:eastAsia="zh-CN"/>
        </w:rPr>
        <w:t xml:space="preserve">（二） </w:t>
      </w:r>
      <w:r>
        <w:rPr>
          <w:rFonts w:hint="eastAsia" w:ascii="宋体" w:hAnsi="宋体"/>
          <w:szCs w:val="28"/>
          <w:lang w:eastAsia="zh-CN"/>
        </w:rPr>
        <w:t>权益状况</w:t>
      </w:r>
      <w:r>
        <w:tab/>
      </w:r>
      <w:r>
        <w:fldChar w:fldCharType="begin"/>
      </w:r>
      <w:r>
        <w:instrText xml:space="preserve"> PAGEREF _Toc6113 </w:instrText>
      </w:r>
      <w:r>
        <w:fldChar w:fldCharType="separate"/>
      </w:r>
      <w:r>
        <w:t>- 7 -</w:t>
      </w:r>
      <w:r>
        <w:fldChar w:fldCharType="end"/>
      </w:r>
      <w:r>
        <w:fldChar w:fldCharType="end"/>
      </w:r>
    </w:p>
    <w:p>
      <w:pPr>
        <w:pStyle w:val="18"/>
        <w:tabs>
          <w:tab w:val="right" w:leader="dot" w:pos="8643"/>
        </w:tabs>
      </w:pPr>
      <w:r>
        <w:fldChar w:fldCharType="begin"/>
      </w:r>
      <w:r>
        <w:instrText xml:space="preserve"> HYPERLINK \l _Toc30537 </w:instrText>
      </w:r>
      <w:r>
        <w:fldChar w:fldCharType="separate"/>
      </w:r>
      <w:r>
        <w:rPr>
          <w:rFonts w:hint="eastAsia" w:ascii="宋体" w:hAnsi="宋体"/>
          <w:szCs w:val="28"/>
          <w:lang w:val="en-US" w:eastAsia="zh-CN"/>
        </w:rPr>
        <w:t>（三） 区位状况</w:t>
      </w:r>
      <w:r>
        <w:tab/>
      </w:r>
      <w:r>
        <w:fldChar w:fldCharType="begin"/>
      </w:r>
      <w:r>
        <w:instrText xml:space="preserve"> PAGEREF _Toc30537 </w:instrText>
      </w:r>
      <w:r>
        <w:fldChar w:fldCharType="separate"/>
      </w:r>
      <w:r>
        <w:t>- 7 -</w:t>
      </w:r>
      <w:r>
        <w:fldChar w:fldCharType="end"/>
      </w:r>
      <w:r>
        <w:fldChar w:fldCharType="end"/>
      </w:r>
    </w:p>
    <w:p>
      <w:pPr>
        <w:pStyle w:val="18"/>
        <w:tabs>
          <w:tab w:val="right" w:leader="dot" w:pos="8643"/>
        </w:tabs>
      </w:pPr>
      <w:r>
        <w:fldChar w:fldCharType="begin"/>
      </w:r>
      <w:r>
        <w:instrText xml:space="preserve"> HYPERLINK \l _Toc6201 </w:instrText>
      </w:r>
      <w:r>
        <w:fldChar w:fldCharType="separate"/>
      </w:r>
      <w:r>
        <w:rPr>
          <w:rFonts w:hint="eastAsia" w:ascii="宋体" w:hAnsi="宋体"/>
          <w:szCs w:val="28"/>
        </w:rPr>
        <w:t>五、价值时点</w:t>
      </w:r>
      <w:r>
        <w:tab/>
      </w:r>
      <w:r>
        <w:fldChar w:fldCharType="begin"/>
      </w:r>
      <w:r>
        <w:instrText xml:space="preserve"> PAGEREF _Toc6201 </w:instrText>
      </w:r>
      <w:r>
        <w:fldChar w:fldCharType="separate"/>
      </w:r>
      <w:r>
        <w:t>- 8 -</w:t>
      </w:r>
      <w:r>
        <w:fldChar w:fldCharType="end"/>
      </w:r>
      <w:r>
        <w:fldChar w:fldCharType="end"/>
      </w:r>
    </w:p>
    <w:p>
      <w:pPr>
        <w:pStyle w:val="18"/>
        <w:tabs>
          <w:tab w:val="right" w:leader="dot" w:pos="8643"/>
        </w:tabs>
      </w:pPr>
      <w:r>
        <w:fldChar w:fldCharType="begin"/>
      </w:r>
      <w:r>
        <w:instrText xml:space="preserve"> HYPERLINK \l _Toc3156 </w:instrText>
      </w:r>
      <w:r>
        <w:fldChar w:fldCharType="separate"/>
      </w:r>
      <w:r>
        <w:rPr>
          <w:rFonts w:hint="eastAsia" w:ascii="宋体" w:hAnsi="宋体"/>
          <w:szCs w:val="28"/>
        </w:rPr>
        <w:t>六、价值</w:t>
      </w:r>
      <w:r>
        <w:rPr>
          <w:rFonts w:hint="eastAsia" w:ascii="宋体" w:hAnsi="宋体"/>
          <w:szCs w:val="28"/>
          <w:lang w:eastAsia="zh-CN"/>
        </w:rPr>
        <w:t>类型</w:t>
      </w:r>
      <w:r>
        <w:tab/>
      </w:r>
      <w:r>
        <w:fldChar w:fldCharType="begin"/>
      </w:r>
      <w:r>
        <w:instrText xml:space="preserve"> PAGEREF _Toc3156 </w:instrText>
      </w:r>
      <w:r>
        <w:fldChar w:fldCharType="separate"/>
      </w:r>
      <w:r>
        <w:t>- 8 -</w:t>
      </w:r>
      <w:r>
        <w:fldChar w:fldCharType="end"/>
      </w:r>
      <w:r>
        <w:fldChar w:fldCharType="end"/>
      </w:r>
    </w:p>
    <w:p>
      <w:pPr>
        <w:pStyle w:val="18"/>
        <w:tabs>
          <w:tab w:val="right" w:leader="dot" w:pos="8643"/>
        </w:tabs>
      </w:pPr>
      <w:r>
        <w:fldChar w:fldCharType="begin"/>
      </w:r>
      <w:r>
        <w:instrText xml:space="preserve"> HYPERLINK \l _Toc5296 </w:instrText>
      </w:r>
      <w:r>
        <w:fldChar w:fldCharType="separate"/>
      </w:r>
      <w:r>
        <w:rPr>
          <w:rFonts w:hint="eastAsia" w:ascii="宋体" w:hAnsi="宋体"/>
          <w:szCs w:val="28"/>
          <w:lang w:eastAsia="zh-CN"/>
        </w:rPr>
        <w:t>七</w:t>
      </w:r>
      <w:r>
        <w:rPr>
          <w:rFonts w:hint="eastAsia" w:ascii="宋体" w:hAnsi="宋体"/>
          <w:szCs w:val="28"/>
        </w:rPr>
        <w:t>、估价原则</w:t>
      </w:r>
      <w:r>
        <w:tab/>
      </w:r>
      <w:r>
        <w:fldChar w:fldCharType="begin"/>
      </w:r>
      <w:r>
        <w:instrText xml:space="preserve"> PAGEREF _Toc5296 </w:instrText>
      </w:r>
      <w:r>
        <w:fldChar w:fldCharType="separate"/>
      </w:r>
      <w:r>
        <w:t>- 8 -</w:t>
      </w:r>
      <w:r>
        <w:fldChar w:fldCharType="end"/>
      </w:r>
      <w:r>
        <w:fldChar w:fldCharType="end"/>
      </w:r>
    </w:p>
    <w:p>
      <w:pPr>
        <w:pStyle w:val="18"/>
        <w:tabs>
          <w:tab w:val="right" w:leader="dot" w:pos="8643"/>
        </w:tabs>
      </w:pPr>
      <w:r>
        <w:fldChar w:fldCharType="begin"/>
      </w:r>
      <w:r>
        <w:instrText xml:space="preserve"> HYPERLINK \l _Toc20804 </w:instrText>
      </w:r>
      <w:r>
        <w:fldChar w:fldCharType="separate"/>
      </w:r>
      <w:r>
        <w:rPr>
          <w:rFonts w:hint="eastAsia" w:ascii="宋体" w:hAnsi="宋体"/>
          <w:szCs w:val="28"/>
          <w:lang w:eastAsia="zh-CN"/>
        </w:rPr>
        <w:t>八</w:t>
      </w:r>
      <w:r>
        <w:rPr>
          <w:rFonts w:hint="eastAsia" w:ascii="宋体" w:hAnsi="宋体"/>
          <w:szCs w:val="28"/>
        </w:rPr>
        <w:t>、估价依据</w:t>
      </w:r>
      <w:r>
        <w:tab/>
      </w:r>
      <w:r>
        <w:fldChar w:fldCharType="begin"/>
      </w:r>
      <w:r>
        <w:instrText xml:space="preserve"> PAGEREF _Toc20804 </w:instrText>
      </w:r>
      <w:r>
        <w:fldChar w:fldCharType="separate"/>
      </w:r>
      <w:r>
        <w:t>- 8 -</w:t>
      </w:r>
      <w:r>
        <w:fldChar w:fldCharType="end"/>
      </w:r>
      <w:r>
        <w:fldChar w:fldCharType="end"/>
      </w:r>
    </w:p>
    <w:p>
      <w:pPr>
        <w:pStyle w:val="18"/>
        <w:tabs>
          <w:tab w:val="right" w:leader="dot" w:pos="8643"/>
        </w:tabs>
      </w:pPr>
      <w:r>
        <w:fldChar w:fldCharType="begin"/>
      </w:r>
      <w:r>
        <w:instrText xml:space="preserve"> HYPERLINK \l _Toc20349 </w:instrText>
      </w:r>
      <w:r>
        <w:fldChar w:fldCharType="separate"/>
      </w:r>
      <w:r>
        <w:rPr>
          <w:rFonts w:hint="eastAsia" w:ascii="宋体" w:hAnsi="宋体"/>
          <w:szCs w:val="28"/>
        </w:rPr>
        <w:t>九、估价方法</w:t>
      </w:r>
      <w:r>
        <w:tab/>
      </w:r>
      <w:r>
        <w:fldChar w:fldCharType="begin"/>
      </w:r>
      <w:r>
        <w:instrText xml:space="preserve"> PAGEREF _Toc20349 </w:instrText>
      </w:r>
      <w:r>
        <w:fldChar w:fldCharType="separate"/>
      </w:r>
      <w:r>
        <w:t>- 9 -</w:t>
      </w:r>
      <w:r>
        <w:fldChar w:fldCharType="end"/>
      </w:r>
      <w:r>
        <w:fldChar w:fldCharType="end"/>
      </w:r>
    </w:p>
    <w:p>
      <w:pPr>
        <w:pStyle w:val="18"/>
        <w:tabs>
          <w:tab w:val="right" w:leader="dot" w:pos="8643"/>
        </w:tabs>
      </w:pPr>
      <w:r>
        <w:fldChar w:fldCharType="begin"/>
      </w:r>
      <w:r>
        <w:instrText xml:space="preserve"> HYPERLINK \l _Toc23071 </w:instrText>
      </w:r>
      <w:r>
        <w:fldChar w:fldCharType="separate"/>
      </w:r>
      <w:r>
        <w:rPr>
          <w:rFonts w:hint="eastAsia" w:ascii="宋体" w:hAnsi="宋体"/>
          <w:szCs w:val="28"/>
        </w:rPr>
        <w:t>十、估价结果</w:t>
      </w:r>
      <w:r>
        <w:tab/>
      </w:r>
      <w:r>
        <w:fldChar w:fldCharType="begin"/>
      </w:r>
      <w:r>
        <w:instrText xml:space="preserve"> PAGEREF _Toc23071 </w:instrText>
      </w:r>
      <w:r>
        <w:fldChar w:fldCharType="separate"/>
      </w:r>
      <w:r>
        <w:t>- 9 -</w:t>
      </w:r>
      <w:r>
        <w:fldChar w:fldCharType="end"/>
      </w:r>
      <w:r>
        <w:fldChar w:fldCharType="end"/>
      </w:r>
    </w:p>
    <w:p>
      <w:pPr>
        <w:pStyle w:val="18"/>
        <w:tabs>
          <w:tab w:val="right" w:leader="dot" w:pos="8643"/>
        </w:tabs>
      </w:pPr>
      <w:r>
        <w:fldChar w:fldCharType="begin"/>
      </w:r>
      <w:r>
        <w:instrText xml:space="preserve"> HYPERLINK \l _Toc1732 </w:instrText>
      </w:r>
      <w:r>
        <w:fldChar w:fldCharType="separate"/>
      </w:r>
      <w:r>
        <w:rPr>
          <w:rFonts w:hint="eastAsia" w:ascii="宋体" w:hAnsi="宋体"/>
          <w:szCs w:val="28"/>
          <w:lang w:eastAsia="zh-CN"/>
        </w:rPr>
        <w:t>十一、</w:t>
      </w:r>
      <w:r>
        <w:rPr>
          <w:rFonts w:hint="eastAsia" w:ascii="宋体" w:hAnsi="宋体"/>
          <w:szCs w:val="28"/>
        </w:rPr>
        <w:t>注册房地产估价师</w:t>
      </w:r>
      <w:r>
        <w:tab/>
      </w:r>
      <w:r>
        <w:fldChar w:fldCharType="begin"/>
      </w:r>
      <w:r>
        <w:instrText xml:space="preserve"> PAGEREF _Toc1732 </w:instrText>
      </w:r>
      <w:r>
        <w:fldChar w:fldCharType="separate"/>
      </w:r>
      <w:r>
        <w:t>- 10 -</w:t>
      </w:r>
      <w:r>
        <w:fldChar w:fldCharType="end"/>
      </w:r>
      <w:r>
        <w:fldChar w:fldCharType="end"/>
      </w:r>
    </w:p>
    <w:p>
      <w:pPr>
        <w:pStyle w:val="18"/>
        <w:tabs>
          <w:tab w:val="right" w:leader="dot" w:pos="8643"/>
        </w:tabs>
      </w:pPr>
      <w:r>
        <w:fldChar w:fldCharType="begin"/>
      </w:r>
      <w:r>
        <w:instrText xml:space="preserve"> HYPERLINK \l _Toc17892 </w:instrText>
      </w:r>
      <w:r>
        <w:fldChar w:fldCharType="separate"/>
      </w:r>
      <w:r>
        <w:rPr>
          <w:rFonts w:hint="eastAsia" w:ascii="宋体" w:hAnsi="宋体"/>
          <w:szCs w:val="28"/>
          <w:lang w:eastAsia="zh-CN"/>
        </w:rPr>
        <w:t>十三、</w:t>
      </w:r>
      <w:r>
        <w:rPr>
          <w:rFonts w:hint="eastAsia" w:ascii="宋体" w:hAnsi="宋体"/>
          <w:szCs w:val="28"/>
        </w:rPr>
        <w:t>估价作业期</w:t>
      </w:r>
      <w:r>
        <w:tab/>
      </w:r>
      <w:r>
        <w:fldChar w:fldCharType="begin"/>
      </w:r>
      <w:r>
        <w:instrText xml:space="preserve"> PAGEREF _Toc17892 </w:instrText>
      </w:r>
      <w:r>
        <w:fldChar w:fldCharType="separate"/>
      </w:r>
      <w:r>
        <w:t>- 10 -</w:t>
      </w:r>
      <w:r>
        <w:fldChar w:fldCharType="end"/>
      </w:r>
      <w:r>
        <w:fldChar w:fldCharType="end"/>
      </w:r>
    </w:p>
    <w:p>
      <w:pPr>
        <w:pStyle w:val="18"/>
        <w:tabs>
          <w:tab w:val="right" w:leader="dot" w:pos="8643"/>
        </w:tabs>
      </w:pPr>
      <w:r>
        <w:fldChar w:fldCharType="begin"/>
      </w:r>
      <w:r>
        <w:instrText xml:space="preserve"> HYPERLINK \l _Toc31047 </w:instrText>
      </w:r>
      <w:r>
        <w:fldChar w:fldCharType="separate"/>
      </w:r>
      <w:r>
        <w:rPr>
          <w:rFonts w:hint="eastAsia" w:ascii="宋体" w:hAnsi="宋体"/>
          <w:szCs w:val="28"/>
          <w:lang w:eastAsia="zh-CN"/>
        </w:rPr>
        <w:t>十四</w:t>
      </w:r>
      <w:r>
        <w:rPr>
          <w:rFonts w:hint="eastAsia" w:ascii="宋体" w:hAnsi="宋体"/>
          <w:szCs w:val="28"/>
        </w:rPr>
        <w:t>、估价报告使用期限</w:t>
      </w:r>
      <w:r>
        <w:tab/>
      </w:r>
      <w:r>
        <w:fldChar w:fldCharType="begin"/>
      </w:r>
      <w:r>
        <w:instrText xml:space="preserve"> PAGEREF _Toc31047 </w:instrText>
      </w:r>
      <w:r>
        <w:fldChar w:fldCharType="separate"/>
      </w:r>
      <w:r>
        <w:t>- 10 -</w:t>
      </w:r>
      <w:r>
        <w:fldChar w:fldCharType="end"/>
      </w:r>
      <w:r>
        <w:fldChar w:fldCharType="end"/>
      </w:r>
    </w:p>
    <w:p>
      <w:pPr>
        <w:pStyle w:val="18"/>
        <w:tabs>
          <w:tab w:val="right" w:leader="dot" w:pos="8643"/>
        </w:tabs>
      </w:pPr>
      <w:r>
        <w:fldChar w:fldCharType="begin"/>
      </w:r>
      <w:r>
        <w:instrText xml:space="preserve"> HYPERLINK \l _Toc3336 </w:instrText>
      </w:r>
      <w:r>
        <w:fldChar w:fldCharType="separate"/>
      </w:r>
      <w:r>
        <w:rPr>
          <w:rFonts w:hint="eastAsia"/>
          <w:szCs w:val="30"/>
        </w:rPr>
        <w:t>十</w:t>
      </w:r>
      <w:r>
        <w:rPr>
          <w:rFonts w:hint="eastAsia"/>
          <w:szCs w:val="30"/>
          <w:lang w:eastAsia="zh-CN"/>
        </w:rPr>
        <w:t>五</w:t>
      </w:r>
      <w:r>
        <w:rPr>
          <w:rFonts w:hint="eastAsia"/>
          <w:szCs w:val="30"/>
        </w:rPr>
        <w:t>、附件</w:t>
      </w:r>
      <w:r>
        <w:tab/>
      </w:r>
      <w:r>
        <w:fldChar w:fldCharType="begin"/>
      </w:r>
      <w:r>
        <w:instrText xml:space="preserve"> PAGEREF _Toc3336 </w:instrText>
      </w:r>
      <w:r>
        <w:fldChar w:fldCharType="separate"/>
      </w:r>
      <w:r>
        <w:t>- 10 -</w:t>
      </w:r>
      <w:r>
        <w:fldChar w:fldCharType="end"/>
      </w:r>
      <w:r>
        <w:fldChar w:fldCharType="end"/>
      </w:r>
    </w:p>
    <w:p>
      <w:pPr>
        <w:pStyle w:val="18"/>
        <w:tabs>
          <w:tab w:val="right" w:leader="dot" w:pos="8643"/>
        </w:tabs>
      </w:pPr>
      <w:r>
        <w:fldChar w:fldCharType="begin"/>
      </w:r>
      <w:r>
        <w:instrText xml:space="preserve"> HYPERLINK \l _Toc30900 </w:instrText>
      </w:r>
      <w:r>
        <w:fldChar w:fldCharType="separate"/>
      </w:r>
      <w:r>
        <w:rPr>
          <w:rFonts w:hint="eastAsia" w:ascii="宋体" w:hAnsi="宋体"/>
          <w:szCs w:val="48"/>
        </w:rPr>
        <w:t>估价技术报告</w:t>
      </w:r>
      <w:r>
        <w:tab/>
      </w:r>
      <w:r>
        <w:fldChar w:fldCharType="begin"/>
      </w:r>
      <w:r>
        <w:instrText xml:space="preserve"> PAGEREF _Toc30900 </w:instrText>
      </w:r>
      <w:r>
        <w:fldChar w:fldCharType="separate"/>
      </w:r>
      <w:r>
        <w:t>- 12 -</w:t>
      </w:r>
      <w:r>
        <w:fldChar w:fldCharType="end"/>
      </w:r>
      <w:r>
        <w:fldChar w:fldCharType="end"/>
      </w:r>
    </w:p>
    <w:p>
      <w:pPr>
        <w:pStyle w:val="18"/>
        <w:tabs>
          <w:tab w:val="right" w:leader="dot" w:pos="8643"/>
        </w:tabs>
      </w:pPr>
      <w:r>
        <w:fldChar w:fldCharType="begin"/>
      </w:r>
      <w:r>
        <w:instrText xml:space="preserve"> HYPERLINK \l _Toc15936 </w:instrText>
      </w:r>
      <w:r>
        <w:fldChar w:fldCharType="separate"/>
      </w:r>
      <w:r>
        <w:rPr>
          <w:rFonts w:hint="eastAsia" w:ascii="宋体" w:hAnsi="宋体"/>
          <w:szCs w:val="28"/>
        </w:rPr>
        <w:t>一、实物状况分析</w:t>
      </w:r>
      <w:r>
        <w:tab/>
      </w:r>
      <w:r>
        <w:fldChar w:fldCharType="begin"/>
      </w:r>
      <w:r>
        <w:instrText xml:space="preserve"> PAGEREF _Toc15936 </w:instrText>
      </w:r>
      <w:r>
        <w:fldChar w:fldCharType="separate"/>
      </w:r>
      <w:r>
        <w:t>- 12 -</w:t>
      </w:r>
      <w:r>
        <w:fldChar w:fldCharType="end"/>
      </w:r>
      <w:r>
        <w:fldChar w:fldCharType="end"/>
      </w:r>
    </w:p>
    <w:p>
      <w:pPr>
        <w:pStyle w:val="18"/>
        <w:tabs>
          <w:tab w:val="right" w:leader="dot" w:pos="8643"/>
        </w:tabs>
      </w:pPr>
      <w:r>
        <w:fldChar w:fldCharType="begin"/>
      </w:r>
      <w:r>
        <w:instrText xml:space="preserve"> HYPERLINK \l _Toc8302 </w:instrText>
      </w:r>
      <w:r>
        <w:fldChar w:fldCharType="separate"/>
      </w:r>
      <w:r>
        <w:rPr>
          <w:rFonts w:hint="eastAsia" w:ascii="宋体" w:hAnsi="宋体"/>
          <w:szCs w:val="28"/>
          <w:lang w:eastAsia="zh-CN"/>
        </w:rPr>
        <w:t>二、权益状况分析</w:t>
      </w:r>
      <w:r>
        <w:tab/>
      </w:r>
      <w:r>
        <w:fldChar w:fldCharType="begin"/>
      </w:r>
      <w:r>
        <w:instrText xml:space="preserve"> PAGEREF _Toc8302 </w:instrText>
      </w:r>
      <w:r>
        <w:fldChar w:fldCharType="separate"/>
      </w:r>
      <w:r>
        <w:t>- 12 -</w:t>
      </w:r>
      <w:r>
        <w:fldChar w:fldCharType="end"/>
      </w:r>
      <w:r>
        <w:fldChar w:fldCharType="end"/>
      </w:r>
    </w:p>
    <w:p>
      <w:pPr>
        <w:pStyle w:val="18"/>
        <w:tabs>
          <w:tab w:val="right" w:leader="dot" w:pos="8643"/>
        </w:tabs>
      </w:pPr>
      <w:r>
        <w:fldChar w:fldCharType="begin"/>
      </w:r>
      <w:r>
        <w:instrText xml:space="preserve"> HYPERLINK \l _Toc17429 </w:instrText>
      </w:r>
      <w:r>
        <w:fldChar w:fldCharType="separate"/>
      </w:r>
      <w:r>
        <w:rPr>
          <w:rFonts w:hint="eastAsia"/>
          <w:szCs w:val="28"/>
          <w:lang w:eastAsia="zh-CN"/>
        </w:rPr>
        <w:t>三</w:t>
      </w:r>
      <w:r>
        <w:rPr>
          <w:rFonts w:hint="eastAsia"/>
          <w:szCs w:val="28"/>
        </w:rPr>
        <w:t>、区域因素分析</w:t>
      </w:r>
      <w:r>
        <w:tab/>
      </w:r>
      <w:r>
        <w:fldChar w:fldCharType="begin"/>
      </w:r>
      <w:r>
        <w:instrText xml:space="preserve"> PAGEREF _Toc17429 </w:instrText>
      </w:r>
      <w:r>
        <w:fldChar w:fldCharType="separate"/>
      </w:r>
      <w:r>
        <w:t>- 12 -</w:t>
      </w:r>
      <w:r>
        <w:fldChar w:fldCharType="end"/>
      </w:r>
      <w:r>
        <w:fldChar w:fldCharType="end"/>
      </w:r>
    </w:p>
    <w:p>
      <w:pPr>
        <w:pStyle w:val="18"/>
        <w:tabs>
          <w:tab w:val="right" w:leader="dot" w:pos="8643"/>
        </w:tabs>
      </w:pPr>
      <w:r>
        <w:fldChar w:fldCharType="begin"/>
      </w:r>
      <w:r>
        <w:instrText xml:space="preserve"> HYPERLINK \l _Toc22364 </w:instrText>
      </w:r>
      <w:r>
        <w:fldChar w:fldCharType="separate"/>
      </w:r>
      <w:r>
        <w:rPr>
          <w:rFonts w:hint="eastAsia"/>
          <w:szCs w:val="28"/>
          <w:lang w:eastAsia="zh-CN"/>
        </w:rPr>
        <w:t>四</w:t>
      </w:r>
      <w:r>
        <w:rPr>
          <w:rFonts w:hint="eastAsia"/>
          <w:szCs w:val="28"/>
        </w:rPr>
        <w:t>、最高最佳利用分析</w:t>
      </w:r>
      <w:r>
        <w:tab/>
      </w:r>
      <w:r>
        <w:fldChar w:fldCharType="begin"/>
      </w:r>
      <w:r>
        <w:instrText xml:space="preserve"> PAGEREF _Toc22364 </w:instrText>
      </w:r>
      <w:r>
        <w:fldChar w:fldCharType="separate"/>
      </w:r>
      <w:r>
        <w:t>- 13 -</w:t>
      </w:r>
      <w:r>
        <w:fldChar w:fldCharType="end"/>
      </w:r>
      <w:r>
        <w:fldChar w:fldCharType="end"/>
      </w:r>
    </w:p>
    <w:p>
      <w:pPr>
        <w:pStyle w:val="18"/>
        <w:tabs>
          <w:tab w:val="right" w:leader="dot" w:pos="8643"/>
        </w:tabs>
      </w:pPr>
      <w:r>
        <w:fldChar w:fldCharType="begin"/>
      </w:r>
      <w:r>
        <w:instrText xml:space="preserve"> HYPERLINK \l _Toc6260 </w:instrText>
      </w:r>
      <w:r>
        <w:fldChar w:fldCharType="separate"/>
      </w:r>
      <w:r>
        <w:rPr>
          <w:rFonts w:hint="eastAsia"/>
          <w:szCs w:val="28"/>
          <w:lang w:eastAsia="zh-CN"/>
        </w:rPr>
        <w:t>五</w:t>
      </w:r>
      <w:r>
        <w:rPr>
          <w:rFonts w:hint="eastAsia"/>
          <w:szCs w:val="28"/>
        </w:rPr>
        <w:t>、估价方法选用</w:t>
      </w:r>
      <w:r>
        <w:tab/>
      </w:r>
      <w:r>
        <w:fldChar w:fldCharType="begin"/>
      </w:r>
      <w:r>
        <w:instrText xml:space="preserve"> PAGEREF _Toc6260 </w:instrText>
      </w:r>
      <w:r>
        <w:fldChar w:fldCharType="separate"/>
      </w:r>
      <w:r>
        <w:t>- 14 -</w:t>
      </w:r>
      <w:r>
        <w:fldChar w:fldCharType="end"/>
      </w:r>
      <w:r>
        <w:fldChar w:fldCharType="end"/>
      </w:r>
    </w:p>
    <w:p>
      <w:pPr>
        <w:pStyle w:val="18"/>
        <w:tabs>
          <w:tab w:val="right" w:leader="dot" w:pos="8643"/>
        </w:tabs>
      </w:pPr>
      <w:r>
        <w:fldChar w:fldCharType="begin"/>
      </w:r>
      <w:r>
        <w:instrText xml:space="preserve"> HYPERLINK \l _Toc25945 </w:instrText>
      </w:r>
      <w:r>
        <w:fldChar w:fldCharType="separate"/>
      </w:r>
      <w:r>
        <w:rPr>
          <w:rFonts w:hint="eastAsia"/>
          <w:szCs w:val="28"/>
        </w:rPr>
        <w:t>六</w:t>
      </w:r>
      <w:r>
        <w:rPr>
          <w:rFonts w:hint="eastAsia"/>
          <w:szCs w:val="28"/>
          <w:lang w:eastAsia="zh-CN"/>
        </w:rPr>
        <w:t>、</w:t>
      </w:r>
      <w:r>
        <w:rPr>
          <w:rFonts w:hint="eastAsia"/>
          <w:szCs w:val="28"/>
        </w:rPr>
        <w:t>估价结果</w:t>
      </w:r>
      <w:r>
        <w:tab/>
      </w:r>
      <w:r>
        <w:fldChar w:fldCharType="begin"/>
      </w:r>
      <w:r>
        <w:instrText xml:space="preserve"> PAGEREF _Toc25945 </w:instrText>
      </w:r>
      <w:r>
        <w:fldChar w:fldCharType="separate"/>
      </w:r>
      <w:r>
        <w:t>- 22 -</w:t>
      </w:r>
      <w:r>
        <w:fldChar w:fldCharType="end"/>
      </w:r>
      <w:r>
        <w:fldChar w:fldCharType="end"/>
      </w:r>
    </w:p>
    <w:p>
      <w:pPr>
        <w:pStyle w:val="18"/>
        <w:tabs>
          <w:tab w:val="right" w:leader="dot" w:pos="8643"/>
        </w:tabs>
      </w:pPr>
    </w:p>
    <w:p>
      <w:r>
        <w:fldChar w:fldCharType="end"/>
      </w:r>
    </w:p>
    <w:p>
      <w:pPr>
        <w:spacing w:line="480" w:lineRule="exact"/>
        <w:ind w:firstLine="2613" w:firstLineChars="594"/>
        <w:outlineLvl w:val="0"/>
        <w:rPr>
          <w:rFonts w:hint="eastAsia"/>
          <w:bCs/>
          <w:sz w:val="44"/>
          <w:szCs w:val="44"/>
        </w:rPr>
      </w:pPr>
      <w:r>
        <w:rPr>
          <w:rFonts w:hint="eastAsia"/>
          <w:bCs/>
          <w:sz w:val="44"/>
          <w:szCs w:val="44"/>
        </w:rPr>
        <w:br w:type="page"/>
      </w:r>
      <w:bookmarkStart w:id="8" w:name="_Toc21808"/>
      <w:r>
        <w:rPr>
          <w:rFonts w:hint="eastAsia"/>
          <w:bCs/>
          <w:sz w:val="44"/>
          <w:szCs w:val="44"/>
        </w:rPr>
        <w:t>估 价 师 声 明</w:t>
      </w:r>
      <w:bookmarkEnd w:id="8"/>
    </w:p>
    <w:p>
      <w:pPr>
        <w:rPr>
          <w:rFonts w:hint="eastAsia" w:ascii="宋体" w:hAnsi="宋体"/>
          <w:sz w:val="28"/>
          <w:szCs w:val="28"/>
        </w:rPr>
      </w:pPr>
      <w:r>
        <w:rPr>
          <w:rFonts w:hint="eastAsia" w:ascii="宋体" w:hAnsi="宋体"/>
          <w:sz w:val="28"/>
          <w:szCs w:val="28"/>
        </w:rPr>
        <w:t>我们郑重声明：</w:t>
      </w:r>
    </w:p>
    <w:p>
      <w:pPr>
        <w:rPr>
          <w:rFonts w:hint="eastAsia" w:ascii="宋体" w:hAnsi="宋体"/>
          <w:sz w:val="28"/>
          <w:szCs w:val="28"/>
        </w:rPr>
      </w:pPr>
      <w:r>
        <w:rPr>
          <w:rFonts w:hint="eastAsia" w:ascii="宋体" w:hAnsi="宋体"/>
          <w:sz w:val="28"/>
          <w:szCs w:val="28"/>
        </w:rPr>
        <w:t xml:space="preserve">   1、我们在本报告中陈述的事实是真实和准确的。</w:t>
      </w:r>
    </w:p>
    <w:p>
      <w:pPr>
        <w:rPr>
          <w:rFonts w:hint="eastAsia" w:ascii="宋体" w:hAnsi="宋体"/>
          <w:sz w:val="28"/>
          <w:szCs w:val="28"/>
        </w:rPr>
      </w:pPr>
      <w:r>
        <w:rPr>
          <w:rFonts w:hint="eastAsia" w:ascii="宋体" w:hAnsi="宋体"/>
          <w:sz w:val="28"/>
          <w:szCs w:val="28"/>
        </w:rPr>
        <w:t xml:space="preserve">   2、本报告的意见和结论是我们自己公正的专业分析意见和结论，但受到本估价报告中已说明的假设和限制条件的限制。</w:t>
      </w:r>
    </w:p>
    <w:p>
      <w:pPr>
        <w:rPr>
          <w:rFonts w:hint="eastAsia" w:ascii="宋体" w:hAnsi="宋体"/>
          <w:sz w:val="28"/>
          <w:szCs w:val="28"/>
        </w:rPr>
      </w:pPr>
      <w:r>
        <w:rPr>
          <w:rFonts w:hint="eastAsia" w:ascii="宋体" w:hAnsi="宋体"/>
          <w:sz w:val="28"/>
          <w:szCs w:val="28"/>
        </w:rPr>
        <w:t xml:space="preserve">   3、我们与本估价报告对象没有利害关系，也与有关当事人没有个人利害关系和偏见。</w:t>
      </w:r>
    </w:p>
    <w:p>
      <w:pPr>
        <w:rPr>
          <w:rFonts w:hint="eastAsia" w:ascii="宋体" w:hAnsi="宋体"/>
          <w:sz w:val="28"/>
          <w:szCs w:val="28"/>
        </w:rPr>
      </w:pPr>
      <w:r>
        <w:rPr>
          <w:rFonts w:hint="eastAsia" w:ascii="宋体" w:hAnsi="宋体"/>
          <w:sz w:val="28"/>
          <w:szCs w:val="28"/>
        </w:rPr>
        <w:t xml:space="preserve">   4、我们依照中华人民共和国国家标准《房地产估价规范》进行分析，形成意见和结论，撰写本估价报告。</w:t>
      </w:r>
    </w:p>
    <w:p>
      <w:pPr>
        <w:ind w:firstLine="420" w:firstLineChars="150"/>
        <w:rPr>
          <w:rFonts w:hint="eastAsia" w:ascii="宋体" w:hAnsi="宋体"/>
          <w:sz w:val="28"/>
          <w:szCs w:val="28"/>
        </w:rPr>
      </w:pPr>
      <w:r>
        <w:rPr>
          <w:rFonts w:hint="eastAsia" w:ascii="宋体" w:hAnsi="宋体"/>
          <w:sz w:val="28"/>
          <w:szCs w:val="28"/>
        </w:rPr>
        <w:t xml:space="preserve"> 5、本次估价未考虑因当事人房屋出售、出租、拖欠工程款项、抵顶债务等经济纠纷带来的法律后果，该房地产如有经济纠纷或法律后果，本公司及相关估价人员概不负责。</w:t>
      </w:r>
    </w:p>
    <w:p>
      <w:pPr>
        <w:rPr>
          <w:rFonts w:hint="eastAsia" w:ascii="宋体" w:hAnsi="宋体"/>
          <w:sz w:val="28"/>
          <w:szCs w:val="28"/>
        </w:rPr>
      </w:pPr>
      <w:r>
        <w:rPr>
          <w:rFonts w:hint="eastAsia" w:ascii="宋体" w:hAnsi="宋体"/>
          <w:sz w:val="28"/>
          <w:szCs w:val="28"/>
        </w:rPr>
        <w:t xml:space="preserve">   </w:t>
      </w:r>
      <w:r>
        <w:rPr>
          <w:rFonts w:hint="eastAsia" w:ascii="宋体" w:hAnsi="宋体"/>
          <w:sz w:val="28"/>
          <w:szCs w:val="28"/>
          <w:lang w:val="en-US" w:eastAsia="zh-CN"/>
        </w:rPr>
        <w:t xml:space="preserve"> </w:t>
      </w:r>
      <w:r>
        <w:rPr>
          <w:rFonts w:hint="eastAsia" w:ascii="宋体" w:hAnsi="宋体"/>
          <w:sz w:val="28"/>
          <w:szCs w:val="28"/>
        </w:rPr>
        <w:t>6、我们已对估价报告中的估价对象进行了实地查勘，但实地查勘只限于评估物的外观和使用情况。除非另有协议，评估人员不承担对</w:t>
      </w:r>
      <w:r>
        <w:rPr>
          <w:rFonts w:hint="eastAsia" w:ascii="宋体" w:hAnsi="宋体"/>
          <w:sz w:val="28"/>
          <w:szCs w:val="28"/>
          <w:lang w:eastAsia="zh-CN"/>
        </w:rPr>
        <w:t>估价对象</w:t>
      </w:r>
      <w:r>
        <w:rPr>
          <w:rFonts w:hint="eastAsia" w:ascii="宋体" w:hAnsi="宋体"/>
          <w:sz w:val="28"/>
          <w:szCs w:val="28"/>
        </w:rPr>
        <w:t>建筑质量进行调查的责任及其它被遮盖、未暴露及难于接触到的进行检视的责任。</w:t>
      </w:r>
    </w:p>
    <w:p>
      <w:pPr>
        <w:snapToGrid w:val="0"/>
        <w:spacing w:line="453" w:lineRule="atLeast"/>
        <w:ind w:firstLine="560" w:firstLineChars="200"/>
        <w:rPr>
          <w:rFonts w:hint="eastAsia" w:ascii="宋体" w:hAnsi="宋体"/>
          <w:sz w:val="28"/>
          <w:szCs w:val="28"/>
        </w:rPr>
      </w:pPr>
      <w:r>
        <w:rPr>
          <w:rFonts w:hint="eastAsia" w:ascii="宋体" w:hAnsi="宋体"/>
          <w:sz w:val="28"/>
          <w:szCs w:val="28"/>
        </w:rPr>
        <w:t>7、本报告是本公司独立完成的,没有人对本估价报告提供专业帮助。</w:t>
      </w:r>
    </w:p>
    <w:p>
      <w:pPr>
        <w:snapToGrid w:val="0"/>
        <w:spacing w:line="453" w:lineRule="atLeast"/>
        <w:rPr>
          <w:rFonts w:hint="eastAsia" w:ascii="宋体" w:hAnsi="宋体"/>
          <w:sz w:val="28"/>
          <w:szCs w:val="28"/>
        </w:rPr>
      </w:pPr>
    </w:p>
    <w:p>
      <w:pPr>
        <w:snapToGrid w:val="0"/>
        <w:spacing w:line="453" w:lineRule="atLeast"/>
        <w:ind w:firstLine="980" w:firstLineChars="350"/>
        <w:rPr>
          <w:rFonts w:hint="eastAsia" w:ascii="宋体" w:hAnsi="宋体"/>
          <w:sz w:val="28"/>
          <w:szCs w:val="28"/>
        </w:rPr>
      </w:pPr>
      <w:r>
        <w:rPr>
          <w:rFonts w:hint="eastAsia" w:ascii="宋体" w:hAnsi="宋体"/>
          <w:sz w:val="28"/>
          <w:szCs w:val="28"/>
        </w:rPr>
        <w:t>中国注册房地产估价师</w:t>
      </w:r>
    </w:p>
    <w:p>
      <w:pPr>
        <w:snapToGrid w:val="0"/>
        <w:spacing w:line="453" w:lineRule="atLeast"/>
        <w:ind w:firstLine="980" w:firstLineChars="350"/>
        <w:jc w:val="right"/>
        <w:rPr>
          <w:rFonts w:hint="eastAsia" w:ascii="宋体" w:hAnsi="宋体"/>
          <w:sz w:val="28"/>
          <w:szCs w:val="28"/>
        </w:rPr>
      </w:pPr>
    </w:p>
    <w:p>
      <w:pPr>
        <w:snapToGrid w:val="0"/>
        <w:spacing w:line="453" w:lineRule="atLeast"/>
        <w:jc w:val="both"/>
        <w:rPr>
          <w:rFonts w:hint="eastAsia" w:ascii="宋体" w:hAnsi="宋体"/>
          <w:sz w:val="28"/>
          <w:szCs w:val="28"/>
        </w:rPr>
      </w:pPr>
    </w:p>
    <w:p>
      <w:pPr>
        <w:snapToGrid w:val="0"/>
        <w:spacing w:line="453" w:lineRule="atLeast"/>
        <w:jc w:val="both"/>
        <w:rPr>
          <w:rFonts w:hint="eastAsia" w:ascii="宋体" w:hAnsi="宋体"/>
          <w:sz w:val="28"/>
          <w:szCs w:val="28"/>
        </w:rPr>
      </w:pPr>
    </w:p>
    <w:p>
      <w:pPr>
        <w:spacing w:line="520" w:lineRule="exact"/>
        <w:rPr>
          <w:rFonts w:hint="eastAsia" w:eastAsia="宋体"/>
          <w:sz w:val="24"/>
          <w:lang w:eastAsia="zh-CN"/>
        </w:rPr>
      </w:pPr>
      <w:r>
        <w:rPr>
          <w:rFonts w:hint="eastAsia" w:ascii="宋体" w:hAnsi="宋体"/>
          <w:sz w:val="28"/>
          <w:szCs w:val="28"/>
        </w:rPr>
        <w:t xml:space="preserve">                                   </w:t>
      </w:r>
      <w:r>
        <w:rPr>
          <w:rFonts w:hint="eastAsia" w:ascii="宋体" w:hAnsi="宋体"/>
          <w:sz w:val="28"/>
          <w:szCs w:val="28"/>
          <w:lang w:eastAsia="zh-CN"/>
        </w:rPr>
        <w:t xml:space="preserve"> 二○二○年七月九日</w:t>
      </w:r>
    </w:p>
    <w:p>
      <w:pPr>
        <w:snapToGrid w:val="0"/>
        <w:spacing w:line="453" w:lineRule="atLeast"/>
        <w:ind w:firstLine="1980" w:firstLineChars="450"/>
        <w:outlineLvl w:val="0"/>
        <w:rPr>
          <w:rFonts w:hint="eastAsia" w:ascii="宋体" w:hAnsi="宋体"/>
          <w:bCs/>
          <w:sz w:val="44"/>
          <w:szCs w:val="44"/>
        </w:rPr>
      </w:pPr>
      <w:r>
        <w:rPr>
          <w:rFonts w:ascii="宋体" w:hAnsi="宋体"/>
          <w:bCs/>
          <w:sz w:val="44"/>
          <w:szCs w:val="44"/>
        </w:rPr>
        <w:br w:type="page"/>
      </w:r>
      <w:bookmarkStart w:id="9" w:name="_Toc14542"/>
      <w:r>
        <w:rPr>
          <w:rFonts w:hint="eastAsia" w:ascii="宋体" w:hAnsi="宋体"/>
          <w:bCs/>
          <w:sz w:val="44"/>
          <w:szCs w:val="44"/>
        </w:rPr>
        <w:t>估价假设和限制条件</w:t>
      </w:r>
      <w:bookmarkEnd w:id="9"/>
    </w:p>
    <w:p>
      <w:pPr>
        <w:spacing w:line="520" w:lineRule="exact"/>
        <w:ind w:right="25" w:rightChars="12"/>
        <w:outlineLvl w:val="0"/>
        <w:rPr>
          <w:rFonts w:hint="eastAsia" w:ascii="宋体" w:hAnsi="宋体"/>
          <w:sz w:val="28"/>
          <w:szCs w:val="28"/>
        </w:rPr>
      </w:pPr>
      <w:bookmarkStart w:id="10" w:name="_Toc20546"/>
      <w:r>
        <w:rPr>
          <w:rFonts w:hint="eastAsia" w:ascii="宋体" w:hAnsi="宋体"/>
          <w:sz w:val="28"/>
          <w:szCs w:val="28"/>
        </w:rPr>
        <w:t>一、估价的假设</w:t>
      </w:r>
      <w:bookmarkEnd w:id="10"/>
    </w:p>
    <w:p>
      <w:pPr>
        <w:spacing w:line="520" w:lineRule="exact"/>
        <w:ind w:left="2" w:leftChars="1" w:right="-512" w:rightChars="-244" w:firstLine="560" w:firstLineChars="200"/>
        <w:rPr>
          <w:rFonts w:hint="eastAsia" w:ascii="宋体" w:hAnsi="宋体"/>
          <w:sz w:val="28"/>
          <w:szCs w:val="28"/>
        </w:rPr>
      </w:pPr>
      <w:r>
        <w:rPr>
          <w:rFonts w:hint="eastAsia" w:ascii="宋体" w:hAnsi="宋体"/>
          <w:sz w:val="28"/>
          <w:szCs w:val="28"/>
        </w:rPr>
        <w:t>1、自愿销售的卖主。</w:t>
      </w:r>
    </w:p>
    <w:p>
      <w:pPr>
        <w:spacing w:line="520" w:lineRule="exact"/>
        <w:ind w:right="25" w:rightChars="12" w:firstLine="560" w:firstLineChars="200"/>
        <w:rPr>
          <w:rFonts w:hint="eastAsia" w:ascii="宋体" w:hAnsi="宋体"/>
          <w:sz w:val="28"/>
          <w:szCs w:val="28"/>
        </w:rPr>
      </w:pPr>
      <w:r>
        <w:rPr>
          <w:rFonts w:hint="eastAsia" w:ascii="宋体" w:hAnsi="宋体"/>
          <w:sz w:val="28"/>
          <w:szCs w:val="28"/>
        </w:rPr>
        <w:t>2、有一段合理的洽谈交易的时间，可以通盘考虑房地产性质和市场行情，进行议价。</w:t>
      </w:r>
    </w:p>
    <w:p>
      <w:pPr>
        <w:spacing w:line="520" w:lineRule="exact"/>
        <w:ind w:left="-720" w:leftChars="-343" w:right="25" w:rightChars="12" w:firstLine="1330" w:firstLineChars="475"/>
        <w:rPr>
          <w:rFonts w:hint="eastAsia" w:ascii="宋体" w:hAnsi="宋体"/>
          <w:sz w:val="28"/>
          <w:szCs w:val="28"/>
        </w:rPr>
      </w:pPr>
      <w:r>
        <w:rPr>
          <w:rFonts w:hint="eastAsia" w:ascii="宋体" w:hAnsi="宋体"/>
          <w:sz w:val="28"/>
          <w:szCs w:val="28"/>
        </w:rPr>
        <w:t>3、在此期间房地产价值将保持稳定。</w:t>
      </w:r>
    </w:p>
    <w:p>
      <w:pPr>
        <w:spacing w:line="520" w:lineRule="exact"/>
        <w:ind w:left="-720" w:leftChars="-343" w:right="25" w:rightChars="12" w:firstLine="1330" w:firstLineChars="475"/>
        <w:rPr>
          <w:rFonts w:hint="eastAsia" w:ascii="宋体" w:hAnsi="宋体"/>
          <w:sz w:val="28"/>
          <w:szCs w:val="28"/>
        </w:rPr>
      </w:pPr>
      <w:r>
        <w:rPr>
          <w:rFonts w:hint="eastAsia" w:ascii="宋体" w:hAnsi="宋体"/>
          <w:sz w:val="28"/>
          <w:szCs w:val="28"/>
        </w:rPr>
        <w:t>4、该房地产可以在公开市场上自由转让。</w:t>
      </w:r>
    </w:p>
    <w:p>
      <w:pPr>
        <w:spacing w:line="520" w:lineRule="exact"/>
        <w:ind w:left="-720" w:leftChars="-343" w:right="25" w:rightChars="12" w:firstLine="1330" w:firstLineChars="475"/>
        <w:rPr>
          <w:rFonts w:hint="eastAsia" w:ascii="宋体" w:hAnsi="宋体"/>
          <w:sz w:val="28"/>
          <w:szCs w:val="28"/>
        </w:rPr>
      </w:pPr>
      <w:r>
        <w:rPr>
          <w:rFonts w:hint="eastAsia" w:ascii="宋体" w:hAnsi="宋体"/>
          <w:sz w:val="28"/>
          <w:szCs w:val="28"/>
        </w:rPr>
        <w:t>5、不考虑特殊买家的额外出价。</w:t>
      </w:r>
    </w:p>
    <w:p>
      <w:pPr>
        <w:spacing w:line="520" w:lineRule="exact"/>
        <w:ind w:right="25" w:rightChars="12" w:firstLine="560" w:firstLineChars="200"/>
        <w:rPr>
          <w:rFonts w:hint="eastAsia" w:ascii="宋体" w:hAnsi="宋体"/>
          <w:sz w:val="28"/>
          <w:szCs w:val="28"/>
        </w:rPr>
      </w:pPr>
      <w:r>
        <w:rPr>
          <w:rFonts w:hint="eastAsia" w:ascii="宋体" w:hAnsi="宋体"/>
          <w:sz w:val="28"/>
          <w:szCs w:val="28"/>
          <w:lang w:val="en-US" w:eastAsia="zh-CN"/>
        </w:rPr>
        <w:t>6</w:t>
      </w:r>
      <w:r>
        <w:rPr>
          <w:rFonts w:hint="eastAsia" w:ascii="宋体" w:hAnsi="宋体"/>
          <w:sz w:val="28"/>
          <w:szCs w:val="28"/>
        </w:rPr>
        <w:t>、因受专业限制，我们无法承担对估价对象的隐蔽工程、建筑结构以及附于建筑物的各种设备设施的内在质量进行检测调查的责任。因此我们对估价对象的实地查勘仅限于外观和使用现状的一般性勘察。</w:t>
      </w:r>
    </w:p>
    <w:p>
      <w:pPr>
        <w:spacing w:line="520" w:lineRule="exact"/>
        <w:ind w:right="25" w:rightChars="12"/>
        <w:outlineLvl w:val="0"/>
        <w:rPr>
          <w:rFonts w:hint="eastAsia" w:ascii="宋体" w:hAnsi="宋体"/>
          <w:sz w:val="28"/>
          <w:szCs w:val="28"/>
        </w:rPr>
      </w:pPr>
      <w:bookmarkStart w:id="11" w:name="_Toc6704"/>
      <w:r>
        <w:rPr>
          <w:rFonts w:hint="eastAsia" w:ascii="宋体" w:hAnsi="宋体"/>
          <w:sz w:val="28"/>
          <w:szCs w:val="28"/>
        </w:rPr>
        <w:t>二、估价的限制条件</w:t>
      </w:r>
      <w:bookmarkEnd w:id="11"/>
    </w:p>
    <w:p>
      <w:pPr>
        <w:spacing w:line="500" w:lineRule="exact"/>
        <w:ind w:left="2" w:right="25" w:rightChars="12" w:firstLine="560" w:firstLineChars="200"/>
        <w:rPr>
          <w:rFonts w:hint="eastAsia" w:ascii="宋体" w:hAnsi="宋体"/>
          <w:sz w:val="28"/>
          <w:szCs w:val="28"/>
        </w:rPr>
      </w:pPr>
      <w:r>
        <w:rPr>
          <w:rFonts w:hint="eastAsia" w:ascii="宋体" w:hAnsi="宋体"/>
          <w:sz w:val="28"/>
          <w:szCs w:val="28"/>
        </w:rPr>
        <w:t>1、本次估价房屋用途、建筑面积及其他相关资料参照委托方提供的</w:t>
      </w:r>
      <w:r>
        <w:rPr>
          <w:rFonts w:hint="eastAsia" w:ascii="宋体" w:hAnsi="宋体"/>
          <w:sz w:val="28"/>
          <w:szCs w:val="28"/>
          <w:lang w:eastAsia="zh-CN"/>
        </w:rPr>
        <w:t>资料及</w:t>
      </w:r>
      <w:r>
        <w:rPr>
          <w:rFonts w:hint="eastAsia" w:ascii="宋体" w:hAnsi="宋体"/>
          <w:sz w:val="28"/>
          <w:szCs w:val="28"/>
        </w:rPr>
        <w:t>数据为基本评估依据，如因该房地产</w:t>
      </w:r>
      <w:r>
        <w:rPr>
          <w:rFonts w:hint="eastAsia" w:ascii="宋体" w:hAnsi="宋体"/>
          <w:sz w:val="28"/>
          <w:szCs w:val="28"/>
          <w:lang w:eastAsia="zh-CN"/>
        </w:rPr>
        <w:t>权属、面积</w:t>
      </w:r>
      <w:r>
        <w:rPr>
          <w:rFonts w:hint="eastAsia" w:ascii="宋体" w:hAnsi="宋体"/>
          <w:sz w:val="28"/>
          <w:szCs w:val="28"/>
        </w:rPr>
        <w:t>的真实性</w:t>
      </w:r>
      <w:r>
        <w:rPr>
          <w:rFonts w:hint="eastAsia" w:ascii="宋体" w:hAnsi="宋体"/>
          <w:sz w:val="28"/>
          <w:szCs w:val="28"/>
          <w:lang w:eastAsia="zh-CN"/>
        </w:rPr>
        <w:t>和</w:t>
      </w:r>
      <w:r>
        <w:rPr>
          <w:rFonts w:hint="eastAsia" w:ascii="宋体" w:hAnsi="宋体"/>
          <w:sz w:val="28"/>
          <w:szCs w:val="28"/>
        </w:rPr>
        <w:t>合法性引起的一切法律责任均由委托方承担。</w:t>
      </w:r>
    </w:p>
    <w:p>
      <w:pPr>
        <w:keepNext w:val="0"/>
        <w:keepLines w:val="0"/>
        <w:pageBreakBefore w:val="0"/>
        <w:widowControl w:val="0"/>
        <w:kinsoku/>
        <w:wordWrap/>
        <w:overflowPunct/>
        <w:topLinePunct w:val="0"/>
        <w:autoSpaceDE/>
        <w:autoSpaceDN/>
        <w:bidi w:val="0"/>
        <w:adjustRightInd/>
        <w:spacing w:line="460" w:lineRule="exact"/>
        <w:ind w:right="25" w:rightChars="12" w:firstLine="560" w:firstLineChars="200"/>
        <w:textAlignment w:val="auto"/>
        <w:rPr>
          <w:rFonts w:hint="eastAsia" w:ascii="宋体" w:hAnsi="宋体"/>
          <w:sz w:val="28"/>
          <w:szCs w:val="28"/>
        </w:rPr>
      </w:pPr>
      <w:r>
        <w:rPr>
          <w:rFonts w:hint="eastAsia" w:ascii="宋体" w:hAnsi="宋体"/>
          <w:sz w:val="28"/>
          <w:szCs w:val="28"/>
        </w:rPr>
        <w:t>2、本次评估项目内容是由委托方确定，估价结果只为委托人委估房地产市场价值提供参考</w:t>
      </w:r>
      <w:r>
        <w:rPr>
          <w:rFonts w:hint="eastAsia" w:ascii="宋体" w:hAnsi="宋体"/>
          <w:color w:val="000000"/>
          <w:sz w:val="28"/>
          <w:szCs w:val="28"/>
        </w:rPr>
        <w:t>，</w:t>
      </w:r>
      <w:r>
        <w:rPr>
          <w:rFonts w:hint="eastAsia" w:ascii="宋体" w:hAnsi="宋体"/>
          <w:sz w:val="28"/>
          <w:szCs w:val="28"/>
        </w:rPr>
        <w:t>如使用者未经本公司及相关估价人员允许擅自改变估价用途及估价目的，本公司及相关估价人员不承担任何经济及法律责任。</w:t>
      </w:r>
    </w:p>
    <w:p>
      <w:pPr>
        <w:spacing w:line="520" w:lineRule="exact"/>
        <w:ind w:right="25" w:rightChars="12" w:firstLine="560" w:firstLineChars="200"/>
        <w:rPr>
          <w:rFonts w:hint="eastAsia" w:ascii="宋体" w:hAnsi="宋体"/>
          <w:sz w:val="28"/>
          <w:szCs w:val="28"/>
        </w:rPr>
      </w:pPr>
      <w:r>
        <w:rPr>
          <w:rFonts w:hint="eastAsia" w:ascii="宋体" w:hAnsi="宋体"/>
          <w:sz w:val="28"/>
          <w:szCs w:val="28"/>
        </w:rPr>
        <w:t>3、未经本估价机构书面同意，本报告的全部或任何一部分均不得向委托方、报告使用者、报告审查部门之外的单位和个人提供，也不得以任何形式公开发表。</w:t>
      </w:r>
    </w:p>
    <w:p>
      <w:pPr>
        <w:keepNext w:val="0"/>
        <w:keepLines w:val="0"/>
        <w:pageBreakBefore w:val="0"/>
        <w:widowControl w:val="0"/>
        <w:kinsoku/>
        <w:wordWrap/>
        <w:overflowPunct/>
        <w:topLinePunct w:val="0"/>
        <w:autoSpaceDE/>
        <w:autoSpaceDN/>
        <w:bidi w:val="0"/>
        <w:adjustRightInd/>
        <w:snapToGrid w:val="0"/>
        <w:spacing w:line="460" w:lineRule="exact"/>
        <w:ind w:firstLine="560" w:firstLineChars="200"/>
        <w:textAlignment w:val="auto"/>
        <w:rPr>
          <w:rFonts w:hint="eastAsia" w:ascii="宋体" w:hAnsi="宋体"/>
          <w:sz w:val="28"/>
          <w:szCs w:val="28"/>
          <w:lang w:val="en-US" w:eastAsia="zh-CN"/>
        </w:rPr>
      </w:pPr>
      <w:r>
        <w:rPr>
          <w:rFonts w:hint="eastAsia" w:ascii="宋体" w:hAnsi="宋体"/>
          <w:sz w:val="28"/>
          <w:szCs w:val="28"/>
          <w:lang w:val="en-US" w:eastAsia="zh-CN"/>
        </w:rPr>
        <w:t>4</w:t>
      </w:r>
      <w:r>
        <w:rPr>
          <w:rFonts w:hint="eastAsia" w:ascii="宋体" w:hAnsi="宋体"/>
          <w:sz w:val="28"/>
          <w:szCs w:val="28"/>
        </w:rPr>
        <w:t>、本次评估报告在市场价格无较大波动情况下自出具估价报告之日起有效期为壹年（但在市场状况变化很大时评估报告有效期超过半年（含）的，即需要重新评估）。</w:t>
      </w:r>
      <w:r>
        <w:rPr>
          <w:rFonts w:ascii="宋体" w:hAnsi="宋体"/>
          <w:sz w:val="28"/>
          <w:szCs w:val="28"/>
        </w:rPr>
        <w:t xml:space="preserve"> </w:t>
      </w:r>
    </w:p>
    <w:p>
      <w:pPr>
        <w:keepNext w:val="0"/>
        <w:keepLines w:val="0"/>
        <w:pageBreakBefore w:val="0"/>
        <w:widowControl w:val="0"/>
        <w:kinsoku/>
        <w:wordWrap/>
        <w:overflowPunct/>
        <w:topLinePunct w:val="0"/>
        <w:autoSpaceDE/>
        <w:autoSpaceDN/>
        <w:bidi w:val="0"/>
        <w:adjustRightInd/>
        <w:snapToGrid w:val="0"/>
        <w:spacing w:line="460" w:lineRule="exact"/>
        <w:ind w:firstLine="560" w:firstLineChars="200"/>
        <w:textAlignment w:val="auto"/>
        <w:rPr>
          <w:rFonts w:hint="eastAsia" w:ascii="宋体" w:hAnsi="宋体" w:eastAsia="宋体"/>
          <w:sz w:val="28"/>
          <w:szCs w:val="28"/>
          <w:lang w:val="en-US" w:eastAsia="zh-CN"/>
        </w:rPr>
      </w:pPr>
      <w:r>
        <w:rPr>
          <w:rFonts w:hint="eastAsia" w:ascii="宋体" w:hAnsi="宋体"/>
          <w:sz w:val="28"/>
          <w:szCs w:val="28"/>
          <w:lang w:val="en-US" w:eastAsia="zh-CN"/>
        </w:rPr>
        <w:t>5</w:t>
      </w:r>
      <w:r>
        <w:rPr>
          <w:rFonts w:hint="eastAsia" w:ascii="宋体" w:hAnsi="宋体"/>
          <w:sz w:val="28"/>
          <w:szCs w:val="28"/>
        </w:rPr>
        <w:t>、本报告估价结果为估价对象估价范围内包括房屋</w:t>
      </w:r>
      <w:r>
        <w:rPr>
          <w:rFonts w:hint="eastAsia" w:ascii="宋体" w:hAnsi="宋体"/>
          <w:sz w:val="28"/>
          <w:szCs w:val="28"/>
          <w:lang w:eastAsia="zh-CN"/>
        </w:rPr>
        <w:t>、</w:t>
      </w:r>
      <w:r>
        <w:rPr>
          <w:rFonts w:hint="eastAsia" w:ascii="宋体" w:hAnsi="宋体"/>
          <w:sz w:val="28"/>
          <w:szCs w:val="28"/>
        </w:rPr>
        <w:t>房屋室内</w:t>
      </w:r>
      <w:r>
        <w:rPr>
          <w:rFonts w:hint="eastAsia" w:ascii="宋体" w:hAnsi="宋体"/>
          <w:sz w:val="28"/>
          <w:szCs w:val="28"/>
          <w:lang w:eastAsia="zh-CN"/>
        </w:rPr>
        <w:t>外</w:t>
      </w:r>
      <w:r>
        <w:rPr>
          <w:rFonts w:hint="eastAsia" w:ascii="宋体" w:hAnsi="宋体"/>
          <w:sz w:val="28"/>
          <w:szCs w:val="28"/>
        </w:rPr>
        <w:t>固定装修及统一配备的水、电、暖等设施</w:t>
      </w:r>
      <w:r>
        <w:rPr>
          <w:rFonts w:hint="eastAsia" w:ascii="宋体" w:hAnsi="宋体"/>
          <w:sz w:val="28"/>
          <w:szCs w:val="28"/>
          <w:lang w:eastAsia="zh-CN"/>
        </w:rPr>
        <w:t>、土地使用权及地上附着物</w:t>
      </w:r>
      <w:r>
        <w:rPr>
          <w:rFonts w:hint="eastAsia" w:ascii="宋体" w:hAnsi="宋体"/>
          <w:sz w:val="28"/>
          <w:szCs w:val="28"/>
        </w:rPr>
        <w:t>，不包含可移动的设施设备等其他财产</w:t>
      </w:r>
      <w:r>
        <w:rPr>
          <w:rFonts w:hint="eastAsia" w:ascii="宋体" w:hAnsi="宋体"/>
          <w:sz w:val="28"/>
          <w:szCs w:val="28"/>
          <w:lang w:eastAsia="zh-CN"/>
        </w:rPr>
        <w:t>，提醒报告使用者注意。</w:t>
      </w:r>
    </w:p>
    <w:p>
      <w:pPr>
        <w:keepNext w:val="0"/>
        <w:keepLines w:val="0"/>
        <w:pageBreakBefore w:val="0"/>
        <w:widowControl w:val="0"/>
        <w:kinsoku/>
        <w:wordWrap/>
        <w:overflowPunct/>
        <w:topLinePunct w:val="0"/>
        <w:autoSpaceDE/>
        <w:autoSpaceDN/>
        <w:bidi w:val="0"/>
        <w:adjustRightInd/>
        <w:snapToGrid w:val="0"/>
        <w:spacing w:line="460" w:lineRule="exact"/>
        <w:ind w:firstLine="560" w:firstLineChars="200"/>
        <w:textAlignment w:val="auto"/>
        <w:rPr>
          <w:rFonts w:hint="eastAsia" w:ascii="宋体" w:hAnsi="宋体"/>
          <w:sz w:val="28"/>
          <w:szCs w:val="28"/>
          <w:lang w:val="en-US" w:eastAsia="zh-CN"/>
        </w:rPr>
      </w:pPr>
      <w:r>
        <w:rPr>
          <w:rFonts w:hint="eastAsia" w:ascii="宋体" w:hAnsi="宋体"/>
          <w:sz w:val="28"/>
          <w:szCs w:val="28"/>
          <w:lang w:val="en-US" w:eastAsia="zh-CN"/>
        </w:rPr>
        <w:t>6</w:t>
      </w:r>
      <w:r>
        <w:rPr>
          <w:rFonts w:hint="eastAsia" w:ascii="宋体" w:hAnsi="宋体"/>
          <w:sz w:val="28"/>
          <w:szCs w:val="28"/>
        </w:rPr>
        <w:t>、本次估价未考虑因当事人房屋出售、出租、拖欠工程款项、抵</w:t>
      </w:r>
      <w:r>
        <w:rPr>
          <w:rFonts w:hint="eastAsia" w:ascii="宋体" w:hAnsi="宋体"/>
          <w:sz w:val="28"/>
          <w:szCs w:val="28"/>
          <w:lang w:val="en-US" w:eastAsia="zh-CN"/>
        </w:rPr>
        <w:t>顶债务等经济纠纷带来的法律后果，该房地产如有经济纠纷或法律后果，本公司及相关估价人员概不负责。</w:t>
      </w:r>
    </w:p>
    <w:p>
      <w:pPr>
        <w:keepNext w:val="0"/>
        <w:keepLines w:val="0"/>
        <w:pageBreakBefore w:val="0"/>
        <w:widowControl w:val="0"/>
        <w:kinsoku/>
        <w:wordWrap/>
        <w:overflowPunct/>
        <w:topLinePunct w:val="0"/>
        <w:autoSpaceDE/>
        <w:autoSpaceDN/>
        <w:bidi w:val="0"/>
        <w:adjustRightInd/>
        <w:snapToGrid w:val="0"/>
        <w:spacing w:line="460" w:lineRule="exact"/>
        <w:ind w:firstLine="560" w:firstLineChars="200"/>
        <w:textAlignment w:val="auto"/>
        <w:rPr>
          <w:rFonts w:hint="eastAsia" w:ascii="宋体" w:hAnsi="宋体"/>
          <w:color w:val="auto"/>
          <w:sz w:val="28"/>
          <w:szCs w:val="28"/>
          <w:lang w:val="en-US" w:eastAsia="zh-CN"/>
        </w:rPr>
      </w:pPr>
      <w:r>
        <w:rPr>
          <w:rFonts w:hint="eastAsia" w:ascii="宋体" w:hAnsi="宋体"/>
          <w:color w:val="auto"/>
          <w:sz w:val="28"/>
          <w:szCs w:val="28"/>
          <w:lang w:val="en-US" w:eastAsia="zh-CN"/>
        </w:rPr>
        <w:t>7、估价对象所处的房地产市场或估价对象本身在本报告估价结果的使用期限内发生了重大变化，该估价对象必须重新估价。</w:t>
      </w:r>
    </w:p>
    <w:p>
      <w:pPr>
        <w:keepNext w:val="0"/>
        <w:keepLines w:val="0"/>
        <w:pageBreakBefore w:val="0"/>
        <w:widowControl w:val="0"/>
        <w:kinsoku/>
        <w:wordWrap/>
        <w:overflowPunct/>
        <w:topLinePunct w:val="0"/>
        <w:autoSpaceDE/>
        <w:autoSpaceDN/>
        <w:bidi w:val="0"/>
        <w:adjustRightInd/>
        <w:snapToGrid w:val="0"/>
        <w:spacing w:line="460" w:lineRule="exact"/>
        <w:ind w:firstLine="560" w:firstLineChars="200"/>
        <w:textAlignment w:val="auto"/>
        <w:rPr>
          <w:rFonts w:hint="eastAsia" w:ascii="宋体" w:hAnsi="宋体"/>
          <w:sz w:val="28"/>
          <w:szCs w:val="28"/>
          <w:lang w:val="en-US" w:eastAsia="zh-CN"/>
        </w:rPr>
      </w:pPr>
      <w:r>
        <w:rPr>
          <w:rFonts w:hint="eastAsia" w:ascii="宋体" w:hAnsi="宋体"/>
          <w:color w:val="auto"/>
          <w:sz w:val="28"/>
          <w:szCs w:val="28"/>
          <w:lang w:val="en-US" w:eastAsia="zh-CN"/>
        </w:rPr>
        <w:t>8、本次估价报告计算过程中总价</w:t>
      </w:r>
      <w:r>
        <w:rPr>
          <w:rFonts w:hint="eastAsia" w:ascii="宋体" w:hAnsi="宋体"/>
          <w:sz w:val="28"/>
          <w:szCs w:val="28"/>
          <w:lang w:val="en-US" w:eastAsia="zh-CN"/>
        </w:rPr>
        <w:t>和单价均四舍五入取整数，单价乘建筑面积后所得结果和总价有微小差别，以总价为准。</w:t>
      </w:r>
    </w:p>
    <w:p>
      <w:pPr>
        <w:keepNext w:val="0"/>
        <w:keepLines w:val="0"/>
        <w:pageBreakBefore w:val="0"/>
        <w:widowControl w:val="0"/>
        <w:kinsoku/>
        <w:wordWrap/>
        <w:overflowPunct/>
        <w:topLinePunct w:val="0"/>
        <w:autoSpaceDE/>
        <w:autoSpaceDN/>
        <w:bidi w:val="0"/>
        <w:adjustRightInd/>
        <w:spacing w:line="480" w:lineRule="exact"/>
        <w:ind w:firstLine="560" w:firstLineChars="200"/>
        <w:textAlignment w:val="auto"/>
        <w:rPr>
          <w:rFonts w:hint="default" w:ascii="宋体" w:hAnsi="宋体"/>
          <w:sz w:val="28"/>
          <w:szCs w:val="28"/>
          <w:lang w:val="en-US" w:eastAsia="zh-CN"/>
        </w:rPr>
      </w:pPr>
    </w:p>
    <w:p>
      <w:pPr>
        <w:keepNext w:val="0"/>
        <w:keepLines w:val="0"/>
        <w:pageBreakBefore w:val="0"/>
        <w:widowControl w:val="0"/>
        <w:kinsoku/>
        <w:wordWrap/>
        <w:overflowPunct/>
        <w:topLinePunct w:val="0"/>
        <w:autoSpaceDE/>
        <w:autoSpaceDN/>
        <w:bidi w:val="0"/>
        <w:adjustRightInd/>
        <w:spacing w:line="480" w:lineRule="exact"/>
        <w:ind w:firstLine="560" w:firstLineChars="200"/>
        <w:textAlignment w:val="auto"/>
        <w:rPr>
          <w:rFonts w:hint="eastAsia" w:ascii="宋体" w:hAnsi="宋体"/>
          <w:sz w:val="28"/>
          <w:szCs w:val="28"/>
          <w:lang w:val="en-US" w:eastAsia="zh-CN"/>
        </w:rPr>
      </w:pPr>
    </w:p>
    <w:p>
      <w:pPr>
        <w:keepNext w:val="0"/>
        <w:keepLines w:val="0"/>
        <w:pageBreakBefore w:val="0"/>
        <w:widowControl w:val="0"/>
        <w:kinsoku/>
        <w:wordWrap/>
        <w:overflowPunct/>
        <w:topLinePunct w:val="0"/>
        <w:autoSpaceDE/>
        <w:autoSpaceDN/>
        <w:bidi w:val="0"/>
        <w:adjustRightInd/>
        <w:spacing w:line="480" w:lineRule="exact"/>
        <w:ind w:firstLine="560" w:firstLineChars="200"/>
        <w:textAlignment w:val="auto"/>
        <w:rPr>
          <w:rFonts w:hint="eastAsia" w:ascii="宋体" w:hAnsi="宋体"/>
          <w:sz w:val="28"/>
          <w:szCs w:val="28"/>
          <w:lang w:val="en-US" w:eastAsia="zh-CN"/>
        </w:rPr>
      </w:pPr>
    </w:p>
    <w:p>
      <w:pPr>
        <w:keepNext w:val="0"/>
        <w:keepLines w:val="0"/>
        <w:pageBreakBefore w:val="0"/>
        <w:widowControl w:val="0"/>
        <w:kinsoku/>
        <w:wordWrap/>
        <w:overflowPunct/>
        <w:topLinePunct w:val="0"/>
        <w:autoSpaceDE/>
        <w:autoSpaceDN/>
        <w:bidi w:val="0"/>
        <w:adjustRightInd/>
        <w:spacing w:line="480" w:lineRule="exact"/>
        <w:ind w:firstLine="560" w:firstLineChars="200"/>
        <w:textAlignment w:val="auto"/>
        <w:rPr>
          <w:rFonts w:hint="eastAsia" w:ascii="宋体" w:hAnsi="宋体"/>
          <w:sz w:val="28"/>
          <w:szCs w:val="28"/>
          <w:lang w:val="en-US" w:eastAsia="zh-CN"/>
        </w:rPr>
      </w:pPr>
    </w:p>
    <w:p>
      <w:pPr>
        <w:keepNext w:val="0"/>
        <w:keepLines w:val="0"/>
        <w:pageBreakBefore w:val="0"/>
        <w:widowControl w:val="0"/>
        <w:kinsoku/>
        <w:wordWrap/>
        <w:overflowPunct/>
        <w:topLinePunct w:val="0"/>
        <w:autoSpaceDE/>
        <w:autoSpaceDN/>
        <w:bidi w:val="0"/>
        <w:adjustRightInd/>
        <w:spacing w:line="480" w:lineRule="exact"/>
        <w:ind w:firstLine="560" w:firstLineChars="200"/>
        <w:textAlignment w:val="auto"/>
        <w:rPr>
          <w:rFonts w:hint="eastAsia" w:ascii="宋体" w:hAnsi="宋体"/>
          <w:sz w:val="28"/>
          <w:szCs w:val="28"/>
          <w:lang w:val="en-US" w:eastAsia="zh-CN"/>
        </w:rPr>
      </w:pPr>
    </w:p>
    <w:p>
      <w:pPr>
        <w:keepNext w:val="0"/>
        <w:keepLines w:val="0"/>
        <w:pageBreakBefore w:val="0"/>
        <w:widowControl w:val="0"/>
        <w:kinsoku/>
        <w:wordWrap/>
        <w:overflowPunct/>
        <w:topLinePunct w:val="0"/>
        <w:autoSpaceDE/>
        <w:autoSpaceDN/>
        <w:bidi w:val="0"/>
        <w:adjustRightInd/>
        <w:spacing w:line="480" w:lineRule="exact"/>
        <w:ind w:firstLine="560" w:firstLineChars="200"/>
        <w:textAlignment w:val="auto"/>
        <w:rPr>
          <w:rFonts w:hint="eastAsia" w:ascii="宋体" w:hAnsi="宋体"/>
          <w:sz w:val="28"/>
          <w:szCs w:val="28"/>
          <w:lang w:val="en-US" w:eastAsia="zh-CN"/>
        </w:rPr>
      </w:pPr>
    </w:p>
    <w:p>
      <w:pPr>
        <w:keepNext w:val="0"/>
        <w:keepLines w:val="0"/>
        <w:pageBreakBefore w:val="0"/>
        <w:widowControl w:val="0"/>
        <w:kinsoku/>
        <w:wordWrap/>
        <w:overflowPunct/>
        <w:topLinePunct w:val="0"/>
        <w:autoSpaceDE/>
        <w:autoSpaceDN/>
        <w:bidi w:val="0"/>
        <w:adjustRightInd/>
        <w:spacing w:line="480" w:lineRule="exact"/>
        <w:ind w:firstLine="560" w:firstLineChars="200"/>
        <w:textAlignment w:val="auto"/>
        <w:rPr>
          <w:rFonts w:hint="eastAsia" w:ascii="宋体" w:hAnsi="宋体"/>
          <w:sz w:val="28"/>
          <w:szCs w:val="28"/>
          <w:lang w:val="en-US" w:eastAsia="zh-CN"/>
        </w:rPr>
      </w:pPr>
    </w:p>
    <w:p>
      <w:pPr>
        <w:keepNext w:val="0"/>
        <w:keepLines w:val="0"/>
        <w:pageBreakBefore w:val="0"/>
        <w:widowControl w:val="0"/>
        <w:kinsoku/>
        <w:wordWrap/>
        <w:overflowPunct/>
        <w:topLinePunct w:val="0"/>
        <w:autoSpaceDE/>
        <w:autoSpaceDN/>
        <w:bidi w:val="0"/>
        <w:adjustRightInd/>
        <w:spacing w:line="480" w:lineRule="exact"/>
        <w:ind w:firstLine="560" w:firstLineChars="200"/>
        <w:textAlignment w:val="auto"/>
        <w:rPr>
          <w:rFonts w:hint="eastAsia" w:ascii="宋体" w:hAnsi="宋体"/>
          <w:sz w:val="28"/>
          <w:szCs w:val="28"/>
          <w:lang w:val="en-US" w:eastAsia="zh-CN"/>
        </w:rPr>
      </w:pPr>
    </w:p>
    <w:p>
      <w:pPr>
        <w:keepNext w:val="0"/>
        <w:keepLines w:val="0"/>
        <w:pageBreakBefore w:val="0"/>
        <w:widowControl w:val="0"/>
        <w:kinsoku/>
        <w:wordWrap/>
        <w:overflowPunct/>
        <w:topLinePunct w:val="0"/>
        <w:autoSpaceDE/>
        <w:autoSpaceDN/>
        <w:bidi w:val="0"/>
        <w:adjustRightInd/>
        <w:spacing w:line="480" w:lineRule="exact"/>
        <w:ind w:firstLine="560" w:firstLineChars="200"/>
        <w:textAlignment w:val="auto"/>
        <w:rPr>
          <w:rFonts w:hint="eastAsia" w:ascii="宋体" w:hAnsi="宋体"/>
          <w:sz w:val="28"/>
          <w:szCs w:val="28"/>
          <w:lang w:val="en-US" w:eastAsia="zh-CN"/>
        </w:rPr>
      </w:pPr>
    </w:p>
    <w:p>
      <w:pPr>
        <w:keepNext w:val="0"/>
        <w:keepLines w:val="0"/>
        <w:pageBreakBefore w:val="0"/>
        <w:widowControl w:val="0"/>
        <w:kinsoku/>
        <w:wordWrap/>
        <w:overflowPunct/>
        <w:topLinePunct w:val="0"/>
        <w:autoSpaceDE/>
        <w:autoSpaceDN/>
        <w:bidi w:val="0"/>
        <w:adjustRightInd/>
        <w:spacing w:line="480" w:lineRule="exact"/>
        <w:ind w:firstLine="560" w:firstLineChars="200"/>
        <w:textAlignment w:val="auto"/>
        <w:rPr>
          <w:rFonts w:hint="eastAsia" w:ascii="宋体" w:hAnsi="宋体"/>
          <w:sz w:val="28"/>
          <w:szCs w:val="28"/>
          <w:lang w:val="en-US" w:eastAsia="zh-CN"/>
        </w:rPr>
      </w:pPr>
    </w:p>
    <w:p>
      <w:pPr>
        <w:keepNext w:val="0"/>
        <w:keepLines w:val="0"/>
        <w:pageBreakBefore w:val="0"/>
        <w:widowControl w:val="0"/>
        <w:kinsoku/>
        <w:wordWrap/>
        <w:overflowPunct/>
        <w:topLinePunct w:val="0"/>
        <w:autoSpaceDE/>
        <w:autoSpaceDN/>
        <w:bidi w:val="0"/>
        <w:adjustRightInd/>
        <w:spacing w:line="480" w:lineRule="exact"/>
        <w:ind w:firstLine="560" w:firstLineChars="200"/>
        <w:textAlignment w:val="auto"/>
        <w:rPr>
          <w:rFonts w:hint="eastAsia" w:ascii="宋体" w:hAnsi="宋体"/>
          <w:sz w:val="28"/>
          <w:szCs w:val="28"/>
          <w:lang w:val="en-US" w:eastAsia="zh-CN"/>
        </w:rPr>
      </w:pPr>
    </w:p>
    <w:p>
      <w:pPr>
        <w:keepNext w:val="0"/>
        <w:keepLines w:val="0"/>
        <w:pageBreakBefore w:val="0"/>
        <w:widowControl w:val="0"/>
        <w:kinsoku/>
        <w:wordWrap/>
        <w:overflowPunct/>
        <w:topLinePunct w:val="0"/>
        <w:autoSpaceDE/>
        <w:autoSpaceDN/>
        <w:bidi w:val="0"/>
        <w:adjustRightInd/>
        <w:spacing w:line="480" w:lineRule="exact"/>
        <w:ind w:firstLine="560" w:firstLineChars="200"/>
        <w:textAlignment w:val="auto"/>
        <w:rPr>
          <w:rFonts w:hint="eastAsia" w:ascii="宋体" w:hAnsi="宋体"/>
          <w:sz w:val="28"/>
          <w:szCs w:val="28"/>
          <w:lang w:val="en-US" w:eastAsia="zh-CN"/>
        </w:rPr>
      </w:pPr>
    </w:p>
    <w:p>
      <w:pPr>
        <w:keepNext w:val="0"/>
        <w:keepLines w:val="0"/>
        <w:pageBreakBefore w:val="0"/>
        <w:widowControl w:val="0"/>
        <w:kinsoku/>
        <w:wordWrap/>
        <w:overflowPunct/>
        <w:topLinePunct w:val="0"/>
        <w:autoSpaceDE/>
        <w:autoSpaceDN/>
        <w:bidi w:val="0"/>
        <w:adjustRightInd/>
        <w:spacing w:line="480" w:lineRule="exact"/>
        <w:textAlignment w:val="auto"/>
        <w:rPr>
          <w:rFonts w:hint="eastAsia" w:ascii="宋体" w:hAnsi="宋体"/>
          <w:sz w:val="28"/>
          <w:szCs w:val="28"/>
          <w:lang w:val="en-US" w:eastAsia="zh-CN"/>
        </w:rPr>
      </w:pPr>
    </w:p>
    <w:p>
      <w:pPr>
        <w:jc w:val="both"/>
        <w:rPr>
          <w:rFonts w:hint="eastAsia"/>
          <w:bCs/>
          <w:sz w:val="44"/>
          <w:szCs w:val="44"/>
        </w:rPr>
      </w:pPr>
      <w:r>
        <w:rPr>
          <w:rFonts w:hint="eastAsia"/>
          <w:bCs/>
          <w:sz w:val="44"/>
          <w:szCs w:val="44"/>
        </w:rPr>
        <w:t xml:space="preserve"> </w:t>
      </w:r>
    </w:p>
    <w:p>
      <w:pPr>
        <w:jc w:val="both"/>
        <w:rPr>
          <w:rFonts w:hint="eastAsia"/>
          <w:bCs/>
          <w:sz w:val="44"/>
          <w:szCs w:val="44"/>
        </w:rPr>
      </w:pPr>
    </w:p>
    <w:p>
      <w:pPr>
        <w:snapToGrid w:val="0"/>
        <w:spacing w:line="520" w:lineRule="exact"/>
        <w:ind w:firstLine="3220" w:firstLineChars="1150"/>
        <w:rPr>
          <w:rFonts w:ascii="宋体" w:hAnsi="宋体"/>
          <w:sz w:val="28"/>
          <w:szCs w:val="28"/>
        </w:rPr>
      </w:pPr>
      <w:r>
        <w:rPr>
          <w:rFonts w:hint="eastAsia" w:ascii="宋体" w:hAnsi="宋体"/>
          <w:sz w:val="28"/>
          <w:szCs w:val="28"/>
        </w:rPr>
        <w:t>五原县中信房地产价格评估有限责任公司</w:t>
      </w:r>
    </w:p>
    <w:p>
      <w:pPr>
        <w:spacing w:line="520" w:lineRule="exact"/>
        <w:rPr>
          <w:rFonts w:hint="eastAsia" w:ascii="宋体" w:hAnsi="宋体" w:eastAsia="宋体"/>
          <w:sz w:val="28"/>
          <w:szCs w:val="28"/>
          <w:lang w:eastAsia="zh-CN"/>
        </w:rPr>
      </w:pPr>
      <w:r>
        <w:rPr>
          <w:rFonts w:hint="eastAsia" w:ascii="宋体" w:hAnsi="宋体"/>
          <w:sz w:val="28"/>
          <w:szCs w:val="28"/>
        </w:rPr>
        <w:t xml:space="preserve">                                </w:t>
      </w:r>
      <w:r>
        <w:rPr>
          <w:rFonts w:hint="eastAsia" w:ascii="宋体" w:hAnsi="宋体"/>
          <w:sz w:val="28"/>
          <w:szCs w:val="28"/>
          <w:lang w:eastAsia="zh-CN"/>
        </w:rPr>
        <w:t xml:space="preserve"> 二○二○年七月九日</w:t>
      </w:r>
    </w:p>
    <w:p>
      <w:pPr>
        <w:jc w:val="center"/>
        <w:outlineLvl w:val="0"/>
        <w:rPr>
          <w:rFonts w:hint="eastAsia"/>
          <w:bCs/>
          <w:sz w:val="44"/>
          <w:szCs w:val="44"/>
        </w:rPr>
      </w:pPr>
      <w:r>
        <w:rPr>
          <w:rFonts w:hint="eastAsia"/>
          <w:bCs/>
          <w:sz w:val="44"/>
          <w:szCs w:val="44"/>
        </w:rPr>
        <w:br w:type="page"/>
      </w:r>
      <w:r>
        <w:rPr>
          <w:rFonts w:hint="eastAsia"/>
          <w:bCs/>
          <w:sz w:val="44"/>
          <w:szCs w:val="44"/>
        </w:rPr>
        <w:t xml:space="preserve"> </w:t>
      </w:r>
      <w:bookmarkStart w:id="12" w:name="_Toc17906"/>
      <w:r>
        <w:rPr>
          <w:rFonts w:hint="eastAsia"/>
          <w:bCs/>
          <w:sz w:val="44"/>
          <w:szCs w:val="44"/>
        </w:rPr>
        <w:t>估价结果报告</w:t>
      </w:r>
      <w:bookmarkEnd w:id="12"/>
    </w:p>
    <w:p>
      <w:pPr>
        <w:snapToGrid w:val="0"/>
        <w:spacing w:line="480" w:lineRule="exact"/>
        <w:ind w:firstLine="560" w:firstLineChars="200"/>
        <w:outlineLvl w:val="0"/>
        <w:rPr>
          <w:rFonts w:hint="eastAsia" w:ascii="宋体" w:hAnsi="宋体"/>
          <w:sz w:val="28"/>
          <w:szCs w:val="28"/>
        </w:rPr>
      </w:pPr>
      <w:bookmarkStart w:id="13" w:name="_Toc14008"/>
      <w:r>
        <w:rPr>
          <w:rFonts w:hint="eastAsia" w:ascii="宋体" w:hAnsi="宋体"/>
          <w:sz w:val="28"/>
          <w:szCs w:val="28"/>
        </w:rPr>
        <w:t>一、估价委托人</w:t>
      </w:r>
      <w:bookmarkEnd w:id="13"/>
    </w:p>
    <w:p>
      <w:pPr>
        <w:snapToGrid w:val="0"/>
        <w:spacing w:line="480" w:lineRule="exact"/>
        <w:ind w:firstLine="560" w:firstLineChars="200"/>
        <w:rPr>
          <w:rFonts w:hint="eastAsia" w:ascii="宋体" w:hAnsi="宋体" w:eastAsia="宋体"/>
          <w:sz w:val="28"/>
          <w:szCs w:val="28"/>
          <w:lang w:eastAsia="zh-CN"/>
        </w:rPr>
      </w:pPr>
      <w:r>
        <w:rPr>
          <w:rFonts w:hint="eastAsia" w:ascii="宋体" w:hAnsi="宋体"/>
          <w:sz w:val="28"/>
          <w:szCs w:val="28"/>
        </w:rPr>
        <w:t xml:space="preserve">  </w:t>
      </w:r>
      <w:r>
        <w:rPr>
          <w:rFonts w:hint="eastAsia" w:ascii="宋体" w:hAnsi="宋体"/>
          <w:position w:val="2"/>
          <w:sz w:val="28"/>
          <w:szCs w:val="28"/>
          <w:lang w:eastAsia="zh-CN"/>
        </w:rPr>
        <w:t>五原县人民法院</w:t>
      </w:r>
    </w:p>
    <w:p>
      <w:pPr>
        <w:snapToGrid w:val="0"/>
        <w:spacing w:line="480" w:lineRule="exact"/>
        <w:ind w:firstLine="560" w:firstLineChars="200"/>
        <w:outlineLvl w:val="0"/>
        <w:rPr>
          <w:rFonts w:hint="eastAsia" w:ascii="宋体" w:hAnsi="宋体"/>
          <w:sz w:val="28"/>
          <w:szCs w:val="28"/>
        </w:rPr>
      </w:pPr>
      <w:bookmarkStart w:id="14" w:name="_Toc5686"/>
      <w:r>
        <w:rPr>
          <w:rFonts w:hint="eastAsia" w:ascii="宋体" w:hAnsi="宋体"/>
          <w:sz w:val="28"/>
          <w:szCs w:val="28"/>
        </w:rPr>
        <w:t>二、房地产估价机构</w:t>
      </w:r>
      <w:bookmarkEnd w:id="14"/>
    </w:p>
    <w:p>
      <w:pPr>
        <w:snapToGrid w:val="0"/>
        <w:spacing w:line="480" w:lineRule="exact"/>
        <w:ind w:firstLine="560" w:firstLineChars="200"/>
        <w:outlineLvl w:val="0"/>
        <w:rPr>
          <w:rFonts w:hint="eastAsia" w:ascii="宋体" w:hAnsi="宋体"/>
          <w:sz w:val="28"/>
          <w:szCs w:val="28"/>
        </w:rPr>
      </w:pPr>
      <w:bookmarkStart w:id="15" w:name="_Toc30843"/>
      <w:r>
        <w:rPr>
          <w:rFonts w:hint="eastAsia" w:ascii="宋体" w:hAnsi="宋体"/>
          <w:sz w:val="28"/>
          <w:szCs w:val="28"/>
        </w:rPr>
        <w:t>房地产估价机构名称：五原县中信房地产价格评估有限责任公司</w:t>
      </w:r>
      <w:bookmarkEnd w:id="15"/>
    </w:p>
    <w:p>
      <w:pPr>
        <w:snapToGrid w:val="0"/>
        <w:spacing w:line="480" w:lineRule="exact"/>
        <w:ind w:firstLine="560" w:firstLineChars="200"/>
        <w:outlineLvl w:val="0"/>
        <w:rPr>
          <w:rFonts w:hint="eastAsia" w:ascii="宋体" w:hAnsi="宋体"/>
          <w:sz w:val="28"/>
          <w:szCs w:val="28"/>
        </w:rPr>
      </w:pPr>
      <w:bookmarkStart w:id="16" w:name="_Toc19675"/>
      <w:r>
        <w:rPr>
          <w:rFonts w:hint="eastAsia" w:ascii="宋体" w:hAnsi="宋体"/>
          <w:sz w:val="28"/>
          <w:szCs w:val="28"/>
        </w:rPr>
        <w:t>法定代表人：王欢</w:t>
      </w:r>
      <w:bookmarkEnd w:id="16"/>
    </w:p>
    <w:p>
      <w:pPr>
        <w:snapToGrid w:val="0"/>
        <w:spacing w:line="480" w:lineRule="exact"/>
        <w:ind w:firstLine="560" w:firstLineChars="200"/>
        <w:outlineLvl w:val="0"/>
        <w:rPr>
          <w:rFonts w:hint="eastAsia" w:ascii="宋体" w:hAnsi="宋体"/>
          <w:spacing w:val="-6"/>
          <w:sz w:val="28"/>
          <w:szCs w:val="28"/>
        </w:rPr>
      </w:pPr>
      <w:bookmarkStart w:id="17" w:name="_Toc9697"/>
      <w:r>
        <w:rPr>
          <w:rFonts w:hint="eastAsia" w:ascii="宋体" w:hAnsi="宋体"/>
          <w:sz w:val="28"/>
          <w:szCs w:val="28"/>
        </w:rPr>
        <w:t>地址：</w:t>
      </w:r>
      <w:r>
        <w:rPr>
          <w:rFonts w:hint="eastAsia" w:ascii="宋体" w:hAnsi="宋体"/>
          <w:spacing w:val="-6"/>
          <w:sz w:val="28"/>
          <w:szCs w:val="28"/>
        </w:rPr>
        <w:t>内蒙古巴彦淖尔市五原县隆兴昌镇葵花综合交易市场19-06号</w:t>
      </w:r>
      <w:bookmarkEnd w:id="17"/>
    </w:p>
    <w:p>
      <w:pPr>
        <w:snapToGrid w:val="0"/>
        <w:spacing w:line="480" w:lineRule="exact"/>
        <w:ind w:firstLine="560" w:firstLineChars="200"/>
        <w:outlineLvl w:val="0"/>
        <w:rPr>
          <w:rFonts w:hint="eastAsia" w:ascii="宋体" w:hAnsi="宋体"/>
          <w:sz w:val="28"/>
          <w:szCs w:val="28"/>
        </w:rPr>
      </w:pPr>
      <w:bookmarkStart w:id="18" w:name="_Toc335"/>
      <w:r>
        <w:rPr>
          <w:rFonts w:hint="eastAsia" w:ascii="宋体" w:hAnsi="宋体"/>
          <w:sz w:val="28"/>
          <w:szCs w:val="28"/>
        </w:rPr>
        <w:t>房地产估价机构备案等级：贰级</w:t>
      </w:r>
      <w:bookmarkEnd w:id="18"/>
    </w:p>
    <w:p>
      <w:pPr>
        <w:snapToGrid w:val="0"/>
        <w:spacing w:line="480" w:lineRule="exact"/>
        <w:ind w:firstLine="560" w:firstLineChars="200"/>
        <w:outlineLvl w:val="0"/>
        <w:rPr>
          <w:rFonts w:hint="eastAsia" w:ascii="宋体" w:hAnsi="宋体"/>
          <w:sz w:val="28"/>
          <w:szCs w:val="28"/>
        </w:rPr>
      </w:pPr>
      <w:bookmarkStart w:id="19" w:name="_Toc16565"/>
      <w:r>
        <w:rPr>
          <w:rFonts w:hint="eastAsia" w:ascii="宋体" w:hAnsi="宋体"/>
          <w:sz w:val="28"/>
          <w:szCs w:val="28"/>
        </w:rPr>
        <w:t>备案证书编号：内建房估备字【2018】0029号</w:t>
      </w:r>
      <w:bookmarkEnd w:id="19"/>
    </w:p>
    <w:p>
      <w:pPr>
        <w:snapToGrid w:val="0"/>
        <w:spacing w:line="480" w:lineRule="exact"/>
        <w:ind w:firstLine="560" w:firstLineChars="200"/>
        <w:outlineLvl w:val="0"/>
        <w:rPr>
          <w:rFonts w:hint="eastAsia" w:ascii="宋体" w:hAnsi="宋体"/>
          <w:sz w:val="28"/>
          <w:szCs w:val="28"/>
        </w:rPr>
      </w:pPr>
      <w:bookmarkStart w:id="20" w:name="_Toc15840"/>
      <w:r>
        <w:rPr>
          <w:rFonts w:hint="eastAsia" w:ascii="宋体" w:hAnsi="宋体"/>
          <w:sz w:val="28"/>
          <w:szCs w:val="28"/>
        </w:rPr>
        <w:t>统一社会信用代码：911508217438885814</w:t>
      </w:r>
      <w:bookmarkEnd w:id="20"/>
    </w:p>
    <w:p>
      <w:pPr>
        <w:snapToGrid w:val="0"/>
        <w:spacing w:line="480" w:lineRule="exact"/>
        <w:ind w:firstLine="560" w:firstLineChars="200"/>
        <w:outlineLvl w:val="0"/>
        <w:rPr>
          <w:rFonts w:hint="eastAsia" w:ascii="宋体" w:hAnsi="宋体"/>
          <w:sz w:val="28"/>
          <w:szCs w:val="28"/>
        </w:rPr>
      </w:pPr>
      <w:bookmarkStart w:id="21" w:name="_Toc17146"/>
      <w:r>
        <w:rPr>
          <w:rFonts w:hint="eastAsia" w:ascii="宋体" w:hAnsi="宋体"/>
          <w:sz w:val="28"/>
          <w:szCs w:val="28"/>
        </w:rPr>
        <w:t>房地产估价机构电话：0478-5228663</w:t>
      </w:r>
      <w:bookmarkEnd w:id="21"/>
    </w:p>
    <w:p>
      <w:pPr>
        <w:snapToGrid w:val="0"/>
        <w:spacing w:line="600" w:lineRule="exact"/>
        <w:ind w:firstLine="560" w:firstLineChars="200"/>
        <w:outlineLvl w:val="0"/>
        <w:rPr>
          <w:rFonts w:hint="eastAsia" w:ascii="宋体" w:hAnsi="宋体"/>
          <w:sz w:val="28"/>
          <w:szCs w:val="28"/>
        </w:rPr>
      </w:pPr>
      <w:bookmarkStart w:id="22" w:name="_Toc29129"/>
      <w:r>
        <w:rPr>
          <w:rFonts w:hint="eastAsia" w:ascii="宋体" w:hAnsi="宋体"/>
          <w:sz w:val="28"/>
          <w:szCs w:val="28"/>
          <w:lang w:eastAsia="zh-CN"/>
        </w:rPr>
        <w:t>三</w:t>
      </w:r>
      <w:r>
        <w:rPr>
          <w:rFonts w:hint="eastAsia" w:ascii="宋体" w:hAnsi="宋体"/>
          <w:sz w:val="28"/>
          <w:szCs w:val="28"/>
        </w:rPr>
        <w:t>、估价目的：</w:t>
      </w:r>
      <w:bookmarkEnd w:id="22"/>
    </w:p>
    <w:p>
      <w:pPr>
        <w:snapToGrid w:val="0"/>
        <w:spacing w:line="600" w:lineRule="exact"/>
        <w:ind w:firstLine="560" w:firstLineChars="200"/>
        <w:rPr>
          <w:rFonts w:hint="eastAsia" w:ascii="宋体" w:hAnsi="宋体"/>
          <w:sz w:val="28"/>
          <w:szCs w:val="28"/>
        </w:rPr>
      </w:pPr>
      <w:r>
        <w:rPr>
          <w:rFonts w:hint="eastAsia" w:ascii="宋体" w:hAnsi="宋体" w:cs="宋体"/>
          <w:kern w:val="0"/>
          <w:sz w:val="28"/>
          <w:szCs w:val="28"/>
        </w:rPr>
        <w:t>为</w:t>
      </w:r>
      <w:r>
        <w:rPr>
          <w:rFonts w:hint="eastAsia" w:ascii="宋体" w:hAnsi="宋体" w:cs="宋体"/>
          <w:kern w:val="0"/>
          <w:sz w:val="28"/>
          <w:szCs w:val="28"/>
          <w:lang w:eastAsia="zh-CN"/>
        </w:rPr>
        <w:t>估价</w:t>
      </w:r>
      <w:r>
        <w:rPr>
          <w:rFonts w:hint="eastAsia" w:ascii="宋体" w:hAnsi="宋体" w:cs="宋体"/>
          <w:kern w:val="0"/>
          <w:sz w:val="28"/>
          <w:szCs w:val="28"/>
        </w:rPr>
        <w:t>委托人</w:t>
      </w:r>
      <w:r>
        <w:rPr>
          <w:rFonts w:hint="eastAsia" w:ascii="宋体" w:hAnsi="宋体" w:cs="宋体"/>
          <w:kern w:val="0"/>
          <w:sz w:val="28"/>
          <w:szCs w:val="28"/>
          <w:lang w:eastAsia="zh-CN"/>
        </w:rPr>
        <w:t>提供</w:t>
      </w:r>
      <w:r>
        <w:rPr>
          <w:rFonts w:hint="eastAsia" w:ascii="宋体" w:hAnsi="宋体" w:cs="宋体"/>
          <w:kern w:val="0"/>
          <w:sz w:val="28"/>
          <w:szCs w:val="28"/>
        </w:rPr>
        <w:t>委估房地产的市场价值参考</w:t>
      </w:r>
      <w:r>
        <w:rPr>
          <w:rFonts w:hint="eastAsia" w:ascii="宋体" w:hAnsi="宋体"/>
          <w:sz w:val="28"/>
          <w:szCs w:val="28"/>
        </w:rPr>
        <w:t>。</w:t>
      </w:r>
    </w:p>
    <w:p>
      <w:pPr>
        <w:numPr>
          <w:ilvl w:val="0"/>
          <w:numId w:val="1"/>
        </w:numPr>
        <w:snapToGrid w:val="0"/>
        <w:spacing w:line="480" w:lineRule="exact"/>
        <w:ind w:firstLine="560" w:firstLineChars="200"/>
        <w:outlineLvl w:val="0"/>
        <w:rPr>
          <w:rFonts w:hint="eastAsia" w:ascii="宋体" w:hAnsi="宋体"/>
          <w:color w:val="auto"/>
          <w:sz w:val="28"/>
          <w:szCs w:val="28"/>
        </w:rPr>
      </w:pPr>
      <w:bookmarkStart w:id="23" w:name="_Toc20281"/>
      <w:r>
        <w:rPr>
          <w:rFonts w:hint="eastAsia" w:ascii="宋体" w:hAnsi="宋体"/>
          <w:color w:val="auto"/>
          <w:sz w:val="28"/>
          <w:szCs w:val="28"/>
        </w:rPr>
        <w:t>估价对象</w:t>
      </w:r>
      <w:bookmarkEnd w:id="23"/>
      <w:r>
        <w:rPr>
          <w:rFonts w:hint="eastAsia" w:ascii="宋体" w:hAnsi="宋体"/>
          <w:color w:val="auto"/>
          <w:sz w:val="28"/>
          <w:szCs w:val="28"/>
        </w:rPr>
        <w:t xml:space="preserve"> </w:t>
      </w:r>
    </w:p>
    <w:p>
      <w:pPr>
        <w:numPr>
          <w:ilvl w:val="0"/>
          <w:numId w:val="0"/>
        </w:numPr>
        <w:snapToGrid w:val="0"/>
        <w:spacing w:line="480" w:lineRule="exact"/>
        <w:ind w:firstLine="560" w:firstLineChars="200"/>
        <w:outlineLvl w:val="0"/>
        <w:rPr>
          <w:rFonts w:hint="default" w:ascii="宋体" w:hAnsi="宋体"/>
          <w:color w:val="auto"/>
          <w:sz w:val="28"/>
          <w:szCs w:val="28"/>
          <w:lang w:val="en-US" w:eastAsia="zh-CN"/>
        </w:rPr>
      </w:pPr>
      <w:bookmarkStart w:id="24" w:name="_Toc19646"/>
      <w:r>
        <w:rPr>
          <w:rFonts w:hint="eastAsia" w:ascii="宋体" w:hAnsi="宋体"/>
          <w:color w:val="auto"/>
          <w:sz w:val="28"/>
          <w:szCs w:val="28"/>
          <w:lang w:eastAsia="zh-CN"/>
        </w:rPr>
        <w:t>（一）实物状况</w:t>
      </w:r>
      <w:bookmarkEnd w:id="24"/>
      <w:r>
        <w:rPr>
          <w:rFonts w:hint="eastAsia" w:ascii="宋体" w:hAnsi="宋体"/>
          <w:color w:val="auto"/>
          <w:sz w:val="28"/>
          <w:szCs w:val="28"/>
          <w:lang w:val="en-US" w:eastAsia="zh-CN"/>
        </w:rPr>
        <w:t xml:space="preserve"> </w:t>
      </w:r>
    </w:p>
    <w:p>
      <w:pPr>
        <w:numPr>
          <w:ilvl w:val="0"/>
          <w:numId w:val="0"/>
        </w:numPr>
        <w:snapToGrid w:val="0"/>
        <w:spacing w:line="480" w:lineRule="exact"/>
        <w:ind w:firstLine="560" w:firstLineChars="200"/>
        <w:outlineLvl w:val="0"/>
        <w:rPr>
          <w:rFonts w:hint="default" w:ascii="宋体" w:hAnsi="宋体"/>
          <w:color w:val="auto"/>
          <w:sz w:val="28"/>
          <w:szCs w:val="28"/>
          <w:lang w:val="en-US" w:eastAsia="zh-CN"/>
        </w:rPr>
      </w:pPr>
      <w:bookmarkStart w:id="25" w:name="_Toc22622"/>
      <w:r>
        <w:rPr>
          <w:rFonts w:hint="eastAsia" w:ascii="宋体" w:hAnsi="宋体"/>
          <w:color w:val="auto"/>
          <w:sz w:val="28"/>
          <w:szCs w:val="28"/>
          <w:lang w:val="en-US" w:eastAsia="zh-CN"/>
        </w:rPr>
        <w:t>（1）本次估价范围位于巴彦淖尔市</w:t>
      </w:r>
      <w:r>
        <w:rPr>
          <w:rFonts w:hint="eastAsia" w:ascii="宋体" w:hAnsi="宋体"/>
          <w:color w:val="auto"/>
          <w:sz w:val="28"/>
          <w:szCs w:val="28"/>
          <w:lang w:eastAsia="zh-CN"/>
        </w:rPr>
        <w:t>五原县隆兴昌镇胜利办事处福中园小区2-2-252王敏所有的房地产，包括房产、土地、附属设施、房屋内外装修及配套的水、电、暖、通讯、天然气等设施。</w:t>
      </w:r>
      <w:bookmarkEnd w:id="25"/>
    </w:p>
    <w:p>
      <w:pPr>
        <w:spacing w:line="520" w:lineRule="exact"/>
        <w:ind w:firstLine="560" w:firstLineChars="200"/>
        <w:rPr>
          <w:rFonts w:hint="eastAsia" w:ascii="宋体" w:hAnsi="宋体"/>
          <w:color w:val="auto"/>
          <w:sz w:val="28"/>
          <w:szCs w:val="28"/>
        </w:rPr>
      </w:pPr>
      <w:r>
        <w:rPr>
          <w:rFonts w:hint="eastAsia" w:ascii="宋体" w:hAnsi="宋体"/>
          <w:color w:val="auto"/>
          <w:sz w:val="28"/>
          <w:szCs w:val="28"/>
          <w:lang w:eastAsia="zh-CN"/>
        </w:rPr>
        <w:t>（</w:t>
      </w:r>
      <w:r>
        <w:rPr>
          <w:rFonts w:hint="eastAsia" w:ascii="宋体" w:hAnsi="宋体"/>
          <w:color w:val="auto"/>
          <w:sz w:val="28"/>
          <w:szCs w:val="28"/>
          <w:lang w:val="en-US" w:eastAsia="zh-CN"/>
        </w:rPr>
        <w:t>2</w:t>
      </w:r>
      <w:r>
        <w:rPr>
          <w:rFonts w:hint="eastAsia" w:ascii="宋体" w:hAnsi="宋体"/>
          <w:color w:val="auto"/>
          <w:sz w:val="28"/>
          <w:szCs w:val="28"/>
          <w:lang w:eastAsia="zh-CN"/>
        </w:rPr>
        <w:t>）估价对象建筑物用途为住宅，房屋结构为砖混结构，</w:t>
      </w:r>
      <w:r>
        <w:rPr>
          <w:rFonts w:hint="eastAsia" w:ascii="宋体" w:hAnsi="宋体"/>
          <w:color w:val="auto"/>
          <w:sz w:val="28"/>
          <w:szCs w:val="28"/>
        </w:rPr>
        <w:t>建筑面积为</w:t>
      </w:r>
      <w:r>
        <w:rPr>
          <w:rFonts w:hint="eastAsia" w:ascii="宋体" w:hAnsi="宋体"/>
          <w:color w:val="auto"/>
          <w:sz w:val="28"/>
          <w:szCs w:val="28"/>
          <w:lang w:val="en-US" w:eastAsia="zh-CN"/>
        </w:rPr>
        <w:t>83.43</w:t>
      </w:r>
      <w:r>
        <w:rPr>
          <w:rFonts w:hint="eastAsia" w:ascii="宋体" w:hAnsi="宋体"/>
          <w:color w:val="auto"/>
          <w:sz w:val="28"/>
          <w:szCs w:val="28"/>
        </w:rPr>
        <w:t>㎡，</w:t>
      </w:r>
      <w:r>
        <w:rPr>
          <w:rFonts w:hint="eastAsia" w:ascii="宋体" w:hAnsi="宋体"/>
          <w:color w:val="auto"/>
          <w:sz w:val="28"/>
          <w:szCs w:val="28"/>
          <w:lang w:eastAsia="zh-CN"/>
        </w:rPr>
        <w:t>估价对象小区内道路为柏油路、楼前有绿化带。估价对象外墙断块涂料，楼道油漆墙裙、楼梯不锈钢扶手、大理石楼梯踏步，入户门为防盗门。估价对象有大暖、上下水、供电、通讯、天然气等基础设施，使用和维护状况较好，</w:t>
      </w:r>
      <w:r>
        <w:rPr>
          <w:rFonts w:hint="eastAsia" w:ascii="宋体" w:hAnsi="宋体"/>
          <w:color w:val="auto"/>
          <w:sz w:val="28"/>
          <w:szCs w:val="28"/>
          <w:lang w:val="en-US" w:eastAsia="zh-CN"/>
        </w:rPr>
        <w:t>估价对象实物状况</w:t>
      </w:r>
      <w:r>
        <w:rPr>
          <w:rFonts w:hint="eastAsia" w:ascii="宋体" w:hAnsi="宋体"/>
          <w:color w:val="auto"/>
          <w:sz w:val="28"/>
          <w:szCs w:val="28"/>
        </w:rPr>
        <w:t>见下表：</w:t>
      </w:r>
    </w:p>
    <w:p>
      <w:pPr>
        <w:spacing w:line="520" w:lineRule="exact"/>
        <w:jc w:val="center"/>
        <w:rPr>
          <w:rFonts w:hint="eastAsia" w:ascii="宋体" w:hAnsi="宋体"/>
          <w:sz w:val="24"/>
          <w:szCs w:val="24"/>
          <w:lang w:eastAsia="zh-CN"/>
        </w:rPr>
      </w:pPr>
      <w:r>
        <w:rPr>
          <w:rFonts w:hint="eastAsia" w:ascii="宋体" w:hAnsi="宋体"/>
          <w:sz w:val="24"/>
          <w:szCs w:val="24"/>
          <w:lang w:eastAsia="zh-CN"/>
        </w:rPr>
        <w:t>估价对象建筑物实物状况一览表</w:t>
      </w:r>
    </w:p>
    <w:tbl>
      <w:tblPr>
        <w:tblStyle w:val="25"/>
        <w:tblW w:w="90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5"/>
        <w:gridCol w:w="1265"/>
        <w:gridCol w:w="1593"/>
        <w:gridCol w:w="1400"/>
        <w:gridCol w:w="1448"/>
        <w:gridCol w:w="20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5" w:type="dxa"/>
            <w:noWrap w:val="0"/>
            <w:vAlign w:val="top"/>
          </w:tcPr>
          <w:p>
            <w:pPr>
              <w:spacing w:line="520" w:lineRule="exact"/>
              <w:jc w:val="center"/>
              <w:rPr>
                <w:rFonts w:hint="eastAsia" w:ascii="宋体" w:hAnsi="宋体"/>
                <w:sz w:val="24"/>
                <w:szCs w:val="24"/>
                <w:vertAlign w:val="baseline"/>
                <w:lang w:eastAsia="zh-CN"/>
              </w:rPr>
            </w:pPr>
            <w:r>
              <w:rPr>
                <w:rFonts w:hint="eastAsia" w:ascii="宋体" w:hAnsi="宋体"/>
                <w:sz w:val="24"/>
                <w:szCs w:val="24"/>
                <w:vertAlign w:val="baseline"/>
                <w:lang w:eastAsia="zh-CN"/>
              </w:rPr>
              <w:t>序号</w:t>
            </w:r>
          </w:p>
        </w:tc>
        <w:tc>
          <w:tcPr>
            <w:tcW w:w="1265" w:type="dxa"/>
            <w:noWrap w:val="0"/>
            <w:vAlign w:val="top"/>
          </w:tcPr>
          <w:p>
            <w:pPr>
              <w:spacing w:line="520" w:lineRule="exact"/>
              <w:jc w:val="center"/>
              <w:rPr>
                <w:rFonts w:hint="eastAsia" w:ascii="宋体" w:hAnsi="宋体"/>
                <w:sz w:val="24"/>
                <w:szCs w:val="24"/>
                <w:vertAlign w:val="baseline"/>
                <w:lang w:eastAsia="zh-CN"/>
              </w:rPr>
            </w:pPr>
            <w:r>
              <w:rPr>
                <w:rFonts w:hint="eastAsia" w:ascii="宋体" w:hAnsi="宋体"/>
                <w:sz w:val="24"/>
                <w:szCs w:val="24"/>
                <w:vertAlign w:val="baseline"/>
                <w:lang w:eastAsia="zh-CN"/>
              </w:rPr>
              <w:t>用途</w:t>
            </w:r>
          </w:p>
        </w:tc>
        <w:tc>
          <w:tcPr>
            <w:tcW w:w="1593" w:type="dxa"/>
            <w:noWrap w:val="0"/>
            <w:vAlign w:val="top"/>
          </w:tcPr>
          <w:p>
            <w:pPr>
              <w:spacing w:line="520" w:lineRule="exact"/>
              <w:jc w:val="center"/>
              <w:rPr>
                <w:rFonts w:hint="eastAsia" w:ascii="宋体" w:hAnsi="宋体"/>
                <w:sz w:val="24"/>
                <w:szCs w:val="24"/>
                <w:vertAlign w:val="baseline"/>
                <w:lang w:eastAsia="zh-CN"/>
              </w:rPr>
            </w:pPr>
            <w:r>
              <w:rPr>
                <w:rFonts w:hint="eastAsia" w:ascii="宋体" w:hAnsi="宋体"/>
                <w:sz w:val="24"/>
                <w:szCs w:val="24"/>
                <w:vertAlign w:val="baseline"/>
                <w:lang w:eastAsia="zh-CN"/>
              </w:rPr>
              <w:t>结构</w:t>
            </w:r>
          </w:p>
        </w:tc>
        <w:tc>
          <w:tcPr>
            <w:tcW w:w="1400" w:type="dxa"/>
            <w:noWrap w:val="0"/>
            <w:vAlign w:val="top"/>
          </w:tcPr>
          <w:p>
            <w:pPr>
              <w:spacing w:line="520" w:lineRule="exact"/>
              <w:jc w:val="center"/>
              <w:rPr>
                <w:rFonts w:hint="eastAsia" w:ascii="宋体" w:hAnsi="宋体"/>
                <w:sz w:val="24"/>
                <w:szCs w:val="24"/>
                <w:vertAlign w:val="baseline"/>
                <w:lang w:eastAsia="zh-CN"/>
              </w:rPr>
            </w:pPr>
            <w:r>
              <w:rPr>
                <w:rFonts w:hint="eastAsia" w:ascii="宋体" w:hAnsi="宋体"/>
                <w:sz w:val="24"/>
                <w:szCs w:val="24"/>
                <w:vertAlign w:val="baseline"/>
                <w:lang w:eastAsia="zh-CN"/>
              </w:rPr>
              <w:t>总层数</w:t>
            </w:r>
          </w:p>
        </w:tc>
        <w:tc>
          <w:tcPr>
            <w:tcW w:w="1448" w:type="dxa"/>
            <w:noWrap w:val="0"/>
            <w:vAlign w:val="top"/>
          </w:tcPr>
          <w:p>
            <w:pPr>
              <w:spacing w:line="520" w:lineRule="exact"/>
              <w:jc w:val="center"/>
              <w:rPr>
                <w:rFonts w:hint="eastAsia" w:ascii="宋体" w:hAnsi="宋体"/>
                <w:sz w:val="24"/>
                <w:szCs w:val="24"/>
                <w:vertAlign w:val="baseline"/>
                <w:lang w:eastAsia="zh-CN"/>
              </w:rPr>
            </w:pPr>
            <w:r>
              <w:rPr>
                <w:rFonts w:hint="eastAsia" w:ascii="宋体" w:hAnsi="宋体"/>
                <w:sz w:val="24"/>
                <w:szCs w:val="24"/>
                <w:vertAlign w:val="baseline"/>
                <w:lang w:eastAsia="zh-CN"/>
              </w:rPr>
              <w:t>所在层数</w:t>
            </w:r>
          </w:p>
        </w:tc>
        <w:tc>
          <w:tcPr>
            <w:tcW w:w="2045" w:type="dxa"/>
            <w:noWrap w:val="0"/>
            <w:vAlign w:val="top"/>
          </w:tcPr>
          <w:p>
            <w:pPr>
              <w:spacing w:line="520" w:lineRule="exact"/>
              <w:jc w:val="center"/>
              <w:rPr>
                <w:rFonts w:hint="eastAsia" w:ascii="宋体" w:hAnsi="宋体"/>
                <w:sz w:val="24"/>
                <w:szCs w:val="24"/>
                <w:vertAlign w:val="baseline"/>
                <w:lang w:eastAsia="zh-CN"/>
              </w:rPr>
            </w:pPr>
            <w:r>
              <w:rPr>
                <w:rFonts w:hint="eastAsia" w:ascii="宋体" w:hAnsi="宋体"/>
                <w:sz w:val="24"/>
                <w:szCs w:val="24"/>
                <w:vertAlign w:val="baseline"/>
                <w:lang w:eastAsia="zh-CN"/>
              </w:rPr>
              <w:t>面积（㎡）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5" w:type="dxa"/>
            <w:noWrap w:val="0"/>
            <w:vAlign w:val="top"/>
          </w:tcPr>
          <w:p>
            <w:pPr>
              <w:spacing w:line="520" w:lineRule="exact"/>
              <w:jc w:val="center"/>
              <w:rPr>
                <w:rFonts w:hint="default" w:ascii="宋体" w:hAnsi="宋体"/>
                <w:sz w:val="24"/>
                <w:szCs w:val="24"/>
                <w:vertAlign w:val="baseline"/>
                <w:lang w:val="en-US" w:eastAsia="zh-CN"/>
              </w:rPr>
            </w:pPr>
            <w:r>
              <w:rPr>
                <w:rFonts w:hint="eastAsia" w:ascii="宋体" w:hAnsi="宋体"/>
                <w:sz w:val="24"/>
                <w:szCs w:val="24"/>
                <w:vertAlign w:val="baseline"/>
                <w:lang w:val="en-US" w:eastAsia="zh-CN"/>
              </w:rPr>
              <w:t>1</w:t>
            </w:r>
          </w:p>
        </w:tc>
        <w:tc>
          <w:tcPr>
            <w:tcW w:w="1265" w:type="dxa"/>
            <w:noWrap w:val="0"/>
            <w:vAlign w:val="top"/>
          </w:tcPr>
          <w:p>
            <w:pPr>
              <w:spacing w:line="520" w:lineRule="exact"/>
              <w:jc w:val="center"/>
              <w:rPr>
                <w:rFonts w:hint="eastAsia" w:ascii="宋体" w:hAnsi="宋体"/>
                <w:sz w:val="24"/>
                <w:szCs w:val="24"/>
                <w:vertAlign w:val="baseline"/>
                <w:lang w:eastAsia="zh-CN"/>
              </w:rPr>
            </w:pPr>
            <w:r>
              <w:rPr>
                <w:rFonts w:hint="eastAsia" w:ascii="宋体" w:hAnsi="宋体"/>
                <w:sz w:val="24"/>
                <w:szCs w:val="24"/>
                <w:vertAlign w:val="baseline"/>
                <w:lang w:eastAsia="zh-CN"/>
              </w:rPr>
              <w:t>住宅</w:t>
            </w:r>
          </w:p>
        </w:tc>
        <w:tc>
          <w:tcPr>
            <w:tcW w:w="1593" w:type="dxa"/>
            <w:noWrap w:val="0"/>
            <w:vAlign w:val="top"/>
          </w:tcPr>
          <w:p>
            <w:pPr>
              <w:spacing w:line="520" w:lineRule="exact"/>
              <w:jc w:val="center"/>
              <w:rPr>
                <w:rFonts w:hint="eastAsia" w:ascii="宋体" w:hAnsi="宋体"/>
                <w:sz w:val="24"/>
                <w:szCs w:val="24"/>
                <w:vertAlign w:val="baseline"/>
                <w:lang w:eastAsia="zh-CN"/>
              </w:rPr>
            </w:pPr>
            <w:r>
              <w:rPr>
                <w:rFonts w:hint="eastAsia" w:ascii="宋体" w:hAnsi="宋体"/>
                <w:sz w:val="24"/>
                <w:szCs w:val="24"/>
                <w:vertAlign w:val="baseline"/>
                <w:lang w:eastAsia="zh-CN"/>
              </w:rPr>
              <w:t>砖混</w:t>
            </w:r>
          </w:p>
        </w:tc>
        <w:tc>
          <w:tcPr>
            <w:tcW w:w="1400" w:type="dxa"/>
            <w:noWrap w:val="0"/>
            <w:vAlign w:val="top"/>
          </w:tcPr>
          <w:p>
            <w:pPr>
              <w:spacing w:line="520" w:lineRule="exact"/>
              <w:jc w:val="center"/>
              <w:rPr>
                <w:rFonts w:hint="eastAsia" w:ascii="宋体" w:hAnsi="宋体"/>
                <w:sz w:val="24"/>
                <w:szCs w:val="24"/>
                <w:vertAlign w:val="baseline"/>
                <w:lang w:eastAsia="zh-CN"/>
              </w:rPr>
            </w:pPr>
            <w:r>
              <w:rPr>
                <w:rFonts w:hint="eastAsia" w:ascii="宋体" w:hAnsi="宋体"/>
                <w:sz w:val="24"/>
                <w:szCs w:val="24"/>
                <w:vertAlign w:val="baseline"/>
                <w:lang w:eastAsia="zh-CN"/>
              </w:rPr>
              <w:t>六</w:t>
            </w:r>
          </w:p>
        </w:tc>
        <w:tc>
          <w:tcPr>
            <w:tcW w:w="1448" w:type="dxa"/>
            <w:noWrap w:val="0"/>
            <w:vAlign w:val="top"/>
          </w:tcPr>
          <w:p>
            <w:pPr>
              <w:spacing w:line="520" w:lineRule="exact"/>
              <w:jc w:val="center"/>
              <w:rPr>
                <w:rFonts w:hint="default" w:ascii="宋体" w:hAnsi="宋体"/>
                <w:sz w:val="24"/>
                <w:szCs w:val="24"/>
                <w:vertAlign w:val="baseline"/>
                <w:lang w:val="en-US" w:eastAsia="zh-CN"/>
              </w:rPr>
            </w:pPr>
            <w:r>
              <w:rPr>
                <w:rFonts w:hint="eastAsia" w:ascii="宋体" w:hAnsi="宋体"/>
                <w:sz w:val="24"/>
                <w:szCs w:val="24"/>
                <w:vertAlign w:val="baseline"/>
                <w:lang w:val="en-US" w:eastAsia="zh-CN"/>
              </w:rPr>
              <w:t>五</w:t>
            </w:r>
          </w:p>
        </w:tc>
        <w:tc>
          <w:tcPr>
            <w:tcW w:w="2045" w:type="dxa"/>
            <w:noWrap w:val="0"/>
            <w:vAlign w:val="top"/>
          </w:tcPr>
          <w:p>
            <w:pPr>
              <w:spacing w:line="520" w:lineRule="exact"/>
              <w:jc w:val="center"/>
              <w:rPr>
                <w:rFonts w:hint="default" w:ascii="宋体" w:hAnsi="宋体"/>
                <w:sz w:val="24"/>
                <w:szCs w:val="24"/>
                <w:vertAlign w:val="baseline"/>
                <w:lang w:val="en-US" w:eastAsia="zh-CN"/>
              </w:rPr>
            </w:pPr>
            <w:r>
              <w:rPr>
                <w:rFonts w:hint="eastAsia" w:ascii="宋体" w:hAnsi="宋体"/>
                <w:sz w:val="24"/>
                <w:szCs w:val="24"/>
                <w:vertAlign w:val="baseline"/>
                <w:lang w:val="en-US" w:eastAsia="zh-CN"/>
              </w:rPr>
              <w:t>83.43</w:t>
            </w:r>
          </w:p>
        </w:tc>
      </w:tr>
    </w:tbl>
    <w:p>
      <w:pPr>
        <w:spacing w:line="520" w:lineRule="exact"/>
        <w:jc w:val="center"/>
        <w:rPr>
          <w:rFonts w:hint="eastAsia" w:ascii="宋体" w:hAnsi="宋体"/>
          <w:color w:val="auto"/>
          <w:sz w:val="24"/>
          <w:szCs w:val="24"/>
          <w:lang w:eastAsia="zh-CN"/>
        </w:rPr>
      </w:pPr>
    </w:p>
    <w:p>
      <w:pPr>
        <w:keepNext w:val="0"/>
        <w:keepLines w:val="0"/>
        <w:pageBreakBefore w:val="0"/>
        <w:kinsoku/>
        <w:wordWrap/>
        <w:overflowPunct/>
        <w:topLinePunct w:val="0"/>
        <w:autoSpaceDE/>
        <w:autoSpaceDN/>
        <w:bidi w:val="0"/>
        <w:adjustRightInd/>
        <w:spacing w:line="460" w:lineRule="exact"/>
        <w:jc w:val="center"/>
        <w:textAlignment w:val="auto"/>
        <w:rPr>
          <w:rFonts w:hint="eastAsia" w:ascii="宋体" w:hAnsi="宋体"/>
          <w:color w:val="auto"/>
          <w:sz w:val="24"/>
          <w:szCs w:val="24"/>
          <w:lang w:eastAsia="zh-CN"/>
        </w:rPr>
      </w:pPr>
      <w:r>
        <w:rPr>
          <w:rFonts w:hint="eastAsia" w:ascii="宋体" w:hAnsi="宋体"/>
          <w:color w:val="auto"/>
          <w:sz w:val="24"/>
          <w:szCs w:val="24"/>
          <w:lang w:eastAsia="zh-CN"/>
        </w:rPr>
        <w:t>估价对象建筑物装饰装修状况一览表</w:t>
      </w:r>
    </w:p>
    <w:tbl>
      <w:tblPr>
        <w:tblStyle w:val="25"/>
        <w:tblW w:w="898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2"/>
        <w:gridCol w:w="859"/>
        <w:gridCol w:w="4023"/>
        <w:gridCol w:w="33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2" w:type="dxa"/>
            <w:noWrap w:val="0"/>
            <w:vAlign w:val="top"/>
          </w:tcPr>
          <w:p>
            <w:pPr>
              <w:keepNext w:val="0"/>
              <w:keepLines w:val="0"/>
              <w:pageBreakBefore w:val="0"/>
              <w:kinsoku/>
              <w:wordWrap/>
              <w:overflowPunct/>
              <w:topLinePunct w:val="0"/>
              <w:autoSpaceDE/>
              <w:autoSpaceDN/>
              <w:bidi w:val="0"/>
              <w:adjustRightInd/>
              <w:spacing w:line="460" w:lineRule="exact"/>
              <w:jc w:val="center"/>
              <w:textAlignment w:val="auto"/>
              <w:rPr>
                <w:rFonts w:hint="eastAsia" w:ascii="宋体" w:hAnsi="宋体"/>
                <w:color w:val="auto"/>
                <w:sz w:val="24"/>
                <w:szCs w:val="24"/>
                <w:vertAlign w:val="baseline"/>
                <w:lang w:eastAsia="zh-CN"/>
              </w:rPr>
            </w:pPr>
            <w:r>
              <w:rPr>
                <w:rFonts w:hint="eastAsia" w:ascii="宋体" w:hAnsi="宋体"/>
                <w:color w:val="auto"/>
                <w:sz w:val="24"/>
                <w:szCs w:val="24"/>
                <w:vertAlign w:val="baseline"/>
                <w:lang w:eastAsia="zh-CN"/>
              </w:rPr>
              <w:t>序号</w:t>
            </w:r>
          </w:p>
        </w:tc>
        <w:tc>
          <w:tcPr>
            <w:tcW w:w="859" w:type="dxa"/>
            <w:noWrap w:val="0"/>
            <w:vAlign w:val="top"/>
          </w:tcPr>
          <w:p>
            <w:pPr>
              <w:keepNext w:val="0"/>
              <w:keepLines w:val="0"/>
              <w:pageBreakBefore w:val="0"/>
              <w:kinsoku/>
              <w:wordWrap/>
              <w:overflowPunct/>
              <w:topLinePunct w:val="0"/>
              <w:autoSpaceDE/>
              <w:autoSpaceDN/>
              <w:bidi w:val="0"/>
              <w:adjustRightInd/>
              <w:spacing w:line="460" w:lineRule="exact"/>
              <w:jc w:val="center"/>
              <w:textAlignment w:val="auto"/>
              <w:rPr>
                <w:rFonts w:hint="eastAsia" w:ascii="宋体" w:hAnsi="宋体"/>
                <w:color w:val="auto"/>
                <w:sz w:val="24"/>
                <w:szCs w:val="24"/>
                <w:vertAlign w:val="baseline"/>
                <w:lang w:eastAsia="zh-CN"/>
              </w:rPr>
            </w:pPr>
            <w:r>
              <w:rPr>
                <w:rFonts w:hint="eastAsia" w:ascii="宋体" w:hAnsi="宋体"/>
                <w:color w:val="auto"/>
                <w:sz w:val="24"/>
                <w:szCs w:val="24"/>
                <w:vertAlign w:val="baseline"/>
                <w:lang w:eastAsia="zh-CN"/>
              </w:rPr>
              <w:t>用途</w:t>
            </w:r>
          </w:p>
        </w:tc>
        <w:tc>
          <w:tcPr>
            <w:tcW w:w="4023" w:type="dxa"/>
            <w:noWrap w:val="0"/>
            <w:vAlign w:val="top"/>
          </w:tcPr>
          <w:p>
            <w:pPr>
              <w:keepNext w:val="0"/>
              <w:keepLines w:val="0"/>
              <w:pageBreakBefore w:val="0"/>
              <w:kinsoku/>
              <w:wordWrap/>
              <w:overflowPunct/>
              <w:topLinePunct w:val="0"/>
              <w:autoSpaceDE/>
              <w:autoSpaceDN/>
              <w:bidi w:val="0"/>
              <w:adjustRightInd/>
              <w:spacing w:line="460" w:lineRule="exact"/>
              <w:jc w:val="center"/>
              <w:textAlignment w:val="auto"/>
              <w:rPr>
                <w:rFonts w:hint="eastAsia" w:ascii="宋体" w:hAnsi="宋体"/>
                <w:color w:val="auto"/>
                <w:sz w:val="24"/>
                <w:szCs w:val="24"/>
                <w:vertAlign w:val="baseline"/>
                <w:lang w:eastAsia="zh-CN"/>
              </w:rPr>
            </w:pPr>
            <w:r>
              <w:rPr>
                <w:rFonts w:hint="eastAsia" w:ascii="宋体" w:hAnsi="宋体"/>
                <w:color w:val="auto"/>
                <w:sz w:val="24"/>
                <w:szCs w:val="24"/>
                <w:vertAlign w:val="baseline"/>
                <w:lang w:eastAsia="zh-CN"/>
              </w:rPr>
              <w:t>外装饰</w:t>
            </w:r>
          </w:p>
        </w:tc>
        <w:tc>
          <w:tcPr>
            <w:tcW w:w="3355" w:type="dxa"/>
            <w:noWrap w:val="0"/>
            <w:vAlign w:val="top"/>
          </w:tcPr>
          <w:p>
            <w:pPr>
              <w:keepNext w:val="0"/>
              <w:keepLines w:val="0"/>
              <w:pageBreakBefore w:val="0"/>
              <w:kinsoku/>
              <w:wordWrap/>
              <w:overflowPunct/>
              <w:topLinePunct w:val="0"/>
              <w:autoSpaceDE/>
              <w:autoSpaceDN/>
              <w:bidi w:val="0"/>
              <w:adjustRightInd/>
              <w:spacing w:line="460" w:lineRule="exact"/>
              <w:jc w:val="center"/>
              <w:textAlignment w:val="auto"/>
              <w:rPr>
                <w:rFonts w:hint="eastAsia" w:ascii="宋体" w:hAnsi="宋体"/>
                <w:color w:val="auto"/>
                <w:sz w:val="24"/>
                <w:szCs w:val="24"/>
                <w:vertAlign w:val="baseline"/>
                <w:lang w:eastAsia="zh-CN"/>
              </w:rPr>
            </w:pPr>
            <w:r>
              <w:rPr>
                <w:rFonts w:hint="eastAsia" w:ascii="宋体" w:hAnsi="宋体"/>
                <w:color w:val="auto"/>
                <w:sz w:val="24"/>
                <w:szCs w:val="24"/>
                <w:vertAlign w:val="baseline"/>
                <w:lang w:eastAsia="zh-CN"/>
              </w:rPr>
              <w:t>内装修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2" w:type="dxa"/>
            <w:noWrap w:val="0"/>
            <w:vAlign w:val="top"/>
          </w:tcPr>
          <w:p>
            <w:pPr>
              <w:keepNext w:val="0"/>
              <w:keepLines w:val="0"/>
              <w:pageBreakBefore w:val="0"/>
              <w:kinsoku/>
              <w:wordWrap/>
              <w:overflowPunct/>
              <w:topLinePunct w:val="0"/>
              <w:autoSpaceDE/>
              <w:autoSpaceDN/>
              <w:bidi w:val="0"/>
              <w:adjustRightInd/>
              <w:spacing w:line="460" w:lineRule="exact"/>
              <w:jc w:val="center"/>
              <w:textAlignment w:val="auto"/>
              <w:rPr>
                <w:rFonts w:hint="default" w:ascii="宋体" w:hAnsi="宋体"/>
                <w:color w:val="auto"/>
                <w:sz w:val="24"/>
                <w:szCs w:val="24"/>
                <w:vertAlign w:val="baseline"/>
                <w:lang w:val="en-US" w:eastAsia="zh-CN"/>
              </w:rPr>
            </w:pPr>
            <w:r>
              <w:rPr>
                <w:rFonts w:hint="eastAsia" w:ascii="宋体" w:hAnsi="宋体"/>
                <w:color w:val="auto"/>
                <w:sz w:val="24"/>
                <w:szCs w:val="24"/>
                <w:vertAlign w:val="baseline"/>
                <w:lang w:val="en-US" w:eastAsia="zh-CN"/>
              </w:rPr>
              <w:t>1</w:t>
            </w:r>
          </w:p>
        </w:tc>
        <w:tc>
          <w:tcPr>
            <w:tcW w:w="859" w:type="dxa"/>
            <w:noWrap w:val="0"/>
            <w:vAlign w:val="top"/>
          </w:tcPr>
          <w:p>
            <w:pPr>
              <w:keepNext w:val="0"/>
              <w:keepLines w:val="0"/>
              <w:pageBreakBefore w:val="0"/>
              <w:kinsoku/>
              <w:wordWrap/>
              <w:overflowPunct/>
              <w:topLinePunct w:val="0"/>
              <w:autoSpaceDE/>
              <w:autoSpaceDN/>
              <w:bidi w:val="0"/>
              <w:adjustRightInd/>
              <w:spacing w:line="460" w:lineRule="exact"/>
              <w:jc w:val="center"/>
              <w:textAlignment w:val="auto"/>
              <w:rPr>
                <w:rFonts w:hint="eastAsia" w:ascii="宋体" w:hAnsi="宋体"/>
                <w:color w:val="auto"/>
                <w:kern w:val="2"/>
                <w:sz w:val="24"/>
                <w:szCs w:val="24"/>
                <w:vertAlign w:val="baseline"/>
                <w:lang w:val="en-US" w:eastAsia="zh-CN" w:bidi="ar-SA"/>
              </w:rPr>
            </w:pPr>
            <w:r>
              <w:rPr>
                <w:rFonts w:hint="eastAsia" w:ascii="宋体" w:hAnsi="宋体"/>
                <w:color w:val="auto"/>
                <w:sz w:val="24"/>
                <w:szCs w:val="24"/>
                <w:vertAlign w:val="baseline"/>
                <w:lang w:eastAsia="zh-CN"/>
              </w:rPr>
              <w:t>住宅</w:t>
            </w:r>
          </w:p>
        </w:tc>
        <w:tc>
          <w:tcPr>
            <w:tcW w:w="4023" w:type="dxa"/>
            <w:noWrap w:val="0"/>
            <w:vAlign w:val="top"/>
          </w:tcPr>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宋体" w:hAnsi="宋体"/>
                <w:color w:val="auto"/>
                <w:sz w:val="24"/>
                <w:szCs w:val="24"/>
                <w:vertAlign w:val="baseline"/>
                <w:lang w:eastAsia="zh-CN"/>
              </w:rPr>
            </w:pPr>
            <w:r>
              <w:rPr>
                <w:rFonts w:hint="eastAsia" w:ascii="宋体" w:hAnsi="宋体"/>
                <w:color w:val="auto"/>
                <w:sz w:val="24"/>
                <w:szCs w:val="24"/>
                <w:vertAlign w:val="baseline"/>
                <w:lang w:eastAsia="zh-CN"/>
              </w:rPr>
              <w:t>外墙水泥断块涂料、塑钢窗，楼道油漆墙裙、楼梯不锈钢扶手、大理石楼梯踏步</w:t>
            </w:r>
          </w:p>
        </w:tc>
        <w:tc>
          <w:tcPr>
            <w:tcW w:w="3355" w:type="dxa"/>
            <w:noWrap w:val="0"/>
            <w:vAlign w:val="top"/>
          </w:tcPr>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default" w:ascii="宋体" w:hAnsi="宋体"/>
                <w:color w:val="auto"/>
                <w:sz w:val="24"/>
                <w:szCs w:val="24"/>
                <w:vertAlign w:val="baseline"/>
                <w:lang w:val="en-US" w:eastAsia="zh-CN"/>
              </w:rPr>
            </w:pPr>
            <w:r>
              <w:rPr>
                <w:rFonts w:hint="eastAsia" w:ascii="宋体" w:hAnsi="宋体"/>
                <w:color w:val="auto"/>
                <w:sz w:val="24"/>
                <w:szCs w:val="24"/>
                <w:vertAlign w:val="baseline"/>
                <w:lang w:eastAsia="zh-CN"/>
              </w:rPr>
              <w:t>入户门为防盗门，室内内墙乳胶漆、厨房及卫生间内墙贴瓷砖，卧室整体衣柜，地面铺</w:t>
            </w:r>
            <w:r>
              <w:rPr>
                <w:rFonts w:hint="eastAsia" w:ascii="宋体" w:hAnsi="宋体"/>
                <w:color w:val="auto"/>
                <w:sz w:val="24"/>
                <w:szCs w:val="24"/>
                <w:vertAlign w:val="baseline"/>
                <w:lang w:val="en-US" w:eastAsia="zh-CN"/>
              </w:rPr>
              <w:t>80地板砖，卫生间铺防滑地。</w:t>
            </w:r>
          </w:p>
        </w:tc>
      </w:tr>
    </w:tbl>
    <w:p>
      <w:pPr>
        <w:keepNext w:val="0"/>
        <w:keepLines w:val="0"/>
        <w:pageBreakBefore w:val="0"/>
        <w:numPr>
          <w:ilvl w:val="0"/>
          <w:numId w:val="0"/>
        </w:numPr>
        <w:kinsoku/>
        <w:wordWrap/>
        <w:overflowPunct/>
        <w:topLinePunct w:val="0"/>
        <w:autoSpaceDE/>
        <w:autoSpaceDN/>
        <w:bidi w:val="0"/>
        <w:adjustRightInd/>
        <w:snapToGrid w:val="0"/>
        <w:spacing w:line="460" w:lineRule="exact"/>
        <w:ind w:firstLine="560" w:firstLineChars="200"/>
        <w:textAlignment w:val="auto"/>
        <w:outlineLvl w:val="0"/>
        <w:rPr>
          <w:rFonts w:hint="eastAsia" w:ascii="宋体" w:hAnsi="宋体"/>
          <w:sz w:val="28"/>
          <w:szCs w:val="28"/>
          <w:lang w:val="en-US" w:eastAsia="zh-CN"/>
        </w:rPr>
      </w:pPr>
      <w:bookmarkStart w:id="26" w:name="_Toc6113"/>
      <w:r>
        <w:rPr>
          <w:rFonts w:hint="eastAsia" w:ascii="宋体" w:hAnsi="宋体"/>
          <w:sz w:val="28"/>
          <w:szCs w:val="28"/>
          <w:lang w:val="en-US" w:eastAsia="zh-CN"/>
        </w:rPr>
        <w:t>（3）土地状况</w:t>
      </w:r>
    </w:p>
    <w:p>
      <w:pPr>
        <w:keepNext w:val="0"/>
        <w:keepLines w:val="0"/>
        <w:pageBreakBefore w:val="0"/>
        <w:kinsoku/>
        <w:wordWrap/>
        <w:overflowPunct/>
        <w:topLinePunct w:val="0"/>
        <w:autoSpaceDE/>
        <w:autoSpaceDN/>
        <w:bidi w:val="0"/>
        <w:adjustRightInd/>
        <w:spacing w:line="460" w:lineRule="exact"/>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1、四至：</w:t>
      </w:r>
      <w:r>
        <w:rPr>
          <w:rFonts w:hint="eastAsia" w:ascii="宋体" w:hAnsi="宋体"/>
          <w:color w:val="auto"/>
          <w:sz w:val="28"/>
          <w:szCs w:val="28"/>
          <w:lang w:val="en-US" w:eastAsia="zh-CN"/>
        </w:rPr>
        <w:t>宗地坐落于</w:t>
      </w:r>
      <w:r>
        <w:rPr>
          <w:rFonts w:hint="eastAsia" w:ascii="宋体" w:hAnsi="宋体"/>
          <w:color w:val="auto"/>
          <w:sz w:val="28"/>
          <w:szCs w:val="28"/>
          <w:lang w:eastAsia="zh-CN"/>
        </w:rPr>
        <w:t>原县隆兴昌镇胜利办事处福中园小区2-2-252</w:t>
      </w:r>
      <w:r>
        <w:rPr>
          <w:rFonts w:hint="eastAsia" w:ascii="宋体" w:hAnsi="宋体"/>
          <w:color w:val="auto"/>
          <w:sz w:val="28"/>
          <w:szCs w:val="28"/>
          <w:lang w:val="en-US" w:eastAsia="zh-CN"/>
        </w:rPr>
        <w:t>，</w:t>
      </w:r>
      <w:r>
        <w:rPr>
          <w:rFonts w:hint="eastAsia" w:ascii="宋体" w:hAnsi="宋体"/>
          <w:color w:val="auto"/>
          <w:kern w:val="2"/>
          <w:sz w:val="28"/>
          <w:szCs w:val="28"/>
          <w:lang w:eastAsia="zh-CN"/>
        </w:rPr>
        <w:t>所在小区东临居民区，南临建设路，西临今日富苑，北临广原小区</w:t>
      </w:r>
      <w:r>
        <w:rPr>
          <w:rFonts w:hint="eastAsia" w:ascii="宋体" w:hAnsi="宋体" w:eastAsia="宋体" w:cs="宋体"/>
          <w:color w:val="auto"/>
          <w:sz w:val="28"/>
          <w:szCs w:val="28"/>
        </w:rPr>
        <w:t>。</w:t>
      </w:r>
    </w:p>
    <w:p>
      <w:pPr>
        <w:keepNext w:val="0"/>
        <w:keepLines w:val="0"/>
        <w:pageBreakBefore w:val="0"/>
        <w:kinsoku/>
        <w:wordWrap/>
        <w:overflowPunct/>
        <w:topLinePunct w:val="0"/>
        <w:autoSpaceDE/>
        <w:autoSpaceDN/>
        <w:bidi w:val="0"/>
        <w:adjustRightInd/>
        <w:spacing w:line="460" w:lineRule="exact"/>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2、土地形状：</w:t>
      </w:r>
      <w:r>
        <w:rPr>
          <w:rFonts w:hint="eastAsia" w:ascii="宋体" w:hAnsi="宋体"/>
          <w:color w:val="auto"/>
          <w:sz w:val="28"/>
          <w:szCs w:val="28"/>
          <w:lang w:val="en-US" w:eastAsia="zh-CN"/>
        </w:rPr>
        <w:t>土地形状为</w:t>
      </w:r>
      <w:r>
        <w:rPr>
          <w:rFonts w:hint="eastAsia" w:ascii="宋体" w:hAnsi="宋体"/>
          <w:color w:val="auto"/>
          <w:kern w:val="2"/>
          <w:sz w:val="28"/>
          <w:szCs w:val="28"/>
        </w:rPr>
        <w:t>长方形地势平坦</w:t>
      </w:r>
      <w:r>
        <w:rPr>
          <w:rFonts w:hint="eastAsia" w:ascii="宋体" w:hAnsi="宋体"/>
          <w:color w:val="auto"/>
          <w:kern w:val="2"/>
          <w:sz w:val="28"/>
          <w:szCs w:val="28"/>
          <w:lang w:eastAsia="zh-CN"/>
        </w:rPr>
        <w:t>。</w:t>
      </w:r>
    </w:p>
    <w:p>
      <w:pPr>
        <w:keepNext w:val="0"/>
        <w:keepLines w:val="0"/>
        <w:pageBreakBefore w:val="0"/>
        <w:kinsoku/>
        <w:wordWrap/>
        <w:overflowPunct/>
        <w:topLinePunct w:val="0"/>
        <w:autoSpaceDE/>
        <w:autoSpaceDN/>
        <w:bidi w:val="0"/>
        <w:adjustRightInd/>
        <w:spacing w:line="460" w:lineRule="exact"/>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3、土地使用权类型：</w:t>
      </w:r>
      <w:r>
        <w:rPr>
          <w:rFonts w:hint="eastAsia" w:ascii="宋体" w:hAnsi="宋体" w:cs="宋体"/>
          <w:color w:val="auto"/>
          <w:sz w:val="28"/>
          <w:szCs w:val="28"/>
          <w:lang w:eastAsia="zh-CN"/>
        </w:rPr>
        <w:t>出让</w:t>
      </w:r>
      <w:r>
        <w:rPr>
          <w:rFonts w:hint="eastAsia" w:ascii="宋体" w:hAnsi="宋体" w:eastAsia="宋体" w:cs="宋体"/>
          <w:color w:val="auto"/>
          <w:sz w:val="28"/>
          <w:szCs w:val="28"/>
        </w:rPr>
        <w:t>。</w:t>
      </w:r>
    </w:p>
    <w:p>
      <w:pPr>
        <w:keepNext w:val="0"/>
        <w:keepLines w:val="0"/>
        <w:pageBreakBefore w:val="0"/>
        <w:numPr>
          <w:ilvl w:val="0"/>
          <w:numId w:val="0"/>
        </w:numPr>
        <w:kinsoku/>
        <w:wordWrap/>
        <w:overflowPunct/>
        <w:topLinePunct w:val="0"/>
        <w:autoSpaceDE/>
        <w:autoSpaceDN/>
        <w:bidi w:val="0"/>
        <w:adjustRightInd/>
        <w:snapToGrid w:val="0"/>
        <w:spacing w:line="460" w:lineRule="exact"/>
        <w:ind w:firstLine="560" w:firstLineChars="200"/>
        <w:textAlignment w:val="auto"/>
        <w:outlineLvl w:val="0"/>
        <w:rPr>
          <w:rFonts w:hint="default" w:ascii="宋体" w:hAnsi="宋体"/>
          <w:sz w:val="28"/>
          <w:szCs w:val="28"/>
          <w:lang w:val="en-US" w:eastAsia="zh-CN"/>
        </w:rPr>
      </w:pPr>
      <w:r>
        <w:rPr>
          <w:rFonts w:hint="eastAsia" w:ascii="宋体" w:hAnsi="宋体" w:cs="宋体"/>
          <w:color w:val="auto"/>
          <w:sz w:val="28"/>
          <w:szCs w:val="28"/>
          <w:lang w:val="en-US" w:eastAsia="zh-CN"/>
        </w:rPr>
        <w:t>4</w:t>
      </w:r>
      <w:r>
        <w:rPr>
          <w:rFonts w:hint="eastAsia" w:ascii="宋体" w:hAnsi="宋体" w:eastAsia="宋体" w:cs="宋体"/>
          <w:color w:val="auto"/>
          <w:sz w:val="28"/>
          <w:szCs w:val="28"/>
        </w:rPr>
        <w:t>、开发程度：宗地内外均达</w:t>
      </w:r>
      <w:r>
        <w:rPr>
          <w:rFonts w:hint="eastAsia" w:ascii="宋体" w:hAnsi="宋体" w:eastAsia="宋体" w:cs="宋体"/>
          <w:color w:val="auto"/>
          <w:sz w:val="28"/>
          <w:szCs w:val="28"/>
          <w:lang w:eastAsia="zh-CN"/>
        </w:rPr>
        <w:t>七</w:t>
      </w:r>
      <w:r>
        <w:rPr>
          <w:rFonts w:hint="eastAsia" w:ascii="宋体" w:hAnsi="宋体" w:eastAsia="宋体" w:cs="宋体"/>
          <w:color w:val="auto"/>
          <w:sz w:val="28"/>
          <w:szCs w:val="28"/>
        </w:rPr>
        <w:t>通</w:t>
      </w:r>
      <w:r>
        <w:rPr>
          <w:rFonts w:hint="eastAsia" w:ascii="宋体" w:hAnsi="宋体" w:cs="宋体"/>
          <w:color w:val="auto"/>
          <w:sz w:val="28"/>
          <w:szCs w:val="28"/>
          <w:lang w:eastAsia="zh-CN"/>
        </w:rPr>
        <w:t>一平</w:t>
      </w:r>
      <w:r>
        <w:rPr>
          <w:rFonts w:hint="eastAsia" w:ascii="宋体" w:hAnsi="宋体" w:eastAsia="宋体" w:cs="宋体"/>
          <w:color w:val="auto"/>
          <w:sz w:val="28"/>
          <w:szCs w:val="28"/>
        </w:rPr>
        <w:t>（供水、排水、通路、通电、通讯、供热</w:t>
      </w:r>
      <w:r>
        <w:rPr>
          <w:rFonts w:hint="eastAsia" w:ascii="宋体" w:hAnsi="宋体" w:eastAsia="宋体" w:cs="宋体"/>
          <w:color w:val="auto"/>
          <w:sz w:val="28"/>
          <w:szCs w:val="28"/>
          <w:lang w:eastAsia="zh-CN"/>
        </w:rPr>
        <w:t>、通天然气</w:t>
      </w:r>
      <w:r>
        <w:rPr>
          <w:rFonts w:hint="eastAsia" w:ascii="宋体" w:hAnsi="宋体" w:cs="宋体"/>
          <w:color w:val="auto"/>
          <w:sz w:val="28"/>
          <w:szCs w:val="28"/>
          <w:lang w:eastAsia="zh-CN"/>
        </w:rPr>
        <w:t>及场地平整</w:t>
      </w:r>
      <w:r>
        <w:rPr>
          <w:rFonts w:hint="eastAsia" w:ascii="宋体" w:hAnsi="宋体" w:eastAsia="宋体" w:cs="宋体"/>
          <w:color w:val="auto"/>
          <w:sz w:val="28"/>
          <w:szCs w:val="28"/>
        </w:rPr>
        <w:t>）。</w:t>
      </w:r>
    </w:p>
    <w:p>
      <w:pPr>
        <w:keepNext w:val="0"/>
        <w:keepLines w:val="0"/>
        <w:pageBreakBefore w:val="0"/>
        <w:numPr>
          <w:ilvl w:val="0"/>
          <w:numId w:val="0"/>
        </w:numPr>
        <w:kinsoku/>
        <w:wordWrap/>
        <w:overflowPunct/>
        <w:topLinePunct w:val="0"/>
        <w:autoSpaceDE/>
        <w:autoSpaceDN/>
        <w:bidi w:val="0"/>
        <w:adjustRightInd/>
        <w:snapToGrid w:val="0"/>
        <w:spacing w:line="460" w:lineRule="exact"/>
        <w:ind w:firstLine="560" w:firstLineChars="200"/>
        <w:textAlignment w:val="auto"/>
        <w:outlineLvl w:val="0"/>
        <w:rPr>
          <w:rFonts w:hint="default" w:ascii="宋体" w:hAnsi="宋体"/>
          <w:sz w:val="28"/>
          <w:szCs w:val="28"/>
          <w:lang w:val="en-US" w:eastAsia="zh-CN"/>
        </w:rPr>
      </w:pPr>
      <w:r>
        <w:rPr>
          <w:rFonts w:hint="eastAsia" w:ascii="宋体" w:hAnsi="宋体"/>
          <w:sz w:val="28"/>
          <w:szCs w:val="28"/>
          <w:lang w:eastAsia="zh-CN"/>
        </w:rPr>
        <w:t>（二）权益状况</w:t>
      </w:r>
      <w:bookmarkEnd w:id="26"/>
    </w:p>
    <w:p>
      <w:pPr>
        <w:keepNext w:val="0"/>
        <w:keepLines w:val="0"/>
        <w:pageBreakBefore w:val="0"/>
        <w:numPr>
          <w:ilvl w:val="0"/>
          <w:numId w:val="0"/>
        </w:numPr>
        <w:kinsoku/>
        <w:wordWrap/>
        <w:overflowPunct/>
        <w:topLinePunct w:val="0"/>
        <w:autoSpaceDE/>
        <w:autoSpaceDN/>
        <w:bidi w:val="0"/>
        <w:adjustRightInd/>
        <w:snapToGrid w:val="0"/>
        <w:spacing w:line="460" w:lineRule="exact"/>
        <w:ind w:firstLine="560"/>
        <w:textAlignment w:val="auto"/>
        <w:outlineLvl w:val="0"/>
        <w:rPr>
          <w:rFonts w:hint="eastAsia" w:ascii="宋体" w:hAnsi="宋体"/>
          <w:color w:val="auto"/>
          <w:sz w:val="28"/>
          <w:szCs w:val="28"/>
          <w:lang w:val="en-US" w:eastAsia="zh-CN"/>
        </w:rPr>
      </w:pPr>
      <w:bookmarkStart w:id="27" w:name="_Toc9569"/>
      <w:r>
        <w:rPr>
          <w:rFonts w:hint="eastAsia" w:ascii="宋体" w:hAnsi="宋体"/>
          <w:sz w:val="28"/>
          <w:szCs w:val="28"/>
          <w:lang w:val="en-US" w:eastAsia="zh-CN"/>
        </w:rPr>
        <w:t>估价对象的《房屋所有权证》证号为4731号，房屋所有权人为王敏，房屋坐落于</w:t>
      </w:r>
      <w:r>
        <w:rPr>
          <w:rFonts w:hint="eastAsia" w:ascii="宋体" w:hAnsi="宋体"/>
          <w:color w:val="auto"/>
          <w:sz w:val="28"/>
          <w:szCs w:val="28"/>
          <w:lang w:eastAsia="zh-CN"/>
        </w:rPr>
        <w:t>五原县隆兴昌镇胜利办事处福中园小区2-2-252，结构为砖混结构，总层数为</w:t>
      </w:r>
      <w:r>
        <w:rPr>
          <w:rFonts w:hint="eastAsia" w:ascii="宋体" w:hAnsi="宋体"/>
          <w:color w:val="auto"/>
          <w:sz w:val="28"/>
          <w:szCs w:val="28"/>
          <w:lang w:val="en-US" w:eastAsia="zh-CN"/>
        </w:rPr>
        <w:t>六层，所在层数为第五层，</w:t>
      </w:r>
      <w:r>
        <w:rPr>
          <w:rFonts w:hint="eastAsia" w:ascii="宋体" w:hAnsi="宋体"/>
          <w:color w:val="auto"/>
          <w:sz w:val="28"/>
          <w:szCs w:val="28"/>
        </w:rPr>
        <w:t>建筑面积为</w:t>
      </w:r>
      <w:r>
        <w:rPr>
          <w:rFonts w:hint="eastAsia" w:ascii="宋体" w:hAnsi="宋体"/>
          <w:color w:val="auto"/>
          <w:sz w:val="28"/>
          <w:szCs w:val="28"/>
          <w:lang w:val="en-US" w:eastAsia="zh-CN"/>
        </w:rPr>
        <w:t>83.43</w:t>
      </w:r>
      <w:r>
        <w:rPr>
          <w:rFonts w:hint="eastAsia" w:ascii="宋体" w:hAnsi="宋体"/>
          <w:color w:val="auto"/>
          <w:sz w:val="28"/>
          <w:szCs w:val="28"/>
        </w:rPr>
        <w:t>㎡</w:t>
      </w:r>
      <w:r>
        <w:rPr>
          <w:rFonts w:hint="eastAsia" w:ascii="宋体" w:hAnsi="宋体"/>
          <w:color w:val="auto"/>
          <w:sz w:val="28"/>
          <w:szCs w:val="28"/>
          <w:lang w:eastAsia="zh-CN"/>
        </w:rPr>
        <w:t>，</w:t>
      </w:r>
      <w:r>
        <w:rPr>
          <w:rFonts w:hint="eastAsia" w:ascii="宋体" w:hAnsi="宋体"/>
          <w:color w:val="auto"/>
          <w:sz w:val="28"/>
          <w:szCs w:val="28"/>
          <w:lang w:val="en-US" w:eastAsia="zh-CN"/>
        </w:rPr>
        <w:t>估价对象房屋当前状况为自用状态。</w:t>
      </w:r>
      <w:bookmarkEnd w:id="27"/>
    </w:p>
    <w:p>
      <w:pPr>
        <w:keepNext w:val="0"/>
        <w:keepLines w:val="0"/>
        <w:pageBreakBefore w:val="0"/>
        <w:numPr>
          <w:ilvl w:val="0"/>
          <w:numId w:val="0"/>
        </w:numPr>
        <w:kinsoku/>
        <w:wordWrap/>
        <w:overflowPunct/>
        <w:topLinePunct w:val="0"/>
        <w:autoSpaceDE/>
        <w:autoSpaceDN/>
        <w:bidi w:val="0"/>
        <w:adjustRightInd/>
        <w:snapToGrid w:val="0"/>
        <w:spacing w:line="460" w:lineRule="exact"/>
        <w:ind w:leftChars="200"/>
        <w:textAlignment w:val="auto"/>
        <w:outlineLvl w:val="0"/>
        <w:rPr>
          <w:rFonts w:hint="eastAsia" w:ascii="宋体" w:hAnsi="宋体"/>
          <w:color w:val="auto"/>
          <w:sz w:val="28"/>
          <w:szCs w:val="28"/>
          <w:lang w:val="en-US" w:eastAsia="zh-CN"/>
        </w:rPr>
      </w:pPr>
      <w:bookmarkStart w:id="28" w:name="_Toc30537"/>
      <w:r>
        <w:rPr>
          <w:rFonts w:hint="eastAsia" w:ascii="宋体" w:hAnsi="宋体"/>
          <w:color w:val="auto"/>
          <w:sz w:val="28"/>
          <w:szCs w:val="28"/>
          <w:lang w:val="en-US" w:eastAsia="zh-CN"/>
        </w:rPr>
        <w:t>（三）区位状况</w:t>
      </w:r>
      <w:bookmarkEnd w:id="28"/>
    </w:p>
    <w:p>
      <w:pPr>
        <w:keepNext w:val="0"/>
        <w:keepLines w:val="0"/>
        <w:pageBreakBefore w:val="0"/>
        <w:kinsoku/>
        <w:wordWrap/>
        <w:overflowPunct/>
        <w:topLinePunct w:val="0"/>
        <w:autoSpaceDE/>
        <w:autoSpaceDN/>
        <w:bidi w:val="0"/>
        <w:adjustRightInd/>
        <w:spacing w:line="460" w:lineRule="exact"/>
        <w:ind w:firstLine="560" w:firstLineChars="200"/>
        <w:textAlignment w:val="auto"/>
        <w:rPr>
          <w:rFonts w:hint="eastAsia" w:eastAsia="宋体"/>
          <w:color w:val="auto"/>
          <w:sz w:val="28"/>
          <w:szCs w:val="28"/>
          <w:lang w:val="en-US" w:eastAsia="zh-CN"/>
        </w:rPr>
      </w:pPr>
      <w:r>
        <w:rPr>
          <w:rFonts w:hint="eastAsia"/>
          <w:color w:val="auto"/>
          <w:sz w:val="28"/>
          <w:szCs w:val="28"/>
        </w:rPr>
        <w:t>1、区域位置</w:t>
      </w:r>
      <w:r>
        <w:rPr>
          <w:rFonts w:hint="eastAsia"/>
          <w:color w:val="auto"/>
          <w:sz w:val="28"/>
          <w:szCs w:val="28"/>
          <w:lang w:eastAsia="zh-CN"/>
        </w:rPr>
        <w:t>及周边公共配套情况</w:t>
      </w:r>
    </w:p>
    <w:p>
      <w:pPr>
        <w:pStyle w:val="61"/>
        <w:keepNext w:val="0"/>
        <w:keepLines w:val="0"/>
        <w:pageBreakBefore w:val="0"/>
        <w:kinsoku/>
        <w:wordWrap/>
        <w:overflowPunct/>
        <w:topLinePunct w:val="0"/>
        <w:autoSpaceDE/>
        <w:autoSpaceDN/>
        <w:bidi w:val="0"/>
        <w:adjustRightInd/>
        <w:spacing w:line="460" w:lineRule="exact"/>
        <w:ind w:firstLine="560" w:firstLineChars="200"/>
        <w:textAlignment w:val="auto"/>
        <w:rPr>
          <w:kern w:val="2"/>
          <w:sz w:val="28"/>
          <w:szCs w:val="28"/>
        </w:rPr>
      </w:pPr>
      <w:r>
        <w:rPr>
          <w:rFonts w:hint="eastAsia"/>
          <w:color w:val="auto"/>
          <w:kern w:val="2"/>
          <w:sz w:val="28"/>
          <w:szCs w:val="28"/>
        </w:rPr>
        <w:t>估价对象所处位置坐落于</w:t>
      </w:r>
      <w:r>
        <w:rPr>
          <w:rFonts w:hint="eastAsia" w:ascii="宋体" w:hAnsi="宋体"/>
          <w:color w:val="auto"/>
          <w:kern w:val="2"/>
          <w:sz w:val="28"/>
          <w:szCs w:val="28"/>
          <w:lang w:eastAsia="zh-CN"/>
        </w:rPr>
        <w:t>巴彦淖尔市五原县隆兴昌镇胜利办事处福中园小区2-2-252</w:t>
      </w:r>
      <w:r>
        <w:rPr>
          <w:rFonts w:hint="eastAsia"/>
          <w:color w:val="auto"/>
          <w:kern w:val="2"/>
          <w:sz w:val="28"/>
          <w:szCs w:val="28"/>
        </w:rPr>
        <w:t>，</w:t>
      </w:r>
      <w:r>
        <w:rPr>
          <w:rFonts w:hint="eastAsia" w:ascii="宋体" w:hAnsi="宋体"/>
          <w:color w:val="auto"/>
          <w:kern w:val="2"/>
          <w:sz w:val="28"/>
          <w:szCs w:val="28"/>
          <w:lang w:eastAsia="zh-CN"/>
        </w:rPr>
        <w:t>该</w:t>
      </w:r>
      <w:r>
        <w:rPr>
          <w:rFonts w:hint="eastAsia" w:ascii="宋体" w:hAnsi="宋体"/>
          <w:color w:val="auto"/>
          <w:kern w:val="2"/>
          <w:sz w:val="28"/>
          <w:szCs w:val="28"/>
        </w:rPr>
        <w:t>估价</w:t>
      </w:r>
      <w:r>
        <w:rPr>
          <w:rFonts w:hint="eastAsia" w:ascii="宋体" w:hAnsi="宋体"/>
          <w:color w:val="auto"/>
          <w:kern w:val="2"/>
          <w:sz w:val="28"/>
          <w:szCs w:val="28"/>
          <w:lang w:eastAsia="zh-CN"/>
        </w:rPr>
        <w:t>对象所在小区东临居民区，南临建设路，西临今日富苑，北临广原小区，同时区域内有五原县第四小学、五原县第一中学、蒙商银行、五原县农商银行、葵花广场等公共配套设施，估价对象区域位置较好。</w:t>
      </w:r>
    </w:p>
    <w:p>
      <w:pPr>
        <w:keepNext w:val="0"/>
        <w:keepLines w:val="0"/>
        <w:pageBreakBefore w:val="0"/>
        <w:kinsoku/>
        <w:wordWrap/>
        <w:overflowPunct/>
        <w:topLinePunct w:val="0"/>
        <w:autoSpaceDE/>
        <w:autoSpaceDN/>
        <w:bidi w:val="0"/>
        <w:adjustRightInd/>
        <w:spacing w:line="460" w:lineRule="exact"/>
        <w:ind w:firstLine="560" w:firstLineChars="200"/>
        <w:textAlignment w:val="auto"/>
        <w:rPr>
          <w:rFonts w:hint="eastAsia"/>
          <w:sz w:val="28"/>
          <w:szCs w:val="28"/>
        </w:rPr>
      </w:pPr>
      <w:r>
        <w:rPr>
          <w:rFonts w:hint="eastAsia"/>
          <w:sz w:val="28"/>
          <w:szCs w:val="28"/>
        </w:rPr>
        <w:t>2、交通便捷程度</w:t>
      </w:r>
    </w:p>
    <w:p>
      <w:pPr>
        <w:keepNext w:val="0"/>
        <w:keepLines w:val="0"/>
        <w:pageBreakBefore w:val="0"/>
        <w:kinsoku/>
        <w:wordWrap/>
        <w:overflowPunct/>
        <w:topLinePunct w:val="0"/>
        <w:autoSpaceDE/>
        <w:autoSpaceDN/>
        <w:bidi w:val="0"/>
        <w:adjustRightInd/>
        <w:spacing w:line="460" w:lineRule="exact"/>
        <w:ind w:firstLine="560" w:firstLineChars="200"/>
        <w:textAlignment w:val="auto"/>
        <w:rPr>
          <w:rFonts w:hint="eastAsia"/>
          <w:sz w:val="28"/>
          <w:szCs w:val="28"/>
        </w:rPr>
      </w:pPr>
      <w:r>
        <w:rPr>
          <w:rFonts w:hint="eastAsia"/>
          <w:sz w:val="28"/>
          <w:szCs w:val="28"/>
        </w:rPr>
        <w:t>估价对象所在区域周围道路</w:t>
      </w:r>
      <w:r>
        <w:rPr>
          <w:rFonts w:hint="eastAsia"/>
          <w:sz w:val="28"/>
          <w:szCs w:val="28"/>
          <w:lang w:eastAsia="zh-CN"/>
        </w:rPr>
        <w:t>主要以建设路为主</w:t>
      </w:r>
      <w:r>
        <w:rPr>
          <w:rFonts w:hint="eastAsia"/>
          <w:sz w:val="28"/>
          <w:szCs w:val="28"/>
        </w:rPr>
        <w:t>，</w:t>
      </w:r>
      <w:r>
        <w:rPr>
          <w:rFonts w:hint="eastAsia"/>
          <w:sz w:val="28"/>
          <w:szCs w:val="28"/>
          <w:lang w:eastAsia="zh-CN"/>
        </w:rPr>
        <w:t>其</w:t>
      </w:r>
      <w:r>
        <w:rPr>
          <w:rFonts w:hint="eastAsia"/>
          <w:sz w:val="28"/>
          <w:szCs w:val="28"/>
        </w:rPr>
        <w:t>道路通达性和便捷度</w:t>
      </w:r>
      <w:r>
        <w:rPr>
          <w:rFonts w:hint="eastAsia"/>
          <w:sz w:val="28"/>
          <w:szCs w:val="28"/>
          <w:lang w:eastAsia="zh-CN"/>
        </w:rPr>
        <w:t>及繁华程度较好</w:t>
      </w:r>
      <w:r>
        <w:rPr>
          <w:rFonts w:hint="eastAsia"/>
          <w:sz w:val="28"/>
          <w:szCs w:val="28"/>
        </w:rPr>
        <w:t>。</w:t>
      </w:r>
    </w:p>
    <w:p>
      <w:pPr>
        <w:keepNext w:val="0"/>
        <w:keepLines w:val="0"/>
        <w:pageBreakBefore w:val="0"/>
        <w:kinsoku/>
        <w:wordWrap/>
        <w:overflowPunct/>
        <w:topLinePunct w:val="0"/>
        <w:autoSpaceDE/>
        <w:autoSpaceDN/>
        <w:bidi w:val="0"/>
        <w:adjustRightInd/>
        <w:spacing w:line="460" w:lineRule="exact"/>
        <w:ind w:firstLine="560" w:firstLineChars="200"/>
        <w:textAlignment w:val="auto"/>
        <w:rPr>
          <w:rFonts w:hint="eastAsia" w:ascii="宋体" w:hAnsi="宋体"/>
          <w:color w:val="auto"/>
          <w:kern w:val="2"/>
          <w:sz w:val="28"/>
          <w:szCs w:val="28"/>
          <w:lang w:val="en-US" w:eastAsia="zh-CN" w:bidi="ar-SA"/>
        </w:rPr>
      </w:pPr>
      <w:r>
        <w:rPr>
          <w:rFonts w:hint="eastAsia" w:ascii="宋体" w:hAnsi="宋体"/>
          <w:color w:val="auto"/>
          <w:kern w:val="2"/>
          <w:sz w:val="28"/>
          <w:szCs w:val="28"/>
          <w:lang w:val="en-US" w:eastAsia="zh-CN" w:bidi="ar-SA"/>
        </w:rPr>
        <w:t>3、环境和景观</w:t>
      </w:r>
    </w:p>
    <w:p>
      <w:pPr>
        <w:keepNext w:val="0"/>
        <w:keepLines w:val="0"/>
        <w:pageBreakBefore w:val="0"/>
        <w:kinsoku/>
        <w:wordWrap/>
        <w:overflowPunct/>
        <w:topLinePunct w:val="0"/>
        <w:autoSpaceDE/>
        <w:autoSpaceDN/>
        <w:bidi w:val="0"/>
        <w:adjustRightInd/>
        <w:spacing w:line="460" w:lineRule="exact"/>
        <w:ind w:firstLine="560" w:firstLineChars="200"/>
        <w:textAlignment w:val="auto"/>
        <w:rPr>
          <w:rFonts w:hint="eastAsia" w:ascii="宋体" w:hAnsi="宋体"/>
          <w:color w:val="auto"/>
          <w:kern w:val="2"/>
          <w:sz w:val="28"/>
          <w:szCs w:val="28"/>
          <w:lang w:val="en-US" w:eastAsia="zh-CN" w:bidi="ar-SA"/>
        </w:rPr>
      </w:pPr>
      <w:r>
        <w:rPr>
          <w:rFonts w:hint="eastAsia" w:ascii="宋体" w:hAnsi="宋体"/>
          <w:color w:val="auto"/>
          <w:kern w:val="2"/>
          <w:sz w:val="28"/>
          <w:szCs w:val="28"/>
          <w:lang w:val="en-US" w:eastAsia="zh-CN" w:bidi="ar-SA"/>
        </w:rPr>
        <w:t>估价对象所在区域随着政府改造工程的实施，区域内绿地、植被布局和建筑格局进一步合理，环境及景观较好。</w:t>
      </w:r>
    </w:p>
    <w:p>
      <w:pPr>
        <w:keepNext w:val="0"/>
        <w:keepLines w:val="0"/>
        <w:pageBreakBefore w:val="0"/>
        <w:kinsoku/>
        <w:wordWrap/>
        <w:overflowPunct/>
        <w:topLinePunct w:val="0"/>
        <w:autoSpaceDE/>
        <w:autoSpaceDN/>
        <w:bidi w:val="0"/>
        <w:adjustRightInd/>
        <w:spacing w:line="520" w:lineRule="exact"/>
        <w:ind w:firstLine="560" w:firstLineChars="200"/>
        <w:textAlignment w:val="auto"/>
        <w:rPr>
          <w:rFonts w:hint="eastAsia" w:ascii="宋体" w:hAnsi="宋体"/>
          <w:color w:val="auto"/>
          <w:kern w:val="2"/>
          <w:sz w:val="28"/>
          <w:szCs w:val="28"/>
          <w:lang w:val="en-US" w:eastAsia="zh-CN" w:bidi="ar-SA"/>
        </w:rPr>
      </w:pPr>
      <w:r>
        <w:rPr>
          <w:rFonts w:hint="eastAsia" w:ascii="宋体" w:hAnsi="宋体"/>
          <w:color w:val="auto"/>
          <w:kern w:val="2"/>
          <w:sz w:val="28"/>
          <w:szCs w:val="28"/>
          <w:lang w:val="en-US" w:eastAsia="zh-CN" w:bidi="ar-SA"/>
        </w:rPr>
        <w:t>4、</w:t>
      </w:r>
      <w:r>
        <w:rPr>
          <w:rFonts w:hint="eastAsia"/>
          <w:sz w:val="28"/>
          <w:szCs w:val="28"/>
          <w:lang w:eastAsia="zh-CN"/>
        </w:rPr>
        <w:t>基础设施</w:t>
      </w:r>
      <w:r>
        <w:rPr>
          <w:rFonts w:hint="eastAsia"/>
          <w:sz w:val="28"/>
          <w:szCs w:val="28"/>
        </w:rPr>
        <w:t>设施完备程度</w:t>
      </w:r>
    </w:p>
    <w:p>
      <w:pPr>
        <w:keepNext w:val="0"/>
        <w:keepLines w:val="0"/>
        <w:pageBreakBefore w:val="0"/>
        <w:kinsoku/>
        <w:wordWrap/>
        <w:overflowPunct/>
        <w:topLinePunct w:val="0"/>
        <w:autoSpaceDE/>
        <w:autoSpaceDN/>
        <w:bidi w:val="0"/>
        <w:adjustRightInd/>
        <w:spacing w:line="520" w:lineRule="exact"/>
        <w:ind w:firstLine="560" w:firstLineChars="200"/>
        <w:textAlignment w:val="auto"/>
        <w:rPr>
          <w:rFonts w:hint="eastAsia" w:ascii="宋体" w:hAnsi="宋体"/>
          <w:color w:val="auto"/>
          <w:kern w:val="2"/>
          <w:sz w:val="28"/>
          <w:szCs w:val="28"/>
          <w:lang w:val="en-US" w:eastAsia="zh-CN" w:bidi="ar-SA"/>
        </w:rPr>
      </w:pPr>
      <w:r>
        <w:rPr>
          <w:rFonts w:hint="eastAsia" w:ascii="宋体" w:hAnsi="宋体"/>
          <w:color w:val="auto"/>
          <w:kern w:val="2"/>
          <w:sz w:val="28"/>
          <w:szCs w:val="28"/>
          <w:lang w:val="en-US" w:eastAsia="zh-CN" w:bidi="ar-SA"/>
        </w:rPr>
        <w:t>经估价人员实地查勘，估价对象所在区域基础设施开发程度已达到七通一平（通上水、通下水、通电、通路、通讯、通暖、通天然气、场地平整），基础设施总体状况较好。</w:t>
      </w:r>
    </w:p>
    <w:p>
      <w:pPr>
        <w:keepNext w:val="0"/>
        <w:keepLines w:val="0"/>
        <w:pageBreakBefore w:val="0"/>
        <w:kinsoku/>
        <w:wordWrap/>
        <w:overflowPunct/>
        <w:topLinePunct w:val="0"/>
        <w:autoSpaceDE/>
        <w:autoSpaceDN/>
        <w:bidi w:val="0"/>
        <w:adjustRightInd/>
        <w:snapToGrid w:val="0"/>
        <w:spacing w:line="520" w:lineRule="exact"/>
        <w:ind w:firstLine="560" w:firstLineChars="200"/>
        <w:textAlignment w:val="auto"/>
        <w:outlineLvl w:val="0"/>
        <w:rPr>
          <w:rFonts w:hint="eastAsia" w:ascii="宋体" w:hAnsi="宋体"/>
          <w:color w:val="auto"/>
          <w:kern w:val="2"/>
          <w:sz w:val="28"/>
          <w:szCs w:val="28"/>
          <w:lang w:val="en-US" w:eastAsia="zh-CN" w:bidi="ar-SA"/>
        </w:rPr>
      </w:pPr>
      <w:bookmarkStart w:id="29" w:name="_Toc6201"/>
      <w:r>
        <w:rPr>
          <w:rFonts w:hint="eastAsia" w:ascii="宋体" w:hAnsi="宋体"/>
          <w:color w:val="auto"/>
          <w:kern w:val="2"/>
          <w:sz w:val="28"/>
          <w:szCs w:val="28"/>
          <w:lang w:val="en-US" w:eastAsia="zh-CN" w:bidi="ar-SA"/>
        </w:rPr>
        <w:t>五、价值时点</w:t>
      </w:r>
      <w:bookmarkEnd w:id="29"/>
    </w:p>
    <w:p>
      <w:pPr>
        <w:keepNext w:val="0"/>
        <w:keepLines w:val="0"/>
        <w:pageBreakBefore w:val="0"/>
        <w:kinsoku/>
        <w:wordWrap/>
        <w:overflowPunct/>
        <w:topLinePunct w:val="0"/>
        <w:autoSpaceDE/>
        <w:autoSpaceDN/>
        <w:bidi w:val="0"/>
        <w:adjustRightInd/>
        <w:snapToGrid w:val="0"/>
        <w:spacing w:line="520" w:lineRule="exact"/>
        <w:ind w:firstLine="560" w:firstLineChars="200"/>
        <w:textAlignment w:val="auto"/>
        <w:rPr>
          <w:rFonts w:hint="eastAsia" w:ascii="宋体" w:hAnsi="宋体"/>
          <w:color w:val="auto"/>
          <w:kern w:val="2"/>
          <w:sz w:val="28"/>
          <w:szCs w:val="28"/>
          <w:lang w:val="en-US" w:eastAsia="zh-CN" w:bidi="ar-SA"/>
        </w:rPr>
      </w:pPr>
      <w:r>
        <w:rPr>
          <w:rFonts w:hint="eastAsia" w:ascii="宋体" w:hAnsi="宋体"/>
          <w:color w:val="auto"/>
          <w:kern w:val="2"/>
          <w:sz w:val="28"/>
          <w:szCs w:val="28"/>
          <w:lang w:val="en-US" w:eastAsia="zh-CN" w:bidi="ar-SA"/>
        </w:rPr>
        <w:t>本次评估的价值时点为2020年6月24日，即确定实地查勘之日为价值时点。</w:t>
      </w:r>
    </w:p>
    <w:p>
      <w:pPr>
        <w:keepNext w:val="0"/>
        <w:keepLines w:val="0"/>
        <w:pageBreakBefore w:val="0"/>
        <w:kinsoku/>
        <w:wordWrap/>
        <w:overflowPunct/>
        <w:topLinePunct w:val="0"/>
        <w:autoSpaceDE/>
        <w:autoSpaceDN/>
        <w:bidi w:val="0"/>
        <w:adjustRightInd/>
        <w:snapToGrid w:val="0"/>
        <w:spacing w:line="520" w:lineRule="exact"/>
        <w:ind w:firstLine="560" w:firstLineChars="200"/>
        <w:textAlignment w:val="auto"/>
        <w:outlineLvl w:val="0"/>
        <w:rPr>
          <w:rFonts w:hint="eastAsia" w:ascii="宋体" w:hAnsi="宋体"/>
          <w:color w:val="auto"/>
          <w:kern w:val="2"/>
          <w:sz w:val="28"/>
          <w:szCs w:val="28"/>
          <w:lang w:val="en-US" w:eastAsia="zh-CN" w:bidi="ar-SA"/>
        </w:rPr>
      </w:pPr>
      <w:bookmarkStart w:id="30" w:name="_Toc3156"/>
      <w:r>
        <w:rPr>
          <w:rFonts w:hint="eastAsia" w:ascii="宋体" w:hAnsi="宋体"/>
          <w:color w:val="auto"/>
          <w:kern w:val="2"/>
          <w:sz w:val="28"/>
          <w:szCs w:val="28"/>
          <w:lang w:val="en-US" w:eastAsia="zh-CN" w:bidi="ar-SA"/>
        </w:rPr>
        <w:t>六、价值类型</w:t>
      </w:r>
      <w:bookmarkEnd w:id="30"/>
    </w:p>
    <w:p>
      <w:pPr>
        <w:keepNext w:val="0"/>
        <w:keepLines w:val="0"/>
        <w:pageBreakBefore w:val="0"/>
        <w:kinsoku/>
        <w:wordWrap/>
        <w:overflowPunct/>
        <w:topLinePunct w:val="0"/>
        <w:autoSpaceDE/>
        <w:autoSpaceDN/>
        <w:bidi w:val="0"/>
        <w:adjustRightInd/>
        <w:spacing w:line="520" w:lineRule="exact"/>
        <w:ind w:firstLine="560" w:firstLineChars="200"/>
        <w:textAlignment w:val="auto"/>
        <w:rPr>
          <w:rFonts w:hint="eastAsia" w:ascii="宋体" w:hAnsi="宋体"/>
          <w:color w:val="auto"/>
          <w:kern w:val="2"/>
          <w:sz w:val="28"/>
          <w:szCs w:val="28"/>
          <w:lang w:val="en-US" w:eastAsia="zh-CN" w:bidi="ar-SA"/>
        </w:rPr>
      </w:pPr>
      <w:r>
        <w:rPr>
          <w:rFonts w:hint="eastAsia" w:ascii="宋体" w:hAnsi="宋体"/>
          <w:color w:val="auto"/>
          <w:kern w:val="2"/>
          <w:sz w:val="28"/>
          <w:szCs w:val="28"/>
          <w:lang w:val="en-US" w:eastAsia="zh-CN" w:bidi="ar-SA"/>
        </w:rPr>
        <w:t>本报告所确定的房地产价值为公开市场价值，即该房地产的客观合理价格，是在公开市场条件下，在本次估价目的的特定条件下形成或者成立的正常价格，对于其他估价目的并不适用，如估价目的变更，须另行估价。</w:t>
      </w:r>
    </w:p>
    <w:p>
      <w:pPr>
        <w:keepNext w:val="0"/>
        <w:keepLines w:val="0"/>
        <w:pageBreakBefore w:val="0"/>
        <w:kinsoku/>
        <w:wordWrap/>
        <w:overflowPunct/>
        <w:topLinePunct w:val="0"/>
        <w:autoSpaceDE/>
        <w:autoSpaceDN/>
        <w:bidi w:val="0"/>
        <w:adjustRightInd/>
        <w:snapToGrid w:val="0"/>
        <w:spacing w:line="520" w:lineRule="exact"/>
        <w:ind w:firstLine="560" w:firstLineChars="200"/>
        <w:textAlignment w:val="auto"/>
        <w:outlineLvl w:val="0"/>
        <w:rPr>
          <w:rFonts w:hint="eastAsia" w:ascii="宋体" w:hAnsi="宋体"/>
          <w:color w:val="auto"/>
          <w:kern w:val="2"/>
          <w:sz w:val="28"/>
          <w:szCs w:val="28"/>
          <w:lang w:val="en-US" w:eastAsia="zh-CN" w:bidi="ar-SA"/>
        </w:rPr>
      </w:pPr>
      <w:bookmarkStart w:id="31" w:name="_Toc5296"/>
      <w:r>
        <w:rPr>
          <w:rFonts w:hint="eastAsia" w:ascii="宋体" w:hAnsi="宋体"/>
          <w:color w:val="auto"/>
          <w:kern w:val="2"/>
          <w:sz w:val="28"/>
          <w:szCs w:val="28"/>
          <w:lang w:val="en-US" w:eastAsia="zh-CN" w:bidi="ar-SA"/>
        </w:rPr>
        <w:t>七、估价原则</w:t>
      </w:r>
      <w:bookmarkEnd w:id="31"/>
    </w:p>
    <w:p>
      <w:pPr>
        <w:keepNext w:val="0"/>
        <w:keepLines w:val="0"/>
        <w:pageBreakBefore w:val="0"/>
        <w:kinsoku/>
        <w:wordWrap/>
        <w:overflowPunct/>
        <w:topLinePunct w:val="0"/>
        <w:autoSpaceDE/>
        <w:autoSpaceDN/>
        <w:bidi w:val="0"/>
        <w:adjustRightInd/>
        <w:spacing w:line="520" w:lineRule="exact"/>
        <w:ind w:firstLine="560" w:firstLineChars="200"/>
        <w:textAlignment w:val="auto"/>
        <w:rPr>
          <w:rFonts w:hint="eastAsia" w:ascii="宋体" w:hAnsi="宋体"/>
          <w:color w:val="auto"/>
          <w:kern w:val="2"/>
          <w:sz w:val="28"/>
          <w:szCs w:val="28"/>
          <w:lang w:val="en-US" w:eastAsia="zh-CN" w:bidi="ar-SA"/>
        </w:rPr>
      </w:pPr>
      <w:r>
        <w:rPr>
          <w:rFonts w:hint="eastAsia" w:ascii="宋体" w:hAnsi="宋体"/>
          <w:color w:val="auto"/>
          <w:kern w:val="2"/>
          <w:sz w:val="28"/>
          <w:szCs w:val="28"/>
          <w:lang w:val="en-US" w:eastAsia="zh-CN" w:bidi="ar-SA"/>
        </w:rPr>
        <w:t>独立、客观、公正原则、合法原则、最高最佳利用原则、替代原则、价值时点原则。</w:t>
      </w:r>
    </w:p>
    <w:p>
      <w:pPr>
        <w:keepNext w:val="0"/>
        <w:keepLines w:val="0"/>
        <w:pageBreakBefore w:val="0"/>
        <w:kinsoku/>
        <w:wordWrap/>
        <w:overflowPunct/>
        <w:topLinePunct w:val="0"/>
        <w:autoSpaceDE/>
        <w:autoSpaceDN/>
        <w:bidi w:val="0"/>
        <w:adjustRightInd/>
        <w:snapToGrid w:val="0"/>
        <w:spacing w:line="520" w:lineRule="exact"/>
        <w:ind w:firstLine="560" w:firstLineChars="200"/>
        <w:textAlignment w:val="auto"/>
        <w:outlineLvl w:val="0"/>
        <w:rPr>
          <w:rFonts w:hint="eastAsia" w:ascii="宋体" w:hAnsi="宋体"/>
          <w:color w:val="auto"/>
          <w:kern w:val="2"/>
          <w:sz w:val="28"/>
          <w:szCs w:val="28"/>
          <w:lang w:val="en-US" w:eastAsia="zh-CN" w:bidi="ar-SA"/>
        </w:rPr>
      </w:pPr>
      <w:bookmarkStart w:id="32" w:name="_Toc20804"/>
      <w:r>
        <w:rPr>
          <w:rFonts w:hint="eastAsia" w:ascii="宋体" w:hAnsi="宋体"/>
          <w:color w:val="auto"/>
          <w:kern w:val="2"/>
          <w:sz w:val="28"/>
          <w:szCs w:val="28"/>
          <w:lang w:val="en-US" w:eastAsia="zh-CN" w:bidi="ar-SA"/>
        </w:rPr>
        <w:t>八、估价依据</w:t>
      </w:r>
      <w:bookmarkEnd w:id="32"/>
    </w:p>
    <w:p>
      <w:pPr>
        <w:keepNext w:val="0"/>
        <w:keepLines w:val="0"/>
        <w:pageBreakBefore w:val="0"/>
        <w:widowControl w:val="0"/>
        <w:kinsoku/>
        <w:wordWrap/>
        <w:overflowPunct/>
        <w:topLinePunct w:val="0"/>
        <w:autoSpaceDE/>
        <w:autoSpaceDN/>
        <w:bidi w:val="0"/>
        <w:adjustRightInd/>
        <w:snapToGrid w:val="0"/>
        <w:spacing w:line="520" w:lineRule="exact"/>
        <w:ind w:firstLine="560" w:firstLineChars="200"/>
        <w:textAlignment w:val="auto"/>
        <w:rPr>
          <w:rFonts w:hint="eastAsia" w:ascii="宋体" w:hAnsi="宋体"/>
          <w:color w:val="auto"/>
          <w:kern w:val="2"/>
          <w:sz w:val="28"/>
          <w:szCs w:val="28"/>
          <w:lang w:val="en-US" w:eastAsia="zh-CN" w:bidi="ar-SA"/>
        </w:rPr>
      </w:pPr>
      <w:r>
        <w:rPr>
          <w:rFonts w:hint="eastAsia" w:ascii="宋体" w:hAnsi="宋体"/>
          <w:color w:val="auto"/>
          <w:kern w:val="2"/>
          <w:sz w:val="28"/>
          <w:szCs w:val="28"/>
          <w:lang w:val="en-US" w:eastAsia="zh-CN" w:bidi="ar-SA"/>
        </w:rPr>
        <w:t>1、《中华人民共和国物权法》</w:t>
      </w:r>
    </w:p>
    <w:p>
      <w:pPr>
        <w:keepNext w:val="0"/>
        <w:keepLines w:val="0"/>
        <w:pageBreakBefore w:val="0"/>
        <w:widowControl w:val="0"/>
        <w:kinsoku/>
        <w:wordWrap/>
        <w:overflowPunct/>
        <w:topLinePunct w:val="0"/>
        <w:autoSpaceDE/>
        <w:autoSpaceDN/>
        <w:bidi w:val="0"/>
        <w:adjustRightInd/>
        <w:snapToGrid w:val="0"/>
        <w:spacing w:line="520" w:lineRule="exact"/>
        <w:ind w:firstLine="560" w:firstLineChars="200"/>
        <w:textAlignment w:val="auto"/>
        <w:rPr>
          <w:rFonts w:hint="eastAsia" w:ascii="宋体" w:hAnsi="宋体"/>
          <w:color w:val="auto"/>
          <w:kern w:val="2"/>
          <w:sz w:val="28"/>
          <w:szCs w:val="28"/>
          <w:lang w:val="en-US" w:eastAsia="zh-CN" w:bidi="ar-SA"/>
        </w:rPr>
      </w:pPr>
      <w:r>
        <w:rPr>
          <w:rFonts w:hint="eastAsia" w:ascii="宋体" w:hAnsi="宋体"/>
          <w:color w:val="auto"/>
          <w:kern w:val="2"/>
          <w:sz w:val="28"/>
          <w:szCs w:val="28"/>
          <w:lang w:val="en-US" w:eastAsia="zh-CN" w:bidi="ar-SA"/>
        </w:rPr>
        <w:t>2、《中华人民共和国城市房地产管理法》；</w:t>
      </w:r>
    </w:p>
    <w:p>
      <w:pPr>
        <w:keepNext w:val="0"/>
        <w:keepLines w:val="0"/>
        <w:pageBreakBefore w:val="0"/>
        <w:widowControl w:val="0"/>
        <w:kinsoku/>
        <w:wordWrap/>
        <w:overflowPunct/>
        <w:topLinePunct w:val="0"/>
        <w:autoSpaceDE/>
        <w:autoSpaceDN/>
        <w:bidi w:val="0"/>
        <w:adjustRightInd/>
        <w:snapToGrid w:val="0"/>
        <w:spacing w:line="520" w:lineRule="exact"/>
        <w:ind w:firstLine="560" w:firstLineChars="200"/>
        <w:textAlignment w:val="auto"/>
        <w:rPr>
          <w:rFonts w:hint="eastAsia" w:ascii="宋体" w:hAnsi="宋体"/>
          <w:color w:val="auto"/>
          <w:kern w:val="2"/>
          <w:sz w:val="28"/>
          <w:szCs w:val="28"/>
          <w:lang w:val="en-US" w:eastAsia="zh-CN" w:bidi="ar-SA"/>
        </w:rPr>
      </w:pPr>
      <w:r>
        <w:rPr>
          <w:rFonts w:hint="eastAsia" w:ascii="宋体" w:hAnsi="宋体"/>
          <w:color w:val="auto"/>
          <w:kern w:val="2"/>
          <w:sz w:val="28"/>
          <w:szCs w:val="28"/>
          <w:lang w:val="en-US" w:eastAsia="zh-CN" w:bidi="ar-SA"/>
        </w:rPr>
        <w:t>3、《中华人民共和国土地管理法》；</w:t>
      </w:r>
    </w:p>
    <w:p>
      <w:pPr>
        <w:keepNext w:val="0"/>
        <w:keepLines w:val="0"/>
        <w:pageBreakBefore w:val="0"/>
        <w:widowControl w:val="0"/>
        <w:kinsoku/>
        <w:wordWrap/>
        <w:overflowPunct/>
        <w:topLinePunct w:val="0"/>
        <w:autoSpaceDE/>
        <w:autoSpaceDN/>
        <w:bidi w:val="0"/>
        <w:adjustRightInd/>
        <w:snapToGrid w:val="0"/>
        <w:spacing w:line="520" w:lineRule="exact"/>
        <w:ind w:firstLine="560" w:firstLineChars="200"/>
        <w:textAlignment w:val="auto"/>
        <w:rPr>
          <w:rFonts w:hint="eastAsia" w:ascii="宋体" w:hAnsi="宋体"/>
          <w:color w:val="auto"/>
          <w:kern w:val="2"/>
          <w:sz w:val="28"/>
          <w:szCs w:val="28"/>
          <w:lang w:val="en-US" w:eastAsia="zh-CN" w:bidi="ar-SA"/>
        </w:rPr>
      </w:pPr>
      <w:r>
        <w:rPr>
          <w:rFonts w:hint="eastAsia" w:ascii="宋体" w:hAnsi="宋体"/>
          <w:color w:val="auto"/>
          <w:kern w:val="2"/>
          <w:sz w:val="28"/>
          <w:szCs w:val="28"/>
          <w:lang w:val="en-US" w:eastAsia="zh-CN" w:bidi="ar-SA"/>
        </w:rPr>
        <w:t>4、《房地产估价规范》（GB/T50291-2015）；</w:t>
      </w:r>
    </w:p>
    <w:p>
      <w:pPr>
        <w:keepNext w:val="0"/>
        <w:keepLines w:val="0"/>
        <w:pageBreakBefore w:val="0"/>
        <w:widowControl w:val="0"/>
        <w:kinsoku/>
        <w:wordWrap/>
        <w:overflowPunct/>
        <w:topLinePunct w:val="0"/>
        <w:autoSpaceDE/>
        <w:autoSpaceDN/>
        <w:bidi w:val="0"/>
        <w:adjustRightInd/>
        <w:snapToGrid w:val="0"/>
        <w:spacing w:line="520" w:lineRule="exact"/>
        <w:ind w:firstLine="560" w:firstLineChars="200"/>
        <w:textAlignment w:val="auto"/>
        <w:rPr>
          <w:rFonts w:hint="eastAsia" w:ascii="宋体" w:hAnsi="宋体"/>
          <w:color w:val="auto"/>
          <w:kern w:val="2"/>
          <w:sz w:val="28"/>
          <w:szCs w:val="28"/>
          <w:lang w:val="en-US" w:eastAsia="zh-CN" w:bidi="ar-SA"/>
        </w:rPr>
      </w:pPr>
      <w:r>
        <w:rPr>
          <w:rFonts w:hint="eastAsia" w:ascii="宋体" w:hAnsi="宋体"/>
          <w:color w:val="auto"/>
          <w:kern w:val="2"/>
          <w:sz w:val="28"/>
          <w:szCs w:val="28"/>
          <w:lang w:val="en-US" w:eastAsia="zh-CN" w:bidi="ar-SA"/>
        </w:rPr>
        <w:t>5、《房地产估价师注册管理办法》</w:t>
      </w:r>
    </w:p>
    <w:p>
      <w:pPr>
        <w:keepNext w:val="0"/>
        <w:keepLines w:val="0"/>
        <w:pageBreakBefore w:val="0"/>
        <w:widowControl w:val="0"/>
        <w:kinsoku/>
        <w:wordWrap/>
        <w:overflowPunct/>
        <w:topLinePunct w:val="0"/>
        <w:autoSpaceDE/>
        <w:autoSpaceDN/>
        <w:bidi w:val="0"/>
        <w:adjustRightInd/>
        <w:snapToGrid w:val="0"/>
        <w:spacing w:line="520" w:lineRule="exact"/>
        <w:ind w:firstLine="560" w:firstLineChars="200"/>
        <w:textAlignment w:val="auto"/>
        <w:rPr>
          <w:rFonts w:hint="eastAsia" w:ascii="宋体" w:hAnsi="宋体"/>
          <w:color w:val="auto"/>
          <w:kern w:val="2"/>
          <w:sz w:val="28"/>
          <w:szCs w:val="28"/>
          <w:lang w:val="en-US" w:eastAsia="zh-CN" w:bidi="ar-SA"/>
        </w:rPr>
      </w:pPr>
      <w:r>
        <w:rPr>
          <w:rFonts w:hint="eastAsia" w:ascii="宋体" w:hAnsi="宋体"/>
          <w:color w:val="auto"/>
          <w:kern w:val="2"/>
          <w:sz w:val="28"/>
          <w:szCs w:val="28"/>
          <w:lang w:val="en-US" w:eastAsia="zh-CN" w:bidi="ar-SA"/>
        </w:rPr>
        <w:t>6、《中华人民共和国资产评估法》</w:t>
      </w:r>
    </w:p>
    <w:p>
      <w:pPr>
        <w:keepNext w:val="0"/>
        <w:keepLines w:val="0"/>
        <w:pageBreakBefore w:val="0"/>
        <w:widowControl w:val="0"/>
        <w:kinsoku/>
        <w:wordWrap/>
        <w:overflowPunct/>
        <w:topLinePunct w:val="0"/>
        <w:autoSpaceDE/>
        <w:autoSpaceDN/>
        <w:bidi w:val="0"/>
        <w:adjustRightInd/>
        <w:snapToGrid w:val="0"/>
        <w:spacing w:line="520" w:lineRule="exact"/>
        <w:ind w:firstLine="560" w:firstLineChars="200"/>
        <w:textAlignment w:val="auto"/>
        <w:rPr>
          <w:rFonts w:hint="default" w:ascii="宋体" w:hAnsi="宋体"/>
          <w:color w:val="auto"/>
          <w:kern w:val="2"/>
          <w:sz w:val="28"/>
          <w:szCs w:val="28"/>
          <w:lang w:val="en-US" w:eastAsia="zh-CN" w:bidi="ar-SA"/>
        </w:rPr>
      </w:pPr>
      <w:r>
        <w:rPr>
          <w:rFonts w:hint="eastAsia" w:ascii="宋体" w:hAnsi="宋体"/>
          <w:color w:val="auto"/>
          <w:kern w:val="2"/>
          <w:sz w:val="28"/>
          <w:szCs w:val="28"/>
          <w:lang w:val="en-US" w:eastAsia="zh-CN" w:bidi="ar-SA"/>
        </w:rPr>
        <w:t>7、《房地产估价基本术语标准》</w:t>
      </w:r>
    </w:p>
    <w:p>
      <w:pPr>
        <w:keepNext w:val="0"/>
        <w:keepLines w:val="0"/>
        <w:pageBreakBefore w:val="0"/>
        <w:widowControl w:val="0"/>
        <w:kinsoku/>
        <w:wordWrap/>
        <w:overflowPunct/>
        <w:topLinePunct w:val="0"/>
        <w:autoSpaceDE/>
        <w:autoSpaceDN/>
        <w:bidi w:val="0"/>
        <w:adjustRightInd/>
        <w:snapToGrid w:val="0"/>
        <w:spacing w:line="520" w:lineRule="exact"/>
        <w:ind w:firstLine="560" w:firstLineChars="200"/>
        <w:textAlignment w:val="auto"/>
        <w:rPr>
          <w:rFonts w:hint="eastAsia" w:ascii="宋体" w:hAnsi="宋体"/>
          <w:color w:val="auto"/>
          <w:kern w:val="2"/>
          <w:sz w:val="28"/>
          <w:szCs w:val="28"/>
          <w:lang w:val="en-US" w:eastAsia="zh-CN" w:bidi="ar-SA"/>
        </w:rPr>
      </w:pPr>
      <w:r>
        <w:rPr>
          <w:rFonts w:hint="eastAsia" w:ascii="宋体" w:hAnsi="宋体"/>
          <w:color w:val="auto"/>
          <w:kern w:val="2"/>
          <w:sz w:val="28"/>
          <w:szCs w:val="28"/>
          <w:lang w:val="en-US" w:eastAsia="zh-CN" w:bidi="ar-SA"/>
        </w:rPr>
        <w:t>8、委托方提供的《五原县人民法院委托书》；</w:t>
      </w:r>
    </w:p>
    <w:p>
      <w:pPr>
        <w:keepNext w:val="0"/>
        <w:keepLines w:val="0"/>
        <w:pageBreakBefore w:val="0"/>
        <w:widowControl w:val="0"/>
        <w:kinsoku/>
        <w:wordWrap/>
        <w:overflowPunct/>
        <w:topLinePunct w:val="0"/>
        <w:autoSpaceDE/>
        <w:autoSpaceDN/>
        <w:bidi w:val="0"/>
        <w:adjustRightInd/>
        <w:snapToGrid w:val="0"/>
        <w:spacing w:line="520" w:lineRule="exact"/>
        <w:ind w:firstLine="560" w:firstLineChars="200"/>
        <w:textAlignment w:val="auto"/>
        <w:rPr>
          <w:rFonts w:hint="eastAsia" w:ascii="宋体" w:hAnsi="宋体"/>
          <w:color w:val="auto"/>
          <w:kern w:val="2"/>
          <w:sz w:val="28"/>
          <w:szCs w:val="28"/>
          <w:lang w:val="en-US" w:eastAsia="zh-CN" w:bidi="ar-SA"/>
        </w:rPr>
      </w:pPr>
      <w:r>
        <w:rPr>
          <w:rFonts w:hint="eastAsia" w:ascii="宋体" w:hAnsi="宋体"/>
          <w:color w:val="auto"/>
          <w:kern w:val="2"/>
          <w:sz w:val="28"/>
          <w:szCs w:val="28"/>
          <w:lang w:val="en-US" w:eastAsia="zh-CN" w:bidi="ar-SA"/>
        </w:rPr>
        <w:t>9、《内蒙古自治区房地产权属登记簿》复印件；</w:t>
      </w:r>
    </w:p>
    <w:p>
      <w:pPr>
        <w:keepNext w:val="0"/>
        <w:keepLines w:val="0"/>
        <w:pageBreakBefore w:val="0"/>
        <w:widowControl w:val="0"/>
        <w:kinsoku/>
        <w:wordWrap/>
        <w:overflowPunct/>
        <w:topLinePunct w:val="0"/>
        <w:autoSpaceDE/>
        <w:autoSpaceDN/>
        <w:bidi w:val="0"/>
        <w:adjustRightInd/>
        <w:snapToGrid w:val="0"/>
        <w:spacing w:line="520" w:lineRule="exact"/>
        <w:ind w:firstLine="560" w:firstLineChars="200"/>
        <w:textAlignment w:val="auto"/>
        <w:rPr>
          <w:rFonts w:hint="default" w:ascii="宋体" w:hAnsi="宋体"/>
          <w:color w:val="auto"/>
          <w:kern w:val="2"/>
          <w:sz w:val="28"/>
          <w:szCs w:val="28"/>
          <w:lang w:val="en-US" w:eastAsia="zh-CN" w:bidi="ar-SA"/>
        </w:rPr>
      </w:pPr>
      <w:r>
        <w:rPr>
          <w:rFonts w:hint="eastAsia" w:ascii="宋体" w:hAnsi="宋体"/>
          <w:color w:val="auto"/>
          <w:kern w:val="2"/>
          <w:sz w:val="28"/>
          <w:szCs w:val="28"/>
          <w:lang w:val="en-US" w:eastAsia="zh-CN" w:bidi="ar-SA"/>
        </w:rPr>
        <w:t>10、委托方提供的《房屋所有权证》复印件；</w:t>
      </w:r>
    </w:p>
    <w:p>
      <w:pPr>
        <w:keepNext w:val="0"/>
        <w:keepLines w:val="0"/>
        <w:pageBreakBefore w:val="0"/>
        <w:widowControl w:val="0"/>
        <w:kinsoku/>
        <w:wordWrap/>
        <w:overflowPunct/>
        <w:topLinePunct w:val="0"/>
        <w:autoSpaceDE/>
        <w:autoSpaceDN/>
        <w:bidi w:val="0"/>
        <w:adjustRightInd/>
        <w:snapToGrid w:val="0"/>
        <w:spacing w:line="520" w:lineRule="exact"/>
        <w:ind w:firstLine="560" w:firstLineChars="200"/>
        <w:textAlignment w:val="auto"/>
        <w:rPr>
          <w:rFonts w:hint="eastAsia" w:ascii="宋体" w:hAnsi="宋体"/>
          <w:color w:val="auto"/>
          <w:kern w:val="2"/>
          <w:sz w:val="28"/>
          <w:szCs w:val="28"/>
          <w:lang w:val="en-US" w:eastAsia="zh-CN" w:bidi="ar-SA"/>
        </w:rPr>
      </w:pPr>
      <w:r>
        <w:rPr>
          <w:rFonts w:hint="eastAsia" w:ascii="宋体" w:hAnsi="宋体"/>
          <w:color w:val="auto"/>
          <w:kern w:val="2"/>
          <w:sz w:val="28"/>
          <w:szCs w:val="28"/>
          <w:lang w:val="en-US" w:eastAsia="zh-CN" w:bidi="ar-SA"/>
        </w:rPr>
        <w:t>11、评估人员现场查勘获取的有关资料。</w:t>
      </w:r>
    </w:p>
    <w:p>
      <w:pPr>
        <w:keepNext w:val="0"/>
        <w:keepLines w:val="0"/>
        <w:pageBreakBefore w:val="0"/>
        <w:widowControl w:val="0"/>
        <w:kinsoku/>
        <w:wordWrap/>
        <w:overflowPunct/>
        <w:topLinePunct w:val="0"/>
        <w:autoSpaceDE/>
        <w:autoSpaceDN/>
        <w:bidi w:val="0"/>
        <w:adjustRightInd/>
        <w:snapToGrid w:val="0"/>
        <w:spacing w:line="520" w:lineRule="exact"/>
        <w:ind w:firstLine="560" w:firstLineChars="200"/>
        <w:textAlignment w:val="auto"/>
        <w:outlineLvl w:val="0"/>
        <w:rPr>
          <w:rFonts w:hint="eastAsia" w:ascii="宋体" w:hAnsi="宋体"/>
          <w:color w:val="auto"/>
          <w:kern w:val="2"/>
          <w:sz w:val="28"/>
          <w:szCs w:val="28"/>
          <w:lang w:val="en-US" w:eastAsia="zh-CN" w:bidi="ar-SA"/>
        </w:rPr>
      </w:pPr>
      <w:bookmarkStart w:id="33" w:name="_Toc20349"/>
      <w:r>
        <w:rPr>
          <w:rFonts w:hint="eastAsia" w:ascii="宋体" w:hAnsi="宋体"/>
          <w:color w:val="auto"/>
          <w:kern w:val="2"/>
          <w:sz w:val="28"/>
          <w:szCs w:val="28"/>
          <w:lang w:val="en-US" w:eastAsia="zh-CN" w:bidi="ar-SA"/>
        </w:rPr>
        <w:t>九、估价方法</w:t>
      </w:r>
      <w:bookmarkEnd w:id="33"/>
    </w:p>
    <w:p>
      <w:pPr>
        <w:keepNext w:val="0"/>
        <w:keepLines w:val="0"/>
        <w:pageBreakBefore w:val="0"/>
        <w:widowControl w:val="0"/>
        <w:kinsoku/>
        <w:wordWrap/>
        <w:overflowPunct/>
        <w:topLinePunct w:val="0"/>
        <w:autoSpaceDE/>
        <w:autoSpaceDN/>
        <w:bidi w:val="0"/>
        <w:adjustRightInd/>
        <w:snapToGrid w:val="0"/>
        <w:spacing w:line="520" w:lineRule="exact"/>
        <w:ind w:firstLine="560" w:firstLineChars="200"/>
        <w:textAlignment w:val="auto"/>
        <w:rPr>
          <w:rFonts w:hint="eastAsia" w:ascii="宋体" w:hAnsi="宋体"/>
          <w:color w:val="auto"/>
          <w:kern w:val="2"/>
          <w:sz w:val="28"/>
          <w:szCs w:val="28"/>
          <w:lang w:val="en-US" w:eastAsia="zh-CN" w:bidi="ar-SA"/>
        </w:rPr>
      </w:pPr>
      <w:r>
        <w:rPr>
          <w:rFonts w:hint="eastAsia" w:ascii="宋体" w:hAnsi="宋体"/>
          <w:color w:val="auto"/>
          <w:kern w:val="2"/>
          <w:sz w:val="28"/>
          <w:szCs w:val="28"/>
          <w:lang w:val="en-US" w:eastAsia="zh-CN" w:bidi="ar-SA"/>
        </w:rPr>
        <w:t>估价人员根据估价对象的特点和实际状况，因此采用了如下方法进行评估：</w:t>
      </w:r>
    </w:p>
    <w:p>
      <w:pPr>
        <w:keepNext w:val="0"/>
        <w:keepLines w:val="0"/>
        <w:pageBreakBefore w:val="0"/>
        <w:widowControl w:val="0"/>
        <w:kinsoku/>
        <w:wordWrap/>
        <w:overflowPunct/>
        <w:topLinePunct w:val="0"/>
        <w:autoSpaceDE/>
        <w:autoSpaceDN/>
        <w:bidi w:val="0"/>
        <w:adjustRightInd/>
        <w:snapToGrid w:val="0"/>
        <w:spacing w:line="520" w:lineRule="exact"/>
        <w:ind w:firstLine="560" w:firstLineChars="200"/>
        <w:textAlignment w:val="auto"/>
        <w:rPr>
          <w:rFonts w:hint="eastAsia" w:ascii="宋体" w:hAnsi="宋体"/>
          <w:color w:val="auto"/>
          <w:kern w:val="2"/>
          <w:sz w:val="28"/>
          <w:szCs w:val="28"/>
          <w:lang w:val="en-US" w:eastAsia="zh-CN" w:bidi="ar-SA"/>
        </w:rPr>
      </w:pPr>
      <w:r>
        <w:rPr>
          <w:rFonts w:hint="eastAsia" w:ascii="宋体" w:hAnsi="宋体"/>
          <w:color w:val="auto"/>
          <w:kern w:val="2"/>
          <w:sz w:val="28"/>
          <w:szCs w:val="28"/>
          <w:lang w:val="en-US" w:eastAsia="zh-CN" w:bidi="ar-SA"/>
        </w:rPr>
        <w:t>估价人员在现场查勘的基础上，根据房地产估价规范有关规定，“有条件选用市场法进行估价的，应以市场法作为主要估价方法”，“收益性房地产的估价，应选用收益法作为其中的一种估价方法”。根据《房地产估价规范》以及估价人员掌握的房地产市场资料和长期积累的房地产估价经验数据，综合分析影响房地产价格的各项因素，对估价对象采用比较法、收益法进行估价。</w:t>
      </w:r>
    </w:p>
    <w:p>
      <w:pPr>
        <w:keepNext w:val="0"/>
        <w:keepLines w:val="0"/>
        <w:pageBreakBefore w:val="0"/>
        <w:widowControl w:val="0"/>
        <w:kinsoku/>
        <w:wordWrap/>
        <w:overflowPunct/>
        <w:topLinePunct w:val="0"/>
        <w:autoSpaceDE/>
        <w:autoSpaceDN/>
        <w:bidi w:val="0"/>
        <w:adjustRightInd/>
        <w:snapToGrid w:val="0"/>
        <w:spacing w:line="520" w:lineRule="exact"/>
        <w:ind w:firstLine="560" w:firstLineChars="200"/>
        <w:textAlignment w:val="auto"/>
        <w:rPr>
          <w:rFonts w:hint="eastAsia" w:ascii="宋体" w:hAnsi="宋体"/>
          <w:color w:val="auto"/>
          <w:kern w:val="2"/>
          <w:sz w:val="28"/>
          <w:szCs w:val="28"/>
          <w:lang w:val="en-US" w:eastAsia="zh-CN" w:bidi="ar-SA"/>
        </w:rPr>
      </w:pPr>
      <w:r>
        <w:rPr>
          <w:rFonts w:hint="eastAsia" w:ascii="宋体" w:hAnsi="宋体"/>
          <w:color w:val="auto"/>
          <w:kern w:val="2"/>
          <w:sz w:val="28"/>
          <w:szCs w:val="28"/>
          <w:lang w:val="en-US" w:eastAsia="zh-CN" w:bidi="ar-SA"/>
        </w:rPr>
        <w:t>比较法就是选取一定数量的可比实例，将它们与估价对象进行比较，根据其间的差异对可比实例成交价格进行处理后得到估价对象价值或价格的方法。</w:t>
      </w:r>
    </w:p>
    <w:p>
      <w:pPr>
        <w:keepNext w:val="0"/>
        <w:keepLines w:val="0"/>
        <w:pageBreakBefore w:val="0"/>
        <w:widowControl w:val="0"/>
        <w:kinsoku/>
        <w:wordWrap/>
        <w:overflowPunct/>
        <w:topLinePunct w:val="0"/>
        <w:autoSpaceDE/>
        <w:autoSpaceDN/>
        <w:bidi w:val="0"/>
        <w:adjustRightInd/>
        <w:snapToGrid w:val="0"/>
        <w:spacing w:line="520" w:lineRule="exact"/>
        <w:ind w:firstLine="560" w:firstLineChars="200"/>
        <w:textAlignment w:val="auto"/>
        <w:rPr>
          <w:rFonts w:hint="eastAsia" w:ascii="宋体" w:hAnsi="宋体"/>
          <w:color w:val="auto"/>
          <w:kern w:val="2"/>
          <w:sz w:val="28"/>
          <w:szCs w:val="28"/>
          <w:lang w:val="en-US" w:eastAsia="zh-CN" w:bidi="ar-SA"/>
        </w:rPr>
      </w:pPr>
      <w:r>
        <w:rPr>
          <w:rFonts w:hint="eastAsia" w:ascii="宋体" w:hAnsi="宋体"/>
          <w:color w:val="auto"/>
          <w:kern w:val="2"/>
          <w:sz w:val="28"/>
          <w:szCs w:val="28"/>
          <w:lang w:val="en-US" w:eastAsia="zh-CN" w:bidi="ar-SA"/>
        </w:rPr>
        <w:t>收益法就是预测估价对象的未来收益，利用合适的报酬率或资本化率、收益乘数将未来收益转换为价值得到估价对象价值或价格的方法。</w:t>
      </w:r>
    </w:p>
    <w:p>
      <w:pPr>
        <w:keepNext w:val="0"/>
        <w:keepLines w:val="0"/>
        <w:pageBreakBefore w:val="0"/>
        <w:widowControl w:val="0"/>
        <w:kinsoku/>
        <w:wordWrap/>
        <w:overflowPunct/>
        <w:topLinePunct w:val="0"/>
        <w:autoSpaceDE/>
        <w:autoSpaceDN/>
        <w:bidi w:val="0"/>
        <w:adjustRightInd/>
        <w:snapToGrid w:val="0"/>
        <w:spacing w:line="520" w:lineRule="exact"/>
        <w:ind w:firstLine="560" w:firstLineChars="200"/>
        <w:textAlignment w:val="auto"/>
        <w:rPr>
          <w:rFonts w:hint="eastAsia" w:ascii="宋体" w:hAnsi="宋体"/>
          <w:color w:val="auto"/>
          <w:kern w:val="2"/>
          <w:sz w:val="28"/>
          <w:szCs w:val="28"/>
          <w:lang w:val="en-US" w:eastAsia="zh-CN" w:bidi="ar-SA"/>
        </w:rPr>
      </w:pPr>
      <w:bookmarkStart w:id="34" w:name="_Toc23071"/>
      <w:r>
        <w:rPr>
          <w:rFonts w:hint="eastAsia" w:ascii="宋体" w:hAnsi="宋体"/>
          <w:color w:val="auto"/>
          <w:kern w:val="2"/>
          <w:sz w:val="28"/>
          <w:szCs w:val="28"/>
          <w:lang w:val="en-US" w:eastAsia="zh-CN" w:bidi="ar-SA"/>
        </w:rPr>
        <w:t>十、估价结果</w:t>
      </w:r>
      <w:bookmarkEnd w:id="34"/>
    </w:p>
    <w:p>
      <w:pPr>
        <w:keepNext w:val="0"/>
        <w:keepLines w:val="0"/>
        <w:pageBreakBefore w:val="0"/>
        <w:widowControl w:val="0"/>
        <w:kinsoku/>
        <w:wordWrap/>
        <w:overflowPunct/>
        <w:topLinePunct w:val="0"/>
        <w:autoSpaceDE/>
        <w:autoSpaceDN/>
        <w:bidi w:val="0"/>
        <w:adjustRightInd/>
        <w:snapToGrid w:val="0"/>
        <w:spacing w:line="520" w:lineRule="exact"/>
        <w:ind w:firstLine="560" w:firstLineChars="200"/>
        <w:textAlignment w:val="auto"/>
        <w:rPr>
          <w:rFonts w:hint="eastAsia" w:ascii="宋体" w:hAnsi="宋体"/>
          <w:color w:val="auto"/>
          <w:kern w:val="2"/>
          <w:sz w:val="28"/>
          <w:szCs w:val="28"/>
          <w:lang w:val="en-US" w:eastAsia="zh-CN" w:bidi="ar-SA"/>
        </w:rPr>
      </w:pPr>
      <w:r>
        <w:rPr>
          <w:rFonts w:hint="eastAsia" w:ascii="宋体" w:hAnsi="宋体"/>
          <w:color w:val="auto"/>
          <w:kern w:val="2"/>
          <w:sz w:val="28"/>
          <w:szCs w:val="28"/>
          <w:lang w:val="en-US" w:eastAsia="zh-CN" w:bidi="ar-SA"/>
        </w:rPr>
        <w:t xml:space="preserve">估价人员根据估价目的，遵循估价原则，按照估价程序，采用科学适用的估价方法，在认真分析现有资料的基础上，经过仔细的测算，确定估价对象在二○二○年六月二十四日的市场价值为人民币(大写)： </w:t>
      </w:r>
      <w:r>
        <w:rPr>
          <w:rFonts w:hint="eastAsia" w:ascii="宋体" w:hAnsi="宋体"/>
          <w:color w:val="auto"/>
          <w:kern w:val="2"/>
          <w:sz w:val="28"/>
          <w:szCs w:val="28"/>
          <w:u w:val="single"/>
          <w:lang w:val="en-US" w:eastAsia="zh-CN" w:bidi="ar-SA"/>
        </w:rPr>
        <w:t>贰拾捌万陆仟零捌拾壹元整(￥286081元)</w:t>
      </w:r>
      <w:r>
        <w:rPr>
          <w:rFonts w:hint="eastAsia" w:ascii="宋体" w:hAnsi="宋体"/>
          <w:color w:val="auto"/>
          <w:kern w:val="2"/>
          <w:sz w:val="28"/>
          <w:szCs w:val="28"/>
          <w:lang w:val="en-US" w:eastAsia="zh-CN" w:bidi="ar-SA"/>
        </w:rPr>
        <w:t>。</w:t>
      </w:r>
      <w:bookmarkStart w:id="35" w:name="_Toc1732"/>
    </w:p>
    <w:p>
      <w:pPr>
        <w:keepNext w:val="0"/>
        <w:keepLines w:val="0"/>
        <w:pageBreakBefore w:val="0"/>
        <w:widowControl w:val="0"/>
        <w:kinsoku/>
        <w:wordWrap/>
        <w:overflowPunct/>
        <w:topLinePunct w:val="0"/>
        <w:autoSpaceDE/>
        <w:autoSpaceDN/>
        <w:bidi w:val="0"/>
        <w:adjustRightInd/>
        <w:spacing w:line="520" w:lineRule="exact"/>
        <w:ind w:firstLine="560" w:firstLineChars="200"/>
        <w:textAlignment w:val="auto"/>
        <w:rPr>
          <w:rFonts w:hint="eastAsia" w:ascii="宋体" w:hAnsi="宋体"/>
          <w:color w:val="auto"/>
          <w:kern w:val="2"/>
          <w:sz w:val="28"/>
          <w:szCs w:val="28"/>
          <w:lang w:val="en-US" w:eastAsia="zh-CN" w:bidi="ar-SA"/>
        </w:rPr>
      </w:pPr>
    </w:p>
    <w:p>
      <w:pPr>
        <w:keepNext w:val="0"/>
        <w:keepLines w:val="0"/>
        <w:pageBreakBefore w:val="0"/>
        <w:widowControl w:val="0"/>
        <w:kinsoku/>
        <w:wordWrap/>
        <w:overflowPunct/>
        <w:topLinePunct w:val="0"/>
        <w:autoSpaceDE/>
        <w:autoSpaceDN/>
        <w:bidi w:val="0"/>
        <w:adjustRightInd/>
        <w:spacing w:line="520" w:lineRule="exact"/>
        <w:ind w:firstLine="560" w:firstLineChars="200"/>
        <w:textAlignment w:val="auto"/>
        <w:rPr>
          <w:rFonts w:hint="eastAsia" w:ascii="宋体" w:hAnsi="宋体"/>
          <w:color w:val="auto"/>
          <w:kern w:val="2"/>
          <w:sz w:val="28"/>
          <w:szCs w:val="28"/>
          <w:lang w:val="en-US" w:eastAsia="zh-CN" w:bidi="ar-SA"/>
        </w:rPr>
      </w:pPr>
    </w:p>
    <w:p>
      <w:pPr>
        <w:keepNext w:val="0"/>
        <w:keepLines w:val="0"/>
        <w:pageBreakBefore w:val="0"/>
        <w:widowControl w:val="0"/>
        <w:kinsoku/>
        <w:wordWrap/>
        <w:overflowPunct/>
        <w:topLinePunct w:val="0"/>
        <w:autoSpaceDE/>
        <w:autoSpaceDN/>
        <w:bidi w:val="0"/>
        <w:adjustRightInd/>
        <w:spacing w:line="520" w:lineRule="exact"/>
        <w:ind w:firstLine="560" w:firstLineChars="200"/>
        <w:textAlignment w:val="auto"/>
        <w:rPr>
          <w:rFonts w:hint="eastAsia" w:ascii="宋体" w:hAnsi="宋体"/>
          <w:color w:val="auto"/>
          <w:kern w:val="2"/>
          <w:sz w:val="28"/>
          <w:szCs w:val="28"/>
          <w:lang w:val="en-US" w:eastAsia="zh-CN" w:bidi="ar-SA"/>
        </w:rPr>
      </w:pPr>
    </w:p>
    <w:p>
      <w:pPr>
        <w:keepNext w:val="0"/>
        <w:keepLines w:val="0"/>
        <w:pageBreakBefore w:val="0"/>
        <w:widowControl w:val="0"/>
        <w:kinsoku/>
        <w:wordWrap/>
        <w:overflowPunct/>
        <w:topLinePunct w:val="0"/>
        <w:autoSpaceDE/>
        <w:autoSpaceDN/>
        <w:bidi w:val="0"/>
        <w:adjustRightInd/>
        <w:spacing w:line="520" w:lineRule="exact"/>
        <w:ind w:firstLine="560" w:firstLineChars="200"/>
        <w:textAlignment w:val="auto"/>
        <w:rPr>
          <w:rFonts w:hint="eastAsia" w:ascii="宋体" w:hAnsi="宋体"/>
          <w:color w:val="auto"/>
          <w:kern w:val="2"/>
          <w:sz w:val="28"/>
          <w:szCs w:val="28"/>
          <w:lang w:val="en-US" w:eastAsia="zh-CN" w:bidi="ar-SA"/>
        </w:rPr>
      </w:pPr>
    </w:p>
    <w:p>
      <w:pPr>
        <w:keepNext w:val="0"/>
        <w:keepLines w:val="0"/>
        <w:pageBreakBefore w:val="0"/>
        <w:widowControl w:val="0"/>
        <w:kinsoku/>
        <w:wordWrap/>
        <w:overflowPunct/>
        <w:topLinePunct w:val="0"/>
        <w:autoSpaceDE/>
        <w:autoSpaceDN/>
        <w:bidi w:val="0"/>
        <w:adjustRightInd/>
        <w:spacing w:line="520" w:lineRule="exact"/>
        <w:textAlignment w:val="auto"/>
        <w:rPr>
          <w:rFonts w:hint="eastAsia" w:ascii="宋体" w:hAnsi="宋体"/>
          <w:color w:val="auto"/>
          <w:kern w:val="2"/>
          <w:sz w:val="28"/>
          <w:szCs w:val="28"/>
          <w:lang w:val="en-US" w:eastAsia="zh-CN" w:bidi="ar-SA"/>
        </w:rPr>
      </w:pPr>
    </w:p>
    <w:p>
      <w:pPr>
        <w:keepNext w:val="0"/>
        <w:keepLines w:val="0"/>
        <w:pageBreakBefore w:val="0"/>
        <w:widowControl w:val="0"/>
        <w:kinsoku/>
        <w:wordWrap/>
        <w:overflowPunct/>
        <w:topLinePunct w:val="0"/>
        <w:autoSpaceDE/>
        <w:autoSpaceDN/>
        <w:bidi w:val="0"/>
        <w:adjustRightInd/>
        <w:snapToGrid w:val="0"/>
        <w:spacing w:line="540" w:lineRule="exact"/>
        <w:ind w:firstLine="560" w:firstLineChars="200"/>
        <w:textAlignment w:val="auto"/>
        <w:outlineLvl w:val="0"/>
        <w:rPr>
          <w:rFonts w:hint="eastAsia" w:ascii="宋体" w:hAnsi="宋体"/>
          <w:sz w:val="28"/>
          <w:szCs w:val="28"/>
        </w:rPr>
      </w:pPr>
      <w:r>
        <w:rPr>
          <w:rFonts w:hint="eastAsia" w:ascii="宋体" w:hAnsi="宋体"/>
          <w:sz w:val="28"/>
          <w:szCs w:val="28"/>
          <w:lang w:eastAsia="zh-CN"/>
        </w:rPr>
        <w:t>十一、</w:t>
      </w:r>
      <w:bookmarkStart w:id="36" w:name="_Toc4705_WPSOffice_Level1"/>
      <w:r>
        <w:rPr>
          <w:rFonts w:hint="eastAsia" w:ascii="宋体" w:hAnsi="宋体"/>
          <w:sz w:val="28"/>
          <w:szCs w:val="28"/>
        </w:rPr>
        <w:t>注册房地产估价师</w:t>
      </w:r>
      <w:bookmarkEnd w:id="35"/>
      <w:bookmarkEnd w:id="36"/>
    </w:p>
    <w:tbl>
      <w:tblPr>
        <w:tblStyle w:val="24"/>
        <w:tblW w:w="92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7"/>
        <w:gridCol w:w="2115"/>
        <w:gridCol w:w="3195"/>
        <w:gridCol w:w="24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1527" w:type="dxa"/>
            <w:noWrap w:val="0"/>
            <w:vAlign w:val="center"/>
          </w:tcPr>
          <w:p>
            <w:pPr>
              <w:keepNext w:val="0"/>
              <w:keepLines w:val="0"/>
              <w:pageBreakBefore w:val="0"/>
              <w:widowControl w:val="0"/>
              <w:kinsoku/>
              <w:wordWrap/>
              <w:overflowPunct/>
              <w:topLinePunct w:val="0"/>
              <w:autoSpaceDE/>
              <w:autoSpaceDN/>
              <w:bidi w:val="0"/>
              <w:adjustRightInd/>
              <w:spacing w:line="540" w:lineRule="exact"/>
              <w:jc w:val="center"/>
              <w:textAlignment w:val="auto"/>
              <w:rPr>
                <w:sz w:val="28"/>
                <w:szCs w:val="28"/>
              </w:rPr>
            </w:pPr>
            <w:r>
              <w:rPr>
                <w:rFonts w:hint="eastAsia"/>
                <w:sz w:val="28"/>
                <w:szCs w:val="28"/>
              </w:rPr>
              <w:t>姓名</w:t>
            </w:r>
          </w:p>
        </w:tc>
        <w:tc>
          <w:tcPr>
            <w:tcW w:w="2115" w:type="dxa"/>
            <w:noWrap w:val="0"/>
            <w:vAlign w:val="center"/>
          </w:tcPr>
          <w:p>
            <w:pPr>
              <w:keepNext w:val="0"/>
              <w:keepLines w:val="0"/>
              <w:pageBreakBefore w:val="0"/>
              <w:widowControl w:val="0"/>
              <w:kinsoku/>
              <w:wordWrap/>
              <w:overflowPunct/>
              <w:topLinePunct w:val="0"/>
              <w:autoSpaceDE/>
              <w:autoSpaceDN/>
              <w:bidi w:val="0"/>
              <w:adjustRightInd/>
              <w:spacing w:line="540" w:lineRule="exact"/>
              <w:jc w:val="center"/>
              <w:textAlignment w:val="auto"/>
              <w:rPr>
                <w:sz w:val="28"/>
                <w:szCs w:val="28"/>
              </w:rPr>
            </w:pPr>
            <w:r>
              <w:rPr>
                <w:rFonts w:hint="eastAsia"/>
                <w:sz w:val="28"/>
                <w:szCs w:val="28"/>
              </w:rPr>
              <w:t>注册号</w:t>
            </w:r>
          </w:p>
        </w:tc>
        <w:tc>
          <w:tcPr>
            <w:tcW w:w="3195" w:type="dxa"/>
            <w:noWrap w:val="0"/>
            <w:vAlign w:val="center"/>
          </w:tcPr>
          <w:p>
            <w:pPr>
              <w:keepNext w:val="0"/>
              <w:keepLines w:val="0"/>
              <w:pageBreakBefore w:val="0"/>
              <w:widowControl w:val="0"/>
              <w:kinsoku/>
              <w:wordWrap/>
              <w:overflowPunct/>
              <w:topLinePunct w:val="0"/>
              <w:autoSpaceDE/>
              <w:autoSpaceDN/>
              <w:bidi w:val="0"/>
              <w:adjustRightInd/>
              <w:spacing w:line="540" w:lineRule="exact"/>
              <w:jc w:val="center"/>
              <w:textAlignment w:val="auto"/>
              <w:rPr>
                <w:sz w:val="28"/>
                <w:szCs w:val="28"/>
              </w:rPr>
            </w:pPr>
            <w:r>
              <w:rPr>
                <w:rFonts w:hint="eastAsia"/>
                <w:sz w:val="28"/>
                <w:szCs w:val="28"/>
              </w:rPr>
              <w:t>签 名</w:t>
            </w:r>
          </w:p>
        </w:tc>
        <w:tc>
          <w:tcPr>
            <w:tcW w:w="2430" w:type="dxa"/>
            <w:noWrap w:val="0"/>
            <w:vAlign w:val="center"/>
          </w:tcPr>
          <w:p>
            <w:pPr>
              <w:keepNext w:val="0"/>
              <w:keepLines w:val="0"/>
              <w:pageBreakBefore w:val="0"/>
              <w:widowControl w:val="0"/>
              <w:kinsoku/>
              <w:wordWrap/>
              <w:overflowPunct/>
              <w:topLinePunct w:val="0"/>
              <w:autoSpaceDE/>
              <w:autoSpaceDN/>
              <w:bidi w:val="0"/>
              <w:adjustRightInd/>
              <w:spacing w:line="540" w:lineRule="exact"/>
              <w:jc w:val="center"/>
              <w:textAlignment w:val="auto"/>
              <w:rPr>
                <w:sz w:val="28"/>
                <w:szCs w:val="28"/>
              </w:rPr>
            </w:pPr>
            <w:r>
              <w:rPr>
                <w:rFonts w:hint="eastAsia"/>
                <w:sz w:val="28"/>
                <w:szCs w:val="28"/>
              </w:rPr>
              <w:t>签名日期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9" w:hRule="atLeast"/>
        </w:trPr>
        <w:tc>
          <w:tcPr>
            <w:tcW w:w="1527" w:type="dxa"/>
            <w:noWrap w:val="0"/>
            <w:vAlign w:val="center"/>
          </w:tcPr>
          <w:p>
            <w:pPr>
              <w:keepNext w:val="0"/>
              <w:keepLines w:val="0"/>
              <w:pageBreakBefore w:val="0"/>
              <w:widowControl w:val="0"/>
              <w:kinsoku/>
              <w:wordWrap/>
              <w:overflowPunct/>
              <w:topLinePunct w:val="0"/>
              <w:autoSpaceDE/>
              <w:autoSpaceDN/>
              <w:bidi w:val="0"/>
              <w:adjustRightInd/>
              <w:spacing w:line="540" w:lineRule="exact"/>
              <w:ind w:firstLine="300" w:firstLineChars="100"/>
              <w:textAlignment w:val="auto"/>
              <w:rPr>
                <w:color w:val="auto"/>
                <w:sz w:val="28"/>
                <w:szCs w:val="28"/>
              </w:rPr>
            </w:pPr>
            <w:r>
              <w:rPr>
                <w:rFonts w:hint="eastAsia" w:ascii="宋体" w:hAnsi="宋体"/>
                <w:color w:val="auto"/>
                <w:sz w:val="30"/>
                <w:szCs w:val="30"/>
                <w:lang w:eastAsia="zh-CN"/>
              </w:rPr>
              <w:t>王  欢</w:t>
            </w:r>
            <w:r>
              <w:rPr>
                <w:rFonts w:hint="eastAsia" w:ascii="宋体" w:hAnsi="宋体"/>
                <w:color w:val="auto"/>
                <w:sz w:val="28"/>
              </w:rPr>
              <w:t xml:space="preserve"> </w:t>
            </w:r>
          </w:p>
        </w:tc>
        <w:tc>
          <w:tcPr>
            <w:tcW w:w="2115" w:type="dxa"/>
            <w:noWrap w:val="0"/>
            <w:vAlign w:val="center"/>
          </w:tcPr>
          <w:p>
            <w:pPr>
              <w:keepNext w:val="0"/>
              <w:keepLines w:val="0"/>
              <w:pageBreakBefore w:val="0"/>
              <w:widowControl w:val="0"/>
              <w:kinsoku/>
              <w:wordWrap/>
              <w:overflowPunct/>
              <w:topLinePunct w:val="0"/>
              <w:autoSpaceDE/>
              <w:autoSpaceDN/>
              <w:bidi w:val="0"/>
              <w:adjustRightInd/>
              <w:spacing w:line="540" w:lineRule="exact"/>
              <w:jc w:val="center"/>
              <w:textAlignment w:val="auto"/>
              <w:rPr>
                <w:rFonts w:hint="default" w:eastAsia="宋体"/>
                <w:color w:val="auto"/>
                <w:sz w:val="28"/>
                <w:szCs w:val="28"/>
                <w:lang w:val="en-US" w:eastAsia="zh-CN"/>
              </w:rPr>
            </w:pPr>
            <w:r>
              <w:rPr>
                <w:rFonts w:hint="eastAsia" w:ascii="宋体" w:hAnsi="宋体"/>
                <w:color w:val="auto"/>
                <w:sz w:val="30"/>
                <w:szCs w:val="30"/>
              </w:rPr>
              <w:t>1520050041</w:t>
            </w:r>
          </w:p>
        </w:tc>
        <w:tc>
          <w:tcPr>
            <w:tcW w:w="3195" w:type="dxa"/>
            <w:noWrap w:val="0"/>
            <w:vAlign w:val="center"/>
          </w:tcPr>
          <w:p>
            <w:pPr>
              <w:keepNext w:val="0"/>
              <w:keepLines w:val="0"/>
              <w:pageBreakBefore w:val="0"/>
              <w:widowControl w:val="0"/>
              <w:kinsoku/>
              <w:wordWrap/>
              <w:overflowPunct/>
              <w:topLinePunct w:val="0"/>
              <w:autoSpaceDE/>
              <w:autoSpaceDN/>
              <w:bidi w:val="0"/>
              <w:adjustRightInd/>
              <w:spacing w:line="540" w:lineRule="exact"/>
              <w:jc w:val="center"/>
              <w:textAlignment w:val="auto"/>
              <w:rPr>
                <w:color w:val="auto"/>
                <w:sz w:val="28"/>
                <w:szCs w:val="28"/>
              </w:rPr>
            </w:pPr>
          </w:p>
        </w:tc>
        <w:tc>
          <w:tcPr>
            <w:tcW w:w="2430" w:type="dxa"/>
            <w:noWrap w:val="0"/>
            <w:vAlign w:val="center"/>
          </w:tcPr>
          <w:p>
            <w:pPr>
              <w:keepNext w:val="0"/>
              <w:keepLines w:val="0"/>
              <w:pageBreakBefore w:val="0"/>
              <w:widowControl w:val="0"/>
              <w:kinsoku/>
              <w:wordWrap/>
              <w:overflowPunct/>
              <w:topLinePunct w:val="0"/>
              <w:autoSpaceDE/>
              <w:autoSpaceDN/>
              <w:bidi w:val="0"/>
              <w:adjustRightInd/>
              <w:spacing w:line="540" w:lineRule="exact"/>
              <w:jc w:val="center"/>
              <w:textAlignment w:val="auto"/>
              <w:rPr>
                <w:rFonts w:hint="eastAsia" w:eastAsia="宋体"/>
                <w:sz w:val="28"/>
                <w:szCs w:val="28"/>
                <w:lang w:eastAsia="zh-CN"/>
              </w:rPr>
            </w:pPr>
            <w:r>
              <w:rPr>
                <w:rFonts w:hint="eastAsia" w:ascii="宋体" w:hAnsi="宋体"/>
                <w:sz w:val="28"/>
                <w:szCs w:val="28"/>
                <w:lang w:eastAsia="zh-CN"/>
              </w:rPr>
              <w:t>2020年7月9日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8" w:hRule="atLeast"/>
        </w:trPr>
        <w:tc>
          <w:tcPr>
            <w:tcW w:w="1527" w:type="dxa"/>
            <w:noWrap w:val="0"/>
            <w:vAlign w:val="center"/>
          </w:tcPr>
          <w:p>
            <w:pPr>
              <w:keepNext w:val="0"/>
              <w:keepLines w:val="0"/>
              <w:pageBreakBefore w:val="0"/>
              <w:widowControl w:val="0"/>
              <w:kinsoku/>
              <w:wordWrap/>
              <w:overflowPunct/>
              <w:topLinePunct w:val="0"/>
              <w:autoSpaceDE/>
              <w:autoSpaceDN/>
              <w:bidi w:val="0"/>
              <w:adjustRightInd/>
              <w:spacing w:line="540" w:lineRule="exact"/>
              <w:ind w:firstLine="280" w:firstLineChars="100"/>
              <w:textAlignment w:val="auto"/>
              <w:rPr>
                <w:color w:val="auto"/>
                <w:sz w:val="28"/>
                <w:szCs w:val="28"/>
              </w:rPr>
            </w:pPr>
            <w:r>
              <w:rPr>
                <w:rFonts w:hint="eastAsia" w:ascii="宋体" w:hAnsi="宋体"/>
                <w:bCs/>
                <w:sz w:val="28"/>
                <w:lang w:eastAsia="zh-CN"/>
              </w:rPr>
              <w:t>李春敏</w:t>
            </w:r>
          </w:p>
        </w:tc>
        <w:tc>
          <w:tcPr>
            <w:tcW w:w="2115" w:type="dxa"/>
            <w:noWrap w:val="0"/>
            <w:vAlign w:val="center"/>
          </w:tcPr>
          <w:p>
            <w:pPr>
              <w:keepNext w:val="0"/>
              <w:keepLines w:val="0"/>
              <w:pageBreakBefore w:val="0"/>
              <w:widowControl w:val="0"/>
              <w:kinsoku/>
              <w:wordWrap/>
              <w:overflowPunct/>
              <w:topLinePunct w:val="0"/>
              <w:autoSpaceDE/>
              <w:autoSpaceDN/>
              <w:bidi w:val="0"/>
              <w:adjustRightInd/>
              <w:spacing w:line="540" w:lineRule="exact"/>
              <w:jc w:val="center"/>
              <w:textAlignment w:val="auto"/>
              <w:rPr>
                <w:rFonts w:hint="default" w:eastAsia="宋体"/>
                <w:color w:val="auto"/>
                <w:sz w:val="28"/>
                <w:szCs w:val="28"/>
                <w:lang w:val="en-US" w:eastAsia="zh-CN"/>
              </w:rPr>
            </w:pPr>
            <w:r>
              <w:rPr>
                <w:rFonts w:hint="eastAsia" w:ascii="宋体" w:hAnsi="宋体"/>
                <w:color w:val="auto"/>
                <w:sz w:val="30"/>
                <w:szCs w:val="30"/>
                <w:lang w:val="en-US" w:eastAsia="zh-CN"/>
              </w:rPr>
              <w:t>1520120008</w:t>
            </w:r>
          </w:p>
        </w:tc>
        <w:tc>
          <w:tcPr>
            <w:tcW w:w="3195" w:type="dxa"/>
            <w:noWrap w:val="0"/>
            <w:vAlign w:val="center"/>
          </w:tcPr>
          <w:p>
            <w:pPr>
              <w:keepNext w:val="0"/>
              <w:keepLines w:val="0"/>
              <w:pageBreakBefore w:val="0"/>
              <w:widowControl w:val="0"/>
              <w:kinsoku/>
              <w:wordWrap/>
              <w:overflowPunct/>
              <w:topLinePunct w:val="0"/>
              <w:autoSpaceDE/>
              <w:autoSpaceDN/>
              <w:bidi w:val="0"/>
              <w:adjustRightInd/>
              <w:spacing w:line="540" w:lineRule="exact"/>
              <w:jc w:val="center"/>
              <w:textAlignment w:val="auto"/>
              <w:rPr>
                <w:color w:val="auto"/>
                <w:sz w:val="28"/>
                <w:szCs w:val="28"/>
              </w:rPr>
            </w:pPr>
          </w:p>
        </w:tc>
        <w:tc>
          <w:tcPr>
            <w:tcW w:w="2430" w:type="dxa"/>
            <w:noWrap w:val="0"/>
            <w:vAlign w:val="center"/>
          </w:tcPr>
          <w:p>
            <w:pPr>
              <w:keepNext w:val="0"/>
              <w:keepLines w:val="0"/>
              <w:pageBreakBefore w:val="0"/>
              <w:widowControl w:val="0"/>
              <w:kinsoku/>
              <w:wordWrap/>
              <w:overflowPunct/>
              <w:topLinePunct w:val="0"/>
              <w:autoSpaceDE/>
              <w:autoSpaceDN/>
              <w:bidi w:val="0"/>
              <w:adjustRightInd/>
              <w:spacing w:line="540" w:lineRule="exact"/>
              <w:jc w:val="center"/>
              <w:textAlignment w:val="auto"/>
              <w:rPr>
                <w:rFonts w:hint="eastAsia" w:eastAsia="宋体"/>
                <w:sz w:val="28"/>
                <w:szCs w:val="28"/>
                <w:lang w:eastAsia="zh-CN"/>
              </w:rPr>
            </w:pPr>
            <w:r>
              <w:rPr>
                <w:rFonts w:hint="eastAsia" w:ascii="宋体" w:hAnsi="宋体"/>
                <w:sz w:val="28"/>
                <w:szCs w:val="28"/>
                <w:lang w:eastAsia="zh-CN"/>
              </w:rPr>
              <w:t>2020年7月9日</w:t>
            </w:r>
          </w:p>
        </w:tc>
      </w:tr>
    </w:tbl>
    <w:p>
      <w:pPr>
        <w:keepNext w:val="0"/>
        <w:keepLines w:val="0"/>
        <w:pageBreakBefore w:val="0"/>
        <w:widowControl w:val="0"/>
        <w:numPr>
          <w:ilvl w:val="0"/>
          <w:numId w:val="2"/>
        </w:numPr>
        <w:kinsoku/>
        <w:wordWrap/>
        <w:overflowPunct/>
        <w:topLinePunct w:val="0"/>
        <w:autoSpaceDE/>
        <w:autoSpaceDN/>
        <w:bidi w:val="0"/>
        <w:adjustRightInd/>
        <w:snapToGrid w:val="0"/>
        <w:spacing w:line="380" w:lineRule="exact"/>
        <w:ind w:firstLine="560" w:firstLineChars="200"/>
        <w:textAlignment w:val="auto"/>
        <w:rPr>
          <w:rFonts w:hint="eastAsia" w:ascii="宋体" w:hAnsi="宋体"/>
          <w:sz w:val="28"/>
          <w:szCs w:val="28"/>
          <w:lang w:eastAsia="zh-CN"/>
        </w:rPr>
      </w:pPr>
      <w:r>
        <w:rPr>
          <w:rFonts w:hint="eastAsia" w:ascii="宋体" w:hAnsi="宋体"/>
          <w:sz w:val="28"/>
          <w:szCs w:val="28"/>
          <w:lang w:eastAsia="zh-CN"/>
        </w:rPr>
        <w:t>实地查勘期</w:t>
      </w:r>
    </w:p>
    <w:p>
      <w:pPr>
        <w:keepNext w:val="0"/>
        <w:keepLines w:val="0"/>
        <w:pageBreakBefore w:val="0"/>
        <w:widowControl w:val="0"/>
        <w:numPr>
          <w:ilvl w:val="0"/>
          <w:numId w:val="0"/>
        </w:numPr>
        <w:kinsoku/>
        <w:wordWrap/>
        <w:overflowPunct/>
        <w:topLinePunct w:val="0"/>
        <w:autoSpaceDE/>
        <w:autoSpaceDN/>
        <w:bidi w:val="0"/>
        <w:adjustRightInd/>
        <w:snapToGrid w:val="0"/>
        <w:spacing w:line="380" w:lineRule="exact"/>
        <w:ind w:firstLine="560"/>
        <w:textAlignment w:val="auto"/>
        <w:rPr>
          <w:rFonts w:hint="eastAsia" w:ascii="宋体" w:hAnsi="宋体"/>
          <w:sz w:val="28"/>
          <w:szCs w:val="28"/>
          <w:lang w:val="en-US" w:eastAsia="zh-CN"/>
        </w:rPr>
      </w:pPr>
      <w:r>
        <w:rPr>
          <w:rFonts w:hint="eastAsia" w:ascii="宋体" w:hAnsi="宋体"/>
          <w:sz w:val="28"/>
          <w:szCs w:val="28"/>
          <w:lang w:val="en-US" w:eastAsia="zh-CN"/>
        </w:rPr>
        <w:t>实地查勘期为2020年6月24日</w:t>
      </w:r>
    </w:p>
    <w:p>
      <w:pPr>
        <w:keepNext w:val="0"/>
        <w:keepLines w:val="0"/>
        <w:pageBreakBefore w:val="0"/>
        <w:widowControl w:val="0"/>
        <w:numPr>
          <w:ilvl w:val="0"/>
          <w:numId w:val="0"/>
        </w:numPr>
        <w:kinsoku/>
        <w:wordWrap/>
        <w:overflowPunct/>
        <w:topLinePunct w:val="0"/>
        <w:autoSpaceDE/>
        <w:autoSpaceDN/>
        <w:bidi w:val="0"/>
        <w:adjustRightInd/>
        <w:spacing w:line="380" w:lineRule="exact"/>
        <w:ind w:firstLine="560" w:firstLineChars="200"/>
        <w:textAlignment w:val="auto"/>
        <w:outlineLvl w:val="0"/>
        <w:rPr>
          <w:rFonts w:hint="eastAsia" w:ascii="宋体" w:hAnsi="宋体"/>
          <w:sz w:val="28"/>
          <w:szCs w:val="28"/>
        </w:rPr>
      </w:pPr>
      <w:bookmarkStart w:id="37" w:name="_Toc17892"/>
      <w:r>
        <w:rPr>
          <w:rFonts w:hint="eastAsia" w:ascii="宋体" w:hAnsi="宋体"/>
          <w:sz w:val="28"/>
          <w:szCs w:val="28"/>
          <w:lang w:eastAsia="zh-CN"/>
        </w:rPr>
        <w:t>十三、</w:t>
      </w:r>
      <w:r>
        <w:rPr>
          <w:rFonts w:hint="eastAsia" w:ascii="宋体" w:hAnsi="宋体"/>
          <w:sz w:val="28"/>
          <w:szCs w:val="28"/>
        </w:rPr>
        <w:t>估价作业期</w:t>
      </w:r>
      <w:bookmarkEnd w:id="37"/>
    </w:p>
    <w:p>
      <w:pPr>
        <w:keepNext w:val="0"/>
        <w:keepLines w:val="0"/>
        <w:pageBreakBefore w:val="0"/>
        <w:widowControl w:val="0"/>
        <w:numPr>
          <w:ilvl w:val="0"/>
          <w:numId w:val="0"/>
        </w:numPr>
        <w:kinsoku/>
        <w:wordWrap/>
        <w:overflowPunct/>
        <w:topLinePunct w:val="0"/>
        <w:autoSpaceDE/>
        <w:autoSpaceDN/>
        <w:bidi w:val="0"/>
        <w:adjustRightInd/>
        <w:snapToGrid w:val="0"/>
        <w:spacing w:line="380" w:lineRule="exact"/>
        <w:ind w:firstLine="560"/>
        <w:textAlignment w:val="auto"/>
        <w:rPr>
          <w:rFonts w:hint="default" w:ascii="宋体" w:hAnsi="宋体"/>
          <w:sz w:val="28"/>
          <w:szCs w:val="28"/>
          <w:lang w:val="en-US" w:eastAsia="zh-CN"/>
        </w:rPr>
      </w:pPr>
      <w:r>
        <w:rPr>
          <w:rFonts w:hint="eastAsia" w:ascii="宋体" w:hAnsi="宋体"/>
          <w:sz w:val="28"/>
          <w:szCs w:val="28"/>
          <w:lang w:val="en-US" w:eastAsia="zh-CN"/>
        </w:rPr>
        <w:t>估价作业期为2020年6月24日至2020年7月9日</w:t>
      </w:r>
    </w:p>
    <w:p>
      <w:pPr>
        <w:keepNext w:val="0"/>
        <w:keepLines w:val="0"/>
        <w:pageBreakBefore w:val="0"/>
        <w:widowControl w:val="0"/>
        <w:kinsoku/>
        <w:wordWrap/>
        <w:overflowPunct/>
        <w:topLinePunct w:val="0"/>
        <w:autoSpaceDE/>
        <w:autoSpaceDN/>
        <w:bidi w:val="0"/>
        <w:adjustRightInd/>
        <w:snapToGrid w:val="0"/>
        <w:spacing w:line="380" w:lineRule="exact"/>
        <w:ind w:firstLine="560" w:firstLineChars="200"/>
        <w:textAlignment w:val="auto"/>
        <w:outlineLvl w:val="0"/>
        <w:rPr>
          <w:rFonts w:hint="eastAsia" w:ascii="宋体" w:hAnsi="宋体"/>
          <w:sz w:val="28"/>
          <w:szCs w:val="28"/>
        </w:rPr>
      </w:pPr>
      <w:bookmarkStart w:id="38" w:name="_Toc31047"/>
      <w:r>
        <w:rPr>
          <w:rFonts w:hint="eastAsia" w:ascii="宋体" w:hAnsi="宋体"/>
          <w:sz w:val="28"/>
          <w:szCs w:val="28"/>
          <w:lang w:eastAsia="zh-CN"/>
        </w:rPr>
        <w:t>十四</w:t>
      </w:r>
      <w:r>
        <w:rPr>
          <w:rFonts w:hint="eastAsia" w:ascii="宋体" w:hAnsi="宋体"/>
          <w:sz w:val="28"/>
          <w:szCs w:val="28"/>
        </w:rPr>
        <w:t>、估价报告使用期限</w:t>
      </w:r>
      <w:bookmarkEnd w:id="38"/>
    </w:p>
    <w:p>
      <w:pPr>
        <w:keepNext w:val="0"/>
        <w:keepLines w:val="0"/>
        <w:pageBreakBefore w:val="0"/>
        <w:widowControl w:val="0"/>
        <w:kinsoku/>
        <w:wordWrap/>
        <w:overflowPunct/>
        <w:topLinePunct w:val="0"/>
        <w:autoSpaceDE/>
        <w:autoSpaceDN/>
        <w:bidi w:val="0"/>
        <w:adjustRightInd/>
        <w:snapToGrid w:val="0"/>
        <w:spacing w:line="380" w:lineRule="exact"/>
        <w:ind w:firstLine="560" w:firstLineChars="200"/>
        <w:textAlignment w:val="auto"/>
        <w:rPr>
          <w:rFonts w:hint="eastAsia"/>
          <w:sz w:val="30"/>
          <w:szCs w:val="30"/>
        </w:rPr>
      </w:pPr>
      <w:r>
        <w:rPr>
          <w:rFonts w:hint="eastAsia" w:ascii="宋体" w:hAnsi="宋体"/>
          <w:sz w:val="28"/>
          <w:szCs w:val="28"/>
        </w:rPr>
        <w:t>自本估价报告出具之日起壹年内有效。</w:t>
      </w:r>
      <w:bookmarkStart w:id="39" w:name="_Toc3336"/>
    </w:p>
    <w:p>
      <w:pPr>
        <w:keepNext w:val="0"/>
        <w:keepLines w:val="0"/>
        <w:pageBreakBefore w:val="0"/>
        <w:widowControl w:val="0"/>
        <w:kinsoku/>
        <w:wordWrap/>
        <w:overflowPunct/>
        <w:topLinePunct w:val="0"/>
        <w:autoSpaceDE/>
        <w:autoSpaceDN/>
        <w:bidi w:val="0"/>
        <w:adjustRightInd/>
        <w:spacing w:line="380" w:lineRule="exact"/>
        <w:ind w:firstLine="600" w:firstLineChars="200"/>
        <w:textAlignment w:val="auto"/>
        <w:outlineLvl w:val="0"/>
        <w:rPr>
          <w:rFonts w:hint="eastAsia"/>
          <w:sz w:val="30"/>
          <w:szCs w:val="30"/>
        </w:rPr>
      </w:pPr>
      <w:r>
        <w:rPr>
          <w:rFonts w:hint="eastAsia"/>
          <w:sz w:val="30"/>
          <w:szCs w:val="30"/>
        </w:rPr>
        <w:t>十</w:t>
      </w:r>
      <w:r>
        <w:rPr>
          <w:rFonts w:hint="eastAsia"/>
          <w:sz w:val="30"/>
          <w:szCs w:val="30"/>
          <w:lang w:eastAsia="zh-CN"/>
        </w:rPr>
        <w:t>五</w:t>
      </w:r>
      <w:r>
        <w:rPr>
          <w:rFonts w:hint="eastAsia"/>
          <w:sz w:val="30"/>
          <w:szCs w:val="30"/>
        </w:rPr>
        <w:t>、附件</w:t>
      </w:r>
      <w:bookmarkEnd w:id="39"/>
    </w:p>
    <w:p>
      <w:pPr>
        <w:keepNext w:val="0"/>
        <w:keepLines w:val="0"/>
        <w:pageBreakBefore w:val="0"/>
        <w:widowControl w:val="0"/>
        <w:kinsoku/>
        <w:wordWrap/>
        <w:overflowPunct/>
        <w:topLinePunct w:val="0"/>
        <w:autoSpaceDE/>
        <w:autoSpaceDN/>
        <w:bidi w:val="0"/>
        <w:adjustRightInd/>
        <w:spacing w:line="380" w:lineRule="exact"/>
        <w:ind w:firstLine="560" w:firstLineChars="200"/>
        <w:textAlignment w:val="auto"/>
        <w:rPr>
          <w:rFonts w:hint="eastAsia"/>
          <w:sz w:val="30"/>
          <w:szCs w:val="30"/>
        </w:rPr>
      </w:pPr>
      <w:r>
        <w:rPr>
          <w:rFonts w:hint="eastAsia"/>
          <w:sz w:val="28"/>
          <w:szCs w:val="28"/>
        </w:rPr>
        <w:t>1、</w:t>
      </w:r>
      <w:r>
        <w:rPr>
          <w:rFonts w:hint="eastAsia"/>
          <w:sz w:val="28"/>
          <w:szCs w:val="28"/>
          <w:lang w:eastAsia="zh-CN"/>
        </w:rPr>
        <w:t>委托方提供的</w:t>
      </w:r>
      <w:r>
        <w:rPr>
          <w:rFonts w:hint="eastAsia" w:ascii="宋体" w:hAnsi="宋体"/>
          <w:sz w:val="28"/>
          <w:szCs w:val="28"/>
        </w:rPr>
        <w:t>《</w:t>
      </w:r>
      <w:r>
        <w:rPr>
          <w:rFonts w:hint="eastAsia" w:ascii="宋体" w:hAnsi="宋体"/>
          <w:sz w:val="28"/>
          <w:szCs w:val="28"/>
          <w:lang w:eastAsia="zh-CN"/>
        </w:rPr>
        <w:t>五原县人民法院</w:t>
      </w:r>
      <w:r>
        <w:rPr>
          <w:rFonts w:hint="eastAsia" w:ascii="宋体" w:hAnsi="宋体"/>
          <w:sz w:val="28"/>
          <w:szCs w:val="28"/>
        </w:rPr>
        <w:t>委托书》</w:t>
      </w:r>
      <w:r>
        <w:rPr>
          <w:rFonts w:hint="eastAsia" w:ascii="宋体" w:hAnsi="宋体"/>
          <w:sz w:val="28"/>
          <w:szCs w:val="28"/>
          <w:lang w:eastAsia="zh-CN"/>
        </w:rPr>
        <w:t>复印件</w:t>
      </w:r>
    </w:p>
    <w:p>
      <w:pPr>
        <w:keepNext w:val="0"/>
        <w:keepLines w:val="0"/>
        <w:pageBreakBefore w:val="0"/>
        <w:widowControl w:val="0"/>
        <w:kinsoku/>
        <w:wordWrap/>
        <w:overflowPunct/>
        <w:topLinePunct w:val="0"/>
        <w:autoSpaceDE/>
        <w:autoSpaceDN/>
        <w:bidi w:val="0"/>
        <w:adjustRightInd/>
        <w:spacing w:line="380" w:lineRule="exact"/>
        <w:ind w:firstLine="560" w:firstLineChars="200"/>
        <w:textAlignment w:val="auto"/>
        <w:rPr>
          <w:rFonts w:hint="eastAsia"/>
          <w:sz w:val="28"/>
          <w:szCs w:val="28"/>
          <w:lang w:val="en-US" w:eastAsia="zh-CN"/>
        </w:rPr>
      </w:pPr>
      <w:r>
        <w:rPr>
          <w:rFonts w:hint="eastAsia"/>
          <w:sz w:val="28"/>
          <w:szCs w:val="28"/>
          <w:lang w:val="en-US" w:eastAsia="zh-CN"/>
        </w:rPr>
        <w:t>2</w:t>
      </w:r>
      <w:r>
        <w:rPr>
          <w:rFonts w:hint="eastAsia"/>
          <w:sz w:val="28"/>
          <w:szCs w:val="28"/>
        </w:rPr>
        <w:t>、</w:t>
      </w:r>
      <w:r>
        <w:rPr>
          <w:rFonts w:hint="eastAsia"/>
          <w:sz w:val="28"/>
          <w:szCs w:val="28"/>
          <w:lang w:eastAsia="zh-CN"/>
        </w:rPr>
        <w:t>委托方提供的</w:t>
      </w:r>
      <w:r>
        <w:rPr>
          <w:rFonts w:hint="eastAsia"/>
          <w:sz w:val="28"/>
          <w:szCs w:val="28"/>
          <w:lang w:val="en-US" w:eastAsia="zh-CN"/>
        </w:rPr>
        <w:t>《内蒙古自治区房地产权属登记簿》《协助执行呈办表》复印件</w:t>
      </w:r>
    </w:p>
    <w:p>
      <w:pPr>
        <w:keepNext w:val="0"/>
        <w:keepLines w:val="0"/>
        <w:pageBreakBefore w:val="0"/>
        <w:widowControl w:val="0"/>
        <w:kinsoku/>
        <w:wordWrap/>
        <w:overflowPunct/>
        <w:topLinePunct w:val="0"/>
        <w:autoSpaceDE/>
        <w:autoSpaceDN/>
        <w:bidi w:val="0"/>
        <w:adjustRightInd/>
        <w:spacing w:line="380" w:lineRule="exact"/>
        <w:ind w:firstLine="560" w:firstLineChars="200"/>
        <w:textAlignment w:val="auto"/>
        <w:rPr>
          <w:rFonts w:hint="default"/>
          <w:sz w:val="28"/>
          <w:szCs w:val="28"/>
          <w:lang w:val="en-US" w:eastAsia="zh-CN"/>
        </w:rPr>
      </w:pPr>
      <w:r>
        <w:rPr>
          <w:rFonts w:hint="eastAsia"/>
          <w:sz w:val="28"/>
          <w:szCs w:val="28"/>
          <w:lang w:val="en-US" w:eastAsia="zh-CN"/>
        </w:rPr>
        <w:t>3、</w:t>
      </w:r>
      <w:r>
        <w:rPr>
          <w:rFonts w:hint="eastAsia" w:ascii="宋体" w:hAnsi="宋体"/>
          <w:color w:val="auto"/>
          <w:kern w:val="2"/>
          <w:sz w:val="28"/>
          <w:szCs w:val="28"/>
          <w:lang w:val="en-US" w:eastAsia="zh-CN" w:bidi="ar-SA"/>
        </w:rPr>
        <w:t>委托方提供的《房屋所有权证》复印件</w:t>
      </w:r>
    </w:p>
    <w:p>
      <w:pPr>
        <w:keepNext w:val="0"/>
        <w:keepLines w:val="0"/>
        <w:pageBreakBefore w:val="0"/>
        <w:widowControl w:val="0"/>
        <w:kinsoku/>
        <w:wordWrap/>
        <w:overflowPunct/>
        <w:topLinePunct w:val="0"/>
        <w:autoSpaceDE/>
        <w:autoSpaceDN/>
        <w:bidi w:val="0"/>
        <w:adjustRightInd/>
        <w:spacing w:line="380" w:lineRule="exact"/>
        <w:ind w:firstLine="560" w:firstLineChars="200"/>
        <w:textAlignment w:val="auto"/>
        <w:rPr>
          <w:rFonts w:hint="eastAsia" w:eastAsia="宋体"/>
          <w:sz w:val="28"/>
          <w:szCs w:val="28"/>
          <w:lang w:val="en-US" w:eastAsia="zh-CN"/>
        </w:rPr>
      </w:pPr>
      <w:r>
        <w:rPr>
          <w:rFonts w:hint="eastAsia"/>
          <w:sz w:val="28"/>
          <w:szCs w:val="28"/>
          <w:lang w:val="en-US" w:eastAsia="zh-CN"/>
        </w:rPr>
        <w:t>4、</w:t>
      </w:r>
      <w:r>
        <w:rPr>
          <w:rFonts w:hint="eastAsia"/>
          <w:sz w:val="28"/>
          <w:szCs w:val="28"/>
        </w:rPr>
        <w:t>估价对象</w:t>
      </w:r>
      <w:r>
        <w:rPr>
          <w:rFonts w:hint="eastAsia"/>
          <w:sz w:val="28"/>
          <w:szCs w:val="28"/>
          <w:lang w:eastAsia="zh-CN"/>
        </w:rPr>
        <w:t>位置图及</w:t>
      </w:r>
      <w:r>
        <w:rPr>
          <w:rFonts w:hint="eastAsia"/>
          <w:sz w:val="28"/>
          <w:szCs w:val="28"/>
        </w:rPr>
        <w:t>现状照片复印件</w:t>
      </w:r>
    </w:p>
    <w:p>
      <w:pPr>
        <w:keepNext w:val="0"/>
        <w:keepLines w:val="0"/>
        <w:pageBreakBefore w:val="0"/>
        <w:widowControl w:val="0"/>
        <w:kinsoku/>
        <w:wordWrap/>
        <w:overflowPunct/>
        <w:topLinePunct w:val="0"/>
        <w:autoSpaceDE/>
        <w:autoSpaceDN/>
        <w:bidi w:val="0"/>
        <w:adjustRightInd/>
        <w:snapToGrid w:val="0"/>
        <w:spacing w:line="380" w:lineRule="exact"/>
        <w:ind w:firstLine="560" w:firstLineChars="200"/>
        <w:textAlignment w:val="auto"/>
        <w:rPr>
          <w:rFonts w:hint="eastAsia" w:ascii="宋体" w:hAnsi="宋体"/>
          <w:sz w:val="28"/>
          <w:szCs w:val="28"/>
        </w:rPr>
      </w:pPr>
      <w:r>
        <w:rPr>
          <w:rFonts w:hint="eastAsia"/>
          <w:sz w:val="28"/>
          <w:szCs w:val="28"/>
          <w:lang w:val="en-US" w:eastAsia="zh-CN"/>
        </w:rPr>
        <w:t>5、估价对象现场查勘表</w:t>
      </w:r>
    </w:p>
    <w:p>
      <w:pPr>
        <w:keepNext w:val="0"/>
        <w:keepLines w:val="0"/>
        <w:pageBreakBefore w:val="0"/>
        <w:widowControl w:val="0"/>
        <w:kinsoku/>
        <w:wordWrap/>
        <w:overflowPunct/>
        <w:topLinePunct w:val="0"/>
        <w:autoSpaceDE/>
        <w:autoSpaceDN/>
        <w:bidi w:val="0"/>
        <w:adjustRightInd/>
        <w:spacing w:line="380" w:lineRule="exact"/>
        <w:ind w:firstLine="560" w:firstLineChars="200"/>
        <w:textAlignment w:val="auto"/>
        <w:rPr>
          <w:rFonts w:hint="eastAsia"/>
          <w:sz w:val="28"/>
          <w:szCs w:val="28"/>
          <w:lang w:val="en-US" w:eastAsia="zh-CN"/>
        </w:rPr>
      </w:pPr>
      <w:r>
        <w:rPr>
          <w:rFonts w:hint="eastAsia"/>
          <w:sz w:val="28"/>
          <w:szCs w:val="28"/>
          <w:lang w:val="en-US" w:eastAsia="zh-CN"/>
        </w:rPr>
        <w:t>6、房地产估价机构备案证书复印件</w:t>
      </w:r>
    </w:p>
    <w:p>
      <w:pPr>
        <w:keepNext w:val="0"/>
        <w:keepLines w:val="0"/>
        <w:pageBreakBefore w:val="0"/>
        <w:widowControl w:val="0"/>
        <w:kinsoku/>
        <w:wordWrap/>
        <w:overflowPunct/>
        <w:topLinePunct w:val="0"/>
        <w:autoSpaceDE/>
        <w:autoSpaceDN/>
        <w:bidi w:val="0"/>
        <w:adjustRightInd/>
        <w:spacing w:line="380" w:lineRule="exact"/>
        <w:ind w:firstLine="560" w:firstLineChars="200"/>
        <w:textAlignment w:val="auto"/>
        <w:rPr>
          <w:rFonts w:hint="eastAsia"/>
          <w:sz w:val="28"/>
          <w:szCs w:val="28"/>
        </w:rPr>
      </w:pPr>
      <w:r>
        <w:rPr>
          <w:rFonts w:hint="eastAsia"/>
          <w:sz w:val="28"/>
          <w:szCs w:val="28"/>
          <w:lang w:val="en-US" w:eastAsia="zh-CN"/>
        </w:rPr>
        <w:t>7、评估机构</w:t>
      </w:r>
      <w:r>
        <w:rPr>
          <w:rFonts w:hint="eastAsia"/>
          <w:sz w:val="28"/>
          <w:szCs w:val="28"/>
        </w:rPr>
        <w:t xml:space="preserve">企业营业执照复印件        </w:t>
      </w:r>
    </w:p>
    <w:p>
      <w:pPr>
        <w:keepNext w:val="0"/>
        <w:keepLines w:val="0"/>
        <w:pageBreakBefore w:val="0"/>
        <w:widowControl w:val="0"/>
        <w:kinsoku/>
        <w:wordWrap/>
        <w:overflowPunct/>
        <w:topLinePunct w:val="0"/>
        <w:autoSpaceDE/>
        <w:autoSpaceDN/>
        <w:bidi w:val="0"/>
        <w:adjustRightInd/>
        <w:spacing w:line="380" w:lineRule="exact"/>
        <w:ind w:firstLine="560" w:firstLineChars="200"/>
        <w:textAlignment w:val="auto"/>
        <w:rPr>
          <w:rFonts w:hint="eastAsia"/>
          <w:sz w:val="28"/>
          <w:szCs w:val="28"/>
        </w:rPr>
      </w:pPr>
      <w:r>
        <w:rPr>
          <w:rFonts w:hint="eastAsia"/>
          <w:sz w:val="28"/>
          <w:szCs w:val="28"/>
          <w:lang w:val="en-US" w:eastAsia="zh-CN"/>
        </w:rPr>
        <w:t>8</w:t>
      </w:r>
      <w:r>
        <w:rPr>
          <w:rFonts w:hint="eastAsia"/>
          <w:sz w:val="28"/>
          <w:szCs w:val="28"/>
        </w:rPr>
        <w:t xml:space="preserve">、房地产估价师注册证复印件  </w:t>
      </w:r>
    </w:p>
    <w:p>
      <w:pPr>
        <w:keepNext w:val="0"/>
        <w:keepLines w:val="0"/>
        <w:pageBreakBefore w:val="0"/>
        <w:widowControl w:val="0"/>
        <w:kinsoku/>
        <w:wordWrap/>
        <w:overflowPunct/>
        <w:topLinePunct w:val="0"/>
        <w:autoSpaceDE/>
        <w:autoSpaceDN/>
        <w:bidi w:val="0"/>
        <w:adjustRightInd/>
        <w:spacing w:line="380" w:lineRule="exact"/>
        <w:ind w:firstLine="560" w:firstLineChars="200"/>
        <w:jc w:val="right"/>
        <w:textAlignment w:val="auto"/>
        <w:rPr>
          <w:rFonts w:hint="eastAsia"/>
          <w:sz w:val="28"/>
          <w:szCs w:val="28"/>
        </w:rPr>
      </w:pPr>
      <w:r>
        <w:rPr>
          <w:rFonts w:hint="eastAsia"/>
          <w:sz w:val="28"/>
          <w:szCs w:val="28"/>
        </w:rPr>
        <w:t>五原县中信房地产价格评估有限责任公司</w:t>
      </w:r>
    </w:p>
    <w:p>
      <w:pPr>
        <w:keepNext w:val="0"/>
        <w:keepLines w:val="0"/>
        <w:pageBreakBefore w:val="0"/>
        <w:widowControl w:val="0"/>
        <w:kinsoku/>
        <w:wordWrap/>
        <w:overflowPunct/>
        <w:topLinePunct w:val="0"/>
        <w:autoSpaceDE/>
        <w:autoSpaceDN/>
        <w:bidi w:val="0"/>
        <w:adjustRightInd/>
        <w:spacing w:line="380" w:lineRule="exact"/>
        <w:ind w:firstLine="560" w:firstLineChars="200"/>
        <w:textAlignment w:val="auto"/>
        <w:rPr>
          <w:rFonts w:hint="eastAsia" w:ascii="宋体" w:hAnsi="宋体"/>
          <w:sz w:val="28"/>
          <w:szCs w:val="28"/>
          <w:lang w:eastAsia="zh-CN"/>
        </w:rPr>
      </w:pPr>
      <w:r>
        <w:rPr>
          <w:rFonts w:hint="eastAsia" w:ascii="宋体" w:hAnsi="宋体"/>
          <w:sz w:val="28"/>
          <w:szCs w:val="28"/>
        </w:rPr>
        <w:t xml:space="preserve">                               </w:t>
      </w:r>
      <w:r>
        <w:rPr>
          <w:rFonts w:hint="eastAsia" w:ascii="宋体" w:hAnsi="宋体"/>
          <w:sz w:val="28"/>
          <w:szCs w:val="28"/>
          <w:lang w:eastAsia="zh-CN"/>
        </w:rPr>
        <w:t xml:space="preserve"> 二○二○年七月九日</w:t>
      </w:r>
    </w:p>
    <w:p>
      <w:pPr>
        <w:keepNext w:val="0"/>
        <w:keepLines w:val="0"/>
        <w:pageBreakBefore w:val="0"/>
        <w:widowControl w:val="0"/>
        <w:kinsoku/>
        <w:wordWrap/>
        <w:overflowPunct/>
        <w:topLinePunct w:val="0"/>
        <w:autoSpaceDE/>
        <w:autoSpaceDN/>
        <w:bidi w:val="0"/>
        <w:adjustRightInd/>
        <w:spacing w:line="420" w:lineRule="exact"/>
        <w:jc w:val="center"/>
        <w:textAlignment w:val="auto"/>
        <w:outlineLvl w:val="0"/>
        <w:rPr>
          <w:rFonts w:hint="eastAsia" w:ascii="宋体" w:hAnsi="宋体"/>
          <w:bCs/>
          <w:sz w:val="24"/>
          <w:szCs w:val="24"/>
          <w:lang w:eastAsia="zh-CN"/>
        </w:rPr>
      </w:pPr>
      <w:bookmarkStart w:id="40" w:name="_Toc1914"/>
      <w:r>
        <w:rPr>
          <w:rFonts w:hint="eastAsia" w:ascii="宋体" w:hAnsi="宋体"/>
          <w:bCs/>
          <w:sz w:val="44"/>
          <w:szCs w:val="44"/>
        </w:rPr>
        <w:t>房</w:t>
      </w:r>
      <w:r>
        <w:rPr>
          <w:rFonts w:hint="eastAsia" w:ascii="宋体" w:hAnsi="宋体"/>
          <w:bCs/>
          <w:sz w:val="44"/>
          <w:szCs w:val="44"/>
          <w:lang w:val="en-US" w:eastAsia="zh-CN"/>
        </w:rPr>
        <w:t xml:space="preserve"> </w:t>
      </w:r>
      <w:r>
        <w:rPr>
          <w:rFonts w:hint="eastAsia" w:ascii="宋体" w:hAnsi="宋体"/>
          <w:bCs/>
          <w:sz w:val="44"/>
          <w:szCs w:val="44"/>
        </w:rPr>
        <w:t>地</w:t>
      </w:r>
      <w:r>
        <w:rPr>
          <w:rFonts w:hint="eastAsia" w:ascii="宋体" w:hAnsi="宋体"/>
          <w:bCs/>
          <w:sz w:val="44"/>
          <w:szCs w:val="44"/>
          <w:lang w:val="en-US" w:eastAsia="zh-CN"/>
        </w:rPr>
        <w:t xml:space="preserve"> </w:t>
      </w:r>
      <w:r>
        <w:rPr>
          <w:rFonts w:hint="eastAsia" w:ascii="宋体" w:hAnsi="宋体"/>
          <w:bCs/>
          <w:sz w:val="44"/>
          <w:szCs w:val="44"/>
        </w:rPr>
        <w:t>产</w:t>
      </w:r>
      <w:r>
        <w:rPr>
          <w:rFonts w:hint="eastAsia" w:ascii="宋体" w:hAnsi="宋体"/>
          <w:bCs/>
          <w:sz w:val="44"/>
          <w:szCs w:val="44"/>
          <w:lang w:val="en-US" w:eastAsia="zh-CN"/>
        </w:rPr>
        <w:t xml:space="preserve"> </w:t>
      </w:r>
      <w:r>
        <w:rPr>
          <w:rFonts w:hint="eastAsia" w:ascii="宋体" w:hAnsi="宋体"/>
          <w:bCs/>
          <w:sz w:val="44"/>
          <w:szCs w:val="44"/>
        </w:rPr>
        <w:t>价</w:t>
      </w:r>
      <w:r>
        <w:rPr>
          <w:rFonts w:hint="eastAsia" w:ascii="宋体" w:hAnsi="宋体"/>
          <w:bCs/>
          <w:sz w:val="44"/>
          <w:szCs w:val="44"/>
          <w:lang w:val="en-US" w:eastAsia="zh-CN"/>
        </w:rPr>
        <w:t xml:space="preserve"> </w:t>
      </w:r>
      <w:r>
        <w:rPr>
          <w:rFonts w:hint="eastAsia" w:ascii="宋体" w:hAnsi="宋体"/>
          <w:bCs/>
          <w:sz w:val="44"/>
          <w:szCs w:val="44"/>
        </w:rPr>
        <w:t>格</w:t>
      </w:r>
      <w:r>
        <w:rPr>
          <w:rFonts w:hint="eastAsia" w:ascii="宋体" w:hAnsi="宋体"/>
          <w:bCs/>
          <w:sz w:val="44"/>
          <w:szCs w:val="44"/>
          <w:lang w:val="en-US" w:eastAsia="zh-CN"/>
        </w:rPr>
        <w:t xml:space="preserve"> </w:t>
      </w:r>
      <w:r>
        <w:rPr>
          <w:rFonts w:hint="eastAsia" w:ascii="宋体" w:hAnsi="宋体"/>
          <w:bCs/>
          <w:sz w:val="44"/>
          <w:szCs w:val="44"/>
        </w:rPr>
        <w:t>评</w:t>
      </w:r>
      <w:r>
        <w:rPr>
          <w:rFonts w:hint="eastAsia" w:ascii="宋体" w:hAnsi="宋体"/>
          <w:bCs/>
          <w:sz w:val="44"/>
          <w:szCs w:val="44"/>
          <w:lang w:val="en-US" w:eastAsia="zh-CN"/>
        </w:rPr>
        <w:t xml:space="preserve"> </w:t>
      </w:r>
      <w:r>
        <w:rPr>
          <w:rFonts w:hint="eastAsia" w:ascii="宋体" w:hAnsi="宋体"/>
          <w:bCs/>
          <w:sz w:val="44"/>
          <w:szCs w:val="44"/>
        </w:rPr>
        <w:t>估</w:t>
      </w:r>
      <w:r>
        <w:rPr>
          <w:rFonts w:hint="eastAsia" w:ascii="宋体" w:hAnsi="宋体"/>
          <w:bCs/>
          <w:sz w:val="44"/>
          <w:szCs w:val="44"/>
          <w:lang w:val="en-US" w:eastAsia="zh-CN"/>
        </w:rPr>
        <w:t xml:space="preserve"> </w:t>
      </w:r>
      <w:r>
        <w:rPr>
          <w:rFonts w:hint="eastAsia" w:ascii="宋体" w:hAnsi="宋体"/>
          <w:bCs/>
          <w:sz w:val="44"/>
          <w:szCs w:val="44"/>
        </w:rPr>
        <w:t>结</w:t>
      </w:r>
      <w:r>
        <w:rPr>
          <w:rFonts w:hint="eastAsia" w:ascii="宋体" w:hAnsi="宋体"/>
          <w:bCs/>
          <w:sz w:val="44"/>
          <w:szCs w:val="44"/>
          <w:lang w:val="en-US" w:eastAsia="zh-CN"/>
        </w:rPr>
        <w:t xml:space="preserve"> </w:t>
      </w:r>
      <w:r>
        <w:rPr>
          <w:rFonts w:hint="eastAsia" w:ascii="宋体" w:hAnsi="宋体"/>
          <w:bCs/>
          <w:sz w:val="44"/>
          <w:szCs w:val="44"/>
        </w:rPr>
        <w:t>果</w:t>
      </w:r>
      <w:bookmarkEnd w:id="40"/>
    </w:p>
    <w:tbl>
      <w:tblPr>
        <w:tblStyle w:val="24"/>
        <w:tblW w:w="10008" w:type="dxa"/>
        <w:tblInd w:w="-720" w:type="dxa"/>
        <w:tblLayout w:type="fixed"/>
        <w:tblCellMar>
          <w:top w:w="0" w:type="dxa"/>
          <w:left w:w="108" w:type="dxa"/>
          <w:bottom w:w="0" w:type="dxa"/>
          <w:right w:w="108" w:type="dxa"/>
        </w:tblCellMar>
      </w:tblPr>
      <w:tblGrid>
        <w:gridCol w:w="2088"/>
        <w:gridCol w:w="1924"/>
        <w:gridCol w:w="56"/>
        <w:gridCol w:w="1011"/>
        <w:gridCol w:w="429"/>
        <w:gridCol w:w="7"/>
        <w:gridCol w:w="173"/>
        <w:gridCol w:w="67"/>
        <w:gridCol w:w="1013"/>
        <w:gridCol w:w="214"/>
        <w:gridCol w:w="1046"/>
        <w:gridCol w:w="3"/>
        <w:gridCol w:w="307"/>
        <w:gridCol w:w="50"/>
        <w:gridCol w:w="1620"/>
      </w:tblGrid>
      <w:tr>
        <w:tblPrEx>
          <w:tblCellMar>
            <w:top w:w="0" w:type="dxa"/>
            <w:left w:w="108" w:type="dxa"/>
            <w:bottom w:w="0" w:type="dxa"/>
            <w:right w:w="108" w:type="dxa"/>
          </w:tblCellMar>
        </w:tblPrEx>
        <w:trPr>
          <w:trHeight w:val="599" w:hRule="exact"/>
        </w:trPr>
        <w:tc>
          <w:tcPr>
            <w:tcW w:w="2088" w:type="dxa"/>
            <w:tcBorders>
              <w:top w:val="single" w:color="auto" w:sz="4" w:space="0"/>
              <w:left w:val="single" w:color="auto" w:sz="4" w:space="0"/>
              <w:bottom w:val="single" w:color="auto" w:sz="4" w:space="0"/>
              <w:right w:val="single" w:color="auto" w:sz="4" w:space="0"/>
            </w:tcBorders>
            <w:noWrap w:val="0"/>
            <w:vAlign w:val="center"/>
          </w:tcPr>
          <w:p>
            <w:pPr>
              <w:widowControl/>
              <w:spacing w:line="440" w:lineRule="exact"/>
              <w:jc w:val="center"/>
              <w:rPr>
                <w:rFonts w:hint="eastAsia" w:ascii="宋体" w:hAnsi="宋体" w:cs="宋体"/>
                <w:kern w:val="0"/>
                <w:sz w:val="28"/>
                <w:szCs w:val="28"/>
              </w:rPr>
            </w:pPr>
            <w:r>
              <w:rPr>
                <w:rFonts w:hint="eastAsia" w:ascii="宋体" w:hAnsi="宋体" w:cs="宋体"/>
                <w:kern w:val="0"/>
                <w:sz w:val="28"/>
                <w:szCs w:val="28"/>
              </w:rPr>
              <mc:AlternateContent>
                <mc:Choice Requires="wps">
                  <w:drawing>
                    <wp:anchor distT="0" distB="0" distL="114300" distR="114300" simplePos="0" relativeHeight="251665408" behindDoc="0" locked="0" layoutInCell="1" allowOverlap="1">
                      <wp:simplePos x="0" y="0"/>
                      <wp:positionH relativeFrom="column">
                        <wp:posOffset>-112395</wp:posOffset>
                      </wp:positionH>
                      <wp:positionV relativeFrom="paragraph">
                        <wp:posOffset>-29210</wp:posOffset>
                      </wp:positionV>
                      <wp:extent cx="1371600" cy="0"/>
                      <wp:effectExtent l="0" t="0" r="0" b="0"/>
                      <wp:wrapSquare wrapText="bothSides"/>
                      <wp:docPr id="3" name="直接连接符 3"/>
                      <wp:cNvGraphicFramePr/>
                      <a:graphic xmlns:a="http://schemas.openxmlformats.org/drawingml/2006/main">
                        <a:graphicData uri="http://schemas.microsoft.com/office/word/2010/wordprocessingShape">
                          <wps:wsp>
                            <wps:cNvCnPr/>
                            <wps:spPr>
                              <a:xfrm flipH="1">
                                <a:off x="0" y="0"/>
                                <a:ext cx="13716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x;margin-left:-8.85pt;margin-top:-2.3pt;height:0pt;width:108pt;mso-wrap-distance-bottom:0pt;mso-wrap-distance-left:9pt;mso-wrap-distance-right:9pt;mso-wrap-distance-top:0pt;z-index:251665408;mso-width-relative:page;mso-height-relative:page;" filled="f" stroked="t" coordsize="21600,21600" o:gfxdata="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Fz15yTWAAAACQEA&#10;AA8AAAAAAAAAAQAgAAAAIgAAAGRycy9kb3ducmV2LnhtbFBLAQIUABQAAAAIAIdO4kC7t3mD4wEA&#10;AKADAAAOAAAAAAAAAAEAIAAAACUBAABkcnMvZTJvRG9jLnhtbFBLBQYAAAAABgAGAFkBAAB6BQAA&#10;AAA=&#10;">
                      <v:fill on="f" focussize="0,0"/>
                      <v:stroke color="#000000" joinstyle="round"/>
                      <v:imagedata o:title=""/>
                      <o:lock v:ext="edit" aspectratio="f"/>
                      <w10:wrap type="square"/>
                    </v:line>
                  </w:pict>
                </mc:Fallback>
              </mc:AlternateContent>
            </w:r>
            <w:r>
              <w:rPr>
                <w:rFonts w:hint="eastAsia" w:ascii="宋体" w:hAnsi="宋体" w:cs="宋体"/>
                <w:kern w:val="0"/>
                <w:sz w:val="28"/>
                <w:szCs w:val="28"/>
              </w:rPr>
              <w:t>估价委托人</w:t>
            </w:r>
          </w:p>
        </w:tc>
        <w:tc>
          <w:tcPr>
            <w:tcW w:w="3667" w:type="dxa"/>
            <w:gridSpan w:val="7"/>
            <w:tcBorders>
              <w:top w:val="single" w:color="auto" w:sz="4" w:space="0"/>
              <w:left w:val="single" w:color="auto" w:sz="4" w:space="0"/>
              <w:bottom w:val="single" w:color="auto" w:sz="4" w:space="0"/>
              <w:right w:val="single" w:color="auto" w:sz="4" w:space="0"/>
            </w:tcBorders>
            <w:noWrap w:val="0"/>
            <w:vAlign w:val="center"/>
          </w:tcPr>
          <w:p>
            <w:pPr>
              <w:widowControl/>
              <w:spacing w:line="440" w:lineRule="exact"/>
              <w:jc w:val="center"/>
              <w:rPr>
                <w:rFonts w:hint="eastAsia" w:ascii="宋体" w:hAnsi="宋体"/>
                <w:sz w:val="28"/>
                <w:szCs w:val="28"/>
                <w:lang w:eastAsia="zh-CN"/>
              </w:rPr>
            </w:pPr>
            <w:r>
              <w:rPr>
                <w:rFonts w:hint="eastAsia" w:ascii="宋体" w:hAnsi="宋体"/>
                <w:sz w:val="28"/>
                <w:szCs w:val="28"/>
                <w:lang w:eastAsia="zh-CN"/>
              </w:rPr>
              <w:t>王敏</w:t>
            </w:r>
          </w:p>
        </w:tc>
        <w:tc>
          <w:tcPr>
            <w:tcW w:w="2273" w:type="dxa"/>
            <w:gridSpan w:val="3"/>
            <w:tcBorders>
              <w:top w:val="single" w:color="auto" w:sz="4" w:space="0"/>
              <w:left w:val="single" w:color="auto" w:sz="4" w:space="0"/>
              <w:bottom w:val="single" w:color="auto" w:sz="4" w:space="0"/>
              <w:right w:val="single" w:color="auto" w:sz="4" w:space="0"/>
            </w:tcBorders>
            <w:noWrap w:val="0"/>
            <w:vAlign w:val="center"/>
          </w:tcPr>
          <w:p>
            <w:pPr>
              <w:widowControl/>
              <w:spacing w:line="440" w:lineRule="exact"/>
              <w:jc w:val="center"/>
              <w:rPr>
                <w:rFonts w:hint="eastAsia" w:ascii="宋体" w:hAnsi="宋体"/>
                <w:sz w:val="28"/>
                <w:szCs w:val="28"/>
                <w:lang w:eastAsia="zh-CN"/>
              </w:rPr>
            </w:pPr>
            <w:r>
              <w:rPr>
                <w:rFonts w:hint="eastAsia" w:ascii="宋体" w:hAnsi="宋体"/>
                <w:sz w:val="28"/>
                <w:szCs w:val="28"/>
                <w:lang w:eastAsia="zh-CN"/>
              </w:rPr>
              <w:t>房屋所有权证号</w:t>
            </w:r>
          </w:p>
        </w:tc>
        <w:tc>
          <w:tcPr>
            <w:tcW w:w="1980" w:type="dxa"/>
            <w:gridSpan w:val="4"/>
            <w:tcBorders>
              <w:top w:val="single" w:color="auto" w:sz="4" w:space="0"/>
              <w:left w:val="single" w:color="auto" w:sz="4" w:space="0"/>
              <w:bottom w:val="single" w:color="auto" w:sz="4" w:space="0"/>
              <w:right w:val="single" w:color="auto" w:sz="4" w:space="0"/>
            </w:tcBorders>
            <w:noWrap w:val="0"/>
            <w:vAlign w:val="center"/>
          </w:tcPr>
          <w:p>
            <w:pPr>
              <w:widowControl/>
              <w:spacing w:line="440" w:lineRule="exact"/>
              <w:jc w:val="center"/>
              <w:rPr>
                <w:rFonts w:hint="default" w:ascii="宋体" w:hAnsi="宋体"/>
                <w:sz w:val="28"/>
                <w:szCs w:val="28"/>
                <w:lang w:val="en-US" w:eastAsia="zh-CN"/>
              </w:rPr>
            </w:pPr>
            <w:r>
              <w:rPr>
                <w:rFonts w:hint="eastAsia" w:ascii="宋体" w:hAnsi="宋体"/>
                <w:sz w:val="28"/>
                <w:szCs w:val="28"/>
                <w:lang w:val="en-US" w:eastAsia="zh-CN"/>
              </w:rPr>
              <w:t>4731</w:t>
            </w:r>
          </w:p>
        </w:tc>
      </w:tr>
      <w:tr>
        <w:tblPrEx>
          <w:tblCellMar>
            <w:top w:w="0" w:type="dxa"/>
            <w:left w:w="108" w:type="dxa"/>
            <w:bottom w:w="0" w:type="dxa"/>
            <w:right w:w="108" w:type="dxa"/>
          </w:tblCellMar>
        </w:tblPrEx>
        <w:trPr>
          <w:trHeight w:val="524" w:hRule="exact"/>
        </w:trPr>
        <w:tc>
          <w:tcPr>
            <w:tcW w:w="2088" w:type="dxa"/>
            <w:tcBorders>
              <w:top w:val="single" w:color="auto" w:sz="4" w:space="0"/>
              <w:left w:val="single" w:color="auto" w:sz="4" w:space="0"/>
              <w:bottom w:val="single" w:color="auto" w:sz="4" w:space="0"/>
              <w:right w:val="single" w:color="auto" w:sz="4" w:space="0"/>
            </w:tcBorders>
            <w:noWrap w:val="0"/>
            <w:vAlign w:val="center"/>
          </w:tcPr>
          <w:p>
            <w:pPr>
              <w:widowControl/>
              <w:spacing w:line="440" w:lineRule="exact"/>
              <w:jc w:val="center"/>
              <w:rPr>
                <w:rFonts w:ascii="宋体" w:hAnsi="宋体" w:cs="宋体"/>
                <w:kern w:val="0"/>
                <w:sz w:val="28"/>
                <w:szCs w:val="28"/>
              </w:rPr>
            </w:pPr>
            <w:r>
              <w:rPr>
                <w:rFonts w:hint="eastAsia" w:ascii="宋体" w:hAnsi="宋体" w:cs="宋体"/>
                <w:kern w:val="0"/>
                <w:sz w:val="28"/>
                <w:szCs w:val="28"/>
              </w:rPr>
              <w:t>房屋坐落位置</w:t>
            </w:r>
          </w:p>
        </w:tc>
        <w:tc>
          <w:tcPr>
            <w:tcW w:w="7920" w:type="dxa"/>
            <w:gridSpan w:val="14"/>
            <w:tcBorders>
              <w:top w:val="single" w:color="auto" w:sz="4" w:space="0"/>
              <w:left w:val="single" w:color="auto" w:sz="4" w:space="0"/>
              <w:bottom w:val="single" w:color="auto" w:sz="4" w:space="0"/>
              <w:right w:val="single" w:color="auto" w:sz="4" w:space="0"/>
            </w:tcBorders>
            <w:noWrap w:val="0"/>
            <w:vAlign w:val="center"/>
          </w:tcPr>
          <w:p>
            <w:pPr>
              <w:widowControl/>
              <w:spacing w:line="440" w:lineRule="exact"/>
              <w:jc w:val="center"/>
              <w:rPr>
                <w:rFonts w:hint="eastAsia" w:ascii="宋体" w:hAnsi="宋体" w:cs="宋体"/>
                <w:kern w:val="0"/>
                <w:sz w:val="28"/>
                <w:szCs w:val="28"/>
                <w:lang w:eastAsia="zh-CN"/>
              </w:rPr>
            </w:pPr>
            <w:r>
              <w:rPr>
                <w:rFonts w:hint="eastAsia" w:ascii="宋体" w:hAnsi="宋体" w:cs="宋体"/>
                <w:kern w:val="0"/>
                <w:sz w:val="28"/>
                <w:szCs w:val="28"/>
                <w:lang w:eastAsia="zh-CN"/>
              </w:rPr>
              <w:t>五原县隆兴昌镇胜利办事处福中园小区2-2-252</w:t>
            </w:r>
          </w:p>
        </w:tc>
      </w:tr>
      <w:tr>
        <w:tblPrEx>
          <w:tblCellMar>
            <w:top w:w="0" w:type="dxa"/>
            <w:left w:w="108" w:type="dxa"/>
            <w:bottom w:w="0" w:type="dxa"/>
            <w:right w:w="108" w:type="dxa"/>
          </w:tblCellMar>
        </w:tblPrEx>
        <w:trPr>
          <w:trHeight w:val="916" w:hRule="exact"/>
        </w:trPr>
        <w:tc>
          <w:tcPr>
            <w:tcW w:w="2088" w:type="dxa"/>
            <w:tcBorders>
              <w:top w:val="single" w:color="auto" w:sz="4" w:space="0"/>
              <w:left w:val="single" w:color="auto" w:sz="4" w:space="0"/>
              <w:bottom w:val="single" w:color="auto" w:sz="4" w:space="0"/>
              <w:right w:val="single" w:color="auto" w:sz="4" w:space="0"/>
            </w:tcBorders>
            <w:noWrap w:val="0"/>
            <w:vAlign w:val="center"/>
          </w:tcPr>
          <w:p>
            <w:pPr>
              <w:widowControl/>
              <w:spacing w:line="440" w:lineRule="exact"/>
              <w:jc w:val="center"/>
              <w:rPr>
                <w:rFonts w:ascii="宋体" w:hAnsi="宋体" w:cs="宋体"/>
                <w:kern w:val="0"/>
                <w:sz w:val="28"/>
                <w:szCs w:val="28"/>
              </w:rPr>
            </w:pPr>
            <w:r>
              <w:rPr>
                <w:rFonts w:hint="eastAsia" w:ascii="宋体" w:hAnsi="宋体" w:cs="宋体"/>
                <w:kern w:val="0"/>
                <w:sz w:val="28"/>
                <w:szCs w:val="28"/>
              </w:rPr>
              <w:t>估价目的</w:t>
            </w:r>
          </w:p>
        </w:tc>
        <w:tc>
          <w:tcPr>
            <w:tcW w:w="3600" w:type="dxa"/>
            <w:gridSpan w:val="6"/>
            <w:tcBorders>
              <w:top w:val="single" w:color="auto" w:sz="4" w:space="0"/>
              <w:left w:val="single" w:color="auto" w:sz="4" w:space="0"/>
              <w:bottom w:val="single" w:color="auto" w:sz="4" w:space="0"/>
              <w:right w:val="single" w:color="auto" w:sz="4" w:space="0"/>
            </w:tcBorders>
            <w:noWrap w:val="0"/>
            <w:vAlign w:val="center"/>
          </w:tcPr>
          <w:p>
            <w:pPr>
              <w:widowControl/>
              <w:spacing w:line="440" w:lineRule="exact"/>
              <w:jc w:val="center"/>
              <w:rPr>
                <w:rFonts w:hint="eastAsia" w:ascii="宋体" w:hAnsi="宋体" w:cs="宋体"/>
                <w:kern w:val="0"/>
                <w:sz w:val="28"/>
                <w:szCs w:val="28"/>
              </w:rPr>
            </w:pPr>
            <w:r>
              <w:rPr>
                <w:rFonts w:hint="eastAsia" w:ascii="宋体" w:hAnsi="宋体" w:cs="宋体"/>
                <w:kern w:val="0"/>
                <w:sz w:val="28"/>
                <w:szCs w:val="28"/>
              </w:rPr>
              <w:t>为</w:t>
            </w:r>
            <w:r>
              <w:rPr>
                <w:rFonts w:hint="eastAsia" w:ascii="宋体" w:hAnsi="宋体" w:cs="宋体"/>
                <w:kern w:val="0"/>
                <w:sz w:val="28"/>
                <w:szCs w:val="28"/>
                <w:lang w:eastAsia="zh-CN"/>
              </w:rPr>
              <w:t>估价</w:t>
            </w:r>
            <w:r>
              <w:rPr>
                <w:rFonts w:hint="eastAsia" w:ascii="宋体" w:hAnsi="宋体" w:cs="宋体"/>
                <w:kern w:val="0"/>
                <w:sz w:val="28"/>
                <w:szCs w:val="28"/>
              </w:rPr>
              <w:t>委托人</w:t>
            </w:r>
            <w:r>
              <w:rPr>
                <w:rFonts w:hint="eastAsia" w:ascii="宋体" w:hAnsi="宋体" w:cs="宋体"/>
                <w:kern w:val="0"/>
                <w:sz w:val="28"/>
                <w:szCs w:val="28"/>
                <w:lang w:eastAsia="zh-CN"/>
              </w:rPr>
              <w:t>提供</w:t>
            </w:r>
            <w:r>
              <w:rPr>
                <w:rFonts w:hint="eastAsia" w:ascii="宋体" w:hAnsi="宋体" w:cs="宋体"/>
                <w:kern w:val="0"/>
                <w:sz w:val="28"/>
                <w:szCs w:val="28"/>
              </w:rPr>
              <w:t>委估房地产的市场价值参考</w:t>
            </w:r>
          </w:p>
        </w:tc>
        <w:tc>
          <w:tcPr>
            <w:tcW w:w="2343" w:type="dxa"/>
            <w:gridSpan w:val="5"/>
            <w:tcBorders>
              <w:top w:val="single" w:color="auto" w:sz="4" w:space="0"/>
              <w:left w:val="nil"/>
              <w:bottom w:val="single" w:color="auto" w:sz="4" w:space="0"/>
              <w:right w:val="single" w:color="auto" w:sz="4" w:space="0"/>
            </w:tcBorders>
            <w:noWrap w:val="0"/>
            <w:vAlign w:val="center"/>
          </w:tcPr>
          <w:p>
            <w:pPr>
              <w:widowControl/>
              <w:spacing w:line="440" w:lineRule="exact"/>
              <w:jc w:val="center"/>
              <w:rPr>
                <w:rFonts w:hint="eastAsia" w:ascii="宋体" w:hAnsi="宋体" w:cs="宋体"/>
                <w:kern w:val="0"/>
                <w:sz w:val="28"/>
                <w:szCs w:val="28"/>
              </w:rPr>
            </w:pPr>
            <w:r>
              <w:rPr>
                <w:rFonts w:hint="eastAsia" w:ascii="宋体" w:hAnsi="宋体" w:cs="宋体"/>
                <w:kern w:val="0"/>
                <w:sz w:val="28"/>
                <w:szCs w:val="28"/>
              </w:rPr>
              <w:t>价值时点</w:t>
            </w:r>
          </w:p>
        </w:tc>
        <w:tc>
          <w:tcPr>
            <w:tcW w:w="1977" w:type="dxa"/>
            <w:gridSpan w:val="3"/>
            <w:tcBorders>
              <w:top w:val="single" w:color="auto" w:sz="4" w:space="0"/>
              <w:left w:val="nil"/>
              <w:bottom w:val="single" w:color="auto" w:sz="4" w:space="0"/>
              <w:right w:val="single" w:color="auto" w:sz="4" w:space="0"/>
            </w:tcBorders>
            <w:noWrap w:val="0"/>
            <w:vAlign w:val="center"/>
          </w:tcPr>
          <w:p>
            <w:pPr>
              <w:widowControl/>
              <w:spacing w:line="440" w:lineRule="exact"/>
              <w:jc w:val="center"/>
              <w:rPr>
                <w:rFonts w:hint="default" w:ascii="宋体" w:hAnsi="宋体" w:eastAsia="宋体" w:cs="宋体"/>
                <w:kern w:val="0"/>
                <w:sz w:val="28"/>
                <w:szCs w:val="28"/>
                <w:lang w:val="en-US" w:eastAsia="zh-CN"/>
              </w:rPr>
            </w:pPr>
            <w:r>
              <w:rPr>
                <w:rFonts w:hint="eastAsia" w:ascii="宋体" w:hAnsi="宋体" w:cs="宋体"/>
                <w:kern w:val="0"/>
                <w:sz w:val="28"/>
                <w:szCs w:val="28"/>
                <w:lang w:eastAsia="zh-CN"/>
              </w:rPr>
              <w:t>2020.</w:t>
            </w:r>
            <w:r>
              <w:rPr>
                <w:rFonts w:hint="eastAsia" w:ascii="宋体" w:hAnsi="宋体" w:cs="宋体"/>
                <w:kern w:val="0"/>
                <w:sz w:val="28"/>
                <w:szCs w:val="28"/>
                <w:lang w:val="en-US" w:eastAsia="zh-CN"/>
              </w:rPr>
              <w:t>6.24</w:t>
            </w:r>
          </w:p>
        </w:tc>
      </w:tr>
      <w:tr>
        <w:tblPrEx>
          <w:tblCellMar>
            <w:top w:w="0" w:type="dxa"/>
            <w:left w:w="108" w:type="dxa"/>
            <w:bottom w:w="0" w:type="dxa"/>
            <w:right w:w="108" w:type="dxa"/>
          </w:tblCellMar>
        </w:tblPrEx>
        <w:trPr>
          <w:trHeight w:val="422" w:hRule="exact"/>
        </w:trPr>
        <w:tc>
          <w:tcPr>
            <w:tcW w:w="10008" w:type="dxa"/>
            <w:gridSpan w:val="15"/>
            <w:tcBorders>
              <w:top w:val="single" w:color="auto" w:sz="4" w:space="0"/>
              <w:left w:val="single" w:color="auto" w:sz="4" w:space="0"/>
              <w:bottom w:val="single" w:color="auto" w:sz="4" w:space="0"/>
              <w:right w:val="single" w:color="auto" w:sz="4" w:space="0"/>
            </w:tcBorders>
            <w:noWrap w:val="0"/>
            <w:vAlign w:val="center"/>
          </w:tcPr>
          <w:p>
            <w:pPr>
              <w:widowControl/>
              <w:spacing w:line="440" w:lineRule="exact"/>
              <w:jc w:val="center"/>
              <w:rPr>
                <w:rFonts w:ascii="宋体" w:hAnsi="宋体" w:cs="宋体"/>
                <w:kern w:val="0"/>
                <w:sz w:val="28"/>
                <w:szCs w:val="28"/>
              </w:rPr>
            </w:pPr>
            <w:r>
              <w:rPr>
                <w:rFonts w:hint="eastAsia" w:ascii="宋体" w:hAnsi="宋体" w:cs="宋体"/>
                <w:kern w:val="0"/>
                <w:sz w:val="28"/>
                <w:szCs w:val="28"/>
              </w:rPr>
              <w:t>土</w:t>
            </w:r>
            <w:r>
              <w:rPr>
                <w:kern w:val="0"/>
                <w:sz w:val="28"/>
                <w:szCs w:val="28"/>
              </w:rPr>
              <w:t xml:space="preserve"> </w:t>
            </w:r>
            <w:r>
              <w:rPr>
                <w:rFonts w:hint="eastAsia" w:ascii="宋体" w:hAnsi="宋体" w:cs="宋体"/>
                <w:kern w:val="0"/>
                <w:sz w:val="28"/>
                <w:szCs w:val="28"/>
              </w:rPr>
              <w:t>地</w:t>
            </w:r>
            <w:r>
              <w:rPr>
                <w:kern w:val="0"/>
                <w:sz w:val="28"/>
                <w:szCs w:val="28"/>
              </w:rPr>
              <w:t xml:space="preserve"> </w:t>
            </w:r>
            <w:r>
              <w:rPr>
                <w:rFonts w:hint="eastAsia" w:ascii="宋体" w:hAnsi="宋体" w:cs="宋体"/>
                <w:kern w:val="0"/>
                <w:sz w:val="28"/>
                <w:szCs w:val="28"/>
              </w:rPr>
              <w:t>状</w:t>
            </w:r>
            <w:r>
              <w:rPr>
                <w:kern w:val="0"/>
                <w:sz w:val="28"/>
                <w:szCs w:val="28"/>
              </w:rPr>
              <w:t xml:space="preserve"> </w:t>
            </w:r>
            <w:r>
              <w:rPr>
                <w:rFonts w:hint="eastAsia" w:ascii="宋体" w:hAnsi="宋体" w:cs="宋体"/>
                <w:kern w:val="0"/>
                <w:sz w:val="28"/>
                <w:szCs w:val="28"/>
              </w:rPr>
              <w:t>况</w:t>
            </w:r>
          </w:p>
        </w:tc>
      </w:tr>
      <w:tr>
        <w:tblPrEx>
          <w:tblCellMar>
            <w:top w:w="0" w:type="dxa"/>
            <w:left w:w="108" w:type="dxa"/>
            <w:bottom w:w="0" w:type="dxa"/>
            <w:right w:w="108" w:type="dxa"/>
          </w:tblCellMar>
        </w:tblPrEx>
        <w:trPr>
          <w:trHeight w:val="419" w:hRule="exact"/>
        </w:trPr>
        <w:tc>
          <w:tcPr>
            <w:tcW w:w="2088" w:type="dxa"/>
            <w:tcBorders>
              <w:top w:val="nil"/>
              <w:left w:val="single" w:color="auto" w:sz="4" w:space="0"/>
              <w:bottom w:val="single" w:color="auto" w:sz="4" w:space="0"/>
              <w:right w:val="single" w:color="auto" w:sz="4" w:space="0"/>
            </w:tcBorders>
            <w:noWrap w:val="0"/>
            <w:vAlign w:val="center"/>
          </w:tcPr>
          <w:p>
            <w:pPr>
              <w:widowControl/>
              <w:spacing w:line="440" w:lineRule="exact"/>
              <w:jc w:val="center"/>
              <w:rPr>
                <w:rFonts w:ascii="宋体" w:hAnsi="宋体" w:cs="宋体"/>
                <w:spacing w:val="-20"/>
                <w:kern w:val="0"/>
                <w:sz w:val="24"/>
              </w:rPr>
            </w:pPr>
            <w:r>
              <w:rPr>
                <w:rFonts w:hint="eastAsia" w:ascii="宋体" w:hAnsi="宋体" w:cs="宋体"/>
                <w:spacing w:val="-20"/>
                <w:kern w:val="0"/>
                <w:sz w:val="28"/>
                <w:szCs w:val="28"/>
              </w:rPr>
              <w:t>土地使用权证号</w:t>
            </w:r>
          </w:p>
        </w:tc>
        <w:tc>
          <w:tcPr>
            <w:tcW w:w="1980" w:type="dxa"/>
            <w:gridSpan w:val="2"/>
            <w:tcBorders>
              <w:top w:val="nil"/>
              <w:left w:val="nil"/>
              <w:bottom w:val="single" w:color="auto" w:sz="4" w:space="0"/>
              <w:right w:val="single" w:color="auto" w:sz="4" w:space="0"/>
            </w:tcBorders>
            <w:noWrap w:val="0"/>
            <w:vAlign w:val="center"/>
          </w:tcPr>
          <w:p>
            <w:pPr>
              <w:widowControl/>
              <w:spacing w:line="440" w:lineRule="exact"/>
              <w:rPr>
                <w:rFonts w:ascii="宋体" w:hAnsi="宋体" w:cs="宋体"/>
                <w:spacing w:val="-20"/>
                <w:kern w:val="0"/>
                <w:sz w:val="28"/>
                <w:szCs w:val="28"/>
              </w:rPr>
            </w:pPr>
            <w:r>
              <w:rPr>
                <w:rFonts w:hint="eastAsia" w:ascii="宋体" w:hAnsi="宋体" w:cs="宋体"/>
                <w:spacing w:val="-20"/>
                <w:kern w:val="0"/>
                <w:sz w:val="28"/>
                <w:szCs w:val="28"/>
              </w:rPr>
              <w:t>使用权面积</w:t>
            </w:r>
            <w:r>
              <w:rPr>
                <w:spacing w:val="-20"/>
                <w:kern w:val="0"/>
                <w:sz w:val="28"/>
                <w:szCs w:val="28"/>
              </w:rPr>
              <w:t>(</w:t>
            </w:r>
            <w:r>
              <w:rPr>
                <w:rFonts w:hint="eastAsia" w:ascii="宋体" w:hAnsi="宋体" w:cs="宋体"/>
                <w:spacing w:val="-20"/>
                <w:kern w:val="0"/>
                <w:sz w:val="28"/>
                <w:szCs w:val="28"/>
              </w:rPr>
              <w:t>㎡</w:t>
            </w:r>
            <w:r>
              <w:rPr>
                <w:spacing w:val="-20"/>
                <w:kern w:val="0"/>
                <w:sz w:val="28"/>
                <w:szCs w:val="28"/>
              </w:rPr>
              <w:t>)</w:t>
            </w:r>
          </w:p>
        </w:tc>
        <w:tc>
          <w:tcPr>
            <w:tcW w:w="1447" w:type="dxa"/>
            <w:gridSpan w:val="3"/>
            <w:tcBorders>
              <w:top w:val="single" w:color="auto" w:sz="4" w:space="0"/>
              <w:left w:val="nil"/>
              <w:bottom w:val="single" w:color="auto" w:sz="4" w:space="0"/>
              <w:right w:val="single" w:color="auto" w:sz="4" w:space="0"/>
            </w:tcBorders>
            <w:noWrap w:val="0"/>
            <w:vAlign w:val="center"/>
          </w:tcPr>
          <w:p>
            <w:pPr>
              <w:widowControl/>
              <w:spacing w:line="440" w:lineRule="exact"/>
              <w:jc w:val="center"/>
              <w:rPr>
                <w:rFonts w:ascii="宋体" w:hAnsi="宋体" w:cs="宋体"/>
                <w:spacing w:val="-20"/>
                <w:kern w:val="0"/>
                <w:sz w:val="28"/>
                <w:szCs w:val="28"/>
              </w:rPr>
            </w:pPr>
            <w:r>
              <w:rPr>
                <w:rFonts w:hint="eastAsia" w:ascii="宋体" w:hAnsi="宋体" w:cs="宋体"/>
                <w:spacing w:val="-20"/>
                <w:kern w:val="0"/>
                <w:sz w:val="28"/>
                <w:szCs w:val="28"/>
              </w:rPr>
              <w:t>地号</w:t>
            </w:r>
          </w:p>
        </w:tc>
        <w:tc>
          <w:tcPr>
            <w:tcW w:w="1253" w:type="dxa"/>
            <w:gridSpan w:val="3"/>
            <w:tcBorders>
              <w:top w:val="single" w:color="auto" w:sz="4" w:space="0"/>
              <w:left w:val="nil"/>
              <w:bottom w:val="single" w:color="auto" w:sz="4" w:space="0"/>
              <w:right w:val="single" w:color="auto" w:sz="4" w:space="0"/>
            </w:tcBorders>
            <w:noWrap w:val="0"/>
            <w:vAlign w:val="center"/>
          </w:tcPr>
          <w:p>
            <w:pPr>
              <w:widowControl/>
              <w:spacing w:line="440" w:lineRule="exact"/>
              <w:jc w:val="center"/>
              <w:rPr>
                <w:rFonts w:ascii="宋体" w:hAnsi="宋体" w:cs="宋体"/>
                <w:spacing w:val="-20"/>
                <w:kern w:val="0"/>
                <w:sz w:val="28"/>
                <w:szCs w:val="28"/>
              </w:rPr>
            </w:pPr>
            <w:r>
              <w:rPr>
                <w:rFonts w:hint="eastAsia" w:ascii="宋体" w:hAnsi="宋体" w:cs="宋体"/>
                <w:spacing w:val="-20"/>
                <w:kern w:val="0"/>
                <w:sz w:val="28"/>
                <w:szCs w:val="28"/>
              </w:rPr>
              <w:t>用途</w:t>
            </w:r>
          </w:p>
        </w:tc>
        <w:tc>
          <w:tcPr>
            <w:tcW w:w="1620" w:type="dxa"/>
            <w:gridSpan w:val="5"/>
            <w:tcBorders>
              <w:top w:val="single" w:color="auto" w:sz="4" w:space="0"/>
              <w:left w:val="nil"/>
              <w:bottom w:val="single" w:color="auto" w:sz="4" w:space="0"/>
              <w:right w:val="single" w:color="auto" w:sz="4" w:space="0"/>
            </w:tcBorders>
            <w:noWrap w:val="0"/>
            <w:vAlign w:val="center"/>
          </w:tcPr>
          <w:p>
            <w:pPr>
              <w:widowControl/>
              <w:spacing w:line="440" w:lineRule="exact"/>
              <w:rPr>
                <w:rFonts w:ascii="宋体" w:hAnsi="宋体" w:cs="宋体"/>
                <w:spacing w:val="-20"/>
                <w:kern w:val="0"/>
                <w:sz w:val="28"/>
                <w:szCs w:val="28"/>
              </w:rPr>
            </w:pPr>
            <w:r>
              <w:rPr>
                <w:rFonts w:hint="eastAsia" w:ascii="宋体" w:hAnsi="宋体" w:cs="宋体"/>
                <w:spacing w:val="-20"/>
                <w:kern w:val="0"/>
                <w:sz w:val="28"/>
                <w:szCs w:val="28"/>
              </w:rPr>
              <w:t>使用权类型</w:t>
            </w:r>
          </w:p>
        </w:tc>
        <w:tc>
          <w:tcPr>
            <w:tcW w:w="1620" w:type="dxa"/>
            <w:tcBorders>
              <w:top w:val="nil"/>
              <w:left w:val="nil"/>
              <w:bottom w:val="single" w:color="auto" w:sz="4" w:space="0"/>
              <w:right w:val="single" w:color="auto" w:sz="4" w:space="0"/>
            </w:tcBorders>
            <w:noWrap w:val="0"/>
            <w:vAlign w:val="center"/>
          </w:tcPr>
          <w:p>
            <w:pPr>
              <w:widowControl/>
              <w:spacing w:line="440" w:lineRule="exact"/>
              <w:jc w:val="center"/>
              <w:rPr>
                <w:spacing w:val="-20"/>
                <w:kern w:val="0"/>
                <w:sz w:val="28"/>
                <w:szCs w:val="28"/>
              </w:rPr>
            </w:pPr>
            <w:r>
              <w:rPr>
                <w:spacing w:val="-20"/>
                <w:kern w:val="0"/>
                <w:sz w:val="28"/>
                <w:szCs w:val="28"/>
              </w:rPr>
              <w:t xml:space="preserve"> </w:t>
            </w:r>
            <w:r>
              <w:rPr>
                <w:rFonts w:hint="eastAsia" w:ascii="宋体" w:hAnsi="宋体"/>
                <w:spacing w:val="-20"/>
                <w:kern w:val="0"/>
                <w:sz w:val="28"/>
                <w:szCs w:val="28"/>
              </w:rPr>
              <w:t>终止日期</w:t>
            </w:r>
          </w:p>
        </w:tc>
      </w:tr>
      <w:tr>
        <w:tblPrEx>
          <w:tblCellMar>
            <w:top w:w="0" w:type="dxa"/>
            <w:left w:w="108" w:type="dxa"/>
            <w:bottom w:w="0" w:type="dxa"/>
            <w:right w:w="108" w:type="dxa"/>
          </w:tblCellMar>
        </w:tblPrEx>
        <w:trPr>
          <w:trHeight w:val="567" w:hRule="atLeast"/>
        </w:trPr>
        <w:tc>
          <w:tcPr>
            <w:tcW w:w="2088"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144" w:lineRule="auto"/>
              <w:jc w:val="center"/>
              <w:textAlignment w:val="auto"/>
              <w:rPr>
                <w:kern w:val="0"/>
                <w:sz w:val="24"/>
              </w:rPr>
            </w:pPr>
          </w:p>
        </w:tc>
        <w:tc>
          <w:tcPr>
            <w:tcW w:w="1980" w:type="dxa"/>
            <w:gridSpan w:val="2"/>
            <w:tcBorders>
              <w:top w:val="nil"/>
              <w:left w:val="nil"/>
              <w:bottom w:val="single" w:color="auto" w:sz="4" w:space="0"/>
              <w:right w:val="single" w:color="auto" w:sz="4" w:space="0"/>
            </w:tcBorders>
            <w:noWrap w:val="0"/>
            <w:vAlign w:val="center"/>
          </w:tcPr>
          <w:p>
            <w:pPr>
              <w:widowControl/>
              <w:spacing w:line="440" w:lineRule="exact"/>
              <w:jc w:val="center"/>
              <w:rPr>
                <w:rFonts w:hint="default" w:eastAsia="宋体"/>
                <w:kern w:val="0"/>
                <w:sz w:val="28"/>
                <w:szCs w:val="28"/>
                <w:lang w:val="en-US" w:eastAsia="zh-CN"/>
              </w:rPr>
            </w:pPr>
          </w:p>
        </w:tc>
        <w:tc>
          <w:tcPr>
            <w:tcW w:w="1447" w:type="dxa"/>
            <w:gridSpan w:val="3"/>
            <w:tcBorders>
              <w:top w:val="single" w:color="auto" w:sz="4" w:space="0"/>
              <w:left w:val="nil"/>
              <w:bottom w:val="single" w:color="auto" w:sz="4" w:space="0"/>
              <w:right w:val="single" w:color="auto" w:sz="4" w:space="0"/>
            </w:tcBorders>
            <w:noWrap w:val="0"/>
            <w:vAlign w:val="center"/>
          </w:tcPr>
          <w:p>
            <w:pPr>
              <w:widowControl/>
              <w:spacing w:line="440" w:lineRule="exact"/>
              <w:jc w:val="center"/>
              <w:rPr>
                <w:rFonts w:hint="default" w:eastAsia="宋体"/>
                <w:kern w:val="0"/>
                <w:sz w:val="28"/>
                <w:szCs w:val="28"/>
                <w:lang w:val="en-US" w:eastAsia="zh-CN"/>
              </w:rPr>
            </w:pPr>
          </w:p>
        </w:tc>
        <w:tc>
          <w:tcPr>
            <w:tcW w:w="1253" w:type="dxa"/>
            <w:gridSpan w:val="3"/>
            <w:tcBorders>
              <w:top w:val="single" w:color="auto" w:sz="4" w:space="0"/>
              <w:left w:val="nil"/>
              <w:bottom w:val="single" w:color="auto" w:sz="4" w:space="0"/>
              <w:right w:val="single" w:color="auto" w:sz="4" w:space="0"/>
            </w:tcBorders>
            <w:noWrap w:val="0"/>
            <w:vAlign w:val="center"/>
          </w:tcPr>
          <w:p>
            <w:pPr>
              <w:widowControl/>
              <w:spacing w:line="440" w:lineRule="exact"/>
              <w:jc w:val="center"/>
              <w:rPr>
                <w:rFonts w:hint="eastAsia" w:eastAsia="宋体"/>
                <w:kern w:val="0"/>
                <w:sz w:val="28"/>
                <w:szCs w:val="28"/>
                <w:lang w:eastAsia="zh-CN"/>
              </w:rPr>
            </w:pPr>
          </w:p>
        </w:tc>
        <w:tc>
          <w:tcPr>
            <w:tcW w:w="1620" w:type="dxa"/>
            <w:gridSpan w:val="5"/>
            <w:tcBorders>
              <w:top w:val="single" w:color="auto" w:sz="4" w:space="0"/>
              <w:left w:val="nil"/>
              <w:bottom w:val="single" w:color="auto" w:sz="4" w:space="0"/>
              <w:right w:val="single" w:color="auto" w:sz="4" w:space="0"/>
            </w:tcBorders>
            <w:noWrap w:val="0"/>
            <w:vAlign w:val="center"/>
          </w:tcPr>
          <w:p>
            <w:pPr>
              <w:widowControl/>
              <w:spacing w:line="440" w:lineRule="exact"/>
              <w:jc w:val="center"/>
              <w:rPr>
                <w:rFonts w:hint="eastAsia" w:eastAsia="宋体"/>
                <w:kern w:val="0"/>
                <w:sz w:val="28"/>
                <w:szCs w:val="28"/>
                <w:lang w:eastAsia="zh-CN"/>
              </w:rPr>
            </w:pPr>
          </w:p>
        </w:tc>
        <w:tc>
          <w:tcPr>
            <w:tcW w:w="1620" w:type="dxa"/>
            <w:tcBorders>
              <w:top w:val="nil"/>
              <w:left w:val="nil"/>
              <w:bottom w:val="single" w:color="auto" w:sz="4" w:space="0"/>
              <w:right w:val="single" w:color="auto" w:sz="4" w:space="0"/>
            </w:tcBorders>
            <w:noWrap w:val="0"/>
            <w:vAlign w:val="center"/>
          </w:tcPr>
          <w:p>
            <w:pPr>
              <w:widowControl/>
              <w:spacing w:line="440" w:lineRule="exact"/>
              <w:jc w:val="center"/>
              <w:rPr>
                <w:rFonts w:hint="default" w:eastAsia="宋体"/>
                <w:kern w:val="0"/>
                <w:sz w:val="28"/>
                <w:szCs w:val="28"/>
                <w:lang w:val="en-US" w:eastAsia="zh-CN"/>
              </w:rPr>
            </w:pPr>
          </w:p>
        </w:tc>
      </w:tr>
      <w:tr>
        <w:tblPrEx>
          <w:tblCellMar>
            <w:top w:w="0" w:type="dxa"/>
            <w:left w:w="108" w:type="dxa"/>
            <w:bottom w:w="0" w:type="dxa"/>
            <w:right w:w="108" w:type="dxa"/>
          </w:tblCellMar>
        </w:tblPrEx>
        <w:trPr>
          <w:trHeight w:val="427" w:hRule="exact"/>
        </w:trPr>
        <w:tc>
          <w:tcPr>
            <w:tcW w:w="10008" w:type="dxa"/>
            <w:gridSpan w:val="15"/>
            <w:tcBorders>
              <w:top w:val="single" w:color="auto" w:sz="4" w:space="0"/>
              <w:left w:val="single" w:color="auto" w:sz="4" w:space="0"/>
              <w:bottom w:val="single" w:color="auto" w:sz="4" w:space="0"/>
              <w:right w:val="single" w:color="auto" w:sz="4" w:space="0"/>
            </w:tcBorders>
            <w:noWrap w:val="0"/>
            <w:vAlign w:val="center"/>
          </w:tcPr>
          <w:p>
            <w:pPr>
              <w:widowControl/>
              <w:spacing w:line="440" w:lineRule="exact"/>
              <w:jc w:val="center"/>
              <w:rPr>
                <w:kern w:val="0"/>
                <w:sz w:val="28"/>
                <w:szCs w:val="28"/>
              </w:rPr>
            </w:pPr>
            <w:r>
              <w:rPr>
                <w:kern w:val="0"/>
                <w:sz w:val="28"/>
                <w:szCs w:val="28"/>
              </w:rPr>
              <w:t xml:space="preserve"> </w:t>
            </w:r>
            <w:r>
              <w:rPr>
                <w:rFonts w:hint="eastAsia" w:ascii="宋体" w:hAnsi="宋体"/>
                <w:kern w:val="0"/>
                <w:sz w:val="28"/>
                <w:szCs w:val="28"/>
              </w:rPr>
              <w:t>房</w:t>
            </w:r>
            <w:r>
              <w:rPr>
                <w:kern w:val="0"/>
                <w:sz w:val="28"/>
                <w:szCs w:val="28"/>
              </w:rPr>
              <w:t xml:space="preserve"> </w:t>
            </w:r>
            <w:r>
              <w:rPr>
                <w:rFonts w:hint="eastAsia" w:ascii="宋体" w:hAnsi="宋体"/>
                <w:kern w:val="0"/>
                <w:sz w:val="28"/>
                <w:szCs w:val="28"/>
              </w:rPr>
              <w:t>屋</w:t>
            </w:r>
            <w:r>
              <w:rPr>
                <w:kern w:val="0"/>
                <w:sz w:val="28"/>
                <w:szCs w:val="28"/>
              </w:rPr>
              <w:t xml:space="preserve"> </w:t>
            </w:r>
            <w:r>
              <w:rPr>
                <w:rFonts w:hint="eastAsia" w:ascii="宋体" w:hAnsi="宋体"/>
                <w:kern w:val="0"/>
                <w:sz w:val="28"/>
                <w:szCs w:val="28"/>
              </w:rPr>
              <w:t>状</w:t>
            </w:r>
            <w:r>
              <w:rPr>
                <w:kern w:val="0"/>
                <w:sz w:val="28"/>
                <w:szCs w:val="28"/>
              </w:rPr>
              <w:t xml:space="preserve"> </w:t>
            </w:r>
            <w:r>
              <w:rPr>
                <w:rFonts w:hint="eastAsia" w:ascii="宋体" w:hAnsi="宋体"/>
                <w:kern w:val="0"/>
                <w:sz w:val="28"/>
                <w:szCs w:val="28"/>
              </w:rPr>
              <w:t>况</w:t>
            </w:r>
          </w:p>
        </w:tc>
      </w:tr>
      <w:tr>
        <w:tblPrEx>
          <w:tblCellMar>
            <w:top w:w="0" w:type="dxa"/>
            <w:left w:w="108" w:type="dxa"/>
            <w:bottom w:w="0" w:type="dxa"/>
            <w:right w:w="108" w:type="dxa"/>
          </w:tblCellMar>
        </w:tblPrEx>
        <w:trPr>
          <w:trHeight w:val="567" w:hRule="exact"/>
        </w:trPr>
        <w:tc>
          <w:tcPr>
            <w:tcW w:w="2088" w:type="dxa"/>
            <w:tcBorders>
              <w:top w:val="nil"/>
              <w:left w:val="single" w:color="auto" w:sz="4" w:space="0"/>
              <w:bottom w:val="single" w:color="auto" w:sz="4" w:space="0"/>
              <w:right w:val="single" w:color="auto" w:sz="4" w:space="0"/>
            </w:tcBorders>
            <w:noWrap w:val="0"/>
            <w:vAlign w:val="center"/>
          </w:tcPr>
          <w:p>
            <w:pPr>
              <w:widowControl/>
              <w:spacing w:line="440" w:lineRule="exact"/>
              <w:jc w:val="center"/>
              <w:rPr>
                <w:rFonts w:hint="eastAsia" w:ascii="宋体" w:hAnsi="宋体" w:cs="宋体"/>
                <w:spacing w:val="-20"/>
                <w:kern w:val="0"/>
                <w:sz w:val="28"/>
                <w:szCs w:val="28"/>
              </w:rPr>
            </w:pPr>
            <w:r>
              <w:rPr>
                <w:rFonts w:hint="eastAsia" w:ascii="宋体" w:hAnsi="宋体" w:cs="宋体"/>
                <w:spacing w:val="-20"/>
                <w:kern w:val="0"/>
                <w:sz w:val="28"/>
                <w:szCs w:val="28"/>
              </w:rPr>
              <w:t>用途</w:t>
            </w:r>
          </w:p>
        </w:tc>
        <w:tc>
          <w:tcPr>
            <w:tcW w:w="1924" w:type="dxa"/>
            <w:tcBorders>
              <w:top w:val="nil"/>
              <w:left w:val="nil"/>
              <w:bottom w:val="single" w:color="auto" w:sz="4" w:space="0"/>
              <w:right w:val="single" w:color="auto" w:sz="4" w:space="0"/>
            </w:tcBorders>
            <w:noWrap w:val="0"/>
            <w:vAlign w:val="center"/>
          </w:tcPr>
          <w:p>
            <w:pPr>
              <w:widowControl/>
              <w:spacing w:line="440" w:lineRule="exact"/>
              <w:rPr>
                <w:rFonts w:ascii="宋体" w:hAnsi="宋体" w:cs="宋体"/>
                <w:spacing w:val="-20"/>
                <w:kern w:val="0"/>
                <w:sz w:val="28"/>
                <w:szCs w:val="28"/>
              </w:rPr>
            </w:pPr>
            <w:r>
              <w:rPr>
                <w:rFonts w:hint="eastAsia" w:ascii="宋体" w:hAnsi="宋体" w:cs="宋体"/>
                <w:spacing w:val="-20"/>
                <w:kern w:val="0"/>
                <w:sz w:val="28"/>
                <w:szCs w:val="28"/>
              </w:rPr>
              <w:t>建筑面积（㎡）</w:t>
            </w:r>
          </w:p>
        </w:tc>
        <w:tc>
          <w:tcPr>
            <w:tcW w:w="1496" w:type="dxa"/>
            <w:gridSpan w:val="3"/>
            <w:tcBorders>
              <w:top w:val="nil"/>
              <w:left w:val="nil"/>
              <w:bottom w:val="single" w:color="auto" w:sz="4" w:space="0"/>
              <w:right w:val="single" w:color="auto" w:sz="4" w:space="0"/>
            </w:tcBorders>
            <w:noWrap w:val="0"/>
            <w:vAlign w:val="center"/>
          </w:tcPr>
          <w:p>
            <w:pPr>
              <w:widowControl/>
              <w:spacing w:line="440" w:lineRule="exact"/>
              <w:rPr>
                <w:rFonts w:ascii="宋体" w:hAnsi="宋体" w:cs="宋体"/>
                <w:spacing w:val="-20"/>
                <w:kern w:val="0"/>
                <w:sz w:val="28"/>
                <w:szCs w:val="28"/>
              </w:rPr>
            </w:pPr>
            <w:r>
              <w:rPr>
                <w:rFonts w:hint="eastAsia" w:ascii="宋体" w:hAnsi="宋体" w:cs="宋体"/>
                <w:spacing w:val="-20"/>
                <w:kern w:val="0"/>
                <w:sz w:val="28"/>
                <w:szCs w:val="28"/>
              </w:rPr>
              <w:t>房屋总层数</w:t>
            </w:r>
          </w:p>
        </w:tc>
        <w:tc>
          <w:tcPr>
            <w:tcW w:w="1474" w:type="dxa"/>
            <w:gridSpan w:val="5"/>
            <w:tcBorders>
              <w:top w:val="single" w:color="auto" w:sz="4" w:space="0"/>
              <w:left w:val="nil"/>
              <w:bottom w:val="single" w:color="auto" w:sz="4" w:space="0"/>
              <w:right w:val="single" w:color="auto" w:sz="4" w:space="0"/>
            </w:tcBorders>
            <w:noWrap w:val="0"/>
            <w:vAlign w:val="center"/>
          </w:tcPr>
          <w:p>
            <w:pPr>
              <w:widowControl/>
              <w:spacing w:line="440" w:lineRule="exact"/>
              <w:jc w:val="center"/>
              <w:rPr>
                <w:rFonts w:ascii="宋体" w:hAnsi="宋体" w:cs="宋体"/>
                <w:spacing w:val="-20"/>
                <w:kern w:val="0"/>
                <w:sz w:val="28"/>
                <w:szCs w:val="28"/>
              </w:rPr>
            </w:pPr>
            <w:r>
              <w:rPr>
                <w:rFonts w:hint="eastAsia" w:ascii="宋体" w:hAnsi="宋体" w:cs="宋体"/>
                <w:spacing w:val="-20"/>
                <w:kern w:val="0"/>
                <w:sz w:val="28"/>
                <w:szCs w:val="28"/>
              </w:rPr>
              <w:t>所在层数</w:t>
            </w:r>
          </w:p>
        </w:tc>
        <w:tc>
          <w:tcPr>
            <w:tcW w:w="1356" w:type="dxa"/>
            <w:gridSpan w:val="3"/>
            <w:tcBorders>
              <w:top w:val="single" w:color="auto" w:sz="4" w:space="0"/>
              <w:left w:val="nil"/>
              <w:bottom w:val="single" w:color="auto" w:sz="4" w:space="0"/>
              <w:right w:val="single" w:color="auto" w:sz="4" w:space="0"/>
            </w:tcBorders>
            <w:noWrap w:val="0"/>
            <w:vAlign w:val="center"/>
          </w:tcPr>
          <w:p>
            <w:pPr>
              <w:widowControl/>
              <w:spacing w:line="440" w:lineRule="exact"/>
              <w:jc w:val="center"/>
              <w:rPr>
                <w:rFonts w:ascii="宋体" w:hAnsi="宋体" w:cs="宋体"/>
                <w:spacing w:val="-20"/>
                <w:kern w:val="0"/>
                <w:sz w:val="28"/>
                <w:szCs w:val="28"/>
              </w:rPr>
            </w:pPr>
            <w:r>
              <w:rPr>
                <w:rFonts w:hint="eastAsia" w:ascii="宋体" w:hAnsi="宋体" w:cs="宋体"/>
                <w:spacing w:val="-20"/>
                <w:kern w:val="0"/>
                <w:sz w:val="28"/>
                <w:szCs w:val="28"/>
              </w:rPr>
              <w:t>建筑结构</w:t>
            </w:r>
          </w:p>
        </w:tc>
        <w:tc>
          <w:tcPr>
            <w:tcW w:w="1670" w:type="dxa"/>
            <w:gridSpan w:val="2"/>
            <w:tcBorders>
              <w:top w:val="nil"/>
              <w:left w:val="nil"/>
              <w:bottom w:val="single" w:color="auto" w:sz="4" w:space="0"/>
              <w:right w:val="single" w:color="auto" w:sz="4" w:space="0"/>
            </w:tcBorders>
            <w:noWrap w:val="0"/>
            <w:vAlign w:val="center"/>
          </w:tcPr>
          <w:p>
            <w:pPr>
              <w:widowControl/>
              <w:spacing w:line="440" w:lineRule="exact"/>
              <w:jc w:val="center"/>
              <w:rPr>
                <w:rFonts w:hint="eastAsia" w:ascii="宋体" w:hAnsi="宋体" w:eastAsia="宋体" w:cs="宋体"/>
                <w:spacing w:val="-20"/>
                <w:kern w:val="0"/>
                <w:sz w:val="28"/>
                <w:szCs w:val="28"/>
                <w:lang w:eastAsia="zh-CN"/>
              </w:rPr>
            </w:pPr>
            <w:r>
              <w:rPr>
                <w:rFonts w:hint="eastAsia" w:ascii="宋体" w:hAnsi="宋体" w:cs="宋体"/>
                <w:spacing w:val="-20"/>
                <w:kern w:val="0"/>
                <w:sz w:val="28"/>
                <w:szCs w:val="28"/>
                <w:lang w:eastAsia="zh-CN"/>
              </w:rPr>
              <w:t>备注</w:t>
            </w:r>
          </w:p>
        </w:tc>
      </w:tr>
      <w:tr>
        <w:tblPrEx>
          <w:tblCellMar>
            <w:top w:w="0" w:type="dxa"/>
            <w:left w:w="108" w:type="dxa"/>
            <w:bottom w:w="0" w:type="dxa"/>
            <w:right w:w="108" w:type="dxa"/>
          </w:tblCellMar>
        </w:tblPrEx>
        <w:trPr>
          <w:trHeight w:val="632" w:hRule="exact"/>
        </w:trPr>
        <w:tc>
          <w:tcPr>
            <w:tcW w:w="2088" w:type="dxa"/>
            <w:tcBorders>
              <w:top w:val="nil"/>
              <w:left w:val="single" w:color="auto" w:sz="4" w:space="0"/>
              <w:bottom w:val="single" w:color="auto" w:sz="4" w:space="0"/>
              <w:right w:val="single" w:color="auto" w:sz="4" w:space="0"/>
            </w:tcBorders>
            <w:noWrap w:val="0"/>
            <w:vAlign w:val="top"/>
          </w:tcPr>
          <w:p>
            <w:pPr>
              <w:spacing w:line="520" w:lineRule="exact"/>
              <w:jc w:val="center"/>
              <w:rPr>
                <w:rFonts w:hint="eastAsia" w:ascii="宋体" w:hAnsi="宋体" w:cs="宋体"/>
                <w:spacing w:val="-20"/>
                <w:kern w:val="0"/>
                <w:sz w:val="28"/>
                <w:szCs w:val="28"/>
                <w:lang w:val="en-US" w:eastAsia="zh-CN" w:bidi="ar-SA"/>
              </w:rPr>
            </w:pPr>
            <w:r>
              <w:rPr>
                <w:rFonts w:hint="eastAsia" w:ascii="宋体" w:hAnsi="宋体" w:cs="宋体"/>
                <w:spacing w:val="-20"/>
                <w:kern w:val="0"/>
                <w:sz w:val="28"/>
                <w:szCs w:val="28"/>
                <w:lang w:val="en-US" w:eastAsia="zh-CN" w:bidi="ar-SA"/>
              </w:rPr>
              <w:t>住宅</w:t>
            </w:r>
          </w:p>
        </w:tc>
        <w:tc>
          <w:tcPr>
            <w:tcW w:w="1924" w:type="dxa"/>
            <w:tcBorders>
              <w:top w:val="nil"/>
              <w:left w:val="nil"/>
              <w:bottom w:val="single" w:color="auto" w:sz="4" w:space="0"/>
              <w:right w:val="single" w:color="auto" w:sz="4" w:space="0"/>
            </w:tcBorders>
            <w:noWrap w:val="0"/>
            <w:vAlign w:val="top"/>
          </w:tcPr>
          <w:p>
            <w:pPr>
              <w:spacing w:line="520" w:lineRule="exact"/>
              <w:jc w:val="center"/>
              <w:rPr>
                <w:rFonts w:hint="default" w:ascii="宋体" w:hAnsi="宋体" w:cs="宋体"/>
                <w:spacing w:val="-20"/>
                <w:kern w:val="0"/>
                <w:sz w:val="28"/>
                <w:szCs w:val="28"/>
                <w:lang w:val="en-US" w:eastAsia="zh-CN" w:bidi="ar-SA"/>
              </w:rPr>
            </w:pPr>
            <w:r>
              <w:rPr>
                <w:rFonts w:hint="eastAsia" w:ascii="宋体" w:hAnsi="宋体" w:cs="宋体"/>
                <w:spacing w:val="-20"/>
                <w:kern w:val="0"/>
                <w:sz w:val="28"/>
                <w:szCs w:val="28"/>
                <w:lang w:val="en-US" w:eastAsia="zh-CN" w:bidi="ar-SA"/>
              </w:rPr>
              <w:t>83.43</w:t>
            </w:r>
          </w:p>
        </w:tc>
        <w:tc>
          <w:tcPr>
            <w:tcW w:w="1496" w:type="dxa"/>
            <w:gridSpan w:val="3"/>
            <w:tcBorders>
              <w:top w:val="nil"/>
              <w:left w:val="nil"/>
              <w:bottom w:val="single" w:color="auto" w:sz="4" w:space="0"/>
              <w:right w:val="single" w:color="auto" w:sz="4" w:space="0"/>
            </w:tcBorders>
            <w:noWrap w:val="0"/>
            <w:vAlign w:val="top"/>
          </w:tcPr>
          <w:p>
            <w:pPr>
              <w:spacing w:line="520" w:lineRule="exact"/>
              <w:jc w:val="center"/>
              <w:rPr>
                <w:rFonts w:hint="eastAsia" w:ascii="宋体" w:hAnsi="宋体" w:cs="宋体"/>
                <w:spacing w:val="-20"/>
                <w:kern w:val="0"/>
                <w:sz w:val="28"/>
                <w:szCs w:val="28"/>
                <w:lang w:val="en-US" w:eastAsia="zh-CN" w:bidi="ar-SA"/>
              </w:rPr>
            </w:pPr>
            <w:r>
              <w:rPr>
                <w:rFonts w:hint="eastAsia" w:ascii="宋体" w:hAnsi="宋体" w:cs="宋体"/>
                <w:spacing w:val="-20"/>
                <w:kern w:val="0"/>
                <w:sz w:val="28"/>
                <w:szCs w:val="28"/>
                <w:lang w:val="en-US" w:eastAsia="zh-CN" w:bidi="ar-SA"/>
              </w:rPr>
              <w:t>六</w:t>
            </w:r>
          </w:p>
        </w:tc>
        <w:tc>
          <w:tcPr>
            <w:tcW w:w="1474" w:type="dxa"/>
            <w:gridSpan w:val="5"/>
            <w:tcBorders>
              <w:top w:val="single" w:color="auto" w:sz="4" w:space="0"/>
              <w:left w:val="nil"/>
              <w:bottom w:val="single" w:color="auto" w:sz="4" w:space="0"/>
              <w:right w:val="single" w:color="auto" w:sz="4" w:space="0"/>
            </w:tcBorders>
            <w:noWrap w:val="0"/>
            <w:vAlign w:val="top"/>
          </w:tcPr>
          <w:p>
            <w:pPr>
              <w:spacing w:line="520" w:lineRule="exact"/>
              <w:jc w:val="center"/>
              <w:rPr>
                <w:rFonts w:hint="eastAsia" w:ascii="宋体" w:hAnsi="宋体" w:cs="宋体"/>
                <w:spacing w:val="-20"/>
                <w:kern w:val="0"/>
                <w:sz w:val="28"/>
                <w:szCs w:val="28"/>
                <w:lang w:val="en-US" w:eastAsia="zh-CN" w:bidi="ar-SA"/>
              </w:rPr>
            </w:pPr>
            <w:r>
              <w:rPr>
                <w:rFonts w:hint="eastAsia" w:ascii="宋体" w:hAnsi="宋体" w:cs="宋体"/>
                <w:spacing w:val="-20"/>
                <w:kern w:val="0"/>
                <w:sz w:val="28"/>
                <w:szCs w:val="28"/>
                <w:lang w:val="en-US" w:eastAsia="zh-CN" w:bidi="ar-SA"/>
              </w:rPr>
              <w:t>五</w:t>
            </w:r>
          </w:p>
        </w:tc>
        <w:tc>
          <w:tcPr>
            <w:tcW w:w="1356" w:type="dxa"/>
            <w:gridSpan w:val="3"/>
            <w:tcBorders>
              <w:top w:val="single" w:color="auto" w:sz="4" w:space="0"/>
              <w:left w:val="nil"/>
              <w:bottom w:val="single" w:color="auto" w:sz="4" w:space="0"/>
              <w:right w:val="single" w:color="auto" w:sz="4" w:space="0"/>
            </w:tcBorders>
            <w:noWrap w:val="0"/>
            <w:vAlign w:val="top"/>
          </w:tcPr>
          <w:p>
            <w:pPr>
              <w:spacing w:line="520" w:lineRule="exact"/>
              <w:jc w:val="center"/>
              <w:rPr>
                <w:rFonts w:hint="eastAsia" w:ascii="宋体" w:hAnsi="宋体" w:cs="宋体"/>
                <w:spacing w:val="-20"/>
                <w:kern w:val="0"/>
                <w:sz w:val="28"/>
                <w:szCs w:val="28"/>
                <w:lang w:val="en-US" w:eastAsia="zh-CN" w:bidi="ar-SA"/>
              </w:rPr>
            </w:pPr>
            <w:r>
              <w:rPr>
                <w:rFonts w:hint="eastAsia" w:ascii="宋体" w:hAnsi="宋体" w:cs="宋体"/>
                <w:spacing w:val="-20"/>
                <w:kern w:val="0"/>
                <w:sz w:val="28"/>
                <w:szCs w:val="28"/>
                <w:lang w:val="en-US" w:eastAsia="zh-CN" w:bidi="ar-SA"/>
              </w:rPr>
              <w:t>砖混</w:t>
            </w:r>
          </w:p>
        </w:tc>
        <w:tc>
          <w:tcPr>
            <w:tcW w:w="1670" w:type="dxa"/>
            <w:gridSpan w:val="2"/>
            <w:tcBorders>
              <w:top w:val="nil"/>
              <w:left w:val="nil"/>
              <w:bottom w:val="single" w:color="auto" w:sz="4" w:space="0"/>
              <w:right w:val="single" w:color="auto" w:sz="4" w:space="0"/>
            </w:tcBorders>
            <w:noWrap w:val="0"/>
            <w:vAlign w:val="top"/>
          </w:tcPr>
          <w:p>
            <w:pPr>
              <w:spacing w:line="520" w:lineRule="exact"/>
              <w:jc w:val="center"/>
              <w:rPr>
                <w:rFonts w:hint="eastAsia" w:ascii="宋体" w:hAnsi="宋体" w:cs="宋体"/>
                <w:spacing w:val="-20"/>
                <w:kern w:val="0"/>
                <w:sz w:val="28"/>
                <w:szCs w:val="28"/>
                <w:lang w:val="en-US" w:eastAsia="zh-CN" w:bidi="ar-SA"/>
              </w:rPr>
            </w:pPr>
          </w:p>
        </w:tc>
      </w:tr>
      <w:tr>
        <w:tblPrEx>
          <w:tblCellMar>
            <w:top w:w="0" w:type="dxa"/>
            <w:left w:w="108" w:type="dxa"/>
            <w:bottom w:w="0" w:type="dxa"/>
            <w:right w:w="108" w:type="dxa"/>
          </w:tblCellMar>
        </w:tblPrEx>
        <w:trPr>
          <w:trHeight w:val="607" w:hRule="exact"/>
        </w:trPr>
        <w:tc>
          <w:tcPr>
            <w:tcW w:w="2088" w:type="dxa"/>
            <w:tcBorders>
              <w:top w:val="nil"/>
              <w:left w:val="single" w:color="auto" w:sz="4" w:space="0"/>
              <w:bottom w:val="single" w:color="auto" w:sz="4" w:space="0"/>
              <w:right w:val="single" w:color="auto" w:sz="4" w:space="0"/>
            </w:tcBorders>
            <w:noWrap w:val="0"/>
            <w:vAlign w:val="top"/>
          </w:tcPr>
          <w:p>
            <w:pPr>
              <w:spacing w:line="520" w:lineRule="exact"/>
              <w:jc w:val="center"/>
              <w:rPr>
                <w:rFonts w:hint="eastAsia" w:ascii="宋体" w:hAnsi="宋体" w:cs="宋体"/>
                <w:spacing w:val="-20"/>
                <w:kern w:val="0"/>
                <w:sz w:val="28"/>
                <w:szCs w:val="28"/>
                <w:lang w:val="en-US" w:eastAsia="zh-CN" w:bidi="ar-SA"/>
              </w:rPr>
            </w:pPr>
          </w:p>
        </w:tc>
        <w:tc>
          <w:tcPr>
            <w:tcW w:w="1924" w:type="dxa"/>
            <w:tcBorders>
              <w:top w:val="nil"/>
              <w:left w:val="nil"/>
              <w:bottom w:val="single" w:color="auto" w:sz="4" w:space="0"/>
              <w:right w:val="single" w:color="auto" w:sz="4" w:space="0"/>
            </w:tcBorders>
            <w:noWrap w:val="0"/>
            <w:vAlign w:val="top"/>
          </w:tcPr>
          <w:p>
            <w:pPr>
              <w:spacing w:line="520" w:lineRule="exact"/>
              <w:jc w:val="center"/>
              <w:rPr>
                <w:rFonts w:hint="eastAsia" w:ascii="宋体" w:hAnsi="宋体" w:cs="宋体"/>
                <w:spacing w:val="-20"/>
                <w:kern w:val="0"/>
                <w:sz w:val="28"/>
                <w:szCs w:val="28"/>
                <w:lang w:val="en-US" w:eastAsia="zh-CN" w:bidi="ar-SA"/>
              </w:rPr>
            </w:pPr>
          </w:p>
        </w:tc>
        <w:tc>
          <w:tcPr>
            <w:tcW w:w="1496" w:type="dxa"/>
            <w:gridSpan w:val="3"/>
            <w:tcBorders>
              <w:top w:val="nil"/>
              <w:left w:val="nil"/>
              <w:bottom w:val="single" w:color="auto" w:sz="4" w:space="0"/>
              <w:right w:val="single" w:color="auto" w:sz="4" w:space="0"/>
            </w:tcBorders>
            <w:noWrap w:val="0"/>
            <w:vAlign w:val="top"/>
          </w:tcPr>
          <w:p>
            <w:pPr>
              <w:spacing w:line="520" w:lineRule="exact"/>
              <w:jc w:val="center"/>
              <w:rPr>
                <w:rFonts w:hint="eastAsia" w:ascii="宋体" w:hAnsi="宋体" w:cs="宋体"/>
                <w:spacing w:val="-20"/>
                <w:kern w:val="0"/>
                <w:sz w:val="28"/>
                <w:szCs w:val="28"/>
                <w:lang w:val="en-US" w:eastAsia="zh-CN" w:bidi="ar-SA"/>
              </w:rPr>
            </w:pPr>
          </w:p>
        </w:tc>
        <w:tc>
          <w:tcPr>
            <w:tcW w:w="1474" w:type="dxa"/>
            <w:gridSpan w:val="5"/>
            <w:tcBorders>
              <w:top w:val="single" w:color="auto" w:sz="4" w:space="0"/>
              <w:left w:val="nil"/>
              <w:bottom w:val="single" w:color="auto" w:sz="4" w:space="0"/>
              <w:right w:val="single" w:color="auto" w:sz="4" w:space="0"/>
            </w:tcBorders>
            <w:noWrap w:val="0"/>
            <w:vAlign w:val="top"/>
          </w:tcPr>
          <w:p>
            <w:pPr>
              <w:spacing w:line="520" w:lineRule="exact"/>
              <w:jc w:val="center"/>
              <w:rPr>
                <w:rFonts w:hint="eastAsia" w:ascii="宋体" w:hAnsi="宋体" w:cs="宋体"/>
                <w:spacing w:val="-20"/>
                <w:kern w:val="0"/>
                <w:sz w:val="28"/>
                <w:szCs w:val="28"/>
                <w:lang w:val="en-US" w:eastAsia="zh-CN" w:bidi="ar-SA"/>
              </w:rPr>
            </w:pPr>
          </w:p>
        </w:tc>
        <w:tc>
          <w:tcPr>
            <w:tcW w:w="1356" w:type="dxa"/>
            <w:gridSpan w:val="3"/>
            <w:tcBorders>
              <w:top w:val="single" w:color="auto" w:sz="4" w:space="0"/>
              <w:left w:val="nil"/>
              <w:bottom w:val="single" w:color="auto" w:sz="4" w:space="0"/>
              <w:right w:val="single" w:color="auto" w:sz="4" w:space="0"/>
            </w:tcBorders>
            <w:noWrap w:val="0"/>
            <w:vAlign w:val="top"/>
          </w:tcPr>
          <w:p>
            <w:pPr>
              <w:spacing w:line="520" w:lineRule="exact"/>
              <w:jc w:val="center"/>
              <w:rPr>
                <w:rFonts w:hint="eastAsia" w:ascii="宋体" w:hAnsi="宋体" w:cs="宋体"/>
                <w:spacing w:val="-20"/>
                <w:kern w:val="0"/>
                <w:sz w:val="28"/>
                <w:szCs w:val="28"/>
                <w:lang w:val="en-US" w:eastAsia="zh-CN" w:bidi="ar-SA"/>
              </w:rPr>
            </w:pPr>
          </w:p>
        </w:tc>
        <w:tc>
          <w:tcPr>
            <w:tcW w:w="1670" w:type="dxa"/>
            <w:gridSpan w:val="2"/>
            <w:tcBorders>
              <w:top w:val="nil"/>
              <w:left w:val="nil"/>
              <w:bottom w:val="single" w:color="auto" w:sz="4" w:space="0"/>
              <w:right w:val="single" w:color="auto" w:sz="4" w:space="0"/>
            </w:tcBorders>
            <w:noWrap w:val="0"/>
            <w:vAlign w:val="top"/>
          </w:tcPr>
          <w:p>
            <w:pPr>
              <w:spacing w:line="520" w:lineRule="exact"/>
              <w:jc w:val="center"/>
              <w:rPr>
                <w:rFonts w:hint="eastAsia" w:ascii="宋体" w:hAnsi="宋体" w:cs="宋体"/>
                <w:spacing w:val="-20"/>
                <w:kern w:val="0"/>
                <w:sz w:val="28"/>
                <w:szCs w:val="28"/>
                <w:lang w:val="en-US" w:eastAsia="zh-CN" w:bidi="ar-SA"/>
              </w:rPr>
            </w:pPr>
          </w:p>
        </w:tc>
      </w:tr>
      <w:tr>
        <w:tblPrEx>
          <w:tblCellMar>
            <w:top w:w="0" w:type="dxa"/>
            <w:left w:w="108" w:type="dxa"/>
            <w:bottom w:w="0" w:type="dxa"/>
            <w:right w:w="108" w:type="dxa"/>
          </w:tblCellMar>
        </w:tblPrEx>
        <w:trPr>
          <w:trHeight w:val="587" w:hRule="exact"/>
        </w:trPr>
        <w:tc>
          <w:tcPr>
            <w:tcW w:w="2088" w:type="dxa"/>
            <w:tcBorders>
              <w:top w:val="nil"/>
              <w:left w:val="single" w:color="auto" w:sz="4" w:space="0"/>
              <w:bottom w:val="single" w:color="auto" w:sz="4" w:space="0"/>
              <w:right w:val="single" w:color="auto" w:sz="4" w:space="0"/>
            </w:tcBorders>
            <w:noWrap w:val="0"/>
            <w:vAlign w:val="top"/>
          </w:tcPr>
          <w:p>
            <w:pPr>
              <w:spacing w:line="520" w:lineRule="exact"/>
              <w:jc w:val="center"/>
              <w:rPr>
                <w:rFonts w:hint="eastAsia" w:ascii="宋体" w:hAnsi="宋体" w:cs="宋体"/>
                <w:spacing w:val="-20"/>
                <w:kern w:val="0"/>
                <w:sz w:val="28"/>
                <w:szCs w:val="28"/>
                <w:lang w:val="en-US" w:eastAsia="zh-CN" w:bidi="ar-SA"/>
              </w:rPr>
            </w:pPr>
          </w:p>
        </w:tc>
        <w:tc>
          <w:tcPr>
            <w:tcW w:w="1924" w:type="dxa"/>
            <w:tcBorders>
              <w:top w:val="nil"/>
              <w:left w:val="nil"/>
              <w:bottom w:val="single" w:color="auto" w:sz="4" w:space="0"/>
              <w:right w:val="single" w:color="auto" w:sz="4" w:space="0"/>
            </w:tcBorders>
            <w:noWrap w:val="0"/>
            <w:vAlign w:val="top"/>
          </w:tcPr>
          <w:p>
            <w:pPr>
              <w:spacing w:line="520" w:lineRule="exact"/>
              <w:jc w:val="center"/>
              <w:rPr>
                <w:rFonts w:hint="eastAsia" w:ascii="宋体" w:hAnsi="宋体" w:cs="宋体"/>
                <w:spacing w:val="-20"/>
                <w:kern w:val="0"/>
                <w:sz w:val="28"/>
                <w:szCs w:val="28"/>
                <w:lang w:val="en-US" w:eastAsia="zh-CN" w:bidi="ar-SA"/>
              </w:rPr>
            </w:pPr>
          </w:p>
        </w:tc>
        <w:tc>
          <w:tcPr>
            <w:tcW w:w="1496" w:type="dxa"/>
            <w:gridSpan w:val="3"/>
            <w:tcBorders>
              <w:top w:val="nil"/>
              <w:left w:val="nil"/>
              <w:bottom w:val="single" w:color="auto" w:sz="4" w:space="0"/>
              <w:right w:val="single" w:color="auto" w:sz="4" w:space="0"/>
            </w:tcBorders>
            <w:noWrap w:val="0"/>
            <w:vAlign w:val="top"/>
          </w:tcPr>
          <w:p>
            <w:pPr>
              <w:spacing w:line="520" w:lineRule="exact"/>
              <w:jc w:val="center"/>
              <w:rPr>
                <w:rFonts w:hint="eastAsia" w:ascii="宋体" w:hAnsi="宋体" w:cs="宋体"/>
                <w:spacing w:val="-20"/>
                <w:kern w:val="0"/>
                <w:sz w:val="28"/>
                <w:szCs w:val="28"/>
                <w:lang w:val="en-US" w:eastAsia="zh-CN" w:bidi="ar-SA"/>
              </w:rPr>
            </w:pPr>
          </w:p>
        </w:tc>
        <w:tc>
          <w:tcPr>
            <w:tcW w:w="1474" w:type="dxa"/>
            <w:gridSpan w:val="5"/>
            <w:tcBorders>
              <w:top w:val="single" w:color="auto" w:sz="4" w:space="0"/>
              <w:left w:val="nil"/>
              <w:bottom w:val="single" w:color="auto" w:sz="4" w:space="0"/>
              <w:right w:val="single" w:color="auto" w:sz="4" w:space="0"/>
            </w:tcBorders>
            <w:noWrap w:val="0"/>
            <w:vAlign w:val="top"/>
          </w:tcPr>
          <w:p>
            <w:pPr>
              <w:spacing w:line="520" w:lineRule="exact"/>
              <w:jc w:val="center"/>
              <w:rPr>
                <w:rFonts w:hint="eastAsia" w:ascii="宋体" w:hAnsi="宋体" w:cs="宋体"/>
                <w:spacing w:val="-20"/>
                <w:kern w:val="0"/>
                <w:sz w:val="28"/>
                <w:szCs w:val="28"/>
                <w:lang w:val="en-US" w:eastAsia="zh-CN" w:bidi="ar-SA"/>
              </w:rPr>
            </w:pPr>
          </w:p>
        </w:tc>
        <w:tc>
          <w:tcPr>
            <w:tcW w:w="1356" w:type="dxa"/>
            <w:gridSpan w:val="3"/>
            <w:tcBorders>
              <w:top w:val="single" w:color="auto" w:sz="4" w:space="0"/>
              <w:left w:val="nil"/>
              <w:bottom w:val="single" w:color="auto" w:sz="4" w:space="0"/>
              <w:right w:val="single" w:color="auto" w:sz="4" w:space="0"/>
            </w:tcBorders>
            <w:noWrap w:val="0"/>
            <w:vAlign w:val="top"/>
          </w:tcPr>
          <w:p>
            <w:pPr>
              <w:spacing w:line="520" w:lineRule="exact"/>
              <w:jc w:val="center"/>
              <w:rPr>
                <w:rFonts w:hint="eastAsia" w:ascii="宋体" w:hAnsi="宋体" w:cs="宋体"/>
                <w:spacing w:val="-20"/>
                <w:kern w:val="0"/>
                <w:sz w:val="28"/>
                <w:szCs w:val="28"/>
                <w:lang w:val="en-US" w:eastAsia="zh-CN" w:bidi="ar-SA"/>
              </w:rPr>
            </w:pPr>
          </w:p>
        </w:tc>
        <w:tc>
          <w:tcPr>
            <w:tcW w:w="1670" w:type="dxa"/>
            <w:gridSpan w:val="2"/>
            <w:tcBorders>
              <w:top w:val="nil"/>
              <w:left w:val="nil"/>
              <w:bottom w:val="single" w:color="auto" w:sz="4" w:space="0"/>
              <w:right w:val="single" w:color="auto" w:sz="4" w:space="0"/>
            </w:tcBorders>
            <w:noWrap w:val="0"/>
            <w:vAlign w:val="top"/>
          </w:tcPr>
          <w:p>
            <w:pPr>
              <w:spacing w:line="520" w:lineRule="exact"/>
              <w:jc w:val="center"/>
              <w:rPr>
                <w:rFonts w:hint="eastAsia" w:ascii="宋体" w:hAnsi="宋体" w:cs="宋体"/>
                <w:spacing w:val="-20"/>
                <w:kern w:val="0"/>
                <w:sz w:val="28"/>
                <w:szCs w:val="28"/>
                <w:lang w:val="en-US" w:eastAsia="zh-CN" w:bidi="ar-SA"/>
              </w:rPr>
            </w:pPr>
          </w:p>
        </w:tc>
      </w:tr>
      <w:tr>
        <w:tblPrEx>
          <w:tblCellMar>
            <w:top w:w="0" w:type="dxa"/>
            <w:left w:w="108" w:type="dxa"/>
            <w:bottom w:w="0" w:type="dxa"/>
            <w:right w:w="108" w:type="dxa"/>
          </w:tblCellMar>
        </w:tblPrEx>
        <w:trPr>
          <w:trHeight w:val="632" w:hRule="exact"/>
        </w:trPr>
        <w:tc>
          <w:tcPr>
            <w:tcW w:w="2088" w:type="dxa"/>
            <w:tcBorders>
              <w:top w:val="nil"/>
              <w:left w:val="single" w:color="auto" w:sz="4" w:space="0"/>
              <w:bottom w:val="single" w:color="auto" w:sz="4" w:space="0"/>
              <w:right w:val="single" w:color="auto" w:sz="4" w:space="0"/>
            </w:tcBorders>
            <w:noWrap w:val="0"/>
            <w:vAlign w:val="top"/>
          </w:tcPr>
          <w:p>
            <w:pPr>
              <w:spacing w:line="520" w:lineRule="exact"/>
              <w:jc w:val="center"/>
              <w:rPr>
                <w:rFonts w:hint="eastAsia" w:ascii="宋体" w:hAnsi="宋体" w:cs="宋体"/>
                <w:spacing w:val="-20"/>
                <w:kern w:val="0"/>
                <w:sz w:val="28"/>
                <w:szCs w:val="28"/>
                <w:lang w:val="en-US" w:eastAsia="zh-CN"/>
              </w:rPr>
            </w:pPr>
          </w:p>
        </w:tc>
        <w:tc>
          <w:tcPr>
            <w:tcW w:w="1924" w:type="dxa"/>
            <w:tcBorders>
              <w:top w:val="nil"/>
              <w:left w:val="nil"/>
              <w:bottom w:val="single" w:color="auto" w:sz="4" w:space="0"/>
              <w:right w:val="single" w:color="auto" w:sz="4" w:space="0"/>
            </w:tcBorders>
            <w:noWrap w:val="0"/>
            <w:vAlign w:val="top"/>
          </w:tcPr>
          <w:p>
            <w:pPr>
              <w:spacing w:line="520" w:lineRule="exact"/>
              <w:jc w:val="center"/>
              <w:rPr>
                <w:rFonts w:hint="eastAsia" w:ascii="宋体" w:hAnsi="宋体" w:cs="宋体"/>
                <w:spacing w:val="-20"/>
                <w:kern w:val="0"/>
                <w:sz w:val="28"/>
                <w:szCs w:val="28"/>
                <w:lang w:val="en-US" w:eastAsia="zh-CN"/>
              </w:rPr>
            </w:pPr>
          </w:p>
        </w:tc>
        <w:tc>
          <w:tcPr>
            <w:tcW w:w="1496" w:type="dxa"/>
            <w:gridSpan w:val="3"/>
            <w:tcBorders>
              <w:top w:val="nil"/>
              <w:left w:val="nil"/>
              <w:bottom w:val="single" w:color="auto" w:sz="4" w:space="0"/>
              <w:right w:val="single" w:color="auto" w:sz="4" w:space="0"/>
            </w:tcBorders>
            <w:noWrap w:val="0"/>
            <w:vAlign w:val="top"/>
          </w:tcPr>
          <w:p>
            <w:pPr>
              <w:spacing w:line="520" w:lineRule="exact"/>
              <w:jc w:val="center"/>
              <w:rPr>
                <w:rFonts w:hint="eastAsia" w:ascii="宋体" w:hAnsi="宋体" w:cs="宋体"/>
                <w:spacing w:val="-20"/>
                <w:kern w:val="0"/>
                <w:sz w:val="28"/>
                <w:szCs w:val="28"/>
                <w:lang w:val="en-US" w:eastAsia="zh-CN"/>
              </w:rPr>
            </w:pPr>
          </w:p>
        </w:tc>
        <w:tc>
          <w:tcPr>
            <w:tcW w:w="1474" w:type="dxa"/>
            <w:gridSpan w:val="5"/>
            <w:tcBorders>
              <w:top w:val="single" w:color="auto" w:sz="4" w:space="0"/>
              <w:left w:val="nil"/>
              <w:bottom w:val="single" w:color="auto" w:sz="4" w:space="0"/>
              <w:right w:val="single" w:color="auto" w:sz="4" w:space="0"/>
            </w:tcBorders>
            <w:noWrap w:val="0"/>
            <w:vAlign w:val="top"/>
          </w:tcPr>
          <w:p>
            <w:pPr>
              <w:spacing w:line="520" w:lineRule="exact"/>
              <w:jc w:val="center"/>
              <w:rPr>
                <w:rFonts w:hint="eastAsia" w:ascii="宋体" w:hAnsi="宋体" w:cs="宋体"/>
                <w:spacing w:val="-20"/>
                <w:kern w:val="0"/>
                <w:sz w:val="28"/>
                <w:szCs w:val="28"/>
                <w:lang w:val="en-US" w:eastAsia="zh-CN"/>
              </w:rPr>
            </w:pPr>
          </w:p>
        </w:tc>
        <w:tc>
          <w:tcPr>
            <w:tcW w:w="1356" w:type="dxa"/>
            <w:gridSpan w:val="3"/>
            <w:tcBorders>
              <w:top w:val="single" w:color="auto" w:sz="4" w:space="0"/>
              <w:left w:val="nil"/>
              <w:bottom w:val="single" w:color="auto" w:sz="4" w:space="0"/>
              <w:right w:val="single" w:color="auto" w:sz="4" w:space="0"/>
            </w:tcBorders>
            <w:noWrap w:val="0"/>
            <w:vAlign w:val="top"/>
          </w:tcPr>
          <w:p>
            <w:pPr>
              <w:spacing w:line="520" w:lineRule="exact"/>
              <w:jc w:val="center"/>
              <w:rPr>
                <w:rFonts w:hint="eastAsia" w:ascii="宋体" w:hAnsi="宋体" w:cs="宋体"/>
                <w:spacing w:val="-20"/>
                <w:kern w:val="0"/>
                <w:sz w:val="28"/>
                <w:szCs w:val="28"/>
                <w:lang w:val="en-US" w:eastAsia="zh-CN"/>
              </w:rPr>
            </w:pPr>
          </w:p>
        </w:tc>
        <w:tc>
          <w:tcPr>
            <w:tcW w:w="1670" w:type="dxa"/>
            <w:gridSpan w:val="2"/>
            <w:tcBorders>
              <w:top w:val="nil"/>
              <w:left w:val="nil"/>
              <w:bottom w:val="single" w:color="auto" w:sz="4" w:space="0"/>
              <w:right w:val="single" w:color="auto" w:sz="4" w:space="0"/>
            </w:tcBorders>
            <w:noWrap w:val="0"/>
            <w:vAlign w:val="top"/>
          </w:tcPr>
          <w:p>
            <w:pPr>
              <w:spacing w:line="520" w:lineRule="exact"/>
              <w:jc w:val="center"/>
              <w:rPr>
                <w:rFonts w:hint="eastAsia" w:ascii="宋体" w:hAnsi="宋体" w:cs="宋体"/>
                <w:spacing w:val="-20"/>
                <w:kern w:val="0"/>
                <w:sz w:val="28"/>
                <w:szCs w:val="28"/>
                <w:lang w:val="en-US" w:eastAsia="zh-CN"/>
              </w:rPr>
            </w:pPr>
          </w:p>
        </w:tc>
      </w:tr>
      <w:tr>
        <w:tblPrEx>
          <w:tblCellMar>
            <w:top w:w="0" w:type="dxa"/>
            <w:left w:w="108" w:type="dxa"/>
            <w:bottom w:w="0" w:type="dxa"/>
            <w:right w:w="108" w:type="dxa"/>
          </w:tblCellMar>
        </w:tblPrEx>
        <w:trPr>
          <w:trHeight w:val="617" w:hRule="exact"/>
        </w:trPr>
        <w:tc>
          <w:tcPr>
            <w:tcW w:w="2088" w:type="dxa"/>
            <w:tcBorders>
              <w:top w:val="nil"/>
              <w:left w:val="single" w:color="auto" w:sz="4" w:space="0"/>
              <w:bottom w:val="single" w:color="auto" w:sz="4" w:space="0"/>
              <w:right w:val="single" w:color="auto" w:sz="4" w:space="0"/>
            </w:tcBorders>
            <w:noWrap w:val="0"/>
            <w:vAlign w:val="top"/>
          </w:tcPr>
          <w:p>
            <w:pPr>
              <w:spacing w:line="520" w:lineRule="exact"/>
              <w:jc w:val="center"/>
              <w:rPr>
                <w:rFonts w:hint="eastAsia" w:ascii="宋体" w:hAnsi="宋体" w:eastAsia="宋体" w:cs="宋体"/>
                <w:i w:val="0"/>
                <w:color w:val="000000"/>
                <w:kern w:val="0"/>
                <w:sz w:val="28"/>
                <w:szCs w:val="28"/>
                <w:u w:val="none"/>
                <w:lang w:val="en-US" w:eastAsia="zh-CN" w:bidi="ar"/>
              </w:rPr>
            </w:pPr>
          </w:p>
        </w:tc>
        <w:tc>
          <w:tcPr>
            <w:tcW w:w="1924" w:type="dxa"/>
            <w:tcBorders>
              <w:top w:val="nil"/>
              <w:left w:val="nil"/>
              <w:bottom w:val="single" w:color="auto" w:sz="4" w:space="0"/>
              <w:right w:val="single" w:color="auto" w:sz="4" w:space="0"/>
            </w:tcBorders>
            <w:noWrap w:val="0"/>
            <w:vAlign w:val="top"/>
          </w:tcPr>
          <w:p>
            <w:pPr>
              <w:spacing w:line="520" w:lineRule="exact"/>
              <w:jc w:val="center"/>
              <w:rPr>
                <w:rFonts w:hint="eastAsia" w:ascii="宋体" w:hAnsi="宋体" w:eastAsia="宋体" w:cs="宋体"/>
                <w:i w:val="0"/>
                <w:color w:val="000000"/>
                <w:kern w:val="0"/>
                <w:sz w:val="28"/>
                <w:szCs w:val="28"/>
                <w:u w:val="none"/>
                <w:lang w:val="en-US" w:eastAsia="zh-CN" w:bidi="ar"/>
              </w:rPr>
            </w:pPr>
          </w:p>
        </w:tc>
        <w:tc>
          <w:tcPr>
            <w:tcW w:w="1496" w:type="dxa"/>
            <w:gridSpan w:val="3"/>
            <w:tcBorders>
              <w:top w:val="nil"/>
              <w:left w:val="nil"/>
              <w:bottom w:val="single" w:color="auto" w:sz="4" w:space="0"/>
              <w:right w:val="single" w:color="auto" w:sz="4" w:space="0"/>
            </w:tcBorders>
            <w:noWrap w:val="0"/>
            <w:vAlign w:val="top"/>
          </w:tcPr>
          <w:p>
            <w:pPr>
              <w:spacing w:line="520" w:lineRule="exact"/>
              <w:jc w:val="center"/>
              <w:rPr>
                <w:rFonts w:hint="eastAsia" w:ascii="宋体" w:hAnsi="宋体" w:eastAsia="宋体" w:cs="宋体"/>
                <w:i w:val="0"/>
                <w:color w:val="000000"/>
                <w:kern w:val="0"/>
                <w:sz w:val="28"/>
                <w:szCs w:val="28"/>
                <w:u w:val="none"/>
                <w:lang w:val="en-US" w:eastAsia="zh-CN" w:bidi="ar"/>
              </w:rPr>
            </w:pPr>
          </w:p>
        </w:tc>
        <w:tc>
          <w:tcPr>
            <w:tcW w:w="1474" w:type="dxa"/>
            <w:gridSpan w:val="5"/>
            <w:tcBorders>
              <w:top w:val="single" w:color="auto" w:sz="4" w:space="0"/>
              <w:left w:val="nil"/>
              <w:bottom w:val="single" w:color="auto" w:sz="4" w:space="0"/>
              <w:right w:val="single" w:color="auto" w:sz="4" w:space="0"/>
            </w:tcBorders>
            <w:noWrap w:val="0"/>
            <w:vAlign w:val="top"/>
          </w:tcPr>
          <w:p>
            <w:pPr>
              <w:spacing w:line="520" w:lineRule="exact"/>
              <w:jc w:val="center"/>
              <w:rPr>
                <w:rFonts w:hint="eastAsia" w:ascii="宋体" w:hAnsi="宋体" w:eastAsia="宋体" w:cs="宋体"/>
                <w:i w:val="0"/>
                <w:color w:val="000000"/>
                <w:kern w:val="0"/>
                <w:sz w:val="28"/>
                <w:szCs w:val="28"/>
                <w:u w:val="none"/>
                <w:lang w:val="en-US" w:eastAsia="zh-CN" w:bidi="ar"/>
              </w:rPr>
            </w:pPr>
          </w:p>
        </w:tc>
        <w:tc>
          <w:tcPr>
            <w:tcW w:w="1356" w:type="dxa"/>
            <w:gridSpan w:val="3"/>
            <w:tcBorders>
              <w:top w:val="single" w:color="auto" w:sz="4" w:space="0"/>
              <w:left w:val="nil"/>
              <w:bottom w:val="single" w:color="auto" w:sz="4" w:space="0"/>
              <w:right w:val="single" w:color="auto" w:sz="4" w:space="0"/>
            </w:tcBorders>
            <w:noWrap w:val="0"/>
            <w:vAlign w:val="top"/>
          </w:tcPr>
          <w:p>
            <w:pPr>
              <w:spacing w:line="520" w:lineRule="exact"/>
              <w:jc w:val="center"/>
              <w:rPr>
                <w:rFonts w:hint="eastAsia" w:ascii="宋体" w:hAnsi="宋体" w:eastAsia="宋体" w:cs="宋体"/>
                <w:i w:val="0"/>
                <w:color w:val="000000"/>
                <w:kern w:val="0"/>
                <w:sz w:val="28"/>
                <w:szCs w:val="28"/>
                <w:u w:val="none"/>
                <w:lang w:val="en-US" w:eastAsia="zh-CN" w:bidi="ar"/>
              </w:rPr>
            </w:pPr>
          </w:p>
        </w:tc>
        <w:tc>
          <w:tcPr>
            <w:tcW w:w="1670" w:type="dxa"/>
            <w:gridSpan w:val="2"/>
            <w:tcBorders>
              <w:top w:val="nil"/>
              <w:left w:val="nil"/>
              <w:bottom w:val="single" w:color="auto" w:sz="4" w:space="0"/>
              <w:right w:val="single" w:color="auto" w:sz="4" w:space="0"/>
            </w:tcBorders>
            <w:noWrap w:val="0"/>
            <w:vAlign w:val="top"/>
          </w:tcPr>
          <w:p>
            <w:pPr>
              <w:spacing w:line="520" w:lineRule="exact"/>
              <w:jc w:val="center"/>
              <w:rPr>
                <w:rFonts w:hint="eastAsia" w:ascii="宋体" w:hAnsi="宋体" w:eastAsia="宋体" w:cs="宋体"/>
                <w:i w:val="0"/>
                <w:color w:val="000000"/>
                <w:kern w:val="0"/>
                <w:sz w:val="24"/>
                <w:szCs w:val="24"/>
                <w:u w:val="none"/>
                <w:lang w:val="en-US" w:eastAsia="zh-CN" w:bidi="ar"/>
              </w:rPr>
            </w:pPr>
          </w:p>
        </w:tc>
      </w:tr>
      <w:tr>
        <w:tblPrEx>
          <w:tblCellMar>
            <w:top w:w="0" w:type="dxa"/>
            <w:left w:w="108" w:type="dxa"/>
            <w:bottom w:w="0" w:type="dxa"/>
            <w:right w:w="108" w:type="dxa"/>
          </w:tblCellMar>
        </w:tblPrEx>
        <w:trPr>
          <w:trHeight w:val="617" w:hRule="exact"/>
        </w:trPr>
        <w:tc>
          <w:tcPr>
            <w:tcW w:w="2088" w:type="dxa"/>
            <w:tcBorders>
              <w:top w:val="nil"/>
              <w:left w:val="single" w:color="auto" w:sz="4" w:space="0"/>
              <w:bottom w:val="single" w:color="auto" w:sz="4" w:space="0"/>
              <w:right w:val="single" w:color="auto" w:sz="4" w:space="0"/>
            </w:tcBorders>
            <w:noWrap w:val="0"/>
            <w:vAlign w:val="top"/>
          </w:tcPr>
          <w:p>
            <w:pPr>
              <w:spacing w:line="520" w:lineRule="exact"/>
              <w:jc w:val="center"/>
              <w:rPr>
                <w:rFonts w:hint="eastAsia" w:ascii="宋体" w:hAnsi="宋体" w:eastAsia="宋体" w:cs="宋体"/>
                <w:i w:val="0"/>
                <w:color w:val="000000"/>
                <w:kern w:val="0"/>
                <w:sz w:val="28"/>
                <w:szCs w:val="28"/>
                <w:u w:val="none"/>
                <w:lang w:val="en-US" w:eastAsia="zh-CN" w:bidi="ar"/>
              </w:rPr>
            </w:pPr>
          </w:p>
        </w:tc>
        <w:tc>
          <w:tcPr>
            <w:tcW w:w="1924" w:type="dxa"/>
            <w:tcBorders>
              <w:top w:val="nil"/>
              <w:left w:val="nil"/>
              <w:bottom w:val="single" w:color="auto" w:sz="4" w:space="0"/>
              <w:right w:val="single" w:color="auto" w:sz="4" w:space="0"/>
            </w:tcBorders>
            <w:noWrap w:val="0"/>
            <w:vAlign w:val="top"/>
          </w:tcPr>
          <w:p>
            <w:pPr>
              <w:spacing w:line="520" w:lineRule="exact"/>
              <w:jc w:val="center"/>
              <w:rPr>
                <w:rFonts w:hint="eastAsia" w:ascii="宋体" w:hAnsi="宋体" w:eastAsia="宋体" w:cs="宋体"/>
                <w:i w:val="0"/>
                <w:color w:val="000000"/>
                <w:kern w:val="0"/>
                <w:sz w:val="28"/>
                <w:szCs w:val="28"/>
                <w:u w:val="none"/>
                <w:lang w:val="en-US" w:eastAsia="zh-CN" w:bidi="ar"/>
              </w:rPr>
            </w:pPr>
          </w:p>
        </w:tc>
        <w:tc>
          <w:tcPr>
            <w:tcW w:w="1496" w:type="dxa"/>
            <w:gridSpan w:val="3"/>
            <w:tcBorders>
              <w:top w:val="nil"/>
              <w:left w:val="nil"/>
              <w:bottom w:val="single" w:color="auto" w:sz="4" w:space="0"/>
              <w:right w:val="single" w:color="auto" w:sz="4" w:space="0"/>
            </w:tcBorders>
            <w:noWrap w:val="0"/>
            <w:vAlign w:val="top"/>
          </w:tcPr>
          <w:p>
            <w:pPr>
              <w:spacing w:line="520" w:lineRule="exact"/>
              <w:jc w:val="center"/>
              <w:rPr>
                <w:rFonts w:hint="eastAsia" w:ascii="宋体" w:hAnsi="宋体" w:eastAsia="宋体" w:cs="宋体"/>
                <w:i w:val="0"/>
                <w:color w:val="000000"/>
                <w:kern w:val="0"/>
                <w:sz w:val="28"/>
                <w:szCs w:val="28"/>
                <w:u w:val="none"/>
                <w:lang w:val="en-US" w:eastAsia="zh-CN" w:bidi="ar"/>
              </w:rPr>
            </w:pPr>
          </w:p>
        </w:tc>
        <w:tc>
          <w:tcPr>
            <w:tcW w:w="1474" w:type="dxa"/>
            <w:gridSpan w:val="5"/>
            <w:tcBorders>
              <w:top w:val="single" w:color="auto" w:sz="4" w:space="0"/>
              <w:left w:val="nil"/>
              <w:bottom w:val="single" w:color="auto" w:sz="4" w:space="0"/>
              <w:right w:val="single" w:color="auto" w:sz="4" w:space="0"/>
            </w:tcBorders>
            <w:noWrap w:val="0"/>
            <w:vAlign w:val="top"/>
          </w:tcPr>
          <w:p>
            <w:pPr>
              <w:spacing w:line="520" w:lineRule="exact"/>
              <w:jc w:val="center"/>
              <w:rPr>
                <w:rFonts w:hint="eastAsia" w:ascii="宋体" w:hAnsi="宋体" w:eastAsia="宋体" w:cs="宋体"/>
                <w:i w:val="0"/>
                <w:color w:val="000000"/>
                <w:kern w:val="0"/>
                <w:sz w:val="28"/>
                <w:szCs w:val="28"/>
                <w:u w:val="none"/>
                <w:lang w:val="en-US" w:eastAsia="zh-CN" w:bidi="ar"/>
              </w:rPr>
            </w:pPr>
          </w:p>
        </w:tc>
        <w:tc>
          <w:tcPr>
            <w:tcW w:w="1356" w:type="dxa"/>
            <w:gridSpan w:val="3"/>
            <w:tcBorders>
              <w:top w:val="single" w:color="auto" w:sz="4" w:space="0"/>
              <w:left w:val="nil"/>
              <w:bottom w:val="single" w:color="auto" w:sz="4" w:space="0"/>
              <w:right w:val="single" w:color="auto" w:sz="4" w:space="0"/>
            </w:tcBorders>
            <w:noWrap w:val="0"/>
            <w:vAlign w:val="top"/>
          </w:tcPr>
          <w:p>
            <w:pPr>
              <w:spacing w:line="520" w:lineRule="exact"/>
              <w:jc w:val="center"/>
              <w:rPr>
                <w:rFonts w:hint="eastAsia" w:ascii="宋体" w:hAnsi="宋体" w:eastAsia="宋体" w:cs="宋体"/>
                <w:i w:val="0"/>
                <w:color w:val="000000"/>
                <w:kern w:val="0"/>
                <w:sz w:val="28"/>
                <w:szCs w:val="28"/>
                <w:u w:val="none"/>
                <w:lang w:val="en-US" w:eastAsia="zh-CN" w:bidi="ar"/>
              </w:rPr>
            </w:pPr>
          </w:p>
        </w:tc>
        <w:tc>
          <w:tcPr>
            <w:tcW w:w="1670" w:type="dxa"/>
            <w:gridSpan w:val="2"/>
            <w:tcBorders>
              <w:top w:val="nil"/>
              <w:left w:val="nil"/>
              <w:bottom w:val="single" w:color="auto" w:sz="4" w:space="0"/>
              <w:right w:val="single" w:color="auto" w:sz="4" w:space="0"/>
            </w:tcBorders>
            <w:noWrap w:val="0"/>
            <w:vAlign w:val="top"/>
          </w:tcPr>
          <w:p>
            <w:pPr>
              <w:spacing w:line="520" w:lineRule="exact"/>
              <w:jc w:val="center"/>
              <w:rPr>
                <w:rFonts w:hint="eastAsia" w:ascii="宋体" w:hAnsi="宋体" w:eastAsia="宋体" w:cs="宋体"/>
                <w:i w:val="0"/>
                <w:color w:val="000000"/>
                <w:kern w:val="0"/>
                <w:sz w:val="24"/>
                <w:szCs w:val="24"/>
                <w:u w:val="none"/>
                <w:lang w:val="en-US" w:eastAsia="zh-CN" w:bidi="ar"/>
              </w:rPr>
            </w:pPr>
          </w:p>
        </w:tc>
      </w:tr>
      <w:tr>
        <w:tblPrEx>
          <w:tblCellMar>
            <w:top w:w="0" w:type="dxa"/>
            <w:left w:w="108" w:type="dxa"/>
            <w:bottom w:w="0" w:type="dxa"/>
            <w:right w:w="108" w:type="dxa"/>
          </w:tblCellMar>
        </w:tblPrEx>
        <w:trPr>
          <w:trHeight w:val="602" w:hRule="exact"/>
        </w:trPr>
        <w:tc>
          <w:tcPr>
            <w:tcW w:w="2088"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c>
          <w:tcPr>
            <w:tcW w:w="1924" w:type="dxa"/>
            <w:tcBorders>
              <w:top w:val="nil"/>
              <w:left w:val="nil"/>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c>
          <w:tcPr>
            <w:tcW w:w="1496" w:type="dxa"/>
            <w:gridSpan w:val="3"/>
            <w:tcBorders>
              <w:top w:val="nil"/>
              <w:left w:val="nil"/>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c>
          <w:tcPr>
            <w:tcW w:w="1474" w:type="dxa"/>
            <w:gridSpan w:val="5"/>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c>
          <w:tcPr>
            <w:tcW w:w="1356" w:type="dxa"/>
            <w:gridSpan w:val="3"/>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c>
          <w:tcPr>
            <w:tcW w:w="1670" w:type="dxa"/>
            <w:gridSpan w:val="2"/>
            <w:tcBorders>
              <w:top w:val="nil"/>
              <w:left w:val="nil"/>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r>
      <w:tr>
        <w:tblPrEx>
          <w:tblCellMar>
            <w:top w:w="0" w:type="dxa"/>
            <w:left w:w="108" w:type="dxa"/>
            <w:bottom w:w="0" w:type="dxa"/>
            <w:right w:w="108" w:type="dxa"/>
          </w:tblCellMar>
        </w:tblPrEx>
        <w:trPr>
          <w:trHeight w:val="601" w:hRule="exact"/>
        </w:trPr>
        <w:tc>
          <w:tcPr>
            <w:tcW w:w="2088" w:type="dxa"/>
            <w:tcBorders>
              <w:top w:val="nil"/>
              <w:left w:val="single" w:color="auto" w:sz="4" w:space="0"/>
              <w:bottom w:val="single" w:color="auto" w:sz="4" w:space="0"/>
              <w:right w:val="single" w:color="auto" w:sz="4" w:space="0"/>
            </w:tcBorders>
            <w:noWrap w:val="0"/>
            <w:vAlign w:val="center"/>
          </w:tcPr>
          <w:p>
            <w:pPr>
              <w:widowControl/>
              <w:spacing w:line="440" w:lineRule="exact"/>
              <w:jc w:val="center"/>
              <w:rPr>
                <w:rFonts w:ascii="宋体" w:hAnsi="宋体" w:cs="宋体"/>
                <w:kern w:val="0"/>
                <w:sz w:val="28"/>
                <w:szCs w:val="28"/>
              </w:rPr>
            </w:pPr>
            <w:r>
              <w:rPr>
                <w:rFonts w:hint="eastAsia" w:ascii="宋体" w:hAnsi="宋体" w:cs="宋体"/>
                <w:kern w:val="0"/>
                <w:sz w:val="28"/>
                <w:szCs w:val="28"/>
              </w:rPr>
              <w:t>估价方法</w:t>
            </w:r>
          </w:p>
        </w:tc>
        <w:tc>
          <w:tcPr>
            <w:tcW w:w="7920" w:type="dxa"/>
            <w:gridSpan w:val="14"/>
            <w:tcBorders>
              <w:top w:val="single" w:color="auto" w:sz="4" w:space="0"/>
              <w:left w:val="nil"/>
              <w:bottom w:val="single" w:color="auto" w:sz="4" w:space="0"/>
              <w:right w:val="single" w:color="auto" w:sz="4" w:space="0"/>
            </w:tcBorders>
            <w:noWrap w:val="0"/>
            <w:vAlign w:val="center"/>
          </w:tcPr>
          <w:p>
            <w:pPr>
              <w:widowControl/>
              <w:spacing w:line="440" w:lineRule="exact"/>
              <w:jc w:val="center"/>
              <w:rPr>
                <w:rFonts w:hint="eastAsia" w:ascii="宋体" w:hAnsi="宋体" w:eastAsia="宋体" w:cs="宋体"/>
                <w:kern w:val="0"/>
                <w:sz w:val="28"/>
                <w:szCs w:val="28"/>
                <w:lang w:eastAsia="zh-CN"/>
              </w:rPr>
            </w:pPr>
            <w:r>
              <w:rPr>
                <w:rFonts w:hint="eastAsia" w:ascii="宋体" w:hAnsi="宋体" w:cs="宋体"/>
                <w:kern w:val="0"/>
                <w:sz w:val="28"/>
                <w:szCs w:val="28"/>
                <w:lang w:eastAsia="zh-CN"/>
              </w:rPr>
              <w:t>比较法、收益法</w:t>
            </w:r>
          </w:p>
        </w:tc>
      </w:tr>
      <w:tr>
        <w:tblPrEx>
          <w:tblCellMar>
            <w:top w:w="0" w:type="dxa"/>
            <w:left w:w="108" w:type="dxa"/>
            <w:bottom w:w="0" w:type="dxa"/>
            <w:right w:w="108" w:type="dxa"/>
          </w:tblCellMar>
        </w:tblPrEx>
        <w:trPr>
          <w:trHeight w:val="752" w:hRule="exact"/>
        </w:trPr>
        <w:tc>
          <w:tcPr>
            <w:tcW w:w="2088" w:type="dxa"/>
            <w:tcBorders>
              <w:top w:val="nil"/>
              <w:left w:val="single" w:color="auto" w:sz="4" w:space="0"/>
              <w:bottom w:val="single" w:color="auto" w:sz="4" w:space="0"/>
              <w:right w:val="single" w:color="auto" w:sz="4" w:space="0"/>
            </w:tcBorders>
            <w:noWrap w:val="0"/>
            <w:vAlign w:val="center"/>
          </w:tcPr>
          <w:p>
            <w:pPr>
              <w:widowControl/>
              <w:spacing w:line="440" w:lineRule="exact"/>
              <w:jc w:val="center"/>
              <w:rPr>
                <w:rFonts w:ascii="宋体" w:hAnsi="宋体" w:cs="宋体"/>
                <w:kern w:val="0"/>
                <w:sz w:val="28"/>
                <w:szCs w:val="28"/>
              </w:rPr>
            </w:pPr>
            <w:r>
              <w:rPr>
                <w:rFonts w:hint="eastAsia" w:ascii="宋体" w:hAnsi="宋体" w:cs="宋体"/>
                <w:kern w:val="0"/>
                <w:sz w:val="28"/>
                <w:szCs w:val="28"/>
              </w:rPr>
              <w:t>估价结果</w:t>
            </w:r>
          </w:p>
        </w:tc>
        <w:tc>
          <w:tcPr>
            <w:tcW w:w="2991" w:type="dxa"/>
            <w:gridSpan w:val="3"/>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宋体" w:hAnsi="宋体" w:cs="宋体"/>
                <w:spacing w:val="-20"/>
                <w:kern w:val="0"/>
                <w:sz w:val="24"/>
              </w:rPr>
            </w:pPr>
            <w:r>
              <w:rPr>
                <w:rFonts w:hint="eastAsia" w:ascii="宋体" w:hAnsi="宋体" w:cs="宋体"/>
                <w:spacing w:val="-20"/>
                <w:kern w:val="0"/>
                <w:sz w:val="28"/>
                <w:szCs w:val="28"/>
              </w:rPr>
              <w:t>大写：</w:t>
            </w:r>
            <w:r>
              <w:rPr>
                <w:rFonts w:hint="eastAsia" w:ascii="宋体" w:hAnsi="宋体" w:cs="宋体"/>
                <w:spacing w:val="-20"/>
                <w:kern w:val="0"/>
                <w:sz w:val="28"/>
                <w:szCs w:val="28"/>
                <w:lang w:eastAsia="zh-CN"/>
              </w:rPr>
              <w:t>贰拾捌万陆仟零捌拾壹</w:t>
            </w:r>
            <w:r>
              <w:rPr>
                <w:rFonts w:hint="eastAsia" w:ascii="宋体" w:hAnsi="宋体" w:cs="宋体"/>
                <w:spacing w:val="-20"/>
                <w:kern w:val="0"/>
                <w:sz w:val="28"/>
                <w:szCs w:val="28"/>
              </w:rPr>
              <w:t>元整</w:t>
            </w:r>
          </w:p>
        </w:tc>
        <w:tc>
          <w:tcPr>
            <w:tcW w:w="1903" w:type="dxa"/>
            <w:gridSpan w:val="6"/>
            <w:tcBorders>
              <w:top w:val="single" w:color="auto" w:sz="4" w:space="0"/>
              <w:left w:val="nil"/>
              <w:bottom w:val="single" w:color="auto" w:sz="4" w:space="0"/>
              <w:right w:val="single" w:color="auto" w:sz="4" w:space="0"/>
            </w:tcBorders>
            <w:noWrap w:val="0"/>
            <w:vAlign w:val="center"/>
          </w:tcPr>
          <w:p>
            <w:pPr>
              <w:widowControl/>
              <w:spacing w:line="440" w:lineRule="exact"/>
              <w:jc w:val="center"/>
              <w:rPr>
                <w:rFonts w:ascii="宋体" w:hAnsi="宋体" w:cs="宋体"/>
                <w:kern w:val="0"/>
                <w:sz w:val="28"/>
                <w:szCs w:val="28"/>
              </w:rPr>
            </w:pPr>
            <w:r>
              <w:rPr>
                <w:rFonts w:hint="eastAsia" w:ascii="宋体" w:hAnsi="宋体" w:cs="宋体"/>
                <w:kern w:val="0"/>
                <w:sz w:val="28"/>
                <w:szCs w:val="28"/>
              </w:rPr>
              <w:t>小   写</w:t>
            </w:r>
          </w:p>
        </w:tc>
        <w:tc>
          <w:tcPr>
            <w:tcW w:w="3026" w:type="dxa"/>
            <w:gridSpan w:val="5"/>
            <w:tcBorders>
              <w:top w:val="single" w:color="auto" w:sz="4" w:space="0"/>
              <w:left w:val="nil"/>
              <w:bottom w:val="single" w:color="auto" w:sz="4" w:space="0"/>
              <w:right w:val="single" w:color="auto" w:sz="4" w:space="0"/>
            </w:tcBorders>
            <w:noWrap w:val="0"/>
            <w:vAlign w:val="center"/>
          </w:tcPr>
          <w:p>
            <w:pPr>
              <w:widowControl/>
              <w:spacing w:line="440" w:lineRule="exact"/>
              <w:rPr>
                <w:rFonts w:ascii="宋体" w:hAnsi="宋体" w:cs="宋体"/>
                <w:kern w:val="0"/>
                <w:sz w:val="28"/>
                <w:szCs w:val="28"/>
              </w:rPr>
            </w:pPr>
            <w:r>
              <w:rPr>
                <w:rFonts w:hint="eastAsia" w:ascii="宋体" w:hAnsi="宋体" w:cs="宋体"/>
                <w:kern w:val="0"/>
                <w:sz w:val="28"/>
                <w:szCs w:val="28"/>
              </w:rPr>
              <w:t>￥：</w:t>
            </w:r>
            <w:r>
              <w:rPr>
                <w:rFonts w:hint="eastAsia" w:ascii="宋体" w:hAnsi="宋体" w:cs="宋体"/>
                <w:kern w:val="0"/>
                <w:sz w:val="28"/>
                <w:szCs w:val="28"/>
                <w:lang w:eastAsia="zh-CN"/>
              </w:rPr>
              <w:t>286081</w:t>
            </w:r>
            <w:r>
              <w:rPr>
                <w:rFonts w:hint="eastAsia" w:ascii="宋体" w:hAnsi="宋体" w:cs="宋体"/>
                <w:kern w:val="0"/>
                <w:sz w:val="28"/>
                <w:szCs w:val="28"/>
              </w:rPr>
              <w:t>元</w:t>
            </w:r>
          </w:p>
        </w:tc>
      </w:tr>
      <w:tr>
        <w:tblPrEx>
          <w:tblCellMar>
            <w:top w:w="0" w:type="dxa"/>
            <w:left w:w="108" w:type="dxa"/>
            <w:bottom w:w="0" w:type="dxa"/>
            <w:right w:w="108" w:type="dxa"/>
          </w:tblCellMar>
        </w:tblPrEx>
        <w:trPr>
          <w:trHeight w:val="624" w:hRule="atLeast"/>
        </w:trPr>
        <w:tc>
          <w:tcPr>
            <w:tcW w:w="2088" w:type="dxa"/>
            <w:vMerge w:val="restart"/>
            <w:tcBorders>
              <w:top w:val="nil"/>
              <w:left w:val="single" w:color="auto" w:sz="4" w:space="0"/>
              <w:bottom w:val="single" w:color="auto" w:sz="4" w:space="0"/>
              <w:right w:val="single" w:color="auto" w:sz="4" w:space="0"/>
            </w:tcBorders>
            <w:noWrap w:val="0"/>
            <w:vAlign w:val="center"/>
          </w:tcPr>
          <w:p>
            <w:pPr>
              <w:widowControl/>
              <w:spacing w:line="440" w:lineRule="exact"/>
              <w:jc w:val="center"/>
              <w:rPr>
                <w:rFonts w:ascii="宋体" w:hAnsi="宋体" w:cs="宋体"/>
                <w:kern w:val="0"/>
                <w:sz w:val="28"/>
                <w:szCs w:val="28"/>
              </w:rPr>
            </w:pPr>
            <w:r>
              <w:rPr>
                <w:rFonts w:hint="eastAsia" w:ascii="宋体" w:hAnsi="宋体" w:cs="宋体"/>
                <w:kern w:val="0"/>
                <w:sz w:val="28"/>
                <w:szCs w:val="28"/>
              </w:rPr>
              <w:t>备注</w:t>
            </w:r>
          </w:p>
        </w:tc>
        <w:tc>
          <w:tcPr>
            <w:tcW w:w="7920" w:type="dxa"/>
            <w:gridSpan w:val="14"/>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960" w:firstLineChars="400"/>
              <w:jc w:val="left"/>
              <w:textAlignment w:val="auto"/>
              <w:rPr>
                <w:rFonts w:hint="eastAsia" w:ascii="宋体" w:hAnsi="宋体"/>
                <w:color w:val="auto"/>
                <w:sz w:val="24"/>
                <w:szCs w:val="24"/>
                <w:lang w:val="en-US" w:eastAsia="zh-CN"/>
              </w:rPr>
            </w:pPr>
            <w:r>
              <w:rPr>
                <w:rFonts w:hint="eastAsia" w:ascii="宋体" w:hAnsi="宋体"/>
                <w:sz w:val="24"/>
                <w:szCs w:val="24"/>
                <w:lang w:val="en-US" w:eastAsia="zh-CN"/>
              </w:rPr>
              <w:t>评</w:t>
            </w:r>
            <w:r>
              <w:rPr>
                <w:rFonts w:hint="eastAsia" w:ascii="宋体" w:hAnsi="宋体"/>
                <w:color w:val="auto"/>
                <w:sz w:val="24"/>
                <w:szCs w:val="24"/>
                <w:lang w:val="en-US" w:eastAsia="zh-CN"/>
              </w:rPr>
              <w:t>估价值=3429元/㎡×83.43㎡=286081元</w:t>
            </w:r>
          </w:p>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宋体" w:hAnsi="宋体"/>
                <w:color w:val="auto"/>
                <w:sz w:val="24"/>
                <w:szCs w:val="24"/>
                <w:lang w:val="en-US" w:eastAsia="zh-CN"/>
              </w:rPr>
            </w:pPr>
          </w:p>
          <w:p>
            <w:pPr>
              <w:widowControl/>
              <w:spacing w:line="220" w:lineRule="exact"/>
              <w:rPr>
                <w:rFonts w:hint="eastAsia" w:ascii="宋体" w:hAnsi="宋体"/>
                <w:color w:val="auto"/>
                <w:sz w:val="18"/>
                <w:szCs w:val="18"/>
              </w:rPr>
            </w:pPr>
            <w:r>
              <w:rPr>
                <w:rFonts w:hint="eastAsia" w:ascii="宋体" w:hAnsi="宋体"/>
                <w:color w:val="auto"/>
                <w:sz w:val="18"/>
                <w:szCs w:val="18"/>
              </w:rPr>
              <w:t>估价相关说明：</w:t>
            </w:r>
          </w:p>
          <w:p>
            <w:pPr>
              <w:widowControl/>
              <w:numPr>
                <w:ilvl w:val="0"/>
                <w:numId w:val="0"/>
              </w:numPr>
              <w:spacing w:line="220" w:lineRule="exact"/>
              <w:ind w:firstLine="360" w:firstLineChars="200"/>
              <w:rPr>
                <w:rFonts w:hint="eastAsia" w:ascii="宋体" w:hAnsi="宋体" w:cs="宋体"/>
                <w:kern w:val="0"/>
                <w:sz w:val="18"/>
                <w:szCs w:val="18"/>
              </w:rPr>
            </w:pPr>
            <w:r>
              <w:rPr>
                <w:rFonts w:hint="eastAsia" w:ascii="宋体" w:hAnsi="宋体"/>
                <w:sz w:val="18"/>
                <w:szCs w:val="18"/>
              </w:rPr>
              <w:t>本次评估只为委托人提供委估房地产市场价值</w:t>
            </w:r>
            <w:r>
              <w:rPr>
                <w:rFonts w:hint="eastAsia" w:ascii="宋体" w:hAnsi="宋体"/>
                <w:sz w:val="18"/>
                <w:szCs w:val="18"/>
                <w:lang w:eastAsia="zh-CN"/>
              </w:rPr>
              <w:t>参考</w:t>
            </w:r>
            <w:r>
              <w:rPr>
                <w:rFonts w:hint="eastAsia" w:ascii="宋体" w:hAnsi="宋体"/>
                <w:sz w:val="18"/>
                <w:szCs w:val="18"/>
              </w:rPr>
              <w:t>，如估价目的变更，需重新出具报告。否则本公司对此次评估价格不作任何解释，并且不承担任何责任。</w:t>
            </w:r>
          </w:p>
        </w:tc>
      </w:tr>
      <w:tr>
        <w:tblPrEx>
          <w:tblCellMar>
            <w:top w:w="0" w:type="dxa"/>
            <w:left w:w="108" w:type="dxa"/>
            <w:bottom w:w="0" w:type="dxa"/>
            <w:right w:w="108" w:type="dxa"/>
          </w:tblCellMar>
        </w:tblPrEx>
        <w:trPr>
          <w:trHeight w:val="624" w:hRule="atLeast"/>
        </w:trPr>
        <w:tc>
          <w:tcPr>
            <w:tcW w:w="2088" w:type="dxa"/>
            <w:vMerge w:val="continue"/>
            <w:tcBorders>
              <w:top w:val="nil"/>
              <w:left w:val="single" w:color="auto" w:sz="4" w:space="0"/>
              <w:bottom w:val="single" w:color="auto" w:sz="4" w:space="0"/>
              <w:right w:val="single" w:color="auto" w:sz="4" w:space="0"/>
            </w:tcBorders>
            <w:noWrap w:val="0"/>
            <w:vAlign w:val="center"/>
          </w:tcPr>
          <w:p>
            <w:pPr>
              <w:widowControl/>
              <w:spacing w:line="440" w:lineRule="exact"/>
              <w:jc w:val="left"/>
              <w:rPr>
                <w:rFonts w:ascii="宋体" w:hAnsi="宋体" w:cs="宋体"/>
                <w:kern w:val="0"/>
                <w:sz w:val="28"/>
                <w:szCs w:val="28"/>
              </w:rPr>
            </w:pPr>
          </w:p>
        </w:tc>
        <w:tc>
          <w:tcPr>
            <w:tcW w:w="7920" w:type="dxa"/>
            <w:gridSpan w:val="14"/>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line="440" w:lineRule="exact"/>
              <w:jc w:val="left"/>
              <w:rPr>
                <w:rFonts w:ascii="宋体" w:hAnsi="宋体" w:cs="宋体"/>
                <w:color w:val="FF0000"/>
                <w:kern w:val="0"/>
                <w:sz w:val="28"/>
                <w:szCs w:val="28"/>
              </w:rPr>
            </w:pPr>
          </w:p>
        </w:tc>
      </w:tr>
      <w:tr>
        <w:tblPrEx>
          <w:tblCellMar>
            <w:top w:w="0" w:type="dxa"/>
            <w:left w:w="108" w:type="dxa"/>
            <w:bottom w:w="0" w:type="dxa"/>
            <w:right w:w="108" w:type="dxa"/>
          </w:tblCellMar>
        </w:tblPrEx>
        <w:trPr>
          <w:trHeight w:val="752" w:hRule="atLeast"/>
        </w:trPr>
        <w:tc>
          <w:tcPr>
            <w:tcW w:w="2088" w:type="dxa"/>
            <w:vMerge w:val="continue"/>
            <w:tcBorders>
              <w:top w:val="nil"/>
              <w:left w:val="single" w:color="auto" w:sz="4" w:space="0"/>
              <w:bottom w:val="single" w:color="auto" w:sz="4" w:space="0"/>
              <w:right w:val="single" w:color="auto" w:sz="4" w:space="0"/>
            </w:tcBorders>
            <w:noWrap w:val="0"/>
            <w:vAlign w:val="center"/>
          </w:tcPr>
          <w:p>
            <w:pPr>
              <w:widowControl/>
              <w:spacing w:line="440" w:lineRule="exact"/>
              <w:jc w:val="left"/>
              <w:rPr>
                <w:rFonts w:ascii="宋体" w:hAnsi="宋体" w:cs="宋体"/>
                <w:kern w:val="0"/>
                <w:sz w:val="28"/>
                <w:szCs w:val="28"/>
              </w:rPr>
            </w:pPr>
          </w:p>
        </w:tc>
        <w:tc>
          <w:tcPr>
            <w:tcW w:w="7920" w:type="dxa"/>
            <w:gridSpan w:val="14"/>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line="440" w:lineRule="exact"/>
              <w:jc w:val="left"/>
              <w:rPr>
                <w:rFonts w:ascii="宋体" w:hAnsi="宋体" w:cs="宋体"/>
                <w:color w:val="FF0000"/>
                <w:kern w:val="0"/>
                <w:sz w:val="28"/>
                <w:szCs w:val="28"/>
              </w:rPr>
            </w:pPr>
          </w:p>
        </w:tc>
      </w:tr>
      <w:tr>
        <w:tblPrEx>
          <w:tblCellMar>
            <w:top w:w="0" w:type="dxa"/>
            <w:left w:w="108" w:type="dxa"/>
            <w:bottom w:w="0" w:type="dxa"/>
            <w:right w:w="108" w:type="dxa"/>
          </w:tblCellMar>
        </w:tblPrEx>
        <w:trPr>
          <w:trHeight w:val="375" w:hRule="atLeast"/>
        </w:trPr>
        <w:tc>
          <w:tcPr>
            <w:tcW w:w="10008" w:type="dxa"/>
            <w:gridSpan w:val="15"/>
            <w:tcBorders>
              <w:top w:val="single" w:color="auto" w:sz="4" w:space="0"/>
              <w:left w:val="single" w:color="auto" w:sz="4" w:space="0"/>
              <w:bottom w:val="single" w:color="auto" w:sz="4" w:space="0"/>
              <w:right w:val="single" w:color="auto" w:sz="4" w:space="0"/>
            </w:tcBorders>
            <w:noWrap w:val="0"/>
            <w:vAlign w:val="bottom"/>
          </w:tcPr>
          <w:p>
            <w:pPr>
              <w:widowControl/>
              <w:spacing w:line="440" w:lineRule="exact"/>
              <w:ind w:firstLine="3640" w:firstLineChars="1300"/>
              <w:jc w:val="right"/>
              <w:rPr>
                <w:rFonts w:ascii="宋体" w:hAnsi="宋体" w:cs="宋体"/>
                <w:kern w:val="0"/>
                <w:sz w:val="28"/>
                <w:szCs w:val="28"/>
              </w:rPr>
            </w:pPr>
            <w:r>
              <w:rPr>
                <w:rFonts w:hint="eastAsia" w:ascii="宋体" w:hAnsi="宋体" w:cs="宋体"/>
                <w:kern w:val="0"/>
                <w:sz w:val="28"/>
                <w:szCs w:val="28"/>
              </w:rPr>
              <w:t>五原县中信房地产价格评估有限责任公司</w:t>
            </w:r>
          </w:p>
        </w:tc>
      </w:tr>
      <w:tr>
        <w:tblPrEx>
          <w:tblCellMar>
            <w:top w:w="0" w:type="dxa"/>
            <w:left w:w="108" w:type="dxa"/>
            <w:bottom w:w="0" w:type="dxa"/>
            <w:right w:w="108" w:type="dxa"/>
          </w:tblCellMar>
        </w:tblPrEx>
        <w:trPr>
          <w:trHeight w:val="531" w:hRule="atLeast"/>
        </w:trPr>
        <w:tc>
          <w:tcPr>
            <w:tcW w:w="10008" w:type="dxa"/>
            <w:gridSpan w:val="15"/>
            <w:tcBorders>
              <w:top w:val="single" w:color="auto" w:sz="4" w:space="0"/>
              <w:left w:val="single" w:color="auto" w:sz="4" w:space="0"/>
              <w:bottom w:val="single" w:color="auto" w:sz="4" w:space="0"/>
              <w:right w:val="single" w:color="auto" w:sz="4" w:space="0"/>
            </w:tcBorders>
            <w:noWrap w:val="0"/>
            <w:vAlign w:val="bottom"/>
          </w:tcPr>
          <w:p>
            <w:pPr>
              <w:widowControl/>
              <w:spacing w:line="440" w:lineRule="exact"/>
              <w:jc w:val="right"/>
              <w:rPr>
                <w:rFonts w:hint="eastAsia" w:ascii="宋体" w:hAnsi="宋体" w:eastAsia="宋体" w:cs="宋体"/>
                <w:kern w:val="0"/>
                <w:sz w:val="28"/>
                <w:szCs w:val="28"/>
                <w:lang w:eastAsia="zh-CN"/>
              </w:rPr>
            </w:pPr>
            <w:r>
              <w:rPr>
                <w:rFonts w:hint="eastAsia" w:ascii="宋体" w:hAnsi="宋体" w:cs="宋体"/>
                <w:kern w:val="0"/>
                <w:sz w:val="28"/>
                <w:szCs w:val="28"/>
                <w:lang w:eastAsia="zh-CN"/>
              </w:rPr>
              <w:t xml:space="preserve"> 二○二○年七月九日</w:t>
            </w:r>
          </w:p>
        </w:tc>
      </w:tr>
    </w:tbl>
    <w:p>
      <w:pPr>
        <w:spacing w:line="520" w:lineRule="exact"/>
        <w:ind w:firstLine="2520" w:firstLineChars="1200"/>
        <w:outlineLvl w:val="0"/>
        <w:rPr>
          <w:rFonts w:hint="eastAsia" w:ascii="宋体" w:hAnsi="宋体"/>
          <w:sz w:val="28"/>
          <w:szCs w:val="28"/>
        </w:rPr>
      </w:pPr>
      <w:r>
        <w:br w:type="page"/>
      </w:r>
      <w:bookmarkStart w:id="41" w:name="_Toc30900"/>
      <w:r>
        <w:rPr>
          <w:rFonts w:hint="eastAsia" w:ascii="宋体" w:hAnsi="宋体"/>
          <w:b/>
          <w:sz w:val="48"/>
          <w:szCs w:val="48"/>
        </w:rPr>
        <w:t>估价技术报告</w:t>
      </w:r>
      <w:bookmarkEnd w:id="41"/>
    </w:p>
    <w:p>
      <w:pPr>
        <w:keepNext w:val="0"/>
        <w:keepLines w:val="0"/>
        <w:pageBreakBefore w:val="0"/>
        <w:widowControl w:val="0"/>
        <w:kinsoku/>
        <w:wordWrap/>
        <w:overflowPunct/>
        <w:topLinePunct w:val="0"/>
        <w:autoSpaceDE/>
        <w:autoSpaceDN/>
        <w:bidi w:val="0"/>
        <w:adjustRightInd/>
        <w:spacing w:line="460" w:lineRule="exact"/>
        <w:ind w:firstLine="420" w:firstLineChars="150"/>
        <w:textAlignment w:val="auto"/>
        <w:outlineLvl w:val="0"/>
        <w:rPr>
          <w:rFonts w:hint="eastAsia" w:ascii="宋体" w:hAnsi="宋体"/>
          <w:color w:val="auto"/>
          <w:sz w:val="28"/>
          <w:szCs w:val="28"/>
        </w:rPr>
      </w:pPr>
      <w:bookmarkStart w:id="42" w:name="_Toc15936"/>
      <w:r>
        <w:rPr>
          <w:rFonts w:hint="eastAsia" w:ascii="宋体" w:hAnsi="宋体"/>
          <w:color w:val="auto"/>
          <w:sz w:val="28"/>
          <w:szCs w:val="28"/>
        </w:rPr>
        <w:t>一、实物状况分析</w:t>
      </w:r>
      <w:bookmarkEnd w:id="42"/>
    </w:p>
    <w:p>
      <w:pPr>
        <w:keepNext w:val="0"/>
        <w:keepLines w:val="0"/>
        <w:pageBreakBefore w:val="0"/>
        <w:widowControl w:val="0"/>
        <w:numPr>
          <w:ilvl w:val="0"/>
          <w:numId w:val="0"/>
        </w:numPr>
        <w:kinsoku/>
        <w:wordWrap/>
        <w:overflowPunct/>
        <w:topLinePunct w:val="0"/>
        <w:autoSpaceDE/>
        <w:autoSpaceDN/>
        <w:bidi w:val="0"/>
        <w:adjustRightInd/>
        <w:snapToGrid w:val="0"/>
        <w:spacing w:line="460" w:lineRule="exact"/>
        <w:ind w:firstLine="560" w:firstLineChars="200"/>
        <w:textAlignment w:val="auto"/>
        <w:outlineLvl w:val="0"/>
        <w:rPr>
          <w:rFonts w:hint="default" w:ascii="宋体" w:hAnsi="宋体"/>
          <w:color w:val="auto"/>
          <w:sz w:val="28"/>
          <w:szCs w:val="28"/>
          <w:lang w:val="en-US" w:eastAsia="zh-CN"/>
        </w:rPr>
      </w:pPr>
      <w:bookmarkStart w:id="43" w:name="_Toc8302"/>
      <w:r>
        <w:rPr>
          <w:rFonts w:hint="eastAsia" w:ascii="宋体" w:hAnsi="宋体"/>
          <w:color w:val="auto"/>
          <w:sz w:val="28"/>
          <w:szCs w:val="28"/>
          <w:lang w:eastAsia="zh-CN"/>
        </w:rPr>
        <w:t>（一）实物状况</w:t>
      </w:r>
      <w:r>
        <w:rPr>
          <w:rFonts w:hint="eastAsia" w:ascii="宋体" w:hAnsi="宋体"/>
          <w:color w:val="auto"/>
          <w:sz w:val="28"/>
          <w:szCs w:val="28"/>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val="0"/>
        <w:spacing w:line="460" w:lineRule="exact"/>
        <w:ind w:firstLine="560" w:firstLineChars="200"/>
        <w:textAlignment w:val="auto"/>
        <w:outlineLvl w:val="0"/>
        <w:rPr>
          <w:rFonts w:hint="default" w:ascii="宋体" w:hAnsi="宋体"/>
          <w:color w:val="auto"/>
          <w:sz w:val="28"/>
          <w:szCs w:val="28"/>
          <w:lang w:val="en-US" w:eastAsia="zh-CN"/>
        </w:rPr>
      </w:pPr>
      <w:r>
        <w:rPr>
          <w:rFonts w:hint="eastAsia" w:ascii="宋体" w:hAnsi="宋体"/>
          <w:color w:val="auto"/>
          <w:sz w:val="28"/>
          <w:szCs w:val="28"/>
          <w:lang w:val="en-US" w:eastAsia="zh-CN"/>
        </w:rPr>
        <w:t>（1）本次估价范围位于巴彦淖尔市</w:t>
      </w:r>
      <w:r>
        <w:rPr>
          <w:rFonts w:hint="eastAsia" w:ascii="宋体" w:hAnsi="宋体"/>
          <w:color w:val="auto"/>
          <w:sz w:val="28"/>
          <w:szCs w:val="28"/>
          <w:lang w:eastAsia="zh-CN"/>
        </w:rPr>
        <w:t>五原县隆兴昌镇胜利办事处福中园小区2-2-252王敏所有的房地产，包括房产、土地、附属设施、房屋内外装修及配套的水、电、暖、通讯、天然气等设施。</w:t>
      </w:r>
    </w:p>
    <w:p>
      <w:pPr>
        <w:keepNext w:val="0"/>
        <w:keepLines w:val="0"/>
        <w:pageBreakBefore w:val="0"/>
        <w:widowControl w:val="0"/>
        <w:kinsoku/>
        <w:wordWrap/>
        <w:overflowPunct/>
        <w:topLinePunct w:val="0"/>
        <w:autoSpaceDE/>
        <w:autoSpaceDN/>
        <w:bidi w:val="0"/>
        <w:adjustRightInd/>
        <w:spacing w:line="460" w:lineRule="exact"/>
        <w:ind w:firstLine="560" w:firstLineChars="200"/>
        <w:textAlignment w:val="auto"/>
        <w:rPr>
          <w:rFonts w:hint="eastAsia" w:ascii="宋体" w:hAnsi="宋体"/>
          <w:color w:val="auto"/>
          <w:sz w:val="28"/>
          <w:szCs w:val="28"/>
        </w:rPr>
      </w:pPr>
      <w:r>
        <w:rPr>
          <w:rFonts w:hint="eastAsia" w:ascii="宋体" w:hAnsi="宋体"/>
          <w:color w:val="auto"/>
          <w:sz w:val="28"/>
          <w:szCs w:val="28"/>
          <w:lang w:eastAsia="zh-CN"/>
        </w:rPr>
        <w:t>（</w:t>
      </w:r>
      <w:r>
        <w:rPr>
          <w:rFonts w:hint="eastAsia" w:ascii="宋体" w:hAnsi="宋体"/>
          <w:color w:val="auto"/>
          <w:sz w:val="28"/>
          <w:szCs w:val="28"/>
          <w:lang w:val="en-US" w:eastAsia="zh-CN"/>
        </w:rPr>
        <w:t>2</w:t>
      </w:r>
      <w:r>
        <w:rPr>
          <w:rFonts w:hint="eastAsia" w:ascii="宋体" w:hAnsi="宋体"/>
          <w:color w:val="auto"/>
          <w:sz w:val="28"/>
          <w:szCs w:val="28"/>
          <w:lang w:eastAsia="zh-CN"/>
        </w:rPr>
        <w:t>）估价对象建筑物用途为住宅，房屋结构为砖混结构，</w:t>
      </w:r>
      <w:r>
        <w:rPr>
          <w:rFonts w:hint="eastAsia" w:ascii="宋体" w:hAnsi="宋体"/>
          <w:color w:val="auto"/>
          <w:sz w:val="28"/>
          <w:szCs w:val="28"/>
        </w:rPr>
        <w:t>建筑面积为</w:t>
      </w:r>
      <w:r>
        <w:rPr>
          <w:rFonts w:hint="eastAsia" w:ascii="宋体" w:hAnsi="宋体"/>
          <w:color w:val="auto"/>
          <w:sz w:val="28"/>
          <w:szCs w:val="28"/>
          <w:lang w:val="en-US" w:eastAsia="zh-CN"/>
        </w:rPr>
        <w:t>83.43</w:t>
      </w:r>
      <w:r>
        <w:rPr>
          <w:rFonts w:hint="eastAsia" w:ascii="宋体" w:hAnsi="宋体"/>
          <w:color w:val="auto"/>
          <w:sz w:val="28"/>
          <w:szCs w:val="28"/>
        </w:rPr>
        <w:t>㎡，</w:t>
      </w:r>
      <w:r>
        <w:rPr>
          <w:rFonts w:hint="eastAsia" w:ascii="宋体" w:hAnsi="宋体"/>
          <w:color w:val="auto"/>
          <w:sz w:val="28"/>
          <w:szCs w:val="28"/>
          <w:lang w:eastAsia="zh-CN"/>
        </w:rPr>
        <w:t>估价对象小区内道路为柏油路、楼前有绿化带，估价对象外墙断块涂料，楼道油漆墙裙、楼梯不锈钢扶手、大理石楼梯踏步，入户门为防盗门。估价对象有大暖、上下水、供电、通讯、天然气等基础设施，使用和维护状况较好，</w:t>
      </w:r>
      <w:r>
        <w:rPr>
          <w:rFonts w:hint="eastAsia" w:ascii="宋体" w:hAnsi="宋体"/>
          <w:color w:val="auto"/>
          <w:sz w:val="28"/>
          <w:szCs w:val="28"/>
          <w:lang w:val="en-US" w:eastAsia="zh-CN"/>
        </w:rPr>
        <w:t>估价对象实物状况</w:t>
      </w:r>
      <w:r>
        <w:rPr>
          <w:rFonts w:hint="eastAsia" w:ascii="宋体" w:hAnsi="宋体"/>
          <w:color w:val="auto"/>
          <w:sz w:val="28"/>
          <w:szCs w:val="28"/>
        </w:rPr>
        <w:t>见下表：</w:t>
      </w:r>
    </w:p>
    <w:p>
      <w:pPr>
        <w:keepNext w:val="0"/>
        <w:keepLines w:val="0"/>
        <w:pageBreakBefore w:val="0"/>
        <w:widowControl w:val="0"/>
        <w:kinsoku/>
        <w:wordWrap/>
        <w:overflowPunct/>
        <w:topLinePunct w:val="0"/>
        <w:autoSpaceDE/>
        <w:autoSpaceDN/>
        <w:bidi w:val="0"/>
        <w:adjustRightInd/>
        <w:spacing w:line="460" w:lineRule="exact"/>
        <w:jc w:val="center"/>
        <w:textAlignment w:val="auto"/>
        <w:rPr>
          <w:rFonts w:hint="eastAsia" w:ascii="宋体" w:hAnsi="宋体"/>
          <w:sz w:val="24"/>
          <w:szCs w:val="24"/>
          <w:lang w:eastAsia="zh-CN"/>
        </w:rPr>
      </w:pPr>
      <w:r>
        <w:rPr>
          <w:rFonts w:hint="eastAsia" w:ascii="宋体" w:hAnsi="宋体"/>
          <w:sz w:val="24"/>
          <w:szCs w:val="24"/>
          <w:lang w:eastAsia="zh-CN"/>
        </w:rPr>
        <w:t>估价对象建筑物实物状况一览表</w:t>
      </w:r>
    </w:p>
    <w:tbl>
      <w:tblPr>
        <w:tblStyle w:val="25"/>
        <w:tblW w:w="90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5"/>
        <w:gridCol w:w="1265"/>
        <w:gridCol w:w="1593"/>
        <w:gridCol w:w="1400"/>
        <w:gridCol w:w="1448"/>
        <w:gridCol w:w="20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5" w:type="dxa"/>
            <w:noWrap w:val="0"/>
            <w:vAlign w:val="top"/>
          </w:tcPr>
          <w:p>
            <w:pPr>
              <w:keepNext w:val="0"/>
              <w:keepLines w:val="0"/>
              <w:pageBreakBefore w:val="0"/>
              <w:widowControl w:val="0"/>
              <w:kinsoku/>
              <w:wordWrap/>
              <w:overflowPunct/>
              <w:topLinePunct w:val="0"/>
              <w:autoSpaceDE/>
              <w:autoSpaceDN/>
              <w:bidi w:val="0"/>
              <w:adjustRightInd/>
              <w:spacing w:line="460" w:lineRule="exact"/>
              <w:jc w:val="center"/>
              <w:textAlignment w:val="auto"/>
              <w:rPr>
                <w:rFonts w:hint="eastAsia" w:ascii="宋体" w:hAnsi="宋体"/>
                <w:sz w:val="24"/>
                <w:szCs w:val="24"/>
                <w:vertAlign w:val="baseline"/>
                <w:lang w:eastAsia="zh-CN"/>
              </w:rPr>
            </w:pPr>
            <w:r>
              <w:rPr>
                <w:rFonts w:hint="eastAsia" w:ascii="宋体" w:hAnsi="宋体"/>
                <w:sz w:val="24"/>
                <w:szCs w:val="24"/>
                <w:vertAlign w:val="baseline"/>
                <w:lang w:eastAsia="zh-CN"/>
              </w:rPr>
              <w:t>序号</w:t>
            </w:r>
          </w:p>
        </w:tc>
        <w:tc>
          <w:tcPr>
            <w:tcW w:w="1265" w:type="dxa"/>
            <w:noWrap w:val="0"/>
            <w:vAlign w:val="top"/>
          </w:tcPr>
          <w:p>
            <w:pPr>
              <w:keepNext w:val="0"/>
              <w:keepLines w:val="0"/>
              <w:pageBreakBefore w:val="0"/>
              <w:widowControl w:val="0"/>
              <w:kinsoku/>
              <w:wordWrap/>
              <w:overflowPunct/>
              <w:topLinePunct w:val="0"/>
              <w:autoSpaceDE/>
              <w:autoSpaceDN/>
              <w:bidi w:val="0"/>
              <w:adjustRightInd/>
              <w:spacing w:line="460" w:lineRule="exact"/>
              <w:jc w:val="center"/>
              <w:textAlignment w:val="auto"/>
              <w:rPr>
                <w:rFonts w:hint="eastAsia" w:ascii="宋体" w:hAnsi="宋体"/>
                <w:sz w:val="24"/>
                <w:szCs w:val="24"/>
                <w:vertAlign w:val="baseline"/>
                <w:lang w:eastAsia="zh-CN"/>
              </w:rPr>
            </w:pPr>
            <w:r>
              <w:rPr>
                <w:rFonts w:hint="eastAsia" w:ascii="宋体" w:hAnsi="宋体"/>
                <w:sz w:val="24"/>
                <w:szCs w:val="24"/>
                <w:vertAlign w:val="baseline"/>
                <w:lang w:eastAsia="zh-CN"/>
              </w:rPr>
              <w:t>用途</w:t>
            </w:r>
          </w:p>
        </w:tc>
        <w:tc>
          <w:tcPr>
            <w:tcW w:w="1593" w:type="dxa"/>
            <w:noWrap w:val="0"/>
            <w:vAlign w:val="top"/>
          </w:tcPr>
          <w:p>
            <w:pPr>
              <w:keepNext w:val="0"/>
              <w:keepLines w:val="0"/>
              <w:pageBreakBefore w:val="0"/>
              <w:widowControl w:val="0"/>
              <w:kinsoku/>
              <w:wordWrap/>
              <w:overflowPunct/>
              <w:topLinePunct w:val="0"/>
              <w:autoSpaceDE/>
              <w:autoSpaceDN/>
              <w:bidi w:val="0"/>
              <w:adjustRightInd/>
              <w:spacing w:line="460" w:lineRule="exact"/>
              <w:jc w:val="center"/>
              <w:textAlignment w:val="auto"/>
              <w:rPr>
                <w:rFonts w:hint="eastAsia" w:ascii="宋体" w:hAnsi="宋体"/>
                <w:sz w:val="24"/>
                <w:szCs w:val="24"/>
                <w:vertAlign w:val="baseline"/>
                <w:lang w:eastAsia="zh-CN"/>
              </w:rPr>
            </w:pPr>
            <w:r>
              <w:rPr>
                <w:rFonts w:hint="eastAsia" w:ascii="宋体" w:hAnsi="宋体"/>
                <w:sz w:val="24"/>
                <w:szCs w:val="24"/>
                <w:vertAlign w:val="baseline"/>
                <w:lang w:eastAsia="zh-CN"/>
              </w:rPr>
              <w:t>结构</w:t>
            </w:r>
          </w:p>
        </w:tc>
        <w:tc>
          <w:tcPr>
            <w:tcW w:w="1400" w:type="dxa"/>
            <w:noWrap w:val="0"/>
            <w:vAlign w:val="top"/>
          </w:tcPr>
          <w:p>
            <w:pPr>
              <w:keepNext w:val="0"/>
              <w:keepLines w:val="0"/>
              <w:pageBreakBefore w:val="0"/>
              <w:widowControl w:val="0"/>
              <w:kinsoku/>
              <w:wordWrap/>
              <w:overflowPunct/>
              <w:topLinePunct w:val="0"/>
              <w:autoSpaceDE/>
              <w:autoSpaceDN/>
              <w:bidi w:val="0"/>
              <w:adjustRightInd/>
              <w:spacing w:line="460" w:lineRule="exact"/>
              <w:jc w:val="center"/>
              <w:textAlignment w:val="auto"/>
              <w:rPr>
                <w:rFonts w:hint="eastAsia" w:ascii="宋体" w:hAnsi="宋体"/>
                <w:sz w:val="24"/>
                <w:szCs w:val="24"/>
                <w:vertAlign w:val="baseline"/>
                <w:lang w:eastAsia="zh-CN"/>
              </w:rPr>
            </w:pPr>
            <w:r>
              <w:rPr>
                <w:rFonts w:hint="eastAsia" w:ascii="宋体" w:hAnsi="宋体"/>
                <w:sz w:val="24"/>
                <w:szCs w:val="24"/>
                <w:vertAlign w:val="baseline"/>
                <w:lang w:eastAsia="zh-CN"/>
              </w:rPr>
              <w:t>总层数</w:t>
            </w:r>
          </w:p>
        </w:tc>
        <w:tc>
          <w:tcPr>
            <w:tcW w:w="1448" w:type="dxa"/>
            <w:noWrap w:val="0"/>
            <w:vAlign w:val="top"/>
          </w:tcPr>
          <w:p>
            <w:pPr>
              <w:keepNext w:val="0"/>
              <w:keepLines w:val="0"/>
              <w:pageBreakBefore w:val="0"/>
              <w:widowControl w:val="0"/>
              <w:kinsoku/>
              <w:wordWrap/>
              <w:overflowPunct/>
              <w:topLinePunct w:val="0"/>
              <w:autoSpaceDE/>
              <w:autoSpaceDN/>
              <w:bidi w:val="0"/>
              <w:adjustRightInd/>
              <w:spacing w:line="460" w:lineRule="exact"/>
              <w:jc w:val="center"/>
              <w:textAlignment w:val="auto"/>
              <w:rPr>
                <w:rFonts w:hint="eastAsia" w:ascii="宋体" w:hAnsi="宋体"/>
                <w:sz w:val="24"/>
                <w:szCs w:val="24"/>
                <w:vertAlign w:val="baseline"/>
                <w:lang w:eastAsia="zh-CN"/>
              </w:rPr>
            </w:pPr>
            <w:r>
              <w:rPr>
                <w:rFonts w:hint="eastAsia" w:ascii="宋体" w:hAnsi="宋体"/>
                <w:sz w:val="24"/>
                <w:szCs w:val="24"/>
                <w:vertAlign w:val="baseline"/>
                <w:lang w:eastAsia="zh-CN"/>
              </w:rPr>
              <w:t>所在层数</w:t>
            </w:r>
          </w:p>
        </w:tc>
        <w:tc>
          <w:tcPr>
            <w:tcW w:w="2045" w:type="dxa"/>
            <w:noWrap w:val="0"/>
            <w:vAlign w:val="top"/>
          </w:tcPr>
          <w:p>
            <w:pPr>
              <w:keepNext w:val="0"/>
              <w:keepLines w:val="0"/>
              <w:pageBreakBefore w:val="0"/>
              <w:widowControl w:val="0"/>
              <w:kinsoku/>
              <w:wordWrap/>
              <w:overflowPunct/>
              <w:topLinePunct w:val="0"/>
              <w:autoSpaceDE/>
              <w:autoSpaceDN/>
              <w:bidi w:val="0"/>
              <w:adjustRightInd/>
              <w:spacing w:line="460" w:lineRule="exact"/>
              <w:jc w:val="center"/>
              <w:textAlignment w:val="auto"/>
              <w:rPr>
                <w:rFonts w:hint="eastAsia" w:ascii="宋体" w:hAnsi="宋体"/>
                <w:sz w:val="24"/>
                <w:szCs w:val="24"/>
                <w:vertAlign w:val="baseline"/>
                <w:lang w:eastAsia="zh-CN"/>
              </w:rPr>
            </w:pPr>
            <w:r>
              <w:rPr>
                <w:rFonts w:hint="eastAsia" w:ascii="宋体" w:hAnsi="宋体"/>
                <w:sz w:val="24"/>
                <w:szCs w:val="24"/>
                <w:vertAlign w:val="baseline"/>
                <w:lang w:eastAsia="zh-CN"/>
              </w:rPr>
              <w:t>面积（㎡）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5" w:type="dxa"/>
            <w:noWrap w:val="0"/>
            <w:vAlign w:val="top"/>
          </w:tcPr>
          <w:p>
            <w:pPr>
              <w:keepNext w:val="0"/>
              <w:keepLines w:val="0"/>
              <w:pageBreakBefore w:val="0"/>
              <w:widowControl w:val="0"/>
              <w:kinsoku/>
              <w:wordWrap/>
              <w:overflowPunct/>
              <w:topLinePunct w:val="0"/>
              <w:autoSpaceDE/>
              <w:autoSpaceDN/>
              <w:bidi w:val="0"/>
              <w:adjustRightInd/>
              <w:spacing w:line="460" w:lineRule="exact"/>
              <w:jc w:val="center"/>
              <w:textAlignment w:val="auto"/>
              <w:rPr>
                <w:rFonts w:hint="default" w:ascii="宋体" w:hAnsi="宋体"/>
                <w:sz w:val="24"/>
                <w:szCs w:val="24"/>
                <w:vertAlign w:val="baseline"/>
                <w:lang w:val="en-US" w:eastAsia="zh-CN"/>
              </w:rPr>
            </w:pPr>
            <w:r>
              <w:rPr>
                <w:rFonts w:hint="eastAsia" w:ascii="宋体" w:hAnsi="宋体"/>
                <w:sz w:val="24"/>
                <w:szCs w:val="24"/>
                <w:vertAlign w:val="baseline"/>
                <w:lang w:val="en-US" w:eastAsia="zh-CN"/>
              </w:rPr>
              <w:t>1</w:t>
            </w:r>
          </w:p>
        </w:tc>
        <w:tc>
          <w:tcPr>
            <w:tcW w:w="1265" w:type="dxa"/>
            <w:noWrap w:val="0"/>
            <w:vAlign w:val="top"/>
          </w:tcPr>
          <w:p>
            <w:pPr>
              <w:keepNext w:val="0"/>
              <w:keepLines w:val="0"/>
              <w:pageBreakBefore w:val="0"/>
              <w:widowControl w:val="0"/>
              <w:kinsoku/>
              <w:wordWrap/>
              <w:overflowPunct/>
              <w:topLinePunct w:val="0"/>
              <w:autoSpaceDE/>
              <w:autoSpaceDN/>
              <w:bidi w:val="0"/>
              <w:adjustRightInd/>
              <w:spacing w:line="460" w:lineRule="exact"/>
              <w:jc w:val="center"/>
              <w:textAlignment w:val="auto"/>
              <w:rPr>
                <w:rFonts w:hint="eastAsia" w:ascii="宋体" w:hAnsi="宋体"/>
                <w:sz w:val="24"/>
                <w:szCs w:val="24"/>
                <w:vertAlign w:val="baseline"/>
                <w:lang w:eastAsia="zh-CN"/>
              </w:rPr>
            </w:pPr>
            <w:r>
              <w:rPr>
                <w:rFonts w:hint="eastAsia" w:ascii="宋体" w:hAnsi="宋体"/>
                <w:sz w:val="24"/>
                <w:szCs w:val="24"/>
                <w:vertAlign w:val="baseline"/>
                <w:lang w:eastAsia="zh-CN"/>
              </w:rPr>
              <w:t>住宅</w:t>
            </w:r>
          </w:p>
        </w:tc>
        <w:tc>
          <w:tcPr>
            <w:tcW w:w="1593" w:type="dxa"/>
            <w:noWrap w:val="0"/>
            <w:vAlign w:val="top"/>
          </w:tcPr>
          <w:p>
            <w:pPr>
              <w:keepNext w:val="0"/>
              <w:keepLines w:val="0"/>
              <w:pageBreakBefore w:val="0"/>
              <w:widowControl w:val="0"/>
              <w:kinsoku/>
              <w:wordWrap/>
              <w:overflowPunct/>
              <w:topLinePunct w:val="0"/>
              <w:autoSpaceDE/>
              <w:autoSpaceDN/>
              <w:bidi w:val="0"/>
              <w:adjustRightInd/>
              <w:spacing w:line="460" w:lineRule="exact"/>
              <w:jc w:val="center"/>
              <w:textAlignment w:val="auto"/>
              <w:rPr>
                <w:rFonts w:hint="eastAsia" w:ascii="宋体" w:hAnsi="宋体"/>
                <w:sz w:val="24"/>
                <w:szCs w:val="24"/>
                <w:vertAlign w:val="baseline"/>
                <w:lang w:eastAsia="zh-CN"/>
              </w:rPr>
            </w:pPr>
            <w:r>
              <w:rPr>
                <w:rFonts w:hint="eastAsia" w:ascii="宋体" w:hAnsi="宋体"/>
                <w:sz w:val="24"/>
                <w:szCs w:val="24"/>
                <w:vertAlign w:val="baseline"/>
                <w:lang w:eastAsia="zh-CN"/>
              </w:rPr>
              <w:t>砖混</w:t>
            </w:r>
          </w:p>
        </w:tc>
        <w:tc>
          <w:tcPr>
            <w:tcW w:w="1400" w:type="dxa"/>
            <w:noWrap w:val="0"/>
            <w:vAlign w:val="top"/>
          </w:tcPr>
          <w:p>
            <w:pPr>
              <w:keepNext w:val="0"/>
              <w:keepLines w:val="0"/>
              <w:pageBreakBefore w:val="0"/>
              <w:widowControl w:val="0"/>
              <w:kinsoku/>
              <w:wordWrap/>
              <w:overflowPunct/>
              <w:topLinePunct w:val="0"/>
              <w:autoSpaceDE/>
              <w:autoSpaceDN/>
              <w:bidi w:val="0"/>
              <w:adjustRightInd/>
              <w:spacing w:line="460" w:lineRule="exact"/>
              <w:jc w:val="center"/>
              <w:textAlignment w:val="auto"/>
              <w:rPr>
                <w:rFonts w:hint="eastAsia" w:ascii="宋体" w:hAnsi="宋体"/>
                <w:sz w:val="24"/>
                <w:szCs w:val="24"/>
                <w:vertAlign w:val="baseline"/>
                <w:lang w:eastAsia="zh-CN"/>
              </w:rPr>
            </w:pPr>
            <w:r>
              <w:rPr>
                <w:rFonts w:hint="eastAsia" w:ascii="宋体" w:hAnsi="宋体"/>
                <w:sz w:val="24"/>
                <w:szCs w:val="24"/>
                <w:vertAlign w:val="baseline"/>
                <w:lang w:eastAsia="zh-CN"/>
              </w:rPr>
              <w:t>六</w:t>
            </w:r>
          </w:p>
        </w:tc>
        <w:tc>
          <w:tcPr>
            <w:tcW w:w="1448" w:type="dxa"/>
            <w:noWrap w:val="0"/>
            <w:vAlign w:val="top"/>
          </w:tcPr>
          <w:p>
            <w:pPr>
              <w:keepNext w:val="0"/>
              <w:keepLines w:val="0"/>
              <w:pageBreakBefore w:val="0"/>
              <w:widowControl w:val="0"/>
              <w:kinsoku/>
              <w:wordWrap/>
              <w:overflowPunct/>
              <w:topLinePunct w:val="0"/>
              <w:autoSpaceDE/>
              <w:autoSpaceDN/>
              <w:bidi w:val="0"/>
              <w:adjustRightInd/>
              <w:spacing w:line="460" w:lineRule="exact"/>
              <w:jc w:val="center"/>
              <w:textAlignment w:val="auto"/>
              <w:rPr>
                <w:rFonts w:hint="default" w:ascii="宋体" w:hAnsi="宋体"/>
                <w:sz w:val="24"/>
                <w:szCs w:val="24"/>
                <w:vertAlign w:val="baseline"/>
                <w:lang w:val="en-US" w:eastAsia="zh-CN"/>
              </w:rPr>
            </w:pPr>
            <w:r>
              <w:rPr>
                <w:rFonts w:hint="eastAsia" w:ascii="宋体" w:hAnsi="宋体"/>
                <w:sz w:val="24"/>
                <w:szCs w:val="24"/>
                <w:vertAlign w:val="baseline"/>
                <w:lang w:val="en-US" w:eastAsia="zh-CN"/>
              </w:rPr>
              <w:t>五</w:t>
            </w:r>
          </w:p>
        </w:tc>
        <w:tc>
          <w:tcPr>
            <w:tcW w:w="2045" w:type="dxa"/>
            <w:noWrap w:val="0"/>
            <w:vAlign w:val="top"/>
          </w:tcPr>
          <w:p>
            <w:pPr>
              <w:keepNext w:val="0"/>
              <w:keepLines w:val="0"/>
              <w:pageBreakBefore w:val="0"/>
              <w:widowControl w:val="0"/>
              <w:kinsoku/>
              <w:wordWrap/>
              <w:overflowPunct/>
              <w:topLinePunct w:val="0"/>
              <w:autoSpaceDE/>
              <w:autoSpaceDN/>
              <w:bidi w:val="0"/>
              <w:adjustRightInd/>
              <w:spacing w:line="460" w:lineRule="exact"/>
              <w:jc w:val="center"/>
              <w:textAlignment w:val="auto"/>
              <w:rPr>
                <w:rFonts w:hint="default" w:ascii="宋体" w:hAnsi="宋体"/>
                <w:sz w:val="24"/>
                <w:szCs w:val="24"/>
                <w:vertAlign w:val="baseline"/>
                <w:lang w:val="en-US" w:eastAsia="zh-CN"/>
              </w:rPr>
            </w:pPr>
            <w:r>
              <w:rPr>
                <w:rFonts w:hint="eastAsia" w:ascii="宋体" w:hAnsi="宋体"/>
                <w:sz w:val="24"/>
                <w:szCs w:val="24"/>
                <w:vertAlign w:val="baseline"/>
                <w:lang w:val="en-US" w:eastAsia="zh-CN"/>
              </w:rPr>
              <w:t>83.43</w:t>
            </w:r>
          </w:p>
        </w:tc>
      </w:tr>
    </w:tbl>
    <w:p>
      <w:pPr>
        <w:keepNext w:val="0"/>
        <w:keepLines w:val="0"/>
        <w:pageBreakBefore w:val="0"/>
        <w:widowControl w:val="0"/>
        <w:kinsoku/>
        <w:wordWrap/>
        <w:overflowPunct/>
        <w:topLinePunct w:val="0"/>
        <w:autoSpaceDE/>
        <w:autoSpaceDN/>
        <w:bidi w:val="0"/>
        <w:adjustRightInd/>
        <w:spacing w:line="460" w:lineRule="exact"/>
        <w:jc w:val="center"/>
        <w:textAlignment w:val="auto"/>
        <w:rPr>
          <w:rFonts w:hint="eastAsia" w:ascii="宋体" w:hAnsi="宋体"/>
          <w:color w:val="auto"/>
          <w:sz w:val="24"/>
          <w:szCs w:val="24"/>
          <w:lang w:eastAsia="zh-CN"/>
        </w:rPr>
      </w:pPr>
      <w:r>
        <w:rPr>
          <w:rFonts w:hint="eastAsia" w:ascii="宋体" w:hAnsi="宋体"/>
          <w:color w:val="auto"/>
          <w:sz w:val="24"/>
          <w:szCs w:val="24"/>
          <w:lang w:eastAsia="zh-CN"/>
        </w:rPr>
        <w:t>估价对象建筑物装饰装修状况一览表</w:t>
      </w:r>
    </w:p>
    <w:tbl>
      <w:tblPr>
        <w:tblStyle w:val="25"/>
        <w:tblW w:w="898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2"/>
        <w:gridCol w:w="859"/>
        <w:gridCol w:w="4023"/>
        <w:gridCol w:w="33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2" w:type="dxa"/>
            <w:noWrap w:val="0"/>
            <w:vAlign w:val="top"/>
          </w:tcPr>
          <w:p>
            <w:pPr>
              <w:keepNext w:val="0"/>
              <w:keepLines w:val="0"/>
              <w:pageBreakBefore w:val="0"/>
              <w:widowControl w:val="0"/>
              <w:kinsoku/>
              <w:wordWrap/>
              <w:overflowPunct/>
              <w:topLinePunct w:val="0"/>
              <w:autoSpaceDE/>
              <w:autoSpaceDN/>
              <w:bidi w:val="0"/>
              <w:adjustRightInd/>
              <w:spacing w:line="460" w:lineRule="exact"/>
              <w:jc w:val="center"/>
              <w:textAlignment w:val="auto"/>
              <w:rPr>
                <w:rFonts w:hint="eastAsia" w:ascii="宋体" w:hAnsi="宋体"/>
                <w:color w:val="auto"/>
                <w:sz w:val="24"/>
                <w:szCs w:val="24"/>
                <w:vertAlign w:val="baseline"/>
                <w:lang w:eastAsia="zh-CN"/>
              </w:rPr>
            </w:pPr>
            <w:r>
              <w:rPr>
                <w:rFonts w:hint="eastAsia" w:ascii="宋体" w:hAnsi="宋体"/>
                <w:color w:val="auto"/>
                <w:sz w:val="24"/>
                <w:szCs w:val="24"/>
                <w:vertAlign w:val="baseline"/>
                <w:lang w:eastAsia="zh-CN"/>
              </w:rPr>
              <w:t>序号</w:t>
            </w:r>
          </w:p>
        </w:tc>
        <w:tc>
          <w:tcPr>
            <w:tcW w:w="859" w:type="dxa"/>
            <w:noWrap w:val="0"/>
            <w:vAlign w:val="top"/>
          </w:tcPr>
          <w:p>
            <w:pPr>
              <w:keepNext w:val="0"/>
              <w:keepLines w:val="0"/>
              <w:pageBreakBefore w:val="0"/>
              <w:widowControl w:val="0"/>
              <w:kinsoku/>
              <w:wordWrap/>
              <w:overflowPunct/>
              <w:topLinePunct w:val="0"/>
              <w:autoSpaceDE/>
              <w:autoSpaceDN/>
              <w:bidi w:val="0"/>
              <w:adjustRightInd/>
              <w:spacing w:line="460" w:lineRule="exact"/>
              <w:jc w:val="center"/>
              <w:textAlignment w:val="auto"/>
              <w:rPr>
                <w:rFonts w:hint="eastAsia" w:ascii="宋体" w:hAnsi="宋体"/>
                <w:color w:val="auto"/>
                <w:sz w:val="24"/>
                <w:szCs w:val="24"/>
                <w:vertAlign w:val="baseline"/>
                <w:lang w:eastAsia="zh-CN"/>
              </w:rPr>
            </w:pPr>
            <w:r>
              <w:rPr>
                <w:rFonts w:hint="eastAsia" w:ascii="宋体" w:hAnsi="宋体"/>
                <w:color w:val="auto"/>
                <w:sz w:val="24"/>
                <w:szCs w:val="24"/>
                <w:vertAlign w:val="baseline"/>
                <w:lang w:eastAsia="zh-CN"/>
              </w:rPr>
              <w:t>用途</w:t>
            </w:r>
          </w:p>
        </w:tc>
        <w:tc>
          <w:tcPr>
            <w:tcW w:w="4023" w:type="dxa"/>
            <w:noWrap w:val="0"/>
            <w:vAlign w:val="top"/>
          </w:tcPr>
          <w:p>
            <w:pPr>
              <w:keepNext w:val="0"/>
              <w:keepLines w:val="0"/>
              <w:pageBreakBefore w:val="0"/>
              <w:widowControl w:val="0"/>
              <w:kinsoku/>
              <w:wordWrap/>
              <w:overflowPunct/>
              <w:topLinePunct w:val="0"/>
              <w:autoSpaceDE/>
              <w:autoSpaceDN/>
              <w:bidi w:val="0"/>
              <w:adjustRightInd/>
              <w:spacing w:line="460" w:lineRule="exact"/>
              <w:jc w:val="center"/>
              <w:textAlignment w:val="auto"/>
              <w:rPr>
                <w:rFonts w:hint="eastAsia" w:ascii="宋体" w:hAnsi="宋体"/>
                <w:color w:val="auto"/>
                <w:sz w:val="24"/>
                <w:szCs w:val="24"/>
                <w:vertAlign w:val="baseline"/>
                <w:lang w:eastAsia="zh-CN"/>
              </w:rPr>
            </w:pPr>
            <w:r>
              <w:rPr>
                <w:rFonts w:hint="eastAsia" w:ascii="宋体" w:hAnsi="宋体"/>
                <w:color w:val="auto"/>
                <w:sz w:val="24"/>
                <w:szCs w:val="24"/>
                <w:vertAlign w:val="baseline"/>
                <w:lang w:eastAsia="zh-CN"/>
              </w:rPr>
              <w:t>外装饰</w:t>
            </w:r>
          </w:p>
        </w:tc>
        <w:tc>
          <w:tcPr>
            <w:tcW w:w="3355" w:type="dxa"/>
            <w:noWrap w:val="0"/>
            <w:vAlign w:val="top"/>
          </w:tcPr>
          <w:p>
            <w:pPr>
              <w:keepNext w:val="0"/>
              <w:keepLines w:val="0"/>
              <w:pageBreakBefore w:val="0"/>
              <w:widowControl w:val="0"/>
              <w:kinsoku/>
              <w:wordWrap/>
              <w:overflowPunct/>
              <w:topLinePunct w:val="0"/>
              <w:autoSpaceDE/>
              <w:autoSpaceDN/>
              <w:bidi w:val="0"/>
              <w:adjustRightInd/>
              <w:spacing w:line="460" w:lineRule="exact"/>
              <w:jc w:val="center"/>
              <w:textAlignment w:val="auto"/>
              <w:rPr>
                <w:rFonts w:hint="eastAsia" w:ascii="宋体" w:hAnsi="宋体"/>
                <w:color w:val="auto"/>
                <w:sz w:val="24"/>
                <w:szCs w:val="24"/>
                <w:vertAlign w:val="baseline"/>
                <w:lang w:eastAsia="zh-CN"/>
              </w:rPr>
            </w:pPr>
            <w:r>
              <w:rPr>
                <w:rFonts w:hint="eastAsia" w:ascii="宋体" w:hAnsi="宋体"/>
                <w:color w:val="auto"/>
                <w:sz w:val="24"/>
                <w:szCs w:val="24"/>
                <w:vertAlign w:val="baseline"/>
                <w:lang w:eastAsia="zh-CN"/>
              </w:rPr>
              <w:t>内装修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2" w:type="dxa"/>
            <w:noWrap w:val="0"/>
            <w:vAlign w:val="top"/>
          </w:tcPr>
          <w:p>
            <w:pPr>
              <w:keepNext w:val="0"/>
              <w:keepLines w:val="0"/>
              <w:pageBreakBefore w:val="0"/>
              <w:widowControl w:val="0"/>
              <w:kinsoku/>
              <w:wordWrap/>
              <w:overflowPunct/>
              <w:topLinePunct w:val="0"/>
              <w:autoSpaceDE/>
              <w:autoSpaceDN/>
              <w:bidi w:val="0"/>
              <w:adjustRightInd/>
              <w:spacing w:line="460" w:lineRule="exact"/>
              <w:jc w:val="center"/>
              <w:textAlignment w:val="auto"/>
              <w:rPr>
                <w:rFonts w:hint="default" w:ascii="宋体" w:hAnsi="宋体"/>
                <w:color w:val="auto"/>
                <w:sz w:val="24"/>
                <w:szCs w:val="24"/>
                <w:vertAlign w:val="baseline"/>
                <w:lang w:val="en-US" w:eastAsia="zh-CN"/>
              </w:rPr>
            </w:pPr>
            <w:r>
              <w:rPr>
                <w:rFonts w:hint="eastAsia" w:ascii="宋体" w:hAnsi="宋体"/>
                <w:color w:val="auto"/>
                <w:sz w:val="24"/>
                <w:szCs w:val="24"/>
                <w:vertAlign w:val="baseline"/>
                <w:lang w:val="en-US" w:eastAsia="zh-CN"/>
              </w:rPr>
              <w:t>1</w:t>
            </w:r>
          </w:p>
        </w:tc>
        <w:tc>
          <w:tcPr>
            <w:tcW w:w="859" w:type="dxa"/>
            <w:noWrap w:val="0"/>
            <w:vAlign w:val="top"/>
          </w:tcPr>
          <w:p>
            <w:pPr>
              <w:keepNext w:val="0"/>
              <w:keepLines w:val="0"/>
              <w:pageBreakBefore w:val="0"/>
              <w:widowControl w:val="0"/>
              <w:kinsoku/>
              <w:wordWrap/>
              <w:overflowPunct/>
              <w:topLinePunct w:val="0"/>
              <w:autoSpaceDE/>
              <w:autoSpaceDN/>
              <w:bidi w:val="0"/>
              <w:adjustRightInd/>
              <w:spacing w:line="460" w:lineRule="exact"/>
              <w:jc w:val="center"/>
              <w:textAlignment w:val="auto"/>
              <w:rPr>
                <w:rFonts w:hint="eastAsia" w:ascii="宋体" w:hAnsi="宋体"/>
                <w:color w:val="auto"/>
                <w:kern w:val="2"/>
                <w:sz w:val="24"/>
                <w:szCs w:val="24"/>
                <w:vertAlign w:val="baseline"/>
                <w:lang w:val="en-US" w:eastAsia="zh-CN" w:bidi="ar-SA"/>
              </w:rPr>
            </w:pPr>
            <w:r>
              <w:rPr>
                <w:rFonts w:hint="eastAsia" w:ascii="宋体" w:hAnsi="宋体"/>
                <w:color w:val="auto"/>
                <w:sz w:val="24"/>
                <w:szCs w:val="24"/>
                <w:vertAlign w:val="baseline"/>
                <w:lang w:eastAsia="zh-CN"/>
              </w:rPr>
              <w:t>住宅</w:t>
            </w:r>
          </w:p>
        </w:tc>
        <w:tc>
          <w:tcPr>
            <w:tcW w:w="4023" w:type="dxa"/>
            <w:noWrap w:val="0"/>
            <w:vAlign w:val="top"/>
          </w:tcPr>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宋体" w:hAnsi="宋体"/>
                <w:color w:val="auto"/>
                <w:sz w:val="24"/>
                <w:szCs w:val="24"/>
                <w:vertAlign w:val="baseline"/>
                <w:lang w:eastAsia="zh-CN"/>
              </w:rPr>
            </w:pPr>
            <w:r>
              <w:rPr>
                <w:rFonts w:hint="eastAsia" w:ascii="宋体" w:hAnsi="宋体"/>
                <w:color w:val="auto"/>
                <w:sz w:val="24"/>
                <w:szCs w:val="24"/>
                <w:vertAlign w:val="baseline"/>
                <w:lang w:eastAsia="zh-CN"/>
              </w:rPr>
              <w:t>外墙水泥断块涂料、塑钢窗，楼道油漆墙裙、楼梯不锈钢扶手、大理石楼梯踏步</w:t>
            </w:r>
          </w:p>
        </w:tc>
        <w:tc>
          <w:tcPr>
            <w:tcW w:w="3355" w:type="dxa"/>
            <w:noWrap w:val="0"/>
            <w:vAlign w:val="top"/>
          </w:tcPr>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default" w:ascii="宋体" w:hAnsi="宋体"/>
                <w:color w:val="auto"/>
                <w:sz w:val="24"/>
                <w:szCs w:val="24"/>
                <w:vertAlign w:val="baseline"/>
                <w:lang w:val="en-US" w:eastAsia="zh-CN"/>
              </w:rPr>
            </w:pPr>
            <w:r>
              <w:rPr>
                <w:rFonts w:hint="eastAsia" w:ascii="宋体" w:hAnsi="宋体"/>
                <w:color w:val="auto"/>
                <w:sz w:val="24"/>
                <w:szCs w:val="24"/>
                <w:vertAlign w:val="baseline"/>
                <w:lang w:eastAsia="zh-CN"/>
              </w:rPr>
              <w:t>入户门为防盗门，室内内墙乳胶漆、厨房及卫生间内墙贴瓷砖，卧室整体衣柜，地面铺</w:t>
            </w:r>
            <w:r>
              <w:rPr>
                <w:rFonts w:hint="eastAsia" w:ascii="宋体" w:hAnsi="宋体"/>
                <w:color w:val="auto"/>
                <w:sz w:val="24"/>
                <w:szCs w:val="24"/>
                <w:vertAlign w:val="baseline"/>
                <w:lang w:val="en-US" w:eastAsia="zh-CN"/>
              </w:rPr>
              <w:t>80地板砖，卫生间铺防滑地。</w:t>
            </w:r>
          </w:p>
        </w:tc>
      </w:tr>
    </w:tbl>
    <w:p>
      <w:pPr>
        <w:keepNext w:val="0"/>
        <w:keepLines w:val="0"/>
        <w:pageBreakBefore w:val="0"/>
        <w:widowControl w:val="0"/>
        <w:numPr>
          <w:ilvl w:val="0"/>
          <w:numId w:val="0"/>
        </w:numPr>
        <w:kinsoku/>
        <w:wordWrap/>
        <w:overflowPunct/>
        <w:topLinePunct w:val="0"/>
        <w:autoSpaceDE/>
        <w:autoSpaceDN/>
        <w:bidi w:val="0"/>
        <w:adjustRightInd/>
        <w:snapToGrid w:val="0"/>
        <w:spacing w:line="460" w:lineRule="exact"/>
        <w:ind w:firstLine="560" w:firstLineChars="200"/>
        <w:textAlignment w:val="auto"/>
        <w:outlineLvl w:val="0"/>
        <w:rPr>
          <w:rFonts w:hint="eastAsia" w:ascii="宋体" w:hAnsi="宋体"/>
          <w:sz w:val="28"/>
          <w:szCs w:val="28"/>
          <w:lang w:val="en-US" w:eastAsia="zh-CN"/>
        </w:rPr>
      </w:pPr>
      <w:r>
        <w:rPr>
          <w:rFonts w:hint="eastAsia" w:ascii="宋体" w:hAnsi="宋体"/>
          <w:sz w:val="28"/>
          <w:szCs w:val="28"/>
          <w:lang w:val="en-US" w:eastAsia="zh-CN"/>
        </w:rPr>
        <w:t>（3）土地状况</w:t>
      </w:r>
    </w:p>
    <w:p>
      <w:pPr>
        <w:keepNext w:val="0"/>
        <w:keepLines w:val="0"/>
        <w:pageBreakBefore w:val="0"/>
        <w:widowControl w:val="0"/>
        <w:kinsoku/>
        <w:wordWrap/>
        <w:overflowPunct/>
        <w:topLinePunct w:val="0"/>
        <w:autoSpaceDE/>
        <w:autoSpaceDN/>
        <w:bidi w:val="0"/>
        <w:adjustRightInd/>
        <w:spacing w:line="460" w:lineRule="exact"/>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1、四至：</w:t>
      </w:r>
      <w:r>
        <w:rPr>
          <w:rFonts w:hint="eastAsia" w:ascii="宋体" w:hAnsi="宋体"/>
          <w:color w:val="auto"/>
          <w:sz w:val="28"/>
          <w:szCs w:val="28"/>
          <w:lang w:val="en-US" w:eastAsia="zh-CN"/>
        </w:rPr>
        <w:t>宗地坐落于</w:t>
      </w:r>
      <w:r>
        <w:rPr>
          <w:rFonts w:hint="eastAsia" w:ascii="宋体" w:hAnsi="宋体"/>
          <w:color w:val="auto"/>
          <w:sz w:val="28"/>
          <w:szCs w:val="28"/>
          <w:lang w:eastAsia="zh-CN"/>
        </w:rPr>
        <w:t>原县隆兴昌镇胜利办事处福中园小区2-2-252</w:t>
      </w:r>
      <w:r>
        <w:rPr>
          <w:rFonts w:hint="eastAsia" w:ascii="宋体" w:hAnsi="宋体"/>
          <w:color w:val="auto"/>
          <w:sz w:val="28"/>
          <w:szCs w:val="28"/>
          <w:lang w:val="en-US" w:eastAsia="zh-CN"/>
        </w:rPr>
        <w:t>，</w:t>
      </w:r>
      <w:r>
        <w:rPr>
          <w:rFonts w:hint="eastAsia" w:ascii="宋体" w:hAnsi="宋体"/>
          <w:color w:val="auto"/>
          <w:kern w:val="2"/>
          <w:sz w:val="28"/>
          <w:szCs w:val="28"/>
          <w:lang w:eastAsia="zh-CN"/>
        </w:rPr>
        <w:t>所在小区东临居民区，南临建设路，西临今日富苑，北临广原小区</w:t>
      </w:r>
      <w:r>
        <w:rPr>
          <w:rFonts w:hint="eastAsia" w:ascii="宋体" w:hAnsi="宋体" w:eastAsia="宋体" w:cs="宋体"/>
          <w:color w:val="auto"/>
          <w:sz w:val="28"/>
          <w:szCs w:val="28"/>
        </w:rPr>
        <w:t>。</w:t>
      </w:r>
    </w:p>
    <w:p>
      <w:pPr>
        <w:keepNext w:val="0"/>
        <w:keepLines w:val="0"/>
        <w:pageBreakBefore w:val="0"/>
        <w:widowControl w:val="0"/>
        <w:kinsoku/>
        <w:wordWrap/>
        <w:overflowPunct/>
        <w:topLinePunct w:val="0"/>
        <w:autoSpaceDE/>
        <w:autoSpaceDN/>
        <w:bidi w:val="0"/>
        <w:adjustRightInd/>
        <w:spacing w:line="460" w:lineRule="exact"/>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2、土地形状：</w:t>
      </w:r>
      <w:r>
        <w:rPr>
          <w:rFonts w:hint="eastAsia" w:ascii="宋体" w:hAnsi="宋体"/>
          <w:color w:val="auto"/>
          <w:sz w:val="28"/>
          <w:szCs w:val="28"/>
          <w:lang w:val="en-US" w:eastAsia="zh-CN"/>
        </w:rPr>
        <w:t>土地形状为</w:t>
      </w:r>
      <w:r>
        <w:rPr>
          <w:rFonts w:hint="eastAsia" w:ascii="宋体" w:hAnsi="宋体"/>
          <w:color w:val="auto"/>
          <w:kern w:val="2"/>
          <w:sz w:val="28"/>
          <w:szCs w:val="28"/>
        </w:rPr>
        <w:t>长方形地势平坦</w:t>
      </w:r>
      <w:r>
        <w:rPr>
          <w:rFonts w:hint="eastAsia" w:ascii="宋体" w:hAnsi="宋体"/>
          <w:color w:val="auto"/>
          <w:kern w:val="2"/>
          <w:sz w:val="28"/>
          <w:szCs w:val="28"/>
          <w:lang w:eastAsia="zh-CN"/>
        </w:rPr>
        <w:t>。</w:t>
      </w:r>
    </w:p>
    <w:p>
      <w:pPr>
        <w:keepNext w:val="0"/>
        <w:keepLines w:val="0"/>
        <w:pageBreakBefore w:val="0"/>
        <w:widowControl w:val="0"/>
        <w:kinsoku/>
        <w:wordWrap/>
        <w:overflowPunct/>
        <w:topLinePunct w:val="0"/>
        <w:autoSpaceDE/>
        <w:autoSpaceDN/>
        <w:bidi w:val="0"/>
        <w:adjustRightInd/>
        <w:spacing w:line="460" w:lineRule="exact"/>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3、土地使用权类型：</w:t>
      </w:r>
      <w:r>
        <w:rPr>
          <w:rFonts w:hint="eastAsia" w:ascii="宋体" w:hAnsi="宋体" w:cs="宋体"/>
          <w:color w:val="auto"/>
          <w:sz w:val="28"/>
          <w:szCs w:val="28"/>
          <w:lang w:eastAsia="zh-CN"/>
        </w:rPr>
        <w:t>出让</w:t>
      </w:r>
      <w:r>
        <w:rPr>
          <w:rFonts w:hint="eastAsia" w:ascii="宋体" w:hAnsi="宋体" w:eastAsia="宋体" w:cs="宋体"/>
          <w:color w:val="auto"/>
          <w:sz w:val="28"/>
          <w:szCs w:val="28"/>
        </w:rPr>
        <w:t>。</w:t>
      </w:r>
    </w:p>
    <w:p>
      <w:pPr>
        <w:keepNext w:val="0"/>
        <w:keepLines w:val="0"/>
        <w:pageBreakBefore w:val="0"/>
        <w:widowControl w:val="0"/>
        <w:numPr>
          <w:ilvl w:val="0"/>
          <w:numId w:val="0"/>
        </w:numPr>
        <w:kinsoku/>
        <w:wordWrap/>
        <w:overflowPunct/>
        <w:topLinePunct w:val="0"/>
        <w:autoSpaceDE/>
        <w:autoSpaceDN/>
        <w:bidi w:val="0"/>
        <w:adjustRightInd/>
        <w:snapToGrid w:val="0"/>
        <w:spacing w:line="460" w:lineRule="exact"/>
        <w:ind w:firstLine="560" w:firstLineChars="200"/>
        <w:textAlignment w:val="auto"/>
        <w:outlineLvl w:val="0"/>
        <w:rPr>
          <w:rFonts w:hint="default" w:ascii="宋体" w:hAnsi="宋体"/>
          <w:sz w:val="28"/>
          <w:szCs w:val="28"/>
          <w:lang w:val="en-US" w:eastAsia="zh-CN"/>
        </w:rPr>
      </w:pPr>
      <w:r>
        <w:rPr>
          <w:rFonts w:hint="eastAsia" w:ascii="宋体" w:hAnsi="宋体" w:cs="宋体"/>
          <w:color w:val="auto"/>
          <w:sz w:val="28"/>
          <w:szCs w:val="28"/>
          <w:lang w:val="en-US" w:eastAsia="zh-CN"/>
        </w:rPr>
        <w:t>4</w:t>
      </w:r>
      <w:r>
        <w:rPr>
          <w:rFonts w:hint="eastAsia" w:ascii="宋体" w:hAnsi="宋体" w:eastAsia="宋体" w:cs="宋体"/>
          <w:color w:val="auto"/>
          <w:sz w:val="28"/>
          <w:szCs w:val="28"/>
        </w:rPr>
        <w:t>、开发程度：宗地内外均达</w:t>
      </w:r>
      <w:r>
        <w:rPr>
          <w:rFonts w:hint="eastAsia" w:ascii="宋体" w:hAnsi="宋体" w:eastAsia="宋体" w:cs="宋体"/>
          <w:color w:val="auto"/>
          <w:sz w:val="28"/>
          <w:szCs w:val="28"/>
          <w:lang w:eastAsia="zh-CN"/>
        </w:rPr>
        <w:t>七</w:t>
      </w:r>
      <w:r>
        <w:rPr>
          <w:rFonts w:hint="eastAsia" w:ascii="宋体" w:hAnsi="宋体" w:eastAsia="宋体" w:cs="宋体"/>
          <w:color w:val="auto"/>
          <w:sz w:val="28"/>
          <w:szCs w:val="28"/>
        </w:rPr>
        <w:t>通</w:t>
      </w:r>
      <w:r>
        <w:rPr>
          <w:rFonts w:hint="eastAsia" w:ascii="宋体" w:hAnsi="宋体" w:cs="宋体"/>
          <w:color w:val="auto"/>
          <w:sz w:val="28"/>
          <w:szCs w:val="28"/>
          <w:lang w:eastAsia="zh-CN"/>
        </w:rPr>
        <w:t>一平</w:t>
      </w:r>
      <w:r>
        <w:rPr>
          <w:rFonts w:hint="eastAsia" w:ascii="宋体" w:hAnsi="宋体" w:eastAsia="宋体" w:cs="宋体"/>
          <w:color w:val="auto"/>
          <w:sz w:val="28"/>
          <w:szCs w:val="28"/>
        </w:rPr>
        <w:t>（供水、排水、通路、通电、通讯、供热</w:t>
      </w:r>
      <w:r>
        <w:rPr>
          <w:rFonts w:hint="eastAsia" w:ascii="宋体" w:hAnsi="宋体" w:eastAsia="宋体" w:cs="宋体"/>
          <w:color w:val="auto"/>
          <w:sz w:val="28"/>
          <w:szCs w:val="28"/>
          <w:lang w:eastAsia="zh-CN"/>
        </w:rPr>
        <w:t>、通天然气</w:t>
      </w:r>
      <w:r>
        <w:rPr>
          <w:rFonts w:hint="eastAsia" w:ascii="宋体" w:hAnsi="宋体" w:cs="宋体"/>
          <w:color w:val="auto"/>
          <w:sz w:val="28"/>
          <w:szCs w:val="28"/>
          <w:lang w:eastAsia="zh-CN"/>
        </w:rPr>
        <w:t>及场地平整</w:t>
      </w:r>
      <w:r>
        <w:rPr>
          <w:rFonts w:hint="eastAsia" w:ascii="宋体" w:hAnsi="宋体" w:eastAsia="宋体" w:cs="宋体"/>
          <w:color w:val="auto"/>
          <w:sz w:val="28"/>
          <w:szCs w:val="28"/>
        </w:rPr>
        <w:t>）。</w:t>
      </w:r>
    </w:p>
    <w:p>
      <w:pPr>
        <w:keepNext w:val="0"/>
        <w:keepLines w:val="0"/>
        <w:pageBreakBefore w:val="0"/>
        <w:widowControl w:val="0"/>
        <w:numPr>
          <w:ilvl w:val="0"/>
          <w:numId w:val="0"/>
        </w:numPr>
        <w:kinsoku/>
        <w:wordWrap/>
        <w:overflowPunct/>
        <w:topLinePunct w:val="0"/>
        <w:autoSpaceDE/>
        <w:autoSpaceDN/>
        <w:bidi w:val="0"/>
        <w:adjustRightInd/>
        <w:snapToGrid w:val="0"/>
        <w:spacing w:line="460" w:lineRule="exact"/>
        <w:ind w:firstLine="560" w:firstLineChars="200"/>
        <w:textAlignment w:val="auto"/>
        <w:outlineLvl w:val="0"/>
        <w:rPr>
          <w:rFonts w:hint="eastAsia" w:ascii="宋体" w:hAnsi="宋体"/>
          <w:sz w:val="28"/>
          <w:szCs w:val="28"/>
          <w:lang w:val="en-US" w:eastAsia="zh-CN"/>
        </w:rPr>
      </w:pPr>
      <w:r>
        <w:rPr>
          <w:rFonts w:hint="eastAsia" w:ascii="宋体" w:hAnsi="宋体"/>
          <w:sz w:val="28"/>
          <w:szCs w:val="28"/>
          <w:lang w:eastAsia="zh-CN"/>
        </w:rPr>
        <w:t>二、权益状况分析</w:t>
      </w:r>
      <w:bookmarkEnd w:id="43"/>
    </w:p>
    <w:p>
      <w:pPr>
        <w:keepNext w:val="0"/>
        <w:keepLines w:val="0"/>
        <w:pageBreakBefore w:val="0"/>
        <w:widowControl w:val="0"/>
        <w:numPr>
          <w:ilvl w:val="0"/>
          <w:numId w:val="0"/>
        </w:numPr>
        <w:kinsoku/>
        <w:wordWrap/>
        <w:overflowPunct/>
        <w:topLinePunct w:val="0"/>
        <w:autoSpaceDE/>
        <w:autoSpaceDN/>
        <w:bidi w:val="0"/>
        <w:adjustRightInd/>
        <w:snapToGrid w:val="0"/>
        <w:spacing w:line="460" w:lineRule="exact"/>
        <w:ind w:firstLine="560"/>
        <w:textAlignment w:val="auto"/>
        <w:outlineLvl w:val="0"/>
        <w:rPr>
          <w:rFonts w:hint="eastAsia" w:ascii="宋体" w:hAnsi="宋体"/>
          <w:sz w:val="28"/>
          <w:szCs w:val="28"/>
          <w:lang w:val="en-US" w:eastAsia="zh-CN"/>
        </w:rPr>
      </w:pPr>
      <w:bookmarkStart w:id="44" w:name="_Toc17429"/>
      <w:r>
        <w:rPr>
          <w:rFonts w:hint="eastAsia" w:ascii="宋体" w:hAnsi="宋体"/>
          <w:sz w:val="28"/>
          <w:szCs w:val="28"/>
          <w:lang w:val="en-US" w:eastAsia="zh-CN"/>
        </w:rPr>
        <w:t>估价对象的《房屋所有权证》证号为4731号，房屋所有权人为王</w:t>
      </w:r>
    </w:p>
    <w:p>
      <w:pPr>
        <w:keepNext w:val="0"/>
        <w:keepLines w:val="0"/>
        <w:pageBreakBefore w:val="0"/>
        <w:widowControl w:val="0"/>
        <w:numPr>
          <w:ilvl w:val="0"/>
          <w:numId w:val="0"/>
        </w:numPr>
        <w:kinsoku/>
        <w:wordWrap/>
        <w:overflowPunct/>
        <w:topLinePunct w:val="0"/>
        <w:autoSpaceDE/>
        <w:autoSpaceDN/>
        <w:bidi w:val="0"/>
        <w:adjustRightInd/>
        <w:snapToGrid w:val="0"/>
        <w:spacing w:line="460" w:lineRule="exact"/>
        <w:ind w:firstLine="560"/>
        <w:textAlignment w:val="auto"/>
        <w:outlineLvl w:val="0"/>
        <w:rPr>
          <w:rFonts w:hint="eastAsia" w:ascii="宋体" w:hAnsi="宋体"/>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val="0"/>
        <w:spacing w:line="460" w:lineRule="exact"/>
        <w:textAlignment w:val="auto"/>
        <w:outlineLvl w:val="0"/>
        <w:rPr>
          <w:rFonts w:hint="eastAsia" w:ascii="宋体" w:hAnsi="宋体"/>
          <w:color w:val="auto"/>
          <w:sz w:val="28"/>
          <w:szCs w:val="28"/>
          <w:lang w:val="en-US" w:eastAsia="zh-CN"/>
        </w:rPr>
      </w:pPr>
      <w:r>
        <w:rPr>
          <w:rFonts w:hint="eastAsia" w:ascii="宋体" w:hAnsi="宋体"/>
          <w:sz w:val="28"/>
          <w:szCs w:val="28"/>
          <w:lang w:val="en-US" w:eastAsia="zh-CN"/>
        </w:rPr>
        <w:t>敏，房屋坐落于</w:t>
      </w:r>
      <w:r>
        <w:rPr>
          <w:rFonts w:hint="eastAsia" w:ascii="宋体" w:hAnsi="宋体"/>
          <w:color w:val="auto"/>
          <w:sz w:val="28"/>
          <w:szCs w:val="28"/>
          <w:lang w:eastAsia="zh-CN"/>
        </w:rPr>
        <w:t>五原县隆兴昌镇胜利办事处福中园小区2-2-252，结构为砖混结构，总层数为</w:t>
      </w:r>
      <w:r>
        <w:rPr>
          <w:rFonts w:hint="eastAsia" w:ascii="宋体" w:hAnsi="宋体"/>
          <w:color w:val="auto"/>
          <w:sz w:val="28"/>
          <w:szCs w:val="28"/>
          <w:lang w:val="en-US" w:eastAsia="zh-CN"/>
        </w:rPr>
        <w:t>六层，所在层数为第五层，</w:t>
      </w:r>
      <w:r>
        <w:rPr>
          <w:rFonts w:hint="eastAsia" w:ascii="宋体" w:hAnsi="宋体"/>
          <w:color w:val="auto"/>
          <w:sz w:val="28"/>
          <w:szCs w:val="28"/>
        </w:rPr>
        <w:t>建筑面积为</w:t>
      </w:r>
      <w:r>
        <w:rPr>
          <w:rFonts w:hint="eastAsia" w:ascii="宋体" w:hAnsi="宋体"/>
          <w:color w:val="auto"/>
          <w:sz w:val="28"/>
          <w:szCs w:val="28"/>
          <w:lang w:val="en-US" w:eastAsia="zh-CN"/>
        </w:rPr>
        <w:t>83.43</w:t>
      </w:r>
      <w:r>
        <w:rPr>
          <w:rFonts w:hint="eastAsia" w:ascii="宋体" w:hAnsi="宋体"/>
          <w:color w:val="auto"/>
          <w:sz w:val="28"/>
          <w:szCs w:val="28"/>
        </w:rPr>
        <w:t>㎡</w:t>
      </w:r>
      <w:r>
        <w:rPr>
          <w:rFonts w:hint="eastAsia" w:ascii="宋体" w:hAnsi="宋体"/>
          <w:color w:val="auto"/>
          <w:sz w:val="28"/>
          <w:szCs w:val="28"/>
          <w:lang w:eastAsia="zh-CN"/>
        </w:rPr>
        <w:t>，</w:t>
      </w:r>
      <w:r>
        <w:rPr>
          <w:rFonts w:hint="eastAsia" w:ascii="宋体" w:hAnsi="宋体"/>
          <w:color w:val="auto"/>
          <w:sz w:val="28"/>
          <w:szCs w:val="28"/>
          <w:lang w:val="en-US" w:eastAsia="zh-CN"/>
        </w:rPr>
        <w:t>估价对象房屋当前状况为自用状态。</w:t>
      </w:r>
    </w:p>
    <w:p>
      <w:pPr>
        <w:spacing w:line="480" w:lineRule="exact"/>
        <w:ind w:firstLine="560" w:firstLineChars="200"/>
        <w:outlineLvl w:val="0"/>
        <w:rPr>
          <w:rFonts w:hint="eastAsia"/>
          <w:sz w:val="28"/>
          <w:szCs w:val="28"/>
        </w:rPr>
      </w:pPr>
      <w:r>
        <w:rPr>
          <w:rFonts w:hint="eastAsia"/>
          <w:sz w:val="28"/>
          <w:szCs w:val="28"/>
          <w:lang w:eastAsia="zh-CN"/>
        </w:rPr>
        <w:t>三</w:t>
      </w:r>
      <w:r>
        <w:rPr>
          <w:rFonts w:hint="eastAsia"/>
          <w:sz w:val="28"/>
          <w:szCs w:val="28"/>
        </w:rPr>
        <w:t>、区域因素分析</w:t>
      </w:r>
      <w:bookmarkEnd w:id="44"/>
    </w:p>
    <w:p>
      <w:pPr>
        <w:keepNext w:val="0"/>
        <w:keepLines w:val="0"/>
        <w:pageBreakBefore w:val="0"/>
        <w:kinsoku/>
        <w:wordWrap/>
        <w:overflowPunct/>
        <w:topLinePunct w:val="0"/>
        <w:autoSpaceDE/>
        <w:autoSpaceDN/>
        <w:bidi w:val="0"/>
        <w:adjustRightInd/>
        <w:spacing w:line="520" w:lineRule="exact"/>
        <w:ind w:firstLine="560" w:firstLineChars="200"/>
        <w:textAlignment w:val="auto"/>
        <w:rPr>
          <w:rFonts w:hint="eastAsia" w:eastAsia="宋体"/>
          <w:color w:val="auto"/>
          <w:sz w:val="28"/>
          <w:szCs w:val="28"/>
          <w:lang w:val="en-US" w:eastAsia="zh-CN"/>
        </w:rPr>
      </w:pPr>
      <w:bookmarkStart w:id="45" w:name="_Toc22364"/>
      <w:r>
        <w:rPr>
          <w:rFonts w:hint="eastAsia"/>
          <w:color w:val="auto"/>
          <w:sz w:val="28"/>
          <w:szCs w:val="28"/>
        </w:rPr>
        <w:t>1、区域位置</w:t>
      </w:r>
      <w:r>
        <w:rPr>
          <w:rFonts w:hint="eastAsia"/>
          <w:color w:val="auto"/>
          <w:sz w:val="28"/>
          <w:szCs w:val="28"/>
          <w:lang w:eastAsia="zh-CN"/>
        </w:rPr>
        <w:t>及周边公共配套情况</w:t>
      </w:r>
    </w:p>
    <w:p>
      <w:pPr>
        <w:pStyle w:val="61"/>
        <w:keepNext w:val="0"/>
        <w:keepLines w:val="0"/>
        <w:pageBreakBefore w:val="0"/>
        <w:kinsoku/>
        <w:wordWrap/>
        <w:overflowPunct/>
        <w:topLinePunct w:val="0"/>
        <w:autoSpaceDE/>
        <w:autoSpaceDN/>
        <w:bidi w:val="0"/>
        <w:adjustRightInd/>
        <w:spacing w:line="520" w:lineRule="exact"/>
        <w:ind w:firstLine="560" w:firstLineChars="200"/>
        <w:textAlignment w:val="auto"/>
        <w:rPr>
          <w:kern w:val="2"/>
          <w:sz w:val="28"/>
          <w:szCs w:val="28"/>
        </w:rPr>
      </w:pPr>
      <w:r>
        <w:rPr>
          <w:rFonts w:hint="eastAsia"/>
          <w:color w:val="auto"/>
          <w:kern w:val="2"/>
          <w:sz w:val="28"/>
          <w:szCs w:val="28"/>
        </w:rPr>
        <w:t>估价对象所处位置坐落于</w:t>
      </w:r>
      <w:r>
        <w:rPr>
          <w:rFonts w:hint="eastAsia" w:ascii="宋体" w:hAnsi="宋体"/>
          <w:color w:val="auto"/>
          <w:kern w:val="2"/>
          <w:sz w:val="28"/>
          <w:szCs w:val="28"/>
          <w:lang w:eastAsia="zh-CN"/>
        </w:rPr>
        <w:t>巴彦淖尔市五原县隆兴昌镇胜利办事处福中园小区2-2-252</w:t>
      </w:r>
      <w:r>
        <w:rPr>
          <w:rFonts w:hint="eastAsia"/>
          <w:color w:val="auto"/>
          <w:kern w:val="2"/>
          <w:sz w:val="28"/>
          <w:szCs w:val="28"/>
        </w:rPr>
        <w:t>，</w:t>
      </w:r>
      <w:r>
        <w:rPr>
          <w:rFonts w:hint="eastAsia" w:ascii="宋体" w:hAnsi="宋体"/>
          <w:color w:val="auto"/>
          <w:kern w:val="2"/>
          <w:sz w:val="28"/>
          <w:szCs w:val="28"/>
          <w:lang w:eastAsia="zh-CN"/>
        </w:rPr>
        <w:t>该</w:t>
      </w:r>
      <w:r>
        <w:rPr>
          <w:rFonts w:hint="eastAsia" w:ascii="宋体" w:hAnsi="宋体"/>
          <w:color w:val="auto"/>
          <w:kern w:val="2"/>
          <w:sz w:val="28"/>
          <w:szCs w:val="28"/>
        </w:rPr>
        <w:t>估价</w:t>
      </w:r>
      <w:r>
        <w:rPr>
          <w:rFonts w:hint="eastAsia" w:ascii="宋体" w:hAnsi="宋体"/>
          <w:color w:val="auto"/>
          <w:kern w:val="2"/>
          <w:sz w:val="28"/>
          <w:szCs w:val="28"/>
          <w:lang w:eastAsia="zh-CN"/>
        </w:rPr>
        <w:t>对象所在小区东临居民区，南临建设路，西临今日富苑，北临广原小区，同时区域内有五原县第四小学、五原县第一中学、蒙商银行、五原县农商银行、葵花广场等公共配套设施，估价对象区域位置较好。</w:t>
      </w:r>
    </w:p>
    <w:p>
      <w:pPr>
        <w:keepNext w:val="0"/>
        <w:keepLines w:val="0"/>
        <w:pageBreakBefore w:val="0"/>
        <w:kinsoku/>
        <w:wordWrap/>
        <w:overflowPunct/>
        <w:topLinePunct w:val="0"/>
        <w:autoSpaceDE/>
        <w:autoSpaceDN/>
        <w:bidi w:val="0"/>
        <w:adjustRightInd/>
        <w:spacing w:line="520" w:lineRule="exact"/>
        <w:ind w:firstLine="560" w:firstLineChars="200"/>
        <w:textAlignment w:val="auto"/>
        <w:rPr>
          <w:rFonts w:hint="eastAsia"/>
          <w:sz w:val="28"/>
          <w:szCs w:val="28"/>
        </w:rPr>
      </w:pPr>
      <w:r>
        <w:rPr>
          <w:rFonts w:hint="eastAsia"/>
          <w:sz w:val="28"/>
          <w:szCs w:val="28"/>
        </w:rPr>
        <w:t>2、交通便捷程度</w:t>
      </w:r>
    </w:p>
    <w:p>
      <w:pPr>
        <w:keepNext w:val="0"/>
        <w:keepLines w:val="0"/>
        <w:pageBreakBefore w:val="0"/>
        <w:kinsoku/>
        <w:wordWrap/>
        <w:overflowPunct/>
        <w:topLinePunct w:val="0"/>
        <w:autoSpaceDE/>
        <w:autoSpaceDN/>
        <w:bidi w:val="0"/>
        <w:adjustRightInd/>
        <w:spacing w:line="520" w:lineRule="exact"/>
        <w:ind w:firstLine="560" w:firstLineChars="200"/>
        <w:textAlignment w:val="auto"/>
        <w:rPr>
          <w:rFonts w:hint="eastAsia"/>
          <w:sz w:val="28"/>
          <w:szCs w:val="28"/>
        </w:rPr>
      </w:pPr>
      <w:r>
        <w:rPr>
          <w:rFonts w:hint="eastAsia"/>
          <w:sz w:val="28"/>
          <w:szCs w:val="28"/>
        </w:rPr>
        <w:t>估价对象所在区域周围道路</w:t>
      </w:r>
      <w:r>
        <w:rPr>
          <w:rFonts w:hint="eastAsia"/>
          <w:sz w:val="28"/>
          <w:szCs w:val="28"/>
          <w:lang w:eastAsia="zh-CN"/>
        </w:rPr>
        <w:t>主要以建设路为主</w:t>
      </w:r>
      <w:r>
        <w:rPr>
          <w:rFonts w:hint="eastAsia"/>
          <w:sz w:val="28"/>
          <w:szCs w:val="28"/>
        </w:rPr>
        <w:t>，</w:t>
      </w:r>
      <w:r>
        <w:rPr>
          <w:rFonts w:hint="eastAsia"/>
          <w:sz w:val="28"/>
          <w:szCs w:val="28"/>
          <w:lang w:eastAsia="zh-CN"/>
        </w:rPr>
        <w:t>其</w:t>
      </w:r>
      <w:r>
        <w:rPr>
          <w:rFonts w:hint="eastAsia"/>
          <w:sz w:val="28"/>
          <w:szCs w:val="28"/>
        </w:rPr>
        <w:t>道路通达性和便捷度</w:t>
      </w:r>
      <w:r>
        <w:rPr>
          <w:rFonts w:hint="eastAsia"/>
          <w:sz w:val="28"/>
          <w:szCs w:val="28"/>
          <w:lang w:eastAsia="zh-CN"/>
        </w:rPr>
        <w:t>及繁华程度较好</w:t>
      </w:r>
      <w:r>
        <w:rPr>
          <w:rFonts w:hint="eastAsia"/>
          <w:sz w:val="28"/>
          <w:szCs w:val="28"/>
        </w:rPr>
        <w:t>。</w:t>
      </w:r>
    </w:p>
    <w:p>
      <w:pPr>
        <w:keepNext w:val="0"/>
        <w:keepLines w:val="0"/>
        <w:pageBreakBefore w:val="0"/>
        <w:kinsoku/>
        <w:wordWrap/>
        <w:overflowPunct/>
        <w:topLinePunct w:val="0"/>
        <w:autoSpaceDE/>
        <w:autoSpaceDN/>
        <w:bidi w:val="0"/>
        <w:adjustRightInd/>
        <w:spacing w:line="520" w:lineRule="exact"/>
        <w:ind w:firstLine="560" w:firstLineChars="200"/>
        <w:textAlignment w:val="auto"/>
        <w:rPr>
          <w:rFonts w:hint="eastAsia" w:ascii="宋体" w:hAnsi="宋体"/>
          <w:color w:val="auto"/>
          <w:kern w:val="2"/>
          <w:sz w:val="28"/>
          <w:szCs w:val="28"/>
          <w:lang w:val="en-US" w:eastAsia="zh-CN" w:bidi="ar-SA"/>
        </w:rPr>
      </w:pPr>
      <w:r>
        <w:rPr>
          <w:rFonts w:hint="eastAsia" w:ascii="宋体" w:hAnsi="宋体"/>
          <w:color w:val="auto"/>
          <w:kern w:val="2"/>
          <w:sz w:val="28"/>
          <w:szCs w:val="28"/>
          <w:lang w:val="en-US" w:eastAsia="zh-CN" w:bidi="ar-SA"/>
        </w:rPr>
        <w:t>3、环境和景观</w:t>
      </w:r>
    </w:p>
    <w:p>
      <w:pPr>
        <w:keepNext w:val="0"/>
        <w:keepLines w:val="0"/>
        <w:pageBreakBefore w:val="0"/>
        <w:kinsoku/>
        <w:wordWrap/>
        <w:overflowPunct/>
        <w:topLinePunct w:val="0"/>
        <w:autoSpaceDE/>
        <w:autoSpaceDN/>
        <w:bidi w:val="0"/>
        <w:adjustRightInd/>
        <w:spacing w:line="520" w:lineRule="exact"/>
        <w:ind w:firstLine="560" w:firstLineChars="200"/>
        <w:textAlignment w:val="auto"/>
        <w:rPr>
          <w:rFonts w:hint="eastAsia" w:ascii="宋体" w:hAnsi="宋体"/>
          <w:color w:val="auto"/>
          <w:kern w:val="2"/>
          <w:sz w:val="28"/>
          <w:szCs w:val="28"/>
          <w:lang w:val="en-US" w:eastAsia="zh-CN" w:bidi="ar-SA"/>
        </w:rPr>
      </w:pPr>
      <w:r>
        <w:rPr>
          <w:rFonts w:hint="eastAsia" w:ascii="宋体" w:hAnsi="宋体"/>
          <w:color w:val="auto"/>
          <w:kern w:val="2"/>
          <w:sz w:val="28"/>
          <w:szCs w:val="28"/>
          <w:lang w:val="en-US" w:eastAsia="zh-CN" w:bidi="ar-SA"/>
        </w:rPr>
        <w:t>估价对象所在区域随着政府改造工程的实施，区域内绿地、植被布局和建筑格局进一步合理，环境及景观较好。</w:t>
      </w:r>
    </w:p>
    <w:p>
      <w:pPr>
        <w:keepNext w:val="0"/>
        <w:keepLines w:val="0"/>
        <w:pageBreakBefore w:val="0"/>
        <w:kinsoku/>
        <w:wordWrap/>
        <w:overflowPunct/>
        <w:topLinePunct w:val="0"/>
        <w:autoSpaceDE/>
        <w:autoSpaceDN/>
        <w:bidi w:val="0"/>
        <w:adjustRightInd/>
        <w:spacing w:line="520" w:lineRule="exact"/>
        <w:ind w:firstLine="560" w:firstLineChars="200"/>
        <w:textAlignment w:val="auto"/>
        <w:rPr>
          <w:rFonts w:hint="eastAsia" w:ascii="宋体" w:hAnsi="宋体"/>
          <w:color w:val="auto"/>
          <w:kern w:val="2"/>
          <w:sz w:val="28"/>
          <w:szCs w:val="28"/>
          <w:lang w:val="en-US" w:eastAsia="zh-CN" w:bidi="ar-SA"/>
        </w:rPr>
      </w:pPr>
      <w:r>
        <w:rPr>
          <w:rFonts w:hint="eastAsia" w:ascii="宋体" w:hAnsi="宋体"/>
          <w:color w:val="auto"/>
          <w:kern w:val="2"/>
          <w:sz w:val="28"/>
          <w:szCs w:val="28"/>
          <w:lang w:val="en-US" w:eastAsia="zh-CN" w:bidi="ar-SA"/>
        </w:rPr>
        <w:t>4、</w:t>
      </w:r>
      <w:r>
        <w:rPr>
          <w:rFonts w:hint="eastAsia"/>
          <w:sz w:val="28"/>
          <w:szCs w:val="28"/>
          <w:lang w:eastAsia="zh-CN"/>
        </w:rPr>
        <w:t>基础设施</w:t>
      </w:r>
      <w:r>
        <w:rPr>
          <w:rFonts w:hint="eastAsia"/>
          <w:sz w:val="28"/>
          <w:szCs w:val="28"/>
        </w:rPr>
        <w:t>设施完备程度</w:t>
      </w:r>
    </w:p>
    <w:p>
      <w:pPr>
        <w:keepNext w:val="0"/>
        <w:keepLines w:val="0"/>
        <w:pageBreakBefore w:val="0"/>
        <w:kinsoku/>
        <w:wordWrap/>
        <w:overflowPunct/>
        <w:topLinePunct w:val="0"/>
        <w:autoSpaceDE/>
        <w:autoSpaceDN/>
        <w:bidi w:val="0"/>
        <w:adjustRightInd/>
        <w:spacing w:line="520" w:lineRule="exact"/>
        <w:ind w:firstLine="560" w:firstLineChars="200"/>
        <w:textAlignment w:val="auto"/>
        <w:rPr>
          <w:rFonts w:hint="eastAsia" w:ascii="宋体" w:hAnsi="宋体"/>
          <w:color w:val="auto"/>
          <w:kern w:val="2"/>
          <w:sz w:val="28"/>
          <w:szCs w:val="28"/>
          <w:lang w:val="en-US" w:eastAsia="zh-CN" w:bidi="ar-SA"/>
        </w:rPr>
      </w:pPr>
      <w:r>
        <w:rPr>
          <w:rFonts w:hint="eastAsia" w:ascii="宋体" w:hAnsi="宋体"/>
          <w:color w:val="auto"/>
          <w:kern w:val="2"/>
          <w:sz w:val="28"/>
          <w:szCs w:val="28"/>
          <w:lang w:val="en-US" w:eastAsia="zh-CN" w:bidi="ar-SA"/>
        </w:rPr>
        <w:t>经估价人员实地查勘，估价对象所在区域基础设施开发程度已达到七通一平（通上水、通下水、通电、通路、通讯、通暖、通天然气、场地平整），基础设施总体状况较好。</w:t>
      </w:r>
    </w:p>
    <w:p>
      <w:pPr>
        <w:pStyle w:val="61"/>
        <w:keepNext w:val="0"/>
        <w:keepLines w:val="0"/>
        <w:pageBreakBefore w:val="0"/>
        <w:kinsoku/>
        <w:wordWrap/>
        <w:overflowPunct/>
        <w:topLinePunct w:val="0"/>
        <w:autoSpaceDE/>
        <w:autoSpaceDN/>
        <w:bidi w:val="0"/>
        <w:adjustRightInd/>
        <w:spacing w:line="520" w:lineRule="exact"/>
        <w:ind w:firstLine="560" w:firstLineChars="200"/>
        <w:textAlignment w:val="auto"/>
        <w:rPr>
          <w:rFonts w:hint="eastAsia" w:ascii="宋体" w:hAnsi="宋体"/>
          <w:color w:val="auto"/>
          <w:kern w:val="2"/>
          <w:sz w:val="28"/>
          <w:szCs w:val="28"/>
          <w:lang w:eastAsia="zh-CN"/>
        </w:rPr>
      </w:pPr>
      <w:r>
        <w:rPr>
          <w:rFonts w:hint="eastAsia" w:ascii="宋体" w:hAnsi="宋体"/>
          <w:color w:val="auto"/>
          <w:kern w:val="2"/>
          <w:sz w:val="28"/>
          <w:szCs w:val="28"/>
          <w:lang w:eastAsia="zh-CN"/>
        </w:rPr>
        <w:t>四、最高最佳利用分析</w:t>
      </w:r>
      <w:bookmarkEnd w:id="45"/>
    </w:p>
    <w:p>
      <w:pPr>
        <w:pStyle w:val="61"/>
        <w:keepNext w:val="0"/>
        <w:keepLines w:val="0"/>
        <w:pageBreakBefore w:val="0"/>
        <w:kinsoku/>
        <w:wordWrap/>
        <w:overflowPunct/>
        <w:topLinePunct w:val="0"/>
        <w:autoSpaceDE/>
        <w:autoSpaceDN/>
        <w:bidi w:val="0"/>
        <w:adjustRightInd/>
        <w:spacing w:line="520" w:lineRule="exact"/>
        <w:ind w:firstLine="560" w:firstLineChars="200"/>
        <w:textAlignment w:val="auto"/>
        <w:rPr>
          <w:rFonts w:hint="eastAsia" w:ascii="宋体" w:hAnsi="宋体"/>
          <w:color w:val="auto"/>
          <w:kern w:val="2"/>
          <w:sz w:val="28"/>
          <w:szCs w:val="28"/>
          <w:lang w:eastAsia="zh-CN"/>
        </w:rPr>
      </w:pPr>
      <w:r>
        <w:rPr>
          <w:rFonts w:hint="eastAsia" w:ascii="宋体" w:hAnsi="宋体"/>
          <w:color w:val="auto"/>
          <w:kern w:val="2"/>
          <w:sz w:val="28"/>
          <w:szCs w:val="28"/>
          <w:lang w:eastAsia="zh-CN"/>
        </w:rPr>
        <w:t>最高最佳利用是估价对象房地产的一种最可能的利用。这种最可能的利用指法律上允许、技术上可能、经济上可行、经过充分合理的论证，并能给估价对象带来最高价值的利用。它的一种具体体现，是以使估价对象获得最佳的用途和开发强度来衡量，也就是说，评估价格应是合法利用方式下，各种可能的利用方法中，能获得最大收益的利用方式的估价结果，根据委托人提供的资料及估价人员实地查勘，估价人员认为该估价对象的预计利用功能合理、交通状况良好、基础及生活服务设施齐全，从其土地用途及周边环境来看，目前作为住宅用房利用符合最高最佳利用原则。</w:t>
      </w:r>
    </w:p>
    <w:p>
      <w:pPr>
        <w:pStyle w:val="61"/>
        <w:keepNext w:val="0"/>
        <w:keepLines w:val="0"/>
        <w:pageBreakBefore w:val="0"/>
        <w:kinsoku/>
        <w:wordWrap/>
        <w:overflowPunct/>
        <w:topLinePunct w:val="0"/>
        <w:autoSpaceDE/>
        <w:autoSpaceDN/>
        <w:bidi w:val="0"/>
        <w:adjustRightInd/>
        <w:spacing w:line="520" w:lineRule="exact"/>
        <w:ind w:firstLine="560" w:firstLineChars="200"/>
        <w:textAlignment w:val="auto"/>
        <w:rPr>
          <w:rFonts w:hint="eastAsia" w:ascii="宋体" w:hAnsi="宋体"/>
          <w:color w:val="auto"/>
          <w:kern w:val="2"/>
          <w:sz w:val="28"/>
          <w:szCs w:val="28"/>
          <w:lang w:eastAsia="zh-CN"/>
        </w:rPr>
      </w:pPr>
      <w:bookmarkStart w:id="46" w:name="_Toc6260"/>
      <w:r>
        <w:rPr>
          <w:rFonts w:hint="eastAsia" w:ascii="宋体" w:hAnsi="宋体"/>
          <w:color w:val="auto"/>
          <w:kern w:val="2"/>
          <w:sz w:val="28"/>
          <w:szCs w:val="28"/>
          <w:lang w:eastAsia="zh-CN"/>
        </w:rPr>
        <w:t>五、估价方法</w:t>
      </w:r>
      <w:bookmarkEnd w:id="46"/>
      <w:r>
        <w:rPr>
          <w:rFonts w:hint="eastAsia" w:ascii="宋体" w:hAnsi="宋体"/>
          <w:color w:val="auto"/>
          <w:kern w:val="2"/>
          <w:sz w:val="28"/>
          <w:szCs w:val="28"/>
          <w:lang w:eastAsia="zh-CN"/>
        </w:rPr>
        <w:t>适用性分析</w:t>
      </w:r>
    </w:p>
    <w:p>
      <w:pPr>
        <w:pStyle w:val="61"/>
        <w:keepNext w:val="0"/>
        <w:keepLines w:val="0"/>
        <w:pageBreakBefore w:val="0"/>
        <w:kinsoku/>
        <w:wordWrap/>
        <w:overflowPunct/>
        <w:topLinePunct w:val="0"/>
        <w:autoSpaceDE/>
        <w:autoSpaceDN/>
        <w:bidi w:val="0"/>
        <w:adjustRightInd/>
        <w:spacing w:line="520" w:lineRule="exact"/>
        <w:ind w:firstLine="560" w:firstLineChars="200"/>
        <w:textAlignment w:val="auto"/>
        <w:rPr>
          <w:rFonts w:hint="eastAsia" w:ascii="宋体" w:hAnsi="宋体"/>
          <w:color w:val="auto"/>
          <w:kern w:val="2"/>
          <w:sz w:val="28"/>
          <w:szCs w:val="28"/>
          <w:lang w:eastAsia="zh-CN"/>
        </w:rPr>
      </w:pPr>
      <w:r>
        <w:rPr>
          <w:rFonts w:hint="eastAsia" w:ascii="宋体" w:hAnsi="宋体"/>
          <w:color w:val="auto"/>
          <w:kern w:val="2"/>
          <w:sz w:val="28"/>
          <w:szCs w:val="28"/>
          <w:lang w:val="en-US" w:eastAsia="zh-CN"/>
        </w:rPr>
        <w:t>1、</w:t>
      </w:r>
      <w:r>
        <w:rPr>
          <w:rFonts w:hint="eastAsia" w:ascii="宋体" w:hAnsi="宋体"/>
          <w:color w:val="auto"/>
          <w:kern w:val="2"/>
          <w:sz w:val="28"/>
          <w:szCs w:val="28"/>
          <w:lang w:eastAsia="zh-CN"/>
        </w:rPr>
        <w:t>估价方法的选用</w:t>
      </w:r>
    </w:p>
    <w:p>
      <w:pPr>
        <w:pStyle w:val="61"/>
        <w:keepNext w:val="0"/>
        <w:keepLines w:val="0"/>
        <w:pageBreakBefore w:val="0"/>
        <w:kinsoku/>
        <w:wordWrap/>
        <w:overflowPunct/>
        <w:topLinePunct w:val="0"/>
        <w:autoSpaceDE/>
        <w:autoSpaceDN/>
        <w:bidi w:val="0"/>
        <w:adjustRightInd/>
        <w:spacing w:line="520" w:lineRule="exact"/>
        <w:ind w:firstLine="560" w:firstLineChars="200"/>
        <w:textAlignment w:val="auto"/>
        <w:rPr>
          <w:rFonts w:hint="eastAsia" w:ascii="宋体" w:hAnsi="宋体"/>
          <w:color w:val="auto"/>
          <w:kern w:val="2"/>
          <w:sz w:val="28"/>
          <w:szCs w:val="28"/>
          <w:lang w:eastAsia="zh-CN"/>
        </w:rPr>
      </w:pPr>
      <w:r>
        <w:rPr>
          <w:rFonts w:hint="eastAsia" w:ascii="宋体" w:hAnsi="宋体"/>
          <w:color w:val="auto"/>
          <w:kern w:val="2"/>
          <w:sz w:val="28"/>
          <w:szCs w:val="28"/>
          <w:lang w:eastAsia="zh-CN"/>
        </w:rPr>
        <w:t>估价人员根据估价对象的特点和实际状况，因此采用了如下方法进行评估：</w:t>
      </w:r>
    </w:p>
    <w:p>
      <w:pPr>
        <w:pStyle w:val="61"/>
        <w:keepNext w:val="0"/>
        <w:keepLines w:val="0"/>
        <w:pageBreakBefore w:val="0"/>
        <w:kinsoku/>
        <w:wordWrap/>
        <w:overflowPunct/>
        <w:topLinePunct w:val="0"/>
        <w:autoSpaceDE/>
        <w:autoSpaceDN/>
        <w:bidi w:val="0"/>
        <w:adjustRightInd/>
        <w:spacing w:line="520" w:lineRule="exact"/>
        <w:ind w:firstLine="560" w:firstLineChars="200"/>
        <w:textAlignment w:val="auto"/>
        <w:rPr>
          <w:rFonts w:hint="eastAsia" w:ascii="宋体" w:hAnsi="宋体"/>
          <w:color w:val="auto"/>
          <w:kern w:val="2"/>
          <w:sz w:val="28"/>
          <w:szCs w:val="28"/>
          <w:lang w:eastAsia="zh-CN"/>
        </w:rPr>
      </w:pPr>
      <w:r>
        <w:rPr>
          <w:rFonts w:hint="eastAsia" w:ascii="宋体" w:hAnsi="宋体"/>
          <w:color w:val="auto"/>
          <w:kern w:val="2"/>
          <w:sz w:val="28"/>
          <w:szCs w:val="28"/>
          <w:lang w:eastAsia="zh-CN"/>
        </w:rPr>
        <w:t>估价人员在现场查勘的基础上，根据房地产估价规范有关规定，“有条件选用市场法进行估价的，应以市场法作为主要估价方法”，“收益性房地产的估价，应选用收益法作为其中的一种估价方法”。根据《房地产估价规范》以及估价人员掌握的房地产市场资料和长期积累的房地产估价经验数据，综合分析影响房地产价格的各项因素，对估价对象采用比较法、收益法进行估价。</w:t>
      </w:r>
    </w:p>
    <w:p>
      <w:pPr>
        <w:pStyle w:val="61"/>
        <w:keepNext w:val="0"/>
        <w:keepLines w:val="0"/>
        <w:pageBreakBefore w:val="0"/>
        <w:kinsoku/>
        <w:wordWrap/>
        <w:overflowPunct/>
        <w:topLinePunct w:val="0"/>
        <w:autoSpaceDE/>
        <w:autoSpaceDN/>
        <w:bidi w:val="0"/>
        <w:adjustRightInd/>
        <w:spacing w:line="520" w:lineRule="exact"/>
        <w:ind w:firstLine="560" w:firstLineChars="200"/>
        <w:textAlignment w:val="auto"/>
        <w:rPr>
          <w:rFonts w:hint="eastAsia" w:ascii="宋体" w:hAnsi="宋体"/>
          <w:color w:val="auto"/>
          <w:kern w:val="2"/>
          <w:sz w:val="28"/>
          <w:szCs w:val="28"/>
          <w:lang w:eastAsia="zh-CN"/>
        </w:rPr>
      </w:pPr>
      <w:r>
        <w:rPr>
          <w:rFonts w:hint="eastAsia" w:ascii="宋体" w:hAnsi="宋体"/>
          <w:color w:val="auto"/>
          <w:kern w:val="2"/>
          <w:sz w:val="28"/>
          <w:szCs w:val="28"/>
          <w:lang w:val="en-US" w:eastAsia="zh-CN"/>
        </w:rPr>
        <w:t>2</w:t>
      </w:r>
      <w:r>
        <w:rPr>
          <w:rFonts w:hint="eastAsia" w:ascii="宋体" w:hAnsi="宋体"/>
          <w:color w:val="auto"/>
          <w:kern w:val="2"/>
          <w:sz w:val="28"/>
          <w:szCs w:val="28"/>
          <w:lang w:eastAsia="zh-CN"/>
        </w:rPr>
        <w:t>、本次选用估价方法定义及基本公式</w:t>
      </w:r>
    </w:p>
    <w:p>
      <w:pPr>
        <w:pStyle w:val="61"/>
        <w:keepNext w:val="0"/>
        <w:keepLines w:val="0"/>
        <w:pageBreakBefore w:val="0"/>
        <w:kinsoku/>
        <w:wordWrap/>
        <w:overflowPunct/>
        <w:topLinePunct w:val="0"/>
        <w:autoSpaceDE/>
        <w:autoSpaceDN/>
        <w:bidi w:val="0"/>
        <w:adjustRightInd/>
        <w:spacing w:line="520" w:lineRule="exact"/>
        <w:ind w:firstLine="560" w:firstLineChars="200"/>
        <w:textAlignment w:val="auto"/>
        <w:rPr>
          <w:rFonts w:hint="eastAsia" w:ascii="宋体" w:hAnsi="宋体"/>
          <w:color w:val="auto"/>
          <w:kern w:val="2"/>
          <w:sz w:val="28"/>
          <w:szCs w:val="28"/>
          <w:lang w:eastAsia="zh-CN"/>
        </w:rPr>
      </w:pPr>
      <w:r>
        <w:rPr>
          <w:rFonts w:hint="eastAsia" w:ascii="宋体" w:hAnsi="宋体"/>
          <w:color w:val="auto"/>
          <w:kern w:val="2"/>
          <w:sz w:val="28"/>
          <w:szCs w:val="28"/>
          <w:lang w:eastAsia="zh-CN"/>
        </w:rPr>
        <w:t xml:space="preserve">比较法是选取一定数量的可比实例，将它们与估价对象进行比较，根据其间的差异对可比实例成交价格进行处理后得到估价对象价值或价格的方法。 </w:t>
      </w:r>
    </w:p>
    <w:p>
      <w:pPr>
        <w:pStyle w:val="61"/>
        <w:keepNext w:val="0"/>
        <w:keepLines w:val="0"/>
        <w:pageBreakBefore w:val="0"/>
        <w:kinsoku/>
        <w:wordWrap/>
        <w:overflowPunct/>
        <w:topLinePunct w:val="0"/>
        <w:autoSpaceDE/>
        <w:autoSpaceDN/>
        <w:bidi w:val="0"/>
        <w:adjustRightInd/>
        <w:spacing w:line="520" w:lineRule="exact"/>
        <w:ind w:firstLine="560" w:firstLineChars="200"/>
        <w:textAlignment w:val="auto"/>
        <w:rPr>
          <w:rFonts w:hint="eastAsia" w:ascii="宋体" w:hAnsi="宋体"/>
          <w:color w:val="auto"/>
          <w:kern w:val="2"/>
          <w:sz w:val="28"/>
          <w:szCs w:val="28"/>
          <w:lang w:eastAsia="zh-CN"/>
        </w:rPr>
      </w:pPr>
      <w:r>
        <w:rPr>
          <w:rFonts w:hint="eastAsia" w:ascii="宋体" w:hAnsi="宋体"/>
          <w:color w:val="auto"/>
          <w:kern w:val="2"/>
          <w:sz w:val="28"/>
          <w:szCs w:val="28"/>
          <w:lang w:eastAsia="zh-CN"/>
        </w:rPr>
        <w:t xml:space="preserve">运用比较法求取估价对象的比较价值，基本公式如下： </w:t>
      </w:r>
    </w:p>
    <w:p>
      <w:pPr>
        <w:pStyle w:val="61"/>
        <w:keepNext w:val="0"/>
        <w:keepLines w:val="0"/>
        <w:pageBreakBefore w:val="0"/>
        <w:kinsoku/>
        <w:wordWrap/>
        <w:overflowPunct/>
        <w:topLinePunct w:val="0"/>
        <w:autoSpaceDE/>
        <w:autoSpaceDN/>
        <w:bidi w:val="0"/>
        <w:adjustRightInd/>
        <w:spacing w:line="520" w:lineRule="exact"/>
        <w:ind w:firstLine="560" w:firstLineChars="200"/>
        <w:textAlignment w:val="auto"/>
        <w:rPr>
          <w:rFonts w:hint="eastAsia" w:ascii="宋体" w:hAnsi="宋体"/>
          <w:color w:val="auto"/>
          <w:kern w:val="2"/>
          <w:sz w:val="28"/>
          <w:szCs w:val="28"/>
          <w:lang w:eastAsia="zh-CN"/>
        </w:rPr>
      </w:pPr>
      <w:r>
        <w:rPr>
          <w:rFonts w:hint="eastAsia" w:ascii="宋体" w:hAnsi="宋体"/>
          <w:color w:val="auto"/>
          <w:kern w:val="2"/>
          <w:sz w:val="28"/>
          <w:szCs w:val="28"/>
          <w:lang w:eastAsia="zh-CN"/>
        </w:rPr>
        <w:t>比较价值＝可比实例成交价格×交易情况修正系数×市场状况调整系数×房地产状况调整系数</w:t>
      </w:r>
    </w:p>
    <w:p>
      <w:pPr>
        <w:pStyle w:val="61"/>
        <w:keepNext w:val="0"/>
        <w:keepLines w:val="0"/>
        <w:pageBreakBefore w:val="0"/>
        <w:kinsoku/>
        <w:wordWrap/>
        <w:overflowPunct/>
        <w:topLinePunct w:val="0"/>
        <w:autoSpaceDE/>
        <w:autoSpaceDN/>
        <w:bidi w:val="0"/>
        <w:adjustRightInd/>
        <w:spacing w:line="520" w:lineRule="exact"/>
        <w:ind w:firstLine="560" w:firstLineChars="200"/>
        <w:textAlignment w:val="auto"/>
        <w:rPr>
          <w:rFonts w:ascii="宋体"/>
          <w:color w:val="C00000"/>
          <w:sz w:val="28"/>
          <w:szCs w:val="28"/>
        </w:rPr>
      </w:pPr>
      <w:r>
        <w:rPr>
          <w:rFonts w:hint="eastAsia" w:ascii="宋体" w:hAnsi="宋体"/>
          <w:color w:val="auto"/>
          <w:kern w:val="2"/>
          <w:sz w:val="28"/>
          <w:szCs w:val="28"/>
          <w:lang w:eastAsia="zh-CN"/>
        </w:rPr>
        <w:t>收益法是预测估价对象的未来收益，利用报酬率或资本化率、收益乘数将未来收益转换为价值得到估价对象价值或价格的方法。本次评估测算过程使用的是报酬资本化法：即预测估价对象未来各年的净收益，利用报酬率将其折现到价值时点后相加得到估价对象价值的方法。选用净收益按一定比率递增的公式的房地产价格计算公式：</w:t>
      </w:r>
    </w:p>
    <w:p>
      <w:pPr>
        <w:tabs>
          <w:tab w:val="left" w:pos="4515"/>
        </w:tabs>
        <w:spacing w:line="900" w:lineRule="exact"/>
        <w:ind w:firstLine="1260" w:firstLineChars="450"/>
        <w:rPr>
          <w:rFonts w:ascii="宋体"/>
          <w:color w:val="C00000"/>
          <w:sz w:val="28"/>
          <w:szCs w:val="28"/>
        </w:rPr>
      </w:pPr>
      <w:r>
        <w:rPr>
          <w:rFonts w:hint="eastAsia" w:ascii="宋体" w:hAnsi="宋体"/>
          <w:color w:val="C00000"/>
          <w:sz w:val="28"/>
          <w:szCs w:val="28"/>
        </w:rPr>
        <w:object>
          <v:shape id="_x0000_i1025" o:spt="75" type="#_x0000_t75" style="height:41pt;width:139pt;" o:ole="t" filled="f" o:preferrelative="t" stroked="f" coordsize="21600,21600">
            <v:path/>
            <v:fill on="f" focussize="0,0"/>
            <v:stroke on="f" joinstyle="miter"/>
            <v:imagedata r:id="rId15" o:title=""/>
            <o:lock v:ext="edit" aspectratio="t"/>
            <w10:wrap type="none"/>
            <w10:anchorlock/>
          </v:shape>
          <o:OLEObject Type="Embed" ProgID="Equations" ShapeID="_x0000_i1025" DrawAspect="Content" ObjectID="_1468075725" r:id="rId14">
            <o:LockedField>false</o:LockedField>
          </o:OLEObject>
        </w:object>
      </w:r>
    </w:p>
    <w:p>
      <w:pPr>
        <w:spacing w:line="500" w:lineRule="exact"/>
        <w:ind w:firstLine="560" w:firstLineChars="200"/>
        <w:rPr>
          <w:rFonts w:hint="eastAsia" w:ascii="宋体" w:hAnsi="宋体" w:eastAsia="宋体" w:cs="Times New Roman"/>
          <w:color w:val="auto"/>
          <w:kern w:val="2"/>
          <w:sz w:val="28"/>
          <w:szCs w:val="28"/>
          <w:lang w:val="en-US" w:eastAsia="zh-CN" w:bidi="ar-SA"/>
        </w:rPr>
      </w:pPr>
      <w:r>
        <w:rPr>
          <w:rFonts w:hint="eastAsia" w:ascii="宋体" w:hAnsi="宋体" w:eastAsia="宋体" w:cs="Times New Roman"/>
          <w:color w:val="auto"/>
          <w:kern w:val="2"/>
          <w:sz w:val="28"/>
          <w:szCs w:val="28"/>
          <w:lang w:val="en-US" w:eastAsia="zh-CN" w:bidi="ar-SA"/>
        </w:rPr>
        <w:t>其中：V—为收益价值；</w:t>
      </w:r>
    </w:p>
    <w:p>
      <w:pPr>
        <w:spacing w:line="500" w:lineRule="exact"/>
        <w:ind w:firstLine="1540" w:firstLineChars="550"/>
        <w:rPr>
          <w:rFonts w:hint="eastAsia" w:ascii="宋体" w:hAnsi="宋体" w:eastAsia="宋体" w:cs="Times New Roman"/>
          <w:color w:val="auto"/>
          <w:kern w:val="2"/>
          <w:sz w:val="28"/>
          <w:szCs w:val="28"/>
          <w:lang w:val="en-US" w:eastAsia="zh-CN" w:bidi="ar-SA"/>
        </w:rPr>
      </w:pPr>
      <w:r>
        <w:rPr>
          <w:rFonts w:hint="eastAsia" w:ascii="宋体" w:hAnsi="宋体" w:eastAsia="宋体" w:cs="Times New Roman"/>
          <w:color w:val="auto"/>
          <w:kern w:val="2"/>
          <w:sz w:val="28"/>
          <w:szCs w:val="28"/>
          <w:lang w:val="en-US" w:eastAsia="zh-CN" w:bidi="ar-SA"/>
        </w:rPr>
        <w:t>a—为房地产未来第一年的净收益；</w:t>
      </w:r>
    </w:p>
    <w:p>
      <w:pPr>
        <w:spacing w:line="500" w:lineRule="exact"/>
        <w:ind w:firstLine="1540" w:firstLineChars="550"/>
        <w:rPr>
          <w:rFonts w:hint="eastAsia" w:ascii="宋体" w:hAnsi="宋体" w:eastAsia="宋体" w:cs="Times New Roman"/>
          <w:color w:val="auto"/>
          <w:kern w:val="2"/>
          <w:sz w:val="28"/>
          <w:szCs w:val="28"/>
          <w:lang w:val="en-US" w:eastAsia="zh-CN" w:bidi="ar-SA"/>
        </w:rPr>
      </w:pPr>
      <w:r>
        <w:rPr>
          <w:rFonts w:hint="eastAsia" w:ascii="宋体" w:hAnsi="宋体" w:eastAsia="宋体" w:cs="Times New Roman"/>
          <w:color w:val="auto"/>
          <w:kern w:val="2"/>
          <w:sz w:val="28"/>
          <w:szCs w:val="28"/>
          <w:lang w:val="en-US" w:eastAsia="zh-CN" w:bidi="ar-SA"/>
        </w:rPr>
        <w:t>Y—为报酬率；</w:t>
      </w:r>
    </w:p>
    <w:p>
      <w:pPr>
        <w:spacing w:line="500" w:lineRule="exact"/>
        <w:ind w:firstLine="1540" w:firstLineChars="550"/>
        <w:rPr>
          <w:rFonts w:hint="eastAsia" w:ascii="宋体" w:hAnsi="宋体" w:eastAsia="宋体" w:cs="Times New Roman"/>
          <w:color w:val="auto"/>
          <w:kern w:val="2"/>
          <w:sz w:val="28"/>
          <w:szCs w:val="28"/>
          <w:lang w:val="en-US" w:eastAsia="zh-CN" w:bidi="ar-SA"/>
        </w:rPr>
      </w:pPr>
      <w:r>
        <w:rPr>
          <w:rFonts w:hint="eastAsia" w:ascii="宋体" w:hAnsi="宋体" w:eastAsia="宋体" w:cs="Times New Roman"/>
          <w:color w:val="auto"/>
          <w:kern w:val="2"/>
          <w:sz w:val="28"/>
          <w:szCs w:val="28"/>
          <w:lang w:val="en-US" w:eastAsia="zh-CN" w:bidi="ar-SA"/>
        </w:rPr>
        <w:t>n—为房地产的收益期；</w:t>
      </w:r>
    </w:p>
    <w:p>
      <w:pPr>
        <w:snapToGrid w:val="0"/>
        <w:spacing w:line="500" w:lineRule="exact"/>
        <w:ind w:firstLine="1540" w:firstLineChars="550"/>
        <w:rPr>
          <w:rFonts w:hint="eastAsia" w:ascii="宋体" w:hAnsi="宋体" w:eastAsia="宋体" w:cs="Times New Roman"/>
          <w:color w:val="auto"/>
          <w:kern w:val="2"/>
          <w:sz w:val="28"/>
          <w:szCs w:val="28"/>
          <w:lang w:val="en-US" w:eastAsia="zh-CN" w:bidi="ar-SA"/>
        </w:rPr>
      </w:pPr>
      <w:r>
        <w:rPr>
          <w:rFonts w:hint="eastAsia" w:ascii="宋体" w:hAnsi="宋体" w:eastAsia="宋体" w:cs="Times New Roman"/>
          <w:color w:val="auto"/>
          <w:kern w:val="2"/>
          <w:sz w:val="28"/>
          <w:szCs w:val="28"/>
          <w:lang w:val="en-US" w:eastAsia="zh-CN" w:bidi="ar-SA"/>
        </w:rPr>
        <w:t>g—为净收益逐年递增的比率</w:t>
      </w:r>
    </w:p>
    <w:p>
      <w:pPr>
        <w:snapToGrid w:val="0"/>
        <w:spacing w:line="560" w:lineRule="exact"/>
        <w:ind w:firstLine="567"/>
        <w:rPr>
          <w:rFonts w:hint="eastAsia" w:ascii="宋体" w:hAnsi="宋体" w:eastAsia="宋体" w:cs="Times New Roman"/>
          <w:color w:val="auto"/>
          <w:kern w:val="2"/>
          <w:sz w:val="28"/>
          <w:szCs w:val="28"/>
          <w:lang w:val="en-US" w:eastAsia="zh-CN" w:bidi="ar-SA"/>
        </w:rPr>
      </w:pPr>
      <w:r>
        <w:rPr>
          <w:rFonts w:hint="eastAsia" w:ascii="宋体" w:hAnsi="宋体" w:cs="Times New Roman"/>
          <w:color w:val="auto"/>
          <w:kern w:val="2"/>
          <w:sz w:val="28"/>
          <w:szCs w:val="28"/>
          <w:lang w:val="en-US" w:eastAsia="zh-CN" w:bidi="ar-SA"/>
        </w:rPr>
        <w:t>3</w:t>
      </w:r>
      <w:r>
        <w:rPr>
          <w:rFonts w:hint="eastAsia" w:ascii="宋体" w:hAnsi="宋体" w:eastAsia="宋体" w:cs="Times New Roman"/>
          <w:color w:val="auto"/>
          <w:kern w:val="2"/>
          <w:sz w:val="28"/>
          <w:szCs w:val="28"/>
          <w:lang w:val="en-US" w:eastAsia="zh-CN" w:bidi="ar-SA"/>
        </w:rPr>
        <w:t>.估价技术路线</w:t>
      </w:r>
    </w:p>
    <w:p>
      <w:pPr>
        <w:spacing w:line="560" w:lineRule="exact"/>
        <w:ind w:firstLine="560" w:firstLineChars="200"/>
        <w:rPr>
          <w:rFonts w:hint="eastAsia" w:ascii="宋体" w:hAnsi="宋体" w:eastAsia="宋体" w:cs="Times New Roman"/>
          <w:color w:val="auto"/>
          <w:kern w:val="2"/>
          <w:sz w:val="28"/>
          <w:szCs w:val="28"/>
          <w:lang w:val="en-US" w:eastAsia="zh-CN" w:bidi="ar-SA"/>
        </w:rPr>
      </w:pPr>
      <w:r>
        <w:rPr>
          <w:rFonts w:hint="eastAsia" w:ascii="宋体" w:hAnsi="宋体" w:eastAsia="宋体" w:cs="Times New Roman"/>
          <w:color w:val="auto"/>
          <w:kern w:val="2"/>
          <w:sz w:val="28"/>
          <w:szCs w:val="28"/>
          <w:lang w:val="en-US" w:eastAsia="zh-CN" w:bidi="ar-SA"/>
        </w:rPr>
        <w:t>（1）运用比较法求取估价对象市场价值。</w:t>
      </w:r>
    </w:p>
    <w:p>
      <w:pPr>
        <w:spacing w:line="560" w:lineRule="exact"/>
        <w:ind w:firstLine="560" w:firstLineChars="200"/>
        <w:rPr>
          <w:rFonts w:hint="eastAsia" w:ascii="宋体" w:hAnsi="宋体" w:eastAsia="宋体" w:cs="Times New Roman"/>
          <w:color w:val="auto"/>
          <w:kern w:val="2"/>
          <w:sz w:val="28"/>
          <w:szCs w:val="28"/>
          <w:lang w:val="en-US" w:eastAsia="zh-CN" w:bidi="ar-SA"/>
        </w:rPr>
      </w:pPr>
      <w:r>
        <w:rPr>
          <w:rFonts w:hint="eastAsia" w:ascii="宋体" w:hAnsi="宋体" w:eastAsia="宋体" w:cs="Times New Roman"/>
          <w:color w:val="auto"/>
          <w:kern w:val="2"/>
          <w:sz w:val="28"/>
          <w:szCs w:val="28"/>
          <w:lang w:val="en-US" w:eastAsia="zh-CN" w:bidi="ar-SA"/>
        </w:rPr>
        <w:t>（2）运用收益法求取估价对象市场价值。</w:t>
      </w:r>
    </w:p>
    <w:p>
      <w:pPr>
        <w:spacing w:line="560" w:lineRule="exact"/>
        <w:ind w:firstLine="560" w:firstLineChars="200"/>
        <w:rPr>
          <w:rFonts w:hint="eastAsia" w:ascii="宋体" w:hAnsi="宋体"/>
          <w:sz w:val="28"/>
          <w:szCs w:val="28"/>
        </w:rPr>
      </w:pPr>
      <w:r>
        <w:rPr>
          <w:rFonts w:hint="eastAsia" w:ascii="宋体" w:hAnsi="宋体" w:eastAsia="宋体" w:cs="Times New Roman"/>
          <w:color w:val="auto"/>
          <w:kern w:val="2"/>
          <w:sz w:val="28"/>
          <w:szCs w:val="28"/>
          <w:lang w:val="en-US" w:eastAsia="zh-CN" w:bidi="ar-SA"/>
        </w:rPr>
        <w:t>（3）确定估价对象市场价值。</w:t>
      </w:r>
    </w:p>
    <w:p>
      <w:pPr>
        <w:spacing w:line="560" w:lineRule="exact"/>
        <w:ind w:firstLine="560" w:firstLineChars="200"/>
        <w:rPr>
          <w:rFonts w:hint="eastAsia" w:ascii="宋体" w:hAnsi="宋体" w:eastAsia="宋体" w:cs="Times New Roman"/>
          <w:color w:val="auto"/>
          <w:kern w:val="2"/>
          <w:sz w:val="28"/>
          <w:szCs w:val="28"/>
          <w:lang w:val="en-US" w:eastAsia="zh-CN" w:bidi="ar-SA"/>
        </w:rPr>
      </w:pPr>
      <w:r>
        <w:rPr>
          <w:rFonts w:hint="eastAsia" w:ascii="宋体" w:hAnsi="宋体" w:eastAsia="宋体" w:cs="Times New Roman"/>
          <w:color w:val="auto"/>
          <w:kern w:val="2"/>
          <w:sz w:val="28"/>
          <w:szCs w:val="28"/>
          <w:lang w:val="en-US" w:eastAsia="zh-CN" w:bidi="ar-SA"/>
        </w:rPr>
        <w:t>六、估价测算过程</w:t>
      </w:r>
      <w:bookmarkEnd w:id="2"/>
      <w:bookmarkEnd w:id="3"/>
      <w:bookmarkEnd w:id="4"/>
      <w:bookmarkEnd w:id="5"/>
      <w:bookmarkEnd w:id="6"/>
      <w:bookmarkEnd w:id="7"/>
    </w:p>
    <w:p>
      <w:pPr>
        <w:spacing w:line="560" w:lineRule="exact"/>
        <w:ind w:firstLine="560" w:firstLineChars="200"/>
        <w:rPr>
          <w:rFonts w:hint="eastAsia" w:ascii="宋体" w:hAnsi="宋体" w:eastAsia="宋体" w:cs="Times New Roman"/>
          <w:color w:val="auto"/>
          <w:kern w:val="2"/>
          <w:sz w:val="28"/>
          <w:szCs w:val="28"/>
          <w:lang w:val="en-US" w:eastAsia="zh-CN" w:bidi="ar-SA"/>
        </w:rPr>
      </w:pPr>
      <w:bookmarkStart w:id="47" w:name="_Toc7112914"/>
      <w:r>
        <w:rPr>
          <w:rFonts w:hint="eastAsia" w:ascii="宋体" w:hAnsi="宋体" w:eastAsia="宋体" w:cs="Times New Roman"/>
          <w:color w:val="auto"/>
          <w:kern w:val="2"/>
          <w:sz w:val="28"/>
          <w:szCs w:val="28"/>
          <w:lang w:val="en-US" w:eastAsia="zh-CN" w:bidi="ar-SA"/>
        </w:rPr>
        <w:t>（一）采用比较法测算估价对象市场价值</w:t>
      </w:r>
    </w:p>
    <w:p>
      <w:pPr>
        <w:spacing w:line="560" w:lineRule="exact"/>
        <w:ind w:firstLine="560" w:firstLineChars="200"/>
        <w:rPr>
          <w:rFonts w:hint="eastAsia" w:ascii="宋体" w:hAnsi="宋体" w:eastAsia="宋体" w:cs="Times New Roman"/>
          <w:color w:val="auto"/>
          <w:kern w:val="2"/>
          <w:sz w:val="28"/>
          <w:szCs w:val="28"/>
          <w:lang w:val="en-US" w:eastAsia="zh-CN" w:bidi="ar-SA"/>
        </w:rPr>
      </w:pPr>
      <w:r>
        <w:rPr>
          <w:rFonts w:hint="eastAsia" w:ascii="宋体" w:hAnsi="宋体" w:eastAsia="宋体" w:cs="Times New Roman"/>
          <w:color w:val="auto"/>
          <w:kern w:val="2"/>
          <w:sz w:val="28"/>
          <w:szCs w:val="28"/>
          <w:lang w:val="en-US" w:eastAsia="zh-CN" w:bidi="ar-SA"/>
        </w:rPr>
        <w:t>比较法是选取一定数量的可比实例，将它们与估价对象进行比较，根据其间的差异对可比实例成交价格进行处理后得到估价对象价值或价格的方法。</w:t>
      </w:r>
    </w:p>
    <w:p>
      <w:pPr>
        <w:spacing w:line="560" w:lineRule="exact"/>
        <w:ind w:firstLine="560" w:firstLineChars="200"/>
        <w:rPr>
          <w:rFonts w:hint="eastAsia" w:ascii="宋体" w:hAnsi="宋体" w:eastAsia="宋体" w:cs="Times New Roman"/>
          <w:color w:val="auto"/>
          <w:kern w:val="2"/>
          <w:sz w:val="28"/>
          <w:szCs w:val="28"/>
          <w:lang w:val="en-US" w:eastAsia="zh-CN" w:bidi="ar-SA"/>
        </w:rPr>
      </w:pPr>
      <w:r>
        <w:rPr>
          <w:rFonts w:hint="eastAsia" w:ascii="宋体" w:hAnsi="宋体" w:eastAsia="宋体" w:cs="Times New Roman"/>
          <w:color w:val="auto"/>
          <w:kern w:val="2"/>
          <w:sz w:val="28"/>
          <w:szCs w:val="28"/>
          <w:lang w:val="en-US" w:eastAsia="zh-CN" w:bidi="ar-SA"/>
        </w:rPr>
        <w:t>运用比较法估价需要对可比实例的成交价格进行交易情况、市场状况、房地产状况（包括区位状况调整、实物状况调整和权益状况调整）三大方面的修正或调整，将可比实例的成交价格转换为估价对象的价值或价格。运用比较法求取估价对象的房地产价值，基本公式如下: 比较价值＝可比实例成交价格×交易情况修正系数×市场状况调整系数×房地产状况调整系数</w:t>
      </w:r>
    </w:p>
    <w:p>
      <w:pPr>
        <w:spacing w:line="480" w:lineRule="auto"/>
        <w:ind w:right="6" w:firstLine="560" w:firstLineChars="200"/>
        <w:rPr>
          <w:rFonts w:ascii="宋体"/>
          <w:color w:val="auto"/>
          <w:sz w:val="28"/>
          <w:szCs w:val="28"/>
        </w:rPr>
      </w:pPr>
      <w:r>
        <w:rPr>
          <w:rFonts w:hint="eastAsia" w:ascii="宋体" w:hAnsi="宋体"/>
          <w:color w:val="auto"/>
          <w:sz w:val="28"/>
          <w:szCs w:val="28"/>
        </w:rPr>
        <w:t>即：比较价值</w:t>
      </w:r>
      <w:r>
        <w:rPr>
          <w:rFonts w:ascii="宋体" w:hAnsi="宋体"/>
          <w:color w:val="auto"/>
          <w:sz w:val="28"/>
          <w:szCs w:val="28"/>
        </w:rPr>
        <w:t>=</w:t>
      </w:r>
      <w:r>
        <w:rPr>
          <w:rFonts w:hint="eastAsia" w:ascii="宋体" w:hAnsi="宋体"/>
          <w:color w:val="auto"/>
          <w:sz w:val="28"/>
          <w:szCs w:val="28"/>
        </w:rPr>
        <w:t>可比实例价格×</w:t>
      </w:r>
      <w:r>
        <w:rPr>
          <w:rFonts w:ascii="仿宋" w:hAnsi="仿宋" w:eastAsia="仿宋"/>
          <w:color w:val="auto"/>
          <w:sz w:val="24"/>
        </w:rPr>
        <w:object>
          <v:shape id="_x0000_i1026" o:spt="75" type="#_x0000_t75" style="height:31pt;width:22pt;" o:ole="t" filled="f" o:preferrelative="t" stroked="f" coordsize="21600,21600">
            <v:path/>
            <v:fill on="f" focussize="0,0"/>
            <v:stroke on="f" joinstyle="miter"/>
            <v:imagedata r:id="rId17" o:title=""/>
            <o:lock v:ext="edit" aspectratio="t"/>
            <w10:wrap type="none"/>
            <w10:anchorlock/>
          </v:shape>
          <o:OLEObject Type="Embed" ProgID="Equations" ShapeID="_x0000_i1026" DrawAspect="Content" ObjectID="_1468075726" r:id="rId16">
            <o:LockedField>false</o:LockedField>
          </o:OLEObject>
        </w:object>
      </w:r>
      <w:r>
        <w:rPr>
          <w:rFonts w:hint="eastAsia" w:ascii="仿宋" w:hAnsi="仿宋" w:eastAsia="仿宋"/>
          <w:color w:val="auto"/>
          <w:sz w:val="24"/>
        </w:rPr>
        <w:t>×</w:t>
      </w:r>
      <w:r>
        <w:rPr>
          <w:rFonts w:ascii="仿宋" w:hAnsi="仿宋" w:eastAsia="仿宋"/>
          <w:color w:val="auto"/>
          <w:sz w:val="24"/>
        </w:rPr>
        <w:object>
          <v:shape id="_x0000_i1027" o:spt="75" type="#_x0000_t75" style="height:31pt;width:22pt;" o:ole="t" filled="f" o:preferrelative="t" stroked="f" coordsize="21600,21600">
            <v:path/>
            <v:fill on="f" focussize="0,0"/>
            <v:stroke on="f" joinstyle="miter"/>
            <v:imagedata r:id="rId19" o:title=""/>
            <o:lock v:ext="edit" aspectratio="t"/>
            <w10:wrap type="none"/>
            <w10:anchorlock/>
          </v:shape>
          <o:OLEObject Type="Embed" ProgID="Equations" ShapeID="_x0000_i1027" DrawAspect="Content" ObjectID="_1468075727" r:id="rId18">
            <o:LockedField>false</o:LockedField>
          </o:OLEObject>
        </w:object>
      </w:r>
      <w:r>
        <w:rPr>
          <w:rFonts w:hint="eastAsia" w:ascii="仿宋" w:hAnsi="仿宋" w:eastAsia="仿宋"/>
          <w:color w:val="auto"/>
          <w:sz w:val="24"/>
        </w:rPr>
        <w:t>×</w:t>
      </w:r>
      <w:r>
        <w:rPr>
          <w:rFonts w:ascii="仿宋" w:hAnsi="仿宋" w:eastAsia="仿宋"/>
          <w:color w:val="auto"/>
          <w:sz w:val="24"/>
        </w:rPr>
        <w:object>
          <v:shape id="_x0000_i1028" o:spt="75" type="#_x0000_t75" style="height:31pt;width:22pt;" o:ole="t" filled="f" o:preferrelative="t" stroked="f" coordsize="21600,21600">
            <v:path/>
            <v:fill on="f" focussize="0,0"/>
            <v:stroke on="f" joinstyle="miter"/>
            <v:imagedata r:id="rId17" o:title=""/>
            <o:lock v:ext="edit" aspectratio="t"/>
            <w10:wrap type="none"/>
            <w10:anchorlock/>
          </v:shape>
          <o:OLEObject Type="Embed" ProgID="Equations" ShapeID="_x0000_i1028" DrawAspect="Content" ObjectID="_1468075728" r:id="rId20">
            <o:LockedField>false</o:LockedField>
          </o:OLEObject>
        </w:object>
      </w:r>
      <w:r>
        <w:rPr>
          <w:rFonts w:hint="eastAsia" w:ascii="仿宋" w:hAnsi="仿宋" w:eastAsia="仿宋"/>
          <w:color w:val="auto"/>
          <w:sz w:val="24"/>
        </w:rPr>
        <w:t>×</w:t>
      </w:r>
      <w:r>
        <w:rPr>
          <w:rFonts w:ascii="仿宋" w:hAnsi="仿宋" w:eastAsia="仿宋"/>
          <w:color w:val="auto"/>
          <w:sz w:val="24"/>
        </w:rPr>
        <w:object>
          <v:shape id="_x0000_i1029" o:spt="75" type="#_x0000_t75" style="height:31pt;width:22pt;" o:ole="t" filled="f" o:preferrelative="t" stroked="f" coordsize="21600,21600">
            <v:path/>
            <v:fill on="f" focussize="0,0"/>
            <v:stroke on="f" joinstyle="miter"/>
            <v:imagedata r:id="rId17" o:title=""/>
            <o:lock v:ext="edit" aspectratio="t"/>
            <w10:wrap type="none"/>
            <w10:anchorlock/>
          </v:shape>
          <o:OLEObject Type="Embed" ProgID="Equations" ShapeID="_x0000_i1029" DrawAspect="Content" ObjectID="_1468075729" r:id="rId21">
            <o:LockedField>false</o:LockedField>
          </o:OLEObject>
        </w:object>
      </w:r>
      <w:r>
        <w:rPr>
          <w:rFonts w:hint="eastAsia" w:ascii="仿宋" w:hAnsi="仿宋" w:eastAsia="仿宋"/>
          <w:color w:val="auto"/>
          <w:sz w:val="24"/>
        </w:rPr>
        <w:t>×</w:t>
      </w:r>
      <w:r>
        <w:rPr>
          <w:rFonts w:ascii="仿宋" w:hAnsi="仿宋" w:eastAsia="仿宋"/>
          <w:color w:val="auto"/>
          <w:sz w:val="24"/>
        </w:rPr>
        <w:object>
          <v:shape id="_x0000_i1030" o:spt="75" type="#_x0000_t75" style="height:31pt;width:22pt;" o:ole="t" filled="f" o:preferrelative="t" stroked="f" coordsize="21600,21600">
            <v:path/>
            <v:fill on="f" focussize="0,0"/>
            <v:stroke on="f" joinstyle="miter"/>
            <v:imagedata r:id="rId17" o:title=""/>
            <o:lock v:ext="edit" aspectratio="t"/>
            <w10:wrap type="none"/>
            <w10:anchorlock/>
          </v:shape>
          <o:OLEObject Type="Embed" ProgID="Equations" ShapeID="_x0000_i1030" DrawAspect="Content" ObjectID="_1468075730" r:id="rId22">
            <o:LockedField>false</o:LockedField>
          </o:OLEObject>
        </w:object>
      </w:r>
    </w:p>
    <w:p>
      <w:pPr>
        <w:spacing w:line="560" w:lineRule="exact"/>
        <w:ind w:firstLine="560" w:firstLineChars="200"/>
        <w:rPr>
          <w:rFonts w:hint="eastAsia" w:ascii="宋体" w:hAnsi="宋体" w:eastAsia="宋体" w:cs="Times New Roman"/>
          <w:color w:val="auto"/>
          <w:kern w:val="2"/>
          <w:sz w:val="28"/>
          <w:szCs w:val="28"/>
          <w:lang w:val="en-US" w:eastAsia="zh-CN" w:bidi="ar-SA"/>
        </w:rPr>
      </w:pPr>
      <w:r>
        <w:rPr>
          <w:rFonts w:hint="eastAsia" w:ascii="宋体" w:hAnsi="宋体" w:eastAsia="宋体" w:cs="Times New Roman"/>
          <w:color w:val="auto"/>
          <w:kern w:val="2"/>
          <w:sz w:val="28"/>
          <w:szCs w:val="28"/>
          <w:lang w:val="en-US" w:eastAsia="zh-CN" w:bidi="ar-SA"/>
        </w:rPr>
        <w:t>1、搜集可比实例：从现实房地产市场中搜集大量真实成交的房地产，选取以下三个可比实例。</w:t>
      </w:r>
    </w:p>
    <w:p>
      <w:pPr>
        <w:spacing w:line="560" w:lineRule="exact"/>
        <w:ind w:firstLine="560" w:firstLineChars="200"/>
        <w:rPr>
          <w:rFonts w:hint="eastAsia" w:ascii="宋体" w:hAnsi="宋体" w:eastAsia="宋体" w:cs="Times New Roman"/>
          <w:color w:val="auto"/>
          <w:kern w:val="2"/>
          <w:sz w:val="28"/>
          <w:szCs w:val="28"/>
          <w:lang w:val="en-US" w:eastAsia="zh-CN" w:bidi="ar-SA"/>
        </w:rPr>
      </w:pPr>
      <w:r>
        <w:rPr>
          <w:rFonts w:hint="eastAsia" w:ascii="宋体" w:hAnsi="宋体" w:eastAsia="宋体" w:cs="Times New Roman"/>
          <w:color w:val="auto"/>
          <w:kern w:val="2"/>
          <w:sz w:val="28"/>
          <w:szCs w:val="28"/>
          <w:lang w:val="en-US" w:eastAsia="zh-CN" w:bidi="ar-SA"/>
        </w:rPr>
        <w:t>⑴可比实例1：交易信息来源于估价人员市场调查，位于五原县隆兴昌镇</w:t>
      </w:r>
      <w:r>
        <w:rPr>
          <w:rFonts w:hint="eastAsia" w:ascii="宋体" w:hAnsi="宋体" w:cs="Times New Roman"/>
          <w:color w:val="auto"/>
          <w:kern w:val="2"/>
          <w:sz w:val="28"/>
          <w:szCs w:val="28"/>
          <w:lang w:val="en-US" w:eastAsia="zh-CN" w:bidi="ar-SA"/>
        </w:rPr>
        <w:t>福中园B4号楼</w:t>
      </w:r>
      <w:r>
        <w:rPr>
          <w:rFonts w:hint="eastAsia" w:ascii="宋体" w:hAnsi="宋体" w:eastAsia="宋体" w:cs="Times New Roman"/>
          <w:color w:val="auto"/>
          <w:kern w:val="2"/>
          <w:sz w:val="28"/>
          <w:szCs w:val="28"/>
          <w:lang w:val="en-US" w:eastAsia="zh-CN" w:bidi="ar-SA"/>
        </w:rPr>
        <w:t>，建筑面积</w:t>
      </w:r>
      <w:r>
        <w:rPr>
          <w:rFonts w:hint="eastAsia" w:ascii="宋体" w:hAnsi="宋体" w:cs="Times New Roman"/>
          <w:color w:val="auto"/>
          <w:kern w:val="2"/>
          <w:sz w:val="28"/>
          <w:szCs w:val="28"/>
          <w:lang w:val="en-US" w:eastAsia="zh-CN" w:bidi="ar-SA"/>
        </w:rPr>
        <w:t>97</w:t>
      </w:r>
      <w:r>
        <w:rPr>
          <w:rFonts w:hint="eastAsia" w:ascii="宋体" w:hAnsi="宋体" w:eastAsia="宋体" w:cs="Times New Roman"/>
          <w:color w:val="auto"/>
          <w:kern w:val="2"/>
          <w:sz w:val="28"/>
          <w:szCs w:val="28"/>
          <w:lang w:val="en-US" w:eastAsia="zh-CN" w:bidi="ar-SA"/>
        </w:rPr>
        <w:t>㎡，用途为住宅用房，所在楼层及建筑物总层数</w:t>
      </w:r>
      <w:r>
        <w:rPr>
          <w:rFonts w:hint="eastAsia" w:ascii="宋体" w:hAnsi="宋体" w:cs="Times New Roman"/>
          <w:color w:val="auto"/>
          <w:kern w:val="2"/>
          <w:sz w:val="28"/>
          <w:szCs w:val="28"/>
          <w:lang w:val="en-US" w:eastAsia="zh-CN" w:bidi="ar-SA"/>
        </w:rPr>
        <w:t>4</w:t>
      </w:r>
      <w:r>
        <w:rPr>
          <w:rFonts w:hint="eastAsia" w:ascii="宋体" w:hAnsi="宋体" w:eastAsia="宋体" w:cs="Times New Roman"/>
          <w:color w:val="auto"/>
          <w:kern w:val="2"/>
          <w:sz w:val="28"/>
          <w:szCs w:val="28"/>
          <w:lang w:val="en-US" w:eastAsia="zh-CN" w:bidi="ar-SA"/>
        </w:rPr>
        <w:t>F/6F，建筑结构为砖混，建成年份为</w:t>
      </w:r>
      <w:r>
        <w:rPr>
          <w:rFonts w:hint="eastAsia" w:ascii="宋体" w:hAnsi="宋体" w:cs="Times New Roman"/>
          <w:color w:val="auto"/>
          <w:kern w:val="2"/>
          <w:sz w:val="28"/>
          <w:szCs w:val="28"/>
          <w:lang w:val="en-US" w:eastAsia="zh-CN" w:bidi="ar-SA"/>
        </w:rPr>
        <w:t>2010</w:t>
      </w:r>
      <w:r>
        <w:rPr>
          <w:rFonts w:hint="eastAsia" w:ascii="宋体" w:hAnsi="宋体" w:eastAsia="宋体" w:cs="Times New Roman"/>
          <w:color w:val="auto"/>
          <w:kern w:val="2"/>
          <w:sz w:val="28"/>
          <w:szCs w:val="28"/>
          <w:lang w:val="en-US" w:eastAsia="zh-CN" w:bidi="ar-SA"/>
        </w:rPr>
        <w:t>年，朝向为南北朝向，空间布局为</w:t>
      </w:r>
      <w:r>
        <w:rPr>
          <w:rFonts w:hint="eastAsia" w:ascii="宋体" w:hAnsi="宋体" w:cs="Times New Roman"/>
          <w:color w:val="auto"/>
          <w:kern w:val="2"/>
          <w:sz w:val="28"/>
          <w:szCs w:val="28"/>
          <w:lang w:val="en-US" w:eastAsia="zh-CN" w:bidi="ar-SA"/>
        </w:rPr>
        <w:t>2</w:t>
      </w:r>
      <w:r>
        <w:rPr>
          <w:rFonts w:hint="eastAsia" w:ascii="宋体" w:hAnsi="宋体" w:eastAsia="宋体" w:cs="Times New Roman"/>
          <w:color w:val="auto"/>
          <w:kern w:val="2"/>
          <w:sz w:val="28"/>
          <w:szCs w:val="28"/>
          <w:lang w:val="en-US" w:eastAsia="zh-CN" w:bidi="ar-SA"/>
        </w:rPr>
        <w:t>室2厅1厨2卫，装修程度为</w:t>
      </w:r>
      <w:r>
        <w:rPr>
          <w:rFonts w:hint="eastAsia" w:ascii="宋体" w:hAnsi="宋体" w:cs="Times New Roman"/>
          <w:color w:val="auto"/>
          <w:kern w:val="2"/>
          <w:sz w:val="28"/>
          <w:szCs w:val="28"/>
          <w:lang w:val="en-US" w:eastAsia="zh-CN" w:bidi="ar-SA"/>
        </w:rPr>
        <w:t>精</w:t>
      </w:r>
      <w:r>
        <w:rPr>
          <w:rFonts w:hint="eastAsia" w:ascii="宋体" w:hAnsi="宋体" w:eastAsia="宋体" w:cs="Times New Roman"/>
          <w:color w:val="auto"/>
          <w:kern w:val="2"/>
          <w:sz w:val="28"/>
          <w:szCs w:val="28"/>
          <w:lang w:val="en-US" w:eastAsia="zh-CN" w:bidi="ar-SA"/>
        </w:rPr>
        <w:t>装修，成交日期为2020年</w:t>
      </w:r>
      <w:r>
        <w:rPr>
          <w:rFonts w:hint="eastAsia" w:ascii="宋体" w:hAnsi="宋体" w:cs="Times New Roman"/>
          <w:color w:val="auto"/>
          <w:kern w:val="2"/>
          <w:sz w:val="28"/>
          <w:szCs w:val="28"/>
          <w:lang w:val="en-US" w:eastAsia="zh-CN" w:bidi="ar-SA"/>
        </w:rPr>
        <w:t>3</w:t>
      </w:r>
      <w:r>
        <w:rPr>
          <w:rFonts w:hint="eastAsia" w:ascii="宋体" w:hAnsi="宋体" w:eastAsia="宋体" w:cs="Times New Roman"/>
          <w:color w:val="auto"/>
          <w:kern w:val="2"/>
          <w:sz w:val="28"/>
          <w:szCs w:val="28"/>
          <w:lang w:val="en-US" w:eastAsia="zh-CN" w:bidi="ar-SA"/>
        </w:rPr>
        <w:t>月，成交单价为</w:t>
      </w:r>
      <w:r>
        <w:rPr>
          <w:rFonts w:hint="eastAsia" w:ascii="宋体" w:hAnsi="宋体" w:cs="Times New Roman"/>
          <w:color w:val="auto"/>
          <w:kern w:val="2"/>
          <w:sz w:val="28"/>
          <w:szCs w:val="28"/>
          <w:lang w:val="en-US" w:eastAsia="zh-CN" w:bidi="ar-SA"/>
        </w:rPr>
        <w:t>3882</w:t>
      </w:r>
      <w:r>
        <w:rPr>
          <w:rFonts w:hint="eastAsia" w:ascii="宋体" w:hAnsi="宋体" w:eastAsia="宋体" w:cs="Times New Roman"/>
          <w:color w:val="auto"/>
          <w:kern w:val="2"/>
          <w:sz w:val="28"/>
          <w:szCs w:val="28"/>
          <w:lang w:val="en-US" w:eastAsia="zh-CN" w:bidi="ar-SA"/>
        </w:rPr>
        <w:t xml:space="preserve">元/㎡，该成交价格为为常规、付款方式为一次性付款，正常税费负担情况下市场价值。该成交实例与估价对象处于类似区域的住宅，用途、结构、区域位置、交易时间等方面均具有可比性。  </w:t>
      </w:r>
    </w:p>
    <w:p>
      <w:pPr>
        <w:spacing w:line="560" w:lineRule="exact"/>
        <w:ind w:firstLine="560" w:firstLineChars="200"/>
        <w:rPr>
          <w:rFonts w:hint="eastAsia" w:ascii="宋体" w:hAnsi="宋体" w:eastAsia="宋体" w:cs="Times New Roman"/>
          <w:color w:val="auto"/>
          <w:kern w:val="2"/>
          <w:sz w:val="28"/>
          <w:szCs w:val="28"/>
          <w:lang w:val="en-US" w:eastAsia="zh-CN" w:bidi="ar-SA"/>
        </w:rPr>
      </w:pPr>
      <w:r>
        <w:rPr>
          <w:rFonts w:hint="eastAsia" w:ascii="宋体" w:hAnsi="宋体" w:eastAsia="宋体" w:cs="Times New Roman"/>
          <w:color w:val="auto"/>
          <w:kern w:val="2"/>
          <w:sz w:val="28"/>
          <w:szCs w:val="28"/>
          <w:lang w:val="en-US" w:eastAsia="zh-CN" w:bidi="ar-SA"/>
        </w:rPr>
        <w:t>（2）可比实例2：交易信息来源于估价人员市场调查，位于五原县隆兴昌镇</w:t>
      </w:r>
      <w:r>
        <w:rPr>
          <w:rFonts w:hint="eastAsia" w:ascii="宋体" w:hAnsi="宋体" w:cs="Times New Roman"/>
          <w:color w:val="auto"/>
          <w:kern w:val="2"/>
          <w:sz w:val="28"/>
          <w:szCs w:val="28"/>
          <w:lang w:val="en-US" w:eastAsia="zh-CN" w:bidi="ar-SA"/>
        </w:rPr>
        <w:t>福中园3号楼</w:t>
      </w:r>
      <w:r>
        <w:rPr>
          <w:rFonts w:hint="eastAsia" w:ascii="宋体" w:hAnsi="宋体" w:eastAsia="宋体" w:cs="Times New Roman"/>
          <w:color w:val="auto"/>
          <w:kern w:val="2"/>
          <w:sz w:val="28"/>
          <w:szCs w:val="28"/>
          <w:lang w:val="en-US" w:eastAsia="zh-CN" w:bidi="ar-SA"/>
        </w:rPr>
        <w:t>，建筑面积</w:t>
      </w:r>
      <w:r>
        <w:rPr>
          <w:rFonts w:hint="eastAsia" w:ascii="宋体" w:hAnsi="宋体" w:cs="Times New Roman"/>
          <w:color w:val="auto"/>
          <w:kern w:val="2"/>
          <w:sz w:val="28"/>
          <w:szCs w:val="28"/>
          <w:lang w:val="en-US" w:eastAsia="zh-CN" w:bidi="ar-SA"/>
        </w:rPr>
        <w:t>95.82</w:t>
      </w:r>
      <w:r>
        <w:rPr>
          <w:rFonts w:hint="eastAsia" w:ascii="宋体" w:hAnsi="宋体" w:eastAsia="宋体" w:cs="Times New Roman"/>
          <w:color w:val="auto"/>
          <w:kern w:val="2"/>
          <w:sz w:val="28"/>
          <w:szCs w:val="28"/>
          <w:lang w:val="en-US" w:eastAsia="zh-CN" w:bidi="ar-SA"/>
        </w:rPr>
        <w:t>㎡，用途为住宅用房，所在楼层及建筑物总层数</w:t>
      </w:r>
      <w:r>
        <w:rPr>
          <w:rFonts w:hint="eastAsia" w:ascii="宋体" w:hAnsi="宋体" w:cs="Times New Roman"/>
          <w:color w:val="auto"/>
          <w:kern w:val="2"/>
          <w:sz w:val="28"/>
          <w:szCs w:val="28"/>
          <w:lang w:val="en-US" w:eastAsia="zh-CN" w:bidi="ar-SA"/>
        </w:rPr>
        <w:t>4</w:t>
      </w:r>
      <w:r>
        <w:rPr>
          <w:rFonts w:hint="eastAsia" w:ascii="宋体" w:hAnsi="宋体" w:eastAsia="宋体" w:cs="Times New Roman"/>
          <w:color w:val="auto"/>
          <w:kern w:val="2"/>
          <w:sz w:val="28"/>
          <w:szCs w:val="28"/>
          <w:lang w:val="en-US" w:eastAsia="zh-CN" w:bidi="ar-SA"/>
        </w:rPr>
        <w:t>F/6F，建筑结构为砖混，建成年份为</w:t>
      </w:r>
      <w:r>
        <w:rPr>
          <w:rFonts w:hint="eastAsia" w:ascii="宋体" w:hAnsi="宋体" w:cs="Times New Roman"/>
          <w:color w:val="auto"/>
          <w:kern w:val="2"/>
          <w:sz w:val="28"/>
          <w:szCs w:val="28"/>
          <w:lang w:val="en-US" w:eastAsia="zh-CN" w:bidi="ar-SA"/>
        </w:rPr>
        <w:t>2010</w:t>
      </w:r>
      <w:r>
        <w:rPr>
          <w:rFonts w:hint="eastAsia" w:ascii="宋体" w:hAnsi="宋体" w:eastAsia="宋体" w:cs="Times New Roman"/>
          <w:color w:val="auto"/>
          <w:kern w:val="2"/>
          <w:sz w:val="28"/>
          <w:szCs w:val="28"/>
          <w:lang w:val="en-US" w:eastAsia="zh-CN" w:bidi="ar-SA"/>
        </w:rPr>
        <w:t>年，朝向为南北朝向，空间布局合理为</w:t>
      </w:r>
      <w:r>
        <w:rPr>
          <w:rFonts w:hint="eastAsia" w:ascii="宋体" w:hAnsi="宋体" w:cs="Times New Roman"/>
          <w:color w:val="auto"/>
          <w:kern w:val="2"/>
          <w:sz w:val="28"/>
          <w:szCs w:val="28"/>
          <w:lang w:val="en-US" w:eastAsia="zh-CN" w:bidi="ar-SA"/>
        </w:rPr>
        <w:t>2</w:t>
      </w:r>
      <w:r>
        <w:rPr>
          <w:rFonts w:hint="eastAsia" w:ascii="宋体" w:hAnsi="宋体" w:eastAsia="宋体" w:cs="Times New Roman"/>
          <w:color w:val="auto"/>
          <w:kern w:val="2"/>
          <w:sz w:val="28"/>
          <w:szCs w:val="28"/>
          <w:lang w:val="en-US" w:eastAsia="zh-CN" w:bidi="ar-SA"/>
        </w:rPr>
        <w:t>室2厅1厨2卫，装修程度为</w:t>
      </w:r>
      <w:r>
        <w:rPr>
          <w:rFonts w:hint="eastAsia" w:ascii="宋体" w:hAnsi="宋体" w:cs="Times New Roman"/>
          <w:color w:val="auto"/>
          <w:kern w:val="2"/>
          <w:sz w:val="28"/>
          <w:szCs w:val="28"/>
          <w:lang w:val="en-US" w:eastAsia="zh-CN" w:bidi="ar-SA"/>
        </w:rPr>
        <w:t>中档装修</w:t>
      </w:r>
      <w:r>
        <w:rPr>
          <w:rFonts w:hint="eastAsia" w:ascii="宋体" w:hAnsi="宋体" w:eastAsia="宋体" w:cs="Times New Roman"/>
          <w:color w:val="auto"/>
          <w:kern w:val="2"/>
          <w:sz w:val="28"/>
          <w:szCs w:val="28"/>
          <w:lang w:val="en-US" w:eastAsia="zh-CN" w:bidi="ar-SA"/>
        </w:rPr>
        <w:t>，成交日期为2020年</w:t>
      </w:r>
      <w:r>
        <w:rPr>
          <w:rFonts w:hint="eastAsia" w:ascii="宋体" w:hAnsi="宋体" w:cs="Times New Roman"/>
          <w:color w:val="auto"/>
          <w:kern w:val="2"/>
          <w:sz w:val="28"/>
          <w:szCs w:val="28"/>
          <w:lang w:val="en-US" w:eastAsia="zh-CN" w:bidi="ar-SA"/>
        </w:rPr>
        <w:t>3</w:t>
      </w:r>
      <w:r>
        <w:rPr>
          <w:rFonts w:hint="eastAsia" w:ascii="宋体" w:hAnsi="宋体" w:eastAsia="宋体" w:cs="Times New Roman"/>
          <w:color w:val="auto"/>
          <w:kern w:val="2"/>
          <w:sz w:val="28"/>
          <w:szCs w:val="28"/>
          <w:lang w:val="en-US" w:eastAsia="zh-CN" w:bidi="ar-SA"/>
        </w:rPr>
        <w:t>月，成交单价为</w:t>
      </w:r>
      <w:r>
        <w:rPr>
          <w:rFonts w:hint="eastAsia" w:ascii="宋体" w:hAnsi="宋体" w:cs="Times New Roman"/>
          <w:color w:val="auto"/>
          <w:kern w:val="2"/>
          <w:sz w:val="28"/>
          <w:szCs w:val="28"/>
          <w:lang w:val="en-US" w:eastAsia="zh-CN" w:bidi="ar-SA"/>
        </w:rPr>
        <w:t>3736</w:t>
      </w:r>
      <w:r>
        <w:rPr>
          <w:rFonts w:hint="eastAsia" w:ascii="宋体" w:hAnsi="宋体" w:eastAsia="宋体" w:cs="Times New Roman"/>
          <w:color w:val="auto"/>
          <w:kern w:val="2"/>
          <w:sz w:val="28"/>
          <w:szCs w:val="28"/>
          <w:lang w:val="en-US" w:eastAsia="zh-CN" w:bidi="ar-SA"/>
        </w:rPr>
        <w:t>元/㎡，该成交价格</w:t>
      </w:r>
      <w:r>
        <w:rPr>
          <w:rFonts w:hint="eastAsia" w:ascii="宋体" w:hAnsi="宋体" w:cs="Times New Roman"/>
          <w:color w:val="auto"/>
          <w:kern w:val="2"/>
          <w:sz w:val="28"/>
          <w:szCs w:val="28"/>
          <w:lang w:val="en-US" w:eastAsia="zh-CN" w:bidi="ar-SA"/>
        </w:rPr>
        <w:t>偏常规</w:t>
      </w:r>
      <w:r>
        <w:rPr>
          <w:rFonts w:hint="eastAsia" w:ascii="宋体" w:hAnsi="宋体" w:eastAsia="宋体" w:cs="Times New Roman"/>
          <w:color w:val="auto"/>
          <w:kern w:val="2"/>
          <w:sz w:val="28"/>
          <w:szCs w:val="28"/>
          <w:lang w:val="en-US" w:eastAsia="zh-CN" w:bidi="ar-SA"/>
        </w:rPr>
        <w:t>、付款方式为一次性付款，正常税费负担情况下市场价值。该成交实例与估价对象处于类似区域的住宅，用途、结构、区域位置、交易时间等方面均具有可比性。</w:t>
      </w:r>
    </w:p>
    <w:p>
      <w:pPr>
        <w:spacing w:line="560" w:lineRule="exact"/>
        <w:ind w:firstLine="560" w:firstLineChars="200"/>
        <w:rPr>
          <w:rFonts w:hint="eastAsia" w:ascii="宋体" w:hAnsi="宋体" w:eastAsia="宋体" w:cs="Times New Roman"/>
          <w:color w:val="auto"/>
          <w:kern w:val="2"/>
          <w:sz w:val="28"/>
          <w:szCs w:val="28"/>
          <w:lang w:val="en-US" w:eastAsia="zh-CN" w:bidi="ar-SA"/>
        </w:rPr>
      </w:pPr>
      <w:r>
        <w:rPr>
          <w:rFonts w:hint="eastAsia" w:ascii="宋体" w:hAnsi="宋体" w:eastAsia="宋体" w:cs="Times New Roman"/>
          <w:color w:val="auto"/>
          <w:kern w:val="2"/>
          <w:sz w:val="28"/>
          <w:szCs w:val="28"/>
          <w:lang w:val="en-US" w:eastAsia="zh-CN" w:bidi="ar-SA"/>
        </w:rPr>
        <w:t>（3）可比实例3：交易信息来源于估价人员市场调查，位于五原县隆兴昌镇</w:t>
      </w:r>
      <w:r>
        <w:rPr>
          <w:rFonts w:hint="eastAsia" w:ascii="宋体" w:hAnsi="宋体" w:cs="Times New Roman"/>
          <w:color w:val="auto"/>
          <w:kern w:val="2"/>
          <w:sz w:val="28"/>
          <w:szCs w:val="28"/>
          <w:lang w:val="en-US" w:eastAsia="zh-CN" w:bidi="ar-SA"/>
        </w:rPr>
        <w:t>温馨家园C4号楼</w:t>
      </w:r>
      <w:r>
        <w:rPr>
          <w:rFonts w:hint="eastAsia" w:ascii="宋体" w:hAnsi="宋体" w:eastAsia="宋体" w:cs="Times New Roman"/>
          <w:color w:val="auto"/>
          <w:kern w:val="2"/>
          <w:sz w:val="28"/>
          <w:szCs w:val="28"/>
          <w:lang w:val="en-US" w:eastAsia="zh-CN" w:bidi="ar-SA"/>
        </w:rPr>
        <w:t>，建筑面积</w:t>
      </w:r>
      <w:r>
        <w:rPr>
          <w:rFonts w:hint="eastAsia" w:ascii="宋体" w:hAnsi="宋体" w:cs="Times New Roman"/>
          <w:color w:val="auto"/>
          <w:kern w:val="2"/>
          <w:sz w:val="28"/>
          <w:szCs w:val="28"/>
          <w:lang w:val="en-US" w:eastAsia="zh-CN" w:bidi="ar-SA"/>
        </w:rPr>
        <w:t>108.46</w:t>
      </w:r>
      <w:r>
        <w:rPr>
          <w:rFonts w:hint="eastAsia" w:ascii="宋体" w:hAnsi="宋体" w:eastAsia="宋体" w:cs="Times New Roman"/>
          <w:color w:val="auto"/>
          <w:kern w:val="2"/>
          <w:sz w:val="28"/>
          <w:szCs w:val="28"/>
          <w:lang w:val="en-US" w:eastAsia="zh-CN" w:bidi="ar-SA"/>
        </w:rPr>
        <w:t>㎡，用途为住宅用房，所在楼层及建筑物总层数</w:t>
      </w:r>
      <w:r>
        <w:rPr>
          <w:rFonts w:hint="eastAsia" w:ascii="宋体" w:hAnsi="宋体" w:cs="Times New Roman"/>
          <w:color w:val="auto"/>
          <w:kern w:val="2"/>
          <w:sz w:val="28"/>
          <w:szCs w:val="28"/>
          <w:lang w:val="en-US" w:eastAsia="zh-CN" w:bidi="ar-SA"/>
        </w:rPr>
        <w:t>4</w:t>
      </w:r>
      <w:r>
        <w:rPr>
          <w:rFonts w:hint="eastAsia" w:ascii="宋体" w:hAnsi="宋体" w:eastAsia="宋体" w:cs="Times New Roman"/>
          <w:color w:val="auto"/>
          <w:kern w:val="2"/>
          <w:sz w:val="28"/>
          <w:szCs w:val="28"/>
          <w:lang w:val="en-US" w:eastAsia="zh-CN" w:bidi="ar-SA"/>
        </w:rPr>
        <w:t>F/6F，建筑结构为砖混，建成年份为</w:t>
      </w:r>
      <w:r>
        <w:rPr>
          <w:rFonts w:hint="eastAsia" w:ascii="宋体" w:hAnsi="宋体" w:cs="Times New Roman"/>
          <w:color w:val="auto"/>
          <w:kern w:val="2"/>
          <w:sz w:val="28"/>
          <w:szCs w:val="28"/>
          <w:lang w:val="en-US" w:eastAsia="zh-CN" w:bidi="ar-SA"/>
        </w:rPr>
        <w:t>2011</w:t>
      </w:r>
      <w:r>
        <w:rPr>
          <w:rFonts w:hint="eastAsia" w:ascii="宋体" w:hAnsi="宋体" w:eastAsia="宋体" w:cs="Times New Roman"/>
          <w:color w:val="auto"/>
          <w:kern w:val="2"/>
          <w:sz w:val="28"/>
          <w:szCs w:val="28"/>
          <w:lang w:val="en-US" w:eastAsia="zh-CN" w:bidi="ar-SA"/>
        </w:rPr>
        <w:t>年，朝向为南北朝向，空间布局较合理为</w:t>
      </w:r>
      <w:r>
        <w:rPr>
          <w:rFonts w:hint="eastAsia" w:ascii="宋体" w:hAnsi="宋体" w:cs="Times New Roman"/>
          <w:color w:val="auto"/>
          <w:kern w:val="2"/>
          <w:sz w:val="28"/>
          <w:szCs w:val="28"/>
          <w:lang w:val="en-US" w:eastAsia="zh-CN" w:bidi="ar-SA"/>
        </w:rPr>
        <w:t>3</w:t>
      </w:r>
      <w:r>
        <w:rPr>
          <w:rFonts w:hint="eastAsia" w:ascii="宋体" w:hAnsi="宋体" w:eastAsia="宋体" w:cs="Times New Roman"/>
          <w:color w:val="auto"/>
          <w:kern w:val="2"/>
          <w:sz w:val="28"/>
          <w:szCs w:val="28"/>
          <w:lang w:val="en-US" w:eastAsia="zh-CN" w:bidi="ar-SA"/>
        </w:rPr>
        <w:t>室2厅1厨2卫，装修程度为</w:t>
      </w:r>
      <w:r>
        <w:rPr>
          <w:rFonts w:hint="eastAsia" w:ascii="宋体" w:hAnsi="宋体" w:cs="Times New Roman"/>
          <w:color w:val="auto"/>
          <w:kern w:val="2"/>
          <w:sz w:val="28"/>
          <w:szCs w:val="28"/>
          <w:lang w:val="en-US" w:eastAsia="zh-CN" w:bidi="ar-SA"/>
        </w:rPr>
        <w:t>一般</w:t>
      </w:r>
      <w:r>
        <w:rPr>
          <w:rFonts w:hint="eastAsia" w:ascii="宋体" w:hAnsi="宋体" w:eastAsia="宋体" w:cs="Times New Roman"/>
          <w:color w:val="auto"/>
          <w:kern w:val="2"/>
          <w:sz w:val="28"/>
          <w:szCs w:val="28"/>
          <w:lang w:val="en-US" w:eastAsia="zh-CN" w:bidi="ar-SA"/>
        </w:rPr>
        <w:t>装修，成交日期为</w:t>
      </w:r>
      <w:r>
        <w:rPr>
          <w:rFonts w:hint="eastAsia" w:ascii="宋体" w:hAnsi="宋体" w:cs="Times New Roman"/>
          <w:color w:val="auto"/>
          <w:kern w:val="2"/>
          <w:sz w:val="28"/>
          <w:szCs w:val="28"/>
          <w:lang w:val="en-US" w:eastAsia="zh-CN" w:bidi="ar-SA"/>
        </w:rPr>
        <w:t>2020年3月</w:t>
      </w:r>
      <w:r>
        <w:rPr>
          <w:rFonts w:hint="eastAsia" w:ascii="宋体" w:hAnsi="宋体" w:eastAsia="宋体" w:cs="Times New Roman"/>
          <w:color w:val="auto"/>
          <w:kern w:val="2"/>
          <w:sz w:val="28"/>
          <w:szCs w:val="28"/>
          <w:lang w:val="en-US" w:eastAsia="zh-CN" w:bidi="ar-SA"/>
        </w:rPr>
        <w:t>，成交单价为</w:t>
      </w:r>
      <w:r>
        <w:rPr>
          <w:rFonts w:hint="eastAsia" w:ascii="宋体" w:hAnsi="宋体" w:cs="Times New Roman"/>
          <w:color w:val="auto"/>
          <w:kern w:val="2"/>
          <w:sz w:val="28"/>
          <w:szCs w:val="28"/>
          <w:lang w:val="en-US" w:eastAsia="zh-CN" w:bidi="ar-SA"/>
        </w:rPr>
        <w:t>3734</w:t>
      </w:r>
      <w:r>
        <w:rPr>
          <w:rFonts w:hint="eastAsia" w:ascii="宋体" w:hAnsi="宋体" w:eastAsia="宋体" w:cs="Times New Roman"/>
          <w:color w:val="auto"/>
          <w:kern w:val="2"/>
          <w:sz w:val="28"/>
          <w:szCs w:val="28"/>
          <w:lang w:val="en-US" w:eastAsia="zh-CN" w:bidi="ar-SA"/>
        </w:rPr>
        <w:t>元/㎡，该成交价格为常规、付款方式为一次性付款，正常税费负担情况下市场价值。该成交实例与估价对象处于类似区域的住宅，用途、结构、区域位置、交易时间等方面均具有可比性。</w:t>
      </w:r>
    </w:p>
    <w:p>
      <w:pPr>
        <w:spacing w:line="560" w:lineRule="exact"/>
        <w:ind w:firstLine="560" w:firstLineChars="200"/>
        <w:rPr>
          <w:rFonts w:hint="eastAsia" w:ascii="宋体" w:hAnsi="宋体" w:eastAsia="宋体" w:cs="Times New Roman"/>
          <w:color w:val="auto"/>
          <w:kern w:val="2"/>
          <w:sz w:val="28"/>
          <w:szCs w:val="28"/>
          <w:lang w:val="en-US" w:eastAsia="zh-CN" w:bidi="ar-SA"/>
        </w:rPr>
      </w:pPr>
      <w:r>
        <w:rPr>
          <w:rFonts w:hint="eastAsia" w:ascii="宋体" w:hAnsi="宋体" w:eastAsia="宋体" w:cs="Times New Roman"/>
          <w:color w:val="auto"/>
          <w:kern w:val="2"/>
          <w:sz w:val="28"/>
          <w:szCs w:val="28"/>
          <w:lang w:val="en-US" w:eastAsia="zh-CN" w:bidi="ar-SA"/>
        </w:rPr>
        <w:t>2、选取可比实例：根据替代原则，本次估价选取近期同一供需圈内三个用途相同的可比实例作为可比实例进行比较，求出估价对象房地产价值，选择原则如下：</w:t>
      </w:r>
    </w:p>
    <w:p>
      <w:pPr>
        <w:spacing w:line="560" w:lineRule="exact"/>
        <w:ind w:firstLine="560" w:firstLineChars="200"/>
        <w:rPr>
          <w:rFonts w:hint="eastAsia" w:ascii="宋体" w:hAnsi="宋体" w:eastAsia="宋体" w:cs="Times New Roman"/>
          <w:color w:val="auto"/>
          <w:kern w:val="2"/>
          <w:sz w:val="28"/>
          <w:szCs w:val="28"/>
          <w:lang w:val="en-US" w:eastAsia="zh-CN" w:bidi="ar-SA"/>
        </w:rPr>
      </w:pPr>
      <w:r>
        <w:rPr>
          <w:rFonts w:hint="eastAsia" w:ascii="宋体" w:hAnsi="宋体" w:eastAsia="宋体" w:cs="Times New Roman"/>
          <w:color w:val="auto"/>
          <w:kern w:val="2"/>
          <w:sz w:val="28"/>
          <w:szCs w:val="28"/>
          <w:lang w:val="en-US" w:eastAsia="zh-CN" w:bidi="ar-SA"/>
        </w:rPr>
        <w:t>⑴、可比实例房地产与估价对象房地产相似；</w:t>
      </w:r>
    </w:p>
    <w:p>
      <w:pPr>
        <w:spacing w:line="560" w:lineRule="exact"/>
        <w:ind w:firstLine="560" w:firstLineChars="200"/>
        <w:rPr>
          <w:rFonts w:hint="eastAsia" w:ascii="宋体" w:hAnsi="宋体" w:eastAsia="宋体" w:cs="Times New Roman"/>
          <w:color w:val="auto"/>
          <w:kern w:val="2"/>
          <w:sz w:val="28"/>
          <w:szCs w:val="28"/>
          <w:lang w:val="en-US" w:eastAsia="zh-CN" w:bidi="ar-SA"/>
        </w:rPr>
      </w:pPr>
      <w:r>
        <w:rPr>
          <w:rFonts w:hint="eastAsia" w:ascii="宋体" w:hAnsi="宋体" w:eastAsia="宋体" w:cs="Times New Roman"/>
          <w:color w:val="auto"/>
          <w:kern w:val="2"/>
          <w:sz w:val="28"/>
          <w:szCs w:val="28"/>
          <w:lang w:val="en-US" w:eastAsia="zh-CN" w:bidi="ar-SA"/>
        </w:rPr>
        <w:t>⑵、可比实例的交易类型适用于估价目的；</w:t>
      </w:r>
    </w:p>
    <w:p>
      <w:pPr>
        <w:spacing w:line="560" w:lineRule="exact"/>
        <w:ind w:firstLine="560" w:firstLineChars="200"/>
        <w:rPr>
          <w:rFonts w:hint="eastAsia" w:ascii="宋体" w:hAnsi="宋体" w:eastAsia="宋体" w:cs="Times New Roman"/>
          <w:color w:val="auto"/>
          <w:kern w:val="2"/>
          <w:sz w:val="28"/>
          <w:szCs w:val="28"/>
          <w:lang w:val="en-US" w:eastAsia="zh-CN" w:bidi="ar-SA"/>
        </w:rPr>
      </w:pPr>
      <w:r>
        <w:rPr>
          <w:rFonts w:hint="eastAsia" w:ascii="宋体" w:hAnsi="宋体" w:eastAsia="宋体" w:cs="Times New Roman"/>
          <w:color w:val="auto"/>
          <w:kern w:val="2"/>
          <w:sz w:val="28"/>
          <w:szCs w:val="28"/>
          <w:lang w:val="en-US" w:eastAsia="zh-CN" w:bidi="ar-SA"/>
        </w:rPr>
        <w:t>⑶、可比实例的成交日期接近价值时点，不宜超过一年，且不得超过二年；</w:t>
      </w:r>
    </w:p>
    <w:p>
      <w:pPr>
        <w:spacing w:line="560" w:lineRule="exact"/>
        <w:ind w:firstLine="560" w:firstLineChars="200"/>
        <w:rPr>
          <w:rFonts w:hint="eastAsia" w:ascii="宋体" w:hAnsi="宋体" w:eastAsia="宋体" w:cs="Times New Roman"/>
          <w:color w:val="auto"/>
          <w:kern w:val="2"/>
          <w:sz w:val="28"/>
          <w:szCs w:val="28"/>
          <w:lang w:val="en-US" w:eastAsia="zh-CN" w:bidi="ar-SA"/>
        </w:rPr>
      </w:pPr>
      <w:r>
        <w:rPr>
          <w:rFonts w:hint="eastAsia" w:ascii="宋体" w:hAnsi="宋体" w:eastAsia="宋体" w:cs="Times New Roman"/>
          <w:color w:val="auto"/>
          <w:kern w:val="2"/>
          <w:sz w:val="28"/>
          <w:szCs w:val="28"/>
          <w:lang w:val="en-US" w:eastAsia="zh-CN" w:bidi="ar-SA"/>
        </w:rPr>
        <w:t>⑷、可比实例的成交价格为正常价格或可修正为正常价格。</w:t>
      </w:r>
    </w:p>
    <w:p>
      <w:pPr>
        <w:spacing w:line="560" w:lineRule="exact"/>
        <w:ind w:firstLine="560" w:firstLineChars="200"/>
        <w:rPr>
          <w:rFonts w:hint="eastAsia" w:ascii="宋体" w:hAnsi="宋体" w:eastAsia="宋体" w:cs="Times New Roman"/>
          <w:color w:val="auto"/>
          <w:kern w:val="2"/>
          <w:sz w:val="28"/>
          <w:szCs w:val="28"/>
          <w:lang w:val="en-US" w:eastAsia="zh-CN" w:bidi="ar-SA"/>
        </w:rPr>
      </w:pPr>
      <w:r>
        <w:rPr>
          <w:rFonts w:hint="eastAsia" w:ascii="宋体" w:hAnsi="宋体" w:eastAsia="宋体" w:cs="Times New Roman"/>
          <w:color w:val="auto"/>
          <w:kern w:val="2"/>
          <w:sz w:val="28"/>
          <w:szCs w:val="28"/>
          <w:lang w:val="en-US" w:eastAsia="zh-CN" w:bidi="ar-SA"/>
        </w:rPr>
        <w:t>根据以上可比实例选取原则，本次估价从注册房地产估价师所掌握的交易资料中选取了1、2、3三个可比实例，估价对象与可比实例的基本状况见表一。</w:t>
      </w:r>
    </w:p>
    <w:p>
      <w:pPr>
        <w:spacing w:line="560" w:lineRule="exact"/>
        <w:ind w:firstLine="560" w:firstLineChars="200"/>
        <w:rPr>
          <w:rFonts w:hint="eastAsia" w:ascii="宋体" w:hAnsi="宋体" w:eastAsia="宋体" w:cs="Times New Roman"/>
          <w:color w:val="auto"/>
          <w:kern w:val="2"/>
          <w:sz w:val="28"/>
          <w:szCs w:val="28"/>
          <w:lang w:val="en-US" w:eastAsia="zh-CN" w:bidi="ar-SA"/>
        </w:rPr>
      </w:pPr>
    </w:p>
    <w:p>
      <w:pPr>
        <w:spacing w:line="560" w:lineRule="exact"/>
        <w:ind w:firstLine="560" w:firstLineChars="200"/>
        <w:rPr>
          <w:rFonts w:hint="eastAsia" w:ascii="宋体" w:hAnsi="宋体" w:eastAsia="宋体" w:cs="Times New Roman"/>
          <w:color w:val="auto"/>
          <w:kern w:val="2"/>
          <w:sz w:val="28"/>
          <w:szCs w:val="28"/>
          <w:lang w:val="en-US" w:eastAsia="zh-CN" w:bidi="ar-SA"/>
        </w:rPr>
      </w:pPr>
    </w:p>
    <w:p>
      <w:pPr>
        <w:spacing w:line="560" w:lineRule="exact"/>
        <w:ind w:firstLine="560" w:firstLineChars="200"/>
        <w:rPr>
          <w:rFonts w:hint="eastAsia" w:ascii="宋体" w:hAnsi="宋体" w:eastAsia="宋体" w:cs="Times New Roman"/>
          <w:color w:val="auto"/>
          <w:kern w:val="2"/>
          <w:sz w:val="28"/>
          <w:szCs w:val="28"/>
          <w:lang w:val="en-US" w:eastAsia="zh-CN" w:bidi="ar-SA"/>
        </w:rPr>
      </w:pPr>
    </w:p>
    <w:p>
      <w:pPr>
        <w:spacing w:line="560" w:lineRule="exact"/>
        <w:ind w:firstLine="560" w:firstLineChars="200"/>
        <w:rPr>
          <w:rFonts w:hint="eastAsia" w:ascii="宋体" w:hAnsi="宋体" w:eastAsia="宋体" w:cs="Times New Roman"/>
          <w:color w:val="auto"/>
          <w:kern w:val="2"/>
          <w:sz w:val="28"/>
          <w:szCs w:val="28"/>
          <w:lang w:val="en-US" w:eastAsia="zh-CN" w:bidi="ar-SA"/>
        </w:rPr>
      </w:pPr>
    </w:p>
    <w:p>
      <w:pPr>
        <w:spacing w:line="560" w:lineRule="exact"/>
        <w:ind w:firstLine="560" w:firstLineChars="200"/>
        <w:rPr>
          <w:rFonts w:hint="eastAsia" w:ascii="宋体" w:hAnsi="宋体" w:eastAsia="宋体" w:cs="Times New Roman"/>
          <w:color w:val="auto"/>
          <w:kern w:val="2"/>
          <w:sz w:val="28"/>
          <w:szCs w:val="28"/>
          <w:lang w:val="en-US" w:eastAsia="zh-CN" w:bidi="ar-SA"/>
        </w:rPr>
      </w:pPr>
    </w:p>
    <w:p>
      <w:pPr>
        <w:spacing w:line="560" w:lineRule="exact"/>
        <w:ind w:firstLine="560" w:firstLineChars="200"/>
        <w:rPr>
          <w:rFonts w:hint="eastAsia" w:ascii="宋体" w:hAnsi="宋体" w:eastAsia="宋体" w:cs="Times New Roman"/>
          <w:color w:val="auto"/>
          <w:kern w:val="2"/>
          <w:sz w:val="28"/>
          <w:szCs w:val="28"/>
          <w:lang w:val="en-US" w:eastAsia="zh-CN" w:bidi="ar-SA"/>
        </w:rPr>
      </w:pPr>
    </w:p>
    <w:p>
      <w:pPr>
        <w:spacing w:line="560" w:lineRule="exact"/>
        <w:rPr>
          <w:rFonts w:hint="eastAsia" w:ascii="宋体" w:hAnsi="宋体" w:eastAsia="宋体" w:cs="Times New Roman"/>
          <w:color w:val="auto"/>
          <w:kern w:val="2"/>
          <w:sz w:val="28"/>
          <w:szCs w:val="28"/>
          <w:lang w:val="en-US" w:eastAsia="zh-CN" w:bidi="ar-SA"/>
        </w:rPr>
      </w:pPr>
    </w:p>
    <w:p>
      <w:pPr>
        <w:rPr>
          <w:rFonts w:hint="eastAsia" w:ascii="宋体" w:hAnsi="宋体" w:cs="宋体-18030"/>
          <w:b/>
          <w:color w:val="auto"/>
          <w:sz w:val="28"/>
          <w:szCs w:val="28"/>
        </w:rPr>
      </w:pPr>
      <w:r>
        <w:rPr>
          <w:rFonts w:hint="eastAsia" w:ascii="宋体" w:hAnsi="宋体" w:cs="宋体-18030"/>
          <w:b/>
          <w:color w:val="auto"/>
          <w:sz w:val="28"/>
          <w:szCs w:val="28"/>
        </w:rPr>
        <w:br w:type="page"/>
      </w:r>
    </w:p>
    <w:tbl>
      <w:tblPr>
        <w:tblStyle w:val="24"/>
        <w:tblpPr w:leftFromText="180" w:rightFromText="180" w:vertAnchor="text" w:horzAnchor="page" w:tblpX="1165" w:tblpY="754"/>
        <w:tblOverlap w:val="never"/>
        <w:tblW w:w="9459" w:type="dxa"/>
        <w:tblInd w:w="0" w:type="dxa"/>
        <w:tblLayout w:type="fixed"/>
        <w:tblCellMar>
          <w:top w:w="0" w:type="dxa"/>
          <w:left w:w="108" w:type="dxa"/>
          <w:bottom w:w="0" w:type="dxa"/>
          <w:right w:w="108" w:type="dxa"/>
        </w:tblCellMar>
      </w:tblPr>
      <w:tblGrid>
        <w:gridCol w:w="619"/>
        <w:gridCol w:w="1586"/>
        <w:gridCol w:w="1786"/>
        <w:gridCol w:w="1786"/>
        <w:gridCol w:w="1909"/>
        <w:gridCol w:w="1773"/>
      </w:tblGrid>
      <w:tr>
        <w:tblPrEx>
          <w:tblCellMar>
            <w:top w:w="0" w:type="dxa"/>
            <w:left w:w="108" w:type="dxa"/>
            <w:bottom w:w="0" w:type="dxa"/>
            <w:right w:w="108" w:type="dxa"/>
          </w:tblCellMar>
        </w:tblPrEx>
        <w:trPr>
          <w:trHeight w:val="510" w:hRule="atLeast"/>
        </w:trPr>
        <w:tc>
          <w:tcPr>
            <w:tcW w:w="2205" w:type="dxa"/>
            <w:gridSpan w:val="2"/>
            <w:vMerge w:val="restart"/>
            <w:tcBorders>
              <w:top w:val="single" w:color="auto" w:sz="4" w:space="0"/>
              <w:left w:val="single" w:color="auto" w:sz="4" w:space="0"/>
              <w:bottom w:val="single" w:color="auto"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left"/>
              <w:textAlignment w:val="auto"/>
              <w:rPr>
                <w:rFonts w:ascii="宋体" w:cs="宋体"/>
                <w:color w:val="auto"/>
                <w:kern w:val="0"/>
                <w:sz w:val="18"/>
                <w:szCs w:val="18"/>
              </w:rPr>
            </w:pPr>
            <w:r>
              <w:rPr>
                <w:color w:val="auto"/>
              </w:rPr>
              <mc:AlternateContent>
                <mc:Choice Requires="wps">
                  <w:drawing>
                    <wp:anchor distT="0" distB="0" distL="114300" distR="114300" simplePos="0" relativeHeight="251674624" behindDoc="0" locked="0" layoutInCell="1" allowOverlap="1">
                      <wp:simplePos x="0" y="0"/>
                      <wp:positionH relativeFrom="column">
                        <wp:posOffset>-22860</wp:posOffset>
                      </wp:positionH>
                      <wp:positionV relativeFrom="paragraph">
                        <wp:posOffset>23495</wp:posOffset>
                      </wp:positionV>
                      <wp:extent cx="1307465" cy="518160"/>
                      <wp:effectExtent l="1905" t="4445" r="5080" b="10795"/>
                      <wp:wrapNone/>
                      <wp:docPr id="1" name="直线 4"/>
                      <wp:cNvGraphicFramePr/>
                      <a:graphic xmlns:a="http://schemas.openxmlformats.org/drawingml/2006/main">
                        <a:graphicData uri="http://schemas.microsoft.com/office/word/2010/wordprocessingShape">
                          <wps:wsp>
                            <wps:cNvCnPr/>
                            <wps:spPr>
                              <a:xfrm>
                                <a:off x="0" y="0"/>
                                <a:ext cx="1307465" cy="518160"/>
                              </a:xfrm>
                              <a:prstGeom prst="line">
                                <a:avLst/>
                              </a:prstGeom>
                              <a:ln w="9525" cap="flat" cmpd="sng">
                                <a:solidFill>
                                  <a:srgbClr val="4A7EBB"/>
                                </a:solidFill>
                                <a:prstDash val="solid"/>
                                <a:headEnd type="none" w="med" len="med"/>
                                <a:tailEnd type="none" w="med" len="med"/>
                              </a:ln>
                              <a:effectLst/>
                            </wps:spPr>
                            <wps:bodyPr upright="1"/>
                          </wps:wsp>
                        </a:graphicData>
                      </a:graphic>
                    </wp:anchor>
                  </w:drawing>
                </mc:Choice>
                <mc:Fallback>
                  <w:pict>
                    <v:line id="直线 4" o:spid="_x0000_s1026" o:spt="20" style="position:absolute;left:0pt;margin-left:-1.8pt;margin-top:1.85pt;height:40.8pt;width:102.95pt;z-index:251674624;mso-width-relative:page;mso-height-relative:page;" filled="f" stroked="t" coordsize="21600,21600" o:gfxdata="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q/llk9gAAAAHAQAADwAA&#10;AAAAAAABACAAAAAiAAAAZHJzL2Rvd25yZXYueG1sUEsBAhQAFAAAAAgAh07iQH6bPjfdAQAAoAMA&#10;AA4AAAAAAAAAAQAgAAAAJwEAAGRycy9lMm9Eb2MueG1sUEsFBgAAAAAGAAYAWQEAAHYFAAAAAA==&#10;">
                      <v:fill on="f" focussize="0,0"/>
                      <v:stroke color="#4A7EBB" joinstyle="round"/>
                      <v:imagedata o:title=""/>
                      <o:lock v:ext="edit" aspectratio="f"/>
                    </v:line>
                  </w:pict>
                </mc:Fallback>
              </mc:AlternateContent>
            </w:r>
            <w:r>
              <w:rPr>
                <w:rFonts w:ascii="宋体" w:hAnsi="宋体" w:cs="宋体"/>
                <w:color w:val="auto"/>
                <w:kern w:val="0"/>
                <w:szCs w:val="21"/>
              </w:rPr>
              <w:t xml:space="preserve">    </w:t>
            </w:r>
            <w:r>
              <w:rPr>
                <w:rFonts w:hint="eastAsia" w:ascii="宋体" w:hAnsi="宋体" w:cs="宋体"/>
                <w:color w:val="auto"/>
                <w:kern w:val="0"/>
                <w:sz w:val="18"/>
                <w:szCs w:val="18"/>
              </w:rPr>
              <w:t>估价对象与可比</w:t>
            </w:r>
          </w:p>
          <w:p>
            <w:pPr>
              <w:keepNext w:val="0"/>
              <w:keepLines w:val="0"/>
              <w:pageBreakBefore w:val="0"/>
              <w:widowControl/>
              <w:kinsoku/>
              <w:wordWrap/>
              <w:overflowPunct/>
              <w:topLinePunct w:val="0"/>
              <w:autoSpaceDE/>
              <w:autoSpaceDN/>
              <w:bidi w:val="0"/>
              <w:adjustRightInd/>
              <w:snapToGrid/>
              <w:spacing w:line="280" w:lineRule="exact"/>
              <w:jc w:val="left"/>
              <w:textAlignment w:val="auto"/>
              <w:rPr>
                <w:rFonts w:ascii="宋体" w:cs="宋体"/>
                <w:color w:val="auto"/>
                <w:kern w:val="0"/>
                <w:sz w:val="18"/>
                <w:szCs w:val="18"/>
              </w:rPr>
            </w:pPr>
          </w:p>
          <w:p>
            <w:pPr>
              <w:keepNext w:val="0"/>
              <w:keepLines w:val="0"/>
              <w:pageBreakBefore w:val="0"/>
              <w:widowControl/>
              <w:kinsoku/>
              <w:wordWrap/>
              <w:overflowPunct/>
              <w:topLinePunct w:val="0"/>
              <w:autoSpaceDE/>
              <w:autoSpaceDN/>
              <w:bidi w:val="0"/>
              <w:adjustRightInd/>
              <w:snapToGrid/>
              <w:spacing w:line="280" w:lineRule="exact"/>
              <w:jc w:val="left"/>
              <w:textAlignment w:val="auto"/>
              <w:rPr>
                <w:rFonts w:ascii="宋体" w:cs="宋体"/>
                <w:color w:val="auto"/>
                <w:kern w:val="0"/>
                <w:szCs w:val="21"/>
              </w:rPr>
            </w:pPr>
            <w:r>
              <w:rPr>
                <w:rFonts w:hint="eastAsia" w:ascii="宋体" w:hAnsi="宋体" w:cs="宋体"/>
                <w:color w:val="auto"/>
                <w:kern w:val="0"/>
                <w:sz w:val="18"/>
                <w:szCs w:val="18"/>
              </w:rPr>
              <w:t>实例比较因素</w:t>
            </w:r>
          </w:p>
        </w:tc>
        <w:tc>
          <w:tcPr>
            <w:tcW w:w="1786" w:type="dxa"/>
            <w:vMerge w:val="restart"/>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ascii="宋体" w:cs="宋体"/>
                <w:color w:val="auto"/>
                <w:kern w:val="0"/>
                <w:szCs w:val="21"/>
              </w:rPr>
            </w:pPr>
            <w:r>
              <w:rPr>
                <w:rFonts w:hint="eastAsia" w:ascii="宋体" w:hAnsi="宋体" w:cs="宋体"/>
                <w:color w:val="auto"/>
                <w:kern w:val="0"/>
                <w:szCs w:val="21"/>
              </w:rPr>
              <w:t>估价对象</w:t>
            </w:r>
          </w:p>
        </w:tc>
        <w:tc>
          <w:tcPr>
            <w:tcW w:w="1786"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ascii="宋体" w:hAnsi="宋体" w:cs="宋体"/>
                <w:color w:val="auto"/>
                <w:kern w:val="0"/>
                <w:szCs w:val="21"/>
              </w:rPr>
            </w:pPr>
            <w:r>
              <w:rPr>
                <w:rFonts w:hint="eastAsia" w:ascii="宋体" w:hAnsi="宋体" w:cs="宋体"/>
                <w:color w:val="auto"/>
                <w:kern w:val="0"/>
                <w:szCs w:val="21"/>
              </w:rPr>
              <w:t>可比实例</w:t>
            </w:r>
            <w:r>
              <w:rPr>
                <w:rFonts w:ascii="宋体" w:hAnsi="宋体" w:cs="宋体"/>
                <w:color w:val="auto"/>
                <w:kern w:val="0"/>
                <w:szCs w:val="21"/>
              </w:rPr>
              <w:t>1</w:t>
            </w:r>
          </w:p>
        </w:tc>
        <w:tc>
          <w:tcPr>
            <w:tcW w:w="1909" w:type="dxa"/>
            <w:vMerge w:val="restart"/>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color w:val="auto"/>
              </w:rPr>
            </w:pPr>
            <w:r>
              <w:rPr>
                <w:rFonts w:hint="eastAsia" w:ascii="宋体" w:hAnsi="宋体" w:cs="宋体"/>
                <w:color w:val="auto"/>
                <w:kern w:val="0"/>
                <w:szCs w:val="21"/>
              </w:rPr>
              <w:t>可比实例</w:t>
            </w:r>
            <w:r>
              <w:rPr>
                <w:rFonts w:ascii="宋体" w:hAnsi="宋体" w:cs="宋体"/>
                <w:color w:val="auto"/>
                <w:kern w:val="0"/>
                <w:szCs w:val="21"/>
              </w:rPr>
              <w:t>2</w:t>
            </w:r>
          </w:p>
        </w:tc>
        <w:tc>
          <w:tcPr>
            <w:tcW w:w="1773" w:type="dxa"/>
            <w:vMerge w:val="restart"/>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ascii="宋体" w:hAnsi="宋体" w:cs="宋体"/>
                <w:color w:val="auto"/>
                <w:kern w:val="0"/>
                <w:szCs w:val="21"/>
              </w:rPr>
            </w:pPr>
            <w:r>
              <w:rPr>
                <w:rFonts w:hint="eastAsia" w:ascii="宋体" w:hAnsi="宋体" w:cs="宋体"/>
                <w:color w:val="auto"/>
                <w:kern w:val="0"/>
                <w:szCs w:val="21"/>
              </w:rPr>
              <w:t>可比实例</w:t>
            </w:r>
            <w:r>
              <w:rPr>
                <w:rFonts w:ascii="宋体" w:hAnsi="宋体" w:cs="宋体"/>
                <w:color w:val="auto"/>
                <w:kern w:val="0"/>
                <w:szCs w:val="21"/>
              </w:rPr>
              <w:t>3</w:t>
            </w:r>
          </w:p>
        </w:tc>
      </w:tr>
      <w:tr>
        <w:tblPrEx>
          <w:tblCellMar>
            <w:top w:w="0" w:type="dxa"/>
            <w:left w:w="108" w:type="dxa"/>
            <w:bottom w:w="0" w:type="dxa"/>
            <w:right w:w="108" w:type="dxa"/>
          </w:tblCellMar>
        </w:tblPrEx>
        <w:trPr>
          <w:trHeight w:val="312" w:hRule="atLeast"/>
        </w:trPr>
        <w:tc>
          <w:tcPr>
            <w:tcW w:w="2205" w:type="dxa"/>
            <w:gridSpan w:val="2"/>
            <w:vMerge w:val="continue"/>
            <w:tcBorders>
              <w:top w:val="single" w:color="auto" w:sz="4" w:space="0"/>
              <w:left w:val="single" w:color="auto" w:sz="4" w:space="0"/>
              <w:bottom w:val="single" w:color="auto" w:sz="4" w:space="0"/>
              <w:right w:val="single" w:color="000000" w:sz="4" w:space="0"/>
            </w:tcBorders>
            <w:vAlign w:val="center"/>
          </w:tcPr>
          <w:p>
            <w:pPr>
              <w:widowControl/>
              <w:jc w:val="left"/>
              <w:rPr>
                <w:rFonts w:ascii="宋体" w:cs="宋体"/>
                <w:color w:val="auto"/>
                <w:kern w:val="0"/>
                <w:szCs w:val="21"/>
              </w:rPr>
            </w:pPr>
          </w:p>
        </w:tc>
        <w:tc>
          <w:tcPr>
            <w:tcW w:w="178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cs="宋体"/>
                <w:color w:val="auto"/>
                <w:kern w:val="0"/>
                <w:szCs w:val="21"/>
              </w:rPr>
            </w:pPr>
          </w:p>
        </w:tc>
        <w:tc>
          <w:tcPr>
            <w:tcW w:w="178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cs="宋体"/>
                <w:color w:val="auto"/>
                <w:kern w:val="0"/>
                <w:szCs w:val="21"/>
              </w:rPr>
            </w:pPr>
          </w:p>
        </w:tc>
        <w:tc>
          <w:tcPr>
            <w:tcW w:w="190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auto"/>
              </w:rPr>
            </w:pPr>
          </w:p>
        </w:tc>
        <w:tc>
          <w:tcPr>
            <w:tcW w:w="177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cs="宋体"/>
                <w:color w:val="auto"/>
                <w:kern w:val="0"/>
                <w:szCs w:val="21"/>
              </w:rPr>
            </w:pPr>
          </w:p>
        </w:tc>
      </w:tr>
      <w:tr>
        <w:tblPrEx>
          <w:tblCellMar>
            <w:top w:w="0" w:type="dxa"/>
            <w:left w:w="108" w:type="dxa"/>
            <w:bottom w:w="0" w:type="dxa"/>
            <w:right w:w="108" w:type="dxa"/>
          </w:tblCellMar>
        </w:tblPrEx>
        <w:trPr>
          <w:trHeight w:val="486" w:hRule="atLeast"/>
        </w:trPr>
        <w:tc>
          <w:tcPr>
            <w:tcW w:w="2205"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cs="宋体"/>
                <w:color w:val="auto"/>
                <w:kern w:val="0"/>
                <w:szCs w:val="21"/>
              </w:rPr>
            </w:pPr>
            <w:r>
              <w:rPr>
                <w:rFonts w:hint="eastAsia" w:ascii="宋体" w:hAnsi="宋体" w:cs="宋体"/>
                <w:color w:val="auto"/>
                <w:kern w:val="0"/>
                <w:szCs w:val="21"/>
              </w:rPr>
              <w:t>位置</w:t>
            </w:r>
          </w:p>
        </w:tc>
        <w:tc>
          <w:tcPr>
            <w:tcW w:w="178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宋体" w:eastAsia="宋体" w:cs="宋体"/>
                <w:b/>
                <w:color w:val="auto"/>
                <w:kern w:val="0"/>
                <w:szCs w:val="21"/>
                <w:lang w:val="en-US" w:eastAsia="zh-CN"/>
              </w:rPr>
            </w:pPr>
            <w:r>
              <w:rPr>
                <w:rFonts w:hint="eastAsia" w:ascii="宋体" w:cs="宋体"/>
                <w:b w:val="0"/>
                <w:bCs/>
                <w:color w:val="auto"/>
                <w:kern w:val="0"/>
                <w:szCs w:val="21"/>
                <w:lang w:eastAsia="zh-CN"/>
              </w:rPr>
              <w:t>福中园2-2-252</w:t>
            </w:r>
          </w:p>
        </w:tc>
        <w:tc>
          <w:tcPr>
            <w:tcW w:w="1786"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宋体" w:hAnsi="宋体"/>
                <w:color w:val="auto"/>
                <w:szCs w:val="21"/>
                <w:lang w:eastAsia="zh-CN"/>
              </w:rPr>
            </w:pPr>
            <w:r>
              <w:rPr>
                <w:rFonts w:hint="eastAsia" w:ascii="宋体" w:hAnsi="宋体"/>
                <w:color w:val="auto"/>
                <w:szCs w:val="21"/>
                <w:lang w:eastAsia="zh-CN"/>
              </w:rPr>
              <w:t>福中园</w:t>
            </w:r>
          </w:p>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宋体" w:eastAsia="宋体" w:cs="宋体"/>
                <w:b/>
                <w:color w:val="auto"/>
                <w:kern w:val="0"/>
                <w:szCs w:val="21"/>
                <w:lang w:val="en-US" w:eastAsia="zh-CN"/>
              </w:rPr>
            </w:pPr>
            <w:r>
              <w:rPr>
                <w:rFonts w:hint="eastAsia" w:ascii="宋体" w:hAnsi="宋体"/>
                <w:color w:val="auto"/>
                <w:szCs w:val="21"/>
                <w:lang w:eastAsia="zh-CN"/>
              </w:rPr>
              <w:t>B4号楼</w:t>
            </w:r>
          </w:p>
        </w:tc>
        <w:tc>
          <w:tcPr>
            <w:tcW w:w="1909"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福中园</w:t>
            </w:r>
          </w:p>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eastAsia="宋体"/>
                <w:color w:val="auto"/>
                <w:szCs w:val="21"/>
                <w:lang w:val="en-US" w:eastAsia="zh-CN"/>
              </w:rPr>
            </w:pPr>
            <w:r>
              <w:rPr>
                <w:rFonts w:hint="eastAsia" w:asciiTheme="minorEastAsia" w:hAnsiTheme="minorEastAsia" w:eastAsiaTheme="minorEastAsia" w:cstheme="minorEastAsia"/>
                <w:color w:val="auto"/>
                <w:sz w:val="21"/>
                <w:szCs w:val="21"/>
                <w:lang w:val="en-US" w:eastAsia="zh-CN"/>
              </w:rPr>
              <w:t>3</w:t>
            </w:r>
            <w:r>
              <w:rPr>
                <w:rFonts w:hint="eastAsia" w:asciiTheme="minorEastAsia" w:hAnsiTheme="minorEastAsia" w:eastAsiaTheme="minorEastAsia" w:cstheme="minorEastAsia"/>
                <w:color w:val="auto"/>
                <w:sz w:val="21"/>
                <w:szCs w:val="21"/>
                <w:lang w:eastAsia="zh-CN"/>
              </w:rPr>
              <w:t>号楼</w:t>
            </w:r>
          </w:p>
        </w:tc>
        <w:tc>
          <w:tcPr>
            <w:tcW w:w="1773"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温馨家园</w:t>
            </w:r>
          </w:p>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宋体" w:eastAsia="宋体" w:cs="宋体"/>
                <w:b/>
                <w:color w:val="auto"/>
                <w:kern w:val="0"/>
                <w:szCs w:val="21"/>
                <w:lang w:val="en-US" w:eastAsia="zh-CN"/>
              </w:rPr>
            </w:pPr>
            <w:r>
              <w:rPr>
                <w:rFonts w:hint="eastAsia" w:asciiTheme="minorEastAsia" w:hAnsiTheme="minorEastAsia" w:eastAsiaTheme="minorEastAsia" w:cstheme="minorEastAsia"/>
                <w:color w:val="auto"/>
                <w:sz w:val="21"/>
                <w:szCs w:val="21"/>
                <w:lang w:val="en-US" w:eastAsia="zh-CN"/>
              </w:rPr>
              <w:t>C4</w:t>
            </w:r>
            <w:r>
              <w:rPr>
                <w:rFonts w:hint="eastAsia" w:asciiTheme="minorEastAsia" w:hAnsiTheme="minorEastAsia" w:eastAsiaTheme="minorEastAsia" w:cstheme="minorEastAsia"/>
                <w:color w:val="auto"/>
                <w:sz w:val="21"/>
                <w:szCs w:val="21"/>
                <w:lang w:eastAsia="zh-CN"/>
              </w:rPr>
              <w:t>号楼</w:t>
            </w:r>
          </w:p>
        </w:tc>
      </w:tr>
      <w:tr>
        <w:tblPrEx>
          <w:tblCellMar>
            <w:top w:w="0" w:type="dxa"/>
            <w:left w:w="108" w:type="dxa"/>
            <w:bottom w:w="0" w:type="dxa"/>
            <w:right w:w="108" w:type="dxa"/>
          </w:tblCellMar>
        </w:tblPrEx>
        <w:trPr>
          <w:trHeight w:val="390" w:hRule="atLeast"/>
        </w:trPr>
        <w:tc>
          <w:tcPr>
            <w:tcW w:w="2205"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cs="宋体"/>
                <w:color w:val="auto"/>
                <w:kern w:val="0"/>
                <w:szCs w:val="21"/>
              </w:rPr>
            </w:pPr>
            <w:r>
              <w:rPr>
                <w:rFonts w:hint="eastAsia" w:ascii="宋体" w:hAnsi="宋体" w:cs="宋体"/>
                <w:color w:val="auto"/>
                <w:kern w:val="0"/>
                <w:szCs w:val="21"/>
              </w:rPr>
              <w:t>用</w:t>
            </w:r>
            <w:r>
              <w:rPr>
                <w:rFonts w:ascii="宋体" w:hAnsi="宋体" w:cs="宋体"/>
                <w:color w:val="auto"/>
                <w:kern w:val="0"/>
                <w:szCs w:val="21"/>
              </w:rPr>
              <w:t xml:space="preserve">   </w:t>
            </w:r>
            <w:r>
              <w:rPr>
                <w:rFonts w:hint="eastAsia" w:ascii="宋体" w:hAnsi="宋体" w:cs="宋体"/>
                <w:color w:val="auto"/>
                <w:kern w:val="0"/>
                <w:szCs w:val="21"/>
              </w:rPr>
              <w:t>途</w:t>
            </w:r>
          </w:p>
        </w:tc>
        <w:tc>
          <w:tcPr>
            <w:tcW w:w="1786"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cs="宋体"/>
                <w:color w:val="auto"/>
                <w:kern w:val="0"/>
                <w:szCs w:val="21"/>
              </w:rPr>
            </w:pPr>
            <w:r>
              <w:rPr>
                <w:rFonts w:hint="eastAsia" w:ascii="宋体" w:hAnsi="宋体" w:cs="宋体"/>
                <w:color w:val="auto"/>
                <w:kern w:val="0"/>
                <w:szCs w:val="21"/>
              </w:rPr>
              <w:t>住宅</w:t>
            </w:r>
          </w:p>
        </w:tc>
        <w:tc>
          <w:tcPr>
            <w:tcW w:w="1786" w:type="dxa"/>
            <w:tcBorders>
              <w:top w:val="single" w:color="auto" w:sz="4" w:space="0"/>
              <w:left w:val="nil"/>
              <w:bottom w:val="single" w:color="auto" w:sz="4" w:space="0"/>
              <w:right w:val="single" w:color="auto" w:sz="4" w:space="0"/>
            </w:tcBorders>
            <w:vAlign w:val="center"/>
          </w:tcPr>
          <w:p>
            <w:pPr>
              <w:widowControl/>
              <w:jc w:val="center"/>
              <w:rPr>
                <w:rFonts w:ascii="宋体" w:cs="宋体"/>
                <w:color w:val="auto"/>
                <w:kern w:val="0"/>
                <w:szCs w:val="21"/>
              </w:rPr>
            </w:pPr>
            <w:r>
              <w:rPr>
                <w:rFonts w:hint="eastAsia" w:ascii="宋体" w:hAnsi="宋体" w:cs="宋体"/>
                <w:color w:val="auto"/>
                <w:kern w:val="0"/>
                <w:szCs w:val="21"/>
              </w:rPr>
              <w:t>住宅</w:t>
            </w:r>
          </w:p>
        </w:tc>
        <w:tc>
          <w:tcPr>
            <w:tcW w:w="1909" w:type="dxa"/>
            <w:tcBorders>
              <w:top w:val="single" w:color="auto" w:sz="4" w:space="0"/>
              <w:left w:val="nil"/>
              <w:bottom w:val="single" w:color="auto" w:sz="4" w:space="0"/>
              <w:right w:val="single" w:color="auto" w:sz="4" w:space="0"/>
            </w:tcBorders>
            <w:noWrap/>
            <w:vAlign w:val="center"/>
          </w:tcPr>
          <w:p>
            <w:pPr>
              <w:widowControl/>
              <w:jc w:val="center"/>
              <w:rPr>
                <w:color w:val="auto"/>
              </w:rPr>
            </w:pPr>
            <w:r>
              <w:rPr>
                <w:rFonts w:hint="eastAsia" w:asciiTheme="minorEastAsia" w:hAnsiTheme="minorEastAsia" w:eastAsiaTheme="minorEastAsia" w:cstheme="minorEastAsia"/>
                <w:color w:val="auto"/>
                <w:kern w:val="0"/>
                <w:sz w:val="21"/>
                <w:szCs w:val="21"/>
              </w:rPr>
              <w:t>住宅</w:t>
            </w:r>
          </w:p>
        </w:tc>
        <w:tc>
          <w:tcPr>
            <w:tcW w:w="1773" w:type="dxa"/>
            <w:tcBorders>
              <w:top w:val="single" w:color="auto" w:sz="4" w:space="0"/>
              <w:left w:val="nil"/>
              <w:bottom w:val="single" w:color="auto" w:sz="4" w:space="0"/>
              <w:right w:val="single" w:color="auto" w:sz="4" w:space="0"/>
            </w:tcBorders>
            <w:noWrap/>
            <w:vAlign w:val="center"/>
          </w:tcPr>
          <w:p>
            <w:pPr>
              <w:widowControl/>
              <w:jc w:val="center"/>
              <w:rPr>
                <w:rFonts w:ascii="宋体" w:cs="宋体"/>
                <w:color w:val="auto"/>
                <w:kern w:val="0"/>
                <w:szCs w:val="21"/>
              </w:rPr>
            </w:pPr>
            <w:r>
              <w:rPr>
                <w:rFonts w:hint="eastAsia" w:asciiTheme="minorEastAsia" w:hAnsiTheme="minorEastAsia" w:eastAsiaTheme="minorEastAsia" w:cstheme="minorEastAsia"/>
                <w:color w:val="auto"/>
                <w:kern w:val="0"/>
                <w:sz w:val="21"/>
                <w:szCs w:val="21"/>
              </w:rPr>
              <w:t>住宅</w:t>
            </w:r>
          </w:p>
        </w:tc>
      </w:tr>
      <w:tr>
        <w:tblPrEx>
          <w:tblCellMar>
            <w:top w:w="0" w:type="dxa"/>
            <w:left w:w="108" w:type="dxa"/>
            <w:bottom w:w="0" w:type="dxa"/>
            <w:right w:w="108" w:type="dxa"/>
          </w:tblCellMar>
        </w:tblPrEx>
        <w:trPr>
          <w:trHeight w:val="339" w:hRule="atLeast"/>
        </w:trPr>
        <w:tc>
          <w:tcPr>
            <w:tcW w:w="2205"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cs="宋体"/>
                <w:color w:val="auto"/>
                <w:kern w:val="0"/>
                <w:szCs w:val="21"/>
              </w:rPr>
            </w:pPr>
            <w:r>
              <w:rPr>
                <w:rFonts w:hint="eastAsia" w:ascii="宋体" w:hAnsi="宋体" w:cs="宋体"/>
                <w:color w:val="auto"/>
                <w:kern w:val="0"/>
                <w:szCs w:val="21"/>
              </w:rPr>
              <w:t>交</w:t>
            </w:r>
            <w:r>
              <w:rPr>
                <w:rFonts w:ascii="宋体" w:hAnsi="宋体" w:cs="宋体"/>
                <w:color w:val="auto"/>
                <w:kern w:val="0"/>
                <w:szCs w:val="21"/>
              </w:rPr>
              <w:t xml:space="preserve"> </w:t>
            </w:r>
            <w:r>
              <w:rPr>
                <w:rFonts w:hint="eastAsia" w:ascii="宋体" w:hAnsi="宋体" w:cs="宋体"/>
                <w:color w:val="auto"/>
                <w:kern w:val="0"/>
                <w:szCs w:val="21"/>
              </w:rPr>
              <w:t>易</w:t>
            </w:r>
            <w:r>
              <w:rPr>
                <w:rFonts w:ascii="宋体" w:hAnsi="宋体" w:cs="宋体"/>
                <w:color w:val="auto"/>
                <w:kern w:val="0"/>
                <w:szCs w:val="21"/>
              </w:rPr>
              <w:t xml:space="preserve"> </w:t>
            </w:r>
            <w:r>
              <w:rPr>
                <w:rFonts w:hint="eastAsia" w:ascii="宋体" w:hAnsi="宋体" w:cs="宋体"/>
                <w:color w:val="auto"/>
                <w:kern w:val="0"/>
                <w:szCs w:val="21"/>
              </w:rPr>
              <w:t>情</w:t>
            </w:r>
            <w:r>
              <w:rPr>
                <w:rFonts w:ascii="宋体" w:hAnsi="宋体" w:cs="宋体"/>
                <w:color w:val="auto"/>
                <w:kern w:val="0"/>
                <w:szCs w:val="21"/>
              </w:rPr>
              <w:t xml:space="preserve"> </w:t>
            </w:r>
            <w:r>
              <w:rPr>
                <w:rFonts w:hint="eastAsia" w:ascii="宋体" w:hAnsi="宋体" w:cs="宋体"/>
                <w:color w:val="auto"/>
                <w:kern w:val="0"/>
                <w:szCs w:val="21"/>
              </w:rPr>
              <w:t>况</w:t>
            </w:r>
          </w:p>
        </w:tc>
        <w:tc>
          <w:tcPr>
            <w:tcW w:w="1786"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cs="宋体"/>
                <w:color w:val="auto"/>
                <w:kern w:val="0"/>
                <w:szCs w:val="21"/>
              </w:rPr>
            </w:pPr>
            <w:r>
              <w:rPr>
                <w:rFonts w:hint="eastAsia" w:ascii="宋体" w:hAnsi="宋体" w:cs="宋体"/>
                <w:color w:val="auto"/>
                <w:kern w:val="0"/>
                <w:szCs w:val="21"/>
              </w:rPr>
              <w:t>正常</w:t>
            </w:r>
          </w:p>
        </w:tc>
        <w:tc>
          <w:tcPr>
            <w:tcW w:w="1786" w:type="dxa"/>
            <w:tcBorders>
              <w:top w:val="single" w:color="auto" w:sz="4" w:space="0"/>
              <w:left w:val="nil"/>
              <w:bottom w:val="single" w:color="auto" w:sz="4" w:space="0"/>
              <w:right w:val="single" w:color="auto" w:sz="4" w:space="0"/>
            </w:tcBorders>
            <w:vAlign w:val="center"/>
          </w:tcPr>
          <w:p>
            <w:pPr>
              <w:widowControl/>
              <w:jc w:val="center"/>
              <w:rPr>
                <w:rFonts w:ascii="宋体" w:cs="宋体"/>
                <w:color w:val="auto"/>
                <w:kern w:val="0"/>
                <w:szCs w:val="21"/>
              </w:rPr>
            </w:pPr>
            <w:r>
              <w:rPr>
                <w:rFonts w:hint="eastAsia" w:ascii="宋体" w:hAnsi="宋体" w:cs="宋体"/>
                <w:color w:val="auto"/>
                <w:kern w:val="0"/>
                <w:szCs w:val="21"/>
              </w:rPr>
              <w:t>正常</w:t>
            </w:r>
          </w:p>
        </w:tc>
        <w:tc>
          <w:tcPr>
            <w:tcW w:w="1909" w:type="dxa"/>
            <w:tcBorders>
              <w:top w:val="single" w:color="auto" w:sz="4" w:space="0"/>
              <w:left w:val="nil"/>
              <w:bottom w:val="single" w:color="auto" w:sz="4" w:space="0"/>
              <w:right w:val="single" w:color="auto" w:sz="4" w:space="0"/>
            </w:tcBorders>
            <w:vAlign w:val="center"/>
          </w:tcPr>
          <w:p>
            <w:pPr>
              <w:widowControl/>
              <w:jc w:val="center"/>
              <w:rPr>
                <w:rFonts w:hint="eastAsia" w:eastAsia="宋体"/>
                <w:color w:val="auto"/>
                <w:lang w:eastAsia="zh-CN"/>
              </w:rPr>
            </w:pPr>
            <w:r>
              <w:rPr>
                <w:rFonts w:hint="eastAsia" w:asciiTheme="minorEastAsia" w:hAnsiTheme="minorEastAsia" w:eastAsiaTheme="minorEastAsia" w:cstheme="minorEastAsia"/>
                <w:color w:val="auto"/>
                <w:kern w:val="0"/>
                <w:sz w:val="21"/>
                <w:szCs w:val="21"/>
                <w:lang w:eastAsia="zh-CN"/>
              </w:rPr>
              <w:t>正常</w:t>
            </w:r>
          </w:p>
        </w:tc>
        <w:tc>
          <w:tcPr>
            <w:tcW w:w="1773" w:type="dxa"/>
            <w:tcBorders>
              <w:top w:val="single" w:color="auto" w:sz="4" w:space="0"/>
              <w:left w:val="nil"/>
              <w:bottom w:val="single" w:color="auto" w:sz="4" w:space="0"/>
              <w:right w:val="single" w:color="auto" w:sz="4" w:space="0"/>
            </w:tcBorders>
            <w:vAlign w:val="center"/>
          </w:tcPr>
          <w:p>
            <w:pPr>
              <w:widowControl/>
              <w:jc w:val="center"/>
              <w:rPr>
                <w:rFonts w:hint="eastAsia" w:ascii="宋体" w:eastAsia="宋体" w:cs="宋体"/>
                <w:color w:val="auto"/>
                <w:kern w:val="0"/>
                <w:szCs w:val="21"/>
                <w:lang w:eastAsia="zh-CN"/>
              </w:rPr>
            </w:pPr>
            <w:r>
              <w:rPr>
                <w:rFonts w:hint="eastAsia" w:asciiTheme="minorEastAsia" w:hAnsiTheme="minorEastAsia" w:eastAsiaTheme="minorEastAsia" w:cstheme="minorEastAsia"/>
                <w:color w:val="auto"/>
                <w:kern w:val="0"/>
                <w:sz w:val="21"/>
                <w:szCs w:val="21"/>
                <w:lang w:eastAsia="zh-CN"/>
              </w:rPr>
              <w:t>正常</w:t>
            </w:r>
          </w:p>
        </w:tc>
      </w:tr>
      <w:tr>
        <w:tblPrEx>
          <w:tblCellMar>
            <w:top w:w="0" w:type="dxa"/>
            <w:left w:w="108" w:type="dxa"/>
            <w:bottom w:w="0" w:type="dxa"/>
            <w:right w:w="108" w:type="dxa"/>
          </w:tblCellMar>
        </w:tblPrEx>
        <w:trPr>
          <w:trHeight w:val="434" w:hRule="atLeast"/>
        </w:trPr>
        <w:tc>
          <w:tcPr>
            <w:tcW w:w="2205" w:type="dxa"/>
            <w:gridSpan w:val="2"/>
            <w:tcBorders>
              <w:top w:val="single" w:color="auto" w:sz="4" w:space="0"/>
              <w:left w:val="single" w:color="auto" w:sz="4" w:space="0"/>
              <w:bottom w:val="single" w:color="auto" w:sz="4" w:space="0"/>
              <w:right w:val="nil"/>
            </w:tcBorders>
            <w:noWrap/>
            <w:vAlign w:val="center"/>
          </w:tcPr>
          <w:p>
            <w:pPr>
              <w:widowControl/>
              <w:jc w:val="center"/>
              <w:rPr>
                <w:rFonts w:ascii="宋体" w:cs="宋体"/>
                <w:color w:val="auto"/>
                <w:kern w:val="0"/>
                <w:szCs w:val="21"/>
              </w:rPr>
            </w:pPr>
            <w:r>
              <w:rPr>
                <w:rFonts w:hint="eastAsia" w:ascii="宋体" w:hAnsi="宋体" w:cs="宋体"/>
                <w:color w:val="auto"/>
                <w:kern w:val="0"/>
                <w:szCs w:val="21"/>
              </w:rPr>
              <w:t>市</w:t>
            </w:r>
            <w:r>
              <w:rPr>
                <w:rFonts w:ascii="宋体" w:hAnsi="宋体" w:cs="宋体"/>
                <w:color w:val="auto"/>
                <w:kern w:val="0"/>
                <w:szCs w:val="21"/>
              </w:rPr>
              <w:t xml:space="preserve"> </w:t>
            </w:r>
            <w:r>
              <w:rPr>
                <w:rFonts w:hint="eastAsia" w:ascii="宋体" w:hAnsi="宋体" w:cs="宋体"/>
                <w:color w:val="auto"/>
                <w:kern w:val="0"/>
                <w:szCs w:val="21"/>
              </w:rPr>
              <w:t>场</w:t>
            </w:r>
            <w:r>
              <w:rPr>
                <w:rFonts w:ascii="宋体" w:hAnsi="宋体" w:cs="宋体"/>
                <w:color w:val="auto"/>
                <w:kern w:val="0"/>
                <w:szCs w:val="21"/>
              </w:rPr>
              <w:t xml:space="preserve"> </w:t>
            </w:r>
            <w:r>
              <w:rPr>
                <w:rFonts w:hint="eastAsia" w:ascii="宋体" w:hAnsi="宋体" w:cs="宋体"/>
                <w:color w:val="auto"/>
                <w:kern w:val="0"/>
                <w:szCs w:val="21"/>
              </w:rPr>
              <w:t>状</w:t>
            </w:r>
            <w:r>
              <w:rPr>
                <w:rFonts w:ascii="宋体" w:hAnsi="宋体" w:cs="宋体"/>
                <w:color w:val="auto"/>
                <w:kern w:val="0"/>
                <w:szCs w:val="21"/>
              </w:rPr>
              <w:t xml:space="preserve"> </w:t>
            </w:r>
            <w:r>
              <w:rPr>
                <w:rFonts w:hint="eastAsia" w:ascii="宋体" w:hAnsi="宋体" w:cs="宋体"/>
                <w:color w:val="auto"/>
                <w:kern w:val="0"/>
                <w:szCs w:val="21"/>
              </w:rPr>
              <w:t>况</w:t>
            </w:r>
          </w:p>
        </w:tc>
        <w:tc>
          <w:tcPr>
            <w:tcW w:w="1786"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eastAsia="宋体" w:cs="宋体"/>
                <w:color w:val="auto"/>
                <w:kern w:val="0"/>
                <w:szCs w:val="21"/>
                <w:lang w:eastAsia="zh-CN"/>
              </w:rPr>
            </w:pPr>
            <w:r>
              <w:rPr>
                <w:rFonts w:hint="eastAsia" w:ascii="宋体" w:hAnsi="宋体" w:cs="宋体"/>
                <w:color w:val="auto"/>
                <w:szCs w:val="21"/>
                <w:lang w:eastAsia="zh-CN"/>
              </w:rPr>
              <w:t>2020年</w:t>
            </w:r>
            <w:r>
              <w:rPr>
                <w:rFonts w:hint="eastAsia" w:ascii="宋体" w:hAnsi="宋体" w:cs="宋体"/>
                <w:color w:val="auto"/>
                <w:szCs w:val="21"/>
                <w:lang w:val="en-US" w:eastAsia="zh-CN"/>
              </w:rPr>
              <w:t>7</w:t>
            </w:r>
            <w:r>
              <w:rPr>
                <w:rFonts w:hint="eastAsia" w:ascii="宋体" w:hAnsi="宋体" w:cs="宋体"/>
                <w:color w:val="auto"/>
                <w:szCs w:val="21"/>
                <w:lang w:eastAsia="zh-CN"/>
              </w:rPr>
              <w:t>月</w:t>
            </w:r>
          </w:p>
        </w:tc>
        <w:tc>
          <w:tcPr>
            <w:tcW w:w="1786" w:type="dxa"/>
            <w:tcBorders>
              <w:top w:val="single" w:color="auto" w:sz="4" w:space="0"/>
              <w:left w:val="nil"/>
              <w:bottom w:val="single" w:color="auto" w:sz="4" w:space="0"/>
              <w:right w:val="single" w:color="auto" w:sz="4" w:space="0"/>
            </w:tcBorders>
            <w:noWrap/>
            <w:vAlign w:val="center"/>
          </w:tcPr>
          <w:p>
            <w:pPr>
              <w:widowControl/>
              <w:jc w:val="center"/>
              <w:rPr>
                <w:rFonts w:ascii="宋体" w:cs="宋体"/>
                <w:color w:val="auto"/>
                <w:kern w:val="0"/>
                <w:szCs w:val="21"/>
              </w:rPr>
            </w:pPr>
            <w:r>
              <w:rPr>
                <w:rFonts w:hint="eastAsia" w:ascii="宋体" w:hAnsi="宋体" w:cs="宋体"/>
                <w:color w:val="auto"/>
                <w:szCs w:val="21"/>
                <w:lang w:eastAsia="zh-CN"/>
              </w:rPr>
              <w:t>2020年</w:t>
            </w:r>
            <w:r>
              <w:rPr>
                <w:rFonts w:hint="eastAsia" w:ascii="宋体" w:hAnsi="宋体" w:cs="宋体"/>
                <w:color w:val="auto"/>
                <w:szCs w:val="21"/>
                <w:lang w:val="en-US" w:eastAsia="zh-CN"/>
              </w:rPr>
              <w:t>3</w:t>
            </w:r>
            <w:r>
              <w:rPr>
                <w:rFonts w:hint="eastAsia" w:ascii="宋体" w:hAnsi="宋体" w:cs="宋体"/>
                <w:color w:val="auto"/>
                <w:szCs w:val="21"/>
                <w:lang w:eastAsia="zh-CN"/>
              </w:rPr>
              <w:t>月</w:t>
            </w:r>
          </w:p>
        </w:tc>
        <w:tc>
          <w:tcPr>
            <w:tcW w:w="1909" w:type="dxa"/>
            <w:tcBorders>
              <w:top w:val="single" w:color="auto" w:sz="4" w:space="0"/>
              <w:left w:val="nil"/>
              <w:bottom w:val="single" w:color="auto" w:sz="4" w:space="0"/>
              <w:right w:val="single" w:color="auto" w:sz="4" w:space="0"/>
            </w:tcBorders>
            <w:noWrap/>
            <w:vAlign w:val="center"/>
          </w:tcPr>
          <w:p>
            <w:pPr>
              <w:widowControl/>
              <w:jc w:val="center"/>
              <w:rPr>
                <w:rFonts w:hint="eastAsia" w:eastAsia="宋体"/>
                <w:color w:val="auto"/>
                <w:lang w:eastAsia="zh-CN"/>
              </w:rPr>
            </w:pPr>
            <w:r>
              <w:rPr>
                <w:rFonts w:hint="eastAsia" w:ascii="宋体" w:hAnsi="宋体" w:cs="宋体"/>
                <w:color w:val="auto"/>
                <w:szCs w:val="21"/>
                <w:lang w:eastAsia="zh-CN"/>
              </w:rPr>
              <w:t>2020年</w:t>
            </w:r>
            <w:r>
              <w:rPr>
                <w:rFonts w:hint="eastAsia" w:ascii="宋体" w:hAnsi="宋体" w:cs="宋体"/>
                <w:color w:val="auto"/>
                <w:szCs w:val="21"/>
                <w:lang w:val="en-US" w:eastAsia="zh-CN"/>
              </w:rPr>
              <w:t>3</w:t>
            </w:r>
            <w:r>
              <w:rPr>
                <w:rFonts w:hint="eastAsia" w:ascii="宋体" w:hAnsi="宋体" w:cs="宋体"/>
                <w:color w:val="auto"/>
                <w:szCs w:val="21"/>
                <w:lang w:eastAsia="zh-CN"/>
              </w:rPr>
              <w:t>月</w:t>
            </w:r>
          </w:p>
        </w:tc>
        <w:tc>
          <w:tcPr>
            <w:tcW w:w="1773" w:type="dxa"/>
            <w:tcBorders>
              <w:top w:val="single" w:color="auto" w:sz="4" w:space="0"/>
              <w:left w:val="nil"/>
              <w:bottom w:val="single" w:color="auto" w:sz="4" w:space="0"/>
              <w:right w:val="single" w:color="auto" w:sz="4" w:space="0"/>
            </w:tcBorders>
            <w:noWrap/>
            <w:vAlign w:val="center"/>
          </w:tcPr>
          <w:p>
            <w:pPr>
              <w:widowControl/>
              <w:jc w:val="center"/>
              <w:rPr>
                <w:rFonts w:hint="eastAsia" w:ascii="宋体" w:eastAsia="宋体" w:cs="宋体"/>
                <w:color w:val="auto"/>
                <w:kern w:val="0"/>
                <w:szCs w:val="21"/>
                <w:lang w:eastAsia="zh-CN"/>
              </w:rPr>
            </w:pPr>
            <w:r>
              <w:rPr>
                <w:rFonts w:hint="eastAsia" w:asciiTheme="minorEastAsia" w:hAnsiTheme="minorEastAsia" w:eastAsiaTheme="minorEastAsia" w:cstheme="minorEastAsia"/>
                <w:color w:val="auto"/>
                <w:sz w:val="21"/>
                <w:szCs w:val="21"/>
                <w:lang w:val="en-US" w:eastAsia="zh-CN"/>
              </w:rPr>
              <w:t>2020年3月</w:t>
            </w:r>
          </w:p>
        </w:tc>
      </w:tr>
      <w:tr>
        <w:tblPrEx>
          <w:tblCellMar>
            <w:top w:w="0" w:type="dxa"/>
            <w:left w:w="108" w:type="dxa"/>
            <w:bottom w:w="0" w:type="dxa"/>
            <w:right w:w="108" w:type="dxa"/>
          </w:tblCellMar>
        </w:tblPrEx>
        <w:trPr>
          <w:trHeight w:val="377" w:hRule="atLeast"/>
        </w:trPr>
        <w:tc>
          <w:tcPr>
            <w:tcW w:w="2205" w:type="dxa"/>
            <w:gridSpan w:val="2"/>
            <w:tcBorders>
              <w:top w:val="single" w:color="auto" w:sz="4" w:space="0"/>
              <w:left w:val="single" w:color="auto" w:sz="4" w:space="0"/>
              <w:bottom w:val="single" w:color="auto" w:sz="4" w:space="0"/>
              <w:right w:val="nil"/>
            </w:tcBorders>
            <w:vAlign w:val="center"/>
          </w:tcPr>
          <w:p>
            <w:pPr>
              <w:widowControl/>
              <w:jc w:val="center"/>
              <w:rPr>
                <w:rFonts w:ascii="宋体" w:cs="宋体"/>
                <w:color w:val="auto"/>
                <w:kern w:val="0"/>
                <w:szCs w:val="21"/>
              </w:rPr>
            </w:pPr>
            <w:r>
              <w:rPr>
                <w:rFonts w:hint="eastAsia" w:ascii="宋体" w:hAnsi="宋体" w:cs="宋体"/>
                <w:color w:val="auto"/>
                <w:kern w:val="0"/>
                <w:szCs w:val="21"/>
              </w:rPr>
              <w:t>价格（元</w:t>
            </w:r>
            <w:r>
              <w:rPr>
                <w:rFonts w:ascii="宋体" w:hAnsi="宋体" w:cs="宋体"/>
                <w:color w:val="auto"/>
                <w:kern w:val="0"/>
                <w:szCs w:val="21"/>
              </w:rPr>
              <w:t>/</w:t>
            </w:r>
            <w:r>
              <w:rPr>
                <w:rFonts w:hint="eastAsia" w:ascii="宋体" w:hAnsi="宋体" w:cs="宋体"/>
                <w:color w:val="auto"/>
                <w:kern w:val="0"/>
                <w:szCs w:val="21"/>
              </w:rPr>
              <w:t>㎡）</w:t>
            </w:r>
          </w:p>
        </w:tc>
        <w:tc>
          <w:tcPr>
            <w:tcW w:w="1786"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cs="宋体"/>
                <w:color w:val="auto"/>
                <w:kern w:val="0"/>
                <w:szCs w:val="21"/>
              </w:rPr>
            </w:pPr>
            <w:r>
              <w:rPr>
                <w:rFonts w:hint="eastAsia" w:ascii="宋体" w:hAnsi="宋体" w:cs="宋体"/>
                <w:color w:val="auto"/>
                <w:kern w:val="0"/>
                <w:szCs w:val="21"/>
              </w:rPr>
              <w:t>待求</w:t>
            </w:r>
          </w:p>
        </w:tc>
        <w:tc>
          <w:tcPr>
            <w:tcW w:w="1786" w:type="dxa"/>
            <w:tcBorders>
              <w:top w:val="single" w:color="auto" w:sz="4" w:space="0"/>
              <w:left w:val="nil"/>
              <w:bottom w:val="single" w:color="auto" w:sz="4" w:space="0"/>
              <w:right w:val="single" w:color="auto" w:sz="4" w:space="0"/>
            </w:tcBorders>
            <w:vAlign w:val="center"/>
          </w:tcPr>
          <w:p>
            <w:pPr>
              <w:widowControl/>
              <w:jc w:val="center"/>
              <w:rPr>
                <w:rFonts w:hint="default" w:ascii="宋体" w:eastAsia="宋体" w:cs="宋体"/>
                <w:color w:val="auto"/>
                <w:kern w:val="0"/>
                <w:szCs w:val="21"/>
                <w:lang w:val="en-US" w:eastAsia="zh-CN"/>
              </w:rPr>
            </w:pPr>
            <w:r>
              <w:rPr>
                <w:rFonts w:hint="eastAsia" w:ascii="宋体" w:hAnsi="宋体" w:cs="宋体"/>
                <w:color w:val="auto"/>
                <w:kern w:val="0"/>
                <w:szCs w:val="21"/>
                <w:lang w:val="en-US" w:eastAsia="zh-CN"/>
              </w:rPr>
              <w:t>3882</w:t>
            </w:r>
          </w:p>
        </w:tc>
        <w:tc>
          <w:tcPr>
            <w:tcW w:w="1909" w:type="dxa"/>
            <w:tcBorders>
              <w:top w:val="single" w:color="auto" w:sz="4" w:space="0"/>
              <w:left w:val="nil"/>
              <w:bottom w:val="single" w:color="auto" w:sz="4" w:space="0"/>
              <w:right w:val="single" w:color="auto" w:sz="4" w:space="0"/>
            </w:tcBorders>
            <w:noWrap/>
            <w:vAlign w:val="center"/>
          </w:tcPr>
          <w:p>
            <w:pPr>
              <w:widowControl/>
              <w:jc w:val="center"/>
              <w:rPr>
                <w:rFonts w:hint="eastAsia" w:eastAsia="宋体"/>
                <w:color w:val="auto"/>
                <w:lang w:eastAsia="zh-CN"/>
              </w:rPr>
            </w:pPr>
            <w:r>
              <w:rPr>
                <w:rFonts w:hint="eastAsia" w:asciiTheme="minorEastAsia" w:hAnsiTheme="minorEastAsia" w:eastAsiaTheme="minorEastAsia" w:cstheme="minorEastAsia"/>
                <w:color w:val="auto"/>
                <w:sz w:val="21"/>
                <w:szCs w:val="21"/>
                <w:lang w:eastAsia="zh-CN"/>
              </w:rPr>
              <w:t>3736</w:t>
            </w:r>
          </w:p>
        </w:tc>
        <w:tc>
          <w:tcPr>
            <w:tcW w:w="1773" w:type="dxa"/>
            <w:tcBorders>
              <w:top w:val="single" w:color="auto" w:sz="4" w:space="0"/>
              <w:left w:val="nil"/>
              <w:bottom w:val="single" w:color="auto" w:sz="4" w:space="0"/>
              <w:right w:val="single" w:color="auto" w:sz="4" w:space="0"/>
            </w:tcBorders>
            <w:noWrap/>
            <w:vAlign w:val="center"/>
          </w:tcPr>
          <w:p>
            <w:pPr>
              <w:widowControl/>
              <w:jc w:val="center"/>
              <w:rPr>
                <w:rFonts w:hint="default" w:ascii="宋体" w:eastAsia="宋体" w:cs="宋体"/>
                <w:color w:val="auto"/>
                <w:kern w:val="0"/>
                <w:szCs w:val="21"/>
                <w:lang w:val="en-US" w:eastAsia="zh-CN"/>
              </w:rPr>
            </w:pPr>
            <w:r>
              <w:rPr>
                <w:rFonts w:hint="eastAsia" w:asciiTheme="minorEastAsia" w:hAnsiTheme="minorEastAsia" w:eastAsiaTheme="minorEastAsia" w:cstheme="minorEastAsia"/>
                <w:color w:val="auto"/>
                <w:sz w:val="21"/>
                <w:szCs w:val="21"/>
                <w:lang w:val="en-US" w:eastAsia="zh-CN"/>
              </w:rPr>
              <w:t>3734</w:t>
            </w:r>
          </w:p>
        </w:tc>
      </w:tr>
      <w:tr>
        <w:tblPrEx>
          <w:tblCellMar>
            <w:top w:w="0" w:type="dxa"/>
            <w:left w:w="108" w:type="dxa"/>
            <w:bottom w:w="0" w:type="dxa"/>
            <w:right w:w="108" w:type="dxa"/>
          </w:tblCellMar>
        </w:tblPrEx>
        <w:trPr>
          <w:trHeight w:val="454" w:hRule="atLeast"/>
        </w:trPr>
        <w:tc>
          <w:tcPr>
            <w:tcW w:w="619"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eastAsia="宋体" w:cs="宋体"/>
                <w:color w:val="auto"/>
                <w:kern w:val="0"/>
                <w:szCs w:val="21"/>
                <w:lang w:val="en-US" w:eastAsia="zh-CN"/>
              </w:rPr>
            </w:pPr>
            <w:r>
              <w:rPr>
                <w:rFonts w:hint="eastAsia" w:ascii="宋体" w:hAnsi="宋体" w:cs="宋体"/>
                <w:color w:val="auto"/>
                <w:kern w:val="0"/>
                <w:szCs w:val="21"/>
                <w:lang w:eastAsia="zh-CN"/>
              </w:rPr>
              <w:t>价格内涵</w:t>
            </w:r>
          </w:p>
        </w:tc>
        <w:tc>
          <w:tcPr>
            <w:tcW w:w="1586" w:type="dxa"/>
            <w:tcBorders>
              <w:top w:val="single" w:color="auto" w:sz="4" w:space="0"/>
              <w:left w:val="nil"/>
              <w:bottom w:val="single" w:color="auto" w:sz="4" w:space="0"/>
              <w:right w:val="single" w:color="auto" w:sz="4" w:space="0"/>
            </w:tcBorders>
            <w:vAlign w:val="center"/>
          </w:tcPr>
          <w:p>
            <w:pPr>
              <w:widowControl/>
              <w:jc w:val="center"/>
              <w:rPr>
                <w:rFonts w:ascii="宋体" w:cs="宋体"/>
                <w:color w:val="auto"/>
                <w:kern w:val="0"/>
                <w:szCs w:val="21"/>
              </w:rPr>
            </w:pPr>
            <w:r>
              <w:rPr>
                <w:rFonts w:hint="eastAsia" w:ascii="宋体" w:hAnsi="宋体" w:cs="宋体"/>
                <w:color w:val="auto"/>
                <w:kern w:val="0"/>
                <w:szCs w:val="21"/>
              </w:rPr>
              <w:t>财产范围</w:t>
            </w:r>
          </w:p>
        </w:tc>
        <w:tc>
          <w:tcPr>
            <w:tcW w:w="1786" w:type="dxa"/>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宋体" w:cs="宋体"/>
                <w:color w:val="auto"/>
                <w:kern w:val="0"/>
                <w:szCs w:val="21"/>
              </w:rPr>
            </w:pPr>
            <w:r>
              <w:rPr>
                <w:rFonts w:hint="eastAsia" w:ascii="宋体" w:hAnsi="宋体" w:cs="宋体"/>
                <w:color w:val="auto"/>
                <w:kern w:val="0"/>
                <w:szCs w:val="21"/>
              </w:rPr>
              <w:t>房地产</w:t>
            </w:r>
          </w:p>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宋体" w:hAnsi="宋体" w:cs="宋体"/>
                <w:color w:val="auto"/>
                <w:kern w:val="0"/>
                <w:szCs w:val="21"/>
              </w:rPr>
            </w:pPr>
            <w:r>
              <w:rPr>
                <w:rFonts w:ascii="宋体" w:hAnsi="宋体" w:cs="宋体"/>
                <w:color w:val="auto"/>
                <w:kern w:val="0"/>
                <w:szCs w:val="21"/>
              </w:rPr>
              <w:t>(</w:t>
            </w:r>
            <w:r>
              <w:rPr>
                <w:rFonts w:hint="eastAsia" w:ascii="宋体" w:hAnsi="宋体" w:cs="宋体"/>
                <w:color w:val="auto"/>
                <w:kern w:val="0"/>
                <w:szCs w:val="21"/>
              </w:rPr>
              <w:t>含固定装修</w:t>
            </w:r>
            <w:r>
              <w:rPr>
                <w:rFonts w:ascii="宋体" w:hAnsi="宋体" w:cs="宋体"/>
                <w:color w:val="auto"/>
                <w:kern w:val="0"/>
                <w:szCs w:val="21"/>
              </w:rPr>
              <w:t>)</w:t>
            </w:r>
          </w:p>
        </w:tc>
        <w:tc>
          <w:tcPr>
            <w:tcW w:w="1786"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宋体" w:cs="宋体"/>
                <w:color w:val="auto"/>
                <w:kern w:val="0"/>
                <w:szCs w:val="21"/>
              </w:rPr>
            </w:pPr>
            <w:r>
              <w:rPr>
                <w:rFonts w:hint="eastAsia" w:ascii="宋体" w:hAnsi="宋体" w:cs="宋体"/>
                <w:color w:val="auto"/>
                <w:kern w:val="0"/>
                <w:szCs w:val="21"/>
              </w:rPr>
              <w:t>房地产</w:t>
            </w:r>
          </w:p>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宋体" w:hAnsi="宋体" w:cs="宋体"/>
                <w:color w:val="auto"/>
                <w:kern w:val="0"/>
                <w:szCs w:val="21"/>
              </w:rPr>
            </w:pPr>
            <w:r>
              <w:rPr>
                <w:rFonts w:ascii="宋体" w:hAnsi="宋体" w:cs="宋体"/>
                <w:color w:val="auto"/>
                <w:kern w:val="0"/>
                <w:szCs w:val="21"/>
              </w:rPr>
              <w:t>(</w:t>
            </w:r>
            <w:r>
              <w:rPr>
                <w:rFonts w:hint="eastAsia" w:ascii="宋体" w:hAnsi="宋体" w:cs="宋体"/>
                <w:color w:val="auto"/>
                <w:kern w:val="0"/>
                <w:szCs w:val="21"/>
              </w:rPr>
              <w:t>含固定装修</w:t>
            </w:r>
            <w:r>
              <w:rPr>
                <w:rFonts w:ascii="宋体" w:hAnsi="宋体" w:cs="宋体"/>
                <w:color w:val="auto"/>
                <w:kern w:val="0"/>
                <w:szCs w:val="21"/>
              </w:rPr>
              <w:t>)</w:t>
            </w:r>
          </w:p>
        </w:tc>
        <w:tc>
          <w:tcPr>
            <w:tcW w:w="1909" w:type="dxa"/>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房地产</w:t>
            </w:r>
          </w:p>
          <w:p>
            <w:pPr>
              <w:keepNext w:val="0"/>
              <w:keepLines w:val="0"/>
              <w:pageBreakBefore w:val="0"/>
              <w:widowControl/>
              <w:kinsoku/>
              <w:wordWrap/>
              <w:overflowPunct/>
              <w:topLinePunct w:val="0"/>
              <w:autoSpaceDE/>
              <w:autoSpaceDN/>
              <w:bidi w:val="0"/>
              <w:adjustRightInd/>
              <w:snapToGrid/>
              <w:spacing w:line="240" w:lineRule="exact"/>
              <w:jc w:val="center"/>
              <w:textAlignment w:val="auto"/>
              <w:rPr>
                <w:color w:val="auto"/>
              </w:rPr>
            </w:pPr>
            <w:r>
              <w:rPr>
                <w:rFonts w:hint="eastAsia" w:asciiTheme="minorEastAsia" w:hAnsiTheme="minorEastAsia" w:eastAsiaTheme="minorEastAsia" w:cstheme="minorEastAsia"/>
                <w:color w:val="auto"/>
                <w:kern w:val="0"/>
                <w:sz w:val="21"/>
                <w:szCs w:val="21"/>
              </w:rPr>
              <w:t>(含固定装修)</w:t>
            </w:r>
          </w:p>
        </w:tc>
        <w:tc>
          <w:tcPr>
            <w:tcW w:w="1773" w:type="dxa"/>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房地产</w:t>
            </w:r>
          </w:p>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宋体" w:hAnsi="宋体" w:cs="宋体"/>
                <w:color w:val="auto"/>
                <w:kern w:val="0"/>
                <w:szCs w:val="21"/>
              </w:rPr>
            </w:pPr>
            <w:r>
              <w:rPr>
                <w:rFonts w:hint="eastAsia" w:asciiTheme="minorEastAsia" w:hAnsiTheme="minorEastAsia" w:eastAsiaTheme="minorEastAsia" w:cstheme="minorEastAsia"/>
                <w:color w:val="auto"/>
                <w:kern w:val="0"/>
                <w:sz w:val="21"/>
                <w:szCs w:val="21"/>
              </w:rPr>
              <w:t>(含固定装修)</w:t>
            </w:r>
          </w:p>
        </w:tc>
      </w:tr>
      <w:tr>
        <w:tblPrEx>
          <w:tblCellMar>
            <w:top w:w="0" w:type="dxa"/>
            <w:left w:w="108" w:type="dxa"/>
            <w:bottom w:w="0" w:type="dxa"/>
            <w:right w:w="108" w:type="dxa"/>
          </w:tblCellMar>
        </w:tblPrEx>
        <w:trPr>
          <w:trHeight w:val="357" w:hRule="atLeast"/>
        </w:trPr>
        <w:tc>
          <w:tcPr>
            <w:tcW w:w="61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cs="宋体"/>
                <w:color w:val="auto"/>
                <w:kern w:val="0"/>
                <w:szCs w:val="21"/>
              </w:rPr>
            </w:pPr>
          </w:p>
        </w:tc>
        <w:tc>
          <w:tcPr>
            <w:tcW w:w="1586" w:type="dxa"/>
            <w:tcBorders>
              <w:top w:val="single" w:color="auto" w:sz="4" w:space="0"/>
              <w:left w:val="nil"/>
              <w:bottom w:val="single" w:color="auto" w:sz="4" w:space="0"/>
              <w:right w:val="single" w:color="auto" w:sz="4" w:space="0"/>
            </w:tcBorders>
            <w:vAlign w:val="center"/>
          </w:tcPr>
          <w:p>
            <w:pPr>
              <w:widowControl/>
              <w:jc w:val="center"/>
              <w:rPr>
                <w:rFonts w:ascii="宋体" w:cs="宋体"/>
                <w:color w:val="auto"/>
                <w:kern w:val="0"/>
                <w:szCs w:val="21"/>
              </w:rPr>
            </w:pPr>
            <w:r>
              <w:rPr>
                <w:rFonts w:hint="eastAsia" w:ascii="宋体" w:hAnsi="宋体" w:cs="宋体"/>
                <w:color w:val="auto"/>
                <w:kern w:val="0"/>
                <w:szCs w:val="21"/>
              </w:rPr>
              <w:t>付款方式</w:t>
            </w:r>
          </w:p>
        </w:tc>
        <w:tc>
          <w:tcPr>
            <w:tcW w:w="1786" w:type="dxa"/>
            <w:tcBorders>
              <w:top w:val="single" w:color="auto" w:sz="4" w:space="0"/>
              <w:left w:val="nil"/>
              <w:bottom w:val="single" w:color="auto" w:sz="4" w:space="0"/>
              <w:right w:val="single" w:color="auto" w:sz="4" w:space="0"/>
            </w:tcBorders>
            <w:noWrap/>
            <w:vAlign w:val="center"/>
          </w:tcPr>
          <w:p>
            <w:pPr>
              <w:widowControl/>
              <w:jc w:val="center"/>
              <w:rPr>
                <w:rFonts w:ascii="宋体" w:cs="宋体"/>
                <w:color w:val="auto"/>
                <w:kern w:val="0"/>
                <w:szCs w:val="21"/>
              </w:rPr>
            </w:pPr>
            <w:r>
              <w:rPr>
                <w:rFonts w:hint="eastAsia" w:ascii="宋体" w:hAnsi="宋体" w:cs="宋体"/>
                <w:color w:val="auto"/>
                <w:kern w:val="0"/>
                <w:szCs w:val="21"/>
              </w:rPr>
              <w:t>一次性付款</w:t>
            </w:r>
          </w:p>
        </w:tc>
        <w:tc>
          <w:tcPr>
            <w:tcW w:w="1786" w:type="dxa"/>
            <w:tcBorders>
              <w:top w:val="single" w:color="auto" w:sz="4" w:space="0"/>
              <w:left w:val="nil"/>
              <w:bottom w:val="single" w:color="auto" w:sz="4" w:space="0"/>
              <w:right w:val="single" w:color="auto" w:sz="4" w:space="0"/>
            </w:tcBorders>
            <w:vAlign w:val="center"/>
          </w:tcPr>
          <w:p>
            <w:pPr>
              <w:widowControl/>
              <w:jc w:val="center"/>
              <w:rPr>
                <w:rFonts w:ascii="宋体" w:cs="宋体"/>
                <w:color w:val="auto"/>
                <w:kern w:val="0"/>
                <w:szCs w:val="21"/>
              </w:rPr>
            </w:pPr>
            <w:r>
              <w:rPr>
                <w:rFonts w:hint="eastAsia" w:ascii="宋体" w:hAnsi="宋体" w:cs="宋体"/>
                <w:color w:val="auto"/>
                <w:kern w:val="0"/>
                <w:szCs w:val="21"/>
              </w:rPr>
              <w:t>一次性付款</w:t>
            </w:r>
          </w:p>
        </w:tc>
        <w:tc>
          <w:tcPr>
            <w:tcW w:w="1909" w:type="dxa"/>
            <w:tcBorders>
              <w:top w:val="single" w:color="auto" w:sz="4" w:space="0"/>
              <w:left w:val="nil"/>
              <w:bottom w:val="single" w:color="auto" w:sz="4" w:space="0"/>
              <w:right w:val="single" w:color="auto" w:sz="4" w:space="0"/>
            </w:tcBorders>
            <w:noWrap/>
            <w:vAlign w:val="center"/>
          </w:tcPr>
          <w:p>
            <w:pPr>
              <w:widowControl/>
              <w:jc w:val="center"/>
              <w:rPr>
                <w:color w:val="auto"/>
              </w:rPr>
            </w:pPr>
            <w:r>
              <w:rPr>
                <w:rFonts w:hint="eastAsia" w:asciiTheme="minorEastAsia" w:hAnsiTheme="minorEastAsia" w:eastAsiaTheme="minorEastAsia" w:cstheme="minorEastAsia"/>
                <w:color w:val="auto"/>
                <w:kern w:val="0"/>
                <w:sz w:val="21"/>
                <w:szCs w:val="21"/>
              </w:rPr>
              <w:t>一次性付款</w:t>
            </w:r>
          </w:p>
        </w:tc>
        <w:tc>
          <w:tcPr>
            <w:tcW w:w="1773" w:type="dxa"/>
            <w:tcBorders>
              <w:top w:val="single" w:color="auto" w:sz="4" w:space="0"/>
              <w:left w:val="nil"/>
              <w:bottom w:val="single" w:color="auto" w:sz="4" w:space="0"/>
              <w:right w:val="single" w:color="auto" w:sz="4" w:space="0"/>
            </w:tcBorders>
            <w:noWrap/>
            <w:vAlign w:val="center"/>
          </w:tcPr>
          <w:p>
            <w:pPr>
              <w:widowControl/>
              <w:jc w:val="center"/>
              <w:rPr>
                <w:rFonts w:ascii="宋体" w:cs="宋体"/>
                <w:color w:val="auto"/>
                <w:kern w:val="0"/>
                <w:szCs w:val="21"/>
              </w:rPr>
            </w:pPr>
            <w:r>
              <w:rPr>
                <w:rFonts w:hint="eastAsia" w:asciiTheme="minorEastAsia" w:hAnsiTheme="minorEastAsia" w:eastAsiaTheme="minorEastAsia" w:cstheme="minorEastAsia"/>
                <w:color w:val="auto"/>
                <w:kern w:val="0"/>
                <w:sz w:val="21"/>
                <w:szCs w:val="21"/>
              </w:rPr>
              <w:t>一次性付款</w:t>
            </w:r>
          </w:p>
        </w:tc>
      </w:tr>
      <w:tr>
        <w:tblPrEx>
          <w:tblCellMar>
            <w:top w:w="0" w:type="dxa"/>
            <w:left w:w="108" w:type="dxa"/>
            <w:bottom w:w="0" w:type="dxa"/>
            <w:right w:w="108" w:type="dxa"/>
          </w:tblCellMar>
        </w:tblPrEx>
        <w:trPr>
          <w:trHeight w:val="389" w:hRule="atLeast"/>
        </w:trPr>
        <w:tc>
          <w:tcPr>
            <w:tcW w:w="61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cs="宋体"/>
                <w:color w:val="auto"/>
                <w:kern w:val="0"/>
                <w:szCs w:val="21"/>
              </w:rPr>
            </w:pPr>
          </w:p>
        </w:tc>
        <w:tc>
          <w:tcPr>
            <w:tcW w:w="1586" w:type="dxa"/>
            <w:tcBorders>
              <w:top w:val="single" w:color="auto" w:sz="4" w:space="0"/>
              <w:left w:val="nil"/>
              <w:bottom w:val="single" w:color="auto" w:sz="4" w:space="0"/>
              <w:right w:val="single" w:color="auto" w:sz="4" w:space="0"/>
            </w:tcBorders>
            <w:vAlign w:val="center"/>
          </w:tcPr>
          <w:p>
            <w:pPr>
              <w:widowControl/>
              <w:jc w:val="center"/>
              <w:rPr>
                <w:rFonts w:ascii="宋体" w:cs="宋体"/>
                <w:color w:val="auto"/>
                <w:kern w:val="0"/>
                <w:szCs w:val="21"/>
              </w:rPr>
            </w:pPr>
            <w:r>
              <w:rPr>
                <w:rFonts w:hint="eastAsia" w:ascii="宋体" w:hAnsi="宋体" w:cs="宋体"/>
                <w:color w:val="auto"/>
                <w:kern w:val="0"/>
                <w:szCs w:val="21"/>
              </w:rPr>
              <w:t>税费负担</w:t>
            </w:r>
          </w:p>
        </w:tc>
        <w:tc>
          <w:tcPr>
            <w:tcW w:w="1786" w:type="dxa"/>
            <w:tcBorders>
              <w:top w:val="single" w:color="auto" w:sz="4" w:space="0"/>
              <w:left w:val="nil"/>
              <w:bottom w:val="single" w:color="auto" w:sz="4" w:space="0"/>
              <w:right w:val="single" w:color="auto" w:sz="4" w:space="0"/>
            </w:tcBorders>
            <w:noWrap/>
            <w:vAlign w:val="center"/>
          </w:tcPr>
          <w:p>
            <w:pPr>
              <w:widowControl/>
              <w:jc w:val="center"/>
              <w:rPr>
                <w:rFonts w:ascii="宋体" w:cs="宋体"/>
                <w:color w:val="auto"/>
                <w:kern w:val="0"/>
                <w:szCs w:val="21"/>
              </w:rPr>
            </w:pPr>
            <w:r>
              <w:rPr>
                <w:rFonts w:hint="eastAsia" w:ascii="宋体" w:hAnsi="宋体" w:cs="宋体"/>
                <w:color w:val="auto"/>
                <w:kern w:val="0"/>
                <w:szCs w:val="21"/>
              </w:rPr>
              <w:t>正常税费负担</w:t>
            </w:r>
          </w:p>
        </w:tc>
        <w:tc>
          <w:tcPr>
            <w:tcW w:w="1786" w:type="dxa"/>
            <w:tcBorders>
              <w:top w:val="single" w:color="auto" w:sz="4" w:space="0"/>
              <w:left w:val="nil"/>
              <w:bottom w:val="single" w:color="auto" w:sz="4" w:space="0"/>
              <w:right w:val="single" w:color="auto" w:sz="4" w:space="0"/>
            </w:tcBorders>
            <w:vAlign w:val="center"/>
          </w:tcPr>
          <w:p>
            <w:pPr>
              <w:widowControl/>
              <w:jc w:val="center"/>
              <w:rPr>
                <w:rFonts w:ascii="宋体" w:cs="宋体"/>
                <w:color w:val="auto"/>
                <w:kern w:val="0"/>
                <w:szCs w:val="21"/>
              </w:rPr>
            </w:pPr>
            <w:r>
              <w:rPr>
                <w:rFonts w:hint="eastAsia" w:ascii="宋体" w:hAnsi="宋体" w:cs="宋体"/>
                <w:color w:val="auto"/>
                <w:kern w:val="0"/>
                <w:szCs w:val="21"/>
              </w:rPr>
              <w:t>正常税费负担</w:t>
            </w:r>
          </w:p>
        </w:tc>
        <w:tc>
          <w:tcPr>
            <w:tcW w:w="1909" w:type="dxa"/>
            <w:tcBorders>
              <w:top w:val="single" w:color="auto" w:sz="4" w:space="0"/>
              <w:left w:val="nil"/>
              <w:bottom w:val="single" w:color="auto" w:sz="4" w:space="0"/>
              <w:right w:val="single" w:color="auto" w:sz="4" w:space="0"/>
            </w:tcBorders>
            <w:noWrap/>
            <w:vAlign w:val="center"/>
          </w:tcPr>
          <w:p>
            <w:pPr>
              <w:widowControl/>
              <w:jc w:val="center"/>
              <w:rPr>
                <w:color w:val="auto"/>
              </w:rPr>
            </w:pPr>
            <w:r>
              <w:rPr>
                <w:rFonts w:hint="eastAsia" w:asciiTheme="minorEastAsia" w:hAnsiTheme="minorEastAsia" w:eastAsiaTheme="minorEastAsia" w:cstheme="minorEastAsia"/>
                <w:color w:val="auto"/>
                <w:kern w:val="0"/>
                <w:sz w:val="21"/>
                <w:szCs w:val="21"/>
              </w:rPr>
              <w:t>正常税费负担</w:t>
            </w:r>
          </w:p>
        </w:tc>
        <w:tc>
          <w:tcPr>
            <w:tcW w:w="1773" w:type="dxa"/>
            <w:tcBorders>
              <w:top w:val="single" w:color="auto" w:sz="4" w:space="0"/>
              <w:left w:val="nil"/>
              <w:bottom w:val="single" w:color="auto" w:sz="4" w:space="0"/>
              <w:right w:val="single" w:color="auto" w:sz="4" w:space="0"/>
            </w:tcBorders>
            <w:noWrap/>
            <w:vAlign w:val="center"/>
          </w:tcPr>
          <w:p>
            <w:pPr>
              <w:widowControl/>
              <w:jc w:val="center"/>
              <w:rPr>
                <w:rFonts w:ascii="宋体" w:cs="宋体"/>
                <w:color w:val="auto"/>
                <w:kern w:val="0"/>
                <w:szCs w:val="21"/>
              </w:rPr>
            </w:pPr>
            <w:r>
              <w:rPr>
                <w:rFonts w:hint="eastAsia" w:asciiTheme="minorEastAsia" w:hAnsiTheme="minorEastAsia" w:eastAsiaTheme="minorEastAsia" w:cstheme="minorEastAsia"/>
                <w:color w:val="auto"/>
                <w:kern w:val="0"/>
                <w:sz w:val="21"/>
                <w:szCs w:val="21"/>
              </w:rPr>
              <w:t>正常税费负担</w:t>
            </w:r>
          </w:p>
        </w:tc>
      </w:tr>
      <w:tr>
        <w:tblPrEx>
          <w:tblCellMar>
            <w:top w:w="0" w:type="dxa"/>
            <w:left w:w="108" w:type="dxa"/>
            <w:bottom w:w="0" w:type="dxa"/>
            <w:right w:w="108" w:type="dxa"/>
          </w:tblCellMar>
        </w:tblPrEx>
        <w:trPr>
          <w:trHeight w:val="310" w:hRule="atLeast"/>
        </w:trPr>
        <w:tc>
          <w:tcPr>
            <w:tcW w:w="61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cs="宋体"/>
                <w:color w:val="auto"/>
                <w:kern w:val="0"/>
                <w:szCs w:val="21"/>
              </w:rPr>
            </w:pPr>
          </w:p>
        </w:tc>
        <w:tc>
          <w:tcPr>
            <w:tcW w:w="1586" w:type="dxa"/>
            <w:tcBorders>
              <w:top w:val="single" w:color="auto" w:sz="4" w:space="0"/>
              <w:left w:val="nil"/>
              <w:bottom w:val="single" w:color="auto" w:sz="4" w:space="0"/>
              <w:right w:val="single" w:color="auto" w:sz="4" w:space="0"/>
            </w:tcBorders>
            <w:vAlign w:val="center"/>
          </w:tcPr>
          <w:p>
            <w:pPr>
              <w:widowControl/>
              <w:jc w:val="center"/>
              <w:rPr>
                <w:rFonts w:ascii="宋体" w:cs="宋体"/>
                <w:color w:val="auto"/>
                <w:kern w:val="0"/>
                <w:szCs w:val="21"/>
              </w:rPr>
            </w:pPr>
            <w:r>
              <w:rPr>
                <w:rFonts w:hint="eastAsia" w:ascii="宋体" w:hAnsi="宋体" w:cs="宋体"/>
                <w:color w:val="auto"/>
                <w:kern w:val="0"/>
                <w:szCs w:val="21"/>
              </w:rPr>
              <w:t>计价单位</w:t>
            </w:r>
          </w:p>
        </w:tc>
        <w:tc>
          <w:tcPr>
            <w:tcW w:w="1786" w:type="dxa"/>
            <w:tcBorders>
              <w:top w:val="single" w:color="auto" w:sz="4" w:space="0"/>
              <w:left w:val="nil"/>
              <w:bottom w:val="single" w:color="auto" w:sz="4" w:space="0"/>
              <w:right w:val="single" w:color="auto" w:sz="4" w:space="0"/>
            </w:tcBorders>
            <w:noWrap/>
            <w:vAlign w:val="center"/>
          </w:tcPr>
          <w:p>
            <w:pPr>
              <w:widowControl/>
              <w:jc w:val="center"/>
              <w:rPr>
                <w:rFonts w:ascii="宋体" w:cs="宋体"/>
                <w:color w:val="auto"/>
                <w:kern w:val="0"/>
                <w:szCs w:val="21"/>
              </w:rPr>
            </w:pPr>
            <w:r>
              <w:rPr>
                <w:rFonts w:hint="eastAsia" w:ascii="宋体" w:hAnsi="宋体" w:cs="宋体"/>
                <w:color w:val="auto"/>
                <w:kern w:val="0"/>
                <w:szCs w:val="21"/>
              </w:rPr>
              <w:t>元</w:t>
            </w:r>
            <w:r>
              <w:rPr>
                <w:rFonts w:ascii="宋体" w:hAnsi="宋体" w:cs="宋体"/>
                <w:color w:val="auto"/>
                <w:kern w:val="0"/>
                <w:szCs w:val="21"/>
              </w:rPr>
              <w:t>/</w:t>
            </w:r>
            <w:r>
              <w:rPr>
                <w:rFonts w:hint="eastAsia" w:ascii="宋体" w:hAnsi="宋体" w:cs="宋体"/>
                <w:color w:val="auto"/>
                <w:kern w:val="0"/>
                <w:szCs w:val="21"/>
              </w:rPr>
              <w:t>㎡</w:t>
            </w:r>
          </w:p>
        </w:tc>
        <w:tc>
          <w:tcPr>
            <w:tcW w:w="1786" w:type="dxa"/>
            <w:tcBorders>
              <w:top w:val="single" w:color="auto" w:sz="4" w:space="0"/>
              <w:left w:val="nil"/>
              <w:bottom w:val="single" w:color="auto" w:sz="4" w:space="0"/>
              <w:right w:val="single" w:color="auto" w:sz="4" w:space="0"/>
            </w:tcBorders>
            <w:vAlign w:val="center"/>
          </w:tcPr>
          <w:p>
            <w:pPr>
              <w:widowControl/>
              <w:jc w:val="center"/>
              <w:rPr>
                <w:rFonts w:ascii="宋体" w:cs="宋体"/>
                <w:color w:val="auto"/>
                <w:kern w:val="0"/>
                <w:szCs w:val="21"/>
              </w:rPr>
            </w:pPr>
            <w:r>
              <w:rPr>
                <w:rFonts w:hint="eastAsia" w:ascii="宋体" w:hAnsi="宋体" w:cs="宋体"/>
                <w:color w:val="auto"/>
                <w:kern w:val="0"/>
                <w:szCs w:val="21"/>
              </w:rPr>
              <w:t>元</w:t>
            </w:r>
            <w:r>
              <w:rPr>
                <w:rFonts w:ascii="宋体" w:hAnsi="宋体" w:cs="宋体"/>
                <w:color w:val="auto"/>
                <w:kern w:val="0"/>
                <w:szCs w:val="21"/>
              </w:rPr>
              <w:t>/</w:t>
            </w:r>
            <w:r>
              <w:rPr>
                <w:rFonts w:hint="eastAsia" w:ascii="宋体" w:hAnsi="宋体" w:cs="宋体"/>
                <w:color w:val="auto"/>
                <w:kern w:val="0"/>
                <w:szCs w:val="21"/>
              </w:rPr>
              <w:t>㎡</w:t>
            </w:r>
          </w:p>
        </w:tc>
        <w:tc>
          <w:tcPr>
            <w:tcW w:w="1909" w:type="dxa"/>
            <w:tcBorders>
              <w:top w:val="single" w:color="auto" w:sz="4" w:space="0"/>
              <w:left w:val="nil"/>
              <w:bottom w:val="single" w:color="auto" w:sz="4" w:space="0"/>
              <w:right w:val="single" w:color="auto" w:sz="4" w:space="0"/>
            </w:tcBorders>
            <w:noWrap/>
            <w:vAlign w:val="center"/>
          </w:tcPr>
          <w:p>
            <w:pPr>
              <w:widowControl/>
              <w:jc w:val="center"/>
              <w:rPr>
                <w:color w:val="auto"/>
              </w:rPr>
            </w:pPr>
            <w:r>
              <w:rPr>
                <w:rFonts w:hint="eastAsia" w:asciiTheme="minorEastAsia" w:hAnsiTheme="minorEastAsia" w:eastAsiaTheme="minorEastAsia" w:cstheme="minorEastAsia"/>
                <w:color w:val="auto"/>
                <w:kern w:val="0"/>
                <w:sz w:val="21"/>
                <w:szCs w:val="21"/>
              </w:rPr>
              <w:t>元/㎡</w:t>
            </w:r>
          </w:p>
        </w:tc>
        <w:tc>
          <w:tcPr>
            <w:tcW w:w="1773" w:type="dxa"/>
            <w:tcBorders>
              <w:top w:val="single" w:color="auto" w:sz="4" w:space="0"/>
              <w:left w:val="nil"/>
              <w:bottom w:val="single" w:color="auto" w:sz="4" w:space="0"/>
              <w:right w:val="single" w:color="auto" w:sz="4" w:space="0"/>
            </w:tcBorders>
            <w:noWrap/>
            <w:vAlign w:val="center"/>
          </w:tcPr>
          <w:p>
            <w:pPr>
              <w:widowControl/>
              <w:jc w:val="center"/>
              <w:rPr>
                <w:rFonts w:ascii="宋体" w:cs="宋体"/>
                <w:color w:val="auto"/>
                <w:kern w:val="0"/>
                <w:szCs w:val="21"/>
              </w:rPr>
            </w:pPr>
            <w:r>
              <w:rPr>
                <w:rFonts w:hint="eastAsia" w:asciiTheme="minorEastAsia" w:hAnsiTheme="minorEastAsia" w:eastAsiaTheme="minorEastAsia" w:cstheme="minorEastAsia"/>
                <w:color w:val="auto"/>
                <w:kern w:val="0"/>
                <w:sz w:val="21"/>
                <w:szCs w:val="21"/>
              </w:rPr>
              <w:t>元/㎡</w:t>
            </w:r>
          </w:p>
        </w:tc>
      </w:tr>
      <w:tr>
        <w:tblPrEx>
          <w:tblCellMar>
            <w:top w:w="0" w:type="dxa"/>
            <w:left w:w="108" w:type="dxa"/>
            <w:bottom w:w="0" w:type="dxa"/>
            <w:right w:w="108" w:type="dxa"/>
          </w:tblCellMar>
        </w:tblPrEx>
        <w:trPr>
          <w:trHeight w:val="390" w:hRule="exact"/>
        </w:trPr>
        <w:tc>
          <w:tcPr>
            <w:tcW w:w="619" w:type="dxa"/>
            <w:vMerge w:val="restart"/>
            <w:tcBorders>
              <w:top w:val="single" w:color="auto" w:sz="4" w:space="0"/>
              <w:left w:val="single" w:color="auto" w:sz="4" w:space="0"/>
              <w:bottom w:val="single" w:color="auto" w:sz="4" w:space="0"/>
              <w:right w:val="single" w:color="auto" w:sz="4" w:space="0"/>
            </w:tcBorders>
            <w:vAlign w:val="center"/>
          </w:tcPr>
          <w:p>
            <w:pPr>
              <w:widowControl/>
              <w:jc w:val="both"/>
              <w:rPr>
                <w:rFonts w:ascii="宋体" w:cs="宋体"/>
                <w:color w:val="auto"/>
                <w:kern w:val="0"/>
                <w:szCs w:val="21"/>
              </w:rPr>
            </w:pPr>
          </w:p>
        </w:tc>
        <w:tc>
          <w:tcPr>
            <w:tcW w:w="1586" w:type="dxa"/>
            <w:tcBorders>
              <w:top w:val="single" w:color="auto" w:sz="4" w:space="0"/>
              <w:left w:val="nil"/>
              <w:bottom w:val="single" w:color="auto" w:sz="4" w:space="0"/>
              <w:right w:val="nil"/>
            </w:tcBorders>
            <w:vAlign w:val="center"/>
          </w:tcPr>
          <w:p>
            <w:pPr>
              <w:widowControl/>
              <w:jc w:val="center"/>
              <w:rPr>
                <w:rFonts w:ascii="宋体" w:cs="宋体"/>
                <w:color w:val="auto"/>
                <w:kern w:val="0"/>
                <w:szCs w:val="21"/>
              </w:rPr>
            </w:pPr>
            <w:r>
              <w:rPr>
                <w:rFonts w:hint="eastAsia" w:ascii="宋体" w:hAnsi="宋体" w:cs="宋体"/>
                <w:color w:val="auto"/>
                <w:kern w:val="0"/>
                <w:szCs w:val="21"/>
              </w:rPr>
              <w:t>位</w:t>
            </w:r>
            <w:r>
              <w:rPr>
                <w:rFonts w:ascii="宋体" w:hAnsi="宋体" w:cs="宋体"/>
                <w:color w:val="auto"/>
                <w:kern w:val="0"/>
                <w:szCs w:val="21"/>
              </w:rPr>
              <w:t xml:space="preserve">   </w:t>
            </w:r>
            <w:r>
              <w:rPr>
                <w:rFonts w:hint="eastAsia" w:ascii="宋体" w:hAnsi="宋体" w:cs="宋体"/>
                <w:color w:val="auto"/>
                <w:kern w:val="0"/>
                <w:szCs w:val="21"/>
              </w:rPr>
              <w:t>置</w:t>
            </w:r>
          </w:p>
        </w:tc>
        <w:tc>
          <w:tcPr>
            <w:tcW w:w="178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ascii="宋体" w:cs="宋体"/>
                <w:color w:val="auto"/>
                <w:kern w:val="0"/>
                <w:szCs w:val="21"/>
              </w:rPr>
            </w:pPr>
            <w:r>
              <w:rPr>
                <w:rFonts w:hint="eastAsia" w:ascii="宋体" w:cs="宋体" w:eastAsiaTheme="minorEastAsia"/>
                <w:color w:val="auto"/>
                <w:kern w:val="0"/>
                <w:szCs w:val="21"/>
                <w:lang w:eastAsia="zh-CN"/>
              </w:rPr>
              <w:t>较优</w:t>
            </w:r>
          </w:p>
        </w:tc>
        <w:tc>
          <w:tcPr>
            <w:tcW w:w="1786" w:type="dxa"/>
            <w:tcBorders>
              <w:top w:val="single" w:color="auto" w:sz="4" w:space="0"/>
              <w:left w:val="nil"/>
              <w:bottom w:val="single" w:color="auto" w:sz="4" w:space="0"/>
              <w:right w:val="single" w:color="auto" w:sz="4" w:space="0"/>
            </w:tcBorders>
            <w:vAlign w:val="center"/>
          </w:tcPr>
          <w:p>
            <w:pPr>
              <w:widowControl/>
              <w:jc w:val="center"/>
              <w:textAlignment w:val="center"/>
              <w:rPr>
                <w:rFonts w:hint="eastAsia" w:ascii="宋体" w:eastAsia="宋体" w:cs="宋体"/>
                <w:color w:val="auto"/>
                <w:kern w:val="0"/>
                <w:szCs w:val="21"/>
                <w:lang w:val="en-US" w:eastAsia="zh-CN"/>
              </w:rPr>
            </w:pPr>
            <w:r>
              <w:rPr>
                <w:rFonts w:hint="eastAsia" w:ascii="宋体" w:cs="宋体" w:eastAsiaTheme="minorEastAsia"/>
                <w:color w:val="auto"/>
                <w:kern w:val="0"/>
                <w:szCs w:val="21"/>
                <w:lang w:eastAsia="zh-CN"/>
              </w:rPr>
              <w:t>较优</w:t>
            </w:r>
          </w:p>
        </w:tc>
        <w:tc>
          <w:tcPr>
            <w:tcW w:w="1909" w:type="dxa"/>
            <w:tcBorders>
              <w:top w:val="single" w:color="auto" w:sz="4" w:space="0"/>
              <w:left w:val="nil"/>
              <w:bottom w:val="single" w:color="auto" w:sz="4" w:space="0"/>
              <w:right w:val="single" w:color="auto" w:sz="4" w:space="0"/>
            </w:tcBorders>
            <w:vAlign w:val="center"/>
          </w:tcPr>
          <w:p>
            <w:pPr>
              <w:widowControl/>
              <w:jc w:val="center"/>
              <w:rPr>
                <w:rFonts w:hint="eastAsia" w:eastAsia="宋体"/>
                <w:color w:val="auto"/>
                <w:lang w:eastAsia="zh-CN"/>
              </w:rPr>
            </w:pPr>
            <w:r>
              <w:rPr>
                <w:rFonts w:hint="eastAsia" w:ascii="宋体" w:cs="宋体" w:eastAsiaTheme="minorEastAsia"/>
                <w:color w:val="auto"/>
                <w:kern w:val="0"/>
                <w:szCs w:val="21"/>
                <w:lang w:eastAsia="zh-CN"/>
              </w:rPr>
              <w:t>较优</w:t>
            </w:r>
          </w:p>
        </w:tc>
        <w:tc>
          <w:tcPr>
            <w:tcW w:w="1773"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宋体" w:cs="宋体" w:eastAsiaTheme="minorEastAsia"/>
                <w:color w:val="auto"/>
                <w:kern w:val="0"/>
                <w:szCs w:val="21"/>
                <w:lang w:eastAsia="zh-CN"/>
              </w:rPr>
            </w:pPr>
            <w:r>
              <w:rPr>
                <w:rFonts w:hint="eastAsia" w:ascii="宋体" w:cs="宋体" w:eastAsiaTheme="minorEastAsia"/>
                <w:color w:val="auto"/>
                <w:kern w:val="0"/>
                <w:szCs w:val="21"/>
                <w:lang w:eastAsia="zh-CN"/>
              </w:rPr>
              <w:t>优</w:t>
            </w:r>
          </w:p>
        </w:tc>
      </w:tr>
      <w:tr>
        <w:tblPrEx>
          <w:tblCellMar>
            <w:top w:w="0" w:type="dxa"/>
            <w:left w:w="108" w:type="dxa"/>
            <w:bottom w:w="0" w:type="dxa"/>
            <w:right w:w="108" w:type="dxa"/>
          </w:tblCellMar>
        </w:tblPrEx>
        <w:trPr>
          <w:trHeight w:val="385" w:hRule="atLeast"/>
        </w:trPr>
        <w:tc>
          <w:tcPr>
            <w:tcW w:w="61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cs="宋体"/>
                <w:color w:val="auto"/>
                <w:kern w:val="0"/>
                <w:szCs w:val="21"/>
              </w:rPr>
            </w:pPr>
          </w:p>
        </w:tc>
        <w:tc>
          <w:tcPr>
            <w:tcW w:w="1586" w:type="dxa"/>
            <w:tcBorders>
              <w:top w:val="single" w:color="auto" w:sz="4" w:space="0"/>
              <w:left w:val="nil"/>
              <w:bottom w:val="single" w:color="auto" w:sz="4" w:space="0"/>
              <w:right w:val="nil"/>
            </w:tcBorders>
            <w:vAlign w:val="center"/>
          </w:tcPr>
          <w:p>
            <w:pPr>
              <w:widowControl/>
              <w:jc w:val="center"/>
              <w:rPr>
                <w:rFonts w:ascii="宋体" w:cs="宋体"/>
                <w:color w:val="auto"/>
                <w:kern w:val="0"/>
                <w:szCs w:val="21"/>
              </w:rPr>
            </w:pPr>
            <w:r>
              <w:rPr>
                <w:rFonts w:hint="eastAsia" w:ascii="宋体" w:hAnsi="宋体" w:cs="宋体"/>
                <w:color w:val="auto"/>
                <w:kern w:val="0"/>
                <w:szCs w:val="21"/>
              </w:rPr>
              <w:t>交通条件</w:t>
            </w:r>
          </w:p>
        </w:tc>
        <w:tc>
          <w:tcPr>
            <w:tcW w:w="178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宋体" w:eastAsia="宋体" w:cs="宋体"/>
                <w:color w:val="auto"/>
                <w:kern w:val="0"/>
                <w:szCs w:val="21"/>
                <w:lang w:eastAsia="zh-CN"/>
              </w:rPr>
            </w:pPr>
            <w:r>
              <w:rPr>
                <w:rFonts w:hint="eastAsia" w:ascii="宋体" w:hAnsi="宋体" w:cs="宋体"/>
                <w:i w:val="0"/>
                <w:color w:val="auto"/>
                <w:kern w:val="0"/>
                <w:sz w:val="21"/>
                <w:szCs w:val="21"/>
                <w:u w:val="none"/>
                <w:lang w:val="en-US" w:eastAsia="zh-CN" w:bidi="ar"/>
              </w:rPr>
              <w:t>较</w:t>
            </w:r>
            <w:r>
              <w:rPr>
                <w:rFonts w:hint="eastAsia" w:ascii="宋体" w:hAnsi="宋体" w:eastAsia="宋体" w:cs="宋体"/>
                <w:i w:val="0"/>
                <w:color w:val="auto"/>
                <w:kern w:val="0"/>
                <w:sz w:val="21"/>
                <w:szCs w:val="21"/>
                <w:u w:val="none"/>
                <w:lang w:val="en-US" w:eastAsia="zh-CN" w:bidi="ar"/>
              </w:rPr>
              <w:t>便捷</w:t>
            </w:r>
          </w:p>
        </w:tc>
        <w:tc>
          <w:tcPr>
            <w:tcW w:w="1786" w:type="dxa"/>
            <w:tcBorders>
              <w:top w:val="single" w:color="auto" w:sz="4" w:space="0"/>
              <w:left w:val="nil"/>
              <w:bottom w:val="single" w:color="auto" w:sz="4" w:space="0"/>
              <w:right w:val="single" w:color="auto" w:sz="4" w:space="0"/>
            </w:tcBorders>
            <w:vAlign w:val="top"/>
          </w:tcPr>
          <w:p>
            <w:pPr>
              <w:widowControl/>
              <w:jc w:val="center"/>
              <w:textAlignment w:val="top"/>
              <w:rPr>
                <w:rFonts w:hint="eastAsia" w:ascii="宋体" w:eastAsia="宋体" w:cs="宋体"/>
                <w:color w:val="auto"/>
                <w:kern w:val="0"/>
                <w:szCs w:val="21"/>
                <w:lang w:eastAsia="zh-CN"/>
              </w:rPr>
            </w:pPr>
            <w:r>
              <w:rPr>
                <w:rFonts w:hint="eastAsia"/>
                <w:color w:val="auto"/>
                <w:lang w:eastAsia="zh-CN"/>
              </w:rPr>
              <w:t>便捷</w:t>
            </w:r>
          </w:p>
        </w:tc>
        <w:tc>
          <w:tcPr>
            <w:tcW w:w="1909" w:type="dxa"/>
            <w:tcBorders>
              <w:top w:val="single" w:color="auto" w:sz="4" w:space="0"/>
              <w:left w:val="nil"/>
              <w:bottom w:val="single" w:color="auto" w:sz="4" w:space="0"/>
              <w:right w:val="single" w:color="auto" w:sz="4" w:space="0"/>
            </w:tcBorders>
            <w:vAlign w:val="top"/>
          </w:tcPr>
          <w:p>
            <w:pPr>
              <w:spacing w:line="300" w:lineRule="exact"/>
              <w:jc w:val="center"/>
              <w:rPr>
                <w:rFonts w:hint="eastAsia" w:eastAsiaTheme="minorEastAsia"/>
                <w:color w:val="auto"/>
                <w:lang w:eastAsia="zh-CN"/>
              </w:rPr>
            </w:pPr>
            <w:r>
              <w:rPr>
                <w:rFonts w:hint="eastAsia"/>
                <w:color w:val="auto"/>
                <w:lang w:eastAsia="zh-CN"/>
              </w:rPr>
              <w:t>便捷</w:t>
            </w:r>
          </w:p>
        </w:tc>
        <w:tc>
          <w:tcPr>
            <w:tcW w:w="1773" w:type="dxa"/>
            <w:tcBorders>
              <w:top w:val="single" w:color="auto" w:sz="4" w:space="0"/>
              <w:left w:val="nil"/>
              <w:bottom w:val="single" w:color="auto" w:sz="4" w:space="0"/>
              <w:right w:val="single" w:color="auto" w:sz="4" w:space="0"/>
            </w:tcBorders>
            <w:vAlign w:val="center"/>
          </w:tcPr>
          <w:p>
            <w:pPr>
              <w:widowControl/>
              <w:spacing w:line="300" w:lineRule="exact"/>
              <w:jc w:val="center"/>
              <w:rPr>
                <w:rFonts w:hint="eastAsia" w:ascii="宋体" w:eastAsia="宋体" w:cs="宋体"/>
                <w:color w:val="auto"/>
                <w:kern w:val="0"/>
                <w:szCs w:val="21"/>
                <w:lang w:eastAsia="zh-CN"/>
              </w:rPr>
            </w:pPr>
            <w:r>
              <w:rPr>
                <w:rFonts w:hint="eastAsia"/>
                <w:color w:val="auto"/>
              </w:rPr>
              <w:t>便捷</w:t>
            </w:r>
          </w:p>
        </w:tc>
      </w:tr>
      <w:tr>
        <w:tblPrEx>
          <w:tblCellMar>
            <w:top w:w="0" w:type="dxa"/>
            <w:left w:w="108" w:type="dxa"/>
            <w:bottom w:w="0" w:type="dxa"/>
            <w:right w:w="108" w:type="dxa"/>
          </w:tblCellMar>
        </w:tblPrEx>
        <w:trPr>
          <w:trHeight w:val="371" w:hRule="atLeast"/>
        </w:trPr>
        <w:tc>
          <w:tcPr>
            <w:tcW w:w="61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cs="宋体"/>
                <w:color w:val="auto"/>
                <w:kern w:val="0"/>
                <w:szCs w:val="21"/>
              </w:rPr>
            </w:pPr>
          </w:p>
        </w:tc>
        <w:tc>
          <w:tcPr>
            <w:tcW w:w="1586" w:type="dxa"/>
            <w:tcBorders>
              <w:top w:val="single" w:color="auto" w:sz="4" w:space="0"/>
              <w:left w:val="nil"/>
              <w:bottom w:val="single" w:color="auto" w:sz="4" w:space="0"/>
              <w:right w:val="nil"/>
            </w:tcBorders>
            <w:vAlign w:val="center"/>
          </w:tcPr>
          <w:p>
            <w:pPr>
              <w:widowControl/>
              <w:jc w:val="center"/>
              <w:rPr>
                <w:rFonts w:ascii="宋体" w:cs="宋体"/>
                <w:color w:val="auto"/>
                <w:kern w:val="0"/>
                <w:szCs w:val="21"/>
              </w:rPr>
            </w:pPr>
            <w:r>
              <w:rPr>
                <w:rFonts w:hint="eastAsia" w:ascii="宋体" w:hAnsi="宋体" w:cs="宋体"/>
                <w:color w:val="auto"/>
                <w:kern w:val="0"/>
                <w:szCs w:val="21"/>
              </w:rPr>
              <w:t>生活服务设施</w:t>
            </w:r>
          </w:p>
        </w:tc>
        <w:tc>
          <w:tcPr>
            <w:tcW w:w="178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宋体" w:eastAsia="宋体" w:cs="宋体"/>
                <w:color w:val="auto"/>
                <w:spacing w:val="-10"/>
                <w:kern w:val="0"/>
                <w:szCs w:val="21"/>
                <w:lang w:eastAsia="zh-CN"/>
              </w:rPr>
            </w:pPr>
            <w:r>
              <w:rPr>
                <w:rFonts w:hint="eastAsia" w:ascii="宋体" w:hAnsi="宋体" w:cs="宋体"/>
                <w:color w:val="auto"/>
                <w:kern w:val="0"/>
                <w:szCs w:val="21"/>
              </w:rPr>
              <w:t>较完善</w:t>
            </w:r>
          </w:p>
        </w:tc>
        <w:tc>
          <w:tcPr>
            <w:tcW w:w="1786" w:type="dxa"/>
            <w:tcBorders>
              <w:top w:val="single" w:color="auto" w:sz="4" w:space="0"/>
              <w:left w:val="nil"/>
              <w:bottom w:val="single" w:color="auto" w:sz="4" w:space="0"/>
              <w:right w:val="single" w:color="auto" w:sz="4" w:space="0"/>
            </w:tcBorders>
            <w:vAlign w:val="center"/>
          </w:tcPr>
          <w:p>
            <w:pPr>
              <w:widowControl/>
              <w:jc w:val="center"/>
              <w:textAlignment w:val="center"/>
              <w:rPr>
                <w:rFonts w:hint="eastAsia" w:ascii="宋体" w:eastAsia="宋体" w:cs="宋体"/>
                <w:color w:val="auto"/>
                <w:spacing w:val="-10"/>
                <w:kern w:val="0"/>
                <w:szCs w:val="21"/>
                <w:lang w:eastAsia="zh-CN"/>
              </w:rPr>
            </w:pPr>
            <w:r>
              <w:rPr>
                <w:rFonts w:hint="eastAsia" w:ascii="宋体" w:hAnsi="宋体" w:cs="宋体"/>
                <w:color w:val="auto"/>
                <w:kern w:val="0"/>
                <w:szCs w:val="21"/>
              </w:rPr>
              <w:t>较完善</w:t>
            </w:r>
          </w:p>
        </w:tc>
        <w:tc>
          <w:tcPr>
            <w:tcW w:w="1909" w:type="dxa"/>
            <w:tcBorders>
              <w:top w:val="single" w:color="auto" w:sz="4" w:space="0"/>
              <w:left w:val="nil"/>
              <w:bottom w:val="single" w:color="auto" w:sz="4" w:space="0"/>
              <w:right w:val="single" w:color="auto" w:sz="4" w:space="0"/>
            </w:tcBorders>
            <w:vAlign w:val="center"/>
          </w:tcPr>
          <w:p>
            <w:pPr>
              <w:spacing w:line="300" w:lineRule="exact"/>
              <w:jc w:val="center"/>
              <w:rPr>
                <w:rFonts w:hint="eastAsia" w:eastAsia="宋体"/>
                <w:color w:val="auto"/>
                <w:lang w:eastAsia="zh-CN"/>
              </w:rPr>
            </w:pPr>
            <w:r>
              <w:rPr>
                <w:rFonts w:hint="eastAsia" w:ascii="宋体" w:hAnsi="宋体" w:cs="宋体"/>
                <w:color w:val="auto"/>
                <w:kern w:val="0"/>
                <w:szCs w:val="21"/>
              </w:rPr>
              <w:t>较完善</w:t>
            </w:r>
          </w:p>
        </w:tc>
        <w:tc>
          <w:tcPr>
            <w:tcW w:w="1773" w:type="dxa"/>
            <w:tcBorders>
              <w:top w:val="single" w:color="auto" w:sz="4" w:space="0"/>
              <w:left w:val="nil"/>
              <w:bottom w:val="single" w:color="auto" w:sz="4" w:space="0"/>
              <w:right w:val="single" w:color="auto" w:sz="4" w:space="0"/>
            </w:tcBorders>
            <w:vAlign w:val="center"/>
          </w:tcPr>
          <w:p>
            <w:pPr>
              <w:spacing w:line="300" w:lineRule="exact"/>
              <w:jc w:val="center"/>
              <w:rPr>
                <w:rFonts w:hint="eastAsia" w:ascii="宋体" w:eastAsia="宋体" w:cs="宋体"/>
                <w:color w:val="auto"/>
                <w:spacing w:val="-10"/>
                <w:kern w:val="0"/>
                <w:szCs w:val="21"/>
                <w:lang w:eastAsia="zh-CN"/>
              </w:rPr>
            </w:pPr>
            <w:r>
              <w:rPr>
                <w:rFonts w:hint="eastAsia" w:ascii="宋体" w:hAnsi="宋体" w:cs="宋体"/>
                <w:color w:val="auto"/>
                <w:kern w:val="0"/>
                <w:szCs w:val="21"/>
              </w:rPr>
              <w:t>较完善</w:t>
            </w:r>
          </w:p>
        </w:tc>
      </w:tr>
      <w:tr>
        <w:tblPrEx>
          <w:tblCellMar>
            <w:top w:w="0" w:type="dxa"/>
            <w:left w:w="108" w:type="dxa"/>
            <w:bottom w:w="0" w:type="dxa"/>
            <w:right w:w="108" w:type="dxa"/>
          </w:tblCellMar>
        </w:tblPrEx>
        <w:trPr>
          <w:trHeight w:val="384" w:hRule="atLeast"/>
        </w:trPr>
        <w:tc>
          <w:tcPr>
            <w:tcW w:w="61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cs="宋体"/>
                <w:color w:val="auto"/>
                <w:kern w:val="0"/>
                <w:szCs w:val="21"/>
              </w:rPr>
            </w:pPr>
          </w:p>
        </w:tc>
        <w:tc>
          <w:tcPr>
            <w:tcW w:w="1586" w:type="dxa"/>
            <w:tcBorders>
              <w:top w:val="single" w:color="auto" w:sz="4" w:space="0"/>
              <w:left w:val="nil"/>
              <w:bottom w:val="single" w:color="auto" w:sz="4" w:space="0"/>
              <w:right w:val="nil"/>
            </w:tcBorders>
            <w:vAlign w:val="center"/>
          </w:tcPr>
          <w:p>
            <w:pPr>
              <w:widowControl/>
              <w:jc w:val="center"/>
              <w:rPr>
                <w:rFonts w:ascii="宋体" w:cs="宋体"/>
                <w:color w:val="auto"/>
                <w:kern w:val="0"/>
                <w:szCs w:val="21"/>
              </w:rPr>
            </w:pPr>
            <w:r>
              <w:rPr>
                <w:rFonts w:hint="eastAsia" w:ascii="宋体" w:hAnsi="宋体" w:cs="宋体"/>
                <w:color w:val="auto"/>
                <w:kern w:val="0"/>
                <w:szCs w:val="21"/>
              </w:rPr>
              <w:t>教育配套设施</w:t>
            </w:r>
          </w:p>
        </w:tc>
        <w:tc>
          <w:tcPr>
            <w:tcW w:w="178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宋体" w:hAnsi="宋体" w:eastAsia="宋体" w:cs="宋体"/>
                <w:i w:val="0"/>
                <w:color w:val="auto"/>
                <w:kern w:val="2"/>
                <w:sz w:val="21"/>
                <w:szCs w:val="21"/>
                <w:u w:val="none"/>
                <w:lang w:val="en-US" w:eastAsia="zh-CN" w:bidi="ar-SA"/>
              </w:rPr>
            </w:pPr>
            <w:r>
              <w:rPr>
                <w:rFonts w:hint="eastAsia" w:ascii="宋体" w:hAnsi="宋体" w:eastAsia="宋体" w:cs="宋体"/>
                <w:i w:val="0"/>
                <w:color w:val="auto"/>
                <w:kern w:val="0"/>
                <w:sz w:val="21"/>
                <w:szCs w:val="21"/>
                <w:u w:val="none"/>
                <w:lang w:val="en-US" w:eastAsia="zh-CN" w:bidi="ar"/>
              </w:rPr>
              <w:t>优</w:t>
            </w:r>
          </w:p>
        </w:tc>
        <w:tc>
          <w:tcPr>
            <w:tcW w:w="1786"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cs="宋体"/>
                <w:color w:val="auto"/>
                <w:kern w:val="0"/>
                <w:szCs w:val="21"/>
              </w:rPr>
            </w:pPr>
            <w:r>
              <w:rPr>
                <w:rFonts w:hint="eastAsia" w:ascii="宋体" w:hAnsi="宋体" w:cs="宋体"/>
                <w:color w:val="auto"/>
                <w:kern w:val="0"/>
                <w:szCs w:val="21"/>
              </w:rPr>
              <w:t>优</w:t>
            </w:r>
          </w:p>
        </w:tc>
        <w:tc>
          <w:tcPr>
            <w:tcW w:w="1909" w:type="dxa"/>
            <w:tcBorders>
              <w:top w:val="single" w:color="auto" w:sz="4" w:space="0"/>
              <w:left w:val="nil"/>
              <w:bottom w:val="single" w:color="auto" w:sz="4" w:space="0"/>
              <w:right w:val="single" w:color="auto" w:sz="4" w:space="0"/>
            </w:tcBorders>
            <w:vAlign w:val="center"/>
          </w:tcPr>
          <w:p>
            <w:pPr>
              <w:widowControl/>
              <w:spacing w:line="300" w:lineRule="exact"/>
              <w:jc w:val="center"/>
              <w:rPr>
                <w:color w:val="auto"/>
              </w:rPr>
            </w:pPr>
            <w:r>
              <w:rPr>
                <w:rFonts w:hint="eastAsia" w:asciiTheme="minorEastAsia" w:hAnsiTheme="minorEastAsia" w:eastAsiaTheme="minorEastAsia" w:cstheme="minorEastAsia"/>
                <w:color w:val="auto"/>
                <w:kern w:val="0"/>
                <w:sz w:val="21"/>
                <w:szCs w:val="21"/>
                <w:lang w:eastAsia="zh-CN"/>
              </w:rPr>
              <w:t>优</w:t>
            </w:r>
          </w:p>
        </w:tc>
        <w:tc>
          <w:tcPr>
            <w:tcW w:w="1773" w:type="dxa"/>
            <w:tcBorders>
              <w:top w:val="single" w:color="auto" w:sz="4" w:space="0"/>
              <w:left w:val="nil"/>
              <w:bottom w:val="single" w:color="auto" w:sz="4" w:space="0"/>
              <w:right w:val="single" w:color="auto" w:sz="4" w:space="0"/>
            </w:tcBorders>
            <w:vAlign w:val="center"/>
          </w:tcPr>
          <w:p>
            <w:pPr>
              <w:widowControl/>
              <w:spacing w:line="300" w:lineRule="exact"/>
              <w:jc w:val="center"/>
              <w:rPr>
                <w:rFonts w:ascii="宋体" w:cs="宋体"/>
                <w:color w:val="auto"/>
                <w:kern w:val="0"/>
                <w:szCs w:val="21"/>
              </w:rPr>
            </w:pPr>
            <w:r>
              <w:rPr>
                <w:rFonts w:hint="eastAsia" w:asciiTheme="minorEastAsia" w:hAnsiTheme="minorEastAsia" w:eastAsiaTheme="minorEastAsia" w:cstheme="minorEastAsia"/>
                <w:color w:val="auto"/>
                <w:kern w:val="0"/>
                <w:sz w:val="21"/>
                <w:szCs w:val="21"/>
              </w:rPr>
              <w:t>优</w:t>
            </w:r>
          </w:p>
        </w:tc>
      </w:tr>
      <w:tr>
        <w:tblPrEx>
          <w:tblCellMar>
            <w:top w:w="0" w:type="dxa"/>
            <w:left w:w="108" w:type="dxa"/>
            <w:bottom w:w="0" w:type="dxa"/>
            <w:right w:w="108" w:type="dxa"/>
          </w:tblCellMar>
        </w:tblPrEx>
        <w:trPr>
          <w:trHeight w:val="404" w:hRule="atLeast"/>
        </w:trPr>
        <w:tc>
          <w:tcPr>
            <w:tcW w:w="61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cs="宋体"/>
                <w:color w:val="auto"/>
                <w:kern w:val="0"/>
                <w:szCs w:val="21"/>
              </w:rPr>
            </w:pPr>
          </w:p>
        </w:tc>
        <w:tc>
          <w:tcPr>
            <w:tcW w:w="1586" w:type="dxa"/>
            <w:tcBorders>
              <w:top w:val="single" w:color="auto" w:sz="4" w:space="0"/>
              <w:left w:val="nil"/>
              <w:bottom w:val="single" w:color="auto" w:sz="4" w:space="0"/>
              <w:right w:val="nil"/>
            </w:tcBorders>
            <w:vAlign w:val="center"/>
          </w:tcPr>
          <w:p>
            <w:pPr>
              <w:widowControl/>
              <w:jc w:val="center"/>
              <w:rPr>
                <w:rFonts w:ascii="宋体" w:cs="宋体"/>
                <w:color w:val="auto"/>
                <w:kern w:val="0"/>
                <w:szCs w:val="21"/>
              </w:rPr>
            </w:pPr>
            <w:r>
              <w:rPr>
                <w:rFonts w:hint="eastAsia" w:ascii="宋体" w:hAnsi="宋体" w:cs="宋体"/>
                <w:color w:val="auto"/>
                <w:kern w:val="0"/>
                <w:szCs w:val="21"/>
              </w:rPr>
              <w:t>环境质量</w:t>
            </w:r>
          </w:p>
        </w:tc>
        <w:tc>
          <w:tcPr>
            <w:tcW w:w="178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ascii="宋体" w:cs="宋体"/>
                <w:color w:val="auto"/>
                <w:kern w:val="0"/>
                <w:szCs w:val="21"/>
              </w:rPr>
            </w:pPr>
            <w:r>
              <w:rPr>
                <w:rFonts w:hint="eastAsia" w:ascii="宋体" w:hAnsi="宋体" w:cs="宋体"/>
                <w:i w:val="0"/>
                <w:color w:val="auto"/>
                <w:kern w:val="0"/>
                <w:sz w:val="21"/>
                <w:szCs w:val="21"/>
                <w:u w:val="none"/>
                <w:lang w:val="en-US" w:eastAsia="zh-CN" w:bidi="ar"/>
              </w:rPr>
              <w:t>较</w:t>
            </w:r>
            <w:r>
              <w:rPr>
                <w:rFonts w:hint="eastAsia" w:ascii="宋体" w:hAnsi="宋体" w:eastAsia="宋体" w:cs="宋体"/>
                <w:i w:val="0"/>
                <w:color w:val="auto"/>
                <w:kern w:val="0"/>
                <w:sz w:val="21"/>
                <w:szCs w:val="21"/>
                <w:u w:val="none"/>
                <w:lang w:val="en-US" w:eastAsia="zh-CN" w:bidi="ar"/>
              </w:rPr>
              <w:t>优</w:t>
            </w:r>
          </w:p>
        </w:tc>
        <w:tc>
          <w:tcPr>
            <w:tcW w:w="1786"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cs="宋体"/>
                <w:color w:val="auto"/>
                <w:kern w:val="0"/>
                <w:szCs w:val="21"/>
              </w:rPr>
            </w:pPr>
            <w:r>
              <w:rPr>
                <w:rFonts w:hint="eastAsia" w:ascii="宋体" w:hAnsi="宋体" w:cs="宋体"/>
                <w:color w:val="auto"/>
                <w:kern w:val="0"/>
                <w:szCs w:val="21"/>
                <w:lang w:eastAsia="zh-CN"/>
              </w:rPr>
              <w:t>较</w:t>
            </w:r>
            <w:r>
              <w:rPr>
                <w:rFonts w:hint="eastAsia" w:ascii="宋体" w:hAnsi="宋体" w:cs="宋体"/>
                <w:color w:val="auto"/>
                <w:kern w:val="0"/>
                <w:szCs w:val="21"/>
              </w:rPr>
              <w:t>优</w:t>
            </w:r>
          </w:p>
        </w:tc>
        <w:tc>
          <w:tcPr>
            <w:tcW w:w="1909" w:type="dxa"/>
            <w:tcBorders>
              <w:top w:val="single" w:color="auto" w:sz="4" w:space="0"/>
              <w:left w:val="nil"/>
              <w:bottom w:val="single" w:color="auto" w:sz="4" w:space="0"/>
              <w:right w:val="single" w:color="auto" w:sz="4" w:space="0"/>
            </w:tcBorders>
            <w:vAlign w:val="center"/>
          </w:tcPr>
          <w:p>
            <w:pPr>
              <w:spacing w:line="300" w:lineRule="exact"/>
              <w:jc w:val="center"/>
              <w:rPr>
                <w:color w:val="auto"/>
              </w:rPr>
            </w:pPr>
            <w:r>
              <w:rPr>
                <w:rFonts w:hint="eastAsia" w:ascii="宋体" w:hAnsi="宋体" w:cs="宋体"/>
                <w:color w:val="auto"/>
                <w:kern w:val="0"/>
                <w:szCs w:val="21"/>
                <w:lang w:eastAsia="zh-CN"/>
              </w:rPr>
              <w:t>较</w:t>
            </w:r>
            <w:r>
              <w:rPr>
                <w:rFonts w:hint="eastAsia" w:ascii="宋体" w:hAnsi="宋体" w:cs="宋体"/>
                <w:color w:val="auto"/>
                <w:kern w:val="0"/>
                <w:szCs w:val="21"/>
              </w:rPr>
              <w:t>优</w:t>
            </w:r>
          </w:p>
        </w:tc>
        <w:tc>
          <w:tcPr>
            <w:tcW w:w="1773" w:type="dxa"/>
            <w:tcBorders>
              <w:top w:val="single" w:color="auto" w:sz="4" w:space="0"/>
              <w:left w:val="nil"/>
              <w:bottom w:val="single" w:color="auto" w:sz="4" w:space="0"/>
              <w:right w:val="single" w:color="auto" w:sz="4" w:space="0"/>
            </w:tcBorders>
            <w:vAlign w:val="center"/>
          </w:tcPr>
          <w:p>
            <w:pPr>
              <w:widowControl/>
              <w:jc w:val="center"/>
              <w:textAlignment w:val="center"/>
              <w:rPr>
                <w:rFonts w:hint="eastAsia" w:ascii="宋体" w:hAnsi="Times New Roman" w:eastAsia="宋体" w:cs="宋体"/>
                <w:color w:val="auto"/>
                <w:kern w:val="0"/>
                <w:sz w:val="21"/>
                <w:szCs w:val="21"/>
                <w:lang w:val="en-US" w:eastAsia="zh-CN" w:bidi="ar-SA"/>
              </w:rPr>
            </w:pPr>
            <w:r>
              <w:rPr>
                <w:rFonts w:hint="eastAsia" w:ascii="宋体" w:hAnsi="宋体" w:cs="宋体"/>
                <w:color w:val="auto"/>
                <w:kern w:val="0"/>
                <w:szCs w:val="21"/>
                <w:lang w:eastAsia="zh-CN"/>
              </w:rPr>
              <w:t>较优</w:t>
            </w:r>
          </w:p>
        </w:tc>
      </w:tr>
      <w:tr>
        <w:tblPrEx>
          <w:tblCellMar>
            <w:top w:w="0" w:type="dxa"/>
            <w:left w:w="108" w:type="dxa"/>
            <w:bottom w:w="0" w:type="dxa"/>
            <w:right w:w="108" w:type="dxa"/>
          </w:tblCellMar>
        </w:tblPrEx>
        <w:trPr>
          <w:trHeight w:val="376" w:hRule="atLeast"/>
        </w:trPr>
        <w:tc>
          <w:tcPr>
            <w:tcW w:w="61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cs="宋体"/>
                <w:color w:val="auto"/>
                <w:kern w:val="0"/>
                <w:szCs w:val="21"/>
              </w:rPr>
            </w:pPr>
          </w:p>
        </w:tc>
        <w:tc>
          <w:tcPr>
            <w:tcW w:w="1586" w:type="dxa"/>
            <w:tcBorders>
              <w:top w:val="single" w:color="auto" w:sz="4" w:space="0"/>
              <w:left w:val="nil"/>
              <w:bottom w:val="single" w:color="auto" w:sz="4" w:space="0"/>
              <w:right w:val="nil"/>
            </w:tcBorders>
            <w:vAlign w:val="center"/>
          </w:tcPr>
          <w:p>
            <w:pPr>
              <w:widowControl/>
              <w:jc w:val="center"/>
              <w:rPr>
                <w:rFonts w:ascii="宋体" w:cs="宋体"/>
                <w:color w:val="auto"/>
                <w:kern w:val="0"/>
                <w:szCs w:val="21"/>
              </w:rPr>
            </w:pPr>
            <w:r>
              <w:rPr>
                <w:rFonts w:hint="eastAsia" w:ascii="宋体" w:hAnsi="宋体" w:cs="宋体"/>
                <w:color w:val="auto"/>
                <w:kern w:val="0"/>
                <w:szCs w:val="21"/>
              </w:rPr>
              <w:t>所处楼幢</w:t>
            </w:r>
          </w:p>
        </w:tc>
        <w:tc>
          <w:tcPr>
            <w:tcW w:w="1786"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宋体" w:cs="宋体"/>
                <w:color w:val="auto"/>
                <w:kern w:val="0"/>
                <w:szCs w:val="21"/>
              </w:rPr>
            </w:pPr>
            <w:r>
              <w:rPr>
                <w:rFonts w:hint="eastAsia" w:ascii="宋体" w:hAnsi="宋体" w:cs="宋体"/>
                <w:color w:val="auto"/>
                <w:kern w:val="0"/>
                <w:szCs w:val="21"/>
              </w:rPr>
              <w:t>较好</w:t>
            </w:r>
          </w:p>
        </w:tc>
        <w:tc>
          <w:tcPr>
            <w:tcW w:w="1786" w:type="dxa"/>
            <w:tcBorders>
              <w:top w:val="single" w:color="auto" w:sz="4" w:space="0"/>
              <w:left w:val="nil"/>
              <w:bottom w:val="single" w:color="auto" w:sz="4" w:space="0"/>
              <w:right w:val="single" w:color="auto" w:sz="4" w:space="0"/>
            </w:tcBorders>
            <w:noWrap/>
            <w:vAlign w:val="center"/>
          </w:tcPr>
          <w:p>
            <w:pPr>
              <w:widowControl/>
              <w:jc w:val="center"/>
              <w:textAlignment w:val="center"/>
              <w:rPr>
                <w:rFonts w:ascii="宋体" w:cs="宋体"/>
                <w:color w:val="auto"/>
                <w:kern w:val="0"/>
                <w:szCs w:val="21"/>
              </w:rPr>
            </w:pPr>
            <w:r>
              <w:rPr>
                <w:rFonts w:hint="eastAsia" w:ascii="宋体" w:hAnsi="宋体" w:cs="宋体"/>
                <w:color w:val="auto"/>
                <w:kern w:val="0"/>
                <w:szCs w:val="21"/>
              </w:rPr>
              <w:t>较好</w:t>
            </w:r>
          </w:p>
        </w:tc>
        <w:tc>
          <w:tcPr>
            <w:tcW w:w="1909" w:type="dxa"/>
            <w:tcBorders>
              <w:top w:val="single" w:color="auto" w:sz="4" w:space="0"/>
              <w:left w:val="nil"/>
              <w:bottom w:val="single" w:color="auto" w:sz="4" w:space="0"/>
              <w:right w:val="single" w:color="auto" w:sz="4" w:space="0"/>
            </w:tcBorders>
            <w:noWrap/>
            <w:vAlign w:val="center"/>
          </w:tcPr>
          <w:p>
            <w:pPr>
              <w:widowControl/>
              <w:jc w:val="center"/>
              <w:rPr>
                <w:color w:val="auto"/>
              </w:rPr>
            </w:pPr>
            <w:r>
              <w:rPr>
                <w:rFonts w:hint="eastAsia" w:ascii="宋体" w:hAnsi="宋体" w:cs="宋体"/>
                <w:color w:val="auto"/>
                <w:kern w:val="0"/>
                <w:szCs w:val="21"/>
              </w:rPr>
              <w:t>较好</w:t>
            </w:r>
          </w:p>
        </w:tc>
        <w:tc>
          <w:tcPr>
            <w:tcW w:w="1773" w:type="dxa"/>
            <w:tcBorders>
              <w:top w:val="single" w:color="auto" w:sz="4" w:space="0"/>
              <w:left w:val="nil"/>
              <w:bottom w:val="single" w:color="auto" w:sz="4" w:space="0"/>
              <w:right w:val="single" w:color="auto" w:sz="4" w:space="0"/>
            </w:tcBorders>
            <w:noWrap/>
            <w:vAlign w:val="center"/>
          </w:tcPr>
          <w:p>
            <w:pPr>
              <w:widowControl/>
              <w:jc w:val="center"/>
              <w:rPr>
                <w:rFonts w:ascii="宋体" w:cs="宋体"/>
                <w:color w:val="auto"/>
                <w:kern w:val="0"/>
                <w:szCs w:val="21"/>
              </w:rPr>
            </w:pPr>
            <w:r>
              <w:rPr>
                <w:rFonts w:hint="eastAsia" w:ascii="宋体" w:hAnsi="宋体" w:cs="宋体"/>
                <w:color w:val="auto"/>
                <w:kern w:val="0"/>
                <w:szCs w:val="21"/>
              </w:rPr>
              <w:t>较好</w:t>
            </w:r>
          </w:p>
        </w:tc>
      </w:tr>
      <w:tr>
        <w:tblPrEx>
          <w:tblCellMar>
            <w:top w:w="0" w:type="dxa"/>
            <w:left w:w="108" w:type="dxa"/>
            <w:bottom w:w="0" w:type="dxa"/>
            <w:right w:w="108" w:type="dxa"/>
          </w:tblCellMar>
        </w:tblPrEx>
        <w:trPr>
          <w:trHeight w:val="414" w:hRule="atLeast"/>
        </w:trPr>
        <w:tc>
          <w:tcPr>
            <w:tcW w:w="61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cs="宋体"/>
                <w:color w:val="auto"/>
                <w:kern w:val="0"/>
                <w:szCs w:val="21"/>
              </w:rPr>
            </w:pPr>
          </w:p>
        </w:tc>
        <w:tc>
          <w:tcPr>
            <w:tcW w:w="1586" w:type="dxa"/>
            <w:tcBorders>
              <w:top w:val="single" w:color="auto" w:sz="4" w:space="0"/>
              <w:left w:val="nil"/>
              <w:bottom w:val="single" w:color="auto" w:sz="4" w:space="0"/>
              <w:right w:val="nil"/>
            </w:tcBorders>
            <w:vAlign w:val="center"/>
          </w:tcPr>
          <w:p>
            <w:pPr>
              <w:widowControl/>
              <w:jc w:val="center"/>
              <w:rPr>
                <w:rFonts w:hint="eastAsia" w:ascii="宋体" w:hAnsi="宋体" w:eastAsia="宋体" w:cs="宋体"/>
                <w:color w:val="auto"/>
                <w:kern w:val="0"/>
                <w:szCs w:val="21"/>
                <w:lang w:eastAsia="zh-CN"/>
              </w:rPr>
            </w:pPr>
            <w:r>
              <w:rPr>
                <w:rFonts w:hint="eastAsia" w:ascii="宋体" w:hAnsi="宋体" w:cs="宋体"/>
                <w:color w:val="auto"/>
                <w:kern w:val="0"/>
                <w:szCs w:val="21"/>
                <w:lang w:eastAsia="zh-CN"/>
              </w:rPr>
              <w:t>楼</w:t>
            </w:r>
            <w:r>
              <w:rPr>
                <w:rFonts w:hint="eastAsia" w:ascii="宋体" w:hAnsi="宋体" w:cs="宋体"/>
                <w:color w:val="auto"/>
                <w:kern w:val="0"/>
                <w:szCs w:val="21"/>
                <w:lang w:val="en-US" w:eastAsia="zh-CN"/>
              </w:rPr>
              <w:t xml:space="preserve"> </w:t>
            </w:r>
            <w:r>
              <w:rPr>
                <w:rFonts w:hint="eastAsia" w:ascii="宋体" w:hAnsi="宋体" w:cs="宋体"/>
                <w:color w:val="auto"/>
                <w:kern w:val="0"/>
                <w:szCs w:val="21"/>
                <w:lang w:eastAsia="zh-CN"/>
              </w:rPr>
              <w:t>层</w:t>
            </w:r>
          </w:p>
        </w:tc>
        <w:tc>
          <w:tcPr>
            <w:tcW w:w="178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宋体" w:hAnsi="宋体" w:cs="宋体"/>
                <w:color w:val="auto"/>
                <w:kern w:val="0"/>
                <w:szCs w:val="21"/>
                <w:lang w:eastAsia="zh-CN"/>
              </w:rPr>
            </w:pPr>
            <w:r>
              <w:rPr>
                <w:rFonts w:hint="eastAsia" w:ascii="宋体" w:hAnsi="宋体" w:cs="宋体"/>
                <w:color w:val="auto"/>
                <w:kern w:val="0"/>
                <w:szCs w:val="21"/>
                <w:lang w:val="en-US" w:eastAsia="zh-CN"/>
              </w:rPr>
              <w:t>5</w:t>
            </w:r>
            <w:r>
              <w:rPr>
                <w:rFonts w:hint="eastAsia" w:ascii="宋体" w:hAnsi="宋体" w:cs="宋体"/>
                <w:color w:val="auto"/>
                <w:kern w:val="0"/>
                <w:szCs w:val="21"/>
                <w:lang w:eastAsia="zh-CN"/>
              </w:rPr>
              <w:t>F/6F</w:t>
            </w:r>
          </w:p>
        </w:tc>
        <w:tc>
          <w:tcPr>
            <w:tcW w:w="1786" w:type="dxa"/>
            <w:tcBorders>
              <w:top w:val="single" w:color="auto" w:sz="4" w:space="0"/>
              <w:left w:val="nil"/>
              <w:bottom w:val="single" w:color="auto" w:sz="4" w:space="0"/>
              <w:right w:val="single" w:color="auto" w:sz="4" w:space="0"/>
            </w:tcBorders>
            <w:vAlign w:val="center"/>
          </w:tcPr>
          <w:p>
            <w:pPr>
              <w:widowControl/>
              <w:jc w:val="center"/>
              <w:textAlignment w:val="center"/>
              <w:rPr>
                <w:rFonts w:hint="eastAsia" w:ascii="宋体" w:hAnsi="宋体" w:cs="宋体"/>
                <w:color w:val="auto"/>
                <w:kern w:val="0"/>
                <w:szCs w:val="21"/>
                <w:lang w:eastAsia="zh-CN"/>
              </w:rPr>
            </w:pPr>
            <w:r>
              <w:rPr>
                <w:rFonts w:hint="eastAsia" w:ascii="宋体" w:hAnsi="宋体" w:cs="宋体"/>
                <w:color w:val="auto"/>
                <w:kern w:val="0"/>
                <w:szCs w:val="21"/>
                <w:lang w:val="en-US" w:eastAsia="zh-CN"/>
              </w:rPr>
              <w:t>4</w:t>
            </w:r>
            <w:r>
              <w:rPr>
                <w:rFonts w:hint="eastAsia" w:ascii="宋体" w:hAnsi="宋体" w:cs="宋体"/>
                <w:color w:val="auto"/>
                <w:kern w:val="0"/>
                <w:szCs w:val="21"/>
                <w:lang w:eastAsia="zh-CN"/>
              </w:rPr>
              <w:t>F/6F</w:t>
            </w:r>
          </w:p>
        </w:tc>
        <w:tc>
          <w:tcPr>
            <w:tcW w:w="1909"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宋体" w:hAnsi="宋体" w:cs="宋体"/>
                <w:color w:val="auto"/>
                <w:kern w:val="0"/>
                <w:szCs w:val="21"/>
                <w:lang w:eastAsia="zh-CN"/>
              </w:rPr>
            </w:pPr>
            <w:r>
              <w:rPr>
                <w:rFonts w:hint="eastAsia" w:ascii="宋体" w:hAnsi="宋体" w:cs="宋体"/>
                <w:color w:val="auto"/>
                <w:kern w:val="0"/>
                <w:szCs w:val="21"/>
                <w:lang w:val="en-US" w:eastAsia="zh-CN"/>
              </w:rPr>
              <w:t>4</w:t>
            </w:r>
            <w:r>
              <w:rPr>
                <w:rFonts w:hint="eastAsia" w:ascii="宋体" w:hAnsi="宋体" w:cs="宋体"/>
                <w:color w:val="auto"/>
                <w:kern w:val="0"/>
                <w:szCs w:val="21"/>
                <w:lang w:eastAsia="zh-CN"/>
              </w:rPr>
              <w:t>F/6F</w:t>
            </w:r>
          </w:p>
        </w:tc>
        <w:tc>
          <w:tcPr>
            <w:tcW w:w="1773" w:type="dxa"/>
            <w:tcBorders>
              <w:top w:val="single" w:color="auto" w:sz="4" w:space="0"/>
              <w:left w:val="nil"/>
              <w:bottom w:val="single" w:color="auto" w:sz="4" w:space="0"/>
              <w:right w:val="single" w:color="auto" w:sz="4" w:space="0"/>
            </w:tcBorders>
            <w:vAlign w:val="center"/>
          </w:tcPr>
          <w:p>
            <w:pPr>
              <w:widowControl/>
              <w:jc w:val="center"/>
              <w:rPr>
                <w:rFonts w:hint="eastAsia" w:ascii="宋体" w:hAnsi="宋体" w:cs="宋体"/>
                <w:color w:val="auto"/>
                <w:kern w:val="0"/>
                <w:szCs w:val="21"/>
                <w:lang w:eastAsia="zh-CN"/>
              </w:rPr>
            </w:pPr>
            <w:r>
              <w:rPr>
                <w:rFonts w:hint="eastAsia" w:ascii="宋体" w:hAnsi="宋体" w:cs="宋体"/>
                <w:color w:val="auto"/>
                <w:kern w:val="0"/>
                <w:szCs w:val="21"/>
                <w:lang w:val="en-US" w:eastAsia="zh-CN"/>
              </w:rPr>
              <w:t>4F/6F</w:t>
            </w:r>
          </w:p>
        </w:tc>
      </w:tr>
      <w:tr>
        <w:tblPrEx>
          <w:tblCellMar>
            <w:top w:w="0" w:type="dxa"/>
            <w:left w:w="108" w:type="dxa"/>
            <w:bottom w:w="0" w:type="dxa"/>
            <w:right w:w="108" w:type="dxa"/>
          </w:tblCellMar>
        </w:tblPrEx>
        <w:trPr>
          <w:trHeight w:val="384" w:hRule="atLeast"/>
        </w:trPr>
        <w:tc>
          <w:tcPr>
            <w:tcW w:w="61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cs="宋体"/>
                <w:color w:val="auto"/>
                <w:kern w:val="0"/>
                <w:szCs w:val="21"/>
              </w:rPr>
            </w:pPr>
          </w:p>
        </w:tc>
        <w:tc>
          <w:tcPr>
            <w:tcW w:w="1586" w:type="dxa"/>
            <w:tcBorders>
              <w:top w:val="single" w:color="auto" w:sz="4" w:space="0"/>
              <w:left w:val="nil"/>
              <w:bottom w:val="single" w:color="auto" w:sz="4" w:space="0"/>
              <w:right w:val="nil"/>
            </w:tcBorders>
            <w:noWrap/>
            <w:vAlign w:val="center"/>
          </w:tcPr>
          <w:p>
            <w:pPr>
              <w:widowControl/>
              <w:jc w:val="center"/>
              <w:rPr>
                <w:rFonts w:ascii="宋体" w:cs="宋体"/>
                <w:color w:val="auto"/>
                <w:kern w:val="0"/>
                <w:szCs w:val="21"/>
              </w:rPr>
            </w:pPr>
            <w:r>
              <w:rPr>
                <w:rFonts w:hint="eastAsia" w:ascii="宋体" w:hAnsi="宋体" w:cs="宋体"/>
                <w:color w:val="auto"/>
                <w:kern w:val="0"/>
                <w:szCs w:val="21"/>
              </w:rPr>
              <w:t>朝</w:t>
            </w:r>
            <w:r>
              <w:rPr>
                <w:rFonts w:ascii="宋体" w:hAnsi="宋体" w:cs="宋体"/>
                <w:color w:val="auto"/>
                <w:kern w:val="0"/>
                <w:szCs w:val="21"/>
              </w:rPr>
              <w:t xml:space="preserve">   </w:t>
            </w:r>
            <w:r>
              <w:rPr>
                <w:rFonts w:hint="eastAsia" w:ascii="宋体" w:hAnsi="宋体" w:cs="宋体"/>
                <w:color w:val="auto"/>
                <w:kern w:val="0"/>
                <w:szCs w:val="21"/>
              </w:rPr>
              <w:t>向</w:t>
            </w:r>
          </w:p>
        </w:tc>
        <w:tc>
          <w:tcPr>
            <w:tcW w:w="1786"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auto"/>
                <w:kern w:val="0"/>
                <w:szCs w:val="21"/>
              </w:rPr>
            </w:pPr>
            <w:r>
              <w:rPr>
                <w:rFonts w:hint="eastAsia" w:ascii="宋体" w:hAnsi="宋体" w:cs="宋体"/>
                <w:color w:val="auto"/>
                <w:kern w:val="0"/>
                <w:szCs w:val="21"/>
              </w:rPr>
              <w:t>南北</w:t>
            </w:r>
          </w:p>
        </w:tc>
        <w:tc>
          <w:tcPr>
            <w:tcW w:w="1786"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auto"/>
                <w:kern w:val="0"/>
                <w:szCs w:val="21"/>
              </w:rPr>
            </w:pPr>
            <w:r>
              <w:rPr>
                <w:rFonts w:hint="eastAsia" w:ascii="宋体" w:hAnsi="宋体" w:cs="宋体"/>
                <w:color w:val="auto"/>
                <w:kern w:val="0"/>
                <w:szCs w:val="21"/>
              </w:rPr>
              <w:t>南北</w:t>
            </w:r>
          </w:p>
        </w:tc>
        <w:tc>
          <w:tcPr>
            <w:tcW w:w="1909" w:type="dxa"/>
            <w:tcBorders>
              <w:top w:val="single" w:color="auto" w:sz="4" w:space="0"/>
              <w:left w:val="nil"/>
              <w:bottom w:val="single" w:color="auto" w:sz="4" w:space="0"/>
              <w:right w:val="single" w:color="auto" w:sz="4" w:space="0"/>
            </w:tcBorders>
            <w:noWrap/>
            <w:vAlign w:val="center"/>
          </w:tcPr>
          <w:p>
            <w:pPr>
              <w:widowControl/>
              <w:jc w:val="center"/>
              <w:rPr>
                <w:color w:val="auto"/>
              </w:rPr>
            </w:pPr>
            <w:r>
              <w:rPr>
                <w:rFonts w:hint="eastAsia" w:asciiTheme="minorEastAsia" w:hAnsiTheme="minorEastAsia" w:eastAsiaTheme="minorEastAsia" w:cstheme="minorEastAsia"/>
                <w:color w:val="auto"/>
                <w:kern w:val="0"/>
                <w:sz w:val="21"/>
                <w:szCs w:val="21"/>
              </w:rPr>
              <w:t>南北</w:t>
            </w:r>
          </w:p>
        </w:tc>
        <w:tc>
          <w:tcPr>
            <w:tcW w:w="1773"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auto"/>
                <w:kern w:val="0"/>
                <w:szCs w:val="21"/>
              </w:rPr>
            </w:pPr>
            <w:r>
              <w:rPr>
                <w:rFonts w:hint="eastAsia" w:asciiTheme="minorEastAsia" w:hAnsiTheme="minorEastAsia" w:eastAsiaTheme="minorEastAsia" w:cstheme="minorEastAsia"/>
                <w:color w:val="auto"/>
                <w:kern w:val="0"/>
                <w:sz w:val="21"/>
                <w:szCs w:val="21"/>
              </w:rPr>
              <w:t>南北</w:t>
            </w:r>
          </w:p>
        </w:tc>
      </w:tr>
      <w:tr>
        <w:tblPrEx>
          <w:tblCellMar>
            <w:top w:w="0" w:type="dxa"/>
            <w:left w:w="108" w:type="dxa"/>
            <w:bottom w:w="0" w:type="dxa"/>
            <w:right w:w="108" w:type="dxa"/>
          </w:tblCellMar>
        </w:tblPrEx>
        <w:trPr>
          <w:trHeight w:val="381" w:hRule="atLeast"/>
        </w:trPr>
        <w:tc>
          <w:tcPr>
            <w:tcW w:w="619"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cs="宋体"/>
                <w:color w:val="auto"/>
                <w:kern w:val="0"/>
                <w:szCs w:val="21"/>
              </w:rPr>
            </w:pPr>
            <w:r>
              <w:rPr>
                <w:rFonts w:hint="eastAsia" w:ascii="宋体" w:hAnsi="宋体" w:cs="宋体"/>
                <w:color w:val="auto"/>
                <w:kern w:val="0"/>
                <w:szCs w:val="21"/>
              </w:rPr>
              <w:t>实</w:t>
            </w:r>
            <w:r>
              <w:rPr>
                <w:rFonts w:ascii="宋体" w:cs="宋体"/>
                <w:color w:val="auto"/>
                <w:kern w:val="0"/>
                <w:szCs w:val="21"/>
              </w:rPr>
              <w:br w:type="textWrapping"/>
            </w:r>
            <w:r>
              <w:rPr>
                <w:rFonts w:hint="eastAsia" w:ascii="宋体" w:hAnsi="宋体" w:cs="宋体"/>
                <w:color w:val="auto"/>
                <w:kern w:val="0"/>
                <w:szCs w:val="21"/>
              </w:rPr>
              <w:t>物</w:t>
            </w:r>
            <w:r>
              <w:rPr>
                <w:rFonts w:ascii="宋体" w:cs="宋体"/>
                <w:color w:val="auto"/>
                <w:kern w:val="0"/>
                <w:szCs w:val="21"/>
              </w:rPr>
              <w:br w:type="textWrapping"/>
            </w:r>
            <w:r>
              <w:rPr>
                <w:rFonts w:hint="eastAsia" w:ascii="宋体" w:hAnsi="宋体" w:cs="宋体"/>
                <w:color w:val="auto"/>
                <w:kern w:val="0"/>
                <w:szCs w:val="21"/>
              </w:rPr>
              <w:t>状</w:t>
            </w:r>
            <w:r>
              <w:rPr>
                <w:rFonts w:ascii="宋体" w:cs="宋体"/>
                <w:color w:val="auto"/>
                <w:kern w:val="0"/>
                <w:szCs w:val="21"/>
              </w:rPr>
              <w:br w:type="textWrapping"/>
            </w:r>
            <w:r>
              <w:rPr>
                <w:rFonts w:hint="eastAsia" w:ascii="宋体" w:hAnsi="宋体" w:cs="宋体"/>
                <w:color w:val="auto"/>
                <w:kern w:val="0"/>
                <w:szCs w:val="21"/>
              </w:rPr>
              <w:t>况</w:t>
            </w:r>
          </w:p>
        </w:tc>
        <w:tc>
          <w:tcPr>
            <w:tcW w:w="1586" w:type="dxa"/>
            <w:tcBorders>
              <w:top w:val="single" w:color="auto" w:sz="4" w:space="0"/>
              <w:left w:val="nil"/>
              <w:bottom w:val="single" w:color="auto" w:sz="4" w:space="0"/>
              <w:right w:val="nil"/>
            </w:tcBorders>
            <w:vAlign w:val="center"/>
          </w:tcPr>
          <w:p>
            <w:pPr>
              <w:widowControl/>
              <w:jc w:val="center"/>
              <w:rPr>
                <w:rFonts w:ascii="宋体" w:cs="宋体"/>
                <w:color w:val="auto"/>
                <w:kern w:val="0"/>
                <w:szCs w:val="21"/>
              </w:rPr>
            </w:pPr>
            <w:r>
              <w:rPr>
                <w:rFonts w:hint="eastAsia" w:ascii="宋体" w:hAnsi="宋体" w:cs="宋体"/>
                <w:color w:val="auto"/>
                <w:kern w:val="0"/>
                <w:szCs w:val="21"/>
              </w:rPr>
              <w:t>建筑结构类型</w:t>
            </w:r>
          </w:p>
        </w:tc>
        <w:tc>
          <w:tcPr>
            <w:tcW w:w="1786"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cs="宋体"/>
                <w:color w:val="auto"/>
                <w:kern w:val="0"/>
                <w:szCs w:val="21"/>
              </w:rPr>
            </w:pPr>
            <w:r>
              <w:rPr>
                <w:rFonts w:hint="eastAsia" w:ascii="宋体" w:hAnsi="宋体" w:cs="宋体"/>
                <w:color w:val="auto"/>
                <w:kern w:val="0"/>
                <w:szCs w:val="21"/>
              </w:rPr>
              <w:t>砖混</w:t>
            </w:r>
          </w:p>
        </w:tc>
        <w:tc>
          <w:tcPr>
            <w:tcW w:w="1786" w:type="dxa"/>
            <w:tcBorders>
              <w:top w:val="single" w:color="auto" w:sz="4" w:space="0"/>
              <w:left w:val="nil"/>
              <w:bottom w:val="single" w:color="auto" w:sz="4" w:space="0"/>
              <w:right w:val="single" w:color="auto" w:sz="4" w:space="0"/>
            </w:tcBorders>
            <w:noWrap/>
            <w:vAlign w:val="center"/>
          </w:tcPr>
          <w:p>
            <w:pPr>
              <w:widowControl/>
              <w:jc w:val="center"/>
              <w:rPr>
                <w:rFonts w:ascii="宋体" w:cs="宋体"/>
                <w:color w:val="auto"/>
                <w:kern w:val="0"/>
                <w:szCs w:val="21"/>
              </w:rPr>
            </w:pPr>
            <w:r>
              <w:rPr>
                <w:rFonts w:hint="eastAsia" w:ascii="宋体" w:hAnsi="宋体" w:cs="宋体"/>
                <w:color w:val="auto"/>
                <w:kern w:val="0"/>
                <w:szCs w:val="21"/>
              </w:rPr>
              <w:t>砖混</w:t>
            </w:r>
          </w:p>
        </w:tc>
        <w:tc>
          <w:tcPr>
            <w:tcW w:w="1909" w:type="dxa"/>
            <w:tcBorders>
              <w:top w:val="single" w:color="auto" w:sz="4" w:space="0"/>
              <w:left w:val="nil"/>
              <w:bottom w:val="single" w:color="auto" w:sz="4" w:space="0"/>
              <w:right w:val="single" w:color="auto" w:sz="4" w:space="0"/>
            </w:tcBorders>
            <w:noWrap/>
            <w:vAlign w:val="center"/>
          </w:tcPr>
          <w:p>
            <w:pPr>
              <w:widowControl/>
              <w:jc w:val="center"/>
              <w:rPr>
                <w:color w:val="auto"/>
              </w:rPr>
            </w:pPr>
            <w:r>
              <w:rPr>
                <w:rFonts w:hint="eastAsia" w:asciiTheme="minorEastAsia" w:hAnsiTheme="minorEastAsia" w:eastAsiaTheme="minorEastAsia" w:cstheme="minorEastAsia"/>
                <w:color w:val="auto"/>
                <w:kern w:val="0"/>
                <w:sz w:val="21"/>
                <w:szCs w:val="21"/>
                <w:lang w:eastAsia="zh-CN"/>
              </w:rPr>
              <w:t>砖混</w:t>
            </w:r>
          </w:p>
        </w:tc>
        <w:tc>
          <w:tcPr>
            <w:tcW w:w="1773" w:type="dxa"/>
            <w:tcBorders>
              <w:top w:val="single" w:color="auto" w:sz="4" w:space="0"/>
              <w:left w:val="nil"/>
              <w:bottom w:val="single" w:color="auto" w:sz="4" w:space="0"/>
              <w:right w:val="single" w:color="auto" w:sz="4" w:space="0"/>
            </w:tcBorders>
            <w:noWrap/>
            <w:vAlign w:val="center"/>
          </w:tcPr>
          <w:p>
            <w:pPr>
              <w:widowControl/>
              <w:jc w:val="center"/>
              <w:rPr>
                <w:rFonts w:ascii="宋体" w:cs="宋体"/>
                <w:color w:val="auto"/>
                <w:kern w:val="0"/>
                <w:szCs w:val="21"/>
              </w:rPr>
            </w:pPr>
            <w:r>
              <w:rPr>
                <w:rFonts w:hint="eastAsia" w:asciiTheme="minorEastAsia" w:hAnsiTheme="minorEastAsia" w:eastAsiaTheme="minorEastAsia" w:cstheme="minorEastAsia"/>
                <w:color w:val="auto"/>
                <w:kern w:val="0"/>
                <w:sz w:val="21"/>
                <w:szCs w:val="21"/>
                <w:lang w:eastAsia="zh-CN"/>
              </w:rPr>
              <w:t>砖混</w:t>
            </w:r>
          </w:p>
        </w:tc>
      </w:tr>
      <w:tr>
        <w:tblPrEx>
          <w:tblCellMar>
            <w:top w:w="0" w:type="dxa"/>
            <w:left w:w="108" w:type="dxa"/>
            <w:bottom w:w="0" w:type="dxa"/>
            <w:right w:w="108" w:type="dxa"/>
          </w:tblCellMar>
        </w:tblPrEx>
        <w:trPr>
          <w:trHeight w:val="391" w:hRule="atLeast"/>
        </w:trPr>
        <w:tc>
          <w:tcPr>
            <w:tcW w:w="61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cs="宋体"/>
                <w:color w:val="auto"/>
                <w:kern w:val="0"/>
                <w:szCs w:val="21"/>
              </w:rPr>
            </w:pPr>
          </w:p>
        </w:tc>
        <w:tc>
          <w:tcPr>
            <w:tcW w:w="1586" w:type="dxa"/>
            <w:tcBorders>
              <w:top w:val="single" w:color="auto" w:sz="4" w:space="0"/>
              <w:left w:val="nil"/>
              <w:bottom w:val="single" w:color="auto" w:sz="4" w:space="0"/>
              <w:right w:val="nil"/>
            </w:tcBorders>
            <w:vAlign w:val="center"/>
          </w:tcPr>
          <w:p>
            <w:pPr>
              <w:widowControl/>
              <w:jc w:val="center"/>
              <w:rPr>
                <w:rFonts w:ascii="宋体" w:cs="宋体"/>
                <w:color w:val="auto"/>
                <w:kern w:val="0"/>
                <w:szCs w:val="21"/>
              </w:rPr>
            </w:pPr>
            <w:r>
              <w:rPr>
                <w:rFonts w:hint="eastAsia" w:ascii="宋体" w:hAnsi="宋体" w:cs="宋体"/>
                <w:color w:val="auto"/>
                <w:kern w:val="0"/>
                <w:szCs w:val="21"/>
              </w:rPr>
              <w:t>空间布局</w:t>
            </w:r>
          </w:p>
        </w:tc>
        <w:tc>
          <w:tcPr>
            <w:tcW w:w="1786"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color w:val="auto"/>
                <w:kern w:val="0"/>
                <w:szCs w:val="21"/>
                <w:lang w:eastAsia="zh-CN"/>
              </w:rPr>
            </w:pPr>
            <w:r>
              <w:rPr>
                <w:rFonts w:hint="eastAsia" w:ascii="宋体" w:hAnsi="宋体" w:cs="宋体"/>
                <w:color w:val="auto"/>
                <w:kern w:val="0"/>
                <w:szCs w:val="21"/>
                <w:lang w:eastAsia="zh-CN"/>
              </w:rPr>
              <w:t>较合理</w:t>
            </w:r>
          </w:p>
        </w:tc>
        <w:tc>
          <w:tcPr>
            <w:tcW w:w="1786"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color w:val="auto"/>
                <w:kern w:val="0"/>
                <w:szCs w:val="21"/>
              </w:rPr>
            </w:pPr>
            <w:r>
              <w:rPr>
                <w:rFonts w:hint="eastAsia" w:ascii="宋体" w:hAnsi="宋体" w:cs="宋体"/>
                <w:color w:val="auto"/>
                <w:kern w:val="0"/>
                <w:szCs w:val="21"/>
              </w:rPr>
              <w:t>合理</w:t>
            </w:r>
          </w:p>
        </w:tc>
        <w:tc>
          <w:tcPr>
            <w:tcW w:w="1909" w:type="dxa"/>
            <w:tcBorders>
              <w:top w:val="single" w:color="auto" w:sz="4" w:space="0"/>
              <w:left w:val="nil"/>
              <w:bottom w:val="single" w:color="auto" w:sz="4" w:space="0"/>
              <w:right w:val="single" w:color="auto" w:sz="4" w:space="0"/>
            </w:tcBorders>
            <w:vAlign w:val="center"/>
          </w:tcPr>
          <w:p>
            <w:pPr>
              <w:widowControl/>
              <w:jc w:val="center"/>
              <w:rPr>
                <w:color w:val="auto"/>
              </w:rPr>
            </w:pPr>
            <w:r>
              <w:rPr>
                <w:rFonts w:hint="eastAsia" w:ascii="宋体" w:hAnsi="宋体" w:cs="宋体"/>
                <w:color w:val="auto"/>
                <w:kern w:val="0"/>
                <w:szCs w:val="21"/>
              </w:rPr>
              <w:t>合理</w:t>
            </w:r>
          </w:p>
        </w:tc>
        <w:tc>
          <w:tcPr>
            <w:tcW w:w="1773"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color w:val="auto"/>
                <w:kern w:val="0"/>
                <w:szCs w:val="21"/>
              </w:rPr>
            </w:pPr>
            <w:r>
              <w:rPr>
                <w:rFonts w:hint="eastAsia" w:ascii="宋体" w:hAnsi="宋体" w:cs="宋体"/>
                <w:color w:val="auto"/>
                <w:kern w:val="0"/>
                <w:szCs w:val="21"/>
                <w:lang w:eastAsia="zh-CN"/>
              </w:rPr>
              <w:t>较</w:t>
            </w:r>
            <w:r>
              <w:rPr>
                <w:rFonts w:hint="eastAsia" w:ascii="宋体" w:hAnsi="宋体" w:cs="宋体"/>
                <w:color w:val="auto"/>
                <w:kern w:val="0"/>
                <w:szCs w:val="21"/>
              </w:rPr>
              <w:t>合理</w:t>
            </w:r>
          </w:p>
        </w:tc>
      </w:tr>
      <w:tr>
        <w:tblPrEx>
          <w:tblCellMar>
            <w:top w:w="0" w:type="dxa"/>
            <w:left w:w="108" w:type="dxa"/>
            <w:bottom w:w="0" w:type="dxa"/>
            <w:right w:w="108" w:type="dxa"/>
          </w:tblCellMar>
        </w:tblPrEx>
        <w:trPr>
          <w:trHeight w:val="385" w:hRule="atLeast"/>
        </w:trPr>
        <w:tc>
          <w:tcPr>
            <w:tcW w:w="61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cs="宋体"/>
                <w:color w:val="auto"/>
                <w:kern w:val="0"/>
                <w:szCs w:val="21"/>
              </w:rPr>
            </w:pPr>
          </w:p>
        </w:tc>
        <w:tc>
          <w:tcPr>
            <w:tcW w:w="1586" w:type="dxa"/>
            <w:tcBorders>
              <w:top w:val="single" w:color="auto" w:sz="4" w:space="0"/>
              <w:left w:val="nil"/>
              <w:bottom w:val="single" w:color="auto" w:sz="4" w:space="0"/>
              <w:right w:val="nil"/>
            </w:tcBorders>
            <w:noWrap/>
            <w:vAlign w:val="center"/>
          </w:tcPr>
          <w:p>
            <w:pPr>
              <w:widowControl/>
              <w:jc w:val="center"/>
              <w:rPr>
                <w:rFonts w:ascii="宋体" w:cs="宋体"/>
                <w:color w:val="auto"/>
                <w:kern w:val="0"/>
                <w:szCs w:val="21"/>
              </w:rPr>
            </w:pPr>
            <w:r>
              <w:rPr>
                <w:rFonts w:hint="eastAsia" w:ascii="宋体" w:hAnsi="宋体" w:cs="宋体"/>
                <w:color w:val="auto"/>
                <w:kern w:val="0"/>
                <w:szCs w:val="21"/>
              </w:rPr>
              <w:t>设施与设备</w:t>
            </w:r>
          </w:p>
        </w:tc>
        <w:tc>
          <w:tcPr>
            <w:tcW w:w="1786"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eastAsia="宋体" w:cs="宋体"/>
                <w:color w:val="auto"/>
                <w:spacing w:val="-10"/>
                <w:kern w:val="0"/>
                <w:szCs w:val="21"/>
                <w:lang w:eastAsia="zh-CN"/>
              </w:rPr>
            </w:pPr>
            <w:r>
              <w:rPr>
                <w:rFonts w:hint="eastAsia" w:ascii="宋体" w:hAnsi="宋体" w:cs="宋体"/>
                <w:color w:val="auto"/>
                <w:spacing w:val="-10"/>
                <w:kern w:val="0"/>
                <w:szCs w:val="21"/>
                <w:lang w:eastAsia="zh-CN"/>
              </w:rPr>
              <w:t>完备</w:t>
            </w:r>
          </w:p>
        </w:tc>
        <w:tc>
          <w:tcPr>
            <w:tcW w:w="1786" w:type="dxa"/>
            <w:tcBorders>
              <w:top w:val="single" w:color="auto" w:sz="4" w:space="0"/>
              <w:left w:val="nil"/>
              <w:bottom w:val="single" w:color="auto" w:sz="4" w:space="0"/>
              <w:right w:val="single" w:color="auto" w:sz="4" w:space="0"/>
            </w:tcBorders>
            <w:vAlign w:val="center"/>
          </w:tcPr>
          <w:p>
            <w:pPr>
              <w:widowControl/>
              <w:jc w:val="center"/>
              <w:rPr>
                <w:rFonts w:ascii="宋体" w:cs="宋体"/>
                <w:color w:val="auto"/>
                <w:spacing w:val="-10"/>
                <w:kern w:val="0"/>
                <w:szCs w:val="21"/>
              </w:rPr>
            </w:pPr>
            <w:r>
              <w:rPr>
                <w:rFonts w:hint="eastAsia" w:asciiTheme="minorEastAsia" w:hAnsiTheme="minorEastAsia" w:eastAsiaTheme="minorEastAsia" w:cstheme="minorEastAsia"/>
                <w:color w:val="auto"/>
                <w:spacing w:val="-10"/>
                <w:kern w:val="0"/>
                <w:sz w:val="21"/>
                <w:szCs w:val="21"/>
              </w:rPr>
              <w:t>完备</w:t>
            </w:r>
          </w:p>
        </w:tc>
        <w:tc>
          <w:tcPr>
            <w:tcW w:w="1909" w:type="dxa"/>
            <w:tcBorders>
              <w:top w:val="single" w:color="auto" w:sz="4" w:space="0"/>
              <w:left w:val="nil"/>
              <w:bottom w:val="single" w:color="auto" w:sz="4" w:space="0"/>
              <w:right w:val="single" w:color="auto" w:sz="4" w:space="0"/>
            </w:tcBorders>
            <w:vAlign w:val="center"/>
          </w:tcPr>
          <w:p>
            <w:pPr>
              <w:widowControl/>
              <w:jc w:val="center"/>
              <w:rPr>
                <w:rFonts w:ascii="宋体" w:cs="宋体"/>
                <w:color w:val="auto"/>
                <w:spacing w:val="-10"/>
                <w:kern w:val="0"/>
                <w:szCs w:val="21"/>
              </w:rPr>
            </w:pPr>
            <w:r>
              <w:rPr>
                <w:rFonts w:hint="eastAsia" w:asciiTheme="minorEastAsia" w:hAnsiTheme="minorEastAsia" w:eastAsiaTheme="minorEastAsia" w:cstheme="minorEastAsia"/>
                <w:color w:val="auto"/>
                <w:spacing w:val="-10"/>
                <w:kern w:val="0"/>
                <w:sz w:val="21"/>
                <w:szCs w:val="21"/>
              </w:rPr>
              <w:t>完备</w:t>
            </w:r>
          </w:p>
        </w:tc>
        <w:tc>
          <w:tcPr>
            <w:tcW w:w="1773" w:type="dxa"/>
            <w:tcBorders>
              <w:top w:val="single" w:color="auto" w:sz="4" w:space="0"/>
              <w:left w:val="nil"/>
              <w:bottom w:val="single" w:color="auto" w:sz="4" w:space="0"/>
              <w:right w:val="single" w:color="auto" w:sz="4" w:space="0"/>
            </w:tcBorders>
            <w:vAlign w:val="center"/>
          </w:tcPr>
          <w:p>
            <w:pPr>
              <w:widowControl/>
              <w:jc w:val="center"/>
              <w:rPr>
                <w:rFonts w:ascii="宋体" w:cs="宋体"/>
                <w:color w:val="auto"/>
                <w:spacing w:val="-10"/>
                <w:kern w:val="0"/>
                <w:szCs w:val="21"/>
              </w:rPr>
            </w:pPr>
            <w:r>
              <w:rPr>
                <w:rFonts w:hint="eastAsia" w:asciiTheme="minorEastAsia" w:hAnsiTheme="minorEastAsia" w:eastAsiaTheme="minorEastAsia" w:cstheme="minorEastAsia"/>
                <w:color w:val="auto"/>
                <w:spacing w:val="-10"/>
                <w:kern w:val="0"/>
                <w:sz w:val="21"/>
                <w:szCs w:val="21"/>
                <w:lang w:eastAsia="zh-CN"/>
              </w:rPr>
              <w:t>较</w:t>
            </w:r>
            <w:r>
              <w:rPr>
                <w:rFonts w:hint="eastAsia" w:asciiTheme="minorEastAsia" w:hAnsiTheme="minorEastAsia" w:eastAsiaTheme="minorEastAsia" w:cstheme="minorEastAsia"/>
                <w:color w:val="auto"/>
                <w:spacing w:val="-10"/>
                <w:kern w:val="0"/>
                <w:sz w:val="21"/>
                <w:szCs w:val="21"/>
              </w:rPr>
              <w:t>完备</w:t>
            </w:r>
          </w:p>
        </w:tc>
      </w:tr>
      <w:tr>
        <w:tblPrEx>
          <w:tblCellMar>
            <w:top w:w="0" w:type="dxa"/>
            <w:left w:w="108" w:type="dxa"/>
            <w:bottom w:w="0" w:type="dxa"/>
            <w:right w:w="108" w:type="dxa"/>
          </w:tblCellMar>
        </w:tblPrEx>
        <w:trPr>
          <w:trHeight w:val="388" w:hRule="atLeast"/>
        </w:trPr>
        <w:tc>
          <w:tcPr>
            <w:tcW w:w="61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cs="宋体"/>
                <w:color w:val="auto"/>
                <w:kern w:val="0"/>
                <w:szCs w:val="21"/>
              </w:rPr>
            </w:pPr>
          </w:p>
        </w:tc>
        <w:tc>
          <w:tcPr>
            <w:tcW w:w="1586" w:type="dxa"/>
            <w:tcBorders>
              <w:top w:val="single" w:color="auto" w:sz="4" w:space="0"/>
              <w:left w:val="nil"/>
              <w:bottom w:val="single" w:color="auto" w:sz="4" w:space="0"/>
              <w:right w:val="nil"/>
            </w:tcBorders>
            <w:noWrap/>
            <w:vAlign w:val="center"/>
          </w:tcPr>
          <w:p>
            <w:pPr>
              <w:widowControl/>
              <w:jc w:val="center"/>
              <w:rPr>
                <w:rFonts w:ascii="宋体" w:cs="宋体"/>
                <w:color w:val="auto"/>
                <w:kern w:val="0"/>
                <w:szCs w:val="21"/>
              </w:rPr>
            </w:pPr>
            <w:r>
              <w:rPr>
                <w:rFonts w:hint="eastAsia" w:ascii="宋体" w:hAnsi="宋体" w:cs="宋体"/>
                <w:color w:val="auto"/>
                <w:kern w:val="0"/>
                <w:szCs w:val="21"/>
              </w:rPr>
              <w:t>建筑功能</w:t>
            </w:r>
          </w:p>
        </w:tc>
        <w:tc>
          <w:tcPr>
            <w:tcW w:w="178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cs="宋体"/>
                <w:color w:val="auto"/>
                <w:spacing w:val="-10"/>
                <w:kern w:val="0"/>
                <w:szCs w:val="21"/>
              </w:rPr>
            </w:pPr>
            <w:r>
              <w:rPr>
                <w:rFonts w:hint="eastAsia" w:ascii="宋体" w:hAnsi="宋体" w:cs="宋体"/>
                <w:color w:val="auto"/>
                <w:spacing w:val="-10"/>
                <w:kern w:val="0"/>
                <w:szCs w:val="21"/>
              </w:rPr>
              <w:t>较好</w:t>
            </w:r>
          </w:p>
        </w:tc>
        <w:tc>
          <w:tcPr>
            <w:tcW w:w="1786" w:type="dxa"/>
            <w:tcBorders>
              <w:top w:val="single" w:color="auto" w:sz="4" w:space="0"/>
              <w:left w:val="nil"/>
              <w:bottom w:val="single" w:color="auto" w:sz="4" w:space="0"/>
              <w:right w:val="single" w:color="auto" w:sz="4" w:space="0"/>
            </w:tcBorders>
            <w:vAlign w:val="center"/>
          </w:tcPr>
          <w:p>
            <w:pPr>
              <w:widowControl/>
              <w:jc w:val="center"/>
              <w:rPr>
                <w:rFonts w:ascii="宋体" w:cs="宋体"/>
                <w:color w:val="auto"/>
                <w:spacing w:val="-10"/>
                <w:kern w:val="0"/>
                <w:szCs w:val="21"/>
              </w:rPr>
            </w:pPr>
            <w:r>
              <w:rPr>
                <w:rFonts w:hint="eastAsia" w:ascii="宋体" w:hAnsi="宋体" w:cs="宋体"/>
                <w:color w:val="auto"/>
                <w:spacing w:val="-10"/>
                <w:kern w:val="0"/>
                <w:szCs w:val="21"/>
              </w:rPr>
              <w:t>较好</w:t>
            </w:r>
          </w:p>
        </w:tc>
        <w:tc>
          <w:tcPr>
            <w:tcW w:w="1909" w:type="dxa"/>
            <w:tcBorders>
              <w:top w:val="single" w:color="auto" w:sz="4" w:space="0"/>
              <w:left w:val="nil"/>
              <w:bottom w:val="single" w:color="auto" w:sz="4" w:space="0"/>
              <w:right w:val="single" w:color="auto" w:sz="4" w:space="0"/>
            </w:tcBorders>
            <w:vAlign w:val="center"/>
          </w:tcPr>
          <w:p>
            <w:pPr>
              <w:widowControl/>
              <w:jc w:val="center"/>
              <w:rPr>
                <w:color w:val="auto"/>
              </w:rPr>
            </w:pPr>
            <w:r>
              <w:rPr>
                <w:rFonts w:hint="eastAsia" w:asciiTheme="minorEastAsia" w:hAnsiTheme="minorEastAsia" w:eastAsiaTheme="minorEastAsia" w:cstheme="minorEastAsia"/>
                <w:color w:val="auto"/>
                <w:spacing w:val="-10"/>
                <w:kern w:val="0"/>
                <w:sz w:val="21"/>
                <w:szCs w:val="21"/>
              </w:rPr>
              <w:t>较好</w:t>
            </w:r>
          </w:p>
        </w:tc>
        <w:tc>
          <w:tcPr>
            <w:tcW w:w="1773" w:type="dxa"/>
            <w:tcBorders>
              <w:top w:val="single" w:color="auto" w:sz="4" w:space="0"/>
              <w:left w:val="nil"/>
              <w:bottom w:val="single" w:color="auto" w:sz="4" w:space="0"/>
              <w:right w:val="single" w:color="auto" w:sz="4" w:space="0"/>
            </w:tcBorders>
            <w:vAlign w:val="center"/>
          </w:tcPr>
          <w:p>
            <w:pPr>
              <w:widowControl/>
              <w:jc w:val="center"/>
              <w:rPr>
                <w:rFonts w:ascii="宋体" w:cs="宋体"/>
                <w:color w:val="auto"/>
                <w:spacing w:val="-10"/>
                <w:kern w:val="0"/>
                <w:szCs w:val="21"/>
              </w:rPr>
            </w:pPr>
            <w:r>
              <w:rPr>
                <w:rFonts w:hint="eastAsia" w:asciiTheme="minorEastAsia" w:hAnsiTheme="minorEastAsia" w:eastAsiaTheme="minorEastAsia" w:cstheme="minorEastAsia"/>
                <w:color w:val="auto"/>
                <w:spacing w:val="-10"/>
                <w:kern w:val="0"/>
                <w:sz w:val="21"/>
                <w:szCs w:val="21"/>
              </w:rPr>
              <w:t>较好</w:t>
            </w:r>
          </w:p>
        </w:tc>
      </w:tr>
      <w:tr>
        <w:tblPrEx>
          <w:tblCellMar>
            <w:top w:w="0" w:type="dxa"/>
            <w:left w:w="108" w:type="dxa"/>
            <w:bottom w:w="0" w:type="dxa"/>
            <w:right w:w="108" w:type="dxa"/>
          </w:tblCellMar>
        </w:tblPrEx>
        <w:trPr>
          <w:trHeight w:val="390" w:hRule="atLeast"/>
        </w:trPr>
        <w:tc>
          <w:tcPr>
            <w:tcW w:w="61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cs="宋体"/>
                <w:color w:val="auto"/>
                <w:kern w:val="0"/>
                <w:szCs w:val="21"/>
              </w:rPr>
            </w:pPr>
          </w:p>
        </w:tc>
        <w:tc>
          <w:tcPr>
            <w:tcW w:w="1586" w:type="dxa"/>
            <w:tcBorders>
              <w:top w:val="single" w:color="auto" w:sz="4" w:space="0"/>
              <w:left w:val="nil"/>
              <w:bottom w:val="single" w:color="auto" w:sz="4" w:space="0"/>
              <w:right w:val="nil"/>
            </w:tcBorders>
            <w:noWrap/>
            <w:vAlign w:val="center"/>
          </w:tcPr>
          <w:p>
            <w:pPr>
              <w:widowControl/>
              <w:jc w:val="center"/>
              <w:rPr>
                <w:rFonts w:ascii="宋体" w:hAnsi="宋体" w:cs="宋体"/>
                <w:color w:val="auto"/>
                <w:kern w:val="0"/>
                <w:szCs w:val="21"/>
              </w:rPr>
            </w:pPr>
            <w:r>
              <w:rPr>
                <w:rFonts w:hint="eastAsia" w:ascii="宋体" w:hAnsi="宋体" w:cs="宋体"/>
                <w:color w:val="auto"/>
                <w:kern w:val="0"/>
                <w:szCs w:val="21"/>
              </w:rPr>
              <w:t>建筑面积</w:t>
            </w:r>
            <w:r>
              <w:rPr>
                <w:rFonts w:ascii="宋体" w:hAnsi="宋体" w:cs="宋体"/>
                <w:color w:val="auto"/>
                <w:kern w:val="0"/>
                <w:szCs w:val="21"/>
              </w:rPr>
              <w:t>(</w:t>
            </w:r>
            <w:r>
              <w:rPr>
                <w:rFonts w:hint="eastAsia" w:ascii="宋体" w:hAnsi="宋体" w:cs="宋体"/>
                <w:color w:val="auto"/>
                <w:kern w:val="0"/>
                <w:szCs w:val="21"/>
              </w:rPr>
              <w:t>㎡</w:t>
            </w:r>
            <w:r>
              <w:rPr>
                <w:rFonts w:ascii="宋体" w:hAnsi="宋体" w:cs="宋体"/>
                <w:color w:val="auto"/>
                <w:kern w:val="0"/>
                <w:szCs w:val="21"/>
              </w:rPr>
              <w:t>)</w:t>
            </w:r>
          </w:p>
        </w:tc>
        <w:tc>
          <w:tcPr>
            <w:tcW w:w="1786"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default" w:ascii="宋体" w:eastAsia="宋体" w:cs="宋体"/>
                <w:color w:val="auto"/>
                <w:kern w:val="0"/>
                <w:szCs w:val="21"/>
                <w:lang w:val="en-US" w:eastAsia="zh-CN"/>
              </w:rPr>
            </w:pPr>
            <w:r>
              <w:rPr>
                <w:rFonts w:hint="eastAsia" w:ascii="宋体" w:hAnsi="宋体" w:cs="宋体"/>
                <w:color w:val="auto"/>
                <w:kern w:val="0"/>
                <w:szCs w:val="21"/>
                <w:lang w:val="en-US" w:eastAsia="zh-CN"/>
              </w:rPr>
              <w:t>83.43</w:t>
            </w:r>
          </w:p>
        </w:tc>
        <w:tc>
          <w:tcPr>
            <w:tcW w:w="1786" w:type="dxa"/>
            <w:tcBorders>
              <w:top w:val="single" w:color="auto" w:sz="4" w:space="0"/>
              <w:left w:val="nil"/>
              <w:bottom w:val="single" w:color="auto" w:sz="4" w:space="0"/>
              <w:right w:val="single" w:color="auto" w:sz="4" w:space="0"/>
            </w:tcBorders>
            <w:vAlign w:val="center"/>
          </w:tcPr>
          <w:p>
            <w:pPr>
              <w:widowControl/>
              <w:jc w:val="center"/>
              <w:rPr>
                <w:rFonts w:hint="default" w:ascii="宋体" w:eastAsia="宋体" w:cs="宋体"/>
                <w:color w:val="auto"/>
                <w:kern w:val="0"/>
                <w:szCs w:val="21"/>
                <w:lang w:val="en-US" w:eastAsia="zh-CN"/>
              </w:rPr>
            </w:pPr>
            <w:r>
              <w:rPr>
                <w:rFonts w:hint="eastAsia" w:ascii="宋体" w:hAnsi="宋体" w:cs="宋体"/>
                <w:color w:val="auto"/>
                <w:kern w:val="0"/>
                <w:szCs w:val="21"/>
                <w:lang w:val="en-US" w:eastAsia="zh-CN"/>
              </w:rPr>
              <w:t>97</w:t>
            </w:r>
          </w:p>
        </w:tc>
        <w:tc>
          <w:tcPr>
            <w:tcW w:w="1909" w:type="dxa"/>
            <w:tcBorders>
              <w:top w:val="single" w:color="auto" w:sz="4" w:space="0"/>
              <w:left w:val="nil"/>
              <w:bottom w:val="single" w:color="auto" w:sz="4" w:space="0"/>
              <w:right w:val="single" w:color="auto" w:sz="4" w:space="0"/>
            </w:tcBorders>
            <w:noWrap/>
            <w:vAlign w:val="center"/>
          </w:tcPr>
          <w:p>
            <w:pPr>
              <w:widowControl/>
              <w:jc w:val="center"/>
              <w:rPr>
                <w:rFonts w:hint="default" w:ascii="宋体" w:hAnsi="宋体" w:cs="宋体"/>
                <w:color w:val="auto"/>
                <w:kern w:val="0"/>
                <w:szCs w:val="21"/>
                <w:lang w:val="en-US" w:eastAsia="zh-CN"/>
              </w:rPr>
            </w:pPr>
            <w:r>
              <w:rPr>
                <w:rFonts w:hint="eastAsia" w:ascii="宋体" w:hAnsi="宋体" w:cs="宋体"/>
                <w:color w:val="auto"/>
                <w:kern w:val="0"/>
                <w:szCs w:val="21"/>
                <w:lang w:val="en-US" w:eastAsia="zh-CN"/>
              </w:rPr>
              <w:t>95.82</w:t>
            </w:r>
          </w:p>
        </w:tc>
        <w:tc>
          <w:tcPr>
            <w:tcW w:w="1773" w:type="dxa"/>
            <w:tcBorders>
              <w:top w:val="single" w:color="auto" w:sz="4" w:space="0"/>
              <w:left w:val="nil"/>
              <w:bottom w:val="single" w:color="auto" w:sz="4" w:space="0"/>
              <w:right w:val="single" w:color="auto" w:sz="4" w:space="0"/>
            </w:tcBorders>
            <w:noWrap/>
            <w:vAlign w:val="center"/>
          </w:tcPr>
          <w:p>
            <w:pPr>
              <w:widowControl/>
              <w:jc w:val="center"/>
              <w:rPr>
                <w:rFonts w:hint="default" w:ascii="宋体" w:hAnsi="宋体" w:cs="宋体"/>
                <w:color w:val="auto"/>
                <w:kern w:val="0"/>
                <w:szCs w:val="21"/>
                <w:lang w:val="en-US" w:eastAsia="zh-CN"/>
              </w:rPr>
            </w:pPr>
            <w:r>
              <w:rPr>
                <w:rFonts w:hint="eastAsia" w:ascii="宋体" w:hAnsi="宋体" w:cs="宋体"/>
                <w:color w:val="auto"/>
                <w:kern w:val="0"/>
                <w:szCs w:val="21"/>
                <w:lang w:val="en-US" w:eastAsia="zh-CN"/>
              </w:rPr>
              <w:t>108.46</w:t>
            </w:r>
          </w:p>
        </w:tc>
      </w:tr>
      <w:tr>
        <w:tblPrEx>
          <w:tblCellMar>
            <w:top w:w="0" w:type="dxa"/>
            <w:left w:w="108" w:type="dxa"/>
            <w:bottom w:w="0" w:type="dxa"/>
            <w:right w:w="108" w:type="dxa"/>
          </w:tblCellMar>
        </w:tblPrEx>
        <w:trPr>
          <w:trHeight w:val="370" w:hRule="atLeast"/>
        </w:trPr>
        <w:tc>
          <w:tcPr>
            <w:tcW w:w="61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cs="宋体"/>
                <w:color w:val="auto"/>
                <w:kern w:val="0"/>
                <w:szCs w:val="21"/>
              </w:rPr>
            </w:pPr>
          </w:p>
        </w:tc>
        <w:tc>
          <w:tcPr>
            <w:tcW w:w="1586" w:type="dxa"/>
            <w:tcBorders>
              <w:top w:val="single" w:color="auto" w:sz="4" w:space="0"/>
              <w:left w:val="nil"/>
              <w:bottom w:val="single" w:color="auto" w:sz="4" w:space="0"/>
              <w:right w:val="nil"/>
            </w:tcBorders>
            <w:noWrap/>
            <w:vAlign w:val="center"/>
          </w:tcPr>
          <w:p>
            <w:pPr>
              <w:widowControl/>
              <w:jc w:val="center"/>
              <w:rPr>
                <w:rFonts w:ascii="宋体" w:cs="宋体"/>
                <w:color w:val="auto"/>
                <w:kern w:val="0"/>
                <w:szCs w:val="21"/>
              </w:rPr>
            </w:pPr>
            <w:r>
              <w:rPr>
                <w:rFonts w:hint="eastAsia" w:ascii="宋体" w:hAnsi="宋体" w:cs="宋体"/>
                <w:color w:val="auto"/>
                <w:kern w:val="0"/>
                <w:szCs w:val="21"/>
              </w:rPr>
              <w:t>装饰装修</w:t>
            </w:r>
          </w:p>
        </w:tc>
        <w:tc>
          <w:tcPr>
            <w:tcW w:w="1786"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cs="宋体"/>
                <w:color w:val="auto"/>
                <w:kern w:val="0"/>
                <w:szCs w:val="21"/>
              </w:rPr>
            </w:pPr>
            <w:r>
              <w:rPr>
                <w:rFonts w:hint="eastAsia" w:ascii="宋体" w:hAnsi="宋体" w:cs="宋体"/>
                <w:color w:val="auto"/>
                <w:kern w:val="0"/>
                <w:szCs w:val="21"/>
                <w:lang w:eastAsia="zh-CN"/>
              </w:rPr>
              <w:t>中档</w:t>
            </w:r>
            <w:r>
              <w:rPr>
                <w:rFonts w:hint="eastAsia" w:ascii="宋体" w:hAnsi="宋体" w:cs="宋体"/>
                <w:color w:val="auto"/>
                <w:kern w:val="0"/>
                <w:szCs w:val="21"/>
              </w:rPr>
              <w:t>装修</w:t>
            </w:r>
          </w:p>
        </w:tc>
        <w:tc>
          <w:tcPr>
            <w:tcW w:w="1786" w:type="dxa"/>
            <w:tcBorders>
              <w:top w:val="single" w:color="auto" w:sz="4" w:space="0"/>
              <w:left w:val="nil"/>
              <w:bottom w:val="single" w:color="auto" w:sz="4" w:space="0"/>
              <w:right w:val="single" w:color="auto" w:sz="4" w:space="0"/>
            </w:tcBorders>
            <w:noWrap/>
            <w:vAlign w:val="center"/>
          </w:tcPr>
          <w:p>
            <w:pPr>
              <w:widowControl/>
              <w:jc w:val="center"/>
              <w:rPr>
                <w:rFonts w:ascii="宋体" w:cs="宋体"/>
                <w:color w:val="auto"/>
                <w:kern w:val="0"/>
                <w:szCs w:val="21"/>
              </w:rPr>
            </w:pPr>
            <w:r>
              <w:rPr>
                <w:rFonts w:hint="eastAsia" w:ascii="宋体" w:hAnsi="宋体" w:cs="宋体"/>
                <w:color w:val="auto"/>
                <w:kern w:val="0"/>
                <w:szCs w:val="21"/>
                <w:lang w:eastAsia="zh-CN"/>
              </w:rPr>
              <w:t>精</w:t>
            </w:r>
            <w:r>
              <w:rPr>
                <w:rFonts w:hint="eastAsia" w:ascii="宋体" w:hAnsi="宋体" w:cs="宋体"/>
                <w:color w:val="auto"/>
                <w:kern w:val="0"/>
                <w:szCs w:val="21"/>
              </w:rPr>
              <w:t>装修</w:t>
            </w:r>
          </w:p>
        </w:tc>
        <w:tc>
          <w:tcPr>
            <w:tcW w:w="1909" w:type="dxa"/>
            <w:tcBorders>
              <w:top w:val="single" w:color="auto" w:sz="4" w:space="0"/>
              <w:left w:val="nil"/>
              <w:bottom w:val="single" w:color="auto" w:sz="4" w:space="0"/>
              <w:right w:val="single" w:color="auto" w:sz="4" w:space="0"/>
            </w:tcBorders>
            <w:noWrap/>
            <w:vAlign w:val="center"/>
          </w:tcPr>
          <w:p>
            <w:pPr>
              <w:widowControl/>
              <w:jc w:val="center"/>
              <w:rPr>
                <w:color w:val="auto"/>
              </w:rPr>
            </w:pPr>
            <w:r>
              <w:rPr>
                <w:rFonts w:hint="eastAsia" w:asciiTheme="minorEastAsia" w:hAnsiTheme="minorEastAsia" w:eastAsiaTheme="minorEastAsia" w:cstheme="minorEastAsia"/>
                <w:color w:val="auto"/>
                <w:kern w:val="0"/>
                <w:sz w:val="21"/>
                <w:szCs w:val="21"/>
                <w:lang w:eastAsia="zh-CN"/>
              </w:rPr>
              <w:t>中档装修</w:t>
            </w:r>
          </w:p>
        </w:tc>
        <w:tc>
          <w:tcPr>
            <w:tcW w:w="1773" w:type="dxa"/>
            <w:tcBorders>
              <w:top w:val="single" w:color="auto" w:sz="4" w:space="0"/>
              <w:left w:val="nil"/>
              <w:bottom w:val="single" w:color="auto" w:sz="4" w:space="0"/>
              <w:right w:val="single" w:color="auto" w:sz="4" w:space="0"/>
            </w:tcBorders>
            <w:noWrap/>
            <w:vAlign w:val="center"/>
          </w:tcPr>
          <w:p>
            <w:pPr>
              <w:widowControl/>
              <w:jc w:val="center"/>
              <w:rPr>
                <w:rFonts w:ascii="宋体" w:cs="宋体"/>
                <w:color w:val="auto"/>
                <w:kern w:val="0"/>
                <w:szCs w:val="21"/>
              </w:rPr>
            </w:pPr>
            <w:r>
              <w:rPr>
                <w:rFonts w:hint="eastAsia" w:asciiTheme="minorEastAsia" w:hAnsiTheme="minorEastAsia" w:eastAsiaTheme="minorEastAsia" w:cstheme="minorEastAsia"/>
                <w:color w:val="auto"/>
                <w:kern w:val="0"/>
                <w:sz w:val="21"/>
                <w:szCs w:val="21"/>
                <w:lang w:eastAsia="zh-CN"/>
              </w:rPr>
              <w:t>一般</w:t>
            </w:r>
            <w:r>
              <w:rPr>
                <w:rFonts w:hint="eastAsia" w:asciiTheme="minorEastAsia" w:hAnsiTheme="minorEastAsia" w:eastAsiaTheme="minorEastAsia" w:cstheme="minorEastAsia"/>
                <w:color w:val="auto"/>
                <w:kern w:val="0"/>
                <w:sz w:val="21"/>
                <w:szCs w:val="21"/>
              </w:rPr>
              <w:t>装修</w:t>
            </w:r>
          </w:p>
        </w:tc>
      </w:tr>
      <w:tr>
        <w:tblPrEx>
          <w:tblCellMar>
            <w:top w:w="0" w:type="dxa"/>
            <w:left w:w="108" w:type="dxa"/>
            <w:bottom w:w="0" w:type="dxa"/>
            <w:right w:w="108" w:type="dxa"/>
          </w:tblCellMar>
        </w:tblPrEx>
        <w:trPr>
          <w:trHeight w:val="379" w:hRule="atLeast"/>
        </w:trPr>
        <w:tc>
          <w:tcPr>
            <w:tcW w:w="61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cs="宋体"/>
                <w:color w:val="auto"/>
                <w:kern w:val="0"/>
                <w:szCs w:val="21"/>
              </w:rPr>
            </w:pPr>
          </w:p>
        </w:tc>
        <w:tc>
          <w:tcPr>
            <w:tcW w:w="1586" w:type="dxa"/>
            <w:tcBorders>
              <w:top w:val="single" w:color="auto" w:sz="4" w:space="0"/>
              <w:left w:val="nil"/>
              <w:bottom w:val="single" w:color="auto" w:sz="4" w:space="0"/>
              <w:right w:val="single" w:color="auto" w:sz="4" w:space="0"/>
            </w:tcBorders>
            <w:noWrap/>
            <w:vAlign w:val="center"/>
          </w:tcPr>
          <w:p>
            <w:pPr>
              <w:widowControl/>
              <w:jc w:val="center"/>
              <w:rPr>
                <w:rFonts w:ascii="宋体" w:cs="宋体"/>
                <w:color w:val="auto"/>
                <w:kern w:val="0"/>
                <w:szCs w:val="21"/>
              </w:rPr>
            </w:pPr>
            <w:r>
              <w:rPr>
                <w:rFonts w:hint="eastAsia" w:ascii="宋体" w:hAnsi="宋体" w:cs="宋体"/>
                <w:color w:val="auto"/>
                <w:kern w:val="0"/>
                <w:szCs w:val="21"/>
              </w:rPr>
              <w:t>物业管理水平</w:t>
            </w:r>
          </w:p>
        </w:tc>
        <w:tc>
          <w:tcPr>
            <w:tcW w:w="1786" w:type="dxa"/>
            <w:tcBorders>
              <w:top w:val="single" w:color="auto" w:sz="4" w:space="0"/>
              <w:left w:val="nil"/>
              <w:bottom w:val="single" w:color="auto" w:sz="4" w:space="0"/>
              <w:right w:val="single" w:color="auto" w:sz="4" w:space="0"/>
            </w:tcBorders>
            <w:noWrap/>
            <w:vAlign w:val="center"/>
          </w:tcPr>
          <w:p>
            <w:pPr>
              <w:widowControl/>
              <w:jc w:val="center"/>
              <w:rPr>
                <w:rFonts w:ascii="宋体" w:cs="宋体"/>
                <w:color w:val="auto"/>
                <w:kern w:val="0"/>
                <w:szCs w:val="21"/>
              </w:rPr>
            </w:pPr>
            <w:r>
              <w:rPr>
                <w:rFonts w:hint="eastAsia" w:ascii="宋体" w:hAnsi="宋体" w:cs="宋体"/>
                <w:color w:val="auto"/>
                <w:kern w:val="0"/>
                <w:szCs w:val="21"/>
              </w:rPr>
              <w:t>普通物业公司</w:t>
            </w:r>
          </w:p>
        </w:tc>
        <w:tc>
          <w:tcPr>
            <w:tcW w:w="1786" w:type="dxa"/>
            <w:tcBorders>
              <w:top w:val="single" w:color="auto" w:sz="4" w:space="0"/>
              <w:left w:val="nil"/>
              <w:bottom w:val="single" w:color="auto" w:sz="4" w:space="0"/>
              <w:right w:val="single" w:color="auto" w:sz="4" w:space="0"/>
            </w:tcBorders>
            <w:noWrap/>
            <w:vAlign w:val="center"/>
          </w:tcPr>
          <w:p>
            <w:pPr>
              <w:widowControl/>
              <w:jc w:val="center"/>
              <w:rPr>
                <w:rFonts w:ascii="宋体" w:cs="宋体"/>
                <w:color w:val="auto"/>
                <w:kern w:val="0"/>
                <w:szCs w:val="21"/>
              </w:rPr>
            </w:pPr>
            <w:r>
              <w:rPr>
                <w:rFonts w:hint="eastAsia" w:ascii="宋体" w:hAnsi="宋体" w:cs="宋体"/>
                <w:color w:val="auto"/>
                <w:kern w:val="0"/>
                <w:szCs w:val="21"/>
              </w:rPr>
              <w:t>普通物业公司</w:t>
            </w:r>
          </w:p>
        </w:tc>
        <w:tc>
          <w:tcPr>
            <w:tcW w:w="1909" w:type="dxa"/>
            <w:tcBorders>
              <w:top w:val="single" w:color="auto" w:sz="4" w:space="0"/>
              <w:left w:val="nil"/>
              <w:bottom w:val="single" w:color="auto" w:sz="4" w:space="0"/>
              <w:right w:val="single" w:color="auto" w:sz="4" w:space="0"/>
            </w:tcBorders>
            <w:noWrap/>
            <w:vAlign w:val="center"/>
          </w:tcPr>
          <w:p>
            <w:pPr>
              <w:widowControl/>
              <w:jc w:val="center"/>
              <w:rPr>
                <w:color w:val="auto"/>
              </w:rPr>
            </w:pPr>
            <w:r>
              <w:rPr>
                <w:rFonts w:hint="eastAsia" w:asciiTheme="minorEastAsia" w:hAnsiTheme="minorEastAsia" w:eastAsiaTheme="minorEastAsia" w:cstheme="minorEastAsia"/>
                <w:color w:val="auto"/>
                <w:kern w:val="0"/>
                <w:sz w:val="21"/>
                <w:szCs w:val="21"/>
              </w:rPr>
              <w:t>普通物业公司</w:t>
            </w:r>
          </w:p>
        </w:tc>
        <w:tc>
          <w:tcPr>
            <w:tcW w:w="1773" w:type="dxa"/>
            <w:tcBorders>
              <w:top w:val="single" w:color="auto" w:sz="4" w:space="0"/>
              <w:left w:val="nil"/>
              <w:bottom w:val="single" w:color="auto" w:sz="4" w:space="0"/>
              <w:right w:val="single" w:color="auto" w:sz="4" w:space="0"/>
            </w:tcBorders>
            <w:noWrap/>
            <w:vAlign w:val="center"/>
          </w:tcPr>
          <w:p>
            <w:pPr>
              <w:widowControl/>
              <w:jc w:val="center"/>
              <w:rPr>
                <w:rFonts w:ascii="宋体" w:cs="宋体"/>
                <w:color w:val="auto"/>
                <w:kern w:val="0"/>
                <w:szCs w:val="21"/>
              </w:rPr>
            </w:pPr>
            <w:r>
              <w:rPr>
                <w:rFonts w:hint="eastAsia" w:asciiTheme="minorEastAsia" w:hAnsiTheme="minorEastAsia" w:eastAsiaTheme="minorEastAsia" w:cstheme="minorEastAsia"/>
                <w:color w:val="auto"/>
                <w:kern w:val="0"/>
                <w:sz w:val="21"/>
                <w:szCs w:val="21"/>
                <w:lang w:eastAsia="zh-CN"/>
              </w:rPr>
              <w:t>普通</w:t>
            </w:r>
            <w:r>
              <w:rPr>
                <w:rFonts w:hint="eastAsia" w:asciiTheme="minorEastAsia" w:hAnsiTheme="minorEastAsia" w:eastAsiaTheme="minorEastAsia" w:cstheme="minorEastAsia"/>
                <w:color w:val="auto"/>
                <w:kern w:val="0"/>
                <w:sz w:val="21"/>
                <w:szCs w:val="21"/>
              </w:rPr>
              <w:t>物业公司</w:t>
            </w:r>
          </w:p>
        </w:tc>
      </w:tr>
      <w:tr>
        <w:tblPrEx>
          <w:tblCellMar>
            <w:top w:w="0" w:type="dxa"/>
            <w:left w:w="108" w:type="dxa"/>
            <w:bottom w:w="0" w:type="dxa"/>
            <w:right w:w="108" w:type="dxa"/>
          </w:tblCellMar>
        </w:tblPrEx>
        <w:trPr>
          <w:trHeight w:val="403" w:hRule="atLeast"/>
        </w:trPr>
        <w:tc>
          <w:tcPr>
            <w:tcW w:w="61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cs="宋体"/>
                <w:color w:val="auto"/>
                <w:kern w:val="0"/>
                <w:szCs w:val="21"/>
              </w:rPr>
            </w:pPr>
          </w:p>
        </w:tc>
        <w:tc>
          <w:tcPr>
            <w:tcW w:w="1586" w:type="dxa"/>
            <w:tcBorders>
              <w:top w:val="single" w:color="auto" w:sz="4" w:space="0"/>
              <w:left w:val="nil"/>
              <w:bottom w:val="single" w:color="auto" w:sz="4" w:space="0"/>
              <w:right w:val="single" w:color="auto" w:sz="4" w:space="0"/>
            </w:tcBorders>
            <w:noWrap/>
            <w:vAlign w:val="center"/>
          </w:tcPr>
          <w:p>
            <w:pPr>
              <w:widowControl/>
              <w:jc w:val="center"/>
              <w:rPr>
                <w:rFonts w:ascii="宋体" w:cs="宋体"/>
                <w:color w:val="auto"/>
                <w:kern w:val="0"/>
                <w:szCs w:val="21"/>
              </w:rPr>
            </w:pPr>
            <w:r>
              <w:rPr>
                <w:rFonts w:hint="eastAsia" w:ascii="宋体" w:hAnsi="宋体" w:cs="宋体"/>
                <w:color w:val="auto"/>
                <w:kern w:val="0"/>
                <w:szCs w:val="21"/>
              </w:rPr>
              <w:t>建成年分</w:t>
            </w:r>
          </w:p>
        </w:tc>
        <w:tc>
          <w:tcPr>
            <w:tcW w:w="1786" w:type="dxa"/>
            <w:tcBorders>
              <w:top w:val="single" w:color="auto" w:sz="4" w:space="0"/>
              <w:left w:val="nil"/>
              <w:bottom w:val="single" w:color="auto" w:sz="4" w:space="0"/>
              <w:right w:val="single" w:color="auto" w:sz="4" w:space="0"/>
            </w:tcBorders>
            <w:noWrap/>
            <w:vAlign w:val="center"/>
          </w:tcPr>
          <w:p>
            <w:pPr>
              <w:widowControl/>
              <w:jc w:val="center"/>
              <w:rPr>
                <w:rFonts w:hint="eastAsia" w:ascii="宋体" w:eastAsia="宋体" w:cs="宋体"/>
                <w:color w:val="auto"/>
                <w:kern w:val="0"/>
                <w:szCs w:val="21"/>
                <w:lang w:eastAsia="zh-CN"/>
              </w:rPr>
            </w:pPr>
            <w:r>
              <w:rPr>
                <w:rFonts w:hint="eastAsia" w:ascii="宋体" w:hAnsi="宋体" w:cs="宋体"/>
                <w:color w:val="auto"/>
                <w:kern w:val="0"/>
                <w:szCs w:val="21"/>
                <w:lang w:val="en-US" w:eastAsia="zh-CN"/>
              </w:rPr>
              <w:t>2010年</w:t>
            </w:r>
          </w:p>
        </w:tc>
        <w:tc>
          <w:tcPr>
            <w:tcW w:w="1786" w:type="dxa"/>
            <w:tcBorders>
              <w:top w:val="single" w:color="auto" w:sz="4" w:space="0"/>
              <w:left w:val="nil"/>
              <w:bottom w:val="single" w:color="auto" w:sz="4" w:space="0"/>
              <w:right w:val="single" w:color="auto" w:sz="4" w:space="0"/>
            </w:tcBorders>
            <w:noWrap/>
            <w:vAlign w:val="center"/>
          </w:tcPr>
          <w:p>
            <w:pPr>
              <w:widowControl/>
              <w:jc w:val="center"/>
              <w:rPr>
                <w:rFonts w:hint="eastAsia" w:ascii="宋体" w:eastAsia="宋体" w:cs="宋体"/>
                <w:color w:val="auto"/>
                <w:kern w:val="0"/>
                <w:szCs w:val="21"/>
                <w:lang w:eastAsia="zh-CN"/>
              </w:rPr>
            </w:pPr>
            <w:r>
              <w:rPr>
                <w:rFonts w:hint="eastAsia" w:ascii="宋体" w:hAnsi="宋体" w:cs="宋体"/>
                <w:color w:val="auto"/>
                <w:kern w:val="0"/>
                <w:szCs w:val="21"/>
                <w:lang w:val="en-US" w:eastAsia="zh-CN"/>
              </w:rPr>
              <w:t>2010</w:t>
            </w:r>
            <w:r>
              <w:rPr>
                <w:rFonts w:hint="eastAsia" w:ascii="宋体" w:hAnsi="宋体" w:cs="宋体"/>
                <w:color w:val="auto"/>
                <w:kern w:val="0"/>
                <w:szCs w:val="21"/>
                <w:lang w:eastAsia="zh-CN"/>
              </w:rPr>
              <w:t>年</w:t>
            </w:r>
          </w:p>
        </w:tc>
        <w:tc>
          <w:tcPr>
            <w:tcW w:w="1909" w:type="dxa"/>
            <w:tcBorders>
              <w:top w:val="single" w:color="auto" w:sz="4" w:space="0"/>
              <w:left w:val="nil"/>
              <w:bottom w:val="single" w:color="auto" w:sz="4" w:space="0"/>
              <w:right w:val="single" w:color="auto" w:sz="4" w:space="0"/>
            </w:tcBorders>
            <w:noWrap/>
            <w:vAlign w:val="center"/>
          </w:tcPr>
          <w:p>
            <w:pPr>
              <w:widowControl/>
              <w:jc w:val="center"/>
              <w:rPr>
                <w:color w:val="auto"/>
              </w:rPr>
            </w:pPr>
            <w:r>
              <w:rPr>
                <w:rFonts w:hint="eastAsia" w:asciiTheme="minorEastAsia" w:hAnsiTheme="minorEastAsia" w:eastAsiaTheme="minorEastAsia" w:cstheme="minorEastAsia"/>
                <w:color w:val="auto"/>
                <w:kern w:val="0"/>
                <w:sz w:val="21"/>
                <w:szCs w:val="21"/>
                <w:lang w:val="en-US" w:eastAsia="zh-CN"/>
              </w:rPr>
              <w:t>2010年</w:t>
            </w:r>
          </w:p>
        </w:tc>
        <w:tc>
          <w:tcPr>
            <w:tcW w:w="1773" w:type="dxa"/>
            <w:tcBorders>
              <w:top w:val="single" w:color="auto" w:sz="4" w:space="0"/>
              <w:left w:val="nil"/>
              <w:bottom w:val="single" w:color="auto" w:sz="4" w:space="0"/>
              <w:right w:val="single" w:color="auto" w:sz="4" w:space="0"/>
            </w:tcBorders>
            <w:noWrap/>
            <w:vAlign w:val="center"/>
          </w:tcPr>
          <w:p>
            <w:pPr>
              <w:widowControl/>
              <w:jc w:val="center"/>
              <w:rPr>
                <w:rFonts w:ascii="宋体" w:cs="宋体"/>
                <w:color w:val="auto"/>
                <w:kern w:val="0"/>
                <w:szCs w:val="21"/>
              </w:rPr>
            </w:pPr>
            <w:r>
              <w:rPr>
                <w:rFonts w:hint="eastAsia" w:asciiTheme="minorEastAsia" w:hAnsiTheme="minorEastAsia" w:eastAsiaTheme="minorEastAsia" w:cstheme="minorEastAsia"/>
                <w:color w:val="auto"/>
                <w:kern w:val="0"/>
                <w:sz w:val="21"/>
                <w:szCs w:val="21"/>
                <w:lang w:val="en-US" w:eastAsia="zh-CN"/>
              </w:rPr>
              <w:t>2011</w:t>
            </w:r>
            <w:r>
              <w:rPr>
                <w:rFonts w:hint="eastAsia" w:asciiTheme="minorEastAsia" w:hAnsiTheme="minorEastAsia" w:eastAsiaTheme="minorEastAsia" w:cstheme="minorEastAsia"/>
                <w:color w:val="auto"/>
                <w:kern w:val="0"/>
                <w:sz w:val="21"/>
                <w:szCs w:val="21"/>
                <w:lang w:eastAsia="zh-CN"/>
              </w:rPr>
              <w:t>年</w:t>
            </w:r>
          </w:p>
        </w:tc>
      </w:tr>
      <w:tr>
        <w:tblPrEx>
          <w:tblCellMar>
            <w:top w:w="0" w:type="dxa"/>
            <w:left w:w="108" w:type="dxa"/>
            <w:bottom w:w="0" w:type="dxa"/>
            <w:right w:w="108" w:type="dxa"/>
          </w:tblCellMar>
        </w:tblPrEx>
        <w:trPr>
          <w:trHeight w:val="352" w:hRule="atLeast"/>
        </w:trPr>
        <w:tc>
          <w:tcPr>
            <w:tcW w:w="619" w:type="dxa"/>
            <w:vMerge w:val="restart"/>
            <w:tcBorders>
              <w:top w:val="single" w:color="auto" w:sz="4" w:space="0"/>
              <w:left w:val="single" w:color="auto" w:sz="4" w:space="0"/>
              <w:bottom w:val="single" w:color="000000" w:sz="4" w:space="0"/>
              <w:right w:val="single" w:color="auto" w:sz="4" w:space="0"/>
            </w:tcBorders>
            <w:vAlign w:val="center"/>
          </w:tcPr>
          <w:p>
            <w:pPr>
              <w:jc w:val="center"/>
              <w:rPr>
                <w:rFonts w:ascii="宋体" w:hAnsi="宋体" w:cs="宋体"/>
                <w:color w:val="auto"/>
                <w:kern w:val="0"/>
                <w:szCs w:val="21"/>
              </w:rPr>
            </w:pPr>
            <w:r>
              <w:rPr>
                <w:rFonts w:hint="eastAsia" w:ascii="宋体" w:hAnsi="宋体" w:cs="宋体"/>
                <w:color w:val="auto"/>
                <w:kern w:val="0"/>
                <w:szCs w:val="21"/>
                <w:lang w:val="en-US" w:eastAsia="zh-CN"/>
              </w:rPr>
              <w:t xml:space="preserve"> </w:t>
            </w:r>
            <w:r>
              <w:rPr>
                <w:rFonts w:hint="eastAsia" w:ascii="宋体" w:hAnsi="宋体" w:cs="宋体"/>
                <w:color w:val="auto"/>
                <w:kern w:val="0"/>
                <w:szCs w:val="21"/>
              </w:rPr>
              <w:t>权</w:t>
            </w:r>
            <w:r>
              <w:rPr>
                <w:rFonts w:ascii="宋体" w:hAnsi="宋体" w:cs="宋体"/>
                <w:color w:val="auto"/>
                <w:kern w:val="0"/>
                <w:szCs w:val="21"/>
              </w:rPr>
              <w:t xml:space="preserve">  </w:t>
            </w:r>
          </w:p>
          <w:p>
            <w:pPr>
              <w:jc w:val="center"/>
              <w:rPr>
                <w:rFonts w:ascii="宋体" w:hAnsi="宋体" w:cs="宋体"/>
                <w:color w:val="auto"/>
                <w:kern w:val="0"/>
                <w:szCs w:val="21"/>
              </w:rPr>
            </w:pPr>
            <w:r>
              <w:rPr>
                <w:rFonts w:ascii="宋体" w:hAnsi="宋体" w:cs="宋体"/>
                <w:color w:val="auto"/>
                <w:kern w:val="0"/>
                <w:szCs w:val="21"/>
              </w:rPr>
              <w:t xml:space="preserve"> </w:t>
            </w:r>
            <w:r>
              <w:rPr>
                <w:rFonts w:hint="eastAsia" w:ascii="宋体" w:hAnsi="宋体" w:cs="宋体"/>
                <w:color w:val="auto"/>
                <w:kern w:val="0"/>
                <w:szCs w:val="21"/>
              </w:rPr>
              <w:t>益</w:t>
            </w:r>
            <w:r>
              <w:rPr>
                <w:rFonts w:ascii="宋体" w:hAnsi="宋体" w:cs="宋体"/>
                <w:color w:val="auto"/>
                <w:kern w:val="0"/>
                <w:szCs w:val="21"/>
              </w:rPr>
              <w:t xml:space="preserve"> </w:t>
            </w:r>
          </w:p>
          <w:p>
            <w:pPr>
              <w:jc w:val="center"/>
              <w:rPr>
                <w:rFonts w:hint="eastAsia" w:ascii="宋体" w:hAnsi="宋体" w:cs="宋体"/>
                <w:color w:val="auto"/>
                <w:kern w:val="0"/>
                <w:szCs w:val="21"/>
              </w:rPr>
            </w:pPr>
            <w:r>
              <w:rPr>
                <w:rFonts w:ascii="宋体" w:hAnsi="宋体" w:cs="宋体"/>
                <w:color w:val="auto"/>
                <w:kern w:val="0"/>
                <w:szCs w:val="21"/>
              </w:rPr>
              <w:t xml:space="preserve"> </w:t>
            </w:r>
            <w:r>
              <w:rPr>
                <w:rFonts w:hint="eastAsia" w:ascii="宋体" w:hAnsi="宋体" w:cs="宋体"/>
                <w:color w:val="auto"/>
                <w:kern w:val="0"/>
                <w:szCs w:val="21"/>
              </w:rPr>
              <w:t>状</w:t>
            </w:r>
          </w:p>
          <w:p>
            <w:pPr>
              <w:jc w:val="center"/>
              <w:rPr>
                <w:rFonts w:ascii="宋体" w:cs="宋体"/>
                <w:color w:val="auto"/>
                <w:kern w:val="0"/>
                <w:szCs w:val="21"/>
              </w:rPr>
            </w:pPr>
            <w:r>
              <w:rPr>
                <w:rFonts w:ascii="宋体" w:hAnsi="宋体" w:cs="宋体"/>
                <w:color w:val="auto"/>
                <w:kern w:val="0"/>
                <w:szCs w:val="21"/>
              </w:rPr>
              <w:t xml:space="preserve"> </w:t>
            </w:r>
            <w:r>
              <w:rPr>
                <w:rFonts w:hint="eastAsia" w:ascii="宋体" w:hAnsi="宋体" w:cs="宋体"/>
                <w:color w:val="auto"/>
                <w:kern w:val="0"/>
                <w:szCs w:val="21"/>
              </w:rPr>
              <w:t>况</w:t>
            </w:r>
          </w:p>
        </w:tc>
        <w:tc>
          <w:tcPr>
            <w:tcW w:w="1586" w:type="dxa"/>
            <w:tcBorders>
              <w:top w:val="single" w:color="auto" w:sz="4" w:space="0"/>
              <w:left w:val="nil"/>
              <w:bottom w:val="single" w:color="auto" w:sz="4" w:space="0"/>
              <w:right w:val="single" w:color="auto" w:sz="4" w:space="0"/>
            </w:tcBorders>
            <w:noWrap/>
            <w:vAlign w:val="center"/>
          </w:tcPr>
          <w:p>
            <w:pPr>
              <w:widowControl/>
              <w:jc w:val="center"/>
              <w:rPr>
                <w:rFonts w:ascii="宋体" w:cs="宋体"/>
                <w:color w:val="auto"/>
                <w:kern w:val="0"/>
                <w:szCs w:val="21"/>
              </w:rPr>
            </w:pPr>
            <w:r>
              <w:rPr>
                <w:rFonts w:hint="eastAsia" w:ascii="宋体" w:hAnsi="宋体" w:cs="宋体"/>
                <w:color w:val="auto"/>
                <w:kern w:val="0"/>
                <w:szCs w:val="21"/>
              </w:rPr>
              <w:t>用途</w:t>
            </w:r>
          </w:p>
        </w:tc>
        <w:tc>
          <w:tcPr>
            <w:tcW w:w="1786" w:type="dxa"/>
            <w:tcBorders>
              <w:top w:val="single" w:color="auto" w:sz="4" w:space="0"/>
              <w:left w:val="nil"/>
              <w:bottom w:val="single" w:color="auto" w:sz="4" w:space="0"/>
              <w:right w:val="single" w:color="auto" w:sz="4" w:space="0"/>
            </w:tcBorders>
            <w:vAlign w:val="center"/>
          </w:tcPr>
          <w:p>
            <w:pPr>
              <w:widowControl/>
              <w:jc w:val="center"/>
              <w:rPr>
                <w:rFonts w:ascii="宋体" w:cs="宋体"/>
                <w:color w:val="auto"/>
                <w:kern w:val="0"/>
                <w:szCs w:val="21"/>
              </w:rPr>
            </w:pPr>
            <w:r>
              <w:rPr>
                <w:rFonts w:hint="eastAsia" w:ascii="宋体" w:hAnsi="宋体" w:cs="宋体"/>
                <w:color w:val="auto"/>
                <w:kern w:val="0"/>
                <w:szCs w:val="21"/>
              </w:rPr>
              <w:t>住宅</w:t>
            </w:r>
          </w:p>
        </w:tc>
        <w:tc>
          <w:tcPr>
            <w:tcW w:w="1786" w:type="dxa"/>
            <w:tcBorders>
              <w:top w:val="single" w:color="auto" w:sz="4" w:space="0"/>
              <w:left w:val="nil"/>
              <w:bottom w:val="single" w:color="auto" w:sz="4" w:space="0"/>
              <w:right w:val="single" w:color="auto" w:sz="4" w:space="0"/>
            </w:tcBorders>
            <w:vAlign w:val="center"/>
          </w:tcPr>
          <w:p>
            <w:pPr>
              <w:widowControl/>
              <w:jc w:val="center"/>
              <w:rPr>
                <w:rFonts w:ascii="宋体" w:cs="宋体"/>
                <w:color w:val="auto"/>
                <w:kern w:val="0"/>
                <w:szCs w:val="21"/>
              </w:rPr>
            </w:pPr>
            <w:r>
              <w:rPr>
                <w:rFonts w:hint="eastAsia" w:ascii="宋体" w:hAnsi="宋体" w:cs="宋体"/>
                <w:color w:val="auto"/>
                <w:kern w:val="0"/>
                <w:szCs w:val="21"/>
              </w:rPr>
              <w:t>住宅</w:t>
            </w:r>
          </w:p>
        </w:tc>
        <w:tc>
          <w:tcPr>
            <w:tcW w:w="1909" w:type="dxa"/>
            <w:tcBorders>
              <w:top w:val="single" w:color="auto" w:sz="4" w:space="0"/>
              <w:left w:val="nil"/>
              <w:bottom w:val="single" w:color="auto" w:sz="4" w:space="0"/>
              <w:right w:val="single" w:color="auto" w:sz="4" w:space="0"/>
            </w:tcBorders>
            <w:vAlign w:val="center"/>
          </w:tcPr>
          <w:p>
            <w:pPr>
              <w:widowControl/>
              <w:jc w:val="center"/>
              <w:rPr>
                <w:color w:val="auto"/>
              </w:rPr>
            </w:pPr>
            <w:r>
              <w:rPr>
                <w:rFonts w:hint="eastAsia" w:asciiTheme="minorEastAsia" w:hAnsiTheme="minorEastAsia" w:eastAsiaTheme="minorEastAsia" w:cstheme="minorEastAsia"/>
                <w:color w:val="auto"/>
                <w:kern w:val="0"/>
                <w:sz w:val="21"/>
                <w:szCs w:val="21"/>
              </w:rPr>
              <w:t>住宅</w:t>
            </w:r>
          </w:p>
        </w:tc>
        <w:tc>
          <w:tcPr>
            <w:tcW w:w="1773" w:type="dxa"/>
            <w:tcBorders>
              <w:top w:val="single" w:color="auto" w:sz="4" w:space="0"/>
              <w:left w:val="nil"/>
              <w:bottom w:val="single" w:color="auto" w:sz="4" w:space="0"/>
              <w:right w:val="single" w:color="auto" w:sz="4" w:space="0"/>
            </w:tcBorders>
            <w:vAlign w:val="center"/>
          </w:tcPr>
          <w:p>
            <w:pPr>
              <w:widowControl/>
              <w:jc w:val="center"/>
              <w:rPr>
                <w:rFonts w:ascii="宋体" w:cs="宋体"/>
                <w:color w:val="auto"/>
                <w:kern w:val="0"/>
                <w:szCs w:val="21"/>
              </w:rPr>
            </w:pPr>
            <w:r>
              <w:rPr>
                <w:rFonts w:hint="eastAsia" w:asciiTheme="minorEastAsia" w:hAnsiTheme="minorEastAsia" w:eastAsiaTheme="minorEastAsia" w:cstheme="minorEastAsia"/>
                <w:color w:val="auto"/>
                <w:kern w:val="0"/>
                <w:sz w:val="21"/>
                <w:szCs w:val="21"/>
              </w:rPr>
              <w:t>住宅</w:t>
            </w:r>
          </w:p>
        </w:tc>
      </w:tr>
      <w:tr>
        <w:tblPrEx>
          <w:tblCellMar>
            <w:top w:w="0" w:type="dxa"/>
            <w:left w:w="108" w:type="dxa"/>
            <w:bottom w:w="0" w:type="dxa"/>
            <w:right w:w="108" w:type="dxa"/>
          </w:tblCellMar>
        </w:tblPrEx>
        <w:trPr>
          <w:trHeight w:val="397" w:hRule="atLeast"/>
        </w:trPr>
        <w:tc>
          <w:tcPr>
            <w:tcW w:w="619"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宋体" w:cs="宋体"/>
                <w:color w:val="auto"/>
                <w:kern w:val="0"/>
                <w:szCs w:val="21"/>
              </w:rPr>
            </w:pPr>
          </w:p>
        </w:tc>
        <w:tc>
          <w:tcPr>
            <w:tcW w:w="1586" w:type="dxa"/>
            <w:tcBorders>
              <w:top w:val="single" w:color="auto" w:sz="4" w:space="0"/>
              <w:left w:val="nil"/>
              <w:bottom w:val="single" w:color="auto" w:sz="4" w:space="0"/>
              <w:right w:val="single" w:color="auto" w:sz="4" w:space="0"/>
            </w:tcBorders>
            <w:noWrap/>
            <w:vAlign w:val="center"/>
          </w:tcPr>
          <w:p>
            <w:pPr>
              <w:widowControl/>
              <w:jc w:val="center"/>
              <w:rPr>
                <w:rFonts w:ascii="宋体" w:cs="宋体"/>
                <w:color w:val="auto"/>
                <w:kern w:val="0"/>
                <w:szCs w:val="21"/>
              </w:rPr>
            </w:pPr>
            <w:r>
              <w:rPr>
                <w:rFonts w:hint="eastAsia" w:ascii="宋体" w:hAnsi="宋体" w:cs="宋体"/>
                <w:color w:val="auto"/>
                <w:kern w:val="0"/>
                <w:szCs w:val="21"/>
              </w:rPr>
              <w:t>规划条件</w:t>
            </w:r>
          </w:p>
        </w:tc>
        <w:tc>
          <w:tcPr>
            <w:tcW w:w="1786" w:type="dxa"/>
            <w:tcBorders>
              <w:top w:val="single" w:color="auto" w:sz="4" w:space="0"/>
              <w:left w:val="nil"/>
              <w:bottom w:val="single" w:color="auto" w:sz="4" w:space="0"/>
              <w:right w:val="single" w:color="auto" w:sz="4" w:space="0"/>
            </w:tcBorders>
            <w:vAlign w:val="center"/>
          </w:tcPr>
          <w:p>
            <w:pPr>
              <w:widowControl/>
              <w:jc w:val="center"/>
              <w:rPr>
                <w:rFonts w:ascii="宋体" w:cs="宋体"/>
                <w:color w:val="auto"/>
                <w:kern w:val="0"/>
                <w:sz w:val="18"/>
                <w:szCs w:val="18"/>
              </w:rPr>
            </w:pPr>
            <w:r>
              <w:rPr>
                <w:rFonts w:hint="eastAsia" w:ascii="宋体" w:hAnsi="宋体" w:cs="宋体"/>
                <w:color w:val="auto"/>
                <w:kern w:val="0"/>
                <w:sz w:val="18"/>
                <w:szCs w:val="18"/>
              </w:rPr>
              <w:t>按照规划条件建设</w:t>
            </w:r>
          </w:p>
        </w:tc>
        <w:tc>
          <w:tcPr>
            <w:tcW w:w="1786" w:type="dxa"/>
            <w:tcBorders>
              <w:top w:val="single" w:color="auto" w:sz="4" w:space="0"/>
              <w:left w:val="nil"/>
              <w:bottom w:val="single" w:color="auto" w:sz="4" w:space="0"/>
              <w:right w:val="single" w:color="auto" w:sz="4" w:space="0"/>
            </w:tcBorders>
            <w:vAlign w:val="center"/>
          </w:tcPr>
          <w:p>
            <w:pPr>
              <w:widowControl/>
              <w:jc w:val="center"/>
              <w:rPr>
                <w:rFonts w:ascii="宋体" w:cs="宋体"/>
                <w:color w:val="auto"/>
                <w:kern w:val="0"/>
                <w:sz w:val="18"/>
                <w:szCs w:val="18"/>
              </w:rPr>
            </w:pPr>
            <w:r>
              <w:rPr>
                <w:rFonts w:hint="eastAsia" w:ascii="宋体" w:hAnsi="宋体" w:cs="宋体"/>
                <w:color w:val="auto"/>
                <w:kern w:val="0"/>
                <w:sz w:val="18"/>
                <w:szCs w:val="18"/>
              </w:rPr>
              <w:t>按照规划条件建设</w:t>
            </w:r>
          </w:p>
        </w:tc>
        <w:tc>
          <w:tcPr>
            <w:tcW w:w="1909" w:type="dxa"/>
            <w:tcBorders>
              <w:top w:val="single" w:color="auto" w:sz="4" w:space="0"/>
              <w:left w:val="nil"/>
              <w:bottom w:val="single" w:color="auto" w:sz="4" w:space="0"/>
              <w:right w:val="single" w:color="auto" w:sz="4" w:space="0"/>
            </w:tcBorders>
            <w:vAlign w:val="center"/>
          </w:tcPr>
          <w:p>
            <w:pPr>
              <w:widowControl/>
              <w:jc w:val="center"/>
              <w:rPr>
                <w:color w:val="auto"/>
                <w:sz w:val="18"/>
                <w:szCs w:val="18"/>
              </w:rPr>
            </w:pPr>
            <w:r>
              <w:rPr>
                <w:rFonts w:hint="eastAsia" w:asciiTheme="minorEastAsia" w:hAnsiTheme="minorEastAsia" w:eastAsiaTheme="minorEastAsia" w:cstheme="minorEastAsia"/>
                <w:color w:val="auto"/>
                <w:kern w:val="0"/>
                <w:sz w:val="18"/>
                <w:szCs w:val="18"/>
              </w:rPr>
              <w:t>按照规划条件建设</w:t>
            </w:r>
          </w:p>
        </w:tc>
        <w:tc>
          <w:tcPr>
            <w:tcW w:w="1773" w:type="dxa"/>
            <w:tcBorders>
              <w:top w:val="single" w:color="auto" w:sz="4" w:space="0"/>
              <w:left w:val="nil"/>
              <w:bottom w:val="single" w:color="auto" w:sz="4" w:space="0"/>
              <w:right w:val="single" w:color="auto" w:sz="4" w:space="0"/>
            </w:tcBorders>
            <w:vAlign w:val="center"/>
          </w:tcPr>
          <w:p>
            <w:pPr>
              <w:widowControl/>
              <w:jc w:val="center"/>
              <w:rPr>
                <w:rFonts w:ascii="宋体" w:cs="宋体"/>
                <w:color w:val="auto"/>
                <w:kern w:val="0"/>
                <w:sz w:val="18"/>
                <w:szCs w:val="18"/>
              </w:rPr>
            </w:pPr>
            <w:r>
              <w:rPr>
                <w:rFonts w:hint="eastAsia" w:asciiTheme="minorEastAsia" w:hAnsiTheme="minorEastAsia" w:eastAsiaTheme="minorEastAsia" w:cstheme="minorEastAsia"/>
                <w:color w:val="auto"/>
                <w:kern w:val="0"/>
                <w:sz w:val="18"/>
                <w:szCs w:val="18"/>
              </w:rPr>
              <w:t>按照规划条件建设</w:t>
            </w:r>
          </w:p>
        </w:tc>
      </w:tr>
      <w:tr>
        <w:tblPrEx>
          <w:tblCellMar>
            <w:top w:w="0" w:type="dxa"/>
            <w:left w:w="108" w:type="dxa"/>
            <w:bottom w:w="0" w:type="dxa"/>
            <w:right w:w="108" w:type="dxa"/>
          </w:tblCellMar>
        </w:tblPrEx>
        <w:trPr>
          <w:trHeight w:val="397" w:hRule="atLeast"/>
        </w:trPr>
        <w:tc>
          <w:tcPr>
            <w:tcW w:w="619"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宋体" w:cs="宋体"/>
                <w:color w:val="auto"/>
                <w:kern w:val="0"/>
                <w:szCs w:val="21"/>
              </w:rPr>
            </w:pPr>
          </w:p>
        </w:tc>
        <w:tc>
          <w:tcPr>
            <w:tcW w:w="1586" w:type="dxa"/>
            <w:tcBorders>
              <w:top w:val="single" w:color="auto" w:sz="4" w:space="0"/>
              <w:left w:val="nil"/>
              <w:bottom w:val="single" w:color="auto" w:sz="4" w:space="0"/>
              <w:right w:val="single" w:color="auto" w:sz="4" w:space="0"/>
            </w:tcBorders>
            <w:vAlign w:val="center"/>
          </w:tcPr>
          <w:p>
            <w:pPr>
              <w:widowControl/>
              <w:jc w:val="center"/>
              <w:rPr>
                <w:rFonts w:ascii="宋体" w:cs="宋体"/>
                <w:color w:val="auto"/>
                <w:spacing w:val="-16"/>
                <w:kern w:val="0"/>
                <w:szCs w:val="21"/>
              </w:rPr>
            </w:pPr>
            <w:r>
              <w:rPr>
                <w:rFonts w:hint="eastAsia" w:ascii="宋体" w:hAnsi="宋体" w:cs="宋体"/>
                <w:color w:val="auto"/>
                <w:spacing w:val="-16"/>
                <w:kern w:val="0"/>
                <w:szCs w:val="21"/>
              </w:rPr>
              <w:t>土地使用权类型</w:t>
            </w:r>
          </w:p>
        </w:tc>
        <w:tc>
          <w:tcPr>
            <w:tcW w:w="1786" w:type="dxa"/>
            <w:tcBorders>
              <w:top w:val="single" w:color="auto" w:sz="4" w:space="0"/>
              <w:left w:val="nil"/>
              <w:bottom w:val="single" w:color="auto" w:sz="4" w:space="0"/>
              <w:right w:val="single" w:color="auto" w:sz="4" w:space="0"/>
            </w:tcBorders>
            <w:vAlign w:val="center"/>
          </w:tcPr>
          <w:p>
            <w:pPr>
              <w:widowControl/>
              <w:jc w:val="center"/>
              <w:rPr>
                <w:rFonts w:ascii="宋体" w:cs="宋体"/>
                <w:color w:val="auto"/>
                <w:kern w:val="0"/>
                <w:szCs w:val="21"/>
              </w:rPr>
            </w:pPr>
            <w:r>
              <w:rPr>
                <w:rFonts w:hint="eastAsia" w:ascii="宋体" w:hAnsi="宋体" w:cs="宋体"/>
                <w:color w:val="auto"/>
                <w:kern w:val="0"/>
                <w:szCs w:val="21"/>
              </w:rPr>
              <w:t>出让</w:t>
            </w:r>
          </w:p>
        </w:tc>
        <w:tc>
          <w:tcPr>
            <w:tcW w:w="1786" w:type="dxa"/>
            <w:tcBorders>
              <w:top w:val="single" w:color="auto" w:sz="4" w:space="0"/>
              <w:left w:val="nil"/>
              <w:bottom w:val="single" w:color="auto" w:sz="4" w:space="0"/>
              <w:right w:val="single" w:color="auto" w:sz="4" w:space="0"/>
            </w:tcBorders>
            <w:vAlign w:val="center"/>
          </w:tcPr>
          <w:p>
            <w:pPr>
              <w:widowControl/>
              <w:jc w:val="center"/>
              <w:rPr>
                <w:rFonts w:ascii="宋体" w:cs="宋体"/>
                <w:color w:val="auto"/>
                <w:kern w:val="0"/>
                <w:szCs w:val="21"/>
              </w:rPr>
            </w:pPr>
            <w:r>
              <w:rPr>
                <w:rFonts w:hint="eastAsia" w:ascii="宋体" w:hAnsi="宋体" w:cs="宋体"/>
                <w:color w:val="auto"/>
                <w:kern w:val="0"/>
                <w:szCs w:val="21"/>
              </w:rPr>
              <w:t>出让</w:t>
            </w:r>
          </w:p>
        </w:tc>
        <w:tc>
          <w:tcPr>
            <w:tcW w:w="1909" w:type="dxa"/>
            <w:tcBorders>
              <w:top w:val="single" w:color="auto" w:sz="4" w:space="0"/>
              <w:left w:val="nil"/>
              <w:bottom w:val="single" w:color="auto" w:sz="4" w:space="0"/>
              <w:right w:val="single" w:color="auto" w:sz="4" w:space="0"/>
            </w:tcBorders>
            <w:vAlign w:val="center"/>
          </w:tcPr>
          <w:p>
            <w:pPr>
              <w:widowControl/>
              <w:jc w:val="center"/>
              <w:rPr>
                <w:color w:val="auto"/>
              </w:rPr>
            </w:pPr>
            <w:r>
              <w:rPr>
                <w:rFonts w:hint="eastAsia" w:asciiTheme="minorEastAsia" w:hAnsiTheme="minorEastAsia" w:eastAsiaTheme="minorEastAsia" w:cstheme="minorEastAsia"/>
                <w:color w:val="auto"/>
                <w:kern w:val="0"/>
                <w:sz w:val="21"/>
                <w:szCs w:val="21"/>
              </w:rPr>
              <w:t>出让</w:t>
            </w:r>
          </w:p>
        </w:tc>
        <w:tc>
          <w:tcPr>
            <w:tcW w:w="1773" w:type="dxa"/>
            <w:tcBorders>
              <w:top w:val="single" w:color="auto" w:sz="4" w:space="0"/>
              <w:left w:val="nil"/>
              <w:bottom w:val="single" w:color="auto" w:sz="4" w:space="0"/>
              <w:right w:val="single" w:color="auto" w:sz="4" w:space="0"/>
            </w:tcBorders>
            <w:vAlign w:val="center"/>
          </w:tcPr>
          <w:p>
            <w:pPr>
              <w:widowControl/>
              <w:jc w:val="center"/>
              <w:rPr>
                <w:rFonts w:ascii="宋体" w:cs="宋体"/>
                <w:color w:val="auto"/>
                <w:kern w:val="0"/>
                <w:szCs w:val="21"/>
              </w:rPr>
            </w:pPr>
            <w:r>
              <w:rPr>
                <w:rFonts w:hint="eastAsia" w:asciiTheme="minorEastAsia" w:hAnsiTheme="minorEastAsia" w:eastAsiaTheme="minorEastAsia" w:cstheme="minorEastAsia"/>
                <w:color w:val="auto"/>
                <w:kern w:val="0"/>
                <w:sz w:val="21"/>
                <w:szCs w:val="21"/>
              </w:rPr>
              <w:t>出让</w:t>
            </w:r>
          </w:p>
        </w:tc>
      </w:tr>
      <w:tr>
        <w:tblPrEx>
          <w:tblCellMar>
            <w:top w:w="0" w:type="dxa"/>
            <w:left w:w="108" w:type="dxa"/>
            <w:bottom w:w="0" w:type="dxa"/>
            <w:right w:w="108" w:type="dxa"/>
          </w:tblCellMar>
        </w:tblPrEx>
        <w:trPr>
          <w:trHeight w:val="397" w:hRule="atLeast"/>
        </w:trPr>
        <w:tc>
          <w:tcPr>
            <w:tcW w:w="619"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宋体" w:cs="宋体"/>
                <w:color w:val="auto"/>
                <w:kern w:val="0"/>
                <w:szCs w:val="21"/>
              </w:rPr>
            </w:pPr>
          </w:p>
        </w:tc>
        <w:tc>
          <w:tcPr>
            <w:tcW w:w="1586" w:type="dxa"/>
            <w:tcBorders>
              <w:top w:val="single" w:color="auto" w:sz="4" w:space="0"/>
              <w:left w:val="nil"/>
              <w:bottom w:val="single" w:color="auto" w:sz="4" w:space="0"/>
              <w:right w:val="single" w:color="auto" w:sz="4" w:space="0"/>
            </w:tcBorders>
            <w:vAlign w:val="center"/>
          </w:tcPr>
          <w:p>
            <w:pPr>
              <w:widowControl/>
              <w:jc w:val="center"/>
              <w:rPr>
                <w:rFonts w:ascii="宋体" w:cs="宋体"/>
                <w:color w:val="auto"/>
                <w:kern w:val="0"/>
                <w:szCs w:val="21"/>
              </w:rPr>
            </w:pPr>
            <w:r>
              <w:rPr>
                <w:rFonts w:hint="eastAsia" w:ascii="宋体" w:hAnsi="宋体" w:cs="宋体"/>
                <w:color w:val="auto"/>
                <w:kern w:val="0"/>
                <w:szCs w:val="21"/>
              </w:rPr>
              <w:t>权属清晰情况</w:t>
            </w:r>
          </w:p>
        </w:tc>
        <w:tc>
          <w:tcPr>
            <w:tcW w:w="1786" w:type="dxa"/>
            <w:tcBorders>
              <w:top w:val="single" w:color="auto" w:sz="4" w:space="0"/>
              <w:left w:val="nil"/>
              <w:bottom w:val="single" w:color="auto" w:sz="4" w:space="0"/>
              <w:right w:val="single" w:color="auto" w:sz="4" w:space="0"/>
            </w:tcBorders>
            <w:noWrap/>
            <w:vAlign w:val="center"/>
          </w:tcPr>
          <w:p>
            <w:pPr>
              <w:widowControl/>
              <w:jc w:val="center"/>
              <w:rPr>
                <w:rFonts w:ascii="宋体" w:cs="宋体"/>
                <w:color w:val="auto"/>
                <w:kern w:val="0"/>
                <w:szCs w:val="21"/>
              </w:rPr>
            </w:pPr>
            <w:r>
              <w:rPr>
                <w:rFonts w:hint="eastAsia" w:ascii="宋体" w:hAnsi="宋体" w:cs="宋体"/>
                <w:color w:val="auto"/>
                <w:kern w:val="0"/>
                <w:szCs w:val="21"/>
              </w:rPr>
              <w:t>权属清晰</w:t>
            </w:r>
          </w:p>
        </w:tc>
        <w:tc>
          <w:tcPr>
            <w:tcW w:w="1786" w:type="dxa"/>
            <w:tcBorders>
              <w:top w:val="single" w:color="auto" w:sz="4" w:space="0"/>
              <w:left w:val="nil"/>
              <w:bottom w:val="single" w:color="auto" w:sz="4" w:space="0"/>
              <w:right w:val="single" w:color="auto" w:sz="4" w:space="0"/>
            </w:tcBorders>
            <w:noWrap/>
            <w:vAlign w:val="center"/>
          </w:tcPr>
          <w:p>
            <w:pPr>
              <w:widowControl/>
              <w:jc w:val="center"/>
              <w:rPr>
                <w:rFonts w:ascii="宋体" w:cs="宋体"/>
                <w:color w:val="auto"/>
                <w:kern w:val="0"/>
                <w:szCs w:val="21"/>
              </w:rPr>
            </w:pPr>
            <w:r>
              <w:rPr>
                <w:rFonts w:hint="eastAsia" w:ascii="宋体" w:hAnsi="宋体" w:cs="宋体"/>
                <w:color w:val="auto"/>
                <w:kern w:val="0"/>
                <w:szCs w:val="21"/>
              </w:rPr>
              <w:t>权属清晰</w:t>
            </w:r>
          </w:p>
        </w:tc>
        <w:tc>
          <w:tcPr>
            <w:tcW w:w="1909" w:type="dxa"/>
            <w:tcBorders>
              <w:top w:val="single" w:color="auto" w:sz="4" w:space="0"/>
              <w:left w:val="nil"/>
              <w:bottom w:val="single" w:color="auto" w:sz="4" w:space="0"/>
              <w:right w:val="single" w:color="auto" w:sz="4" w:space="0"/>
            </w:tcBorders>
            <w:noWrap/>
            <w:vAlign w:val="center"/>
          </w:tcPr>
          <w:p>
            <w:pPr>
              <w:widowControl/>
              <w:jc w:val="center"/>
              <w:rPr>
                <w:color w:val="auto"/>
              </w:rPr>
            </w:pPr>
            <w:r>
              <w:rPr>
                <w:rFonts w:hint="eastAsia" w:asciiTheme="minorEastAsia" w:hAnsiTheme="minorEastAsia" w:eastAsiaTheme="minorEastAsia" w:cstheme="minorEastAsia"/>
                <w:color w:val="auto"/>
                <w:kern w:val="0"/>
                <w:sz w:val="21"/>
                <w:szCs w:val="21"/>
              </w:rPr>
              <w:t>权属清晰</w:t>
            </w:r>
          </w:p>
        </w:tc>
        <w:tc>
          <w:tcPr>
            <w:tcW w:w="1773" w:type="dxa"/>
            <w:tcBorders>
              <w:top w:val="single" w:color="auto" w:sz="4" w:space="0"/>
              <w:left w:val="nil"/>
              <w:bottom w:val="single" w:color="auto" w:sz="4" w:space="0"/>
              <w:right w:val="single" w:color="auto" w:sz="4" w:space="0"/>
            </w:tcBorders>
            <w:noWrap/>
            <w:vAlign w:val="center"/>
          </w:tcPr>
          <w:p>
            <w:pPr>
              <w:widowControl/>
              <w:jc w:val="center"/>
              <w:rPr>
                <w:rFonts w:ascii="宋体" w:cs="宋体"/>
                <w:color w:val="auto"/>
                <w:kern w:val="0"/>
                <w:szCs w:val="21"/>
              </w:rPr>
            </w:pPr>
            <w:r>
              <w:rPr>
                <w:rFonts w:hint="eastAsia" w:asciiTheme="minorEastAsia" w:hAnsiTheme="minorEastAsia" w:eastAsiaTheme="minorEastAsia" w:cstheme="minorEastAsia"/>
                <w:color w:val="auto"/>
                <w:kern w:val="0"/>
                <w:sz w:val="21"/>
                <w:szCs w:val="21"/>
              </w:rPr>
              <w:t>权属清晰</w:t>
            </w:r>
          </w:p>
        </w:tc>
      </w:tr>
      <w:tr>
        <w:tblPrEx>
          <w:tblCellMar>
            <w:top w:w="0" w:type="dxa"/>
            <w:left w:w="108" w:type="dxa"/>
            <w:bottom w:w="0" w:type="dxa"/>
            <w:right w:w="108" w:type="dxa"/>
          </w:tblCellMar>
        </w:tblPrEx>
        <w:trPr>
          <w:trHeight w:val="346" w:hRule="atLeast"/>
        </w:trPr>
        <w:tc>
          <w:tcPr>
            <w:tcW w:w="619"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宋体" w:cs="宋体"/>
                <w:color w:val="auto"/>
                <w:kern w:val="0"/>
                <w:szCs w:val="21"/>
              </w:rPr>
            </w:pPr>
          </w:p>
        </w:tc>
        <w:tc>
          <w:tcPr>
            <w:tcW w:w="1586" w:type="dxa"/>
            <w:tcBorders>
              <w:top w:val="single" w:color="auto" w:sz="4" w:space="0"/>
              <w:left w:val="nil"/>
              <w:bottom w:val="single" w:color="auto" w:sz="4" w:space="0"/>
              <w:right w:val="single" w:color="auto" w:sz="4" w:space="0"/>
            </w:tcBorders>
            <w:vAlign w:val="center"/>
          </w:tcPr>
          <w:p>
            <w:pPr>
              <w:widowControl/>
              <w:ind w:left="-84" w:leftChars="-40" w:right="-71" w:rightChars="-34" w:firstLine="72" w:firstLineChars="40"/>
              <w:jc w:val="center"/>
              <w:rPr>
                <w:rFonts w:ascii="宋体" w:cs="宋体"/>
                <w:color w:val="auto"/>
                <w:spacing w:val="-30"/>
                <w:kern w:val="0"/>
                <w:sz w:val="18"/>
                <w:szCs w:val="18"/>
              </w:rPr>
            </w:pPr>
            <w:r>
              <w:rPr>
                <w:rFonts w:hint="eastAsia" w:ascii="宋体" w:hAnsi="宋体" w:cs="宋体"/>
                <w:color w:val="auto"/>
                <w:kern w:val="0"/>
                <w:sz w:val="18"/>
                <w:szCs w:val="18"/>
              </w:rPr>
              <w:t>租赁或占有情况</w:t>
            </w:r>
          </w:p>
        </w:tc>
        <w:tc>
          <w:tcPr>
            <w:tcW w:w="1786" w:type="dxa"/>
            <w:tcBorders>
              <w:top w:val="single" w:color="auto" w:sz="4" w:space="0"/>
              <w:left w:val="nil"/>
              <w:bottom w:val="single" w:color="auto" w:sz="4" w:space="0"/>
              <w:right w:val="single" w:color="auto" w:sz="4" w:space="0"/>
            </w:tcBorders>
            <w:vAlign w:val="center"/>
          </w:tcPr>
          <w:p>
            <w:pPr>
              <w:widowControl/>
              <w:jc w:val="center"/>
              <w:rPr>
                <w:rFonts w:ascii="宋体" w:cs="宋体"/>
                <w:color w:val="auto"/>
                <w:kern w:val="0"/>
                <w:szCs w:val="21"/>
              </w:rPr>
            </w:pPr>
            <w:r>
              <w:rPr>
                <w:rFonts w:hint="eastAsia" w:ascii="宋体" w:hAnsi="宋体" w:cs="宋体"/>
                <w:color w:val="auto"/>
                <w:kern w:val="0"/>
                <w:szCs w:val="21"/>
              </w:rPr>
              <w:t>无</w:t>
            </w:r>
          </w:p>
        </w:tc>
        <w:tc>
          <w:tcPr>
            <w:tcW w:w="1786" w:type="dxa"/>
            <w:tcBorders>
              <w:top w:val="single" w:color="auto" w:sz="4" w:space="0"/>
              <w:left w:val="nil"/>
              <w:bottom w:val="single" w:color="auto" w:sz="4" w:space="0"/>
              <w:right w:val="single" w:color="auto" w:sz="4" w:space="0"/>
            </w:tcBorders>
            <w:vAlign w:val="center"/>
          </w:tcPr>
          <w:p>
            <w:pPr>
              <w:widowControl/>
              <w:jc w:val="center"/>
              <w:rPr>
                <w:rFonts w:ascii="宋体" w:cs="宋体"/>
                <w:color w:val="auto"/>
                <w:kern w:val="0"/>
                <w:szCs w:val="21"/>
              </w:rPr>
            </w:pPr>
            <w:r>
              <w:rPr>
                <w:rFonts w:hint="eastAsia" w:ascii="宋体" w:hAnsi="宋体" w:cs="宋体"/>
                <w:color w:val="auto"/>
                <w:kern w:val="0"/>
                <w:szCs w:val="21"/>
              </w:rPr>
              <w:t>无</w:t>
            </w:r>
          </w:p>
        </w:tc>
        <w:tc>
          <w:tcPr>
            <w:tcW w:w="1909" w:type="dxa"/>
            <w:tcBorders>
              <w:top w:val="single" w:color="auto" w:sz="4" w:space="0"/>
              <w:left w:val="nil"/>
              <w:bottom w:val="single" w:color="auto" w:sz="4" w:space="0"/>
              <w:right w:val="single" w:color="auto" w:sz="4" w:space="0"/>
            </w:tcBorders>
            <w:vAlign w:val="center"/>
          </w:tcPr>
          <w:p>
            <w:pPr>
              <w:widowControl/>
              <w:jc w:val="center"/>
              <w:rPr>
                <w:color w:val="auto"/>
              </w:rPr>
            </w:pPr>
            <w:r>
              <w:rPr>
                <w:rFonts w:hint="eastAsia" w:asciiTheme="minorEastAsia" w:hAnsiTheme="minorEastAsia" w:eastAsiaTheme="minorEastAsia" w:cstheme="minorEastAsia"/>
                <w:color w:val="auto"/>
                <w:kern w:val="0"/>
                <w:sz w:val="21"/>
                <w:szCs w:val="21"/>
              </w:rPr>
              <w:t>无</w:t>
            </w:r>
          </w:p>
        </w:tc>
        <w:tc>
          <w:tcPr>
            <w:tcW w:w="1773" w:type="dxa"/>
            <w:tcBorders>
              <w:top w:val="single" w:color="auto" w:sz="4" w:space="0"/>
              <w:left w:val="nil"/>
              <w:bottom w:val="single" w:color="auto" w:sz="4" w:space="0"/>
              <w:right w:val="single" w:color="auto" w:sz="4" w:space="0"/>
            </w:tcBorders>
            <w:vAlign w:val="center"/>
          </w:tcPr>
          <w:p>
            <w:pPr>
              <w:widowControl/>
              <w:jc w:val="center"/>
              <w:rPr>
                <w:rFonts w:ascii="宋体" w:cs="宋体"/>
                <w:color w:val="auto"/>
                <w:kern w:val="0"/>
                <w:szCs w:val="21"/>
              </w:rPr>
            </w:pPr>
            <w:r>
              <w:rPr>
                <w:rFonts w:hint="eastAsia" w:asciiTheme="minorEastAsia" w:hAnsiTheme="minorEastAsia" w:eastAsiaTheme="minorEastAsia" w:cstheme="minorEastAsia"/>
                <w:color w:val="auto"/>
                <w:kern w:val="0"/>
                <w:sz w:val="21"/>
                <w:szCs w:val="21"/>
              </w:rPr>
              <w:t>无</w:t>
            </w:r>
          </w:p>
        </w:tc>
      </w:tr>
      <w:tr>
        <w:tblPrEx>
          <w:tblCellMar>
            <w:top w:w="0" w:type="dxa"/>
            <w:left w:w="108" w:type="dxa"/>
            <w:bottom w:w="0" w:type="dxa"/>
            <w:right w:w="108" w:type="dxa"/>
          </w:tblCellMar>
        </w:tblPrEx>
        <w:trPr>
          <w:trHeight w:val="329" w:hRule="atLeast"/>
        </w:trPr>
        <w:tc>
          <w:tcPr>
            <w:tcW w:w="619"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宋体" w:cs="宋体"/>
                <w:color w:val="auto"/>
                <w:kern w:val="0"/>
                <w:szCs w:val="21"/>
              </w:rPr>
            </w:pPr>
          </w:p>
        </w:tc>
        <w:tc>
          <w:tcPr>
            <w:tcW w:w="1586" w:type="dxa"/>
            <w:tcBorders>
              <w:top w:val="single" w:color="auto" w:sz="4" w:space="0"/>
              <w:left w:val="nil"/>
              <w:bottom w:val="single" w:color="auto" w:sz="4" w:space="0"/>
              <w:right w:val="single" w:color="auto" w:sz="4" w:space="0"/>
            </w:tcBorders>
            <w:vAlign w:val="center"/>
          </w:tcPr>
          <w:p>
            <w:pPr>
              <w:widowControl/>
              <w:ind w:right="-71" w:rightChars="-34"/>
              <w:rPr>
                <w:rFonts w:ascii="宋体" w:cs="宋体"/>
                <w:color w:val="auto"/>
                <w:kern w:val="0"/>
                <w:sz w:val="18"/>
                <w:szCs w:val="18"/>
              </w:rPr>
            </w:pPr>
            <w:r>
              <w:rPr>
                <w:rFonts w:hint="eastAsia" w:ascii="宋体" w:hAnsi="宋体" w:cs="宋体"/>
                <w:color w:val="auto"/>
                <w:kern w:val="0"/>
                <w:sz w:val="18"/>
                <w:szCs w:val="18"/>
              </w:rPr>
              <w:t>其他权利限制情况</w:t>
            </w:r>
          </w:p>
        </w:tc>
        <w:tc>
          <w:tcPr>
            <w:tcW w:w="1786" w:type="dxa"/>
            <w:tcBorders>
              <w:top w:val="single" w:color="auto" w:sz="4" w:space="0"/>
              <w:left w:val="nil"/>
              <w:bottom w:val="single" w:color="auto" w:sz="4" w:space="0"/>
              <w:right w:val="single" w:color="auto" w:sz="4" w:space="0"/>
            </w:tcBorders>
            <w:vAlign w:val="center"/>
          </w:tcPr>
          <w:p>
            <w:pPr>
              <w:widowControl/>
              <w:jc w:val="center"/>
              <w:rPr>
                <w:rFonts w:ascii="宋体" w:cs="宋体"/>
                <w:color w:val="auto"/>
                <w:kern w:val="0"/>
                <w:szCs w:val="21"/>
              </w:rPr>
            </w:pPr>
            <w:r>
              <w:rPr>
                <w:rFonts w:hint="eastAsia" w:ascii="宋体" w:hAnsi="宋体" w:cs="宋体"/>
                <w:color w:val="auto"/>
                <w:kern w:val="0"/>
                <w:szCs w:val="21"/>
              </w:rPr>
              <w:t>无</w:t>
            </w:r>
          </w:p>
        </w:tc>
        <w:tc>
          <w:tcPr>
            <w:tcW w:w="1786" w:type="dxa"/>
            <w:tcBorders>
              <w:top w:val="single" w:color="auto" w:sz="4" w:space="0"/>
              <w:left w:val="nil"/>
              <w:bottom w:val="single" w:color="auto" w:sz="4" w:space="0"/>
              <w:right w:val="single" w:color="auto" w:sz="4" w:space="0"/>
            </w:tcBorders>
            <w:vAlign w:val="center"/>
          </w:tcPr>
          <w:p>
            <w:pPr>
              <w:widowControl/>
              <w:jc w:val="center"/>
              <w:rPr>
                <w:rFonts w:ascii="宋体" w:cs="宋体"/>
                <w:color w:val="auto"/>
                <w:kern w:val="0"/>
                <w:szCs w:val="21"/>
              </w:rPr>
            </w:pPr>
            <w:r>
              <w:rPr>
                <w:rFonts w:hint="eastAsia" w:ascii="宋体" w:hAnsi="宋体" w:cs="宋体"/>
                <w:color w:val="auto"/>
                <w:kern w:val="0"/>
                <w:szCs w:val="21"/>
              </w:rPr>
              <w:t>无</w:t>
            </w:r>
          </w:p>
        </w:tc>
        <w:tc>
          <w:tcPr>
            <w:tcW w:w="1909" w:type="dxa"/>
            <w:tcBorders>
              <w:top w:val="single" w:color="auto" w:sz="4" w:space="0"/>
              <w:left w:val="nil"/>
              <w:bottom w:val="single" w:color="auto" w:sz="4" w:space="0"/>
              <w:right w:val="single" w:color="auto" w:sz="4" w:space="0"/>
            </w:tcBorders>
            <w:vAlign w:val="center"/>
          </w:tcPr>
          <w:p>
            <w:pPr>
              <w:widowControl/>
              <w:jc w:val="center"/>
              <w:rPr>
                <w:color w:val="auto"/>
              </w:rPr>
            </w:pPr>
            <w:r>
              <w:rPr>
                <w:rFonts w:hint="eastAsia" w:asciiTheme="minorEastAsia" w:hAnsiTheme="minorEastAsia" w:eastAsiaTheme="minorEastAsia" w:cstheme="minorEastAsia"/>
                <w:color w:val="auto"/>
                <w:kern w:val="0"/>
                <w:sz w:val="21"/>
                <w:szCs w:val="21"/>
              </w:rPr>
              <w:t>无</w:t>
            </w:r>
          </w:p>
        </w:tc>
        <w:tc>
          <w:tcPr>
            <w:tcW w:w="1773" w:type="dxa"/>
            <w:tcBorders>
              <w:top w:val="single" w:color="auto" w:sz="4" w:space="0"/>
              <w:left w:val="nil"/>
              <w:bottom w:val="single" w:color="auto" w:sz="4" w:space="0"/>
              <w:right w:val="single" w:color="auto" w:sz="4" w:space="0"/>
            </w:tcBorders>
            <w:vAlign w:val="center"/>
          </w:tcPr>
          <w:p>
            <w:pPr>
              <w:widowControl/>
              <w:jc w:val="center"/>
              <w:rPr>
                <w:rFonts w:ascii="宋体" w:cs="宋体"/>
                <w:color w:val="auto"/>
                <w:kern w:val="0"/>
                <w:szCs w:val="21"/>
              </w:rPr>
            </w:pPr>
            <w:r>
              <w:rPr>
                <w:rFonts w:hint="eastAsia" w:asciiTheme="minorEastAsia" w:hAnsiTheme="minorEastAsia" w:eastAsiaTheme="minorEastAsia" w:cstheme="minorEastAsia"/>
                <w:color w:val="auto"/>
                <w:kern w:val="0"/>
                <w:sz w:val="21"/>
                <w:szCs w:val="21"/>
              </w:rPr>
              <w:t>无</w:t>
            </w:r>
          </w:p>
        </w:tc>
      </w:tr>
    </w:tbl>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cs="宋体-18030"/>
          <w:b/>
          <w:color w:val="auto"/>
          <w:sz w:val="28"/>
          <w:szCs w:val="28"/>
        </w:rPr>
      </w:pPr>
      <w:r>
        <w:rPr>
          <w:rFonts w:hint="eastAsia" w:ascii="宋体" w:hAnsi="宋体" w:cs="宋体-18030"/>
          <w:b/>
          <w:color w:val="auto"/>
          <w:sz w:val="28"/>
          <w:szCs w:val="28"/>
        </w:rPr>
        <w:t>表一</w:t>
      </w:r>
      <w:r>
        <w:rPr>
          <w:rFonts w:ascii="宋体" w:hAnsi="宋体" w:cs="宋体-18030"/>
          <w:b/>
          <w:color w:val="auto"/>
          <w:sz w:val="28"/>
          <w:szCs w:val="28"/>
        </w:rPr>
        <w:t xml:space="preserve">  </w:t>
      </w:r>
      <w:r>
        <w:rPr>
          <w:rFonts w:hint="eastAsia" w:ascii="宋体" w:hAnsi="宋体" w:cs="宋体-18030"/>
          <w:b/>
          <w:color w:val="auto"/>
          <w:sz w:val="28"/>
          <w:szCs w:val="28"/>
        </w:rPr>
        <w:t>估价对象与可比实例基本状况表</w:t>
      </w:r>
    </w:p>
    <w:p>
      <w:pPr>
        <w:spacing w:line="480" w:lineRule="exact"/>
        <w:ind w:firstLine="680" w:firstLineChars="200"/>
        <w:rPr>
          <w:rFonts w:hint="eastAsia" w:ascii="宋体" w:hAnsi="宋体"/>
          <w:spacing w:val="30"/>
          <w:sz w:val="28"/>
          <w:szCs w:val="28"/>
        </w:rPr>
      </w:pPr>
      <w:bookmarkStart w:id="48" w:name="_Toc16331_WPSOffice_Level1"/>
      <w:r>
        <w:rPr>
          <w:rFonts w:hint="eastAsia" w:ascii="宋体" w:hAnsi="宋体"/>
          <w:spacing w:val="30"/>
          <w:sz w:val="28"/>
          <w:szCs w:val="28"/>
          <w:lang w:val="en-US" w:eastAsia="zh-CN"/>
        </w:rPr>
        <w:t>3</w:t>
      </w:r>
      <w:r>
        <w:rPr>
          <w:rFonts w:hint="eastAsia" w:ascii="宋体" w:hAnsi="宋体"/>
          <w:spacing w:val="30"/>
          <w:sz w:val="28"/>
          <w:szCs w:val="28"/>
        </w:rPr>
        <w:t>、建立因素比较修正系数表</w:t>
      </w:r>
    </w:p>
    <w:p>
      <w:pPr>
        <w:spacing w:line="560" w:lineRule="exact"/>
        <w:ind w:firstLine="560" w:firstLineChars="200"/>
        <w:rPr>
          <w:rFonts w:hint="eastAsia" w:ascii="宋体" w:hAnsi="宋体" w:eastAsia="宋体" w:cs="Times New Roman"/>
          <w:color w:val="auto"/>
          <w:kern w:val="2"/>
          <w:sz w:val="28"/>
          <w:szCs w:val="28"/>
          <w:lang w:val="en-US" w:eastAsia="zh-CN" w:bidi="ar-SA"/>
        </w:rPr>
      </w:pPr>
      <w:r>
        <w:rPr>
          <w:rFonts w:hint="eastAsia" w:ascii="宋体" w:hAnsi="宋体" w:eastAsia="宋体" w:cs="Times New Roman"/>
          <w:color w:val="auto"/>
          <w:kern w:val="2"/>
          <w:sz w:val="28"/>
          <w:szCs w:val="28"/>
          <w:lang w:val="en-US" w:eastAsia="zh-CN" w:bidi="ar-SA"/>
        </w:rPr>
        <w:t>根据目前房地产市场情况，按照用途一致、交易正常、价格接近、区域特征和个别条件相近等比较实例选择原则，选取和估价对象处于同一区域内的交易实例进行比较，建立“因素比较修正系数表”见表二</w:t>
      </w:r>
    </w:p>
    <w:p>
      <w:pPr>
        <w:spacing w:line="480" w:lineRule="exact"/>
        <w:ind w:firstLine="2530" w:firstLineChars="900"/>
        <w:rPr>
          <w:rFonts w:hint="eastAsia" w:ascii="宋体" w:hAnsi="宋体"/>
          <w:spacing w:val="30"/>
          <w:sz w:val="28"/>
          <w:szCs w:val="28"/>
          <w:lang w:eastAsia="zh-CN"/>
        </w:rPr>
      </w:pPr>
      <w:r>
        <w:rPr>
          <w:rFonts w:hint="eastAsia" w:ascii="宋体" w:hAnsi="宋体" w:cs="宋体-18030"/>
          <w:b/>
          <w:color w:val="auto"/>
          <w:sz w:val="28"/>
          <w:szCs w:val="28"/>
          <w:lang w:eastAsia="zh-CN"/>
        </w:rPr>
        <w:t>表二</w:t>
      </w:r>
      <w:r>
        <w:rPr>
          <w:rFonts w:hint="eastAsia" w:ascii="宋体" w:hAnsi="宋体" w:cs="宋体-18030"/>
          <w:b/>
          <w:color w:val="auto"/>
          <w:sz w:val="28"/>
          <w:szCs w:val="28"/>
          <w:lang w:val="en-US" w:eastAsia="zh-CN"/>
        </w:rPr>
        <w:t xml:space="preserve">      </w:t>
      </w:r>
      <w:r>
        <w:rPr>
          <w:rFonts w:hint="eastAsia" w:ascii="宋体" w:hAnsi="宋体" w:cs="宋体-18030"/>
          <w:b/>
          <w:color w:val="auto"/>
          <w:sz w:val="28"/>
          <w:szCs w:val="28"/>
        </w:rPr>
        <w:t>因素比较修正系数表</w:t>
      </w:r>
    </w:p>
    <w:tbl>
      <w:tblPr>
        <w:tblStyle w:val="24"/>
        <w:tblW w:w="8960" w:type="dxa"/>
        <w:tblInd w:w="13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6"/>
        <w:gridCol w:w="2894"/>
        <w:gridCol w:w="1723"/>
        <w:gridCol w:w="1762"/>
        <w:gridCol w:w="18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trPr>
        <w:tc>
          <w:tcPr>
            <w:tcW w:w="756" w:type="dxa"/>
            <w:vMerge w:val="restart"/>
            <w:tcBorders>
              <w:top w:val="single" w:color="auto" w:sz="4" w:space="0"/>
              <w:left w:val="single" w:color="auto" w:sz="4" w:space="0"/>
              <w:bottom w:val="single" w:color="auto" w:sz="4" w:space="0"/>
              <w:right w:val="single" w:color="auto" w:sz="4" w:space="0"/>
            </w:tcBorders>
            <w:noWrap w:val="0"/>
            <w:vAlign w:val="top"/>
          </w:tcPr>
          <w:p>
            <w:pPr>
              <w:spacing w:line="440" w:lineRule="exact"/>
              <w:ind w:firstLine="140" w:firstLineChars="50"/>
              <w:rPr>
                <w:sz w:val="28"/>
                <w:szCs w:val="28"/>
              </w:rPr>
            </w:pPr>
            <w:r>
              <w:rPr>
                <w:rFonts w:hint="eastAsia" w:ascii="宋体" w:hAnsi="宋体"/>
                <w:sz w:val="28"/>
                <w:szCs w:val="28"/>
              </w:rPr>
              <w:t>实</w:t>
            </w:r>
          </w:p>
          <w:p>
            <w:pPr>
              <w:spacing w:line="440" w:lineRule="exact"/>
              <w:jc w:val="center"/>
              <w:rPr>
                <w:sz w:val="28"/>
                <w:szCs w:val="28"/>
              </w:rPr>
            </w:pPr>
            <w:r>
              <w:rPr>
                <w:rFonts w:hint="eastAsia" w:ascii="宋体" w:hAnsi="宋体"/>
                <w:sz w:val="28"/>
                <w:szCs w:val="28"/>
              </w:rPr>
              <w:t>例</w:t>
            </w:r>
          </w:p>
          <w:p>
            <w:pPr>
              <w:spacing w:line="440" w:lineRule="exact"/>
              <w:jc w:val="center"/>
              <w:rPr>
                <w:sz w:val="28"/>
                <w:szCs w:val="28"/>
              </w:rPr>
            </w:pPr>
            <w:r>
              <w:rPr>
                <w:rFonts w:hint="eastAsia" w:ascii="宋体" w:hAnsi="宋体"/>
                <w:sz w:val="28"/>
                <w:szCs w:val="28"/>
              </w:rPr>
              <w:t>基</w:t>
            </w:r>
          </w:p>
          <w:p>
            <w:pPr>
              <w:spacing w:line="440" w:lineRule="exact"/>
              <w:jc w:val="center"/>
              <w:rPr>
                <w:sz w:val="28"/>
                <w:szCs w:val="28"/>
              </w:rPr>
            </w:pPr>
            <w:r>
              <w:rPr>
                <w:rFonts w:hint="eastAsia" w:ascii="宋体" w:hAnsi="宋体"/>
                <w:sz w:val="28"/>
                <w:szCs w:val="28"/>
              </w:rPr>
              <w:t>本</w:t>
            </w:r>
          </w:p>
          <w:p>
            <w:pPr>
              <w:spacing w:line="440" w:lineRule="exact"/>
              <w:jc w:val="center"/>
              <w:rPr>
                <w:sz w:val="28"/>
                <w:szCs w:val="28"/>
              </w:rPr>
            </w:pPr>
            <w:r>
              <w:rPr>
                <w:rFonts w:hint="eastAsia" w:ascii="宋体" w:hAnsi="宋体"/>
                <w:sz w:val="28"/>
                <w:szCs w:val="28"/>
              </w:rPr>
              <w:t>情</w:t>
            </w:r>
          </w:p>
          <w:p>
            <w:pPr>
              <w:spacing w:line="440" w:lineRule="exact"/>
              <w:jc w:val="center"/>
              <w:rPr>
                <w:sz w:val="28"/>
                <w:szCs w:val="28"/>
              </w:rPr>
            </w:pPr>
            <w:r>
              <w:rPr>
                <w:rFonts w:hint="eastAsia" w:ascii="宋体" w:hAnsi="宋体"/>
                <w:sz w:val="28"/>
                <w:szCs w:val="28"/>
              </w:rPr>
              <w:t>况</w:t>
            </w:r>
          </w:p>
        </w:tc>
        <w:tc>
          <w:tcPr>
            <w:tcW w:w="2894" w:type="dxa"/>
            <w:tcBorders>
              <w:top w:val="single" w:color="auto" w:sz="4" w:space="0"/>
              <w:left w:val="nil"/>
              <w:bottom w:val="single" w:color="auto" w:sz="4" w:space="0"/>
              <w:right w:val="single" w:color="auto" w:sz="4" w:space="0"/>
            </w:tcBorders>
            <w:noWrap w:val="0"/>
            <w:vAlign w:val="top"/>
          </w:tcPr>
          <w:p>
            <w:pPr>
              <w:spacing w:line="440" w:lineRule="exact"/>
              <w:jc w:val="left"/>
              <w:rPr>
                <w:sz w:val="28"/>
                <w:szCs w:val="28"/>
              </w:rPr>
            </w:pPr>
            <w:r>
              <w:rPr>
                <w:rFonts w:hint="eastAsia" w:ascii="宋体" w:hAnsi="宋体"/>
                <w:sz w:val="28"/>
                <w:szCs w:val="28"/>
              </w:rPr>
              <w:t>地理位置</w:t>
            </w:r>
          </w:p>
        </w:tc>
        <w:tc>
          <w:tcPr>
            <w:tcW w:w="1723" w:type="dxa"/>
            <w:tcBorders>
              <w:top w:val="single" w:color="auto" w:sz="4" w:space="0"/>
              <w:left w:val="nil"/>
              <w:bottom w:val="single" w:color="auto" w:sz="4" w:space="0"/>
              <w:right w:val="single" w:color="auto" w:sz="4" w:space="0"/>
            </w:tcBorders>
            <w:noWrap w:val="0"/>
            <w:vAlign w:val="top"/>
          </w:tcPr>
          <w:p>
            <w:pPr>
              <w:spacing w:line="440" w:lineRule="exact"/>
              <w:rPr>
                <w:rFonts w:hint="eastAsia" w:ascii="宋体" w:hAnsi="宋体" w:eastAsia="宋体"/>
                <w:sz w:val="28"/>
                <w:szCs w:val="28"/>
                <w:lang w:eastAsia="zh-CN"/>
              </w:rPr>
            </w:pPr>
            <w:r>
              <w:rPr>
                <w:rFonts w:hint="eastAsia" w:ascii="宋体" w:hAnsi="宋体"/>
                <w:sz w:val="28"/>
                <w:szCs w:val="28"/>
                <w:lang w:eastAsia="zh-CN"/>
              </w:rPr>
              <w:t>福中园</w:t>
            </w:r>
          </w:p>
        </w:tc>
        <w:tc>
          <w:tcPr>
            <w:tcW w:w="1762" w:type="dxa"/>
            <w:tcBorders>
              <w:top w:val="single" w:color="auto" w:sz="4" w:space="0"/>
              <w:left w:val="nil"/>
              <w:bottom w:val="single" w:color="auto" w:sz="4" w:space="0"/>
              <w:right w:val="single" w:color="auto" w:sz="4" w:space="0"/>
            </w:tcBorders>
            <w:noWrap w:val="0"/>
            <w:vAlign w:val="top"/>
          </w:tcPr>
          <w:p>
            <w:pPr>
              <w:spacing w:line="440" w:lineRule="exact"/>
              <w:rPr>
                <w:rFonts w:hint="eastAsia" w:ascii="宋体" w:hAnsi="宋体" w:eastAsia="宋体"/>
                <w:sz w:val="28"/>
                <w:szCs w:val="28"/>
                <w:lang w:eastAsia="zh-CN"/>
              </w:rPr>
            </w:pPr>
            <w:r>
              <w:rPr>
                <w:rFonts w:hint="eastAsia" w:ascii="宋体" w:hAnsi="宋体"/>
                <w:sz w:val="28"/>
                <w:szCs w:val="28"/>
                <w:lang w:eastAsia="zh-CN"/>
              </w:rPr>
              <w:t>福中园</w:t>
            </w:r>
          </w:p>
        </w:tc>
        <w:tc>
          <w:tcPr>
            <w:tcW w:w="1825" w:type="dxa"/>
            <w:tcBorders>
              <w:top w:val="single" w:color="auto" w:sz="4" w:space="0"/>
              <w:left w:val="nil"/>
              <w:bottom w:val="single" w:color="auto" w:sz="4" w:space="0"/>
              <w:right w:val="single" w:color="auto" w:sz="4" w:space="0"/>
            </w:tcBorders>
            <w:noWrap w:val="0"/>
            <w:vAlign w:val="top"/>
          </w:tcPr>
          <w:p>
            <w:pPr>
              <w:spacing w:line="440" w:lineRule="exact"/>
              <w:rPr>
                <w:rFonts w:hint="eastAsia" w:ascii="宋体" w:hAnsi="宋体" w:eastAsia="宋体"/>
                <w:sz w:val="28"/>
                <w:szCs w:val="28"/>
                <w:lang w:eastAsia="zh-CN"/>
              </w:rPr>
            </w:pPr>
            <w:r>
              <w:rPr>
                <w:rFonts w:hint="eastAsia" w:ascii="宋体" w:hAnsi="宋体"/>
                <w:sz w:val="28"/>
                <w:szCs w:val="28"/>
                <w:lang w:eastAsia="zh-CN"/>
              </w:rPr>
              <w:t>温馨家园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trPr>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28"/>
                <w:szCs w:val="28"/>
              </w:rPr>
            </w:pPr>
          </w:p>
        </w:tc>
        <w:tc>
          <w:tcPr>
            <w:tcW w:w="2894" w:type="dxa"/>
            <w:tcBorders>
              <w:top w:val="single" w:color="auto" w:sz="4" w:space="0"/>
              <w:left w:val="nil"/>
              <w:bottom w:val="single" w:color="auto" w:sz="4" w:space="0"/>
              <w:right w:val="single" w:color="auto" w:sz="4" w:space="0"/>
            </w:tcBorders>
            <w:noWrap w:val="0"/>
            <w:vAlign w:val="top"/>
          </w:tcPr>
          <w:p>
            <w:pPr>
              <w:spacing w:line="440" w:lineRule="exact"/>
              <w:rPr>
                <w:sz w:val="28"/>
                <w:szCs w:val="28"/>
              </w:rPr>
            </w:pPr>
            <w:r>
              <w:rPr>
                <w:rFonts w:hint="eastAsia" w:ascii="宋体" w:hAnsi="宋体"/>
                <w:sz w:val="28"/>
                <w:szCs w:val="28"/>
              </w:rPr>
              <w:t>楼层</w:t>
            </w:r>
          </w:p>
        </w:tc>
        <w:tc>
          <w:tcPr>
            <w:tcW w:w="1723" w:type="dxa"/>
            <w:tcBorders>
              <w:top w:val="single" w:color="auto" w:sz="4" w:space="0"/>
              <w:left w:val="nil"/>
              <w:bottom w:val="single" w:color="auto" w:sz="4" w:space="0"/>
              <w:right w:val="single" w:color="auto" w:sz="4" w:space="0"/>
            </w:tcBorders>
            <w:noWrap w:val="0"/>
            <w:vAlign w:val="top"/>
          </w:tcPr>
          <w:p>
            <w:pPr>
              <w:spacing w:line="440" w:lineRule="exact"/>
              <w:rPr>
                <w:rFonts w:ascii="宋体" w:hAnsi="宋体"/>
                <w:sz w:val="28"/>
                <w:szCs w:val="28"/>
              </w:rPr>
            </w:pPr>
            <w:r>
              <w:rPr>
                <w:rFonts w:hint="eastAsia" w:ascii="宋体" w:hAnsi="宋体"/>
                <w:sz w:val="28"/>
                <w:szCs w:val="28"/>
                <w:lang w:eastAsia="zh-CN"/>
              </w:rPr>
              <w:t>四</w:t>
            </w:r>
            <w:r>
              <w:rPr>
                <w:rFonts w:hint="eastAsia" w:ascii="宋体" w:hAnsi="宋体"/>
                <w:sz w:val="28"/>
                <w:szCs w:val="28"/>
              </w:rPr>
              <w:t>层</w:t>
            </w:r>
          </w:p>
        </w:tc>
        <w:tc>
          <w:tcPr>
            <w:tcW w:w="1762" w:type="dxa"/>
            <w:tcBorders>
              <w:top w:val="single" w:color="auto" w:sz="4" w:space="0"/>
              <w:left w:val="nil"/>
              <w:bottom w:val="single" w:color="auto" w:sz="4" w:space="0"/>
              <w:right w:val="single" w:color="auto" w:sz="4" w:space="0"/>
            </w:tcBorders>
            <w:noWrap w:val="0"/>
            <w:vAlign w:val="top"/>
          </w:tcPr>
          <w:p>
            <w:pPr>
              <w:spacing w:line="440" w:lineRule="exact"/>
              <w:rPr>
                <w:rFonts w:ascii="宋体" w:hAnsi="宋体"/>
                <w:sz w:val="28"/>
                <w:szCs w:val="28"/>
              </w:rPr>
            </w:pPr>
            <w:r>
              <w:rPr>
                <w:rFonts w:hint="eastAsia" w:ascii="宋体" w:hAnsi="宋体"/>
                <w:sz w:val="28"/>
                <w:szCs w:val="28"/>
                <w:lang w:eastAsia="zh-CN"/>
              </w:rPr>
              <w:t>四</w:t>
            </w:r>
            <w:r>
              <w:rPr>
                <w:rFonts w:hint="eastAsia" w:ascii="宋体" w:hAnsi="宋体"/>
                <w:sz w:val="28"/>
                <w:szCs w:val="28"/>
              </w:rPr>
              <w:t>层</w:t>
            </w:r>
          </w:p>
        </w:tc>
        <w:tc>
          <w:tcPr>
            <w:tcW w:w="1825" w:type="dxa"/>
            <w:tcBorders>
              <w:top w:val="single" w:color="auto" w:sz="4" w:space="0"/>
              <w:left w:val="nil"/>
              <w:bottom w:val="single" w:color="auto" w:sz="4" w:space="0"/>
              <w:right w:val="single" w:color="auto" w:sz="4" w:space="0"/>
            </w:tcBorders>
            <w:noWrap w:val="0"/>
            <w:vAlign w:val="top"/>
          </w:tcPr>
          <w:p>
            <w:pPr>
              <w:spacing w:line="440" w:lineRule="exact"/>
              <w:rPr>
                <w:rFonts w:ascii="宋体" w:hAnsi="宋体"/>
                <w:sz w:val="28"/>
                <w:szCs w:val="28"/>
              </w:rPr>
            </w:pPr>
            <w:r>
              <w:rPr>
                <w:rFonts w:hint="eastAsia" w:ascii="宋体" w:hAnsi="宋体"/>
                <w:sz w:val="28"/>
                <w:szCs w:val="28"/>
                <w:lang w:eastAsia="zh-CN"/>
              </w:rPr>
              <w:t>四</w:t>
            </w:r>
            <w:r>
              <w:rPr>
                <w:rFonts w:hint="eastAsia" w:ascii="宋体" w:hAnsi="宋体"/>
                <w:sz w:val="28"/>
                <w:szCs w:val="28"/>
              </w:rPr>
              <w:t>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28"/>
                <w:szCs w:val="28"/>
              </w:rPr>
            </w:pPr>
          </w:p>
        </w:tc>
        <w:tc>
          <w:tcPr>
            <w:tcW w:w="2894" w:type="dxa"/>
            <w:tcBorders>
              <w:top w:val="single" w:color="auto" w:sz="4" w:space="0"/>
              <w:left w:val="nil"/>
              <w:bottom w:val="single" w:color="auto" w:sz="4" w:space="0"/>
              <w:right w:val="single" w:color="auto" w:sz="4" w:space="0"/>
            </w:tcBorders>
            <w:noWrap w:val="0"/>
            <w:vAlign w:val="top"/>
          </w:tcPr>
          <w:p>
            <w:pPr>
              <w:spacing w:line="440" w:lineRule="exact"/>
              <w:rPr>
                <w:sz w:val="28"/>
                <w:szCs w:val="28"/>
              </w:rPr>
            </w:pPr>
            <w:r>
              <w:rPr>
                <w:rFonts w:hint="eastAsia" w:ascii="宋体" w:hAnsi="宋体"/>
                <w:sz w:val="28"/>
                <w:szCs w:val="28"/>
              </w:rPr>
              <w:t>面积（㎡</w:t>
            </w:r>
            <w:r>
              <w:rPr>
                <w:sz w:val="28"/>
                <w:szCs w:val="28"/>
              </w:rPr>
              <w:t>)</w:t>
            </w:r>
          </w:p>
        </w:tc>
        <w:tc>
          <w:tcPr>
            <w:tcW w:w="1723" w:type="dxa"/>
            <w:tcBorders>
              <w:top w:val="single" w:color="auto" w:sz="4" w:space="0"/>
              <w:left w:val="nil"/>
              <w:bottom w:val="single" w:color="auto" w:sz="4" w:space="0"/>
              <w:right w:val="single" w:color="auto" w:sz="4" w:space="0"/>
            </w:tcBorders>
            <w:noWrap w:val="0"/>
            <w:vAlign w:val="top"/>
          </w:tcPr>
          <w:p>
            <w:pPr>
              <w:spacing w:line="440" w:lineRule="exact"/>
              <w:rPr>
                <w:rFonts w:hint="default" w:eastAsia="宋体"/>
                <w:sz w:val="28"/>
                <w:szCs w:val="28"/>
                <w:lang w:val="en-US" w:eastAsia="zh-CN"/>
              </w:rPr>
            </w:pPr>
            <w:r>
              <w:rPr>
                <w:rFonts w:hint="eastAsia" w:ascii="宋体" w:hAnsi="宋体"/>
                <w:sz w:val="28"/>
                <w:szCs w:val="28"/>
                <w:lang w:val="en-US" w:eastAsia="zh-CN"/>
              </w:rPr>
              <w:t>97</w:t>
            </w:r>
          </w:p>
        </w:tc>
        <w:tc>
          <w:tcPr>
            <w:tcW w:w="1762" w:type="dxa"/>
            <w:tcBorders>
              <w:top w:val="single" w:color="auto" w:sz="4" w:space="0"/>
              <w:left w:val="nil"/>
              <w:bottom w:val="single" w:color="auto" w:sz="4" w:space="0"/>
              <w:right w:val="single" w:color="auto" w:sz="4" w:space="0"/>
            </w:tcBorders>
            <w:noWrap w:val="0"/>
            <w:vAlign w:val="top"/>
          </w:tcPr>
          <w:p>
            <w:pPr>
              <w:spacing w:line="440" w:lineRule="exact"/>
              <w:rPr>
                <w:rFonts w:hint="default" w:eastAsia="宋体"/>
                <w:sz w:val="28"/>
                <w:szCs w:val="28"/>
                <w:lang w:val="en-US" w:eastAsia="zh-CN"/>
              </w:rPr>
            </w:pPr>
            <w:r>
              <w:rPr>
                <w:rFonts w:hint="eastAsia" w:ascii="宋体" w:hAnsi="宋体"/>
                <w:sz w:val="28"/>
                <w:szCs w:val="28"/>
                <w:lang w:val="en-US" w:eastAsia="zh-CN"/>
              </w:rPr>
              <w:t>95.82</w:t>
            </w:r>
          </w:p>
        </w:tc>
        <w:tc>
          <w:tcPr>
            <w:tcW w:w="1825" w:type="dxa"/>
            <w:tcBorders>
              <w:top w:val="single" w:color="auto" w:sz="4" w:space="0"/>
              <w:left w:val="nil"/>
              <w:bottom w:val="single" w:color="auto" w:sz="4" w:space="0"/>
              <w:right w:val="single" w:color="auto" w:sz="4" w:space="0"/>
            </w:tcBorders>
            <w:noWrap w:val="0"/>
            <w:vAlign w:val="top"/>
          </w:tcPr>
          <w:p>
            <w:pPr>
              <w:spacing w:line="440" w:lineRule="exact"/>
              <w:rPr>
                <w:rFonts w:hint="default" w:eastAsia="宋体"/>
                <w:sz w:val="28"/>
                <w:szCs w:val="28"/>
                <w:lang w:val="en-US" w:eastAsia="zh-CN"/>
              </w:rPr>
            </w:pPr>
            <w:r>
              <w:rPr>
                <w:rFonts w:hint="eastAsia" w:ascii="宋体" w:hAnsi="宋体"/>
                <w:sz w:val="28"/>
                <w:szCs w:val="28"/>
                <w:lang w:val="en-US" w:eastAsia="zh-CN"/>
              </w:rPr>
              <w:t>108.46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28"/>
                <w:szCs w:val="28"/>
              </w:rPr>
            </w:pPr>
          </w:p>
        </w:tc>
        <w:tc>
          <w:tcPr>
            <w:tcW w:w="2894" w:type="dxa"/>
            <w:tcBorders>
              <w:top w:val="single" w:color="auto" w:sz="4" w:space="0"/>
              <w:left w:val="nil"/>
              <w:bottom w:val="single" w:color="auto" w:sz="4" w:space="0"/>
              <w:right w:val="single" w:color="auto" w:sz="4" w:space="0"/>
            </w:tcBorders>
            <w:noWrap w:val="0"/>
            <w:vAlign w:val="top"/>
          </w:tcPr>
          <w:p>
            <w:pPr>
              <w:spacing w:line="440" w:lineRule="exact"/>
              <w:rPr>
                <w:sz w:val="28"/>
                <w:szCs w:val="28"/>
              </w:rPr>
            </w:pPr>
            <w:r>
              <w:rPr>
                <w:rFonts w:hint="eastAsia" w:ascii="宋体" w:hAnsi="宋体"/>
                <w:sz w:val="28"/>
                <w:szCs w:val="28"/>
              </w:rPr>
              <w:t>交易时间</w:t>
            </w:r>
          </w:p>
        </w:tc>
        <w:tc>
          <w:tcPr>
            <w:tcW w:w="1723" w:type="dxa"/>
            <w:tcBorders>
              <w:top w:val="single" w:color="auto" w:sz="4" w:space="0"/>
              <w:left w:val="nil"/>
              <w:bottom w:val="single" w:color="auto" w:sz="4" w:space="0"/>
              <w:right w:val="single" w:color="auto" w:sz="4" w:space="0"/>
            </w:tcBorders>
            <w:noWrap w:val="0"/>
            <w:vAlign w:val="top"/>
          </w:tcPr>
          <w:p>
            <w:pPr>
              <w:spacing w:line="440" w:lineRule="exact"/>
              <w:rPr>
                <w:rFonts w:hint="default" w:eastAsia="宋体"/>
                <w:sz w:val="28"/>
                <w:szCs w:val="28"/>
                <w:lang w:val="en-US" w:eastAsia="zh-CN"/>
              </w:rPr>
            </w:pPr>
            <w:r>
              <w:rPr>
                <w:rFonts w:hint="eastAsia" w:ascii="宋体" w:hAnsi="宋体"/>
                <w:sz w:val="28"/>
                <w:szCs w:val="28"/>
                <w:lang w:val="en-US" w:eastAsia="zh-CN"/>
              </w:rPr>
              <w:t>2020.3</w:t>
            </w:r>
          </w:p>
        </w:tc>
        <w:tc>
          <w:tcPr>
            <w:tcW w:w="1762" w:type="dxa"/>
            <w:tcBorders>
              <w:top w:val="single" w:color="auto" w:sz="4" w:space="0"/>
              <w:left w:val="nil"/>
              <w:bottom w:val="single" w:color="auto" w:sz="4" w:space="0"/>
              <w:right w:val="single" w:color="auto" w:sz="4" w:space="0"/>
            </w:tcBorders>
            <w:noWrap w:val="0"/>
            <w:vAlign w:val="top"/>
          </w:tcPr>
          <w:p>
            <w:pPr>
              <w:spacing w:line="440" w:lineRule="exact"/>
              <w:rPr>
                <w:rFonts w:hint="default" w:eastAsia="宋体"/>
                <w:sz w:val="28"/>
                <w:szCs w:val="28"/>
                <w:lang w:val="en-US" w:eastAsia="zh-CN"/>
              </w:rPr>
            </w:pPr>
            <w:r>
              <w:rPr>
                <w:rFonts w:hint="eastAsia" w:ascii="宋体" w:hAnsi="宋体"/>
                <w:sz w:val="28"/>
                <w:szCs w:val="28"/>
                <w:lang w:val="en-US" w:eastAsia="zh-CN"/>
              </w:rPr>
              <w:t>2020.3</w:t>
            </w:r>
          </w:p>
        </w:tc>
        <w:tc>
          <w:tcPr>
            <w:tcW w:w="1825" w:type="dxa"/>
            <w:tcBorders>
              <w:top w:val="single" w:color="auto" w:sz="4" w:space="0"/>
              <w:left w:val="nil"/>
              <w:bottom w:val="single" w:color="auto" w:sz="4" w:space="0"/>
              <w:right w:val="single" w:color="auto" w:sz="4" w:space="0"/>
            </w:tcBorders>
            <w:noWrap w:val="0"/>
            <w:vAlign w:val="top"/>
          </w:tcPr>
          <w:p>
            <w:pPr>
              <w:spacing w:line="440" w:lineRule="exact"/>
              <w:rPr>
                <w:rFonts w:hint="default" w:eastAsia="宋体"/>
                <w:sz w:val="28"/>
                <w:szCs w:val="28"/>
                <w:lang w:val="en-US" w:eastAsia="zh-CN"/>
              </w:rPr>
            </w:pPr>
            <w:r>
              <w:rPr>
                <w:rFonts w:hint="eastAsia" w:ascii="宋体" w:hAnsi="宋体"/>
                <w:sz w:val="28"/>
                <w:szCs w:val="28"/>
                <w:lang w:val="en-US" w:eastAsia="zh-CN"/>
              </w:rPr>
              <w:t>2020.3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trPr>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sz w:val="28"/>
                <w:szCs w:val="28"/>
              </w:rPr>
            </w:pPr>
          </w:p>
        </w:tc>
        <w:tc>
          <w:tcPr>
            <w:tcW w:w="2894" w:type="dxa"/>
            <w:tcBorders>
              <w:top w:val="single" w:color="auto" w:sz="4" w:space="0"/>
              <w:left w:val="nil"/>
              <w:bottom w:val="single" w:color="auto" w:sz="4" w:space="0"/>
              <w:right w:val="single" w:color="auto" w:sz="4" w:space="0"/>
            </w:tcBorders>
            <w:noWrap w:val="0"/>
            <w:vAlign w:val="top"/>
          </w:tcPr>
          <w:p>
            <w:pPr>
              <w:spacing w:line="440" w:lineRule="exact"/>
              <w:rPr>
                <w:sz w:val="28"/>
                <w:szCs w:val="28"/>
              </w:rPr>
            </w:pPr>
            <w:r>
              <w:rPr>
                <w:rFonts w:hint="eastAsia" w:ascii="宋体" w:hAnsi="宋体"/>
                <w:sz w:val="28"/>
                <w:szCs w:val="28"/>
              </w:rPr>
              <w:t>交易单价</w:t>
            </w:r>
          </w:p>
        </w:tc>
        <w:tc>
          <w:tcPr>
            <w:tcW w:w="1723" w:type="dxa"/>
            <w:tcBorders>
              <w:top w:val="single" w:color="auto" w:sz="4" w:space="0"/>
              <w:left w:val="nil"/>
              <w:bottom w:val="single" w:color="auto" w:sz="4" w:space="0"/>
              <w:right w:val="single" w:color="auto" w:sz="4" w:space="0"/>
            </w:tcBorders>
            <w:noWrap w:val="0"/>
            <w:vAlign w:val="top"/>
          </w:tcPr>
          <w:p>
            <w:pPr>
              <w:spacing w:line="440" w:lineRule="exact"/>
              <w:rPr>
                <w:rFonts w:hint="eastAsia" w:ascii="宋体" w:hAnsi="宋体"/>
                <w:sz w:val="28"/>
                <w:szCs w:val="28"/>
                <w:lang w:eastAsia="zh-CN"/>
              </w:rPr>
            </w:pPr>
            <w:r>
              <w:rPr>
                <w:rFonts w:hint="eastAsia" w:ascii="宋体" w:hAnsi="宋体"/>
                <w:sz w:val="28"/>
                <w:szCs w:val="28"/>
                <w:lang w:eastAsia="zh-CN"/>
              </w:rPr>
              <w:t>3882</w:t>
            </w:r>
          </w:p>
        </w:tc>
        <w:tc>
          <w:tcPr>
            <w:tcW w:w="1762" w:type="dxa"/>
            <w:tcBorders>
              <w:top w:val="single" w:color="auto" w:sz="4" w:space="0"/>
              <w:left w:val="nil"/>
              <w:bottom w:val="single" w:color="auto" w:sz="4" w:space="0"/>
              <w:right w:val="single" w:color="auto" w:sz="4" w:space="0"/>
            </w:tcBorders>
            <w:noWrap w:val="0"/>
            <w:vAlign w:val="top"/>
          </w:tcPr>
          <w:p>
            <w:pPr>
              <w:spacing w:line="440" w:lineRule="exact"/>
              <w:rPr>
                <w:rFonts w:hint="eastAsia" w:ascii="宋体" w:hAnsi="宋体"/>
                <w:sz w:val="28"/>
                <w:szCs w:val="28"/>
                <w:lang w:eastAsia="zh-CN"/>
              </w:rPr>
            </w:pPr>
            <w:r>
              <w:rPr>
                <w:rFonts w:hint="eastAsia" w:ascii="宋体" w:hAnsi="宋体"/>
                <w:sz w:val="28"/>
                <w:szCs w:val="28"/>
                <w:lang w:eastAsia="zh-CN"/>
              </w:rPr>
              <w:t>3736</w:t>
            </w:r>
          </w:p>
        </w:tc>
        <w:tc>
          <w:tcPr>
            <w:tcW w:w="1825" w:type="dxa"/>
            <w:tcBorders>
              <w:top w:val="single" w:color="auto" w:sz="4" w:space="0"/>
              <w:left w:val="nil"/>
              <w:bottom w:val="single" w:color="auto" w:sz="4" w:space="0"/>
              <w:right w:val="single" w:color="auto" w:sz="4" w:space="0"/>
            </w:tcBorders>
            <w:noWrap w:val="0"/>
            <w:vAlign w:val="top"/>
          </w:tcPr>
          <w:p>
            <w:pPr>
              <w:spacing w:line="440" w:lineRule="exact"/>
              <w:rPr>
                <w:rFonts w:hint="eastAsia" w:ascii="宋体" w:hAnsi="宋体"/>
                <w:sz w:val="28"/>
                <w:szCs w:val="28"/>
                <w:lang w:eastAsia="zh-CN"/>
              </w:rPr>
            </w:pPr>
            <w:r>
              <w:rPr>
                <w:rFonts w:hint="eastAsia" w:ascii="宋体" w:hAnsi="宋体"/>
                <w:sz w:val="28"/>
                <w:szCs w:val="28"/>
                <w:lang w:eastAsia="zh-CN"/>
              </w:rPr>
              <w:t>3734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56" w:type="dxa"/>
            <w:vMerge w:val="restart"/>
            <w:tcBorders>
              <w:top w:val="nil"/>
              <w:left w:val="single" w:color="auto" w:sz="4" w:space="0"/>
              <w:bottom w:val="single" w:color="auto" w:sz="4" w:space="0"/>
              <w:right w:val="single" w:color="auto" w:sz="4" w:space="0"/>
            </w:tcBorders>
            <w:noWrap w:val="0"/>
            <w:vAlign w:val="top"/>
          </w:tcPr>
          <w:p>
            <w:pPr>
              <w:spacing w:line="440" w:lineRule="exact"/>
              <w:jc w:val="center"/>
              <w:rPr>
                <w:sz w:val="28"/>
                <w:szCs w:val="28"/>
              </w:rPr>
            </w:pPr>
            <w:r>
              <w:rPr>
                <w:rFonts w:hint="eastAsia" w:ascii="宋体" w:hAnsi="宋体"/>
                <w:sz w:val="28"/>
                <w:szCs w:val="28"/>
              </w:rPr>
              <w:t>因</w:t>
            </w:r>
          </w:p>
          <w:p>
            <w:pPr>
              <w:spacing w:line="440" w:lineRule="exact"/>
              <w:jc w:val="center"/>
              <w:rPr>
                <w:sz w:val="28"/>
                <w:szCs w:val="28"/>
              </w:rPr>
            </w:pPr>
            <w:r>
              <w:rPr>
                <w:rFonts w:hint="eastAsia" w:ascii="宋体" w:hAnsi="宋体"/>
                <w:sz w:val="28"/>
                <w:szCs w:val="28"/>
              </w:rPr>
              <w:t>素</w:t>
            </w:r>
          </w:p>
          <w:p>
            <w:pPr>
              <w:spacing w:line="440" w:lineRule="exact"/>
              <w:jc w:val="center"/>
              <w:rPr>
                <w:sz w:val="28"/>
                <w:szCs w:val="28"/>
              </w:rPr>
            </w:pPr>
            <w:r>
              <w:rPr>
                <w:rFonts w:hint="eastAsia" w:ascii="宋体" w:hAnsi="宋体"/>
                <w:sz w:val="28"/>
                <w:szCs w:val="28"/>
              </w:rPr>
              <w:t>调</w:t>
            </w:r>
          </w:p>
          <w:p>
            <w:pPr>
              <w:spacing w:line="440" w:lineRule="exact"/>
              <w:jc w:val="center"/>
              <w:rPr>
                <w:sz w:val="28"/>
                <w:szCs w:val="28"/>
              </w:rPr>
            </w:pPr>
            <w:r>
              <w:rPr>
                <w:rFonts w:hint="eastAsia" w:ascii="宋体" w:hAnsi="宋体"/>
                <w:sz w:val="28"/>
                <w:szCs w:val="28"/>
              </w:rPr>
              <w:t>整</w:t>
            </w:r>
          </w:p>
        </w:tc>
        <w:tc>
          <w:tcPr>
            <w:tcW w:w="2894" w:type="dxa"/>
            <w:tcBorders>
              <w:top w:val="single" w:color="auto" w:sz="4" w:space="0"/>
              <w:left w:val="nil"/>
              <w:bottom w:val="single" w:color="auto" w:sz="4" w:space="0"/>
              <w:right w:val="single" w:color="auto" w:sz="4" w:space="0"/>
            </w:tcBorders>
            <w:noWrap w:val="0"/>
            <w:vAlign w:val="top"/>
          </w:tcPr>
          <w:p>
            <w:pPr>
              <w:spacing w:line="440" w:lineRule="exact"/>
              <w:rPr>
                <w:sz w:val="28"/>
                <w:szCs w:val="28"/>
              </w:rPr>
            </w:pPr>
            <w:r>
              <w:rPr>
                <w:rFonts w:hint="eastAsia" w:ascii="宋体" w:hAnsi="宋体"/>
                <w:sz w:val="28"/>
                <w:szCs w:val="28"/>
              </w:rPr>
              <w:t>交易情况调整</w:t>
            </w:r>
          </w:p>
        </w:tc>
        <w:tc>
          <w:tcPr>
            <w:tcW w:w="1723" w:type="dxa"/>
            <w:tcBorders>
              <w:top w:val="single" w:color="auto" w:sz="4" w:space="0"/>
              <w:left w:val="nil"/>
              <w:bottom w:val="single" w:color="auto" w:sz="4" w:space="0"/>
              <w:right w:val="single" w:color="auto" w:sz="4" w:space="0"/>
            </w:tcBorders>
            <w:noWrap w:val="0"/>
            <w:vAlign w:val="top"/>
          </w:tcPr>
          <w:p>
            <w:pPr>
              <w:spacing w:line="440" w:lineRule="exact"/>
              <w:rPr>
                <w:rFonts w:hint="eastAsia" w:ascii="宋体" w:hAnsi="宋体"/>
                <w:sz w:val="28"/>
                <w:szCs w:val="28"/>
              </w:rPr>
            </w:pPr>
            <w:r>
              <w:rPr>
                <w:rFonts w:hint="eastAsia" w:ascii="宋体" w:hAnsi="宋体"/>
                <w:sz w:val="28"/>
                <w:szCs w:val="28"/>
              </w:rPr>
              <w:t>100/100</w:t>
            </w:r>
          </w:p>
        </w:tc>
        <w:tc>
          <w:tcPr>
            <w:tcW w:w="1762" w:type="dxa"/>
            <w:tcBorders>
              <w:top w:val="single" w:color="auto" w:sz="4" w:space="0"/>
              <w:left w:val="nil"/>
              <w:bottom w:val="single" w:color="auto" w:sz="4" w:space="0"/>
              <w:right w:val="single" w:color="auto" w:sz="4" w:space="0"/>
            </w:tcBorders>
            <w:noWrap w:val="0"/>
            <w:vAlign w:val="top"/>
          </w:tcPr>
          <w:p>
            <w:pPr>
              <w:spacing w:line="440" w:lineRule="exact"/>
              <w:rPr>
                <w:rFonts w:hint="default" w:ascii="宋体" w:hAnsi="宋体"/>
                <w:sz w:val="28"/>
                <w:szCs w:val="28"/>
                <w:lang w:val="en-US" w:eastAsia="zh-CN"/>
              </w:rPr>
            </w:pPr>
            <w:r>
              <w:rPr>
                <w:rFonts w:hint="eastAsia" w:ascii="宋体" w:hAnsi="宋体"/>
                <w:sz w:val="28"/>
                <w:szCs w:val="28"/>
              </w:rPr>
              <w:t>100/</w:t>
            </w:r>
            <w:r>
              <w:rPr>
                <w:rFonts w:hint="eastAsia" w:ascii="宋体" w:hAnsi="宋体"/>
                <w:sz w:val="28"/>
                <w:szCs w:val="28"/>
                <w:lang w:val="en-US" w:eastAsia="zh-CN"/>
              </w:rPr>
              <w:t>100</w:t>
            </w:r>
          </w:p>
        </w:tc>
        <w:tc>
          <w:tcPr>
            <w:tcW w:w="1825" w:type="dxa"/>
            <w:tcBorders>
              <w:top w:val="single" w:color="auto" w:sz="4" w:space="0"/>
              <w:left w:val="nil"/>
              <w:bottom w:val="single" w:color="auto" w:sz="4" w:space="0"/>
              <w:right w:val="single" w:color="auto" w:sz="4" w:space="0"/>
            </w:tcBorders>
            <w:noWrap w:val="0"/>
            <w:vAlign w:val="top"/>
          </w:tcPr>
          <w:p>
            <w:pPr>
              <w:spacing w:line="440" w:lineRule="exact"/>
              <w:rPr>
                <w:rFonts w:hint="eastAsia" w:ascii="宋体" w:hAnsi="宋体" w:eastAsia="宋体"/>
                <w:sz w:val="28"/>
                <w:szCs w:val="28"/>
                <w:lang w:val="en-US" w:eastAsia="zh-CN"/>
              </w:rPr>
            </w:pPr>
            <w:r>
              <w:rPr>
                <w:rFonts w:hint="eastAsia" w:ascii="宋体" w:hAnsi="宋体"/>
                <w:sz w:val="28"/>
                <w:szCs w:val="28"/>
              </w:rPr>
              <w:t>100/10</w:t>
            </w:r>
            <w:r>
              <w:rPr>
                <w:rFonts w:hint="eastAsia" w:ascii="宋体" w:hAnsi="宋体"/>
                <w:sz w:val="28"/>
                <w:szCs w:val="28"/>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0" w:type="auto"/>
            <w:vMerge w:val="continue"/>
            <w:tcBorders>
              <w:top w:val="nil"/>
              <w:left w:val="single" w:color="auto" w:sz="4" w:space="0"/>
              <w:bottom w:val="single" w:color="auto" w:sz="4" w:space="0"/>
              <w:right w:val="single" w:color="auto" w:sz="4" w:space="0"/>
            </w:tcBorders>
            <w:noWrap w:val="0"/>
            <w:vAlign w:val="center"/>
          </w:tcPr>
          <w:p>
            <w:pPr>
              <w:widowControl/>
              <w:jc w:val="left"/>
              <w:rPr>
                <w:sz w:val="28"/>
                <w:szCs w:val="28"/>
              </w:rPr>
            </w:pPr>
          </w:p>
        </w:tc>
        <w:tc>
          <w:tcPr>
            <w:tcW w:w="2894" w:type="dxa"/>
            <w:tcBorders>
              <w:top w:val="single" w:color="auto" w:sz="4" w:space="0"/>
              <w:left w:val="nil"/>
              <w:bottom w:val="single" w:color="auto" w:sz="4" w:space="0"/>
              <w:right w:val="single" w:color="auto" w:sz="4" w:space="0"/>
            </w:tcBorders>
            <w:noWrap w:val="0"/>
            <w:vAlign w:val="top"/>
          </w:tcPr>
          <w:p>
            <w:pPr>
              <w:spacing w:line="440" w:lineRule="exact"/>
              <w:rPr>
                <w:sz w:val="28"/>
                <w:szCs w:val="28"/>
              </w:rPr>
            </w:pPr>
            <w:r>
              <w:rPr>
                <w:rFonts w:hint="eastAsia" w:ascii="宋体" w:hAnsi="宋体"/>
                <w:sz w:val="28"/>
                <w:szCs w:val="28"/>
              </w:rPr>
              <w:t>市场状况调整</w:t>
            </w:r>
          </w:p>
        </w:tc>
        <w:tc>
          <w:tcPr>
            <w:tcW w:w="1723" w:type="dxa"/>
            <w:tcBorders>
              <w:top w:val="single" w:color="auto" w:sz="4" w:space="0"/>
              <w:left w:val="nil"/>
              <w:bottom w:val="single" w:color="auto" w:sz="4" w:space="0"/>
              <w:right w:val="single" w:color="auto" w:sz="4" w:space="0"/>
            </w:tcBorders>
            <w:noWrap w:val="0"/>
            <w:vAlign w:val="top"/>
          </w:tcPr>
          <w:p>
            <w:pPr>
              <w:spacing w:line="440" w:lineRule="exact"/>
              <w:rPr>
                <w:rFonts w:hint="eastAsia" w:ascii="宋体" w:hAnsi="宋体"/>
                <w:sz w:val="28"/>
                <w:szCs w:val="28"/>
              </w:rPr>
            </w:pPr>
            <w:r>
              <w:rPr>
                <w:rFonts w:hint="eastAsia" w:ascii="宋体" w:hAnsi="宋体"/>
                <w:sz w:val="28"/>
                <w:szCs w:val="28"/>
              </w:rPr>
              <w:t>100/100</w:t>
            </w:r>
          </w:p>
        </w:tc>
        <w:tc>
          <w:tcPr>
            <w:tcW w:w="1762" w:type="dxa"/>
            <w:tcBorders>
              <w:top w:val="single" w:color="auto" w:sz="4" w:space="0"/>
              <w:left w:val="nil"/>
              <w:bottom w:val="single" w:color="auto" w:sz="4" w:space="0"/>
              <w:right w:val="single" w:color="auto" w:sz="4" w:space="0"/>
            </w:tcBorders>
            <w:noWrap w:val="0"/>
            <w:vAlign w:val="top"/>
          </w:tcPr>
          <w:p>
            <w:pPr>
              <w:spacing w:line="440" w:lineRule="exact"/>
              <w:rPr>
                <w:rFonts w:hint="eastAsia" w:ascii="宋体" w:hAnsi="宋体"/>
                <w:sz w:val="28"/>
                <w:szCs w:val="28"/>
              </w:rPr>
            </w:pPr>
            <w:r>
              <w:rPr>
                <w:rFonts w:hint="eastAsia" w:ascii="宋体" w:hAnsi="宋体"/>
                <w:sz w:val="28"/>
                <w:szCs w:val="28"/>
                <w:lang w:val="en-US" w:eastAsia="zh-CN"/>
              </w:rPr>
              <w:t>100</w:t>
            </w:r>
            <w:r>
              <w:rPr>
                <w:rFonts w:hint="eastAsia" w:ascii="宋体" w:hAnsi="宋体"/>
                <w:sz w:val="28"/>
                <w:szCs w:val="28"/>
              </w:rPr>
              <w:t>/100</w:t>
            </w:r>
          </w:p>
        </w:tc>
        <w:tc>
          <w:tcPr>
            <w:tcW w:w="1825" w:type="dxa"/>
            <w:tcBorders>
              <w:top w:val="single" w:color="auto" w:sz="4" w:space="0"/>
              <w:left w:val="nil"/>
              <w:bottom w:val="single" w:color="auto" w:sz="4" w:space="0"/>
              <w:right w:val="single" w:color="auto" w:sz="4" w:space="0"/>
            </w:tcBorders>
            <w:noWrap w:val="0"/>
            <w:vAlign w:val="top"/>
          </w:tcPr>
          <w:p>
            <w:pPr>
              <w:spacing w:line="440" w:lineRule="exact"/>
              <w:rPr>
                <w:rFonts w:hint="eastAsia" w:ascii="宋体" w:hAnsi="宋体"/>
                <w:sz w:val="28"/>
                <w:szCs w:val="28"/>
              </w:rPr>
            </w:pPr>
            <w:r>
              <w:rPr>
                <w:rFonts w:hint="eastAsia" w:ascii="宋体" w:hAnsi="宋体"/>
                <w:sz w:val="28"/>
                <w:szCs w:val="28"/>
              </w:rPr>
              <w:t>100/100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0" w:type="auto"/>
            <w:vMerge w:val="continue"/>
            <w:tcBorders>
              <w:top w:val="nil"/>
              <w:left w:val="single" w:color="auto" w:sz="4" w:space="0"/>
              <w:bottom w:val="single" w:color="auto" w:sz="4" w:space="0"/>
              <w:right w:val="single" w:color="auto" w:sz="4" w:space="0"/>
            </w:tcBorders>
            <w:noWrap w:val="0"/>
            <w:vAlign w:val="center"/>
          </w:tcPr>
          <w:p>
            <w:pPr>
              <w:widowControl/>
              <w:jc w:val="left"/>
              <w:rPr>
                <w:sz w:val="28"/>
                <w:szCs w:val="28"/>
              </w:rPr>
            </w:pPr>
          </w:p>
        </w:tc>
        <w:tc>
          <w:tcPr>
            <w:tcW w:w="2894" w:type="dxa"/>
            <w:tcBorders>
              <w:top w:val="single" w:color="auto" w:sz="4" w:space="0"/>
              <w:left w:val="nil"/>
              <w:bottom w:val="single" w:color="auto" w:sz="4" w:space="0"/>
              <w:right w:val="single" w:color="auto" w:sz="4" w:space="0"/>
            </w:tcBorders>
            <w:noWrap w:val="0"/>
            <w:vAlign w:val="top"/>
          </w:tcPr>
          <w:p>
            <w:pPr>
              <w:spacing w:line="440" w:lineRule="exact"/>
              <w:rPr>
                <w:sz w:val="28"/>
                <w:szCs w:val="28"/>
              </w:rPr>
            </w:pPr>
            <w:r>
              <w:rPr>
                <w:rFonts w:hint="eastAsia" w:ascii="宋体" w:hAnsi="宋体"/>
                <w:sz w:val="28"/>
                <w:szCs w:val="28"/>
              </w:rPr>
              <w:t>区位状况调整</w:t>
            </w:r>
          </w:p>
        </w:tc>
        <w:tc>
          <w:tcPr>
            <w:tcW w:w="1723" w:type="dxa"/>
            <w:tcBorders>
              <w:top w:val="single" w:color="auto" w:sz="4" w:space="0"/>
              <w:left w:val="nil"/>
              <w:bottom w:val="single" w:color="auto" w:sz="4" w:space="0"/>
              <w:right w:val="single" w:color="auto" w:sz="4" w:space="0"/>
            </w:tcBorders>
            <w:noWrap w:val="0"/>
            <w:vAlign w:val="top"/>
          </w:tcPr>
          <w:p>
            <w:pPr>
              <w:spacing w:line="440" w:lineRule="exact"/>
              <w:rPr>
                <w:rFonts w:hint="default" w:ascii="宋体" w:hAnsi="宋体"/>
                <w:sz w:val="28"/>
                <w:szCs w:val="28"/>
                <w:lang w:val="en-US" w:eastAsia="zh-CN"/>
              </w:rPr>
            </w:pPr>
            <w:r>
              <w:rPr>
                <w:rFonts w:hint="eastAsia" w:ascii="宋体" w:hAnsi="宋体"/>
                <w:sz w:val="28"/>
                <w:szCs w:val="28"/>
              </w:rPr>
              <w:t>100/</w:t>
            </w:r>
            <w:r>
              <w:rPr>
                <w:rFonts w:hint="eastAsia" w:ascii="宋体" w:hAnsi="宋体"/>
                <w:sz w:val="28"/>
                <w:szCs w:val="28"/>
                <w:lang w:val="en-US" w:eastAsia="zh-CN"/>
              </w:rPr>
              <w:t>108</w:t>
            </w:r>
          </w:p>
        </w:tc>
        <w:tc>
          <w:tcPr>
            <w:tcW w:w="1762" w:type="dxa"/>
            <w:tcBorders>
              <w:top w:val="single" w:color="auto" w:sz="4" w:space="0"/>
              <w:left w:val="nil"/>
              <w:bottom w:val="single" w:color="auto" w:sz="4" w:space="0"/>
              <w:right w:val="single" w:color="auto" w:sz="4" w:space="0"/>
            </w:tcBorders>
            <w:noWrap w:val="0"/>
            <w:vAlign w:val="top"/>
          </w:tcPr>
          <w:p>
            <w:pPr>
              <w:spacing w:line="440" w:lineRule="exact"/>
              <w:rPr>
                <w:rFonts w:hint="default" w:ascii="宋体" w:hAnsi="宋体"/>
                <w:sz w:val="28"/>
                <w:szCs w:val="28"/>
                <w:lang w:val="en-US" w:eastAsia="zh-CN"/>
              </w:rPr>
            </w:pPr>
            <w:r>
              <w:rPr>
                <w:rFonts w:hint="eastAsia" w:ascii="宋体" w:hAnsi="宋体"/>
                <w:sz w:val="28"/>
                <w:szCs w:val="28"/>
              </w:rPr>
              <w:t>100/</w:t>
            </w:r>
            <w:r>
              <w:rPr>
                <w:rFonts w:hint="eastAsia" w:ascii="宋体" w:hAnsi="宋体"/>
                <w:sz w:val="28"/>
                <w:szCs w:val="28"/>
                <w:lang w:val="en-US" w:eastAsia="zh-CN"/>
              </w:rPr>
              <w:t>108</w:t>
            </w:r>
          </w:p>
        </w:tc>
        <w:tc>
          <w:tcPr>
            <w:tcW w:w="1825" w:type="dxa"/>
            <w:tcBorders>
              <w:top w:val="single" w:color="auto" w:sz="4" w:space="0"/>
              <w:left w:val="nil"/>
              <w:bottom w:val="single" w:color="auto" w:sz="4" w:space="0"/>
              <w:right w:val="single" w:color="auto" w:sz="4" w:space="0"/>
            </w:tcBorders>
            <w:noWrap w:val="0"/>
            <w:vAlign w:val="top"/>
          </w:tcPr>
          <w:p>
            <w:pPr>
              <w:spacing w:line="440" w:lineRule="exact"/>
              <w:rPr>
                <w:rFonts w:hint="default" w:ascii="宋体" w:hAnsi="宋体"/>
                <w:sz w:val="28"/>
                <w:szCs w:val="28"/>
                <w:lang w:val="en-US" w:eastAsia="zh-CN"/>
              </w:rPr>
            </w:pPr>
            <w:r>
              <w:rPr>
                <w:rFonts w:hint="eastAsia" w:ascii="宋体" w:hAnsi="宋体"/>
                <w:sz w:val="28"/>
                <w:szCs w:val="28"/>
              </w:rPr>
              <w:t>100/</w:t>
            </w:r>
            <w:r>
              <w:rPr>
                <w:rFonts w:hint="eastAsia" w:ascii="宋体" w:hAnsi="宋体"/>
                <w:sz w:val="28"/>
                <w:szCs w:val="28"/>
                <w:lang w:val="en-US" w:eastAsia="zh-CN"/>
              </w:rPr>
              <w:t>113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0" w:type="auto"/>
            <w:vMerge w:val="continue"/>
            <w:tcBorders>
              <w:top w:val="nil"/>
              <w:left w:val="single" w:color="auto" w:sz="4" w:space="0"/>
              <w:bottom w:val="single" w:color="auto" w:sz="4" w:space="0"/>
              <w:right w:val="single" w:color="auto" w:sz="4" w:space="0"/>
            </w:tcBorders>
            <w:noWrap w:val="0"/>
            <w:vAlign w:val="center"/>
          </w:tcPr>
          <w:p>
            <w:pPr>
              <w:widowControl/>
              <w:jc w:val="left"/>
              <w:rPr>
                <w:sz w:val="28"/>
                <w:szCs w:val="28"/>
              </w:rPr>
            </w:pPr>
          </w:p>
        </w:tc>
        <w:tc>
          <w:tcPr>
            <w:tcW w:w="2894" w:type="dxa"/>
            <w:tcBorders>
              <w:top w:val="single" w:color="auto" w:sz="4" w:space="0"/>
              <w:left w:val="nil"/>
              <w:bottom w:val="single" w:color="auto" w:sz="4" w:space="0"/>
              <w:right w:val="single" w:color="auto" w:sz="4" w:space="0"/>
            </w:tcBorders>
            <w:noWrap w:val="0"/>
            <w:vAlign w:val="top"/>
          </w:tcPr>
          <w:p>
            <w:pPr>
              <w:spacing w:line="440" w:lineRule="exact"/>
              <w:rPr>
                <w:sz w:val="28"/>
                <w:szCs w:val="28"/>
              </w:rPr>
            </w:pPr>
            <w:r>
              <w:rPr>
                <w:rFonts w:hint="eastAsia" w:ascii="宋体" w:hAnsi="宋体"/>
                <w:sz w:val="28"/>
                <w:szCs w:val="28"/>
              </w:rPr>
              <w:t>实物状况调整</w:t>
            </w:r>
          </w:p>
        </w:tc>
        <w:tc>
          <w:tcPr>
            <w:tcW w:w="1723" w:type="dxa"/>
            <w:tcBorders>
              <w:top w:val="single" w:color="auto" w:sz="4" w:space="0"/>
              <w:left w:val="nil"/>
              <w:bottom w:val="single" w:color="auto" w:sz="4" w:space="0"/>
              <w:right w:val="single" w:color="auto" w:sz="4" w:space="0"/>
            </w:tcBorders>
            <w:noWrap w:val="0"/>
            <w:vAlign w:val="top"/>
          </w:tcPr>
          <w:p>
            <w:pPr>
              <w:spacing w:line="440" w:lineRule="exact"/>
              <w:rPr>
                <w:rFonts w:hint="default" w:ascii="宋体" w:hAnsi="宋体"/>
                <w:sz w:val="28"/>
                <w:szCs w:val="28"/>
                <w:lang w:val="en-US" w:eastAsia="zh-CN"/>
              </w:rPr>
            </w:pPr>
            <w:r>
              <w:rPr>
                <w:rFonts w:hint="eastAsia" w:ascii="宋体" w:hAnsi="宋体"/>
                <w:sz w:val="28"/>
                <w:szCs w:val="28"/>
              </w:rPr>
              <w:t>100/</w:t>
            </w:r>
            <w:r>
              <w:rPr>
                <w:rFonts w:hint="eastAsia" w:ascii="宋体" w:hAnsi="宋体"/>
                <w:sz w:val="28"/>
                <w:szCs w:val="28"/>
                <w:lang w:val="en-US" w:eastAsia="zh-CN"/>
              </w:rPr>
              <w:t>103</w:t>
            </w:r>
          </w:p>
        </w:tc>
        <w:tc>
          <w:tcPr>
            <w:tcW w:w="1762" w:type="dxa"/>
            <w:tcBorders>
              <w:top w:val="single" w:color="auto" w:sz="4" w:space="0"/>
              <w:left w:val="nil"/>
              <w:bottom w:val="single" w:color="auto" w:sz="4" w:space="0"/>
              <w:right w:val="single" w:color="auto" w:sz="4" w:space="0"/>
            </w:tcBorders>
            <w:noWrap w:val="0"/>
            <w:vAlign w:val="top"/>
          </w:tcPr>
          <w:p>
            <w:pPr>
              <w:spacing w:line="440" w:lineRule="exact"/>
              <w:rPr>
                <w:rFonts w:hint="default" w:ascii="宋体" w:hAnsi="宋体"/>
                <w:sz w:val="28"/>
                <w:szCs w:val="28"/>
                <w:lang w:val="en-US" w:eastAsia="zh-CN"/>
              </w:rPr>
            </w:pPr>
            <w:r>
              <w:rPr>
                <w:rFonts w:hint="eastAsia" w:ascii="宋体" w:hAnsi="宋体"/>
                <w:sz w:val="28"/>
                <w:szCs w:val="28"/>
              </w:rPr>
              <w:t>100/</w:t>
            </w:r>
            <w:r>
              <w:rPr>
                <w:rFonts w:hint="eastAsia" w:ascii="宋体" w:hAnsi="宋体"/>
                <w:sz w:val="28"/>
                <w:szCs w:val="28"/>
                <w:lang w:val="en-US" w:eastAsia="zh-CN"/>
              </w:rPr>
              <w:t>101</w:t>
            </w:r>
          </w:p>
        </w:tc>
        <w:tc>
          <w:tcPr>
            <w:tcW w:w="1825" w:type="dxa"/>
            <w:tcBorders>
              <w:top w:val="single" w:color="auto" w:sz="4" w:space="0"/>
              <w:left w:val="nil"/>
              <w:bottom w:val="single" w:color="auto" w:sz="4" w:space="0"/>
              <w:right w:val="single" w:color="auto" w:sz="4" w:space="0"/>
            </w:tcBorders>
            <w:noWrap w:val="0"/>
            <w:vAlign w:val="top"/>
          </w:tcPr>
          <w:p>
            <w:pPr>
              <w:spacing w:line="440" w:lineRule="exact"/>
              <w:rPr>
                <w:rFonts w:hint="default" w:ascii="宋体" w:hAnsi="宋体" w:eastAsia="宋体"/>
                <w:sz w:val="28"/>
                <w:szCs w:val="28"/>
                <w:lang w:val="en-US" w:eastAsia="zh-CN"/>
              </w:rPr>
            </w:pPr>
            <w:r>
              <w:rPr>
                <w:rFonts w:hint="eastAsia" w:ascii="宋体" w:hAnsi="宋体"/>
                <w:sz w:val="28"/>
                <w:szCs w:val="28"/>
              </w:rPr>
              <w:t>100/</w:t>
            </w:r>
            <w:r>
              <w:rPr>
                <w:rFonts w:hint="eastAsia" w:ascii="宋体" w:hAnsi="宋体"/>
                <w:sz w:val="28"/>
                <w:szCs w:val="28"/>
                <w:lang w:val="en-US" w:eastAsia="zh-CN"/>
              </w:rPr>
              <w:t>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3650" w:type="dxa"/>
            <w:gridSpan w:val="2"/>
            <w:tcBorders>
              <w:top w:val="single" w:color="auto" w:sz="4" w:space="0"/>
              <w:left w:val="single" w:color="auto" w:sz="4" w:space="0"/>
              <w:bottom w:val="single" w:color="auto" w:sz="4" w:space="0"/>
              <w:right w:val="single" w:color="auto" w:sz="4" w:space="0"/>
            </w:tcBorders>
            <w:noWrap w:val="0"/>
            <w:vAlign w:val="top"/>
          </w:tcPr>
          <w:p>
            <w:pPr>
              <w:spacing w:line="440" w:lineRule="exact"/>
              <w:jc w:val="center"/>
              <w:rPr>
                <w:sz w:val="28"/>
                <w:szCs w:val="28"/>
              </w:rPr>
            </w:pPr>
            <w:r>
              <w:rPr>
                <w:rFonts w:hint="eastAsia" w:ascii="宋体" w:hAnsi="宋体"/>
                <w:sz w:val="28"/>
                <w:szCs w:val="28"/>
              </w:rPr>
              <w:t>比准价格</w:t>
            </w:r>
          </w:p>
        </w:tc>
        <w:tc>
          <w:tcPr>
            <w:tcW w:w="1723" w:type="dxa"/>
            <w:tcBorders>
              <w:top w:val="single" w:color="auto" w:sz="4" w:space="0"/>
              <w:left w:val="nil"/>
              <w:bottom w:val="single" w:color="auto" w:sz="4" w:space="0"/>
              <w:right w:val="single" w:color="auto" w:sz="4" w:space="0"/>
            </w:tcBorders>
            <w:noWrap w:val="0"/>
            <w:vAlign w:val="top"/>
          </w:tcPr>
          <w:p>
            <w:pPr>
              <w:spacing w:line="440" w:lineRule="exact"/>
              <w:rPr>
                <w:rFonts w:hint="eastAsia" w:ascii="宋体" w:hAnsi="宋体"/>
                <w:sz w:val="28"/>
                <w:szCs w:val="28"/>
                <w:lang w:eastAsia="zh-CN"/>
              </w:rPr>
            </w:pPr>
            <w:r>
              <w:rPr>
                <w:rFonts w:hint="eastAsia" w:ascii="宋体" w:hAnsi="宋体"/>
                <w:sz w:val="28"/>
                <w:szCs w:val="28"/>
                <w:lang w:eastAsia="zh-CN"/>
              </w:rPr>
              <w:t>3490</w:t>
            </w:r>
          </w:p>
        </w:tc>
        <w:tc>
          <w:tcPr>
            <w:tcW w:w="1762" w:type="dxa"/>
            <w:tcBorders>
              <w:top w:val="single" w:color="auto" w:sz="4" w:space="0"/>
              <w:left w:val="nil"/>
              <w:bottom w:val="single" w:color="auto" w:sz="4" w:space="0"/>
              <w:right w:val="single" w:color="auto" w:sz="4" w:space="0"/>
            </w:tcBorders>
            <w:noWrap w:val="0"/>
            <w:vAlign w:val="top"/>
          </w:tcPr>
          <w:p>
            <w:pPr>
              <w:spacing w:line="440" w:lineRule="exact"/>
              <w:rPr>
                <w:rFonts w:hint="eastAsia" w:ascii="宋体" w:hAnsi="宋体"/>
                <w:sz w:val="28"/>
                <w:szCs w:val="28"/>
                <w:lang w:eastAsia="zh-CN"/>
              </w:rPr>
            </w:pPr>
            <w:r>
              <w:rPr>
                <w:rFonts w:hint="eastAsia" w:ascii="宋体" w:hAnsi="宋体"/>
                <w:sz w:val="28"/>
                <w:szCs w:val="28"/>
                <w:lang w:eastAsia="zh-CN"/>
              </w:rPr>
              <w:t>3417</w:t>
            </w:r>
          </w:p>
        </w:tc>
        <w:tc>
          <w:tcPr>
            <w:tcW w:w="1825" w:type="dxa"/>
            <w:tcBorders>
              <w:top w:val="single" w:color="auto" w:sz="4" w:space="0"/>
              <w:left w:val="nil"/>
              <w:bottom w:val="single" w:color="auto" w:sz="4" w:space="0"/>
              <w:right w:val="single" w:color="auto" w:sz="4" w:space="0"/>
            </w:tcBorders>
            <w:noWrap w:val="0"/>
            <w:vAlign w:val="top"/>
          </w:tcPr>
          <w:p>
            <w:pPr>
              <w:spacing w:line="440" w:lineRule="exact"/>
              <w:rPr>
                <w:rFonts w:hint="eastAsia" w:ascii="宋体" w:hAnsi="宋体"/>
                <w:sz w:val="28"/>
                <w:szCs w:val="28"/>
                <w:lang w:eastAsia="zh-CN"/>
              </w:rPr>
            </w:pPr>
            <w:r>
              <w:rPr>
                <w:rFonts w:hint="eastAsia" w:ascii="宋体" w:hAnsi="宋体"/>
                <w:sz w:val="28"/>
                <w:szCs w:val="28"/>
                <w:lang w:eastAsia="zh-CN"/>
              </w:rPr>
              <w:t>3407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trPr>
        <w:tc>
          <w:tcPr>
            <w:tcW w:w="3650" w:type="dxa"/>
            <w:gridSpan w:val="2"/>
            <w:tcBorders>
              <w:top w:val="single" w:color="auto" w:sz="4" w:space="0"/>
              <w:left w:val="single" w:color="auto" w:sz="4" w:space="0"/>
              <w:bottom w:val="single" w:color="auto" w:sz="4" w:space="0"/>
              <w:right w:val="single" w:color="auto" w:sz="4" w:space="0"/>
            </w:tcBorders>
            <w:noWrap w:val="0"/>
            <w:vAlign w:val="top"/>
          </w:tcPr>
          <w:p>
            <w:pPr>
              <w:spacing w:line="440" w:lineRule="exact"/>
              <w:jc w:val="center"/>
              <w:rPr>
                <w:sz w:val="28"/>
                <w:szCs w:val="28"/>
              </w:rPr>
            </w:pPr>
            <w:r>
              <w:rPr>
                <w:rFonts w:hint="eastAsia" w:ascii="宋体" w:hAnsi="宋体"/>
                <w:sz w:val="28"/>
                <w:szCs w:val="28"/>
              </w:rPr>
              <w:t>委估房地产单价</w:t>
            </w:r>
          </w:p>
        </w:tc>
        <w:tc>
          <w:tcPr>
            <w:tcW w:w="5310" w:type="dxa"/>
            <w:gridSpan w:val="3"/>
            <w:tcBorders>
              <w:top w:val="single" w:color="auto" w:sz="4" w:space="0"/>
              <w:left w:val="nil"/>
              <w:bottom w:val="single" w:color="auto" w:sz="4" w:space="0"/>
              <w:right w:val="single" w:color="auto" w:sz="4" w:space="0"/>
            </w:tcBorders>
            <w:noWrap w:val="0"/>
            <w:vAlign w:val="top"/>
          </w:tcPr>
          <w:p>
            <w:pPr>
              <w:spacing w:line="440" w:lineRule="exact"/>
              <w:rPr>
                <w:rFonts w:hint="default" w:eastAsia="宋体"/>
                <w:sz w:val="28"/>
                <w:szCs w:val="28"/>
                <w:lang w:val="en-US" w:eastAsia="zh-CN"/>
              </w:rPr>
            </w:pPr>
            <w:r>
              <w:rPr>
                <w:rFonts w:hint="eastAsia" w:ascii="宋体" w:hAnsi="宋体"/>
                <w:sz w:val="28"/>
                <w:szCs w:val="28"/>
                <w:lang w:val="en-US" w:eastAsia="zh-CN"/>
              </w:rPr>
              <w:t>3441</w:t>
            </w:r>
          </w:p>
        </w:tc>
      </w:tr>
    </w:tbl>
    <w:p>
      <w:pPr>
        <w:spacing w:line="560" w:lineRule="exact"/>
        <w:ind w:left="1680" w:hanging="1680" w:hangingChars="600"/>
        <w:rPr>
          <w:rFonts w:hint="eastAsia" w:ascii="宋体" w:hAnsi="宋体" w:eastAsia="宋体" w:cs="Times New Roman"/>
          <w:color w:val="auto"/>
          <w:kern w:val="2"/>
          <w:sz w:val="28"/>
          <w:szCs w:val="28"/>
          <w:lang w:val="en-US" w:eastAsia="zh-CN" w:bidi="ar-SA"/>
        </w:rPr>
      </w:pPr>
      <w:r>
        <w:rPr>
          <w:rFonts w:hint="eastAsia" w:ascii="宋体" w:hAnsi="宋体" w:eastAsia="宋体" w:cs="Times New Roman"/>
          <w:color w:val="auto"/>
          <w:kern w:val="2"/>
          <w:sz w:val="28"/>
          <w:szCs w:val="28"/>
          <w:lang w:val="en-US" w:eastAsia="zh-CN" w:bidi="ar-SA"/>
        </w:rPr>
        <w:t>说明：（1）交易情况调整主要考虑市场环境和成交方式对估价所产生不同的影响。</w:t>
      </w:r>
    </w:p>
    <w:p>
      <w:pPr>
        <w:spacing w:line="560" w:lineRule="exact"/>
        <w:ind w:left="1679" w:leftChars="266" w:hanging="1120" w:hangingChars="400"/>
        <w:rPr>
          <w:rFonts w:hint="eastAsia" w:ascii="宋体" w:hAnsi="宋体" w:eastAsia="宋体" w:cs="Times New Roman"/>
          <w:color w:val="auto"/>
          <w:kern w:val="2"/>
          <w:sz w:val="28"/>
          <w:szCs w:val="28"/>
          <w:lang w:val="en-US" w:eastAsia="zh-CN" w:bidi="ar-SA"/>
        </w:rPr>
      </w:pPr>
      <w:r>
        <w:rPr>
          <w:rFonts w:hint="eastAsia" w:ascii="宋体" w:hAnsi="宋体" w:eastAsia="宋体" w:cs="Times New Roman"/>
          <w:color w:val="auto"/>
          <w:kern w:val="2"/>
          <w:sz w:val="28"/>
          <w:szCs w:val="28"/>
          <w:lang w:val="en-US" w:eastAsia="zh-CN" w:bidi="ar-SA"/>
        </w:rPr>
        <w:t xml:space="preserve">  （2）市场状况调整主要考虑成交时间的差异对估价所产生的不同影响。</w:t>
      </w:r>
    </w:p>
    <w:p>
      <w:pPr>
        <w:spacing w:line="560" w:lineRule="exact"/>
        <w:ind w:firstLine="560" w:firstLineChars="200"/>
        <w:rPr>
          <w:rFonts w:hint="eastAsia" w:ascii="宋体" w:hAnsi="宋体" w:eastAsia="宋体" w:cs="Times New Roman"/>
          <w:color w:val="auto"/>
          <w:kern w:val="2"/>
          <w:sz w:val="28"/>
          <w:szCs w:val="28"/>
          <w:lang w:val="en-US" w:eastAsia="zh-CN" w:bidi="ar-SA"/>
        </w:rPr>
      </w:pPr>
      <w:r>
        <w:rPr>
          <w:rFonts w:hint="eastAsia" w:ascii="宋体" w:hAnsi="宋体" w:eastAsia="宋体" w:cs="Times New Roman"/>
          <w:color w:val="auto"/>
          <w:kern w:val="2"/>
          <w:sz w:val="28"/>
          <w:szCs w:val="28"/>
          <w:lang w:val="en-US" w:eastAsia="zh-CN" w:bidi="ar-SA"/>
        </w:rPr>
        <w:t xml:space="preserve">  （3）区位状况调整主要考虑该地区交通便捷度、周围环境等。</w:t>
      </w:r>
    </w:p>
    <w:p>
      <w:pPr>
        <w:spacing w:line="560" w:lineRule="exact"/>
        <w:ind w:left="1679" w:leftChars="266" w:hanging="1120" w:hangingChars="400"/>
        <w:rPr>
          <w:rFonts w:hint="eastAsia" w:ascii="宋体" w:hAnsi="宋体" w:eastAsia="宋体" w:cs="Times New Roman"/>
          <w:color w:val="auto"/>
          <w:kern w:val="2"/>
          <w:sz w:val="28"/>
          <w:szCs w:val="28"/>
          <w:lang w:val="en-US" w:eastAsia="zh-CN" w:bidi="ar-SA"/>
        </w:rPr>
      </w:pPr>
      <w:r>
        <w:rPr>
          <w:rFonts w:hint="eastAsia" w:ascii="宋体" w:hAnsi="宋体" w:eastAsia="宋体" w:cs="Times New Roman"/>
          <w:color w:val="auto"/>
          <w:kern w:val="2"/>
          <w:sz w:val="28"/>
          <w:szCs w:val="28"/>
          <w:lang w:val="en-US" w:eastAsia="zh-CN" w:bidi="ar-SA"/>
        </w:rPr>
        <w:t xml:space="preserve">  （4）实物状况调整主要考虑房屋新旧程度、基础设施完备程度、朝向等差异。     </w:t>
      </w:r>
    </w:p>
    <w:p>
      <w:pPr>
        <w:spacing w:line="560" w:lineRule="exact"/>
        <w:ind w:left="1399" w:leftChars="266" w:hanging="840" w:hangingChars="300"/>
        <w:rPr>
          <w:rFonts w:hint="eastAsia" w:ascii="宋体" w:hAnsi="宋体" w:eastAsia="宋体" w:cs="Times New Roman"/>
          <w:color w:val="auto"/>
          <w:kern w:val="2"/>
          <w:sz w:val="28"/>
          <w:szCs w:val="28"/>
          <w:lang w:val="en-US" w:eastAsia="zh-CN" w:bidi="ar-SA"/>
        </w:rPr>
      </w:pPr>
      <w:r>
        <w:rPr>
          <w:rFonts w:hint="eastAsia" w:ascii="宋体" w:hAnsi="宋体" w:eastAsia="宋体" w:cs="Times New Roman"/>
          <w:color w:val="auto"/>
          <w:kern w:val="2"/>
          <w:sz w:val="28"/>
          <w:szCs w:val="28"/>
          <w:lang w:val="en-US" w:eastAsia="zh-CN" w:bidi="ar-SA"/>
        </w:rPr>
        <w:t>（5）综合上述因素和估价对象的实际状况、以及结合估价人员实际经验，确定上述参数。</w:t>
      </w:r>
    </w:p>
    <w:p>
      <w:pPr>
        <w:spacing w:line="560" w:lineRule="exact"/>
        <w:ind w:firstLine="560" w:firstLineChars="200"/>
        <w:rPr>
          <w:rFonts w:hint="eastAsia" w:ascii="宋体" w:hAnsi="宋体" w:eastAsia="宋体" w:cs="Times New Roman"/>
          <w:color w:val="auto"/>
          <w:kern w:val="2"/>
          <w:sz w:val="28"/>
          <w:szCs w:val="28"/>
          <w:lang w:val="en-US" w:eastAsia="zh-CN" w:bidi="ar-SA"/>
        </w:rPr>
      </w:pPr>
      <w:r>
        <w:rPr>
          <w:rFonts w:hint="eastAsia" w:ascii="宋体" w:hAnsi="宋体" w:eastAsia="宋体" w:cs="Times New Roman"/>
          <w:color w:val="auto"/>
          <w:kern w:val="2"/>
          <w:sz w:val="28"/>
          <w:szCs w:val="28"/>
          <w:lang w:val="en-US" w:eastAsia="zh-CN" w:bidi="ar-SA"/>
        </w:rPr>
        <w:t>2、综合分析确定估价对象评估价。</w:t>
      </w:r>
    </w:p>
    <w:p>
      <w:pPr>
        <w:spacing w:line="520" w:lineRule="exact"/>
        <w:ind w:firstLine="700" w:firstLineChars="250"/>
        <w:rPr>
          <w:rFonts w:hint="default" w:ascii="宋体" w:hAnsi="宋体"/>
          <w:sz w:val="28"/>
          <w:szCs w:val="28"/>
          <w:lang w:val="en-US" w:eastAsia="zh-CN"/>
        </w:rPr>
      </w:pPr>
      <w:r>
        <w:rPr>
          <w:rFonts w:hint="eastAsia" w:ascii="宋体" w:hAnsi="宋体"/>
          <w:sz w:val="28"/>
          <w:szCs w:val="28"/>
        </w:rPr>
        <w:t>比准价格</w:t>
      </w:r>
      <w:r>
        <w:rPr>
          <w:rFonts w:hint="eastAsia" w:ascii="宋体" w:hAnsi="宋体"/>
          <w:sz w:val="28"/>
          <w:szCs w:val="28"/>
          <w:lang w:eastAsia="zh-CN"/>
        </w:rPr>
        <w:t>（</w:t>
      </w:r>
      <w:r>
        <w:rPr>
          <w:rFonts w:hint="eastAsia" w:ascii="宋体" w:hAnsi="宋体"/>
          <w:sz w:val="28"/>
          <w:szCs w:val="28"/>
          <w:lang w:val="en-US" w:eastAsia="zh-CN"/>
        </w:rPr>
        <w:t>1</w:t>
      </w:r>
      <w:r>
        <w:rPr>
          <w:rFonts w:hint="eastAsia" w:ascii="宋体" w:hAnsi="宋体"/>
          <w:sz w:val="28"/>
          <w:szCs w:val="28"/>
          <w:lang w:eastAsia="zh-CN"/>
        </w:rPr>
        <w:t>）</w:t>
      </w:r>
      <w:r>
        <w:rPr>
          <w:spacing w:val="-8"/>
          <w:sz w:val="28"/>
          <w:szCs w:val="28"/>
        </w:rPr>
        <w:t>=</w:t>
      </w:r>
      <w:r>
        <w:rPr>
          <w:rFonts w:hint="eastAsia" w:ascii="宋体" w:hAnsi="宋体"/>
          <w:spacing w:val="-8"/>
          <w:sz w:val="28"/>
          <w:szCs w:val="28"/>
          <w:lang w:eastAsia="zh-CN"/>
        </w:rPr>
        <w:t>3882</w:t>
      </w:r>
      <w:r>
        <w:rPr>
          <w:rFonts w:hint="eastAsia" w:ascii="宋体" w:hAnsi="宋体"/>
          <w:spacing w:val="-8"/>
          <w:sz w:val="28"/>
          <w:szCs w:val="28"/>
        </w:rPr>
        <w:t>×</w:t>
      </w:r>
      <w:r>
        <w:rPr>
          <w:rFonts w:hint="eastAsia" w:ascii="宋体" w:hAnsi="宋体"/>
          <w:sz w:val="28"/>
          <w:szCs w:val="28"/>
          <w:lang w:eastAsia="zh-CN"/>
        </w:rPr>
        <w:t>100/100×100/100×100/</w:t>
      </w:r>
      <w:r>
        <w:rPr>
          <w:rFonts w:hint="eastAsia" w:ascii="宋体" w:hAnsi="宋体"/>
          <w:sz w:val="28"/>
          <w:szCs w:val="28"/>
          <w:lang w:val="en-US" w:eastAsia="zh-CN"/>
        </w:rPr>
        <w:t>108</w:t>
      </w:r>
      <w:r>
        <w:rPr>
          <w:rFonts w:hint="eastAsia" w:ascii="宋体" w:hAnsi="宋体"/>
          <w:sz w:val="28"/>
          <w:szCs w:val="28"/>
          <w:lang w:eastAsia="zh-CN"/>
        </w:rPr>
        <w:t>×100/</w:t>
      </w:r>
      <w:r>
        <w:rPr>
          <w:rFonts w:hint="eastAsia" w:ascii="宋体" w:hAnsi="宋体"/>
          <w:sz w:val="28"/>
          <w:szCs w:val="28"/>
          <w:lang w:val="en-US" w:eastAsia="zh-CN"/>
        </w:rPr>
        <w:t>103</w:t>
      </w:r>
    </w:p>
    <w:p>
      <w:pPr>
        <w:spacing w:line="520" w:lineRule="exact"/>
        <w:ind w:firstLine="700" w:firstLineChars="250"/>
        <w:rPr>
          <w:rFonts w:hint="eastAsia" w:ascii="宋体" w:hAnsi="宋体"/>
          <w:sz w:val="28"/>
          <w:szCs w:val="28"/>
          <w:lang w:eastAsia="zh-CN"/>
        </w:rPr>
      </w:pPr>
      <w:r>
        <w:rPr>
          <w:rFonts w:hint="eastAsia" w:ascii="宋体" w:hAnsi="宋体"/>
          <w:sz w:val="28"/>
          <w:szCs w:val="28"/>
          <w:lang w:eastAsia="zh-CN"/>
        </w:rPr>
        <w:t xml:space="preserve">         </w:t>
      </w:r>
      <w:r>
        <w:rPr>
          <w:rFonts w:hint="eastAsia" w:ascii="宋体" w:hAnsi="宋体"/>
          <w:sz w:val="28"/>
          <w:szCs w:val="28"/>
          <w:lang w:val="en-US" w:eastAsia="zh-CN"/>
        </w:rPr>
        <w:t xml:space="preserve">    </w:t>
      </w:r>
      <w:r>
        <w:rPr>
          <w:rFonts w:hint="eastAsia" w:ascii="宋体" w:hAnsi="宋体"/>
          <w:sz w:val="28"/>
          <w:szCs w:val="28"/>
          <w:lang w:eastAsia="zh-CN"/>
        </w:rPr>
        <w:t>=3490元</w:t>
      </w:r>
    </w:p>
    <w:p>
      <w:pPr>
        <w:spacing w:line="520" w:lineRule="exact"/>
        <w:ind w:firstLine="1848" w:firstLineChars="700"/>
        <w:rPr>
          <w:rFonts w:hint="default" w:ascii="宋体" w:hAnsi="宋体"/>
          <w:spacing w:val="-8"/>
          <w:sz w:val="28"/>
          <w:szCs w:val="28"/>
          <w:lang w:val="en-US" w:eastAsia="zh-CN"/>
        </w:rPr>
      </w:pPr>
      <w:r>
        <w:rPr>
          <w:rFonts w:hint="eastAsia" w:ascii="宋体" w:hAnsi="宋体"/>
          <w:spacing w:val="-8"/>
          <w:sz w:val="28"/>
          <w:szCs w:val="28"/>
          <w:lang w:val="en-US" w:eastAsia="zh-CN"/>
        </w:rPr>
        <w:t>（2）</w:t>
      </w:r>
      <w:r>
        <w:rPr>
          <w:rFonts w:hint="eastAsia" w:ascii="宋体" w:hAnsi="宋体"/>
          <w:spacing w:val="-8"/>
          <w:sz w:val="28"/>
          <w:szCs w:val="28"/>
          <w:lang w:eastAsia="zh-CN"/>
        </w:rPr>
        <w:t>=3736×100/</w:t>
      </w:r>
      <w:r>
        <w:rPr>
          <w:rFonts w:hint="eastAsia" w:ascii="宋体" w:hAnsi="宋体"/>
          <w:spacing w:val="-8"/>
          <w:sz w:val="28"/>
          <w:szCs w:val="28"/>
          <w:lang w:val="en-US" w:eastAsia="zh-CN"/>
        </w:rPr>
        <w:t>100</w:t>
      </w:r>
      <w:r>
        <w:rPr>
          <w:rFonts w:hint="eastAsia" w:ascii="宋体" w:hAnsi="宋体"/>
          <w:spacing w:val="-8"/>
          <w:sz w:val="28"/>
          <w:szCs w:val="28"/>
          <w:lang w:eastAsia="zh-CN"/>
        </w:rPr>
        <w:t>×</w:t>
      </w:r>
      <w:r>
        <w:rPr>
          <w:rFonts w:hint="eastAsia" w:ascii="宋体" w:hAnsi="宋体"/>
          <w:spacing w:val="-8"/>
          <w:sz w:val="28"/>
          <w:szCs w:val="28"/>
          <w:lang w:val="en-US" w:eastAsia="zh-CN"/>
        </w:rPr>
        <w:t>100</w:t>
      </w:r>
      <w:r>
        <w:rPr>
          <w:rFonts w:hint="eastAsia" w:ascii="宋体" w:hAnsi="宋体"/>
          <w:spacing w:val="-8"/>
          <w:sz w:val="28"/>
          <w:szCs w:val="28"/>
          <w:lang w:eastAsia="zh-CN"/>
        </w:rPr>
        <w:t>/100×100/</w:t>
      </w:r>
      <w:r>
        <w:rPr>
          <w:rFonts w:hint="eastAsia" w:ascii="宋体" w:hAnsi="宋体"/>
          <w:spacing w:val="-8"/>
          <w:sz w:val="28"/>
          <w:szCs w:val="28"/>
          <w:lang w:val="en-US" w:eastAsia="zh-CN"/>
        </w:rPr>
        <w:t>108</w:t>
      </w:r>
      <w:r>
        <w:rPr>
          <w:rFonts w:hint="eastAsia" w:ascii="宋体" w:hAnsi="宋体"/>
          <w:spacing w:val="-8"/>
          <w:sz w:val="28"/>
          <w:szCs w:val="28"/>
          <w:lang w:eastAsia="zh-CN"/>
        </w:rPr>
        <w:t>×100/</w:t>
      </w:r>
      <w:r>
        <w:rPr>
          <w:rFonts w:hint="eastAsia" w:ascii="宋体" w:hAnsi="宋体"/>
          <w:spacing w:val="-8"/>
          <w:sz w:val="28"/>
          <w:szCs w:val="28"/>
          <w:lang w:val="en-US" w:eastAsia="zh-CN"/>
        </w:rPr>
        <w:t>101</w:t>
      </w:r>
    </w:p>
    <w:p>
      <w:pPr>
        <w:spacing w:line="520" w:lineRule="exact"/>
        <w:ind w:firstLine="2508" w:firstLineChars="950"/>
        <w:rPr>
          <w:rFonts w:hint="eastAsia" w:ascii="宋体" w:hAnsi="宋体"/>
          <w:spacing w:val="-8"/>
          <w:sz w:val="28"/>
          <w:szCs w:val="28"/>
          <w:lang w:eastAsia="zh-CN"/>
        </w:rPr>
      </w:pPr>
      <w:r>
        <w:rPr>
          <w:rFonts w:hint="eastAsia" w:ascii="宋体" w:hAnsi="宋体"/>
          <w:spacing w:val="-8"/>
          <w:sz w:val="28"/>
          <w:szCs w:val="28"/>
          <w:lang w:eastAsia="zh-CN"/>
        </w:rPr>
        <w:t>=3417元</w:t>
      </w:r>
    </w:p>
    <w:p>
      <w:pPr>
        <w:spacing w:line="520" w:lineRule="exact"/>
        <w:ind w:firstLine="660" w:firstLineChars="250"/>
        <w:rPr>
          <w:rFonts w:hint="default" w:ascii="宋体" w:hAnsi="宋体"/>
          <w:spacing w:val="-8"/>
          <w:sz w:val="28"/>
          <w:szCs w:val="28"/>
          <w:lang w:val="en-US" w:eastAsia="zh-CN"/>
        </w:rPr>
      </w:pPr>
      <w:r>
        <w:rPr>
          <w:rFonts w:hint="eastAsia" w:ascii="宋体" w:hAnsi="宋体"/>
          <w:spacing w:val="-8"/>
          <w:sz w:val="28"/>
          <w:szCs w:val="28"/>
          <w:lang w:eastAsia="zh-CN"/>
        </w:rPr>
        <w:t xml:space="preserve">   </w:t>
      </w:r>
      <w:r>
        <w:rPr>
          <w:rFonts w:hint="eastAsia" w:ascii="宋体" w:hAnsi="宋体"/>
          <w:spacing w:val="-8"/>
          <w:sz w:val="28"/>
          <w:szCs w:val="28"/>
          <w:lang w:val="en-US" w:eastAsia="zh-CN"/>
        </w:rPr>
        <w:t xml:space="preserve">      （3）</w:t>
      </w:r>
      <w:r>
        <w:rPr>
          <w:rFonts w:hint="eastAsia" w:ascii="宋体" w:hAnsi="宋体"/>
          <w:spacing w:val="-8"/>
          <w:sz w:val="28"/>
          <w:szCs w:val="28"/>
          <w:lang w:eastAsia="zh-CN"/>
        </w:rPr>
        <w:t>=3734×100/</w:t>
      </w:r>
      <w:r>
        <w:rPr>
          <w:rFonts w:hint="eastAsia" w:ascii="宋体" w:hAnsi="宋体"/>
          <w:spacing w:val="-8"/>
          <w:sz w:val="28"/>
          <w:szCs w:val="28"/>
          <w:lang w:val="en-US" w:eastAsia="zh-CN"/>
        </w:rPr>
        <w:t>100</w:t>
      </w:r>
      <w:r>
        <w:rPr>
          <w:rFonts w:hint="eastAsia" w:ascii="宋体" w:hAnsi="宋体"/>
          <w:spacing w:val="-8"/>
          <w:sz w:val="28"/>
          <w:szCs w:val="28"/>
          <w:lang w:eastAsia="zh-CN"/>
        </w:rPr>
        <w:t>×100/100×100/</w:t>
      </w:r>
      <w:r>
        <w:rPr>
          <w:rFonts w:hint="eastAsia" w:ascii="宋体" w:hAnsi="宋体"/>
          <w:spacing w:val="-8"/>
          <w:sz w:val="28"/>
          <w:szCs w:val="28"/>
          <w:lang w:val="en-US" w:eastAsia="zh-CN"/>
        </w:rPr>
        <w:t>113</w:t>
      </w:r>
      <w:r>
        <w:rPr>
          <w:rFonts w:hint="eastAsia" w:ascii="宋体" w:hAnsi="宋体"/>
          <w:spacing w:val="-8"/>
          <w:sz w:val="28"/>
          <w:szCs w:val="28"/>
          <w:lang w:eastAsia="zh-CN"/>
        </w:rPr>
        <w:t>×100/</w:t>
      </w:r>
      <w:r>
        <w:rPr>
          <w:rFonts w:hint="eastAsia" w:ascii="宋体" w:hAnsi="宋体"/>
          <w:spacing w:val="-8"/>
          <w:sz w:val="28"/>
          <w:szCs w:val="28"/>
          <w:lang w:val="en-US" w:eastAsia="zh-CN"/>
        </w:rPr>
        <w:t>97</w:t>
      </w:r>
    </w:p>
    <w:p>
      <w:pPr>
        <w:spacing w:line="520" w:lineRule="exact"/>
        <w:ind w:firstLine="2376" w:firstLineChars="900"/>
        <w:rPr>
          <w:rFonts w:hint="eastAsia" w:ascii="宋体" w:hAnsi="宋体"/>
          <w:spacing w:val="-8"/>
          <w:sz w:val="28"/>
          <w:szCs w:val="28"/>
          <w:lang w:eastAsia="zh-CN"/>
        </w:rPr>
      </w:pPr>
      <w:r>
        <w:rPr>
          <w:rFonts w:hint="eastAsia" w:ascii="宋体" w:hAnsi="宋体"/>
          <w:spacing w:val="-8"/>
          <w:sz w:val="28"/>
          <w:szCs w:val="28"/>
          <w:lang w:eastAsia="zh-CN"/>
        </w:rPr>
        <w:t>=3407元</w:t>
      </w:r>
    </w:p>
    <w:p>
      <w:pPr>
        <w:spacing w:line="520" w:lineRule="exact"/>
        <w:ind w:firstLine="550" w:firstLineChars="250"/>
        <w:rPr>
          <w:rFonts w:hint="eastAsia" w:ascii="宋体" w:hAnsi="宋体"/>
          <w:spacing w:val="-8"/>
          <w:sz w:val="28"/>
          <w:szCs w:val="28"/>
        </w:rPr>
      </w:pPr>
      <w:r>
        <w:rPr>
          <w:rFonts w:hint="eastAsia" w:ascii="宋体" w:hAnsi="宋体"/>
          <w:spacing w:val="-30"/>
          <w:sz w:val="28"/>
          <w:szCs w:val="28"/>
        </w:rPr>
        <w:t>比准单价</w:t>
      </w:r>
      <w:r>
        <w:rPr>
          <w:rFonts w:hint="eastAsia" w:ascii="宋体" w:hAnsi="宋体"/>
          <w:spacing w:val="-30"/>
          <w:sz w:val="28"/>
          <w:szCs w:val="28"/>
          <w:lang w:val="en-US" w:eastAsia="zh-CN"/>
        </w:rPr>
        <w:t xml:space="preserve"> </w:t>
      </w:r>
      <w:r>
        <w:rPr>
          <w:spacing w:val="-30"/>
          <w:sz w:val="28"/>
          <w:szCs w:val="28"/>
        </w:rPr>
        <w:t>=</w:t>
      </w:r>
      <w:r>
        <w:rPr>
          <w:rFonts w:hint="eastAsia" w:ascii="宋体" w:hAnsi="宋体"/>
          <w:spacing w:val="-30"/>
          <w:sz w:val="28"/>
          <w:szCs w:val="28"/>
        </w:rPr>
        <w:t>（</w:t>
      </w:r>
      <w:r>
        <w:rPr>
          <w:rFonts w:hint="eastAsia" w:ascii="宋体" w:hAnsi="宋体"/>
          <w:spacing w:val="-8"/>
          <w:sz w:val="28"/>
          <w:szCs w:val="28"/>
        </w:rPr>
        <w:t>比准价格（1）+比准价格（2）+比准价格（3））÷3</w:t>
      </w:r>
    </w:p>
    <w:p>
      <w:pPr>
        <w:spacing w:line="520" w:lineRule="exact"/>
        <w:ind w:firstLine="660" w:firstLineChars="250"/>
        <w:rPr>
          <w:rFonts w:hint="eastAsia" w:ascii="宋体" w:hAnsi="宋体"/>
          <w:spacing w:val="-8"/>
          <w:sz w:val="28"/>
          <w:szCs w:val="28"/>
        </w:rPr>
      </w:pPr>
      <w:r>
        <w:rPr>
          <w:rFonts w:hint="eastAsia" w:ascii="宋体" w:hAnsi="宋体"/>
          <w:spacing w:val="-8"/>
          <w:sz w:val="28"/>
          <w:szCs w:val="28"/>
        </w:rPr>
        <w:t xml:space="preserve">  </w:t>
      </w:r>
      <w:r>
        <w:rPr>
          <w:rFonts w:hint="eastAsia" w:ascii="宋体" w:hAnsi="宋体"/>
          <w:spacing w:val="-8"/>
          <w:sz w:val="28"/>
          <w:szCs w:val="28"/>
          <w:lang w:val="en-US" w:eastAsia="zh-CN"/>
        </w:rPr>
        <w:t xml:space="preserve">     </w:t>
      </w:r>
      <w:r>
        <w:rPr>
          <w:rFonts w:hint="eastAsia" w:ascii="宋体" w:hAnsi="宋体"/>
          <w:spacing w:val="-8"/>
          <w:sz w:val="28"/>
          <w:szCs w:val="28"/>
        </w:rPr>
        <w:t>=（</w:t>
      </w:r>
      <w:r>
        <w:rPr>
          <w:rFonts w:hint="eastAsia" w:ascii="宋体" w:hAnsi="宋体"/>
          <w:spacing w:val="-8"/>
          <w:sz w:val="28"/>
          <w:szCs w:val="28"/>
          <w:lang w:eastAsia="zh-CN"/>
        </w:rPr>
        <w:t>3490</w:t>
      </w:r>
      <w:r>
        <w:rPr>
          <w:rFonts w:hint="eastAsia" w:ascii="宋体" w:hAnsi="宋体"/>
          <w:spacing w:val="-8"/>
          <w:sz w:val="28"/>
          <w:szCs w:val="28"/>
        </w:rPr>
        <w:t>+</w:t>
      </w:r>
      <w:r>
        <w:rPr>
          <w:rFonts w:hint="eastAsia" w:ascii="宋体" w:hAnsi="宋体"/>
          <w:spacing w:val="-8"/>
          <w:sz w:val="28"/>
          <w:szCs w:val="28"/>
          <w:lang w:eastAsia="zh-CN"/>
        </w:rPr>
        <w:t>3417</w:t>
      </w:r>
      <w:r>
        <w:rPr>
          <w:rFonts w:hint="eastAsia" w:ascii="宋体" w:hAnsi="宋体"/>
          <w:spacing w:val="-8"/>
          <w:sz w:val="28"/>
          <w:szCs w:val="28"/>
        </w:rPr>
        <w:t>+</w:t>
      </w:r>
      <w:r>
        <w:rPr>
          <w:rFonts w:hint="eastAsia" w:ascii="宋体" w:hAnsi="宋体"/>
          <w:spacing w:val="-8"/>
          <w:sz w:val="28"/>
          <w:szCs w:val="28"/>
          <w:lang w:eastAsia="zh-CN"/>
        </w:rPr>
        <w:t>3407</w:t>
      </w:r>
      <w:r>
        <w:rPr>
          <w:rFonts w:hint="eastAsia" w:ascii="宋体" w:hAnsi="宋体"/>
          <w:spacing w:val="-8"/>
          <w:sz w:val="28"/>
          <w:szCs w:val="28"/>
        </w:rPr>
        <w:t>）÷3</w:t>
      </w:r>
    </w:p>
    <w:p>
      <w:pPr>
        <w:spacing w:line="520" w:lineRule="exact"/>
        <w:ind w:firstLine="660" w:firstLineChars="250"/>
        <w:rPr>
          <w:rFonts w:ascii="宋体" w:cs="新宋体-18030"/>
          <w:color w:val="auto"/>
          <w:sz w:val="28"/>
          <w:szCs w:val="28"/>
        </w:rPr>
      </w:pPr>
      <w:r>
        <w:rPr>
          <w:rFonts w:hint="eastAsia" w:ascii="宋体" w:hAnsi="宋体"/>
          <w:spacing w:val="-8"/>
          <w:sz w:val="28"/>
          <w:szCs w:val="28"/>
        </w:rPr>
        <w:t xml:space="preserve">  </w:t>
      </w:r>
      <w:r>
        <w:rPr>
          <w:rFonts w:hint="eastAsia" w:ascii="宋体" w:hAnsi="宋体"/>
          <w:spacing w:val="-8"/>
          <w:sz w:val="28"/>
          <w:szCs w:val="28"/>
          <w:lang w:val="en-US" w:eastAsia="zh-CN"/>
        </w:rPr>
        <w:t xml:space="preserve">     = 3441</w:t>
      </w:r>
      <w:r>
        <w:rPr>
          <w:rFonts w:hint="eastAsia" w:ascii="宋体" w:hAnsi="宋体"/>
          <w:spacing w:val="-8"/>
          <w:sz w:val="28"/>
          <w:szCs w:val="28"/>
        </w:rPr>
        <w:t xml:space="preserve">元/ </w:t>
      </w:r>
      <w:r>
        <w:rPr>
          <w:rFonts w:hint="eastAsia" w:ascii="宋体" w:hAnsi="宋体"/>
          <w:spacing w:val="-8"/>
          <w:sz w:val="28"/>
          <w:szCs w:val="28"/>
          <w:lang w:eastAsia="zh-CN"/>
        </w:rPr>
        <w:t>㎡</w:t>
      </w:r>
      <w:r>
        <w:rPr>
          <w:rFonts w:hint="eastAsia" w:ascii="宋体" w:hAnsi="宋体"/>
          <w:sz w:val="28"/>
          <w:szCs w:val="28"/>
          <w:vertAlign w:val="superscript"/>
        </w:rPr>
        <w:t xml:space="preserve"> </w:t>
      </w:r>
    </w:p>
    <w:p>
      <w:pPr>
        <w:spacing w:line="560" w:lineRule="exact"/>
        <w:ind w:left="1399" w:leftChars="266" w:hanging="840" w:hangingChars="300"/>
        <w:rPr>
          <w:rFonts w:hint="eastAsia" w:ascii="宋体" w:hAnsi="宋体" w:eastAsia="宋体" w:cs="Times New Roman"/>
          <w:color w:val="auto"/>
          <w:kern w:val="2"/>
          <w:sz w:val="28"/>
          <w:szCs w:val="28"/>
          <w:lang w:val="en-US" w:eastAsia="zh-CN" w:bidi="ar-SA"/>
        </w:rPr>
      </w:pPr>
      <w:r>
        <w:rPr>
          <w:rFonts w:hint="eastAsia" w:ascii="宋体" w:hAnsi="宋体" w:eastAsia="宋体" w:cs="Times New Roman"/>
          <w:color w:val="auto"/>
          <w:kern w:val="2"/>
          <w:sz w:val="28"/>
          <w:szCs w:val="28"/>
          <w:lang w:val="en-US" w:eastAsia="zh-CN" w:bidi="ar-SA"/>
        </w:rPr>
        <w:t>（二）采用收益法测算估价对象市场价值</w:t>
      </w:r>
      <w:bookmarkEnd w:id="48"/>
    </w:p>
    <w:p>
      <w:pPr>
        <w:spacing w:line="560" w:lineRule="exact"/>
        <w:ind w:firstLine="560" w:firstLineChars="200"/>
        <w:rPr>
          <w:rFonts w:hint="eastAsia" w:ascii="宋体" w:hAnsi="宋体" w:eastAsia="宋体" w:cs="Times New Roman"/>
          <w:color w:val="auto"/>
          <w:kern w:val="2"/>
          <w:sz w:val="28"/>
          <w:szCs w:val="28"/>
          <w:lang w:val="en-US" w:eastAsia="zh-CN" w:bidi="ar-SA"/>
        </w:rPr>
      </w:pPr>
      <w:r>
        <w:rPr>
          <w:rFonts w:hint="eastAsia" w:ascii="宋体" w:hAnsi="宋体" w:eastAsia="宋体" w:cs="Times New Roman"/>
          <w:color w:val="auto"/>
          <w:kern w:val="2"/>
          <w:sz w:val="28"/>
          <w:szCs w:val="28"/>
          <w:lang w:val="en-US" w:eastAsia="zh-CN" w:bidi="ar-SA"/>
        </w:rPr>
        <w:t>收益法是预测估价对象的未来收益，利用报酬率或资本化率、收益乘数将未来收益转换为价值得到估价对象价值或价格的方法。本次评估测算过程使用的是报酬资本化法：即预测估价对象未来各年的净收益，利用报酬率将其折现到价值时点后相加得到估价对象价值的方法。选用净收益按一定比率递增的公式的房地产价格计算公式：</w:t>
      </w:r>
    </w:p>
    <w:p>
      <w:pPr>
        <w:spacing w:line="560" w:lineRule="exact"/>
        <w:ind w:firstLine="1120" w:firstLineChars="400"/>
        <w:rPr>
          <w:rFonts w:hint="eastAsia" w:ascii="宋体" w:hAnsi="宋体" w:eastAsia="宋体" w:cs="Times New Roman"/>
          <w:color w:val="auto"/>
          <w:kern w:val="2"/>
          <w:sz w:val="28"/>
          <w:szCs w:val="28"/>
          <w:lang w:val="en-US" w:eastAsia="zh-CN" w:bidi="ar-SA"/>
        </w:rPr>
      </w:pPr>
      <w:r>
        <w:rPr>
          <w:rFonts w:hint="eastAsia" w:ascii="宋体" w:hAnsi="宋体" w:eastAsia="宋体" w:cs="Times New Roman"/>
          <w:color w:val="auto"/>
          <w:kern w:val="2"/>
          <w:sz w:val="28"/>
          <w:szCs w:val="28"/>
          <w:lang w:val="en-US" w:eastAsia="zh-CN" w:bidi="ar-SA"/>
        </w:rPr>
        <w:t>V=A/(Y-g)*{1-[(1+g)/（1+Y）]</w:t>
      </w:r>
      <w:r>
        <w:rPr>
          <w:rFonts w:hint="eastAsia" w:ascii="宋体" w:hAnsi="宋体" w:eastAsia="宋体" w:cs="Times New Roman"/>
          <w:color w:val="auto"/>
          <w:kern w:val="2"/>
          <w:sz w:val="28"/>
          <w:szCs w:val="28"/>
          <w:vertAlign w:val="superscript"/>
          <w:lang w:val="en-US" w:eastAsia="zh-CN" w:bidi="ar-SA"/>
        </w:rPr>
        <w:t>n</w:t>
      </w:r>
      <w:r>
        <w:rPr>
          <w:rFonts w:hint="eastAsia" w:ascii="宋体" w:hAnsi="宋体" w:eastAsia="宋体" w:cs="Times New Roman"/>
          <w:color w:val="auto"/>
          <w:kern w:val="2"/>
          <w:sz w:val="28"/>
          <w:szCs w:val="28"/>
          <w:lang w:val="en-US" w:eastAsia="zh-CN" w:bidi="ar-SA"/>
        </w:rPr>
        <w:t>}</w:t>
      </w:r>
    </w:p>
    <w:p>
      <w:pPr>
        <w:spacing w:line="560" w:lineRule="exact"/>
        <w:ind w:firstLine="1680" w:firstLineChars="600"/>
        <w:rPr>
          <w:rFonts w:hint="eastAsia" w:ascii="宋体" w:hAnsi="宋体" w:eastAsia="宋体" w:cs="Times New Roman"/>
          <w:color w:val="auto"/>
          <w:kern w:val="2"/>
          <w:sz w:val="28"/>
          <w:szCs w:val="28"/>
          <w:lang w:val="en-US" w:eastAsia="zh-CN" w:bidi="ar-SA"/>
        </w:rPr>
      </w:pPr>
      <w:r>
        <w:rPr>
          <w:rFonts w:hint="eastAsia" w:ascii="宋体" w:hAnsi="宋体" w:eastAsia="宋体" w:cs="Times New Roman"/>
          <w:color w:val="auto"/>
          <w:kern w:val="2"/>
          <w:sz w:val="28"/>
          <w:szCs w:val="28"/>
          <w:lang w:val="en-US" w:eastAsia="zh-CN" w:bidi="ar-SA"/>
        </w:rPr>
        <w:t xml:space="preserve">V：房地产抵押价值       </w:t>
      </w:r>
    </w:p>
    <w:p>
      <w:pPr>
        <w:spacing w:line="560" w:lineRule="exact"/>
        <w:ind w:firstLine="1680" w:firstLineChars="600"/>
        <w:rPr>
          <w:rFonts w:hint="eastAsia" w:ascii="宋体" w:hAnsi="宋体" w:eastAsia="宋体" w:cs="Times New Roman"/>
          <w:color w:val="auto"/>
          <w:kern w:val="2"/>
          <w:sz w:val="28"/>
          <w:szCs w:val="28"/>
          <w:lang w:val="en-US" w:eastAsia="zh-CN" w:bidi="ar-SA"/>
        </w:rPr>
      </w:pPr>
      <w:r>
        <w:rPr>
          <w:rFonts w:hint="eastAsia" w:ascii="宋体" w:hAnsi="宋体" w:eastAsia="宋体" w:cs="Times New Roman"/>
          <w:color w:val="auto"/>
          <w:kern w:val="2"/>
          <w:sz w:val="28"/>
          <w:szCs w:val="28"/>
          <w:lang w:val="en-US" w:eastAsia="zh-CN" w:bidi="ar-SA"/>
        </w:rPr>
        <w:t>A：年净收益</w:t>
      </w:r>
    </w:p>
    <w:p>
      <w:pPr>
        <w:spacing w:line="560" w:lineRule="exact"/>
        <w:ind w:firstLine="560" w:firstLineChars="200"/>
        <w:rPr>
          <w:rFonts w:hint="eastAsia" w:ascii="宋体" w:hAnsi="宋体" w:eastAsia="宋体" w:cs="Times New Roman"/>
          <w:color w:val="auto"/>
          <w:kern w:val="2"/>
          <w:sz w:val="28"/>
          <w:szCs w:val="28"/>
          <w:lang w:val="en-US" w:eastAsia="zh-CN" w:bidi="ar-SA"/>
        </w:rPr>
      </w:pPr>
      <w:r>
        <w:rPr>
          <w:rFonts w:hint="eastAsia" w:ascii="宋体" w:hAnsi="宋体" w:eastAsia="宋体" w:cs="Times New Roman"/>
          <w:color w:val="auto"/>
          <w:kern w:val="2"/>
          <w:sz w:val="28"/>
          <w:szCs w:val="28"/>
          <w:lang w:val="en-US" w:eastAsia="zh-CN" w:bidi="ar-SA"/>
        </w:rPr>
        <w:t xml:space="preserve">        Y: 报酬率</w:t>
      </w:r>
    </w:p>
    <w:p>
      <w:pPr>
        <w:spacing w:line="560" w:lineRule="exact"/>
        <w:ind w:firstLine="560" w:firstLineChars="200"/>
        <w:rPr>
          <w:rFonts w:hint="eastAsia" w:ascii="宋体" w:hAnsi="宋体" w:eastAsia="宋体" w:cs="Times New Roman"/>
          <w:color w:val="auto"/>
          <w:kern w:val="2"/>
          <w:sz w:val="28"/>
          <w:szCs w:val="28"/>
          <w:lang w:val="en-US" w:eastAsia="zh-CN" w:bidi="ar-SA"/>
        </w:rPr>
      </w:pPr>
      <w:r>
        <w:rPr>
          <w:rFonts w:hint="eastAsia" w:ascii="宋体" w:hAnsi="宋体" w:eastAsia="宋体" w:cs="Times New Roman"/>
          <w:color w:val="auto"/>
          <w:kern w:val="2"/>
          <w:sz w:val="28"/>
          <w:szCs w:val="28"/>
          <w:lang w:val="en-US" w:eastAsia="zh-CN" w:bidi="ar-SA"/>
        </w:rPr>
        <w:t xml:space="preserve">        g: 净收益逐年递增的比率</w:t>
      </w:r>
    </w:p>
    <w:p>
      <w:pPr>
        <w:spacing w:line="560" w:lineRule="exact"/>
        <w:ind w:firstLine="560" w:firstLineChars="200"/>
        <w:rPr>
          <w:rFonts w:hint="eastAsia" w:ascii="宋体" w:hAnsi="宋体" w:eastAsia="宋体" w:cs="Times New Roman"/>
          <w:color w:val="auto"/>
          <w:kern w:val="2"/>
          <w:sz w:val="28"/>
          <w:szCs w:val="28"/>
          <w:lang w:val="en-US" w:eastAsia="zh-CN" w:bidi="ar-SA"/>
        </w:rPr>
      </w:pPr>
      <w:r>
        <w:rPr>
          <w:rFonts w:hint="eastAsia" w:ascii="宋体" w:hAnsi="宋体" w:eastAsia="宋体" w:cs="Times New Roman"/>
          <w:color w:val="auto"/>
          <w:kern w:val="2"/>
          <w:sz w:val="28"/>
          <w:szCs w:val="28"/>
          <w:lang w:val="en-US" w:eastAsia="zh-CN" w:bidi="ar-SA"/>
        </w:rPr>
        <w:t xml:space="preserve">        n: 未来可取的收益的年限</w:t>
      </w:r>
    </w:p>
    <w:p>
      <w:pPr>
        <w:spacing w:line="560" w:lineRule="exact"/>
        <w:ind w:firstLine="560" w:firstLineChars="200"/>
        <w:rPr>
          <w:rFonts w:hint="eastAsia" w:ascii="宋体" w:hAnsi="宋体" w:eastAsia="宋体" w:cs="Times New Roman"/>
          <w:color w:val="auto"/>
          <w:kern w:val="2"/>
          <w:sz w:val="28"/>
          <w:szCs w:val="28"/>
          <w:lang w:val="en-US" w:eastAsia="zh-CN" w:bidi="ar-SA"/>
        </w:rPr>
      </w:pPr>
      <w:r>
        <w:rPr>
          <w:rFonts w:hint="eastAsia" w:ascii="宋体" w:hAnsi="宋体" w:eastAsia="宋体" w:cs="Times New Roman"/>
          <w:color w:val="auto"/>
          <w:kern w:val="2"/>
          <w:sz w:val="28"/>
          <w:szCs w:val="28"/>
          <w:lang w:val="en-US" w:eastAsia="zh-CN" w:bidi="ar-SA"/>
        </w:rPr>
        <w:t>（1）估算有效毛收入：经对估价对象所在区域类似房地产租金情况的调查得知其平均年租金为</w:t>
      </w:r>
      <w:r>
        <w:rPr>
          <w:rFonts w:hint="eastAsia" w:ascii="宋体" w:hAnsi="宋体" w:cs="Times New Roman"/>
          <w:color w:val="auto"/>
          <w:kern w:val="2"/>
          <w:sz w:val="28"/>
          <w:szCs w:val="28"/>
          <w:lang w:val="en-US" w:eastAsia="zh-CN" w:bidi="ar-SA"/>
        </w:rPr>
        <w:t>120</w:t>
      </w:r>
      <w:r>
        <w:rPr>
          <w:rFonts w:hint="eastAsia" w:ascii="宋体" w:hAnsi="宋体" w:eastAsia="宋体" w:cs="Times New Roman"/>
          <w:color w:val="auto"/>
          <w:kern w:val="2"/>
          <w:sz w:val="28"/>
          <w:szCs w:val="28"/>
          <w:lang w:val="en-US" w:eastAsia="zh-CN" w:bidi="ar-SA"/>
        </w:rPr>
        <w:t>元/㎡。</w:t>
      </w:r>
    </w:p>
    <w:p>
      <w:pPr>
        <w:spacing w:line="560" w:lineRule="exact"/>
        <w:ind w:firstLine="560" w:firstLineChars="200"/>
        <w:rPr>
          <w:rFonts w:hint="eastAsia" w:ascii="宋体" w:hAnsi="宋体" w:eastAsia="宋体" w:cs="Times New Roman"/>
          <w:color w:val="auto"/>
          <w:kern w:val="2"/>
          <w:sz w:val="28"/>
          <w:szCs w:val="28"/>
          <w:lang w:val="en-US" w:eastAsia="zh-CN" w:bidi="ar-SA"/>
        </w:rPr>
      </w:pPr>
      <w:r>
        <w:rPr>
          <w:rFonts w:hint="eastAsia" w:ascii="宋体" w:hAnsi="宋体" w:eastAsia="宋体" w:cs="Times New Roman"/>
          <w:color w:val="auto"/>
          <w:kern w:val="2"/>
          <w:sz w:val="28"/>
          <w:szCs w:val="28"/>
          <w:lang w:val="en-US" w:eastAsia="zh-CN" w:bidi="ar-SA"/>
        </w:rPr>
        <w:t>（2）估算运营费用：</w:t>
      </w:r>
      <w:r>
        <w:rPr>
          <w:rFonts w:hint="eastAsia" w:ascii="宋体" w:hAnsi="宋体" w:cs="Times New Roman"/>
          <w:color w:val="auto"/>
          <w:kern w:val="2"/>
          <w:sz w:val="28"/>
          <w:szCs w:val="28"/>
          <w:lang w:val="en-US" w:eastAsia="zh-CN" w:bidi="ar-SA"/>
        </w:rPr>
        <w:t>经市场调查，目前该类房地产出租的情况下，由出租人主要承担的费用为物业费用、取暖费用由此确定</w:t>
      </w:r>
      <w:r>
        <w:rPr>
          <w:rFonts w:hint="eastAsia" w:ascii="宋体" w:hAnsi="宋体" w:eastAsia="宋体" w:cs="Times New Roman"/>
          <w:color w:val="auto"/>
          <w:kern w:val="2"/>
          <w:sz w:val="28"/>
          <w:szCs w:val="28"/>
          <w:lang w:val="en-US" w:eastAsia="zh-CN" w:bidi="ar-SA"/>
        </w:rPr>
        <w:t>运营费用为25.3元/㎡。</w:t>
      </w:r>
    </w:p>
    <w:p>
      <w:pPr>
        <w:spacing w:line="560" w:lineRule="exact"/>
        <w:ind w:firstLine="560" w:firstLineChars="200"/>
        <w:rPr>
          <w:rFonts w:hint="eastAsia" w:ascii="宋体" w:hAnsi="宋体" w:eastAsia="宋体" w:cs="Times New Roman"/>
          <w:color w:val="auto"/>
          <w:kern w:val="2"/>
          <w:sz w:val="28"/>
          <w:szCs w:val="28"/>
          <w:lang w:val="en-US" w:eastAsia="zh-CN" w:bidi="ar-SA"/>
        </w:rPr>
      </w:pPr>
      <w:r>
        <w:rPr>
          <w:rFonts w:hint="eastAsia" w:ascii="宋体" w:hAnsi="宋体" w:eastAsia="宋体" w:cs="Times New Roman"/>
          <w:color w:val="auto"/>
          <w:kern w:val="2"/>
          <w:sz w:val="28"/>
          <w:szCs w:val="28"/>
          <w:lang w:val="en-US" w:eastAsia="zh-CN" w:bidi="ar-SA"/>
        </w:rPr>
        <w:t>（3）估算年净收益</w:t>
      </w:r>
    </w:p>
    <w:p>
      <w:pPr>
        <w:spacing w:line="560" w:lineRule="exact"/>
        <w:ind w:firstLine="560" w:firstLineChars="200"/>
        <w:rPr>
          <w:rFonts w:hint="eastAsia" w:ascii="宋体" w:hAnsi="宋体" w:eastAsia="宋体" w:cs="Times New Roman"/>
          <w:color w:val="auto"/>
          <w:kern w:val="2"/>
          <w:sz w:val="28"/>
          <w:szCs w:val="28"/>
          <w:lang w:val="en-US" w:eastAsia="zh-CN" w:bidi="ar-SA"/>
        </w:rPr>
      </w:pPr>
      <w:r>
        <w:rPr>
          <w:rFonts w:hint="eastAsia" w:ascii="宋体" w:hAnsi="宋体" w:eastAsia="宋体" w:cs="Times New Roman"/>
          <w:color w:val="auto"/>
          <w:kern w:val="2"/>
          <w:sz w:val="28"/>
          <w:szCs w:val="28"/>
          <w:lang w:val="en-US" w:eastAsia="zh-CN" w:bidi="ar-SA"/>
        </w:rPr>
        <w:t>年净收益=有效毛收入-运营费用</w:t>
      </w:r>
    </w:p>
    <w:p>
      <w:pPr>
        <w:spacing w:line="560" w:lineRule="exact"/>
        <w:ind w:firstLine="560" w:firstLineChars="200"/>
        <w:rPr>
          <w:rFonts w:hint="eastAsia" w:ascii="宋体" w:hAnsi="宋体" w:eastAsia="宋体" w:cs="Times New Roman"/>
          <w:color w:val="auto"/>
          <w:kern w:val="2"/>
          <w:sz w:val="28"/>
          <w:szCs w:val="28"/>
          <w:lang w:val="en-US" w:eastAsia="zh-CN" w:bidi="ar-SA"/>
        </w:rPr>
      </w:pPr>
      <w:r>
        <w:rPr>
          <w:rFonts w:hint="eastAsia" w:ascii="宋体" w:hAnsi="宋体" w:eastAsia="宋体" w:cs="Times New Roman"/>
          <w:color w:val="auto"/>
          <w:kern w:val="2"/>
          <w:sz w:val="28"/>
          <w:szCs w:val="28"/>
          <w:lang w:val="en-US" w:eastAsia="zh-CN" w:bidi="ar-SA"/>
        </w:rPr>
        <w:t>=</w:t>
      </w:r>
      <w:r>
        <w:rPr>
          <w:rFonts w:hint="eastAsia" w:ascii="宋体" w:hAnsi="宋体" w:cs="Times New Roman"/>
          <w:color w:val="auto"/>
          <w:kern w:val="2"/>
          <w:sz w:val="28"/>
          <w:szCs w:val="28"/>
          <w:lang w:val="en-US" w:eastAsia="zh-CN" w:bidi="ar-SA"/>
        </w:rPr>
        <w:t>120</w:t>
      </w:r>
      <w:r>
        <w:rPr>
          <w:rFonts w:hint="eastAsia" w:ascii="宋体" w:hAnsi="宋体" w:eastAsia="宋体" w:cs="Times New Roman"/>
          <w:color w:val="auto"/>
          <w:kern w:val="2"/>
          <w:sz w:val="28"/>
          <w:szCs w:val="28"/>
          <w:lang w:val="en-US" w:eastAsia="zh-CN" w:bidi="ar-SA"/>
        </w:rPr>
        <w:t>元/㎡-25.3元/㎡</w:t>
      </w:r>
    </w:p>
    <w:p>
      <w:pPr>
        <w:spacing w:line="560" w:lineRule="exact"/>
        <w:ind w:firstLine="560" w:firstLineChars="200"/>
        <w:rPr>
          <w:rFonts w:hint="eastAsia" w:ascii="宋体" w:hAnsi="宋体" w:eastAsia="宋体" w:cs="Times New Roman"/>
          <w:color w:val="auto"/>
          <w:kern w:val="2"/>
          <w:sz w:val="28"/>
          <w:szCs w:val="28"/>
          <w:lang w:val="en-US" w:eastAsia="zh-CN" w:bidi="ar-SA"/>
        </w:rPr>
      </w:pPr>
      <w:r>
        <w:rPr>
          <w:rFonts w:hint="eastAsia" w:ascii="宋体" w:hAnsi="宋体" w:eastAsia="宋体" w:cs="Times New Roman"/>
          <w:color w:val="auto"/>
          <w:kern w:val="2"/>
          <w:sz w:val="28"/>
          <w:szCs w:val="28"/>
          <w:lang w:val="en-US" w:eastAsia="zh-CN" w:bidi="ar-SA"/>
        </w:rPr>
        <w:t>=</w:t>
      </w:r>
      <w:r>
        <w:rPr>
          <w:rFonts w:hint="eastAsia" w:ascii="宋体" w:hAnsi="宋体" w:cs="Times New Roman"/>
          <w:color w:val="auto"/>
          <w:kern w:val="2"/>
          <w:sz w:val="28"/>
          <w:szCs w:val="28"/>
          <w:lang w:val="en-US" w:eastAsia="zh-CN" w:bidi="ar-SA"/>
        </w:rPr>
        <w:t>94.7</w:t>
      </w:r>
      <w:r>
        <w:rPr>
          <w:rFonts w:hint="eastAsia" w:ascii="宋体" w:hAnsi="宋体" w:eastAsia="宋体" w:cs="Times New Roman"/>
          <w:color w:val="auto"/>
          <w:kern w:val="2"/>
          <w:sz w:val="28"/>
          <w:szCs w:val="28"/>
          <w:lang w:val="en-US" w:eastAsia="zh-CN" w:bidi="ar-SA"/>
        </w:rPr>
        <w:t>元/㎡</w:t>
      </w:r>
    </w:p>
    <w:p>
      <w:pPr>
        <w:spacing w:line="560" w:lineRule="exact"/>
        <w:ind w:firstLine="560" w:firstLineChars="200"/>
        <w:rPr>
          <w:rFonts w:hint="eastAsia" w:ascii="宋体" w:hAnsi="宋体" w:eastAsia="宋体" w:cs="Times New Roman"/>
          <w:color w:val="auto"/>
          <w:kern w:val="2"/>
          <w:sz w:val="28"/>
          <w:szCs w:val="28"/>
          <w:lang w:val="en-US" w:eastAsia="zh-CN" w:bidi="ar-SA"/>
        </w:rPr>
      </w:pPr>
      <w:r>
        <w:rPr>
          <w:rFonts w:hint="eastAsia" w:ascii="宋体" w:hAnsi="宋体" w:eastAsia="宋体" w:cs="Times New Roman"/>
          <w:color w:val="auto"/>
          <w:kern w:val="2"/>
          <w:sz w:val="28"/>
          <w:szCs w:val="28"/>
          <w:lang w:val="en-US" w:eastAsia="zh-CN" w:bidi="ar-SA"/>
        </w:rPr>
        <w:t>（4）报酬率的选取</w:t>
      </w:r>
    </w:p>
    <w:p>
      <w:pPr>
        <w:spacing w:line="560" w:lineRule="exact"/>
        <w:ind w:firstLine="560" w:firstLineChars="200"/>
        <w:rPr>
          <w:rFonts w:hint="eastAsia" w:ascii="宋体" w:hAnsi="宋体" w:eastAsia="宋体" w:cs="Times New Roman"/>
          <w:color w:val="auto"/>
          <w:kern w:val="2"/>
          <w:sz w:val="28"/>
          <w:szCs w:val="28"/>
          <w:lang w:val="en-US" w:eastAsia="zh-CN" w:bidi="ar-SA"/>
        </w:rPr>
      </w:pPr>
      <w:r>
        <w:rPr>
          <w:rFonts w:hint="eastAsia" w:ascii="宋体" w:hAnsi="宋体" w:eastAsia="宋体" w:cs="Times New Roman"/>
          <w:color w:val="auto"/>
          <w:kern w:val="2"/>
          <w:sz w:val="28"/>
          <w:szCs w:val="28"/>
          <w:lang w:val="en-US" w:eastAsia="zh-CN" w:bidi="ar-SA"/>
        </w:rPr>
        <w:t>取一年期定期存款年利率1.5%加</w:t>
      </w:r>
      <w:r>
        <w:rPr>
          <w:rFonts w:hint="eastAsia" w:ascii="宋体" w:hAnsi="宋体" w:cs="Times New Roman"/>
          <w:color w:val="auto"/>
          <w:kern w:val="2"/>
          <w:sz w:val="28"/>
          <w:szCs w:val="28"/>
          <w:lang w:val="en-US" w:eastAsia="zh-CN" w:bidi="ar-SA"/>
        </w:rPr>
        <w:t>2.1</w:t>
      </w:r>
      <w:r>
        <w:rPr>
          <w:rFonts w:hint="eastAsia" w:ascii="宋体" w:hAnsi="宋体" w:eastAsia="宋体" w:cs="Times New Roman"/>
          <w:color w:val="auto"/>
          <w:kern w:val="2"/>
          <w:sz w:val="28"/>
          <w:szCs w:val="28"/>
          <w:lang w:val="en-US" w:eastAsia="zh-CN" w:bidi="ar-SA"/>
        </w:rPr>
        <w:t>%的风险调整值，确定本次的报酬率为</w:t>
      </w:r>
      <w:r>
        <w:rPr>
          <w:rFonts w:hint="eastAsia" w:ascii="宋体" w:hAnsi="宋体" w:cs="Times New Roman"/>
          <w:color w:val="auto"/>
          <w:kern w:val="2"/>
          <w:sz w:val="28"/>
          <w:szCs w:val="28"/>
          <w:lang w:val="en-US" w:eastAsia="zh-CN" w:bidi="ar-SA"/>
        </w:rPr>
        <w:t>3.6%</w:t>
      </w:r>
      <w:r>
        <w:rPr>
          <w:rFonts w:hint="eastAsia" w:ascii="宋体" w:hAnsi="宋体" w:eastAsia="宋体" w:cs="Times New Roman"/>
          <w:color w:val="auto"/>
          <w:kern w:val="2"/>
          <w:sz w:val="28"/>
          <w:szCs w:val="28"/>
          <w:lang w:val="en-US" w:eastAsia="zh-CN" w:bidi="ar-SA"/>
        </w:rPr>
        <w:t>。</w:t>
      </w:r>
    </w:p>
    <w:p>
      <w:pPr>
        <w:spacing w:line="560" w:lineRule="exact"/>
        <w:ind w:firstLine="560" w:firstLineChars="200"/>
        <w:rPr>
          <w:rFonts w:hint="eastAsia" w:ascii="宋体" w:hAnsi="宋体" w:eastAsia="宋体" w:cs="Times New Roman"/>
          <w:color w:val="auto"/>
          <w:kern w:val="2"/>
          <w:sz w:val="28"/>
          <w:szCs w:val="28"/>
          <w:lang w:val="en-US" w:eastAsia="zh-CN" w:bidi="ar-SA"/>
        </w:rPr>
      </w:pPr>
      <w:r>
        <w:rPr>
          <w:rFonts w:hint="eastAsia" w:ascii="宋体" w:hAnsi="宋体" w:eastAsia="宋体" w:cs="Times New Roman"/>
          <w:color w:val="auto"/>
          <w:kern w:val="2"/>
          <w:sz w:val="28"/>
          <w:szCs w:val="28"/>
          <w:lang w:val="en-US" w:eastAsia="zh-CN" w:bidi="ar-SA"/>
        </w:rPr>
        <w:t>（5）净收益逐年递增比率的确定：</w:t>
      </w:r>
    </w:p>
    <w:p>
      <w:pPr>
        <w:spacing w:line="560" w:lineRule="exact"/>
        <w:ind w:firstLine="560" w:firstLineChars="200"/>
        <w:rPr>
          <w:rFonts w:hint="eastAsia" w:ascii="宋体" w:hAnsi="宋体" w:eastAsia="宋体" w:cs="Times New Roman"/>
          <w:color w:val="auto"/>
          <w:kern w:val="2"/>
          <w:sz w:val="28"/>
          <w:szCs w:val="28"/>
          <w:lang w:val="en-US" w:eastAsia="zh-CN" w:bidi="ar-SA"/>
        </w:rPr>
      </w:pPr>
      <w:r>
        <w:rPr>
          <w:rFonts w:hint="eastAsia" w:ascii="宋体" w:hAnsi="宋体" w:eastAsia="宋体" w:cs="Times New Roman"/>
          <w:color w:val="auto"/>
          <w:kern w:val="2"/>
          <w:sz w:val="28"/>
          <w:szCs w:val="28"/>
          <w:lang w:val="en-US" w:eastAsia="zh-CN" w:bidi="ar-SA"/>
        </w:rPr>
        <w:t>根据估价对象周边同类型房地产今年内出租水平调查，综合确定净收益逐年递增的比率为3%。</w:t>
      </w:r>
    </w:p>
    <w:p>
      <w:pPr>
        <w:spacing w:line="560" w:lineRule="exact"/>
        <w:ind w:firstLine="560" w:firstLineChars="200"/>
        <w:rPr>
          <w:rFonts w:hint="eastAsia" w:ascii="宋体" w:hAnsi="宋体" w:eastAsia="宋体" w:cs="Times New Roman"/>
          <w:color w:val="auto"/>
          <w:kern w:val="2"/>
          <w:sz w:val="28"/>
          <w:szCs w:val="28"/>
          <w:lang w:val="en-US" w:eastAsia="zh-CN" w:bidi="ar-SA"/>
        </w:rPr>
      </w:pPr>
      <w:r>
        <w:rPr>
          <w:rFonts w:hint="eastAsia" w:ascii="宋体" w:hAnsi="宋体" w:eastAsia="宋体" w:cs="Times New Roman"/>
          <w:color w:val="auto"/>
          <w:kern w:val="2"/>
          <w:sz w:val="28"/>
          <w:szCs w:val="28"/>
          <w:lang w:val="en-US" w:eastAsia="zh-CN" w:bidi="ar-SA"/>
        </w:rPr>
        <w:t>（6）收益年期的确定：估价对象建成于</w:t>
      </w:r>
      <w:r>
        <w:rPr>
          <w:rFonts w:hint="eastAsia" w:ascii="宋体" w:hAnsi="宋体" w:cs="Times New Roman"/>
          <w:color w:val="auto"/>
          <w:kern w:val="2"/>
          <w:sz w:val="28"/>
          <w:szCs w:val="28"/>
          <w:lang w:val="en-US" w:eastAsia="zh-CN" w:bidi="ar-SA"/>
        </w:rPr>
        <w:t>2010年</w:t>
      </w:r>
      <w:r>
        <w:rPr>
          <w:rFonts w:hint="eastAsia" w:ascii="宋体" w:hAnsi="宋体" w:eastAsia="宋体" w:cs="Times New Roman"/>
          <w:color w:val="auto"/>
          <w:kern w:val="2"/>
          <w:sz w:val="28"/>
          <w:szCs w:val="28"/>
          <w:lang w:val="en-US" w:eastAsia="zh-CN" w:bidi="ar-SA"/>
        </w:rPr>
        <w:t>，结合估价对象的</w:t>
      </w:r>
      <w:r>
        <w:rPr>
          <w:rFonts w:hint="eastAsia" w:ascii="宋体" w:hAnsi="宋体" w:cs="Times New Roman"/>
          <w:color w:val="auto"/>
          <w:kern w:val="2"/>
          <w:sz w:val="28"/>
          <w:szCs w:val="28"/>
          <w:lang w:val="en-US" w:eastAsia="zh-CN" w:bidi="ar-SA"/>
        </w:rPr>
        <w:t>土地用途、使用年期、建筑物的耐用年限以及估价对象建成年代，</w:t>
      </w:r>
      <w:r>
        <w:rPr>
          <w:rFonts w:hint="eastAsia" w:ascii="宋体" w:hAnsi="宋体" w:eastAsia="宋体" w:cs="Times New Roman"/>
          <w:color w:val="auto"/>
          <w:kern w:val="2"/>
          <w:sz w:val="28"/>
          <w:szCs w:val="28"/>
          <w:lang w:val="en-US" w:eastAsia="zh-CN" w:bidi="ar-SA"/>
        </w:rPr>
        <w:t>综合确定估价对象未来可获剩余收益的年限</w:t>
      </w:r>
      <w:r>
        <w:rPr>
          <w:rFonts w:hint="eastAsia" w:ascii="宋体" w:hAnsi="宋体" w:cs="Times New Roman"/>
          <w:color w:val="auto"/>
          <w:kern w:val="2"/>
          <w:sz w:val="28"/>
          <w:szCs w:val="28"/>
          <w:lang w:val="en-US" w:eastAsia="zh-CN" w:bidi="ar-SA"/>
        </w:rPr>
        <w:t>42</w:t>
      </w:r>
      <w:r>
        <w:rPr>
          <w:rFonts w:hint="eastAsia" w:ascii="宋体" w:hAnsi="宋体" w:eastAsia="宋体" w:cs="Times New Roman"/>
          <w:color w:val="auto"/>
          <w:kern w:val="2"/>
          <w:sz w:val="28"/>
          <w:szCs w:val="28"/>
          <w:lang w:val="en-US" w:eastAsia="zh-CN" w:bidi="ar-SA"/>
        </w:rPr>
        <w:t>年；</w:t>
      </w:r>
    </w:p>
    <w:p>
      <w:pPr>
        <w:spacing w:line="560" w:lineRule="exact"/>
        <w:ind w:firstLine="560" w:firstLineChars="200"/>
        <w:rPr>
          <w:rFonts w:hint="eastAsia" w:ascii="宋体" w:hAnsi="宋体" w:eastAsia="宋体" w:cs="Times New Roman"/>
          <w:color w:val="auto"/>
          <w:kern w:val="2"/>
          <w:sz w:val="28"/>
          <w:szCs w:val="28"/>
          <w:lang w:val="en-US" w:eastAsia="zh-CN" w:bidi="ar-SA"/>
        </w:rPr>
      </w:pPr>
      <w:r>
        <w:rPr>
          <w:rFonts w:hint="eastAsia" w:ascii="宋体" w:hAnsi="宋体" w:eastAsia="宋体" w:cs="Times New Roman"/>
          <w:color w:val="auto"/>
          <w:kern w:val="2"/>
          <w:sz w:val="28"/>
          <w:szCs w:val="28"/>
          <w:lang w:val="en-US" w:eastAsia="zh-CN" w:bidi="ar-SA"/>
        </w:rPr>
        <w:t>（7）收益单价的确定：</w:t>
      </w:r>
    </w:p>
    <w:p>
      <w:pPr>
        <w:spacing w:line="560" w:lineRule="exact"/>
        <w:ind w:firstLine="560" w:firstLineChars="200"/>
        <w:rPr>
          <w:rFonts w:hint="eastAsia" w:ascii="宋体" w:hAnsi="宋体" w:eastAsia="宋体" w:cs="Times New Roman"/>
          <w:color w:val="auto"/>
          <w:kern w:val="2"/>
          <w:sz w:val="28"/>
          <w:szCs w:val="28"/>
          <w:lang w:val="en-US" w:eastAsia="zh-CN" w:bidi="ar-SA"/>
        </w:rPr>
      </w:pPr>
      <w:r>
        <w:rPr>
          <w:rFonts w:hint="eastAsia" w:ascii="宋体" w:hAnsi="宋体" w:eastAsia="宋体" w:cs="Times New Roman"/>
          <w:color w:val="auto"/>
          <w:kern w:val="2"/>
          <w:sz w:val="28"/>
          <w:szCs w:val="28"/>
          <w:lang w:val="en-US" w:eastAsia="zh-CN" w:bidi="ar-SA"/>
        </w:rPr>
        <w:t>V=A/(Y-g)*{1-[(1+g)/（1+Y）]</w:t>
      </w:r>
      <w:r>
        <w:rPr>
          <w:rFonts w:hint="eastAsia" w:ascii="宋体" w:hAnsi="宋体" w:eastAsia="宋体" w:cs="Times New Roman"/>
          <w:color w:val="auto"/>
          <w:kern w:val="2"/>
          <w:sz w:val="28"/>
          <w:szCs w:val="28"/>
          <w:vertAlign w:val="superscript"/>
          <w:lang w:val="en-US" w:eastAsia="zh-CN" w:bidi="ar-SA"/>
        </w:rPr>
        <w:t>n</w:t>
      </w:r>
      <w:r>
        <w:rPr>
          <w:rFonts w:hint="eastAsia" w:ascii="宋体" w:hAnsi="宋体" w:eastAsia="宋体" w:cs="Times New Roman"/>
          <w:color w:val="auto"/>
          <w:kern w:val="2"/>
          <w:sz w:val="28"/>
          <w:szCs w:val="28"/>
          <w:lang w:val="en-US" w:eastAsia="zh-CN" w:bidi="ar-SA"/>
        </w:rPr>
        <w:t>}</w:t>
      </w:r>
    </w:p>
    <w:p>
      <w:pPr>
        <w:spacing w:line="560" w:lineRule="exact"/>
        <w:ind w:firstLine="560" w:firstLineChars="200"/>
        <w:rPr>
          <w:rFonts w:hint="eastAsia" w:ascii="宋体" w:hAnsi="宋体" w:eastAsia="宋体" w:cs="Times New Roman"/>
          <w:color w:val="auto"/>
          <w:kern w:val="2"/>
          <w:sz w:val="28"/>
          <w:szCs w:val="28"/>
          <w:lang w:val="en-US" w:eastAsia="zh-CN" w:bidi="ar-SA"/>
        </w:rPr>
      </w:pPr>
      <w:r>
        <w:rPr>
          <w:rFonts w:hint="eastAsia" w:ascii="宋体" w:hAnsi="宋体" w:eastAsia="宋体" w:cs="Times New Roman"/>
          <w:color w:val="auto"/>
          <w:kern w:val="2"/>
          <w:sz w:val="28"/>
          <w:szCs w:val="28"/>
          <w:lang w:val="en-US" w:eastAsia="zh-CN" w:bidi="ar-SA"/>
        </w:rPr>
        <w:t>收益单价=</w:t>
      </w:r>
      <w:r>
        <w:rPr>
          <w:rFonts w:hint="eastAsia" w:ascii="宋体" w:hAnsi="宋体" w:cs="Times New Roman"/>
          <w:color w:val="auto"/>
          <w:kern w:val="2"/>
          <w:sz w:val="28"/>
          <w:szCs w:val="28"/>
          <w:lang w:val="en-US" w:eastAsia="zh-CN" w:bidi="ar-SA"/>
        </w:rPr>
        <w:t>94.7</w:t>
      </w:r>
      <w:r>
        <w:rPr>
          <w:rFonts w:hint="eastAsia" w:ascii="宋体" w:hAnsi="宋体" w:eastAsia="宋体" w:cs="Times New Roman"/>
          <w:color w:val="auto"/>
          <w:kern w:val="2"/>
          <w:sz w:val="28"/>
          <w:szCs w:val="28"/>
          <w:lang w:val="en-US" w:eastAsia="zh-CN" w:bidi="ar-SA"/>
        </w:rPr>
        <w:t>元/㎡/（</w:t>
      </w:r>
      <w:r>
        <w:rPr>
          <w:rFonts w:hint="eastAsia" w:ascii="宋体" w:hAnsi="宋体" w:cs="Times New Roman"/>
          <w:color w:val="auto"/>
          <w:kern w:val="2"/>
          <w:sz w:val="28"/>
          <w:szCs w:val="28"/>
          <w:lang w:val="en-US" w:eastAsia="zh-CN" w:bidi="ar-SA"/>
        </w:rPr>
        <w:t>3.6%</w:t>
      </w:r>
      <w:r>
        <w:rPr>
          <w:rFonts w:hint="eastAsia" w:ascii="宋体" w:hAnsi="宋体" w:eastAsia="宋体" w:cs="Times New Roman"/>
          <w:color w:val="auto"/>
          <w:kern w:val="2"/>
          <w:sz w:val="28"/>
          <w:szCs w:val="28"/>
          <w:lang w:val="en-US" w:eastAsia="zh-CN" w:bidi="ar-SA"/>
        </w:rPr>
        <w:t>-3%）×{1-[（1+3%）/(1+</w:t>
      </w:r>
      <w:r>
        <w:rPr>
          <w:rFonts w:hint="eastAsia" w:ascii="宋体" w:hAnsi="宋体" w:cs="Times New Roman"/>
          <w:color w:val="auto"/>
          <w:kern w:val="2"/>
          <w:sz w:val="28"/>
          <w:szCs w:val="28"/>
          <w:lang w:val="en-US" w:eastAsia="zh-CN" w:bidi="ar-SA"/>
        </w:rPr>
        <w:t>3.6%</w:t>
      </w:r>
      <w:r>
        <w:rPr>
          <w:rFonts w:hint="eastAsia" w:ascii="宋体" w:hAnsi="宋体" w:eastAsia="宋体" w:cs="Times New Roman"/>
          <w:color w:val="auto"/>
          <w:kern w:val="2"/>
          <w:sz w:val="28"/>
          <w:szCs w:val="28"/>
          <w:lang w:val="en-US" w:eastAsia="zh-CN" w:bidi="ar-SA"/>
        </w:rPr>
        <w:t>)]</w:t>
      </w:r>
      <w:r>
        <w:rPr>
          <w:rFonts w:hint="eastAsia" w:ascii="宋体" w:hAnsi="宋体" w:cs="Times New Roman"/>
          <w:color w:val="auto"/>
          <w:kern w:val="2"/>
          <w:sz w:val="28"/>
          <w:szCs w:val="28"/>
          <w:vertAlign w:val="superscript"/>
          <w:lang w:val="en-US" w:eastAsia="zh-CN" w:bidi="ar-SA"/>
        </w:rPr>
        <w:t>42</w:t>
      </w:r>
      <w:r>
        <w:rPr>
          <w:rFonts w:hint="eastAsia" w:ascii="宋体" w:hAnsi="宋体" w:eastAsia="宋体" w:cs="Times New Roman"/>
          <w:color w:val="auto"/>
          <w:kern w:val="2"/>
          <w:sz w:val="28"/>
          <w:szCs w:val="28"/>
          <w:lang w:val="en-US" w:eastAsia="zh-CN" w:bidi="ar-SA"/>
        </w:rPr>
        <w:t>}</w:t>
      </w:r>
    </w:p>
    <w:p>
      <w:pPr>
        <w:spacing w:line="560" w:lineRule="exact"/>
        <w:ind w:firstLine="1400" w:firstLineChars="500"/>
        <w:rPr>
          <w:rFonts w:hint="eastAsia" w:ascii="宋体" w:hAnsi="宋体" w:eastAsia="宋体" w:cs="Times New Roman"/>
          <w:color w:val="auto"/>
          <w:kern w:val="2"/>
          <w:sz w:val="28"/>
          <w:szCs w:val="28"/>
          <w:lang w:val="en-US" w:eastAsia="zh-CN" w:bidi="ar-SA"/>
        </w:rPr>
      </w:pPr>
      <w:r>
        <w:rPr>
          <w:rFonts w:hint="eastAsia" w:ascii="宋体" w:hAnsi="宋体" w:eastAsia="宋体" w:cs="Times New Roman"/>
          <w:color w:val="auto"/>
          <w:kern w:val="2"/>
          <w:sz w:val="28"/>
          <w:szCs w:val="28"/>
          <w:lang w:val="en-US" w:eastAsia="zh-CN" w:bidi="ar-SA"/>
        </w:rPr>
        <w:t>=</w:t>
      </w:r>
      <w:r>
        <w:rPr>
          <w:rFonts w:hint="eastAsia" w:ascii="宋体" w:hAnsi="宋体" w:cs="Times New Roman"/>
          <w:color w:val="auto"/>
          <w:kern w:val="2"/>
          <w:sz w:val="28"/>
          <w:szCs w:val="28"/>
          <w:lang w:val="en-US" w:eastAsia="zh-CN" w:bidi="ar-SA"/>
        </w:rPr>
        <w:t>3417</w:t>
      </w:r>
      <w:r>
        <w:rPr>
          <w:rFonts w:hint="eastAsia" w:ascii="宋体" w:hAnsi="宋体" w:eastAsia="宋体" w:cs="Times New Roman"/>
          <w:color w:val="auto"/>
          <w:kern w:val="2"/>
          <w:sz w:val="28"/>
          <w:szCs w:val="28"/>
          <w:lang w:val="en-US" w:eastAsia="zh-CN" w:bidi="ar-SA"/>
        </w:rPr>
        <w:t xml:space="preserve">元/㎡ </w:t>
      </w:r>
    </w:p>
    <w:p>
      <w:pPr>
        <w:spacing w:line="560" w:lineRule="exact"/>
        <w:ind w:firstLine="560" w:firstLineChars="200"/>
        <w:rPr>
          <w:rFonts w:hint="eastAsia" w:ascii="宋体" w:hAnsi="宋体" w:eastAsia="宋体" w:cs="Times New Roman"/>
          <w:color w:val="auto"/>
          <w:kern w:val="2"/>
          <w:sz w:val="28"/>
          <w:szCs w:val="28"/>
          <w:lang w:val="en-US" w:eastAsia="zh-CN" w:bidi="ar-SA"/>
        </w:rPr>
      </w:pPr>
      <w:bookmarkStart w:id="49" w:name="_Toc9984_WPSOffice_Level1"/>
      <w:bookmarkStart w:id="50" w:name="_Toc7112913"/>
      <w:bookmarkStart w:id="51" w:name="_Toc6946154"/>
      <w:bookmarkStart w:id="52" w:name="_Toc27655"/>
      <w:r>
        <w:rPr>
          <w:rFonts w:hint="eastAsia" w:ascii="宋体" w:hAnsi="宋体" w:eastAsia="宋体" w:cs="Times New Roman"/>
          <w:color w:val="auto"/>
          <w:kern w:val="2"/>
          <w:sz w:val="28"/>
          <w:szCs w:val="28"/>
          <w:lang w:val="en-US" w:eastAsia="zh-CN" w:bidi="ar-SA"/>
        </w:rPr>
        <w:t>（三）估价结果的确定</w:t>
      </w:r>
      <w:bookmarkEnd w:id="49"/>
      <w:bookmarkEnd w:id="50"/>
      <w:bookmarkEnd w:id="51"/>
      <w:bookmarkEnd w:id="52"/>
    </w:p>
    <w:p>
      <w:pPr>
        <w:spacing w:line="560" w:lineRule="exact"/>
        <w:ind w:firstLine="560" w:firstLineChars="200"/>
        <w:rPr>
          <w:rFonts w:hint="eastAsia" w:ascii="宋体" w:hAnsi="宋体" w:eastAsia="宋体" w:cs="Times New Roman"/>
          <w:color w:val="auto"/>
          <w:kern w:val="2"/>
          <w:sz w:val="28"/>
          <w:szCs w:val="28"/>
          <w:lang w:val="en-US" w:eastAsia="zh-CN" w:bidi="ar-SA"/>
        </w:rPr>
      </w:pPr>
      <w:r>
        <w:rPr>
          <w:rFonts w:hint="eastAsia" w:ascii="宋体" w:hAnsi="宋体" w:eastAsia="宋体" w:cs="Times New Roman"/>
          <w:color w:val="auto"/>
          <w:kern w:val="2"/>
          <w:sz w:val="28"/>
          <w:szCs w:val="28"/>
          <w:lang w:val="en-US" w:eastAsia="zh-CN" w:bidi="ar-SA"/>
        </w:rPr>
        <w:t>以上两种方法的测算结果差距较小，比较法是从估价对象的类似交易情况案例中修正得到估价对象的价值；收益法是从估价对象未来收益折现到价值时点的价值，两种方法从不同的角度反应了估价对象的价值，经综合分析当地市场和社会经济状况后，两种方法就估价对象而言均有一定的适宜性，均具有较高的可信度</w:t>
      </w:r>
      <w:r>
        <w:rPr>
          <w:rFonts w:hint="eastAsia" w:ascii="宋体" w:hAnsi="宋体" w:cs="Times New Roman"/>
          <w:color w:val="auto"/>
          <w:kern w:val="2"/>
          <w:sz w:val="28"/>
          <w:szCs w:val="28"/>
          <w:lang w:val="en-US" w:eastAsia="zh-CN" w:bidi="ar-SA"/>
        </w:rPr>
        <w:t>，</w:t>
      </w:r>
      <w:r>
        <w:rPr>
          <w:rFonts w:hint="eastAsia" w:ascii="宋体" w:hAnsi="宋体" w:eastAsia="宋体" w:cs="Times New Roman"/>
          <w:color w:val="auto"/>
          <w:kern w:val="2"/>
          <w:sz w:val="28"/>
          <w:szCs w:val="28"/>
          <w:lang w:val="en-US" w:eastAsia="zh-CN" w:bidi="ar-SA"/>
        </w:rPr>
        <w:t>并最终考虑到本次估价目的及实际情况，取二者的算术平均值数为最终的估价结果，即</w:t>
      </w:r>
    </w:p>
    <w:p>
      <w:pPr>
        <w:spacing w:line="560" w:lineRule="exact"/>
        <w:ind w:firstLine="560" w:firstLineChars="200"/>
        <w:rPr>
          <w:rFonts w:hint="eastAsia" w:ascii="宋体" w:hAnsi="宋体" w:eastAsia="宋体" w:cs="Times New Roman"/>
          <w:color w:val="auto"/>
          <w:kern w:val="2"/>
          <w:sz w:val="28"/>
          <w:szCs w:val="28"/>
          <w:lang w:val="en-US" w:eastAsia="zh-CN" w:bidi="ar-SA"/>
        </w:rPr>
      </w:pPr>
      <w:r>
        <w:rPr>
          <w:rFonts w:hint="eastAsia" w:ascii="宋体" w:hAnsi="宋体" w:eastAsia="宋体" w:cs="Times New Roman"/>
          <w:color w:val="auto"/>
          <w:kern w:val="2"/>
          <w:sz w:val="28"/>
          <w:szCs w:val="28"/>
          <w:lang w:val="en-US" w:eastAsia="zh-CN" w:bidi="ar-SA"/>
        </w:rPr>
        <w:t>房地产单价=（</w:t>
      </w:r>
      <w:r>
        <w:rPr>
          <w:rFonts w:hint="eastAsia" w:ascii="宋体" w:hAnsi="宋体" w:cs="Times New Roman"/>
          <w:color w:val="auto"/>
          <w:kern w:val="2"/>
          <w:sz w:val="28"/>
          <w:szCs w:val="28"/>
          <w:lang w:val="en-US" w:eastAsia="zh-CN" w:bidi="ar-SA"/>
        </w:rPr>
        <w:t>3441</w:t>
      </w:r>
      <w:r>
        <w:rPr>
          <w:rFonts w:hint="eastAsia" w:ascii="宋体" w:hAnsi="宋体" w:eastAsia="宋体" w:cs="Times New Roman"/>
          <w:color w:val="auto"/>
          <w:kern w:val="2"/>
          <w:sz w:val="28"/>
          <w:szCs w:val="28"/>
          <w:lang w:val="en-US" w:eastAsia="zh-CN" w:bidi="ar-SA"/>
        </w:rPr>
        <w:t>元/㎡+</w:t>
      </w:r>
      <w:r>
        <w:rPr>
          <w:rFonts w:hint="eastAsia" w:ascii="宋体" w:hAnsi="宋体" w:cs="Times New Roman"/>
          <w:color w:val="auto"/>
          <w:kern w:val="2"/>
          <w:sz w:val="28"/>
          <w:szCs w:val="28"/>
          <w:lang w:val="en-US" w:eastAsia="zh-CN" w:bidi="ar-SA"/>
        </w:rPr>
        <w:t>3417</w:t>
      </w:r>
      <w:r>
        <w:rPr>
          <w:rFonts w:hint="eastAsia" w:ascii="宋体" w:hAnsi="宋体" w:eastAsia="宋体" w:cs="Times New Roman"/>
          <w:color w:val="auto"/>
          <w:kern w:val="2"/>
          <w:sz w:val="28"/>
          <w:szCs w:val="28"/>
          <w:lang w:val="en-US" w:eastAsia="zh-CN" w:bidi="ar-SA"/>
        </w:rPr>
        <w:t>元/㎡）÷2=</w:t>
      </w:r>
      <w:r>
        <w:rPr>
          <w:rFonts w:hint="eastAsia" w:ascii="宋体" w:hAnsi="宋体" w:cs="Times New Roman"/>
          <w:color w:val="auto"/>
          <w:kern w:val="2"/>
          <w:sz w:val="28"/>
          <w:szCs w:val="28"/>
          <w:lang w:val="en-US" w:eastAsia="zh-CN" w:bidi="ar-SA"/>
        </w:rPr>
        <w:t>3429</w:t>
      </w:r>
      <w:r>
        <w:rPr>
          <w:rFonts w:hint="eastAsia" w:ascii="宋体" w:hAnsi="宋体" w:eastAsia="宋体" w:cs="Times New Roman"/>
          <w:color w:val="auto"/>
          <w:kern w:val="2"/>
          <w:sz w:val="28"/>
          <w:szCs w:val="28"/>
          <w:lang w:val="en-US" w:eastAsia="zh-CN" w:bidi="ar-SA"/>
        </w:rPr>
        <w:t>元/㎡</w:t>
      </w:r>
    </w:p>
    <w:p>
      <w:pPr>
        <w:spacing w:line="560" w:lineRule="exact"/>
        <w:ind w:firstLine="560" w:firstLineChars="200"/>
        <w:rPr>
          <w:rFonts w:hint="eastAsia" w:ascii="宋体" w:hAnsi="宋体" w:eastAsia="宋体" w:cs="Times New Roman"/>
          <w:color w:val="auto"/>
          <w:kern w:val="2"/>
          <w:sz w:val="28"/>
          <w:szCs w:val="28"/>
          <w:lang w:val="en-US" w:eastAsia="zh-CN" w:bidi="ar-SA"/>
        </w:rPr>
      </w:pPr>
      <w:r>
        <w:rPr>
          <w:rFonts w:hint="eastAsia" w:ascii="宋体" w:hAnsi="宋体" w:cs="Times New Roman"/>
          <w:color w:val="auto"/>
          <w:kern w:val="2"/>
          <w:sz w:val="28"/>
          <w:szCs w:val="28"/>
          <w:lang w:val="en-US" w:eastAsia="zh-CN" w:bidi="ar-SA"/>
        </w:rPr>
        <w:t>该</w:t>
      </w:r>
      <w:r>
        <w:rPr>
          <w:rFonts w:hint="eastAsia" w:ascii="宋体" w:hAnsi="宋体" w:eastAsia="宋体" w:cs="Times New Roman"/>
          <w:color w:val="auto"/>
          <w:kern w:val="2"/>
          <w:sz w:val="28"/>
          <w:szCs w:val="28"/>
          <w:lang w:val="en-US" w:eastAsia="zh-CN" w:bidi="ar-SA"/>
        </w:rPr>
        <w:t>房地产总价=</w:t>
      </w:r>
      <w:r>
        <w:rPr>
          <w:rFonts w:hint="eastAsia" w:ascii="宋体" w:hAnsi="宋体" w:cs="Times New Roman"/>
          <w:color w:val="auto"/>
          <w:kern w:val="2"/>
          <w:sz w:val="28"/>
          <w:szCs w:val="28"/>
          <w:lang w:val="en-US" w:eastAsia="zh-CN" w:bidi="ar-SA"/>
        </w:rPr>
        <w:t>3429</w:t>
      </w:r>
      <w:r>
        <w:rPr>
          <w:rFonts w:hint="eastAsia" w:ascii="宋体" w:hAnsi="宋体" w:eastAsia="宋体" w:cs="Times New Roman"/>
          <w:color w:val="auto"/>
          <w:kern w:val="2"/>
          <w:sz w:val="28"/>
          <w:szCs w:val="28"/>
          <w:lang w:val="en-US" w:eastAsia="zh-CN" w:bidi="ar-SA"/>
        </w:rPr>
        <w:t>元/㎡×</w:t>
      </w:r>
      <w:r>
        <w:rPr>
          <w:rFonts w:hint="eastAsia" w:ascii="宋体" w:hAnsi="宋体" w:cs="Times New Roman"/>
          <w:color w:val="auto"/>
          <w:kern w:val="2"/>
          <w:sz w:val="28"/>
          <w:szCs w:val="28"/>
          <w:lang w:val="en-US" w:eastAsia="zh-CN" w:bidi="ar-SA"/>
        </w:rPr>
        <w:t>83.43</w:t>
      </w:r>
      <w:r>
        <w:rPr>
          <w:rFonts w:hint="eastAsia" w:ascii="宋体" w:hAnsi="宋体" w:eastAsia="宋体" w:cs="Times New Roman"/>
          <w:color w:val="auto"/>
          <w:kern w:val="2"/>
          <w:sz w:val="28"/>
          <w:szCs w:val="28"/>
          <w:lang w:val="en-US" w:eastAsia="zh-CN" w:bidi="ar-SA"/>
        </w:rPr>
        <w:t>㎡=</w:t>
      </w:r>
      <w:r>
        <w:rPr>
          <w:rFonts w:hint="eastAsia" w:ascii="宋体" w:hAnsi="宋体" w:cs="Times New Roman"/>
          <w:color w:val="auto"/>
          <w:kern w:val="2"/>
          <w:sz w:val="28"/>
          <w:szCs w:val="28"/>
          <w:lang w:val="en-US" w:eastAsia="zh-CN" w:bidi="ar-SA"/>
        </w:rPr>
        <w:t>286081</w:t>
      </w:r>
      <w:r>
        <w:rPr>
          <w:rFonts w:hint="eastAsia" w:ascii="宋体" w:hAnsi="宋体" w:eastAsia="宋体" w:cs="Times New Roman"/>
          <w:color w:val="auto"/>
          <w:kern w:val="2"/>
          <w:sz w:val="28"/>
          <w:szCs w:val="28"/>
          <w:lang w:val="en-US" w:eastAsia="zh-CN" w:bidi="ar-SA"/>
        </w:rPr>
        <w:t>元</w:t>
      </w:r>
    </w:p>
    <w:p>
      <w:pPr>
        <w:spacing w:line="560" w:lineRule="exact"/>
        <w:ind w:firstLine="560" w:firstLineChars="200"/>
        <w:rPr>
          <w:rFonts w:hint="eastAsia" w:ascii="宋体" w:hAnsi="宋体" w:eastAsia="宋体" w:cs="Times New Roman"/>
          <w:color w:val="auto"/>
          <w:kern w:val="2"/>
          <w:sz w:val="28"/>
          <w:szCs w:val="28"/>
          <w:lang w:val="en-US" w:eastAsia="zh-CN" w:bidi="ar-SA"/>
        </w:rPr>
      </w:pPr>
      <w:bookmarkStart w:id="53" w:name="_Toc25945"/>
      <w:r>
        <w:rPr>
          <w:rFonts w:hint="eastAsia" w:ascii="宋体" w:hAnsi="宋体" w:eastAsia="宋体" w:cs="Times New Roman"/>
          <w:color w:val="auto"/>
          <w:kern w:val="2"/>
          <w:sz w:val="28"/>
          <w:szCs w:val="28"/>
          <w:lang w:val="en-US" w:eastAsia="zh-CN" w:bidi="ar-SA"/>
        </w:rPr>
        <w:t>七、估价结果</w:t>
      </w:r>
      <w:bookmarkEnd w:id="53"/>
    </w:p>
    <w:p>
      <w:pPr>
        <w:spacing w:line="560" w:lineRule="exact"/>
        <w:ind w:firstLine="560" w:firstLineChars="200"/>
        <w:rPr>
          <w:rFonts w:hint="eastAsia" w:ascii="宋体" w:hAnsi="宋体" w:eastAsia="宋体" w:cs="Times New Roman"/>
          <w:color w:val="auto"/>
          <w:kern w:val="2"/>
          <w:sz w:val="28"/>
          <w:szCs w:val="28"/>
          <w:lang w:val="en-US" w:eastAsia="zh-CN" w:bidi="ar-SA"/>
        </w:rPr>
      </w:pPr>
      <w:r>
        <w:rPr>
          <w:rFonts w:hint="eastAsia" w:ascii="宋体" w:hAnsi="宋体" w:eastAsia="宋体" w:cs="Times New Roman"/>
          <w:color w:val="auto"/>
          <w:kern w:val="2"/>
          <w:sz w:val="28"/>
          <w:szCs w:val="28"/>
          <w:lang w:val="en-US" w:eastAsia="zh-CN" w:bidi="ar-SA"/>
        </w:rPr>
        <w:t>估价人员根据估价目的，遵循估价原则，按照估价程序，采用科学适用的估价方法，在认真分析现有资料的基础上，经过仔细的测算，确定估价对象在</w:t>
      </w:r>
      <w:r>
        <w:rPr>
          <w:rFonts w:hint="eastAsia" w:ascii="宋体" w:hAnsi="宋体" w:cs="Times New Roman"/>
          <w:color w:val="auto"/>
          <w:kern w:val="2"/>
          <w:sz w:val="28"/>
          <w:szCs w:val="28"/>
          <w:lang w:val="en-US" w:eastAsia="zh-CN" w:bidi="ar-SA"/>
        </w:rPr>
        <w:t>二○二○年六月二十四日</w:t>
      </w:r>
      <w:r>
        <w:rPr>
          <w:rFonts w:hint="eastAsia" w:ascii="宋体" w:hAnsi="宋体" w:eastAsia="宋体" w:cs="Times New Roman"/>
          <w:color w:val="auto"/>
          <w:kern w:val="2"/>
          <w:sz w:val="28"/>
          <w:szCs w:val="28"/>
          <w:lang w:val="en-US" w:eastAsia="zh-CN" w:bidi="ar-SA"/>
        </w:rPr>
        <w:t>的市场价值为人民币：</w:t>
      </w:r>
      <w:r>
        <w:rPr>
          <w:rFonts w:hint="eastAsia" w:ascii="宋体" w:hAnsi="宋体" w:cs="Times New Roman"/>
          <w:color w:val="auto"/>
          <w:kern w:val="2"/>
          <w:sz w:val="28"/>
          <w:szCs w:val="28"/>
          <w:lang w:val="en-US" w:eastAsia="zh-CN" w:bidi="ar-SA"/>
        </w:rPr>
        <w:t>贰拾捌万陆仟零捌拾壹</w:t>
      </w:r>
      <w:r>
        <w:rPr>
          <w:rFonts w:hint="eastAsia" w:ascii="宋体" w:hAnsi="宋体" w:eastAsia="宋体" w:cs="Times New Roman"/>
          <w:color w:val="auto"/>
          <w:kern w:val="2"/>
          <w:sz w:val="28"/>
          <w:szCs w:val="28"/>
          <w:lang w:val="en-US" w:eastAsia="zh-CN" w:bidi="ar-SA"/>
        </w:rPr>
        <w:t>元整（</w:t>
      </w:r>
      <w:r>
        <w:rPr>
          <w:rFonts w:hint="eastAsia" w:ascii="宋体" w:hAnsi="宋体" w:cs="Times New Roman"/>
          <w:color w:val="auto"/>
          <w:kern w:val="2"/>
          <w:sz w:val="28"/>
          <w:szCs w:val="28"/>
          <w:lang w:val="en-US" w:eastAsia="zh-CN" w:bidi="ar-SA"/>
        </w:rPr>
        <w:t>286081</w:t>
      </w:r>
      <w:r>
        <w:rPr>
          <w:rFonts w:hint="eastAsia" w:ascii="宋体" w:hAnsi="宋体" w:eastAsia="宋体" w:cs="Times New Roman"/>
          <w:color w:val="auto"/>
          <w:kern w:val="2"/>
          <w:sz w:val="28"/>
          <w:szCs w:val="28"/>
          <w:lang w:val="en-US" w:eastAsia="zh-CN" w:bidi="ar-SA"/>
        </w:rPr>
        <w:t>元）。</w:t>
      </w:r>
      <w:r>
        <w:rPr>
          <w:rFonts w:hint="eastAsia" w:ascii="宋体" w:hAnsi="宋体" w:eastAsia="宋体" w:cs="Times New Roman"/>
          <w:color w:val="auto"/>
          <w:kern w:val="2"/>
          <w:sz w:val="28"/>
          <w:szCs w:val="28"/>
          <w:lang w:val="en-US" w:eastAsia="zh-CN" w:bidi="ar-SA"/>
        </w:rPr>
        <w:tab/>
      </w:r>
    </w:p>
    <w:p>
      <w:pPr>
        <w:spacing w:line="560" w:lineRule="exact"/>
        <w:ind w:firstLine="560" w:firstLineChars="200"/>
        <w:rPr>
          <w:rFonts w:hint="eastAsia" w:ascii="宋体" w:hAnsi="宋体" w:eastAsia="宋体" w:cs="Times New Roman"/>
          <w:color w:val="auto"/>
          <w:kern w:val="2"/>
          <w:sz w:val="28"/>
          <w:szCs w:val="28"/>
          <w:lang w:val="en-US" w:eastAsia="zh-CN" w:bidi="ar-SA"/>
        </w:rPr>
      </w:pPr>
    </w:p>
    <w:p>
      <w:pPr>
        <w:spacing w:line="560" w:lineRule="exact"/>
        <w:ind w:firstLine="560" w:firstLineChars="200"/>
        <w:rPr>
          <w:rFonts w:hint="eastAsia" w:ascii="宋体" w:hAnsi="宋体" w:eastAsia="宋体" w:cs="Times New Roman"/>
          <w:color w:val="auto"/>
          <w:kern w:val="2"/>
          <w:sz w:val="28"/>
          <w:szCs w:val="28"/>
          <w:lang w:val="en-US" w:eastAsia="zh-CN" w:bidi="ar-SA"/>
        </w:rPr>
      </w:pPr>
    </w:p>
    <w:p>
      <w:pPr>
        <w:spacing w:line="560" w:lineRule="exact"/>
        <w:ind w:firstLine="560" w:firstLineChars="200"/>
        <w:rPr>
          <w:rFonts w:hint="eastAsia" w:ascii="宋体" w:hAnsi="宋体" w:eastAsia="宋体" w:cs="Times New Roman"/>
          <w:color w:val="auto"/>
          <w:kern w:val="2"/>
          <w:sz w:val="28"/>
          <w:szCs w:val="28"/>
          <w:lang w:val="en-US" w:eastAsia="zh-CN" w:bidi="ar-SA"/>
        </w:rPr>
      </w:pPr>
    </w:p>
    <w:p>
      <w:pPr>
        <w:spacing w:line="560" w:lineRule="exact"/>
        <w:ind w:firstLine="560" w:firstLineChars="200"/>
        <w:rPr>
          <w:rFonts w:hint="eastAsia" w:ascii="宋体" w:hAnsi="宋体" w:eastAsia="宋体" w:cs="Times New Roman"/>
          <w:color w:val="auto"/>
          <w:kern w:val="2"/>
          <w:sz w:val="28"/>
          <w:szCs w:val="28"/>
          <w:lang w:val="en-US" w:eastAsia="zh-CN" w:bidi="ar-SA"/>
        </w:rPr>
      </w:pPr>
    </w:p>
    <w:p>
      <w:pPr>
        <w:spacing w:line="560" w:lineRule="exact"/>
        <w:ind w:firstLine="560" w:firstLineChars="200"/>
        <w:rPr>
          <w:rFonts w:hint="eastAsia" w:ascii="宋体" w:hAnsi="宋体" w:eastAsia="宋体" w:cs="Times New Roman"/>
          <w:color w:val="auto"/>
          <w:kern w:val="2"/>
          <w:sz w:val="28"/>
          <w:szCs w:val="28"/>
          <w:lang w:val="en-US" w:eastAsia="zh-CN" w:bidi="ar-SA"/>
        </w:rPr>
      </w:pPr>
    </w:p>
    <w:p>
      <w:pPr>
        <w:spacing w:line="560" w:lineRule="exact"/>
        <w:ind w:firstLine="560" w:firstLineChars="200"/>
        <w:rPr>
          <w:rFonts w:hint="eastAsia" w:ascii="宋体" w:hAnsi="宋体" w:eastAsia="宋体" w:cs="Times New Roman"/>
          <w:color w:val="auto"/>
          <w:kern w:val="2"/>
          <w:sz w:val="28"/>
          <w:szCs w:val="28"/>
          <w:lang w:val="en-US" w:eastAsia="zh-CN" w:bidi="ar-SA"/>
        </w:rPr>
      </w:pPr>
    </w:p>
    <w:p>
      <w:pPr>
        <w:spacing w:line="560" w:lineRule="exact"/>
        <w:ind w:firstLine="560" w:firstLineChars="200"/>
        <w:rPr>
          <w:rFonts w:hint="eastAsia" w:ascii="宋体" w:hAnsi="宋体" w:eastAsia="宋体" w:cs="Times New Roman"/>
          <w:color w:val="auto"/>
          <w:kern w:val="2"/>
          <w:sz w:val="28"/>
          <w:szCs w:val="28"/>
          <w:lang w:val="en-US" w:eastAsia="zh-CN" w:bidi="ar-SA"/>
        </w:rPr>
      </w:pPr>
    </w:p>
    <w:p>
      <w:pPr>
        <w:spacing w:line="560" w:lineRule="exact"/>
        <w:ind w:firstLine="560" w:firstLineChars="200"/>
        <w:rPr>
          <w:rFonts w:hint="eastAsia" w:ascii="宋体" w:hAnsi="宋体" w:eastAsia="宋体" w:cs="Times New Roman"/>
          <w:color w:val="auto"/>
          <w:kern w:val="2"/>
          <w:sz w:val="28"/>
          <w:szCs w:val="28"/>
          <w:lang w:val="en-US" w:eastAsia="zh-CN" w:bidi="ar-SA"/>
        </w:rPr>
      </w:pPr>
    </w:p>
    <w:p>
      <w:pPr>
        <w:spacing w:line="560" w:lineRule="exact"/>
        <w:ind w:firstLine="560" w:firstLineChars="200"/>
        <w:rPr>
          <w:rFonts w:hint="eastAsia" w:ascii="宋体" w:hAnsi="宋体" w:eastAsia="宋体" w:cs="Times New Roman"/>
          <w:color w:val="auto"/>
          <w:kern w:val="2"/>
          <w:sz w:val="28"/>
          <w:szCs w:val="28"/>
          <w:lang w:val="en-US" w:eastAsia="zh-CN" w:bidi="ar-SA"/>
        </w:rPr>
      </w:pPr>
    </w:p>
    <w:p>
      <w:pPr>
        <w:spacing w:line="560" w:lineRule="exact"/>
        <w:ind w:firstLine="3360" w:firstLineChars="1200"/>
        <w:rPr>
          <w:rFonts w:hint="eastAsia" w:ascii="宋体" w:hAnsi="宋体" w:eastAsia="宋体" w:cs="Times New Roman"/>
          <w:color w:val="auto"/>
          <w:kern w:val="2"/>
          <w:sz w:val="28"/>
          <w:szCs w:val="28"/>
          <w:lang w:val="en-US" w:eastAsia="zh-CN" w:bidi="ar-SA"/>
        </w:rPr>
      </w:pPr>
      <w:bookmarkStart w:id="54" w:name="_Toc20624"/>
      <w:r>
        <w:rPr>
          <w:rFonts w:hint="eastAsia" w:ascii="宋体" w:hAnsi="宋体" w:eastAsia="宋体" w:cs="Times New Roman"/>
          <w:color w:val="auto"/>
          <w:kern w:val="2"/>
          <w:sz w:val="28"/>
          <w:szCs w:val="28"/>
          <w:lang w:val="en-US" w:eastAsia="zh-CN" w:bidi="ar-SA"/>
        </w:rPr>
        <w:t>五原县中信房地产价格评估有限责任公司</w:t>
      </w:r>
    </w:p>
    <w:p>
      <w:pPr>
        <w:spacing w:line="560" w:lineRule="exact"/>
        <w:ind w:firstLine="560" w:firstLineChars="200"/>
        <w:rPr>
          <w:rFonts w:hint="eastAsia" w:ascii="宋体" w:hAnsi="宋体" w:eastAsia="宋体" w:cs="Times New Roman"/>
          <w:color w:val="auto"/>
          <w:kern w:val="2"/>
          <w:sz w:val="28"/>
          <w:szCs w:val="28"/>
          <w:lang w:val="en-US" w:eastAsia="zh-CN" w:bidi="ar-SA"/>
        </w:rPr>
        <w:sectPr>
          <w:footerReference r:id="rId7" w:type="first"/>
          <w:headerReference r:id="rId5" w:type="default"/>
          <w:footerReference r:id="rId6" w:type="default"/>
          <w:pgSz w:w="11906" w:h="16838"/>
          <w:pgMar w:top="1440" w:right="1466" w:bottom="1440" w:left="1797" w:header="851" w:footer="992" w:gutter="0"/>
          <w:pgNumType w:fmt="numberInDash" w:start="1"/>
          <w:cols w:space="720" w:num="1"/>
          <w:titlePg/>
          <w:docGrid w:type="lines" w:linePitch="312" w:charSpace="0"/>
        </w:sectPr>
      </w:pPr>
      <w:r>
        <w:rPr>
          <w:rFonts w:hint="eastAsia" w:ascii="宋体" w:hAnsi="宋体" w:eastAsia="宋体" w:cs="Times New Roman"/>
          <w:color w:val="auto"/>
          <w:kern w:val="2"/>
          <w:sz w:val="28"/>
          <w:szCs w:val="28"/>
          <w:lang w:val="en-US" w:eastAsia="zh-CN" w:bidi="ar-SA"/>
        </w:rPr>
        <w:t xml:space="preserve">                             二○二</w:t>
      </w:r>
      <w:r>
        <w:rPr>
          <w:rFonts w:hint="eastAsia" w:ascii="宋体" w:hAnsi="宋体" w:cs="Times New Roman"/>
          <w:color w:val="auto"/>
          <w:kern w:val="2"/>
          <w:sz w:val="28"/>
          <w:szCs w:val="28"/>
          <w:lang w:val="en-US" w:eastAsia="zh-CN" w:bidi="ar-SA"/>
        </w:rPr>
        <w:t>○年七月九日</w:t>
      </w:r>
    </w:p>
    <w:bookmarkEnd w:id="47"/>
    <w:bookmarkEnd w:id="54"/>
    <w:p>
      <w:pPr>
        <w:keepNext w:val="0"/>
        <w:keepLines w:val="0"/>
        <w:pageBreakBefore w:val="0"/>
        <w:widowControl w:val="0"/>
        <w:kinsoku/>
        <w:wordWrap/>
        <w:overflowPunct/>
        <w:topLinePunct w:val="0"/>
        <w:autoSpaceDE/>
        <w:autoSpaceDN/>
        <w:bidi w:val="0"/>
        <w:adjustRightInd/>
        <w:snapToGrid/>
        <w:spacing w:line="480" w:lineRule="exact"/>
        <w:ind w:right="320" w:firstLine="630" w:firstLineChars="225"/>
        <w:jc w:val="center"/>
        <w:textAlignment w:val="auto"/>
        <w:outlineLvl w:val="0"/>
        <w:rPr>
          <w:rFonts w:hint="eastAsia"/>
          <w:sz w:val="28"/>
          <w:szCs w:val="28"/>
          <w:lang w:eastAsia="zh-CN"/>
        </w:rPr>
      </w:pPr>
      <w:r>
        <w:rPr>
          <w:rFonts w:hint="eastAsia"/>
          <w:sz w:val="28"/>
          <w:szCs w:val="28"/>
          <w:lang w:eastAsia="zh-CN"/>
        </w:rPr>
        <w:t>估价对象位置图</w:t>
      </w:r>
    </w:p>
    <w:p>
      <w:pPr>
        <w:keepNext w:val="0"/>
        <w:keepLines w:val="0"/>
        <w:pageBreakBefore w:val="0"/>
        <w:widowControl w:val="0"/>
        <w:kinsoku/>
        <w:wordWrap/>
        <w:overflowPunct/>
        <w:topLinePunct w:val="0"/>
        <w:autoSpaceDE/>
        <w:autoSpaceDN/>
        <w:bidi w:val="0"/>
        <w:adjustRightInd/>
        <w:snapToGrid/>
        <w:spacing w:line="480" w:lineRule="exact"/>
        <w:ind w:right="320" w:firstLine="630" w:firstLineChars="225"/>
        <w:jc w:val="center"/>
        <w:textAlignment w:val="auto"/>
        <w:outlineLvl w:val="0"/>
        <w:rPr>
          <w:rFonts w:hint="eastAsia"/>
          <w:sz w:val="28"/>
          <w:szCs w:val="28"/>
          <w:lang w:eastAsia="zh-CN"/>
        </w:rPr>
      </w:pPr>
    </w:p>
    <w:p>
      <w:pPr>
        <w:keepNext w:val="0"/>
        <w:keepLines w:val="0"/>
        <w:pageBreakBefore w:val="0"/>
        <w:widowControl w:val="0"/>
        <w:kinsoku/>
        <w:wordWrap/>
        <w:overflowPunct/>
        <w:topLinePunct w:val="0"/>
        <w:autoSpaceDE/>
        <w:autoSpaceDN/>
        <w:bidi w:val="0"/>
        <w:adjustRightInd/>
        <w:snapToGrid/>
        <w:spacing w:line="480" w:lineRule="exact"/>
        <w:ind w:right="320" w:firstLine="630" w:firstLineChars="225"/>
        <w:jc w:val="center"/>
        <w:textAlignment w:val="auto"/>
        <w:outlineLvl w:val="0"/>
        <w:rPr>
          <w:rFonts w:hint="eastAsia"/>
          <w:sz w:val="28"/>
          <w:szCs w:val="28"/>
          <w:lang w:eastAsia="zh-CN"/>
        </w:rPr>
      </w:pPr>
      <w:r>
        <w:rPr>
          <w:rFonts w:hint="eastAsia"/>
          <w:sz w:val="28"/>
          <w:szCs w:val="28"/>
          <w:lang w:eastAsia="zh-CN"/>
        </w:rPr>
        <w:drawing>
          <wp:anchor distT="0" distB="0" distL="114300" distR="114300" simplePos="0" relativeHeight="251675648" behindDoc="0" locked="0" layoutInCell="1" allowOverlap="1">
            <wp:simplePos x="0" y="0"/>
            <wp:positionH relativeFrom="column">
              <wp:posOffset>-277495</wp:posOffset>
            </wp:positionH>
            <wp:positionV relativeFrom="paragraph">
              <wp:posOffset>876935</wp:posOffset>
            </wp:positionV>
            <wp:extent cx="6205855" cy="5036820"/>
            <wp:effectExtent l="0" t="0" r="11430" b="4445"/>
            <wp:wrapSquare wrapText="bothSides"/>
            <wp:docPr id="2" name="图片 2" descr="估价对象位置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估价对象位置图"/>
                    <pic:cNvPicPr>
                      <a:picLocks noChangeAspect="1"/>
                    </pic:cNvPicPr>
                  </pic:nvPicPr>
                  <pic:blipFill>
                    <a:blip r:embed="rId23"/>
                    <a:srcRect b="2315"/>
                    <a:stretch>
                      <a:fillRect/>
                    </a:stretch>
                  </pic:blipFill>
                  <pic:spPr>
                    <a:xfrm rot="16200000">
                      <a:off x="0" y="0"/>
                      <a:ext cx="6205855" cy="503682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480" w:lineRule="exact"/>
        <w:ind w:right="320" w:firstLine="630" w:firstLineChars="225"/>
        <w:jc w:val="center"/>
        <w:textAlignment w:val="auto"/>
        <w:outlineLvl w:val="0"/>
        <w:rPr>
          <w:rFonts w:hint="eastAsia"/>
          <w:sz w:val="28"/>
          <w:szCs w:val="28"/>
          <w:lang w:eastAsia="zh-CN"/>
        </w:rPr>
      </w:pPr>
    </w:p>
    <w:p>
      <w:pPr>
        <w:keepNext w:val="0"/>
        <w:keepLines w:val="0"/>
        <w:pageBreakBefore w:val="0"/>
        <w:widowControl w:val="0"/>
        <w:kinsoku/>
        <w:wordWrap/>
        <w:overflowPunct/>
        <w:topLinePunct w:val="0"/>
        <w:autoSpaceDE/>
        <w:autoSpaceDN/>
        <w:bidi w:val="0"/>
        <w:adjustRightInd/>
        <w:snapToGrid/>
        <w:spacing w:line="480" w:lineRule="exact"/>
        <w:ind w:right="320" w:firstLine="630" w:firstLineChars="225"/>
        <w:jc w:val="center"/>
        <w:textAlignment w:val="auto"/>
        <w:outlineLvl w:val="0"/>
        <w:rPr>
          <w:rFonts w:hint="eastAsia"/>
          <w:sz w:val="28"/>
          <w:szCs w:val="28"/>
          <w:lang w:eastAsia="zh-CN"/>
        </w:rPr>
      </w:pPr>
    </w:p>
    <w:p>
      <w:pPr>
        <w:keepNext w:val="0"/>
        <w:keepLines w:val="0"/>
        <w:pageBreakBefore w:val="0"/>
        <w:widowControl w:val="0"/>
        <w:kinsoku/>
        <w:wordWrap/>
        <w:overflowPunct/>
        <w:topLinePunct w:val="0"/>
        <w:autoSpaceDE/>
        <w:autoSpaceDN/>
        <w:bidi w:val="0"/>
        <w:adjustRightInd/>
        <w:snapToGrid/>
        <w:spacing w:line="480" w:lineRule="exact"/>
        <w:ind w:right="320" w:firstLine="630" w:firstLineChars="225"/>
        <w:jc w:val="center"/>
        <w:textAlignment w:val="auto"/>
        <w:outlineLvl w:val="0"/>
        <w:rPr>
          <w:rFonts w:hint="eastAsia"/>
          <w:sz w:val="28"/>
          <w:szCs w:val="28"/>
          <w:lang w:eastAsia="zh-CN"/>
        </w:rPr>
      </w:pPr>
    </w:p>
    <w:p>
      <w:pPr>
        <w:keepNext w:val="0"/>
        <w:keepLines w:val="0"/>
        <w:pageBreakBefore w:val="0"/>
        <w:widowControl w:val="0"/>
        <w:kinsoku/>
        <w:wordWrap/>
        <w:overflowPunct/>
        <w:topLinePunct w:val="0"/>
        <w:autoSpaceDE/>
        <w:autoSpaceDN/>
        <w:bidi w:val="0"/>
        <w:adjustRightInd/>
        <w:snapToGrid/>
        <w:spacing w:line="480" w:lineRule="exact"/>
        <w:ind w:right="320" w:firstLine="630" w:firstLineChars="225"/>
        <w:jc w:val="center"/>
        <w:textAlignment w:val="auto"/>
        <w:outlineLvl w:val="0"/>
        <w:rPr>
          <w:rFonts w:hint="eastAsia"/>
          <w:sz w:val="28"/>
          <w:szCs w:val="28"/>
          <w:lang w:eastAsia="zh-CN"/>
        </w:rPr>
      </w:pPr>
    </w:p>
    <w:p>
      <w:pPr>
        <w:keepNext w:val="0"/>
        <w:keepLines w:val="0"/>
        <w:pageBreakBefore w:val="0"/>
        <w:widowControl w:val="0"/>
        <w:kinsoku/>
        <w:wordWrap/>
        <w:overflowPunct/>
        <w:topLinePunct w:val="0"/>
        <w:autoSpaceDE/>
        <w:autoSpaceDN/>
        <w:bidi w:val="0"/>
        <w:adjustRightInd/>
        <w:snapToGrid/>
        <w:spacing w:line="480" w:lineRule="exact"/>
        <w:ind w:right="320" w:firstLine="630" w:firstLineChars="225"/>
        <w:jc w:val="center"/>
        <w:textAlignment w:val="auto"/>
        <w:outlineLvl w:val="0"/>
        <w:rPr>
          <w:rFonts w:hint="eastAsia"/>
          <w:sz w:val="28"/>
          <w:szCs w:val="28"/>
          <w:lang w:eastAsia="zh-CN"/>
        </w:rPr>
        <w:sectPr>
          <w:footerReference r:id="rId9" w:type="first"/>
          <w:footerReference r:id="rId8" w:type="default"/>
          <w:pgSz w:w="11906" w:h="16838"/>
          <w:pgMar w:top="1440" w:right="1466" w:bottom="1440" w:left="1797" w:header="851" w:footer="992" w:gutter="0"/>
          <w:pgNumType w:fmt="numberInDash" w:start="0"/>
          <w:cols w:space="720" w:num="1"/>
          <w:titlePg/>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480" w:lineRule="exact"/>
        <w:ind w:right="320" w:firstLine="630" w:firstLineChars="225"/>
        <w:jc w:val="center"/>
        <w:textAlignment w:val="auto"/>
        <w:outlineLvl w:val="0"/>
        <w:rPr>
          <w:rFonts w:hint="eastAsia"/>
          <w:sz w:val="28"/>
          <w:szCs w:val="28"/>
          <w:lang w:eastAsia="zh-CN"/>
        </w:rPr>
      </w:pPr>
      <w:r>
        <w:rPr>
          <w:rFonts w:hint="eastAsia"/>
          <w:sz w:val="28"/>
          <w:szCs w:val="28"/>
          <w:lang w:eastAsia="zh-CN"/>
        </w:rPr>
        <w:t>估价对象现状照片</w:t>
      </w:r>
    </w:p>
    <w:p>
      <w:pPr>
        <w:rPr>
          <w:rFonts w:ascii="仿宋_GB2312" w:hAnsi="仿宋" w:eastAsia="仿宋_GB2312"/>
          <w:color w:val="auto"/>
          <w:sz w:val="28"/>
          <w:szCs w:val="28"/>
        </w:rPr>
      </w:pPr>
      <w:r>
        <w:rPr>
          <w:rFonts w:hint="eastAsia"/>
          <w:sz w:val="28"/>
          <w:szCs w:val="28"/>
          <w:lang w:eastAsia="zh-CN"/>
        </w:rPr>
        <w:drawing>
          <wp:anchor distT="0" distB="0" distL="114300" distR="114300" simplePos="0" relativeHeight="251678720" behindDoc="0" locked="0" layoutInCell="1" allowOverlap="1">
            <wp:simplePos x="0" y="0"/>
            <wp:positionH relativeFrom="column">
              <wp:posOffset>832485</wp:posOffset>
            </wp:positionH>
            <wp:positionV relativeFrom="paragraph">
              <wp:posOffset>6250305</wp:posOffset>
            </wp:positionV>
            <wp:extent cx="3839210" cy="2879725"/>
            <wp:effectExtent l="0" t="0" r="8890" b="15875"/>
            <wp:wrapSquare wrapText="bothSides"/>
            <wp:docPr id="6" name="图片 6" descr="IMG_2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956"/>
                    <pic:cNvPicPr>
                      <a:picLocks noChangeAspect="1"/>
                    </pic:cNvPicPr>
                  </pic:nvPicPr>
                  <pic:blipFill>
                    <a:blip r:embed="rId24"/>
                    <a:stretch>
                      <a:fillRect/>
                    </a:stretch>
                  </pic:blipFill>
                  <pic:spPr>
                    <a:xfrm>
                      <a:off x="0" y="0"/>
                      <a:ext cx="3839210" cy="2879725"/>
                    </a:xfrm>
                    <a:prstGeom prst="rect">
                      <a:avLst/>
                    </a:prstGeom>
                  </pic:spPr>
                </pic:pic>
              </a:graphicData>
            </a:graphic>
          </wp:anchor>
        </w:drawing>
      </w:r>
      <w:r>
        <w:rPr>
          <w:rFonts w:hint="eastAsia"/>
          <w:sz w:val="28"/>
          <w:szCs w:val="28"/>
          <w:lang w:eastAsia="zh-CN"/>
        </w:rPr>
        <w:drawing>
          <wp:anchor distT="0" distB="0" distL="114300" distR="114300" simplePos="0" relativeHeight="251676672" behindDoc="0" locked="0" layoutInCell="1" allowOverlap="1">
            <wp:simplePos x="0" y="0"/>
            <wp:positionH relativeFrom="column">
              <wp:posOffset>843280</wp:posOffset>
            </wp:positionH>
            <wp:positionV relativeFrom="paragraph">
              <wp:posOffset>3083560</wp:posOffset>
            </wp:positionV>
            <wp:extent cx="3839210" cy="2879725"/>
            <wp:effectExtent l="0" t="0" r="8890" b="15875"/>
            <wp:wrapSquare wrapText="bothSides"/>
            <wp:docPr id="4" name="图片 4" descr="IMG_2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944"/>
                    <pic:cNvPicPr>
                      <a:picLocks noChangeAspect="1"/>
                    </pic:cNvPicPr>
                  </pic:nvPicPr>
                  <pic:blipFill>
                    <a:blip r:embed="rId25"/>
                    <a:stretch>
                      <a:fillRect/>
                    </a:stretch>
                  </pic:blipFill>
                  <pic:spPr>
                    <a:xfrm>
                      <a:off x="0" y="0"/>
                      <a:ext cx="3839210" cy="2879725"/>
                    </a:xfrm>
                    <a:prstGeom prst="rect">
                      <a:avLst/>
                    </a:prstGeom>
                  </pic:spPr>
                </pic:pic>
              </a:graphicData>
            </a:graphic>
          </wp:anchor>
        </w:drawing>
      </w:r>
      <w:r>
        <w:rPr>
          <w:rFonts w:hint="eastAsia"/>
          <w:sz w:val="28"/>
          <w:szCs w:val="28"/>
          <w:lang w:eastAsia="zh-CN"/>
        </w:rPr>
        <w:drawing>
          <wp:anchor distT="0" distB="0" distL="114300" distR="114300" simplePos="0" relativeHeight="251677696" behindDoc="0" locked="0" layoutInCell="1" allowOverlap="1">
            <wp:simplePos x="0" y="0"/>
            <wp:positionH relativeFrom="column">
              <wp:posOffset>835025</wp:posOffset>
            </wp:positionH>
            <wp:positionV relativeFrom="paragraph">
              <wp:posOffset>66675</wp:posOffset>
            </wp:positionV>
            <wp:extent cx="3839210" cy="2879725"/>
            <wp:effectExtent l="0" t="0" r="8890" b="15875"/>
            <wp:wrapSquare wrapText="bothSides"/>
            <wp:docPr id="5" name="图片 5" descr="IMG_2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942"/>
                    <pic:cNvPicPr>
                      <a:picLocks noChangeAspect="1"/>
                    </pic:cNvPicPr>
                  </pic:nvPicPr>
                  <pic:blipFill>
                    <a:blip r:embed="rId26"/>
                    <a:stretch>
                      <a:fillRect/>
                    </a:stretch>
                  </pic:blipFill>
                  <pic:spPr>
                    <a:xfrm>
                      <a:off x="0" y="0"/>
                      <a:ext cx="3839210" cy="2879725"/>
                    </a:xfrm>
                    <a:prstGeom prst="rect">
                      <a:avLst/>
                    </a:prstGeom>
                  </pic:spPr>
                </pic:pic>
              </a:graphicData>
            </a:graphic>
          </wp:anchor>
        </w:drawing>
      </w:r>
    </w:p>
    <w:sectPr>
      <w:footerReference r:id="rId11" w:type="first"/>
      <w:footerReference r:id="rId10" w:type="default"/>
      <w:pgSz w:w="11906" w:h="16838"/>
      <w:pgMar w:top="1440" w:right="1466" w:bottom="1440" w:left="1797" w:header="851" w:footer="992" w:gutter="0"/>
      <w:pgNumType w:fmt="numberInDash" w:start="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新宋体-18030">
    <w:altName w:val="宋体"/>
    <w:panose1 w:val="00000000000000000000"/>
    <w:charset w:val="86"/>
    <w:family w:val="auto"/>
    <w:pitch w:val="default"/>
    <w:sig w:usb0="00000000" w:usb1="00000000" w:usb2="00000010" w:usb3="00000000" w:csb0="00040000" w:csb1="00000000"/>
  </w:font>
  <w:font w:name="仿宋_GB2312">
    <w:altName w:val="仿宋"/>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新宋体">
    <w:panose1 w:val="02010609030101010101"/>
    <w:charset w:val="86"/>
    <w:family w:val="modern"/>
    <w:pitch w:val="default"/>
    <w:sig w:usb0="00000003" w:usb1="288F0000" w:usb2="00000006" w:usb3="00000000" w:csb0="00040001" w:csb1="00000000"/>
  </w:font>
  <w:font w:name="隶书">
    <w:altName w:val="宋体"/>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宋体-18030">
    <w:altName w:val="宋体"/>
    <w:panose1 w:val="00000000000000000000"/>
    <w:charset w:val="86"/>
    <w:family w:val="decorative"/>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jc w:val="center"/>
      <w:rPr>
        <w:rFonts w:hint="eastAsia"/>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jc w:val="center"/>
                          </w:pPr>
                          <w:r>
                            <w:fldChar w:fldCharType="begin"/>
                          </w:r>
                          <w:r>
                            <w:rPr>
                              <w:rStyle w:val="27"/>
                            </w:rPr>
                            <w:instrText xml:space="preserve"> PAGE </w:instrText>
                          </w:r>
                          <w:r>
                            <w:fldChar w:fldCharType="separate"/>
                          </w:r>
                          <w:r>
                            <w:rPr>
                              <w:rStyle w:val="27"/>
                            </w:rPr>
                            <w:t>- 15 -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CPLFPAVAgAAEwQAAA4AAAAAAAAA&#10;AQAgAAAAHwEAAGRycy9lMm9Eb2MueG1sUEsFBgAAAAAGAAYAWQEAAKYFAAAAAA==&#10;">
              <v:fill on="f" focussize="0,0"/>
              <v:stroke on="f" weight="0.5pt"/>
              <v:imagedata o:title=""/>
              <o:lock v:ext="edit" aspectratio="f"/>
              <v:textbox inset="0mm,0mm,0mm,0mm" style="mso-fit-shape-to-text:t;">
                <w:txbxContent>
                  <w:p>
                    <w:pPr>
                      <w:pStyle w:val="16"/>
                      <w:jc w:val="center"/>
                    </w:pPr>
                    <w:r>
                      <w:fldChar w:fldCharType="begin"/>
                    </w:r>
                    <w:r>
                      <w:rPr>
                        <w:rStyle w:val="27"/>
                      </w:rPr>
                      <w:instrText xml:space="preserve"> PAGE </w:instrText>
                    </w:r>
                    <w:r>
                      <w:fldChar w:fldCharType="separate"/>
                    </w:r>
                    <w:r>
                      <w:rPr>
                        <w:rStyle w:val="27"/>
                      </w:rPr>
                      <w:t>- 15 -</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- 1 -</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iTvZETAgAAFQ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NJWO7QAAAABQEAAA8AAAAAAAAAAQAgAAAA&#10;IgAAAGRycy9kb3ducmV2LnhtbFBLAQIUABQAAAAIAIdO4kBIk72REwIAABUEAAAOAAAAAAAAAAEA&#10;IAAAAB8BAABkcnMvZTJvRG9jLnhtbFBLBQYAAAAABgAGAFkBAACkBQAAAAA=&#10;">
              <v:fill on="f" focussize="0,0"/>
              <v:stroke on="f" weight="0.5pt"/>
              <v:imagedata o:title=""/>
              <o:lock v:ext="edit" aspectratio="f"/>
              <v:textbox inset="0mm,0mm,0mm,0mm" style="mso-fit-shape-to-text:t;">
                <w:txbxContent>
                  <w:p>
                    <w:pPr>
                      <w:pStyle w:val="1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- 1 -</w:t>
                    </w:r>
                    <w:r>
                      <w:rPr>
                        <w:rFonts w:hint="eastAsia"/>
                        <w:lang w:eastAsia="zh-CN"/>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rPr>
        <w:rFonts w:hint="eastAsi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rPr>
        <w:rFonts w:hint="eastAsia"/>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none" w:color="auto" w:sz="0" w:space="0"/>
      </w:pBdr>
      <w:jc w:val="both"/>
      <w:rPr>
        <w:rFonts w:ascii="隶书" w:eastAsia="隶书"/>
        <w:sz w:val="21"/>
        <w:szCs w:val="21"/>
      </w:rPr>
    </w:pPr>
    <w:r>
      <w:rPr>
        <w:rFonts w:hint="eastAsia" w:ascii="隶书" w:hAnsi="宋体" w:eastAsia="隶书"/>
        <w:b/>
        <w:sz w:val="28"/>
        <w:szCs w:val="28"/>
        <w:u w:val="single"/>
        <w:lang w:val="en-US" w:eastAsia="zh-CN"/>
      </w:rPr>
      <w:t xml:space="preserve">  </w:t>
    </w:r>
    <w:r>
      <w:rPr>
        <w:rFonts w:ascii="隶书" w:hAnsi="宋体" w:eastAsia="隶书"/>
        <w:b/>
        <w:sz w:val="28"/>
        <w:szCs w:val="28"/>
        <w:u w:val="single"/>
      </w:rPr>
      <w:t xml:space="preserve">                     </w:t>
    </w:r>
    <w:r>
      <w:rPr>
        <w:rFonts w:hint="eastAsia" w:ascii="隶书" w:hAnsi="宋体" w:eastAsia="隶书"/>
        <w:b/>
        <w:sz w:val="28"/>
        <w:szCs w:val="28"/>
        <w:u w:val="single"/>
        <w:lang w:val="en-US" w:eastAsia="zh-CN"/>
      </w:rPr>
      <w:t xml:space="preserve">                                  </w:t>
    </w:r>
    <w:r>
      <w:rPr>
        <w:rFonts w:ascii="隶书" w:hAnsi="宋体" w:eastAsia="隶书"/>
        <w:b/>
        <w:sz w:val="28"/>
        <w:szCs w:val="28"/>
        <w:u w:val="single"/>
      </w:rPr>
      <w:t xml:space="preserve">           </w:t>
    </w:r>
    <w:r>
      <w:rPr>
        <w:rFonts w:ascii="隶书" w:hAnsi="宋体" w:eastAsia="隶书"/>
        <w:b/>
        <w:sz w:val="21"/>
        <w:szCs w:val="21"/>
        <w:u w:val="single"/>
      </w:rPr>
      <w:t xml:space="preserve"> </w:t>
    </w:r>
  </w:p>
  <w:p>
    <w:pPr>
      <w:pStyle w:val="17"/>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none" w:color="auto" w:sz="0" w:space="0"/>
      </w:pBdr>
      <w:jc w:val="both"/>
    </w:pPr>
    <w:r>
      <w:rPr>
        <w:rFonts w:hint="eastAsia" w:ascii="隶书" w:hAnsi="宋体" w:eastAsia="隶书"/>
        <w:b/>
        <w:sz w:val="28"/>
        <w:szCs w:val="28"/>
        <w:u w:val="single"/>
        <w:lang w:val="en-US" w:eastAsia="zh-CN"/>
      </w:rPr>
      <w:t xml:space="preserve">                                </w:t>
    </w:r>
    <w:r>
      <w:rPr>
        <w:rFonts w:ascii="隶书" w:hAnsi="宋体" w:eastAsia="隶书"/>
        <w:b/>
        <w:sz w:val="28"/>
        <w:szCs w:val="28"/>
        <w:u w:val="single"/>
      </w:rPr>
      <w:t xml:space="preserve">                    </w:t>
    </w:r>
    <w:r>
      <w:rPr>
        <w:rFonts w:hint="eastAsia" w:ascii="隶书" w:hAnsi="宋体" w:eastAsia="隶书"/>
        <w:b/>
        <w:sz w:val="28"/>
        <w:szCs w:val="28"/>
        <w:u w:val="single"/>
        <w:lang w:val="en-US" w:eastAsia="zh-CN"/>
      </w:rPr>
      <w:t xml:space="preserve">             </w:t>
    </w:r>
    <w:r>
      <w:rPr>
        <w:rFonts w:ascii="隶书" w:hAnsi="宋体" w:eastAsia="隶书"/>
        <w:b/>
        <w:sz w:val="28"/>
        <w:szCs w:val="28"/>
        <w:u w:val="single"/>
      </w:rPr>
      <w:t xml:space="preserve">    </w:t>
    </w:r>
    <w: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EBA0B9"/>
    <w:multiLevelType w:val="singleLevel"/>
    <w:tmpl w:val="05EBA0B9"/>
    <w:lvl w:ilvl="0" w:tentative="0">
      <w:start w:val="4"/>
      <w:numFmt w:val="chineseCounting"/>
      <w:suff w:val="nothing"/>
      <w:lvlText w:val="%1、"/>
      <w:lvlJc w:val="left"/>
      <w:rPr>
        <w:rFonts w:hint="eastAsia"/>
      </w:rPr>
    </w:lvl>
  </w:abstractNum>
  <w:abstractNum w:abstractNumId="1">
    <w:nsid w:val="51111207"/>
    <w:multiLevelType w:val="singleLevel"/>
    <w:tmpl w:val="51111207"/>
    <w:lvl w:ilvl="0" w:tentative="0">
      <w:start w:val="12"/>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val="0"/>
  <w:bordersDoNotSurroundFooter w:val="0"/>
  <w:documentProtection w:enforcement="0"/>
  <w:defaultTabStop w:val="420"/>
  <w:drawingGridHorizontalSpacing w:val="0"/>
  <w:drawingGridVerticalSpacing w:val="156"/>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useAltKinsokuLineBreakRules/>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1586"/>
    <w:rsid w:val="00002C1B"/>
    <w:rsid w:val="00002D57"/>
    <w:rsid w:val="00003A51"/>
    <w:rsid w:val="0000403D"/>
    <w:rsid w:val="00004E6B"/>
    <w:rsid w:val="00005A01"/>
    <w:rsid w:val="00005AEF"/>
    <w:rsid w:val="00006A14"/>
    <w:rsid w:val="00007DCB"/>
    <w:rsid w:val="00010712"/>
    <w:rsid w:val="0001095C"/>
    <w:rsid w:val="00012D8A"/>
    <w:rsid w:val="00013188"/>
    <w:rsid w:val="00017CC4"/>
    <w:rsid w:val="00021F6C"/>
    <w:rsid w:val="00022B2C"/>
    <w:rsid w:val="000233E5"/>
    <w:rsid w:val="00023453"/>
    <w:rsid w:val="000262DC"/>
    <w:rsid w:val="00027BF8"/>
    <w:rsid w:val="0003095E"/>
    <w:rsid w:val="00031727"/>
    <w:rsid w:val="00031744"/>
    <w:rsid w:val="0003322C"/>
    <w:rsid w:val="00034403"/>
    <w:rsid w:val="00035B7A"/>
    <w:rsid w:val="00036A1D"/>
    <w:rsid w:val="00036CF1"/>
    <w:rsid w:val="0003737B"/>
    <w:rsid w:val="0003748E"/>
    <w:rsid w:val="0004139E"/>
    <w:rsid w:val="00043FC1"/>
    <w:rsid w:val="00045D4C"/>
    <w:rsid w:val="00047885"/>
    <w:rsid w:val="000508DA"/>
    <w:rsid w:val="00050D97"/>
    <w:rsid w:val="00055446"/>
    <w:rsid w:val="00056A91"/>
    <w:rsid w:val="00057067"/>
    <w:rsid w:val="00060CFE"/>
    <w:rsid w:val="0006225E"/>
    <w:rsid w:val="0006263D"/>
    <w:rsid w:val="0006670E"/>
    <w:rsid w:val="00066D58"/>
    <w:rsid w:val="00067130"/>
    <w:rsid w:val="00067AAD"/>
    <w:rsid w:val="00070CF5"/>
    <w:rsid w:val="00070E82"/>
    <w:rsid w:val="0007384F"/>
    <w:rsid w:val="00075564"/>
    <w:rsid w:val="00075CEA"/>
    <w:rsid w:val="000776F3"/>
    <w:rsid w:val="00080D3B"/>
    <w:rsid w:val="000812EE"/>
    <w:rsid w:val="00081774"/>
    <w:rsid w:val="00081FDD"/>
    <w:rsid w:val="00082D6F"/>
    <w:rsid w:val="000848E0"/>
    <w:rsid w:val="00086F9F"/>
    <w:rsid w:val="000874AC"/>
    <w:rsid w:val="00090C6B"/>
    <w:rsid w:val="00091E14"/>
    <w:rsid w:val="00093D62"/>
    <w:rsid w:val="00095513"/>
    <w:rsid w:val="0009720D"/>
    <w:rsid w:val="000A03DC"/>
    <w:rsid w:val="000A16AD"/>
    <w:rsid w:val="000A3B22"/>
    <w:rsid w:val="000A4C76"/>
    <w:rsid w:val="000A50D5"/>
    <w:rsid w:val="000A529E"/>
    <w:rsid w:val="000A533D"/>
    <w:rsid w:val="000A5507"/>
    <w:rsid w:val="000B0276"/>
    <w:rsid w:val="000B0DE3"/>
    <w:rsid w:val="000B11BD"/>
    <w:rsid w:val="000B1818"/>
    <w:rsid w:val="000B2567"/>
    <w:rsid w:val="000B258D"/>
    <w:rsid w:val="000B7C7D"/>
    <w:rsid w:val="000C2E05"/>
    <w:rsid w:val="000C3AC5"/>
    <w:rsid w:val="000C4321"/>
    <w:rsid w:val="000C6146"/>
    <w:rsid w:val="000C63DE"/>
    <w:rsid w:val="000D0BFB"/>
    <w:rsid w:val="000D28A4"/>
    <w:rsid w:val="000D3866"/>
    <w:rsid w:val="000D58F4"/>
    <w:rsid w:val="000E3EB6"/>
    <w:rsid w:val="000E4BA1"/>
    <w:rsid w:val="000F18E4"/>
    <w:rsid w:val="000F2CF8"/>
    <w:rsid w:val="000F3053"/>
    <w:rsid w:val="000F3688"/>
    <w:rsid w:val="0010091B"/>
    <w:rsid w:val="00102D9E"/>
    <w:rsid w:val="00103F21"/>
    <w:rsid w:val="0010428B"/>
    <w:rsid w:val="0011102C"/>
    <w:rsid w:val="001124E2"/>
    <w:rsid w:val="0011295E"/>
    <w:rsid w:val="00114247"/>
    <w:rsid w:val="0011569F"/>
    <w:rsid w:val="0011581B"/>
    <w:rsid w:val="0011642E"/>
    <w:rsid w:val="00117B97"/>
    <w:rsid w:val="00117F74"/>
    <w:rsid w:val="00121686"/>
    <w:rsid w:val="00122956"/>
    <w:rsid w:val="00122A0B"/>
    <w:rsid w:val="001257E9"/>
    <w:rsid w:val="001258B5"/>
    <w:rsid w:val="00125FA8"/>
    <w:rsid w:val="0013418B"/>
    <w:rsid w:val="001373AD"/>
    <w:rsid w:val="001374B3"/>
    <w:rsid w:val="001409D9"/>
    <w:rsid w:val="00142DDE"/>
    <w:rsid w:val="0014339F"/>
    <w:rsid w:val="0014421D"/>
    <w:rsid w:val="00145154"/>
    <w:rsid w:val="00145A73"/>
    <w:rsid w:val="00145AD0"/>
    <w:rsid w:val="001475A0"/>
    <w:rsid w:val="001551A4"/>
    <w:rsid w:val="00160FCF"/>
    <w:rsid w:val="00162106"/>
    <w:rsid w:val="001628A2"/>
    <w:rsid w:val="00162B27"/>
    <w:rsid w:val="00162FE3"/>
    <w:rsid w:val="0016776E"/>
    <w:rsid w:val="00172A27"/>
    <w:rsid w:val="001730B1"/>
    <w:rsid w:val="00173BB4"/>
    <w:rsid w:val="00173BFE"/>
    <w:rsid w:val="001742B3"/>
    <w:rsid w:val="001748D8"/>
    <w:rsid w:val="00176189"/>
    <w:rsid w:val="0017683A"/>
    <w:rsid w:val="001828E4"/>
    <w:rsid w:val="00182DD8"/>
    <w:rsid w:val="00183780"/>
    <w:rsid w:val="00183B2D"/>
    <w:rsid w:val="00184CFC"/>
    <w:rsid w:val="00185C60"/>
    <w:rsid w:val="00185CCD"/>
    <w:rsid w:val="0018647C"/>
    <w:rsid w:val="00186968"/>
    <w:rsid w:val="001909B7"/>
    <w:rsid w:val="0019119F"/>
    <w:rsid w:val="001917F9"/>
    <w:rsid w:val="00192285"/>
    <w:rsid w:val="00192F21"/>
    <w:rsid w:val="00193EF9"/>
    <w:rsid w:val="001A10C9"/>
    <w:rsid w:val="001A36C6"/>
    <w:rsid w:val="001B1CEB"/>
    <w:rsid w:val="001C2AC8"/>
    <w:rsid w:val="001C4EDA"/>
    <w:rsid w:val="001C526E"/>
    <w:rsid w:val="001C6871"/>
    <w:rsid w:val="001D5B68"/>
    <w:rsid w:val="001D5DA8"/>
    <w:rsid w:val="001D6FE6"/>
    <w:rsid w:val="001D7C02"/>
    <w:rsid w:val="001E59EC"/>
    <w:rsid w:val="001E6A33"/>
    <w:rsid w:val="001E6C04"/>
    <w:rsid w:val="001E7ABB"/>
    <w:rsid w:val="001F3118"/>
    <w:rsid w:val="00200F59"/>
    <w:rsid w:val="002033A1"/>
    <w:rsid w:val="00206F1C"/>
    <w:rsid w:val="0021106B"/>
    <w:rsid w:val="0021169A"/>
    <w:rsid w:val="00216074"/>
    <w:rsid w:val="002160D9"/>
    <w:rsid w:val="00216AF8"/>
    <w:rsid w:val="00216F0C"/>
    <w:rsid w:val="00220250"/>
    <w:rsid w:val="00220F58"/>
    <w:rsid w:val="00222A6D"/>
    <w:rsid w:val="00223DC6"/>
    <w:rsid w:val="002267E2"/>
    <w:rsid w:val="00227921"/>
    <w:rsid w:val="0023159A"/>
    <w:rsid w:val="00231E95"/>
    <w:rsid w:val="002325C5"/>
    <w:rsid w:val="002341E0"/>
    <w:rsid w:val="00240AF0"/>
    <w:rsid w:val="00240D4A"/>
    <w:rsid w:val="002433CD"/>
    <w:rsid w:val="00243769"/>
    <w:rsid w:val="00245ECD"/>
    <w:rsid w:val="00250346"/>
    <w:rsid w:val="00250410"/>
    <w:rsid w:val="00250E04"/>
    <w:rsid w:val="002525A5"/>
    <w:rsid w:val="00252828"/>
    <w:rsid w:val="002542A4"/>
    <w:rsid w:val="002573E9"/>
    <w:rsid w:val="002577E6"/>
    <w:rsid w:val="002617A8"/>
    <w:rsid w:val="00261B95"/>
    <w:rsid w:val="0026420D"/>
    <w:rsid w:val="00266675"/>
    <w:rsid w:val="0026694F"/>
    <w:rsid w:val="0026749A"/>
    <w:rsid w:val="00270DC5"/>
    <w:rsid w:val="002726C0"/>
    <w:rsid w:val="00275B70"/>
    <w:rsid w:val="002775FE"/>
    <w:rsid w:val="002834F1"/>
    <w:rsid w:val="002835BB"/>
    <w:rsid w:val="00283804"/>
    <w:rsid w:val="00285A91"/>
    <w:rsid w:val="00285F1D"/>
    <w:rsid w:val="00290202"/>
    <w:rsid w:val="00291CEB"/>
    <w:rsid w:val="00293796"/>
    <w:rsid w:val="00293A91"/>
    <w:rsid w:val="002945CF"/>
    <w:rsid w:val="00294C2F"/>
    <w:rsid w:val="002969C6"/>
    <w:rsid w:val="00297EF7"/>
    <w:rsid w:val="002A0E4D"/>
    <w:rsid w:val="002A2C42"/>
    <w:rsid w:val="002A4017"/>
    <w:rsid w:val="002A4ABD"/>
    <w:rsid w:val="002A78C3"/>
    <w:rsid w:val="002A7A9A"/>
    <w:rsid w:val="002A7C0E"/>
    <w:rsid w:val="002B1E7F"/>
    <w:rsid w:val="002B34BA"/>
    <w:rsid w:val="002B5F49"/>
    <w:rsid w:val="002B7FA8"/>
    <w:rsid w:val="002C4BC7"/>
    <w:rsid w:val="002D06E3"/>
    <w:rsid w:val="002D1D01"/>
    <w:rsid w:val="002D1F64"/>
    <w:rsid w:val="002D4C1C"/>
    <w:rsid w:val="002D6E31"/>
    <w:rsid w:val="002D7FFA"/>
    <w:rsid w:val="002E0D13"/>
    <w:rsid w:val="002E3AF6"/>
    <w:rsid w:val="002E3F57"/>
    <w:rsid w:val="002E3F89"/>
    <w:rsid w:val="002E5256"/>
    <w:rsid w:val="002E7F1B"/>
    <w:rsid w:val="002F1250"/>
    <w:rsid w:val="002F167C"/>
    <w:rsid w:val="002F50EB"/>
    <w:rsid w:val="002F54E9"/>
    <w:rsid w:val="002F55D3"/>
    <w:rsid w:val="002F76CC"/>
    <w:rsid w:val="00300F32"/>
    <w:rsid w:val="00301561"/>
    <w:rsid w:val="003015DF"/>
    <w:rsid w:val="0030351E"/>
    <w:rsid w:val="003058C4"/>
    <w:rsid w:val="0030793B"/>
    <w:rsid w:val="00311841"/>
    <w:rsid w:val="0031250D"/>
    <w:rsid w:val="0031289D"/>
    <w:rsid w:val="00321410"/>
    <w:rsid w:val="00324966"/>
    <w:rsid w:val="00324ACB"/>
    <w:rsid w:val="00327220"/>
    <w:rsid w:val="00332503"/>
    <w:rsid w:val="00334F3B"/>
    <w:rsid w:val="00336FE9"/>
    <w:rsid w:val="00337135"/>
    <w:rsid w:val="003408F0"/>
    <w:rsid w:val="00341569"/>
    <w:rsid w:val="003416EB"/>
    <w:rsid w:val="00341E37"/>
    <w:rsid w:val="00342492"/>
    <w:rsid w:val="003431D0"/>
    <w:rsid w:val="00344400"/>
    <w:rsid w:val="0034599B"/>
    <w:rsid w:val="003467E7"/>
    <w:rsid w:val="00346BFF"/>
    <w:rsid w:val="00346D15"/>
    <w:rsid w:val="00350110"/>
    <w:rsid w:val="00350874"/>
    <w:rsid w:val="00350B54"/>
    <w:rsid w:val="00353D24"/>
    <w:rsid w:val="003550F2"/>
    <w:rsid w:val="003558DC"/>
    <w:rsid w:val="003623F3"/>
    <w:rsid w:val="00364DEB"/>
    <w:rsid w:val="003663FC"/>
    <w:rsid w:val="00367083"/>
    <w:rsid w:val="0037073A"/>
    <w:rsid w:val="00370B32"/>
    <w:rsid w:val="00371C09"/>
    <w:rsid w:val="003726A5"/>
    <w:rsid w:val="00372A86"/>
    <w:rsid w:val="00373238"/>
    <w:rsid w:val="00373A41"/>
    <w:rsid w:val="00385D3A"/>
    <w:rsid w:val="003903A9"/>
    <w:rsid w:val="00393388"/>
    <w:rsid w:val="003935AF"/>
    <w:rsid w:val="003944AF"/>
    <w:rsid w:val="003A1108"/>
    <w:rsid w:val="003A2B0A"/>
    <w:rsid w:val="003B0A16"/>
    <w:rsid w:val="003B3487"/>
    <w:rsid w:val="003B503F"/>
    <w:rsid w:val="003B6965"/>
    <w:rsid w:val="003B6F46"/>
    <w:rsid w:val="003B7F91"/>
    <w:rsid w:val="003C18E9"/>
    <w:rsid w:val="003C1F9F"/>
    <w:rsid w:val="003C2335"/>
    <w:rsid w:val="003C28DF"/>
    <w:rsid w:val="003C2D86"/>
    <w:rsid w:val="003C3552"/>
    <w:rsid w:val="003C3556"/>
    <w:rsid w:val="003D225C"/>
    <w:rsid w:val="003D3744"/>
    <w:rsid w:val="003D4EAC"/>
    <w:rsid w:val="003D5AEC"/>
    <w:rsid w:val="003D6E59"/>
    <w:rsid w:val="003E17E8"/>
    <w:rsid w:val="003E4F30"/>
    <w:rsid w:val="003E70DE"/>
    <w:rsid w:val="003E72C4"/>
    <w:rsid w:val="003E7F5C"/>
    <w:rsid w:val="003F04DA"/>
    <w:rsid w:val="003F0E32"/>
    <w:rsid w:val="003F0EAD"/>
    <w:rsid w:val="003F2D24"/>
    <w:rsid w:val="003F4B36"/>
    <w:rsid w:val="003F5D6E"/>
    <w:rsid w:val="003F6A8D"/>
    <w:rsid w:val="004005A9"/>
    <w:rsid w:val="00400AB8"/>
    <w:rsid w:val="00401006"/>
    <w:rsid w:val="004034F3"/>
    <w:rsid w:val="004100C9"/>
    <w:rsid w:val="00410D17"/>
    <w:rsid w:val="00412CC5"/>
    <w:rsid w:val="004137DA"/>
    <w:rsid w:val="004143B4"/>
    <w:rsid w:val="00414AC6"/>
    <w:rsid w:val="00415271"/>
    <w:rsid w:val="004153A6"/>
    <w:rsid w:val="00416220"/>
    <w:rsid w:val="004174E3"/>
    <w:rsid w:val="00417F94"/>
    <w:rsid w:val="004207E7"/>
    <w:rsid w:val="00420EDE"/>
    <w:rsid w:val="0042315E"/>
    <w:rsid w:val="00425C55"/>
    <w:rsid w:val="00430A15"/>
    <w:rsid w:val="00430F53"/>
    <w:rsid w:val="00432FD4"/>
    <w:rsid w:val="00436C46"/>
    <w:rsid w:val="00437A3A"/>
    <w:rsid w:val="004410BD"/>
    <w:rsid w:val="0044210F"/>
    <w:rsid w:val="00447CA6"/>
    <w:rsid w:val="00450A9C"/>
    <w:rsid w:val="0045244E"/>
    <w:rsid w:val="00453941"/>
    <w:rsid w:val="00454159"/>
    <w:rsid w:val="004577B3"/>
    <w:rsid w:val="00460697"/>
    <w:rsid w:val="00460F44"/>
    <w:rsid w:val="00462D56"/>
    <w:rsid w:val="004641A6"/>
    <w:rsid w:val="004657FB"/>
    <w:rsid w:val="004672C5"/>
    <w:rsid w:val="00467493"/>
    <w:rsid w:val="004703F5"/>
    <w:rsid w:val="004741AD"/>
    <w:rsid w:val="00474812"/>
    <w:rsid w:val="00476716"/>
    <w:rsid w:val="00476B5D"/>
    <w:rsid w:val="00476EB6"/>
    <w:rsid w:val="00481761"/>
    <w:rsid w:val="00484C70"/>
    <w:rsid w:val="004859D1"/>
    <w:rsid w:val="00485CE1"/>
    <w:rsid w:val="004860AD"/>
    <w:rsid w:val="004874FC"/>
    <w:rsid w:val="0049013A"/>
    <w:rsid w:val="00491C15"/>
    <w:rsid w:val="004920A3"/>
    <w:rsid w:val="0049413D"/>
    <w:rsid w:val="0049431D"/>
    <w:rsid w:val="004A04FD"/>
    <w:rsid w:val="004A10EB"/>
    <w:rsid w:val="004A1DAB"/>
    <w:rsid w:val="004A34F2"/>
    <w:rsid w:val="004A37F9"/>
    <w:rsid w:val="004A573B"/>
    <w:rsid w:val="004A5BD5"/>
    <w:rsid w:val="004A6A92"/>
    <w:rsid w:val="004B0294"/>
    <w:rsid w:val="004B4013"/>
    <w:rsid w:val="004B632B"/>
    <w:rsid w:val="004B77E4"/>
    <w:rsid w:val="004C472E"/>
    <w:rsid w:val="004C4DA3"/>
    <w:rsid w:val="004C6667"/>
    <w:rsid w:val="004D2228"/>
    <w:rsid w:val="004D2589"/>
    <w:rsid w:val="004D3653"/>
    <w:rsid w:val="004D3DF1"/>
    <w:rsid w:val="004D43D2"/>
    <w:rsid w:val="004D5BA0"/>
    <w:rsid w:val="004E2A1B"/>
    <w:rsid w:val="004E4ED8"/>
    <w:rsid w:val="004E6157"/>
    <w:rsid w:val="004E62D7"/>
    <w:rsid w:val="004E697A"/>
    <w:rsid w:val="004F0211"/>
    <w:rsid w:val="004F05C3"/>
    <w:rsid w:val="004F1B9C"/>
    <w:rsid w:val="004F2954"/>
    <w:rsid w:val="004F3224"/>
    <w:rsid w:val="004F3495"/>
    <w:rsid w:val="004F3644"/>
    <w:rsid w:val="004F65FF"/>
    <w:rsid w:val="004F6728"/>
    <w:rsid w:val="004F7FAE"/>
    <w:rsid w:val="00500B3D"/>
    <w:rsid w:val="00500C4B"/>
    <w:rsid w:val="005012FC"/>
    <w:rsid w:val="005013C9"/>
    <w:rsid w:val="00501C4C"/>
    <w:rsid w:val="00504332"/>
    <w:rsid w:val="00504930"/>
    <w:rsid w:val="00505D14"/>
    <w:rsid w:val="0050656F"/>
    <w:rsid w:val="00506661"/>
    <w:rsid w:val="00507B03"/>
    <w:rsid w:val="00510277"/>
    <w:rsid w:val="00510290"/>
    <w:rsid w:val="005112D9"/>
    <w:rsid w:val="005132F2"/>
    <w:rsid w:val="00513566"/>
    <w:rsid w:val="00513984"/>
    <w:rsid w:val="00513AC5"/>
    <w:rsid w:val="00515B4A"/>
    <w:rsid w:val="00515BB8"/>
    <w:rsid w:val="00520ECC"/>
    <w:rsid w:val="00521F34"/>
    <w:rsid w:val="005239CB"/>
    <w:rsid w:val="00526F3C"/>
    <w:rsid w:val="00531890"/>
    <w:rsid w:val="005346B4"/>
    <w:rsid w:val="00534A3D"/>
    <w:rsid w:val="00536C6A"/>
    <w:rsid w:val="00537227"/>
    <w:rsid w:val="00537877"/>
    <w:rsid w:val="0054370E"/>
    <w:rsid w:val="005450A3"/>
    <w:rsid w:val="00545831"/>
    <w:rsid w:val="00546843"/>
    <w:rsid w:val="00546B90"/>
    <w:rsid w:val="00550831"/>
    <w:rsid w:val="005511D0"/>
    <w:rsid w:val="00551C74"/>
    <w:rsid w:val="00552C79"/>
    <w:rsid w:val="00553FAD"/>
    <w:rsid w:val="00554751"/>
    <w:rsid w:val="0055793C"/>
    <w:rsid w:val="00557B03"/>
    <w:rsid w:val="00560305"/>
    <w:rsid w:val="00561D2B"/>
    <w:rsid w:val="00565946"/>
    <w:rsid w:val="00565C17"/>
    <w:rsid w:val="00567773"/>
    <w:rsid w:val="00567B47"/>
    <w:rsid w:val="0057075F"/>
    <w:rsid w:val="00573FA2"/>
    <w:rsid w:val="005776B6"/>
    <w:rsid w:val="00582214"/>
    <w:rsid w:val="005833EB"/>
    <w:rsid w:val="00584B2B"/>
    <w:rsid w:val="00585006"/>
    <w:rsid w:val="005913AF"/>
    <w:rsid w:val="00591C6E"/>
    <w:rsid w:val="00594FE1"/>
    <w:rsid w:val="00597E05"/>
    <w:rsid w:val="005A08CA"/>
    <w:rsid w:val="005A1921"/>
    <w:rsid w:val="005A538F"/>
    <w:rsid w:val="005B06F8"/>
    <w:rsid w:val="005B08ED"/>
    <w:rsid w:val="005B0E8C"/>
    <w:rsid w:val="005B2812"/>
    <w:rsid w:val="005B6ED2"/>
    <w:rsid w:val="005C1141"/>
    <w:rsid w:val="005C23D3"/>
    <w:rsid w:val="005C77EE"/>
    <w:rsid w:val="005D02E9"/>
    <w:rsid w:val="005D22C0"/>
    <w:rsid w:val="005D276A"/>
    <w:rsid w:val="005D7C55"/>
    <w:rsid w:val="005E2E89"/>
    <w:rsid w:val="005E3F63"/>
    <w:rsid w:val="005E43B4"/>
    <w:rsid w:val="005E4813"/>
    <w:rsid w:val="005E4CBA"/>
    <w:rsid w:val="005E61A2"/>
    <w:rsid w:val="005E64DB"/>
    <w:rsid w:val="005E75C3"/>
    <w:rsid w:val="005F107F"/>
    <w:rsid w:val="005F18DB"/>
    <w:rsid w:val="005F333B"/>
    <w:rsid w:val="005F5C46"/>
    <w:rsid w:val="005F5E34"/>
    <w:rsid w:val="006003FF"/>
    <w:rsid w:val="00601258"/>
    <w:rsid w:val="006070CD"/>
    <w:rsid w:val="0060712F"/>
    <w:rsid w:val="00607DF1"/>
    <w:rsid w:val="006107C2"/>
    <w:rsid w:val="006124F5"/>
    <w:rsid w:val="00612755"/>
    <w:rsid w:val="00612AFD"/>
    <w:rsid w:val="00613CAB"/>
    <w:rsid w:val="00614788"/>
    <w:rsid w:val="00615FBE"/>
    <w:rsid w:val="006213EB"/>
    <w:rsid w:val="0062310C"/>
    <w:rsid w:val="00623669"/>
    <w:rsid w:val="006236D4"/>
    <w:rsid w:val="0062489B"/>
    <w:rsid w:val="00626988"/>
    <w:rsid w:val="00627E1E"/>
    <w:rsid w:val="00630F11"/>
    <w:rsid w:val="00630FE9"/>
    <w:rsid w:val="00632757"/>
    <w:rsid w:val="00634EF2"/>
    <w:rsid w:val="00636E50"/>
    <w:rsid w:val="00637D78"/>
    <w:rsid w:val="006412F7"/>
    <w:rsid w:val="006413C0"/>
    <w:rsid w:val="00641787"/>
    <w:rsid w:val="006466B3"/>
    <w:rsid w:val="00646798"/>
    <w:rsid w:val="006478AF"/>
    <w:rsid w:val="0065029A"/>
    <w:rsid w:val="006502AF"/>
    <w:rsid w:val="00650F12"/>
    <w:rsid w:val="006522BF"/>
    <w:rsid w:val="0065331E"/>
    <w:rsid w:val="006541E2"/>
    <w:rsid w:val="00655AA2"/>
    <w:rsid w:val="00655BAB"/>
    <w:rsid w:val="006562C6"/>
    <w:rsid w:val="00656326"/>
    <w:rsid w:val="006626A4"/>
    <w:rsid w:val="00662927"/>
    <w:rsid w:val="006640DA"/>
    <w:rsid w:val="006666DA"/>
    <w:rsid w:val="00672BDB"/>
    <w:rsid w:val="00676AF8"/>
    <w:rsid w:val="0068534A"/>
    <w:rsid w:val="00685481"/>
    <w:rsid w:val="00686768"/>
    <w:rsid w:val="006905A4"/>
    <w:rsid w:val="006913C5"/>
    <w:rsid w:val="006A00E6"/>
    <w:rsid w:val="006A200B"/>
    <w:rsid w:val="006B047D"/>
    <w:rsid w:val="006B4D70"/>
    <w:rsid w:val="006B6344"/>
    <w:rsid w:val="006C4833"/>
    <w:rsid w:val="006C6AEB"/>
    <w:rsid w:val="006D0FC9"/>
    <w:rsid w:val="006D1123"/>
    <w:rsid w:val="006D23C7"/>
    <w:rsid w:val="006E0480"/>
    <w:rsid w:val="006F12A0"/>
    <w:rsid w:val="006F1FCB"/>
    <w:rsid w:val="006F254E"/>
    <w:rsid w:val="006F3645"/>
    <w:rsid w:val="006F470B"/>
    <w:rsid w:val="006F491A"/>
    <w:rsid w:val="006F5BAC"/>
    <w:rsid w:val="00700709"/>
    <w:rsid w:val="00702444"/>
    <w:rsid w:val="00704EFC"/>
    <w:rsid w:val="00705E51"/>
    <w:rsid w:val="00706ADC"/>
    <w:rsid w:val="00706AF0"/>
    <w:rsid w:val="00706DD2"/>
    <w:rsid w:val="00713F90"/>
    <w:rsid w:val="007151D9"/>
    <w:rsid w:val="007159B5"/>
    <w:rsid w:val="00716483"/>
    <w:rsid w:val="00716CD1"/>
    <w:rsid w:val="007176E8"/>
    <w:rsid w:val="007229E0"/>
    <w:rsid w:val="00724FE9"/>
    <w:rsid w:val="00725FA7"/>
    <w:rsid w:val="00733521"/>
    <w:rsid w:val="007362B9"/>
    <w:rsid w:val="007365AD"/>
    <w:rsid w:val="00736E23"/>
    <w:rsid w:val="00741A9B"/>
    <w:rsid w:val="007425DE"/>
    <w:rsid w:val="007425FE"/>
    <w:rsid w:val="00742B0C"/>
    <w:rsid w:val="00742FF1"/>
    <w:rsid w:val="00744B66"/>
    <w:rsid w:val="007452BF"/>
    <w:rsid w:val="007466C1"/>
    <w:rsid w:val="00746917"/>
    <w:rsid w:val="0074735D"/>
    <w:rsid w:val="00750271"/>
    <w:rsid w:val="0075082A"/>
    <w:rsid w:val="007515AA"/>
    <w:rsid w:val="007529BB"/>
    <w:rsid w:val="00755F1A"/>
    <w:rsid w:val="00762509"/>
    <w:rsid w:val="00762EBB"/>
    <w:rsid w:val="00763A02"/>
    <w:rsid w:val="00767804"/>
    <w:rsid w:val="00775D66"/>
    <w:rsid w:val="00776A77"/>
    <w:rsid w:val="007772E1"/>
    <w:rsid w:val="007773BF"/>
    <w:rsid w:val="0078152C"/>
    <w:rsid w:val="007824AF"/>
    <w:rsid w:val="00784ADF"/>
    <w:rsid w:val="00790F49"/>
    <w:rsid w:val="00792B3F"/>
    <w:rsid w:val="00792D86"/>
    <w:rsid w:val="00795791"/>
    <w:rsid w:val="00797604"/>
    <w:rsid w:val="007A130E"/>
    <w:rsid w:val="007A31E1"/>
    <w:rsid w:val="007A36AE"/>
    <w:rsid w:val="007A4801"/>
    <w:rsid w:val="007A793B"/>
    <w:rsid w:val="007B0342"/>
    <w:rsid w:val="007B0AEF"/>
    <w:rsid w:val="007B569E"/>
    <w:rsid w:val="007B5761"/>
    <w:rsid w:val="007B640B"/>
    <w:rsid w:val="007B7F88"/>
    <w:rsid w:val="007C7DA6"/>
    <w:rsid w:val="007D1315"/>
    <w:rsid w:val="007D3425"/>
    <w:rsid w:val="007D350D"/>
    <w:rsid w:val="007D50F7"/>
    <w:rsid w:val="007D678B"/>
    <w:rsid w:val="007E3E3F"/>
    <w:rsid w:val="007E43CC"/>
    <w:rsid w:val="007F0446"/>
    <w:rsid w:val="007F0E5F"/>
    <w:rsid w:val="007F33C9"/>
    <w:rsid w:val="007F580D"/>
    <w:rsid w:val="007F7C24"/>
    <w:rsid w:val="0080469A"/>
    <w:rsid w:val="00805441"/>
    <w:rsid w:val="0080579E"/>
    <w:rsid w:val="0080797C"/>
    <w:rsid w:val="008115F6"/>
    <w:rsid w:val="008117CF"/>
    <w:rsid w:val="00813125"/>
    <w:rsid w:val="00815A5D"/>
    <w:rsid w:val="008173B4"/>
    <w:rsid w:val="00822541"/>
    <w:rsid w:val="008227B6"/>
    <w:rsid w:val="00822DCD"/>
    <w:rsid w:val="00831C07"/>
    <w:rsid w:val="00831DFF"/>
    <w:rsid w:val="00832989"/>
    <w:rsid w:val="00834CAB"/>
    <w:rsid w:val="008355A2"/>
    <w:rsid w:val="00835809"/>
    <w:rsid w:val="00836A1F"/>
    <w:rsid w:val="0084444E"/>
    <w:rsid w:val="00844E84"/>
    <w:rsid w:val="00844F69"/>
    <w:rsid w:val="008458DF"/>
    <w:rsid w:val="00851356"/>
    <w:rsid w:val="008519A0"/>
    <w:rsid w:val="00851E07"/>
    <w:rsid w:val="00852995"/>
    <w:rsid w:val="00853AD3"/>
    <w:rsid w:val="00854F53"/>
    <w:rsid w:val="00856B23"/>
    <w:rsid w:val="0086407E"/>
    <w:rsid w:val="00865AB9"/>
    <w:rsid w:val="00865B24"/>
    <w:rsid w:val="00873460"/>
    <w:rsid w:val="00875CFB"/>
    <w:rsid w:val="0087645F"/>
    <w:rsid w:val="00877A36"/>
    <w:rsid w:val="008802BA"/>
    <w:rsid w:val="0088233C"/>
    <w:rsid w:val="008836E6"/>
    <w:rsid w:val="008839D1"/>
    <w:rsid w:val="008843F9"/>
    <w:rsid w:val="00885F91"/>
    <w:rsid w:val="008876DA"/>
    <w:rsid w:val="00887BAB"/>
    <w:rsid w:val="00890A5F"/>
    <w:rsid w:val="0089221D"/>
    <w:rsid w:val="00893C95"/>
    <w:rsid w:val="00894E8F"/>
    <w:rsid w:val="008A0BB6"/>
    <w:rsid w:val="008A224D"/>
    <w:rsid w:val="008A74F8"/>
    <w:rsid w:val="008B0675"/>
    <w:rsid w:val="008B5A1D"/>
    <w:rsid w:val="008C013F"/>
    <w:rsid w:val="008C15CB"/>
    <w:rsid w:val="008C5921"/>
    <w:rsid w:val="008C5B7B"/>
    <w:rsid w:val="008C7CEF"/>
    <w:rsid w:val="008D0098"/>
    <w:rsid w:val="008D0632"/>
    <w:rsid w:val="008D1E85"/>
    <w:rsid w:val="008D62E3"/>
    <w:rsid w:val="008E63A4"/>
    <w:rsid w:val="008E6D1F"/>
    <w:rsid w:val="008E777C"/>
    <w:rsid w:val="008F06A7"/>
    <w:rsid w:val="008F0980"/>
    <w:rsid w:val="008F2434"/>
    <w:rsid w:val="008F3239"/>
    <w:rsid w:val="008F6369"/>
    <w:rsid w:val="008F65F6"/>
    <w:rsid w:val="008F6891"/>
    <w:rsid w:val="008F6CC7"/>
    <w:rsid w:val="008F76AD"/>
    <w:rsid w:val="008F7E44"/>
    <w:rsid w:val="00900BA4"/>
    <w:rsid w:val="009010C6"/>
    <w:rsid w:val="00902663"/>
    <w:rsid w:val="00903A1B"/>
    <w:rsid w:val="00905B9A"/>
    <w:rsid w:val="00907267"/>
    <w:rsid w:val="00910811"/>
    <w:rsid w:val="009108BB"/>
    <w:rsid w:val="009158E1"/>
    <w:rsid w:val="00920E12"/>
    <w:rsid w:val="00921033"/>
    <w:rsid w:val="0092656A"/>
    <w:rsid w:val="00927594"/>
    <w:rsid w:val="00930D66"/>
    <w:rsid w:val="00932713"/>
    <w:rsid w:val="00932801"/>
    <w:rsid w:val="00932B99"/>
    <w:rsid w:val="009360B8"/>
    <w:rsid w:val="0093715F"/>
    <w:rsid w:val="009372E7"/>
    <w:rsid w:val="009376AB"/>
    <w:rsid w:val="00937871"/>
    <w:rsid w:val="0094088A"/>
    <w:rsid w:val="0094148E"/>
    <w:rsid w:val="00942753"/>
    <w:rsid w:val="009435F0"/>
    <w:rsid w:val="00943ACD"/>
    <w:rsid w:val="00951E76"/>
    <w:rsid w:val="009525D9"/>
    <w:rsid w:val="009554B2"/>
    <w:rsid w:val="009556B8"/>
    <w:rsid w:val="00961129"/>
    <w:rsid w:val="00963570"/>
    <w:rsid w:val="0096417D"/>
    <w:rsid w:val="00965177"/>
    <w:rsid w:val="00966ABD"/>
    <w:rsid w:val="00970650"/>
    <w:rsid w:val="00972747"/>
    <w:rsid w:val="009737FB"/>
    <w:rsid w:val="00977102"/>
    <w:rsid w:val="0097710B"/>
    <w:rsid w:val="0098225D"/>
    <w:rsid w:val="009853F6"/>
    <w:rsid w:val="00985FE8"/>
    <w:rsid w:val="00986397"/>
    <w:rsid w:val="00987130"/>
    <w:rsid w:val="0099041D"/>
    <w:rsid w:val="00991B9F"/>
    <w:rsid w:val="009930A0"/>
    <w:rsid w:val="0099375B"/>
    <w:rsid w:val="00994964"/>
    <w:rsid w:val="00995B28"/>
    <w:rsid w:val="00995F24"/>
    <w:rsid w:val="009967C9"/>
    <w:rsid w:val="009971B7"/>
    <w:rsid w:val="009A393F"/>
    <w:rsid w:val="009A3A4C"/>
    <w:rsid w:val="009A3FC5"/>
    <w:rsid w:val="009A4781"/>
    <w:rsid w:val="009A4A43"/>
    <w:rsid w:val="009A4A4C"/>
    <w:rsid w:val="009A4CEE"/>
    <w:rsid w:val="009A5695"/>
    <w:rsid w:val="009A5E5A"/>
    <w:rsid w:val="009A6CB5"/>
    <w:rsid w:val="009B0F6D"/>
    <w:rsid w:val="009B1218"/>
    <w:rsid w:val="009B1E85"/>
    <w:rsid w:val="009B2731"/>
    <w:rsid w:val="009B28FF"/>
    <w:rsid w:val="009B3B7B"/>
    <w:rsid w:val="009B3F43"/>
    <w:rsid w:val="009B40CB"/>
    <w:rsid w:val="009B55C5"/>
    <w:rsid w:val="009B6CB9"/>
    <w:rsid w:val="009B748B"/>
    <w:rsid w:val="009C084C"/>
    <w:rsid w:val="009C0BF7"/>
    <w:rsid w:val="009C1476"/>
    <w:rsid w:val="009C2A62"/>
    <w:rsid w:val="009C7E37"/>
    <w:rsid w:val="009C7F4D"/>
    <w:rsid w:val="009D09AF"/>
    <w:rsid w:val="009D247D"/>
    <w:rsid w:val="009D6F05"/>
    <w:rsid w:val="009E060D"/>
    <w:rsid w:val="009E1E83"/>
    <w:rsid w:val="009E2E29"/>
    <w:rsid w:val="009E3909"/>
    <w:rsid w:val="009E4D29"/>
    <w:rsid w:val="009E52D9"/>
    <w:rsid w:val="009E667D"/>
    <w:rsid w:val="009E74D5"/>
    <w:rsid w:val="009F13D2"/>
    <w:rsid w:val="009F2434"/>
    <w:rsid w:val="009F489F"/>
    <w:rsid w:val="009F597A"/>
    <w:rsid w:val="009F685F"/>
    <w:rsid w:val="009F75E9"/>
    <w:rsid w:val="00A026FC"/>
    <w:rsid w:val="00A03F0D"/>
    <w:rsid w:val="00A07593"/>
    <w:rsid w:val="00A07C10"/>
    <w:rsid w:val="00A10096"/>
    <w:rsid w:val="00A121BA"/>
    <w:rsid w:val="00A14377"/>
    <w:rsid w:val="00A1440E"/>
    <w:rsid w:val="00A16CBF"/>
    <w:rsid w:val="00A172BF"/>
    <w:rsid w:val="00A211D0"/>
    <w:rsid w:val="00A2251E"/>
    <w:rsid w:val="00A22AF0"/>
    <w:rsid w:val="00A23515"/>
    <w:rsid w:val="00A2452B"/>
    <w:rsid w:val="00A25407"/>
    <w:rsid w:val="00A25B4F"/>
    <w:rsid w:val="00A264EE"/>
    <w:rsid w:val="00A26C55"/>
    <w:rsid w:val="00A31D32"/>
    <w:rsid w:val="00A3205C"/>
    <w:rsid w:val="00A34A79"/>
    <w:rsid w:val="00A34A91"/>
    <w:rsid w:val="00A3595A"/>
    <w:rsid w:val="00A425B2"/>
    <w:rsid w:val="00A451B1"/>
    <w:rsid w:val="00A45BC2"/>
    <w:rsid w:val="00A46C0E"/>
    <w:rsid w:val="00A4724B"/>
    <w:rsid w:val="00A51972"/>
    <w:rsid w:val="00A51D1F"/>
    <w:rsid w:val="00A51D7B"/>
    <w:rsid w:val="00A5378A"/>
    <w:rsid w:val="00A54040"/>
    <w:rsid w:val="00A55C46"/>
    <w:rsid w:val="00A6076C"/>
    <w:rsid w:val="00A62B58"/>
    <w:rsid w:val="00A62E8E"/>
    <w:rsid w:val="00A6331E"/>
    <w:rsid w:val="00A63423"/>
    <w:rsid w:val="00A65EB1"/>
    <w:rsid w:val="00A73DE5"/>
    <w:rsid w:val="00A80B0A"/>
    <w:rsid w:val="00A8113A"/>
    <w:rsid w:val="00A90ECF"/>
    <w:rsid w:val="00A91395"/>
    <w:rsid w:val="00A9795B"/>
    <w:rsid w:val="00AA0371"/>
    <w:rsid w:val="00AA0BA7"/>
    <w:rsid w:val="00AA22D3"/>
    <w:rsid w:val="00AA7013"/>
    <w:rsid w:val="00AB1835"/>
    <w:rsid w:val="00AB669B"/>
    <w:rsid w:val="00AC1C99"/>
    <w:rsid w:val="00AC2416"/>
    <w:rsid w:val="00AC2C68"/>
    <w:rsid w:val="00AC6691"/>
    <w:rsid w:val="00AC7010"/>
    <w:rsid w:val="00AD022D"/>
    <w:rsid w:val="00AD1060"/>
    <w:rsid w:val="00AD11F0"/>
    <w:rsid w:val="00AD3B57"/>
    <w:rsid w:val="00AD4074"/>
    <w:rsid w:val="00AD4135"/>
    <w:rsid w:val="00AD41E2"/>
    <w:rsid w:val="00AD6002"/>
    <w:rsid w:val="00AE6C69"/>
    <w:rsid w:val="00AF2FD4"/>
    <w:rsid w:val="00AF3505"/>
    <w:rsid w:val="00AF6CA0"/>
    <w:rsid w:val="00B005BE"/>
    <w:rsid w:val="00B01D3B"/>
    <w:rsid w:val="00B050FF"/>
    <w:rsid w:val="00B063A2"/>
    <w:rsid w:val="00B06BB5"/>
    <w:rsid w:val="00B06FFA"/>
    <w:rsid w:val="00B07449"/>
    <w:rsid w:val="00B076E4"/>
    <w:rsid w:val="00B07862"/>
    <w:rsid w:val="00B13141"/>
    <w:rsid w:val="00B15251"/>
    <w:rsid w:val="00B16F18"/>
    <w:rsid w:val="00B172E1"/>
    <w:rsid w:val="00B2270F"/>
    <w:rsid w:val="00B23E4D"/>
    <w:rsid w:val="00B24B0E"/>
    <w:rsid w:val="00B33197"/>
    <w:rsid w:val="00B33601"/>
    <w:rsid w:val="00B33C8E"/>
    <w:rsid w:val="00B37159"/>
    <w:rsid w:val="00B37CB9"/>
    <w:rsid w:val="00B40AD0"/>
    <w:rsid w:val="00B44BA6"/>
    <w:rsid w:val="00B45DF8"/>
    <w:rsid w:val="00B4760E"/>
    <w:rsid w:val="00B53E53"/>
    <w:rsid w:val="00B56A3B"/>
    <w:rsid w:val="00B62D85"/>
    <w:rsid w:val="00B65300"/>
    <w:rsid w:val="00B66B18"/>
    <w:rsid w:val="00B67B94"/>
    <w:rsid w:val="00B70B34"/>
    <w:rsid w:val="00B734F6"/>
    <w:rsid w:val="00B742C4"/>
    <w:rsid w:val="00B77FE7"/>
    <w:rsid w:val="00B80985"/>
    <w:rsid w:val="00B82A03"/>
    <w:rsid w:val="00B84ACB"/>
    <w:rsid w:val="00B85830"/>
    <w:rsid w:val="00B86F46"/>
    <w:rsid w:val="00B91FEA"/>
    <w:rsid w:val="00B94052"/>
    <w:rsid w:val="00BA0CF9"/>
    <w:rsid w:val="00BA212A"/>
    <w:rsid w:val="00BA317D"/>
    <w:rsid w:val="00BA459B"/>
    <w:rsid w:val="00BA4EDD"/>
    <w:rsid w:val="00BA7D1C"/>
    <w:rsid w:val="00BB0EC7"/>
    <w:rsid w:val="00BB543F"/>
    <w:rsid w:val="00BB5CFC"/>
    <w:rsid w:val="00BB5E82"/>
    <w:rsid w:val="00BC4BC1"/>
    <w:rsid w:val="00BC7934"/>
    <w:rsid w:val="00BD3EF7"/>
    <w:rsid w:val="00BD4A0B"/>
    <w:rsid w:val="00BD683F"/>
    <w:rsid w:val="00BD715B"/>
    <w:rsid w:val="00BE2276"/>
    <w:rsid w:val="00BE2BEB"/>
    <w:rsid w:val="00BE2D41"/>
    <w:rsid w:val="00BE5074"/>
    <w:rsid w:val="00BE6A5D"/>
    <w:rsid w:val="00BE7313"/>
    <w:rsid w:val="00BF1836"/>
    <w:rsid w:val="00BF2950"/>
    <w:rsid w:val="00BF7AC9"/>
    <w:rsid w:val="00C00DF6"/>
    <w:rsid w:val="00C02FB3"/>
    <w:rsid w:val="00C04CA7"/>
    <w:rsid w:val="00C059D3"/>
    <w:rsid w:val="00C05C8D"/>
    <w:rsid w:val="00C07AEE"/>
    <w:rsid w:val="00C11788"/>
    <w:rsid w:val="00C156D3"/>
    <w:rsid w:val="00C17311"/>
    <w:rsid w:val="00C245E5"/>
    <w:rsid w:val="00C24D58"/>
    <w:rsid w:val="00C272EB"/>
    <w:rsid w:val="00C30338"/>
    <w:rsid w:val="00C31227"/>
    <w:rsid w:val="00C32C52"/>
    <w:rsid w:val="00C32E4D"/>
    <w:rsid w:val="00C36F8D"/>
    <w:rsid w:val="00C4254F"/>
    <w:rsid w:val="00C4586A"/>
    <w:rsid w:val="00C52C46"/>
    <w:rsid w:val="00C534B5"/>
    <w:rsid w:val="00C54185"/>
    <w:rsid w:val="00C55A12"/>
    <w:rsid w:val="00C5656A"/>
    <w:rsid w:val="00C57C21"/>
    <w:rsid w:val="00C60C15"/>
    <w:rsid w:val="00C61677"/>
    <w:rsid w:val="00C6285F"/>
    <w:rsid w:val="00C63A21"/>
    <w:rsid w:val="00C65808"/>
    <w:rsid w:val="00C658C9"/>
    <w:rsid w:val="00C66146"/>
    <w:rsid w:val="00C7268D"/>
    <w:rsid w:val="00C726F4"/>
    <w:rsid w:val="00C7393F"/>
    <w:rsid w:val="00C743FD"/>
    <w:rsid w:val="00C74837"/>
    <w:rsid w:val="00C74A9F"/>
    <w:rsid w:val="00C74AD5"/>
    <w:rsid w:val="00C74BCD"/>
    <w:rsid w:val="00C75764"/>
    <w:rsid w:val="00C76049"/>
    <w:rsid w:val="00C80771"/>
    <w:rsid w:val="00C810B7"/>
    <w:rsid w:val="00C83CAC"/>
    <w:rsid w:val="00C83E16"/>
    <w:rsid w:val="00C846E5"/>
    <w:rsid w:val="00C8533D"/>
    <w:rsid w:val="00C862DA"/>
    <w:rsid w:val="00C86B0F"/>
    <w:rsid w:val="00C86EF7"/>
    <w:rsid w:val="00C8727F"/>
    <w:rsid w:val="00C87C4F"/>
    <w:rsid w:val="00C9340F"/>
    <w:rsid w:val="00C965D8"/>
    <w:rsid w:val="00C97670"/>
    <w:rsid w:val="00CA0B7B"/>
    <w:rsid w:val="00CA0E8F"/>
    <w:rsid w:val="00CA22FF"/>
    <w:rsid w:val="00CA530A"/>
    <w:rsid w:val="00CA6558"/>
    <w:rsid w:val="00CA722D"/>
    <w:rsid w:val="00CA78D5"/>
    <w:rsid w:val="00CB02F0"/>
    <w:rsid w:val="00CB1E51"/>
    <w:rsid w:val="00CB2575"/>
    <w:rsid w:val="00CB2D3C"/>
    <w:rsid w:val="00CB3829"/>
    <w:rsid w:val="00CB65F1"/>
    <w:rsid w:val="00CC060D"/>
    <w:rsid w:val="00CC08A7"/>
    <w:rsid w:val="00CC47A1"/>
    <w:rsid w:val="00CC548E"/>
    <w:rsid w:val="00CC7430"/>
    <w:rsid w:val="00CD1014"/>
    <w:rsid w:val="00CD27B2"/>
    <w:rsid w:val="00CD3B2D"/>
    <w:rsid w:val="00CD4A8B"/>
    <w:rsid w:val="00CE3FFC"/>
    <w:rsid w:val="00CE608C"/>
    <w:rsid w:val="00CE7E92"/>
    <w:rsid w:val="00CF08E6"/>
    <w:rsid w:val="00CF1D73"/>
    <w:rsid w:val="00CF4401"/>
    <w:rsid w:val="00CF6E92"/>
    <w:rsid w:val="00D00C2C"/>
    <w:rsid w:val="00D024C6"/>
    <w:rsid w:val="00D026FB"/>
    <w:rsid w:val="00D111A3"/>
    <w:rsid w:val="00D11FB3"/>
    <w:rsid w:val="00D14056"/>
    <w:rsid w:val="00D15995"/>
    <w:rsid w:val="00D159CB"/>
    <w:rsid w:val="00D159DD"/>
    <w:rsid w:val="00D1605B"/>
    <w:rsid w:val="00D2047F"/>
    <w:rsid w:val="00D20843"/>
    <w:rsid w:val="00D223D3"/>
    <w:rsid w:val="00D2513A"/>
    <w:rsid w:val="00D25650"/>
    <w:rsid w:val="00D25B5A"/>
    <w:rsid w:val="00D27188"/>
    <w:rsid w:val="00D37C13"/>
    <w:rsid w:val="00D407B4"/>
    <w:rsid w:val="00D40C2E"/>
    <w:rsid w:val="00D418D8"/>
    <w:rsid w:val="00D43A09"/>
    <w:rsid w:val="00D4490A"/>
    <w:rsid w:val="00D514F0"/>
    <w:rsid w:val="00D51F6E"/>
    <w:rsid w:val="00D53E5B"/>
    <w:rsid w:val="00D55148"/>
    <w:rsid w:val="00D6034F"/>
    <w:rsid w:val="00D6145E"/>
    <w:rsid w:val="00D6163F"/>
    <w:rsid w:val="00D617B6"/>
    <w:rsid w:val="00D634B2"/>
    <w:rsid w:val="00D6709F"/>
    <w:rsid w:val="00D734D8"/>
    <w:rsid w:val="00D748C7"/>
    <w:rsid w:val="00D8004B"/>
    <w:rsid w:val="00D83842"/>
    <w:rsid w:val="00D839BA"/>
    <w:rsid w:val="00D840A1"/>
    <w:rsid w:val="00D85865"/>
    <w:rsid w:val="00D86B01"/>
    <w:rsid w:val="00D86BAE"/>
    <w:rsid w:val="00D875CD"/>
    <w:rsid w:val="00D9181E"/>
    <w:rsid w:val="00D92502"/>
    <w:rsid w:val="00D92DA9"/>
    <w:rsid w:val="00D940DE"/>
    <w:rsid w:val="00D94745"/>
    <w:rsid w:val="00D963A2"/>
    <w:rsid w:val="00DA35CA"/>
    <w:rsid w:val="00DA5750"/>
    <w:rsid w:val="00DA7322"/>
    <w:rsid w:val="00DB2DA9"/>
    <w:rsid w:val="00DB358C"/>
    <w:rsid w:val="00DB4715"/>
    <w:rsid w:val="00DB4D13"/>
    <w:rsid w:val="00DB6228"/>
    <w:rsid w:val="00DB63DB"/>
    <w:rsid w:val="00DB6C80"/>
    <w:rsid w:val="00DC218D"/>
    <w:rsid w:val="00DC28EA"/>
    <w:rsid w:val="00DC61F9"/>
    <w:rsid w:val="00DD0034"/>
    <w:rsid w:val="00DD4A47"/>
    <w:rsid w:val="00DD5CB0"/>
    <w:rsid w:val="00DE14EE"/>
    <w:rsid w:val="00DE3E58"/>
    <w:rsid w:val="00DE4FD6"/>
    <w:rsid w:val="00DE50A2"/>
    <w:rsid w:val="00DE6A13"/>
    <w:rsid w:val="00DF0176"/>
    <w:rsid w:val="00DF195F"/>
    <w:rsid w:val="00DF23F1"/>
    <w:rsid w:val="00DF3A35"/>
    <w:rsid w:val="00DF3A95"/>
    <w:rsid w:val="00DF6AEB"/>
    <w:rsid w:val="00DF7985"/>
    <w:rsid w:val="00E012EE"/>
    <w:rsid w:val="00E018AB"/>
    <w:rsid w:val="00E01B87"/>
    <w:rsid w:val="00E03D99"/>
    <w:rsid w:val="00E047A5"/>
    <w:rsid w:val="00E05ED0"/>
    <w:rsid w:val="00E1108C"/>
    <w:rsid w:val="00E128AE"/>
    <w:rsid w:val="00E14031"/>
    <w:rsid w:val="00E1517E"/>
    <w:rsid w:val="00E16E20"/>
    <w:rsid w:val="00E21B2F"/>
    <w:rsid w:val="00E22ECF"/>
    <w:rsid w:val="00E30FF3"/>
    <w:rsid w:val="00E31C1B"/>
    <w:rsid w:val="00E32942"/>
    <w:rsid w:val="00E34AA7"/>
    <w:rsid w:val="00E34E98"/>
    <w:rsid w:val="00E3590B"/>
    <w:rsid w:val="00E35E23"/>
    <w:rsid w:val="00E410D5"/>
    <w:rsid w:val="00E414F6"/>
    <w:rsid w:val="00E42EB3"/>
    <w:rsid w:val="00E45E80"/>
    <w:rsid w:val="00E46428"/>
    <w:rsid w:val="00E466A0"/>
    <w:rsid w:val="00E47259"/>
    <w:rsid w:val="00E53BF0"/>
    <w:rsid w:val="00E64D8B"/>
    <w:rsid w:val="00E6535D"/>
    <w:rsid w:val="00E70B3E"/>
    <w:rsid w:val="00E71C9C"/>
    <w:rsid w:val="00E73567"/>
    <w:rsid w:val="00E745CE"/>
    <w:rsid w:val="00E751EB"/>
    <w:rsid w:val="00E80D75"/>
    <w:rsid w:val="00E815F0"/>
    <w:rsid w:val="00E816CA"/>
    <w:rsid w:val="00E84C10"/>
    <w:rsid w:val="00E852D4"/>
    <w:rsid w:val="00E912C2"/>
    <w:rsid w:val="00E91714"/>
    <w:rsid w:val="00E92E48"/>
    <w:rsid w:val="00E932B5"/>
    <w:rsid w:val="00E93798"/>
    <w:rsid w:val="00E938CC"/>
    <w:rsid w:val="00E95ABD"/>
    <w:rsid w:val="00E9754D"/>
    <w:rsid w:val="00EA1022"/>
    <w:rsid w:val="00EA3705"/>
    <w:rsid w:val="00EA4BBB"/>
    <w:rsid w:val="00EA4D25"/>
    <w:rsid w:val="00EB1531"/>
    <w:rsid w:val="00EB47A9"/>
    <w:rsid w:val="00EB4ECE"/>
    <w:rsid w:val="00EB6CB2"/>
    <w:rsid w:val="00EC0752"/>
    <w:rsid w:val="00EC0774"/>
    <w:rsid w:val="00EC2F98"/>
    <w:rsid w:val="00EC3A8C"/>
    <w:rsid w:val="00EC4BC6"/>
    <w:rsid w:val="00EC55AC"/>
    <w:rsid w:val="00ED0923"/>
    <w:rsid w:val="00ED0927"/>
    <w:rsid w:val="00ED4611"/>
    <w:rsid w:val="00ED4E0E"/>
    <w:rsid w:val="00ED574D"/>
    <w:rsid w:val="00ED64CD"/>
    <w:rsid w:val="00ED6DF2"/>
    <w:rsid w:val="00ED7222"/>
    <w:rsid w:val="00ED760E"/>
    <w:rsid w:val="00EE4396"/>
    <w:rsid w:val="00EE76A4"/>
    <w:rsid w:val="00EE7706"/>
    <w:rsid w:val="00EF0062"/>
    <w:rsid w:val="00EF397A"/>
    <w:rsid w:val="00EF731A"/>
    <w:rsid w:val="00EF7806"/>
    <w:rsid w:val="00F0110E"/>
    <w:rsid w:val="00F013A4"/>
    <w:rsid w:val="00F05CC0"/>
    <w:rsid w:val="00F131FE"/>
    <w:rsid w:val="00F1447C"/>
    <w:rsid w:val="00F16D3C"/>
    <w:rsid w:val="00F17272"/>
    <w:rsid w:val="00F21B6B"/>
    <w:rsid w:val="00F21BB5"/>
    <w:rsid w:val="00F21CAA"/>
    <w:rsid w:val="00F23E42"/>
    <w:rsid w:val="00F24844"/>
    <w:rsid w:val="00F25419"/>
    <w:rsid w:val="00F2644B"/>
    <w:rsid w:val="00F26C50"/>
    <w:rsid w:val="00F278EE"/>
    <w:rsid w:val="00F32D14"/>
    <w:rsid w:val="00F363C2"/>
    <w:rsid w:val="00F37CF9"/>
    <w:rsid w:val="00F44487"/>
    <w:rsid w:val="00F45A79"/>
    <w:rsid w:val="00F46FD3"/>
    <w:rsid w:val="00F47FFD"/>
    <w:rsid w:val="00F5139E"/>
    <w:rsid w:val="00F54B1A"/>
    <w:rsid w:val="00F55011"/>
    <w:rsid w:val="00F57356"/>
    <w:rsid w:val="00F57FEB"/>
    <w:rsid w:val="00F603D6"/>
    <w:rsid w:val="00F624AA"/>
    <w:rsid w:val="00F655E4"/>
    <w:rsid w:val="00F663AD"/>
    <w:rsid w:val="00F67541"/>
    <w:rsid w:val="00F7027B"/>
    <w:rsid w:val="00F71817"/>
    <w:rsid w:val="00F71DD4"/>
    <w:rsid w:val="00F75810"/>
    <w:rsid w:val="00F770B5"/>
    <w:rsid w:val="00F81A76"/>
    <w:rsid w:val="00F8235B"/>
    <w:rsid w:val="00F82937"/>
    <w:rsid w:val="00F842AD"/>
    <w:rsid w:val="00F8642D"/>
    <w:rsid w:val="00F92125"/>
    <w:rsid w:val="00F92412"/>
    <w:rsid w:val="00F92994"/>
    <w:rsid w:val="00F93BA3"/>
    <w:rsid w:val="00F94778"/>
    <w:rsid w:val="00F96327"/>
    <w:rsid w:val="00F97A5B"/>
    <w:rsid w:val="00FA0572"/>
    <w:rsid w:val="00FA1B76"/>
    <w:rsid w:val="00FA4FF0"/>
    <w:rsid w:val="00FA5A26"/>
    <w:rsid w:val="00FA6841"/>
    <w:rsid w:val="00FB0E32"/>
    <w:rsid w:val="00FB13AE"/>
    <w:rsid w:val="00FB1B15"/>
    <w:rsid w:val="00FB1CC9"/>
    <w:rsid w:val="00FB2BC4"/>
    <w:rsid w:val="00FB62FC"/>
    <w:rsid w:val="00FB6E17"/>
    <w:rsid w:val="00FC4845"/>
    <w:rsid w:val="00FC7203"/>
    <w:rsid w:val="00FD4535"/>
    <w:rsid w:val="00FD673F"/>
    <w:rsid w:val="00FD70F6"/>
    <w:rsid w:val="00FE7690"/>
    <w:rsid w:val="00FF08BF"/>
    <w:rsid w:val="00FF10D2"/>
    <w:rsid w:val="00FF10DA"/>
    <w:rsid w:val="00FF29B2"/>
    <w:rsid w:val="00FF2DA4"/>
    <w:rsid w:val="00FF4258"/>
    <w:rsid w:val="00FF51AE"/>
    <w:rsid w:val="00FF767E"/>
    <w:rsid w:val="035D3D23"/>
    <w:rsid w:val="04642401"/>
    <w:rsid w:val="056A0708"/>
    <w:rsid w:val="06954D7C"/>
    <w:rsid w:val="070B52F0"/>
    <w:rsid w:val="074D5BD7"/>
    <w:rsid w:val="074F53C7"/>
    <w:rsid w:val="087457BC"/>
    <w:rsid w:val="09165EED"/>
    <w:rsid w:val="094C7A02"/>
    <w:rsid w:val="0A7E7C65"/>
    <w:rsid w:val="0AE36204"/>
    <w:rsid w:val="0B026915"/>
    <w:rsid w:val="0C2771A1"/>
    <w:rsid w:val="0D5C3314"/>
    <w:rsid w:val="0D753374"/>
    <w:rsid w:val="0EAF79FC"/>
    <w:rsid w:val="0ECF7FEB"/>
    <w:rsid w:val="0F1F2371"/>
    <w:rsid w:val="0FDF262A"/>
    <w:rsid w:val="10BD40AE"/>
    <w:rsid w:val="11DF4A3F"/>
    <w:rsid w:val="12457C73"/>
    <w:rsid w:val="12BD20A0"/>
    <w:rsid w:val="1344685B"/>
    <w:rsid w:val="13A76160"/>
    <w:rsid w:val="13DE7D01"/>
    <w:rsid w:val="14A34B43"/>
    <w:rsid w:val="15750E59"/>
    <w:rsid w:val="15D8385F"/>
    <w:rsid w:val="16794631"/>
    <w:rsid w:val="16ED6105"/>
    <w:rsid w:val="16F553AA"/>
    <w:rsid w:val="17744C33"/>
    <w:rsid w:val="195B52F7"/>
    <w:rsid w:val="19AE58BD"/>
    <w:rsid w:val="1DA31295"/>
    <w:rsid w:val="1F5451C8"/>
    <w:rsid w:val="1F5C2634"/>
    <w:rsid w:val="20596CFE"/>
    <w:rsid w:val="20B13C77"/>
    <w:rsid w:val="21405A89"/>
    <w:rsid w:val="24EB531C"/>
    <w:rsid w:val="25266066"/>
    <w:rsid w:val="2592572A"/>
    <w:rsid w:val="26FC527E"/>
    <w:rsid w:val="28A25D11"/>
    <w:rsid w:val="291B3907"/>
    <w:rsid w:val="2A753FD2"/>
    <w:rsid w:val="2B6D0A7D"/>
    <w:rsid w:val="2C692DDD"/>
    <w:rsid w:val="307878B9"/>
    <w:rsid w:val="316E264D"/>
    <w:rsid w:val="319C696A"/>
    <w:rsid w:val="31AF3A31"/>
    <w:rsid w:val="32946C55"/>
    <w:rsid w:val="32CF1373"/>
    <w:rsid w:val="3383424C"/>
    <w:rsid w:val="33E41624"/>
    <w:rsid w:val="36556761"/>
    <w:rsid w:val="36B43021"/>
    <w:rsid w:val="36D9289B"/>
    <w:rsid w:val="37001C10"/>
    <w:rsid w:val="37864EB4"/>
    <w:rsid w:val="378B6F71"/>
    <w:rsid w:val="38DE549B"/>
    <w:rsid w:val="39740077"/>
    <w:rsid w:val="39AC3135"/>
    <w:rsid w:val="39DF443F"/>
    <w:rsid w:val="3AB715C8"/>
    <w:rsid w:val="3C1D2D99"/>
    <w:rsid w:val="3CA14BD5"/>
    <w:rsid w:val="3D783E11"/>
    <w:rsid w:val="3E0B5B3B"/>
    <w:rsid w:val="3E3C6D41"/>
    <w:rsid w:val="3ED40336"/>
    <w:rsid w:val="3FDD3CEC"/>
    <w:rsid w:val="410A6615"/>
    <w:rsid w:val="415072D4"/>
    <w:rsid w:val="4197139E"/>
    <w:rsid w:val="41DE5068"/>
    <w:rsid w:val="42117044"/>
    <w:rsid w:val="4236204D"/>
    <w:rsid w:val="4244635C"/>
    <w:rsid w:val="42515A7A"/>
    <w:rsid w:val="43A5628A"/>
    <w:rsid w:val="43D1738E"/>
    <w:rsid w:val="44C0145B"/>
    <w:rsid w:val="459703FA"/>
    <w:rsid w:val="462F0EB0"/>
    <w:rsid w:val="472B646E"/>
    <w:rsid w:val="47D96235"/>
    <w:rsid w:val="48787F05"/>
    <w:rsid w:val="490300AA"/>
    <w:rsid w:val="494A260A"/>
    <w:rsid w:val="4A6F2BB2"/>
    <w:rsid w:val="4A886B0D"/>
    <w:rsid w:val="4B9C22CA"/>
    <w:rsid w:val="4CB2307C"/>
    <w:rsid w:val="4D6F1BCF"/>
    <w:rsid w:val="4DCB4A29"/>
    <w:rsid w:val="4E2244AF"/>
    <w:rsid w:val="4EC06879"/>
    <w:rsid w:val="4F116035"/>
    <w:rsid w:val="51A15D93"/>
    <w:rsid w:val="51B21250"/>
    <w:rsid w:val="5302047A"/>
    <w:rsid w:val="5309656A"/>
    <w:rsid w:val="530E5E61"/>
    <w:rsid w:val="54595BAE"/>
    <w:rsid w:val="554704A4"/>
    <w:rsid w:val="55731308"/>
    <w:rsid w:val="574D4B4E"/>
    <w:rsid w:val="578C2730"/>
    <w:rsid w:val="57A77B35"/>
    <w:rsid w:val="58AC3332"/>
    <w:rsid w:val="58D90FF1"/>
    <w:rsid w:val="5A2938C0"/>
    <w:rsid w:val="5ABD4DE0"/>
    <w:rsid w:val="5B4F0260"/>
    <w:rsid w:val="5B8939AC"/>
    <w:rsid w:val="5F4A4CFC"/>
    <w:rsid w:val="5F5B124E"/>
    <w:rsid w:val="5FC925EC"/>
    <w:rsid w:val="60F26381"/>
    <w:rsid w:val="61BA6AE2"/>
    <w:rsid w:val="61E74447"/>
    <w:rsid w:val="641B78C4"/>
    <w:rsid w:val="649F09B6"/>
    <w:rsid w:val="64B63FBA"/>
    <w:rsid w:val="66F77C48"/>
    <w:rsid w:val="68364439"/>
    <w:rsid w:val="68E948B5"/>
    <w:rsid w:val="6FCC03A7"/>
    <w:rsid w:val="703179C7"/>
    <w:rsid w:val="70332930"/>
    <w:rsid w:val="705B66AB"/>
    <w:rsid w:val="7088422C"/>
    <w:rsid w:val="71187CA6"/>
    <w:rsid w:val="73DC138A"/>
    <w:rsid w:val="74783664"/>
    <w:rsid w:val="74B47874"/>
    <w:rsid w:val="750A3B2F"/>
    <w:rsid w:val="7876612C"/>
    <w:rsid w:val="78E8182E"/>
    <w:rsid w:val="7ADC621E"/>
    <w:rsid w:val="7AFE5449"/>
    <w:rsid w:val="7B6412BC"/>
    <w:rsid w:val="7CE8454B"/>
    <w:rsid w:val="7E771807"/>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99" w:semiHidden="0" w:name="heading 2" w:locked="1"/>
    <w:lsdException w:qFormat="1" w:unhideWhenUsed="0" w:uiPriority="99" w:semiHidden="0" w:name="heading 3" w:locked="1"/>
    <w:lsdException w:qFormat="1" w:unhideWhenUsed="0" w:uiPriority="99" w:semiHidden="0" w:name="heading 4" w:locked="1"/>
    <w:lsdException w:qFormat="1" w:unhideWhenUsed="0" w:uiPriority="99" w:semiHidden="0" w:name="heading 5" w:locked="1"/>
    <w:lsdException w:qFormat="1" w:uiPriority="0" w:name="heading 6"/>
    <w:lsdException w:qFormat="1" w:uiPriority="0" w:name="heading 7"/>
    <w:lsdException w:qFormat="1" w:uiPriority="0" w:name="heading 8"/>
    <w:lsdException w:qFormat="1" w:uiPriority="0" w:name="heading 9"/>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qFormat="1" w:unhideWhenUsed="0" w:uiPriority="99" w:semiHidden="0" w:name="toc 1" w:locked="1"/>
    <w:lsdException w:qFormat="1" w:unhideWhenUsed="0" w:uiPriority="99" w:semiHidden="0" w:name="toc 2" w:locked="1"/>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iPriority="99" w:name="Normal Indent" w:locked="1"/>
    <w:lsdException w:uiPriority="99" w:name="footnote text" w:locked="1"/>
    <w:lsdException w:qFormat="1" w:unhideWhenUsed="0" w:uiPriority="99" w:name="annotation text"/>
    <w:lsdException w:qFormat="1" w:unhideWhenUsed="0" w:uiPriority="99" w:semiHidden="0" w:name="header"/>
    <w:lsdException w:qFormat="1" w:unhideWhenUsed="0" w:uiPriority="99" w:semiHidden="0" w:name="footer"/>
    <w:lsdException w:uiPriority="99" w:name="index heading" w:locked="1"/>
    <w:lsdException w:qFormat="1" w:uiPriority="0" w:name="caption"/>
    <w:lsdException w:uiPriority="99" w:name="table of figures" w:locked="1"/>
    <w:lsdException w:uiPriority="99" w:name="envelope address" w:locked="1"/>
    <w:lsdException w:uiPriority="99" w:name="envelope return" w:locked="1"/>
    <w:lsdException w:uiPriority="99" w:name="footnote reference" w:locked="1"/>
    <w:lsdException w:qFormat="1" w:unhideWhenUsed="0" w:uiPriority="99" w:name="annotation reference"/>
    <w:lsdException w:uiPriority="99" w:name="line number" w:locked="1"/>
    <w:lsdException w:qFormat="1" w:unhideWhenUsed="0" w:uiPriority="99" w:semiHidden="0" w:name="page number"/>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0" w:semiHidden="0" w:name="Title"/>
    <w:lsdException w:qFormat="1" w:unhideWhenUsed="0" w:uiPriority="99" w:semiHidden="0" w:name="Closing"/>
    <w:lsdException w:uiPriority="99" w:name="Signature" w:locked="1"/>
    <w:lsdException w:qFormat="1" w:uiPriority="1" w:name="Default Paragraph Font"/>
    <w:lsdException w:qFormat="1" w:unhideWhenUsed="0" w:uiPriority="99" w:name="Body Text"/>
    <w:lsdException w:qFormat="1" w:unhideWhenUsed="0" w:uiPriority="99" w:name="Body Text Indent"/>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0" w:semiHidden="0" w:name="Subtitle"/>
    <w:lsdException w:qFormat="1" w:unhideWhenUsed="0" w:uiPriority="99" w:semiHidden="0" w:name="Salutation"/>
    <w:lsdException w:qFormat="1" w:unhideWhenUsed="0" w:uiPriority="99" w:name="Date"/>
    <w:lsdException w:qFormat="1" w:unhideWhenUsed="0" w:uiPriority="99" w:name="Body Text First Indent"/>
    <w:lsdException w:uiPriority="99" w:name="Body Text First Indent 2" w:locked="1"/>
    <w:lsdException w:uiPriority="99" w:name="Note Heading" w:locked="1"/>
    <w:lsdException w:uiPriority="99" w:name="Body Text 2" w:locked="1"/>
    <w:lsdException w:uiPriority="99" w:name="Body Text 3" w:locked="1"/>
    <w:lsdException w:qFormat="1" w:unhideWhenUsed="0" w:uiPriority="99" w:name="Body Text Indent 2"/>
    <w:lsdException w:qFormat="1" w:unhideWhenUsed="0" w:uiPriority="99" w:name="Body Text Indent 3"/>
    <w:lsdException w:uiPriority="99" w:name="Block Text" w:locked="1"/>
    <w:lsdException w:qFormat="1" w:unhideWhenUsed="0" w:uiPriority="99" w:semiHidden="0" w:name="Hyperlink"/>
    <w:lsdException w:uiPriority="99" w:name="FollowedHyperlink" w:locked="1"/>
    <w:lsdException w:qFormat="1" w:unhideWhenUsed="0" w:uiPriority="0" w:semiHidden="0" w:name="Strong"/>
    <w:lsdException w:qFormat="1" w:unhideWhenUsed="0" w:uiPriority="0" w:semiHidden="0" w:name="Emphasis"/>
    <w:lsdException w:uiPriority="99" w:name="Document Map" w:locked="1"/>
    <w:lsdException w:qFormat="1" w:unhideWhenUsed="0" w:uiPriority="99" w:name="Plain Text"/>
    <w:lsdException w:uiPriority="99" w:name="E-mail Signature" w:locked="1"/>
    <w:lsdException w:qFormat="1" w:unhideWhenUsed="0" w:uiPriority="99" w:semiHidden="0" w:name="Normal (Web)"/>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uiPriority="99" w:name="HTML Preformatted" w:locked="1"/>
    <w:lsdException w:uiPriority="99" w:name="HTML Sample" w:locked="1"/>
    <w:lsdException w:uiPriority="99" w:name="HTML Typewriter" w:locked="1"/>
    <w:lsdException w:uiPriority="99" w:name="HTML Variable" w:locked="1"/>
    <w:lsdException w:qFormat="1" w:uiPriority="99" w:name="Normal Table"/>
    <w:lsdException w:qFormat="1" w:unhideWhenUsed="0" w:uiPriority="99" w:name="annotation subject"/>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name="Balloon Text"/>
    <w:lsdException w:qFormat="1" w:unhideWhenUsed="0" w:uiPriority="99" w:semiHidden="0" w:name="Table Grid"/>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30"/>
    <w:qFormat/>
    <w:locked/>
    <w:uiPriority w:val="99"/>
    <w:pPr>
      <w:keepNext/>
      <w:keepLines/>
      <w:spacing w:before="340" w:after="330" w:line="576" w:lineRule="auto"/>
      <w:outlineLvl w:val="0"/>
    </w:pPr>
    <w:rPr>
      <w:b/>
      <w:bCs/>
      <w:kern w:val="44"/>
      <w:sz w:val="44"/>
      <w:szCs w:val="44"/>
    </w:rPr>
  </w:style>
  <w:style w:type="paragraph" w:styleId="3">
    <w:name w:val="heading 2"/>
    <w:basedOn w:val="1"/>
    <w:next w:val="1"/>
    <w:link w:val="31"/>
    <w:qFormat/>
    <w:locked/>
    <w:uiPriority w:val="99"/>
    <w:pPr>
      <w:keepNext/>
      <w:keepLines/>
      <w:spacing w:before="260" w:after="260" w:line="415" w:lineRule="auto"/>
      <w:outlineLvl w:val="1"/>
    </w:pPr>
    <w:rPr>
      <w:rFonts w:ascii="Cambria" w:hAnsi="Cambria" w:cs="宋体"/>
      <w:b/>
      <w:bCs/>
      <w:sz w:val="32"/>
      <w:szCs w:val="32"/>
    </w:rPr>
  </w:style>
  <w:style w:type="paragraph" w:styleId="4">
    <w:name w:val="heading 3"/>
    <w:basedOn w:val="1"/>
    <w:next w:val="1"/>
    <w:link w:val="32"/>
    <w:qFormat/>
    <w:locked/>
    <w:uiPriority w:val="99"/>
    <w:pPr>
      <w:keepNext/>
      <w:keepLines/>
      <w:spacing w:before="260" w:after="260" w:line="415" w:lineRule="auto"/>
      <w:outlineLvl w:val="2"/>
    </w:pPr>
    <w:rPr>
      <w:b/>
      <w:bCs/>
      <w:sz w:val="32"/>
      <w:szCs w:val="32"/>
    </w:rPr>
  </w:style>
  <w:style w:type="paragraph" w:styleId="5">
    <w:name w:val="heading 4"/>
    <w:basedOn w:val="1"/>
    <w:next w:val="1"/>
    <w:link w:val="33"/>
    <w:qFormat/>
    <w:locked/>
    <w:uiPriority w:val="99"/>
    <w:pPr>
      <w:keepNext/>
      <w:keepLines/>
      <w:spacing w:before="280" w:after="290" w:line="374" w:lineRule="auto"/>
      <w:outlineLvl w:val="3"/>
    </w:pPr>
    <w:rPr>
      <w:rFonts w:ascii="Cambria" w:hAnsi="Cambria" w:cs="宋体"/>
      <w:b/>
      <w:bCs/>
      <w:sz w:val="28"/>
      <w:szCs w:val="28"/>
    </w:rPr>
  </w:style>
  <w:style w:type="paragraph" w:styleId="6">
    <w:name w:val="heading 5"/>
    <w:basedOn w:val="1"/>
    <w:next w:val="1"/>
    <w:link w:val="34"/>
    <w:qFormat/>
    <w:locked/>
    <w:uiPriority w:val="99"/>
    <w:pPr>
      <w:keepNext/>
      <w:keepLines/>
      <w:spacing w:line="372" w:lineRule="auto"/>
      <w:outlineLvl w:val="4"/>
    </w:pPr>
    <w:rPr>
      <w:b/>
      <w:sz w:val="28"/>
    </w:rPr>
  </w:style>
  <w:style w:type="character" w:default="1" w:styleId="26">
    <w:name w:val="Default Paragraph Font"/>
    <w:semiHidden/>
    <w:unhideWhenUsed/>
    <w:qFormat/>
    <w:uiPriority w:val="1"/>
  </w:style>
  <w:style w:type="table" w:default="1" w:styleId="24">
    <w:name w:val="Normal Table"/>
    <w:semiHidden/>
    <w:unhideWhenUsed/>
    <w:qFormat/>
    <w:uiPriority w:val="99"/>
    <w:tblPr>
      <w:tblCellMar>
        <w:top w:w="0" w:type="dxa"/>
        <w:left w:w="108" w:type="dxa"/>
        <w:bottom w:w="0" w:type="dxa"/>
        <w:right w:w="108" w:type="dxa"/>
      </w:tblCellMar>
    </w:tblPr>
  </w:style>
  <w:style w:type="paragraph" w:styleId="7">
    <w:name w:val="annotation text"/>
    <w:basedOn w:val="1"/>
    <w:link w:val="35"/>
    <w:semiHidden/>
    <w:qFormat/>
    <w:uiPriority w:val="99"/>
    <w:pPr>
      <w:jc w:val="left"/>
    </w:pPr>
  </w:style>
  <w:style w:type="paragraph" w:styleId="8">
    <w:name w:val="Salutation"/>
    <w:basedOn w:val="1"/>
    <w:next w:val="1"/>
    <w:link w:val="36"/>
    <w:qFormat/>
    <w:uiPriority w:val="99"/>
    <w:rPr>
      <w:rFonts w:ascii="宋体" w:hAnsi="宋体" w:cs="新宋体-18030"/>
      <w:bCs/>
      <w:sz w:val="32"/>
      <w:szCs w:val="32"/>
    </w:rPr>
  </w:style>
  <w:style w:type="paragraph" w:styleId="9">
    <w:name w:val="Closing"/>
    <w:basedOn w:val="1"/>
    <w:link w:val="37"/>
    <w:qFormat/>
    <w:uiPriority w:val="99"/>
    <w:pPr>
      <w:ind w:left="100" w:leftChars="2100"/>
    </w:pPr>
    <w:rPr>
      <w:rFonts w:ascii="宋体" w:hAnsi="宋体" w:cs="新宋体-18030"/>
      <w:bCs/>
      <w:sz w:val="32"/>
      <w:szCs w:val="32"/>
    </w:rPr>
  </w:style>
  <w:style w:type="paragraph" w:styleId="10">
    <w:name w:val="Body Text"/>
    <w:basedOn w:val="1"/>
    <w:link w:val="38"/>
    <w:semiHidden/>
    <w:qFormat/>
    <w:uiPriority w:val="99"/>
    <w:pPr>
      <w:spacing w:after="120"/>
    </w:pPr>
  </w:style>
  <w:style w:type="paragraph" w:styleId="11">
    <w:name w:val="Body Text Indent"/>
    <w:basedOn w:val="1"/>
    <w:link w:val="50"/>
    <w:semiHidden/>
    <w:qFormat/>
    <w:uiPriority w:val="99"/>
    <w:pPr>
      <w:spacing w:line="600" w:lineRule="exact"/>
      <w:ind w:firstLine="720"/>
    </w:pPr>
    <w:rPr>
      <w:rFonts w:ascii="仿宋_GB2312" w:eastAsia="仿宋_GB2312"/>
      <w:spacing w:val="10"/>
      <w:kern w:val="0"/>
      <w:sz w:val="24"/>
    </w:rPr>
  </w:style>
  <w:style w:type="paragraph" w:styleId="12">
    <w:name w:val="Plain Text"/>
    <w:basedOn w:val="1"/>
    <w:link w:val="54"/>
    <w:semiHidden/>
    <w:qFormat/>
    <w:uiPriority w:val="99"/>
    <w:pPr>
      <w:widowControl/>
      <w:spacing w:before="100" w:beforeAutospacing="1" w:after="100" w:afterAutospacing="1" w:line="300" w:lineRule="atLeast"/>
      <w:jc w:val="left"/>
    </w:pPr>
    <w:rPr>
      <w:rFonts w:ascii="宋体"/>
      <w:color w:val="333333"/>
      <w:kern w:val="0"/>
      <w:sz w:val="18"/>
      <w:szCs w:val="18"/>
    </w:rPr>
  </w:style>
  <w:style w:type="paragraph" w:styleId="13">
    <w:name w:val="Date"/>
    <w:basedOn w:val="1"/>
    <w:next w:val="1"/>
    <w:link w:val="41"/>
    <w:semiHidden/>
    <w:qFormat/>
    <w:uiPriority w:val="99"/>
    <w:rPr>
      <w:rFonts w:eastAsia="仿宋_GB2312"/>
      <w:sz w:val="28"/>
      <w:szCs w:val="20"/>
    </w:rPr>
  </w:style>
  <w:style w:type="paragraph" w:styleId="14">
    <w:name w:val="Body Text Indent 2"/>
    <w:basedOn w:val="1"/>
    <w:link w:val="51"/>
    <w:semiHidden/>
    <w:qFormat/>
    <w:uiPriority w:val="99"/>
    <w:pPr>
      <w:spacing w:line="500" w:lineRule="exact"/>
      <w:ind w:left="-49" w:firstLine="680" w:firstLineChars="200"/>
    </w:pPr>
    <w:rPr>
      <w:rFonts w:ascii="仿宋_GB2312" w:hAnsi="宋体" w:eastAsia="仿宋_GB2312"/>
      <w:spacing w:val="20"/>
      <w:kern w:val="0"/>
      <w:sz w:val="24"/>
    </w:rPr>
  </w:style>
  <w:style w:type="paragraph" w:styleId="15">
    <w:name w:val="Balloon Text"/>
    <w:basedOn w:val="1"/>
    <w:link w:val="43"/>
    <w:semiHidden/>
    <w:qFormat/>
    <w:uiPriority w:val="99"/>
    <w:rPr>
      <w:sz w:val="18"/>
      <w:szCs w:val="18"/>
    </w:rPr>
  </w:style>
  <w:style w:type="paragraph" w:styleId="16">
    <w:name w:val="footer"/>
    <w:basedOn w:val="1"/>
    <w:link w:val="44"/>
    <w:qFormat/>
    <w:uiPriority w:val="99"/>
    <w:pPr>
      <w:tabs>
        <w:tab w:val="center" w:pos="4153"/>
        <w:tab w:val="right" w:pos="8306"/>
      </w:tabs>
      <w:snapToGrid w:val="0"/>
      <w:jc w:val="left"/>
    </w:pPr>
    <w:rPr>
      <w:sz w:val="18"/>
      <w:szCs w:val="18"/>
    </w:rPr>
  </w:style>
  <w:style w:type="paragraph" w:styleId="17">
    <w:name w:val="header"/>
    <w:basedOn w:val="1"/>
    <w:link w:val="45"/>
    <w:qFormat/>
    <w:uiPriority w:val="99"/>
    <w:pPr>
      <w:pBdr>
        <w:bottom w:val="single" w:color="auto" w:sz="6" w:space="1"/>
      </w:pBdr>
      <w:tabs>
        <w:tab w:val="center" w:pos="4153"/>
        <w:tab w:val="right" w:pos="8306"/>
      </w:tabs>
      <w:snapToGrid w:val="0"/>
      <w:jc w:val="center"/>
    </w:pPr>
    <w:rPr>
      <w:sz w:val="18"/>
      <w:szCs w:val="18"/>
    </w:rPr>
  </w:style>
  <w:style w:type="paragraph" w:styleId="18">
    <w:name w:val="toc 1"/>
    <w:basedOn w:val="1"/>
    <w:next w:val="1"/>
    <w:qFormat/>
    <w:locked/>
    <w:uiPriority w:val="99"/>
  </w:style>
  <w:style w:type="paragraph" w:styleId="19">
    <w:name w:val="Body Text Indent 3"/>
    <w:basedOn w:val="1"/>
    <w:link w:val="52"/>
    <w:semiHidden/>
    <w:qFormat/>
    <w:uiPriority w:val="99"/>
    <w:pPr>
      <w:spacing w:line="500" w:lineRule="exact"/>
      <w:ind w:firstLine="600" w:firstLineChars="200"/>
    </w:pPr>
    <w:rPr>
      <w:rFonts w:eastAsia="仿宋_GB2312"/>
      <w:kern w:val="0"/>
      <w:sz w:val="24"/>
    </w:rPr>
  </w:style>
  <w:style w:type="paragraph" w:styleId="20">
    <w:name w:val="toc 2"/>
    <w:basedOn w:val="1"/>
    <w:next w:val="1"/>
    <w:qFormat/>
    <w:locked/>
    <w:uiPriority w:val="99"/>
    <w:pPr>
      <w:ind w:left="420" w:leftChars="200"/>
    </w:pPr>
  </w:style>
  <w:style w:type="paragraph" w:styleId="21">
    <w:name w:val="Normal (Web)"/>
    <w:basedOn w:val="1"/>
    <w:qFormat/>
    <w:uiPriority w:val="99"/>
    <w:pPr>
      <w:widowControl/>
      <w:spacing w:before="100" w:beforeAutospacing="1" w:after="100" w:afterAutospacing="1"/>
      <w:jc w:val="left"/>
    </w:pPr>
    <w:rPr>
      <w:rFonts w:ascii="宋体" w:hAnsi="宋体"/>
      <w:kern w:val="0"/>
      <w:sz w:val="24"/>
    </w:rPr>
  </w:style>
  <w:style w:type="paragraph" w:styleId="22">
    <w:name w:val="annotation subject"/>
    <w:basedOn w:val="7"/>
    <w:next w:val="7"/>
    <w:link w:val="47"/>
    <w:semiHidden/>
    <w:qFormat/>
    <w:uiPriority w:val="99"/>
    <w:rPr>
      <w:b/>
      <w:bCs/>
    </w:rPr>
  </w:style>
  <w:style w:type="paragraph" w:styleId="23">
    <w:name w:val="Body Text First Indent"/>
    <w:basedOn w:val="10"/>
    <w:link w:val="48"/>
    <w:semiHidden/>
    <w:qFormat/>
    <w:uiPriority w:val="99"/>
    <w:pPr>
      <w:ind w:firstLine="420" w:firstLineChars="100"/>
    </w:pPr>
  </w:style>
  <w:style w:type="table" w:styleId="25">
    <w:name w:val="Table Grid"/>
    <w:basedOn w:val="24"/>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7">
    <w:name w:val="page number"/>
    <w:basedOn w:val="26"/>
    <w:qFormat/>
    <w:uiPriority w:val="99"/>
    <w:rPr>
      <w:rFonts w:cs="Times New Roman"/>
    </w:rPr>
  </w:style>
  <w:style w:type="character" w:styleId="28">
    <w:name w:val="Hyperlink"/>
    <w:basedOn w:val="26"/>
    <w:qFormat/>
    <w:uiPriority w:val="99"/>
    <w:rPr>
      <w:rFonts w:cs="Times New Roman"/>
      <w:color w:val="0000FF"/>
      <w:u w:val="single"/>
    </w:rPr>
  </w:style>
  <w:style w:type="character" w:styleId="29">
    <w:name w:val="annotation reference"/>
    <w:basedOn w:val="26"/>
    <w:semiHidden/>
    <w:qFormat/>
    <w:uiPriority w:val="99"/>
    <w:rPr>
      <w:rFonts w:cs="Times New Roman"/>
      <w:sz w:val="21"/>
      <w:szCs w:val="21"/>
    </w:rPr>
  </w:style>
  <w:style w:type="character" w:customStyle="1" w:styleId="30">
    <w:name w:val="标题 1 Char"/>
    <w:basedOn w:val="26"/>
    <w:link w:val="2"/>
    <w:qFormat/>
    <w:locked/>
    <w:uiPriority w:val="99"/>
    <w:rPr>
      <w:rFonts w:eastAsia="宋体" w:cs="Times New Roman"/>
      <w:b/>
      <w:bCs/>
      <w:kern w:val="44"/>
      <w:sz w:val="44"/>
      <w:szCs w:val="44"/>
    </w:rPr>
  </w:style>
  <w:style w:type="character" w:customStyle="1" w:styleId="31">
    <w:name w:val="标题 2 Char"/>
    <w:basedOn w:val="26"/>
    <w:link w:val="3"/>
    <w:semiHidden/>
    <w:qFormat/>
    <w:locked/>
    <w:uiPriority w:val="99"/>
    <w:rPr>
      <w:rFonts w:ascii="Cambria" w:hAnsi="Cambria" w:cs="宋体"/>
      <w:b/>
      <w:bCs/>
      <w:sz w:val="32"/>
      <w:szCs w:val="32"/>
    </w:rPr>
  </w:style>
  <w:style w:type="character" w:customStyle="1" w:styleId="32">
    <w:name w:val="标题 3 Char"/>
    <w:basedOn w:val="26"/>
    <w:link w:val="4"/>
    <w:semiHidden/>
    <w:qFormat/>
    <w:locked/>
    <w:uiPriority w:val="99"/>
    <w:rPr>
      <w:rFonts w:cs="Times New Roman"/>
      <w:b/>
      <w:bCs/>
      <w:sz w:val="32"/>
      <w:szCs w:val="32"/>
    </w:rPr>
  </w:style>
  <w:style w:type="character" w:customStyle="1" w:styleId="33">
    <w:name w:val="标题 4 Char"/>
    <w:basedOn w:val="26"/>
    <w:link w:val="5"/>
    <w:semiHidden/>
    <w:qFormat/>
    <w:locked/>
    <w:uiPriority w:val="99"/>
    <w:rPr>
      <w:rFonts w:ascii="Cambria" w:hAnsi="Cambria" w:cs="宋体"/>
      <w:b/>
      <w:bCs/>
      <w:sz w:val="28"/>
      <w:szCs w:val="28"/>
    </w:rPr>
  </w:style>
  <w:style w:type="character" w:customStyle="1" w:styleId="34">
    <w:name w:val="标题 5 Char"/>
    <w:basedOn w:val="26"/>
    <w:link w:val="6"/>
    <w:semiHidden/>
    <w:qFormat/>
    <w:locked/>
    <w:uiPriority w:val="99"/>
    <w:rPr>
      <w:rFonts w:cs="Times New Roman"/>
      <w:b/>
      <w:bCs/>
      <w:sz w:val="28"/>
      <w:szCs w:val="28"/>
    </w:rPr>
  </w:style>
  <w:style w:type="character" w:customStyle="1" w:styleId="35">
    <w:name w:val="批注文字 Char"/>
    <w:basedOn w:val="26"/>
    <w:link w:val="7"/>
    <w:semiHidden/>
    <w:qFormat/>
    <w:locked/>
    <w:uiPriority w:val="99"/>
    <w:rPr>
      <w:rFonts w:cs="Times New Roman"/>
      <w:sz w:val="24"/>
      <w:szCs w:val="24"/>
    </w:rPr>
  </w:style>
  <w:style w:type="character" w:customStyle="1" w:styleId="36">
    <w:name w:val="称呼 Char"/>
    <w:basedOn w:val="26"/>
    <w:link w:val="8"/>
    <w:qFormat/>
    <w:locked/>
    <w:uiPriority w:val="99"/>
    <w:rPr>
      <w:rFonts w:ascii="宋体" w:hAnsi="宋体" w:eastAsia="宋体" w:cs="新宋体-18030"/>
      <w:bCs/>
      <w:kern w:val="2"/>
      <w:sz w:val="32"/>
      <w:szCs w:val="32"/>
    </w:rPr>
  </w:style>
  <w:style w:type="character" w:customStyle="1" w:styleId="37">
    <w:name w:val="结束语 Char"/>
    <w:basedOn w:val="26"/>
    <w:link w:val="9"/>
    <w:qFormat/>
    <w:locked/>
    <w:uiPriority w:val="99"/>
    <w:rPr>
      <w:rFonts w:ascii="宋体" w:hAnsi="宋体" w:eastAsia="宋体" w:cs="新宋体-18030"/>
      <w:bCs/>
      <w:kern w:val="2"/>
      <w:sz w:val="32"/>
      <w:szCs w:val="32"/>
    </w:rPr>
  </w:style>
  <w:style w:type="character" w:customStyle="1" w:styleId="38">
    <w:name w:val="正文文本 Char"/>
    <w:basedOn w:val="26"/>
    <w:link w:val="10"/>
    <w:semiHidden/>
    <w:qFormat/>
    <w:locked/>
    <w:uiPriority w:val="99"/>
    <w:rPr>
      <w:rFonts w:cs="Times New Roman"/>
      <w:sz w:val="24"/>
      <w:szCs w:val="24"/>
    </w:rPr>
  </w:style>
  <w:style w:type="character" w:customStyle="1" w:styleId="39">
    <w:name w:val="Body Text Indent Char"/>
    <w:basedOn w:val="26"/>
    <w:link w:val="11"/>
    <w:semiHidden/>
    <w:qFormat/>
    <w:locked/>
    <w:uiPriority w:val="99"/>
    <w:rPr>
      <w:rFonts w:ascii="仿宋_GB2312" w:eastAsia="仿宋_GB2312" w:cs="Times New Roman"/>
      <w:spacing w:val="10"/>
      <w:sz w:val="24"/>
    </w:rPr>
  </w:style>
  <w:style w:type="character" w:customStyle="1" w:styleId="40">
    <w:name w:val="Plain Text Char"/>
    <w:basedOn w:val="26"/>
    <w:link w:val="12"/>
    <w:semiHidden/>
    <w:qFormat/>
    <w:locked/>
    <w:uiPriority w:val="99"/>
    <w:rPr>
      <w:rFonts w:ascii="宋体" w:eastAsia="宋体" w:cs="Times New Roman"/>
      <w:color w:val="333333"/>
      <w:sz w:val="18"/>
    </w:rPr>
  </w:style>
  <w:style w:type="character" w:customStyle="1" w:styleId="41">
    <w:name w:val="日期 Char"/>
    <w:basedOn w:val="26"/>
    <w:link w:val="13"/>
    <w:semiHidden/>
    <w:qFormat/>
    <w:locked/>
    <w:uiPriority w:val="99"/>
    <w:rPr>
      <w:rFonts w:eastAsia="仿宋_GB2312" w:cs="Times New Roman"/>
      <w:kern w:val="2"/>
      <w:sz w:val="28"/>
      <w:lang w:val="en-US" w:eastAsia="zh-CN" w:bidi="ar-SA"/>
    </w:rPr>
  </w:style>
  <w:style w:type="character" w:customStyle="1" w:styleId="42">
    <w:name w:val="Body Text Indent 2 Char"/>
    <w:basedOn w:val="26"/>
    <w:link w:val="14"/>
    <w:semiHidden/>
    <w:qFormat/>
    <w:locked/>
    <w:uiPriority w:val="99"/>
    <w:rPr>
      <w:rFonts w:ascii="仿宋_GB2312" w:hAnsi="宋体" w:eastAsia="仿宋_GB2312" w:cs="Times New Roman"/>
      <w:spacing w:val="20"/>
      <w:sz w:val="24"/>
    </w:rPr>
  </w:style>
  <w:style w:type="character" w:customStyle="1" w:styleId="43">
    <w:name w:val="批注框文本 Char"/>
    <w:basedOn w:val="26"/>
    <w:link w:val="15"/>
    <w:semiHidden/>
    <w:qFormat/>
    <w:locked/>
    <w:uiPriority w:val="99"/>
    <w:rPr>
      <w:rFonts w:cs="Times New Roman"/>
      <w:sz w:val="2"/>
    </w:rPr>
  </w:style>
  <w:style w:type="character" w:customStyle="1" w:styleId="44">
    <w:name w:val="页脚 Char"/>
    <w:basedOn w:val="26"/>
    <w:link w:val="16"/>
    <w:semiHidden/>
    <w:qFormat/>
    <w:locked/>
    <w:uiPriority w:val="99"/>
    <w:rPr>
      <w:rFonts w:cs="Times New Roman"/>
      <w:sz w:val="18"/>
      <w:szCs w:val="18"/>
    </w:rPr>
  </w:style>
  <w:style w:type="character" w:customStyle="1" w:styleId="45">
    <w:name w:val="页眉 Char"/>
    <w:basedOn w:val="26"/>
    <w:link w:val="17"/>
    <w:semiHidden/>
    <w:qFormat/>
    <w:locked/>
    <w:uiPriority w:val="99"/>
    <w:rPr>
      <w:rFonts w:cs="Times New Roman"/>
      <w:sz w:val="18"/>
      <w:szCs w:val="18"/>
    </w:rPr>
  </w:style>
  <w:style w:type="character" w:customStyle="1" w:styleId="46">
    <w:name w:val="Body Text Indent 3 Char"/>
    <w:basedOn w:val="26"/>
    <w:link w:val="19"/>
    <w:semiHidden/>
    <w:qFormat/>
    <w:locked/>
    <w:uiPriority w:val="99"/>
    <w:rPr>
      <w:rFonts w:eastAsia="仿宋_GB2312" w:cs="Times New Roman"/>
      <w:sz w:val="24"/>
    </w:rPr>
  </w:style>
  <w:style w:type="character" w:customStyle="1" w:styleId="47">
    <w:name w:val="批注主题 Char"/>
    <w:basedOn w:val="35"/>
    <w:link w:val="22"/>
    <w:semiHidden/>
    <w:qFormat/>
    <w:locked/>
    <w:uiPriority w:val="99"/>
    <w:rPr>
      <w:b/>
      <w:bCs/>
    </w:rPr>
  </w:style>
  <w:style w:type="character" w:customStyle="1" w:styleId="48">
    <w:name w:val="正文首行缩进 Char"/>
    <w:basedOn w:val="38"/>
    <w:link w:val="23"/>
    <w:semiHidden/>
    <w:qFormat/>
    <w:locked/>
    <w:uiPriority w:val="99"/>
  </w:style>
  <w:style w:type="paragraph" w:styleId="49">
    <w:name w:val="List Paragraph"/>
    <w:basedOn w:val="1"/>
    <w:qFormat/>
    <w:uiPriority w:val="99"/>
    <w:pPr>
      <w:ind w:firstLine="420" w:firstLineChars="200"/>
    </w:pPr>
  </w:style>
  <w:style w:type="character" w:customStyle="1" w:styleId="50">
    <w:name w:val="正文文本缩进 Char"/>
    <w:basedOn w:val="26"/>
    <w:link w:val="11"/>
    <w:semiHidden/>
    <w:qFormat/>
    <w:locked/>
    <w:uiPriority w:val="99"/>
    <w:rPr>
      <w:rFonts w:cs="Times New Roman"/>
      <w:sz w:val="24"/>
      <w:szCs w:val="24"/>
    </w:rPr>
  </w:style>
  <w:style w:type="character" w:customStyle="1" w:styleId="51">
    <w:name w:val="正文文本缩进 2 Char"/>
    <w:basedOn w:val="26"/>
    <w:link w:val="14"/>
    <w:semiHidden/>
    <w:qFormat/>
    <w:locked/>
    <w:uiPriority w:val="99"/>
    <w:rPr>
      <w:rFonts w:cs="Times New Roman"/>
      <w:sz w:val="24"/>
      <w:szCs w:val="24"/>
    </w:rPr>
  </w:style>
  <w:style w:type="character" w:customStyle="1" w:styleId="52">
    <w:name w:val="正文文本缩进 3 Char"/>
    <w:basedOn w:val="26"/>
    <w:link w:val="19"/>
    <w:semiHidden/>
    <w:qFormat/>
    <w:locked/>
    <w:uiPriority w:val="99"/>
    <w:rPr>
      <w:rFonts w:cs="Times New Roman"/>
      <w:sz w:val="16"/>
      <w:szCs w:val="16"/>
    </w:rPr>
  </w:style>
  <w:style w:type="character" w:customStyle="1" w:styleId="53">
    <w:name w:val="Plain Text Char1"/>
    <w:basedOn w:val="26"/>
    <w:link w:val="12"/>
    <w:semiHidden/>
    <w:qFormat/>
    <w:locked/>
    <w:uiPriority w:val="99"/>
    <w:rPr>
      <w:rFonts w:ascii="宋体" w:hAnsi="Courier New" w:cs="Courier New"/>
      <w:sz w:val="21"/>
      <w:szCs w:val="21"/>
    </w:rPr>
  </w:style>
  <w:style w:type="character" w:customStyle="1" w:styleId="54">
    <w:name w:val="纯文本 Char"/>
    <w:basedOn w:val="26"/>
    <w:link w:val="12"/>
    <w:semiHidden/>
    <w:qFormat/>
    <w:locked/>
    <w:uiPriority w:val="99"/>
    <w:rPr>
      <w:rFonts w:ascii="宋体" w:hAnsi="Courier New" w:cs="Courier New"/>
      <w:sz w:val="21"/>
      <w:szCs w:val="21"/>
    </w:rPr>
  </w:style>
  <w:style w:type="paragraph" w:customStyle="1" w:styleId="55">
    <w:name w:val="TOC Heading1"/>
    <w:basedOn w:val="2"/>
    <w:next w:val="1"/>
    <w:semiHidden/>
    <w:qFormat/>
    <w:uiPriority w:val="99"/>
    <w:pPr>
      <w:widowControl/>
      <w:spacing w:before="480" w:after="0" w:line="276" w:lineRule="auto"/>
      <w:jc w:val="left"/>
      <w:outlineLvl w:val="9"/>
    </w:pPr>
    <w:rPr>
      <w:rFonts w:ascii="Cambria" w:hAnsi="Cambria"/>
      <w:color w:val="365F91"/>
      <w:kern w:val="0"/>
      <w:sz w:val="28"/>
      <w:szCs w:val="28"/>
    </w:rPr>
  </w:style>
  <w:style w:type="character" w:customStyle="1" w:styleId="56">
    <w:name w:val="apple-converted-space"/>
    <w:qFormat/>
    <w:uiPriority w:val="99"/>
  </w:style>
  <w:style w:type="paragraph" w:customStyle="1" w:styleId="57">
    <w:name w:val="WPSOffice手动目录 1"/>
    <w:qFormat/>
    <w:uiPriority w:val="99"/>
    <w:rPr>
      <w:rFonts w:ascii="Times New Roman" w:hAnsi="Times New Roman" w:eastAsia="宋体" w:cs="Times New Roman"/>
      <w:lang w:val="en-US" w:eastAsia="zh-CN" w:bidi="ar-SA"/>
    </w:rPr>
  </w:style>
  <w:style w:type="paragraph" w:customStyle="1" w:styleId="58">
    <w:name w:val="WPSOffice手动目录 2"/>
    <w:qFormat/>
    <w:uiPriority w:val="99"/>
    <w:pPr>
      <w:ind w:left="200" w:leftChars="200"/>
    </w:pPr>
    <w:rPr>
      <w:rFonts w:ascii="Times New Roman" w:hAnsi="Times New Roman" w:eastAsia="宋体" w:cs="Times New Roman"/>
      <w:lang w:val="en-US" w:eastAsia="zh-CN" w:bidi="ar-SA"/>
    </w:rPr>
  </w:style>
  <w:style w:type="paragraph" w:customStyle="1" w:styleId="59">
    <w:name w:val="样式1"/>
    <w:basedOn w:val="12"/>
    <w:qFormat/>
    <w:uiPriority w:val="99"/>
    <w:rPr>
      <w:rFonts w:hAnsi="宋体"/>
      <w:sz w:val="28"/>
    </w:rPr>
  </w:style>
  <w:style w:type="character" w:customStyle="1" w:styleId="60">
    <w:name w:val="font01"/>
    <w:basedOn w:val="26"/>
    <w:qFormat/>
    <w:uiPriority w:val="99"/>
    <w:rPr>
      <w:rFonts w:ascii="宋体" w:hAnsi="宋体" w:eastAsia="宋体" w:cs="宋体"/>
      <w:color w:val="000000"/>
      <w:sz w:val="21"/>
      <w:szCs w:val="21"/>
      <w:u w:val="none"/>
    </w:rPr>
  </w:style>
  <w:style w:type="paragraph" w:customStyle="1" w:styleId="61">
    <w:name w:val="p0"/>
    <w:basedOn w:val="1"/>
    <w:qFormat/>
    <w:uiPriority w:val="0"/>
    <w:pPr>
      <w:widowControl/>
    </w:pPr>
    <w:rPr>
      <w:kern w:val="0"/>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customXml" Target="../customXml/item2.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8.jpeg"/><Relationship Id="rId25" Type="http://schemas.openxmlformats.org/officeDocument/2006/relationships/image" Target="media/image7.jpeg"/><Relationship Id="rId24" Type="http://schemas.openxmlformats.org/officeDocument/2006/relationships/image" Target="media/image6.jpeg"/><Relationship Id="rId23" Type="http://schemas.openxmlformats.org/officeDocument/2006/relationships/image" Target="media/image5.jpeg"/><Relationship Id="rId22" Type="http://schemas.openxmlformats.org/officeDocument/2006/relationships/oleObject" Target="embeddings/oleObject6.bin"/><Relationship Id="rId21" Type="http://schemas.openxmlformats.org/officeDocument/2006/relationships/oleObject" Target="embeddings/oleObject5.bin"/><Relationship Id="rId20" Type="http://schemas.openxmlformats.org/officeDocument/2006/relationships/oleObject" Target="embeddings/oleObject4.bin"/><Relationship Id="rId2" Type="http://schemas.openxmlformats.org/officeDocument/2006/relationships/settings" Target="settings.xml"/><Relationship Id="rId19" Type="http://schemas.openxmlformats.org/officeDocument/2006/relationships/image" Target="media/image4.wmf"/><Relationship Id="rId18" Type="http://schemas.openxmlformats.org/officeDocument/2006/relationships/oleObject" Target="embeddings/oleObject3.bin"/><Relationship Id="rId17" Type="http://schemas.openxmlformats.org/officeDocument/2006/relationships/image" Target="media/image3.wmf"/><Relationship Id="rId16" Type="http://schemas.openxmlformats.org/officeDocument/2006/relationships/oleObject" Target="embeddings/oleObject2.bin"/><Relationship Id="rId15" Type="http://schemas.openxmlformats.org/officeDocument/2006/relationships/image" Target="media/image2.wmf"/><Relationship Id="rId14" Type="http://schemas.openxmlformats.org/officeDocument/2006/relationships/oleObject" Target="embeddings/oleObject1.bin"/><Relationship Id="rId13" Type="http://schemas.openxmlformats.org/officeDocument/2006/relationships/image" Target="media/image1.jpeg"/><Relationship Id="rId12" Type="http://schemas.openxmlformats.org/officeDocument/2006/relationships/theme" Target="theme/theme1.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B8D2D6E-681F-46E4-B8F0-D3858221988F}">
  <ds:schemaRefs/>
</ds:datastoreItem>
</file>

<file path=docProps/app.xml><?xml version="1.0" encoding="utf-8"?>
<Properties xmlns="http://schemas.openxmlformats.org/officeDocument/2006/extended-properties" xmlns:vt="http://schemas.openxmlformats.org/officeDocument/2006/docPropsVTypes">
  <Template>Normal</Template>
  <Pages>46</Pages>
  <Words>5661</Words>
  <Characters>32268</Characters>
  <Lines>268</Lines>
  <Paragraphs>75</Paragraphs>
  <TotalTime>149</TotalTime>
  <ScaleCrop>false</ScaleCrop>
  <LinksUpToDate>false</LinksUpToDate>
  <CharactersWithSpaces>37854</CharactersWithSpaces>
  <Application>WPS Office_11.1.0.9828_F1E327BC-269C-435d-A152-05C5408002CA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2020-04-10T08:34:00Z</dcterms:created>
  <dc:creator>Administrators</dc:creator>
  <cp:lastModifiedBy>zem</cp:lastModifiedBy>
  <cp:lastPrinted>2020-07-09T02:33:42Z</cp:lastPrinted>
  <dcterms:modified xsi:type="dcterms:W3CDTF">2020-07-09T07:46:52Z</dcterms:modified>
  <dc:title>致委托方函</dc:title>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2052-11.1.0.9828</vt:lpwstr>
  </property>
</Properties>
</file>