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C8" w:rsidRPr="00A82BA7" w:rsidRDefault="00A82BA7" w:rsidP="00A82BA7">
      <w:pPr>
        <w:pStyle w:val="ae"/>
        <w:spacing w:before="0" w:beforeAutospacing="0" w:after="0" w:afterAutospacing="0" w:line="360" w:lineRule="auto"/>
        <w:rPr>
          <w:rStyle w:val="1Char"/>
          <w:rFonts w:ascii="黑体" w:hAnsi="黑体" w:cs="Times New Roman" w:hint="default"/>
          <w:b w:val="0"/>
          <w:sz w:val="28"/>
          <w:szCs w:val="28"/>
        </w:rPr>
      </w:pPr>
      <w:proofErr w:type="gramStart"/>
      <w:r w:rsidRPr="00A82BA7">
        <w:rPr>
          <w:rStyle w:val="1Char"/>
          <w:rFonts w:ascii="黑体" w:hAnsi="黑体" w:cs="Times New Roman"/>
          <w:b w:val="0"/>
          <w:sz w:val="28"/>
          <w:szCs w:val="28"/>
        </w:rPr>
        <w:t>本资产</w:t>
      </w:r>
      <w:proofErr w:type="gramEnd"/>
      <w:r w:rsidRPr="00A82BA7">
        <w:rPr>
          <w:rStyle w:val="1Char"/>
          <w:rFonts w:ascii="黑体" w:hAnsi="黑体" w:cs="Times New Roman"/>
          <w:b w:val="0"/>
          <w:sz w:val="28"/>
          <w:szCs w:val="28"/>
        </w:rPr>
        <w:t>评估报告依据中国资产评估准则编制</w:t>
      </w:r>
    </w:p>
    <w:p w:rsidR="00A82BA7" w:rsidRDefault="00A82BA7">
      <w:pPr>
        <w:pStyle w:val="ae"/>
        <w:spacing w:before="0" w:beforeAutospacing="0" w:after="0" w:afterAutospacing="0" w:line="360" w:lineRule="auto"/>
        <w:jc w:val="center"/>
        <w:rPr>
          <w:rStyle w:val="1Char"/>
          <w:rFonts w:ascii="Arial" w:eastAsia="宋体" w:hAnsi="Arial" w:cs="Times New Roman" w:hint="default"/>
          <w:szCs w:val="20"/>
        </w:rPr>
      </w:pPr>
    </w:p>
    <w:p w:rsidR="00A82BA7" w:rsidRPr="00A82BA7" w:rsidRDefault="00A82BA7">
      <w:pPr>
        <w:pStyle w:val="ae"/>
        <w:spacing w:before="0" w:beforeAutospacing="0" w:after="0" w:afterAutospacing="0" w:line="360" w:lineRule="auto"/>
        <w:jc w:val="center"/>
        <w:rPr>
          <w:rStyle w:val="1Char"/>
          <w:rFonts w:ascii="Arial" w:eastAsia="宋体" w:hAnsi="Arial" w:cs="Times New Roman" w:hint="default"/>
          <w:szCs w:val="20"/>
        </w:rPr>
      </w:pPr>
      <w:r w:rsidRPr="00A82BA7">
        <w:rPr>
          <w:rStyle w:val="1Char"/>
          <w:rFonts w:ascii="Arial" w:eastAsia="宋体" w:hAnsi="Arial" w:cs="Times New Roman"/>
          <w:szCs w:val="20"/>
        </w:rPr>
        <w:t>山西省运城市中级人民法院拟核实</w:t>
      </w:r>
    </w:p>
    <w:p w:rsidR="00A82BA7" w:rsidRPr="00A82BA7" w:rsidRDefault="00A82BA7">
      <w:pPr>
        <w:pStyle w:val="ae"/>
        <w:spacing w:before="0" w:beforeAutospacing="0" w:after="0" w:afterAutospacing="0" w:line="360" w:lineRule="auto"/>
        <w:jc w:val="center"/>
        <w:rPr>
          <w:rStyle w:val="1Char"/>
          <w:rFonts w:asciiTheme="minorEastAsia" w:eastAsiaTheme="minorEastAsia" w:hAnsiTheme="minorEastAsia" w:cs="Times New Roman" w:hint="default"/>
          <w:szCs w:val="20"/>
        </w:rPr>
      </w:pPr>
      <w:r w:rsidRPr="00A82BA7">
        <w:rPr>
          <w:rStyle w:val="1Char"/>
          <w:rFonts w:asciiTheme="minorEastAsia" w:eastAsiaTheme="minorEastAsia" w:hAnsiTheme="minorEastAsia" w:cs="Times New Roman"/>
          <w:szCs w:val="20"/>
        </w:rPr>
        <w:t>侯金发、侯金亮、</w:t>
      </w:r>
      <w:proofErr w:type="gramStart"/>
      <w:r w:rsidRPr="00A82BA7">
        <w:rPr>
          <w:rStyle w:val="1Char"/>
          <w:rFonts w:asciiTheme="minorEastAsia" w:eastAsiaTheme="minorEastAsia" w:hAnsiTheme="minorEastAsia" w:cs="Times New Roman"/>
          <w:szCs w:val="20"/>
        </w:rPr>
        <w:t>候金海</w:t>
      </w:r>
      <w:proofErr w:type="gramEnd"/>
      <w:r w:rsidRPr="00A82BA7">
        <w:rPr>
          <w:rStyle w:val="1Char"/>
          <w:rFonts w:asciiTheme="minorEastAsia" w:eastAsiaTheme="minorEastAsia" w:hAnsiTheme="minorEastAsia" w:cs="Times New Roman"/>
          <w:szCs w:val="20"/>
        </w:rPr>
        <w:t>、</w:t>
      </w:r>
      <w:bookmarkStart w:id="0" w:name="_Toc36129103"/>
      <w:r w:rsidRPr="00A82BA7">
        <w:rPr>
          <w:rStyle w:val="1Char"/>
          <w:rFonts w:asciiTheme="minorEastAsia" w:eastAsiaTheme="minorEastAsia" w:hAnsiTheme="minorEastAsia" w:cs="Times New Roman"/>
          <w:szCs w:val="20"/>
        </w:rPr>
        <w:t>景春凯、王红贵、张保民、</w:t>
      </w:r>
      <w:bookmarkStart w:id="1" w:name="_GoBack"/>
      <w:bookmarkEnd w:id="1"/>
      <w:r w:rsidRPr="00A82BA7">
        <w:rPr>
          <w:rStyle w:val="1Char"/>
          <w:rFonts w:asciiTheme="minorEastAsia" w:eastAsiaTheme="minorEastAsia" w:hAnsiTheme="minorEastAsia" w:cs="Times New Roman"/>
          <w:szCs w:val="20"/>
        </w:rPr>
        <w:t>景益民案件财产</w:t>
      </w:r>
      <w:proofErr w:type="gramStart"/>
      <w:r w:rsidRPr="00A82BA7">
        <w:rPr>
          <w:rStyle w:val="1Char"/>
          <w:rFonts w:asciiTheme="minorEastAsia" w:eastAsiaTheme="minorEastAsia" w:hAnsiTheme="minorEastAsia" w:cs="Times New Roman"/>
          <w:szCs w:val="20"/>
        </w:rPr>
        <w:t>刑</w:t>
      </w:r>
      <w:proofErr w:type="gramEnd"/>
      <w:r w:rsidRPr="00A82BA7">
        <w:rPr>
          <w:rStyle w:val="1Char"/>
          <w:rFonts w:asciiTheme="minorEastAsia" w:eastAsiaTheme="minorEastAsia" w:hAnsiTheme="minorEastAsia" w:cs="Times New Roman"/>
          <w:szCs w:val="20"/>
        </w:rPr>
        <w:t>一案</w:t>
      </w:r>
      <w:bookmarkEnd w:id="0"/>
      <w:r w:rsidRPr="00A82BA7">
        <w:rPr>
          <w:rStyle w:val="1Char"/>
          <w:rFonts w:asciiTheme="minorEastAsia" w:eastAsiaTheme="minorEastAsia" w:hAnsiTheme="minorEastAsia" w:cs="Times New Roman"/>
          <w:szCs w:val="20"/>
        </w:rPr>
        <w:t>所涉及的房产</w:t>
      </w:r>
      <w:r w:rsidR="00D035C0">
        <w:rPr>
          <w:rStyle w:val="1Char"/>
          <w:rFonts w:asciiTheme="minorEastAsia" w:eastAsiaTheme="minorEastAsia" w:hAnsiTheme="minorEastAsia" w:cs="Times New Roman"/>
          <w:szCs w:val="20"/>
        </w:rPr>
        <w:t>价值</w:t>
      </w:r>
      <w:r w:rsidRPr="00A82BA7">
        <w:rPr>
          <w:rStyle w:val="1Char"/>
          <w:rFonts w:asciiTheme="minorEastAsia" w:eastAsiaTheme="minorEastAsia" w:hAnsiTheme="minorEastAsia" w:cs="Times New Roman"/>
          <w:szCs w:val="20"/>
        </w:rPr>
        <w:t>项目（运城市黄金水岸小区50号楼3102号、运城市黄金水岸小区22号楼3单元1102B号）</w:t>
      </w:r>
    </w:p>
    <w:p w:rsidR="009048C8" w:rsidRPr="00A82BA7" w:rsidRDefault="00A82BA7">
      <w:pPr>
        <w:pStyle w:val="ae"/>
        <w:spacing w:before="0" w:beforeAutospacing="0" w:after="0" w:afterAutospacing="0" w:line="360" w:lineRule="auto"/>
        <w:jc w:val="center"/>
        <w:rPr>
          <w:rStyle w:val="1Char"/>
          <w:rFonts w:asciiTheme="minorEastAsia" w:eastAsiaTheme="minorEastAsia" w:hAnsiTheme="minorEastAsia" w:cs="Times New Roman" w:hint="default"/>
          <w:szCs w:val="20"/>
        </w:rPr>
      </w:pPr>
      <w:r w:rsidRPr="00A82BA7">
        <w:rPr>
          <w:rStyle w:val="1Char"/>
          <w:rFonts w:asciiTheme="minorEastAsia" w:eastAsiaTheme="minorEastAsia" w:hAnsiTheme="minorEastAsia" w:cs="Times New Roman"/>
          <w:szCs w:val="20"/>
        </w:rPr>
        <w:t>资产评估</w:t>
      </w:r>
      <w:r>
        <w:rPr>
          <w:rStyle w:val="1Char"/>
          <w:rFonts w:asciiTheme="minorEastAsia" w:eastAsiaTheme="minorEastAsia" w:hAnsiTheme="minorEastAsia" w:cs="Times New Roman"/>
          <w:szCs w:val="20"/>
        </w:rPr>
        <w:t>报告</w:t>
      </w:r>
    </w:p>
    <w:p w:rsidR="009048C8" w:rsidRDefault="009048C8">
      <w:pPr>
        <w:pStyle w:val="ae"/>
        <w:spacing w:before="0" w:beforeAutospacing="0" w:after="0" w:afterAutospacing="0" w:line="360" w:lineRule="auto"/>
        <w:jc w:val="center"/>
        <w:rPr>
          <w:rStyle w:val="1Char"/>
          <w:rFonts w:ascii="Arial" w:eastAsia="宋体" w:hAnsi="Arial" w:cs="Times New Roman" w:hint="default"/>
          <w:b w:val="0"/>
          <w:sz w:val="32"/>
          <w:szCs w:val="20"/>
        </w:rPr>
      </w:pPr>
    </w:p>
    <w:p w:rsidR="009048C8" w:rsidRDefault="00A82BA7">
      <w:pPr>
        <w:pStyle w:val="ae"/>
        <w:spacing w:before="0" w:beforeAutospacing="0" w:after="0" w:afterAutospacing="0" w:line="360" w:lineRule="auto"/>
        <w:jc w:val="center"/>
        <w:rPr>
          <w:rStyle w:val="1Char"/>
          <w:rFonts w:asciiTheme="minorEastAsia" w:eastAsiaTheme="minorEastAsia" w:hAnsiTheme="minorEastAsia" w:cs="Times New Roman" w:hint="default"/>
          <w:sz w:val="32"/>
          <w:szCs w:val="20"/>
        </w:rPr>
      </w:pPr>
      <w:proofErr w:type="gramStart"/>
      <w:r w:rsidRPr="00D035C0">
        <w:rPr>
          <w:rStyle w:val="1Char"/>
          <w:rFonts w:asciiTheme="minorEastAsia" w:eastAsiaTheme="minorEastAsia" w:hAnsiTheme="minorEastAsia" w:cs="Times New Roman"/>
          <w:sz w:val="32"/>
          <w:szCs w:val="20"/>
        </w:rPr>
        <w:t>晋诺评报</w:t>
      </w:r>
      <w:proofErr w:type="gramEnd"/>
      <w:r w:rsidRPr="00D035C0">
        <w:rPr>
          <w:rStyle w:val="1Char"/>
          <w:rFonts w:asciiTheme="minorEastAsia" w:eastAsiaTheme="minorEastAsia" w:hAnsiTheme="minorEastAsia" w:cs="Times New Roman"/>
          <w:sz w:val="32"/>
          <w:szCs w:val="20"/>
        </w:rPr>
        <w:t>字（2020）第037号</w:t>
      </w:r>
    </w:p>
    <w:p w:rsidR="00D035C0" w:rsidRPr="00D035C0" w:rsidRDefault="00D035C0">
      <w:pPr>
        <w:pStyle w:val="ae"/>
        <w:spacing w:before="0" w:beforeAutospacing="0" w:after="0" w:afterAutospacing="0" w:line="360" w:lineRule="auto"/>
        <w:jc w:val="center"/>
        <w:rPr>
          <w:rStyle w:val="1Char"/>
          <w:rFonts w:asciiTheme="minorEastAsia" w:eastAsiaTheme="minorEastAsia" w:hAnsiTheme="minorEastAsia" w:cs="Times New Roman" w:hint="default"/>
          <w:sz w:val="32"/>
          <w:szCs w:val="20"/>
        </w:rPr>
      </w:pPr>
    </w:p>
    <w:p w:rsidR="009048C8" w:rsidRPr="00D035C0" w:rsidRDefault="00A82BA7">
      <w:pPr>
        <w:pStyle w:val="ae"/>
        <w:spacing w:before="0" w:beforeAutospacing="0" w:after="0" w:afterAutospacing="0" w:line="360" w:lineRule="auto"/>
        <w:jc w:val="center"/>
        <w:rPr>
          <w:rStyle w:val="1Char"/>
          <w:rFonts w:asciiTheme="minorEastAsia" w:eastAsiaTheme="minorEastAsia" w:hAnsiTheme="minorEastAsia" w:cs="Times New Roman" w:hint="default"/>
          <w:sz w:val="32"/>
          <w:szCs w:val="20"/>
        </w:rPr>
      </w:pPr>
      <w:r w:rsidRPr="00D035C0">
        <w:rPr>
          <w:rStyle w:val="1Char"/>
          <w:rFonts w:asciiTheme="minorEastAsia" w:eastAsiaTheme="minorEastAsia" w:hAnsiTheme="minorEastAsia" w:cs="Times New Roman"/>
          <w:sz w:val="32"/>
          <w:szCs w:val="20"/>
        </w:rPr>
        <w:t>（共</w:t>
      </w:r>
      <w:r w:rsidR="00D035C0">
        <w:rPr>
          <w:rStyle w:val="1Char"/>
          <w:rFonts w:asciiTheme="minorEastAsia" w:eastAsiaTheme="minorEastAsia" w:hAnsiTheme="minorEastAsia" w:cs="Times New Roman"/>
          <w:sz w:val="32"/>
          <w:szCs w:val="20"/>
        </w:rPr>
        <w:t>一</w:t>
      </w:r>
      <w:r w:rsidRPr="00D035C0">
        <w:rPr>
          <w:rStyle w:val="1Char"/>
          <w:rFonts w:asciiTheme="minorEastAsia" w:eastAsiaTheme="minorEastAsia" w:hAnsiTheme="minorEastAsia" w:cs="Times New Roman"/>
          <w:sz w:val="32"/>
          <w:szCs w:val="20"/>
        </w:rPr>
        <w:t>册，第</w:t>
      </w:r>
      <w:r w:rsidR="00D035C0">
        <w:rPr>
          <w:rStyle w:val="1Char"/>
          <w:rFonts w:asciiTheme="minorEastAsia" w:eastAsiaTheme="minorEastAsia" w:hAnsiTheme="minorEastAsia" w:cs="Times New Roman"/>
          <w:sz w:val="32"/>
          <w:szCs w:val="20"/>
        </w:rPr>
        <w:t>一</w:t>
      </w:r>
      <w:r w:rsidRPr="00D035C0">
        <w:rPr>
          <w:rStyle w:val="1Char"/>
          <w:rFonts w:asciiTheme="minorEastAsia" w:eastAsiaTheme="minorEastAsia" w:hAnsiTheme="minorEastAsia" w:cs="Times New Roman"/>
          <w:sz w:val="32"/>
          <w:szCs w:val="20"/>
        </w:rPr>
        <w:t>册）</w:t>
      </w:r>
    </w:p>
    <w:p w:rsidR="009048C8" w:rsidRPr="00D035C0" w:rsidRDefault="009048C8">
      <w:pPr>
        <w:widowControl/>
        <w:autoSpaceDE w:val="0"/>
        <w:autoSpaceDN w:val="0"/>
        <w:spacing w:line="600" w:lineRule="atLeast"/>
        <w:textAlignment w:val="bottom"/>
        <w:rPr>
          <w:rFonts w:asciiTheme="minorEastAsia" w:eastAsiaTheme="minorEastAsia" w:hAnsiTheme="minorEastAsia"/>
          <w:b/>
          <w:sz w:val="30"/>
        </w:rPr>
      </w:pP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F83F90">
      <w:pPr>
        <w:widowControl/>
        <w:autoSpaceDE w:val="0"/>
        <w:autoSpaceDN w:val="0"/>
        <w:spacing w:line="600" w:lineRule="atLeast"/>
        <w:textAlignment w:val="bottom"/>
        <w:rPr>
          <w:b/>
          <w:sz w:val="30"/>
        </w:rPr>
      </w:pPr>
      <w:r>
        <w:pict>
          <v:shapetype id="_x0000_t202" coordsize="21600,21600" o:spt="202" path="m,l,21600r21600,l21600,xe">
            <v:stroke joinstyle="miter"/>
            <v:path gradientshapeok="t" o:connecttype="rect"/>
          </v:shapetype>
          <v:shape id="Text Box 11" o:spid="_x0000_s1028" type="#_x0000_t202" style="position:absolute;left:0;text-align:left;margin-left:92.4pt;margin-top:2.9pt;width:326pt;height:88pt;z-index:251658240;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style="mso-next-textbox:#Text Box 11" inset=",2.3mm">
              <w:txbxContent>
                <w:p w:rsidR="009048C8" w:rsidRDefault="00A82BA7">
                  <w:pPr>
                    <w:pStyle w:val="ae"/>
                    <w:spacing w:before="0" w:beforeAutospacing="0" w:after="0" w:afterAutospacing="0" w:line="600" w:lineRule="exact"/>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9048C8" w:rsidRDefault="009048C8">
                  <w:pPr>
                    <w:pStyle w:val="ae"/>
                    <w:spacing w:before="0" w:beforeAutospacing="0" w:after="0" w:afterAutospacing="0" w:line="280" w:lineRule="exact"/>
                    <w:jc w:val="center"/>
                    <w:rPr>
                      <w:rFonts w:eastAsia="隶书" w:cs="Times New Roman" w:hint="default"/>
                      <w:color w:val="4A442A"/>
                      <w:kern w:val="24"/>
                      <w:sz w:val="36"/>
                      <w:szCs w:val="36"/>
                    </w:rPr>
                  </w:pPr>
                </w:p>
                <w:p w:rsidR="009048C8" w:rsidRDefault="00A82BA7">
                  <w:pPr>
                    <w:pStyle w:val="ae"/>
                    <w:spacing w:before="0" w:beforeAutospacing="0" w:after="0" w:afterAutospacing="0" w:line="680" w:lineRule="exact"/>
                    <w:ind w:firstLineChars="300" w:firstLine="964"/>
                    <w:jc w:val="both"/>
                    <w:rPr>
                      <w:rFonts w:hint="default"/>
                    </w:rPr>
                  </w:pPr>
                  <w:r>
                    <w:rPr>
                      <w:rFonts w:cs="Times New Roman"/>
                      <w:b/>
                      <w:bCs/>
                      <w:sz w:val="32"/>
                      <w:szCs w:val="32"/>
                    </w:rPr>
                    <w:t>二0二0年一月二</w:t>
                  </w:r>
                  <w:r w:rsidR="004A1203">
                    <w:rPr>
                      <w:rFonts w:cs="Times New Roman"/>
                      <w:b/>
                      <w:bCs/>
                      <w:sz w:val="32"/>
                      <w:szCs w:val="32"/>
                    </w:rPr>
                    <w:t>十</w:t>
                  </w:r>
                  <w:r>
                    <w:rPr>
                      <w:rFonts w:cs="Times New Roman"/>
                      <w:b/>
                      <w:bCs/>
                      <w:sz w:val="32"/>
                      <w:szCs w:val="32"/>
                    </w:rPr>
                    <w:t>日</w:t>
                  </w:r>
                </w:p>
                <w:p w:rsidR="009048C8" w:rsidRDefault="009048C8">
                  <w:pPr>
                    <w:pStyle w:val="ae"/>
                    <w:spacing w:before="0" w:beforeAutospacing="0" w:after="0" w:afterAutospacing="0" w:line="680" w:lineRule="exact"/>
                    <w:jc w:val="center"/>
                    <w:rPr>
                      <w:rFonts w:hint="default"/>
                    </w:rPr>
                  </w:pPr>
                </w:p>
              </w:txbxContent>
            </v:textbox>
          </v:shape>
        </w:pict>
      </w:r>
    </w:p>
    <w:p w:rsidR="009048C8" w:rsidRDefault="009048C8">
      <w:pPr>
        <w:widowControl/>
        <w:autoSpaceDE w:val="0"/>
        <w:autoSpaceDN w:val="0"/>
        <w:spacing w:line="600" w:lineRule="atLeast"/>
        <w:textAlignment w:val="bottom"/>
        <w:rPr>
          <w:b/>
          <w:sz w:val="30"/>
        </w:rPr>
      </w:pPr>
    </w:p>
    <w:p w:rsidR="009048C8" w:rsidRDefault="009048C8">
      <w:pPr>
        <w:widowControl/>
        <w:autoSpaceDE w:val="0"/>
        <w:autoSpaceDN w:val="0"/>
        <w:spacing w:line="600" w:lineRule="atLeast"/>
        <w:textAlignment w:val="bottom"/>
        <w:rPr>
          <w:b/>
          <w:sz w:val="30"/>
        </w:rPr>
      </w:pPr>
    </w:p>
    <w:p w:rsidR="009048C8" w:rsidRDefault="00F83F90">
      <w:pPr>
        <w:widowControl/>
        <w:autoSpaceDE w:val="0"/>
        <w:autoSpaceDN w:val="0"/>
        <w:spacing w:line="600" w:lineRule="atLeast"/>
        <w:textAlignment w:val="bottom"/>
        <w:rPr>
          <w:b/>
          <w:sz w:val="30"/>
        </w:rPr>
        <w:sectPr w:rsidR="009048C8">
          <w:headerReference w:type="default" r:id="rId10"/>
          <w:footerReference w:type="even" r:id="rId11"/>
          <w:pgSz w:w="11906" w:h="16838"/>
          <w:pgMar w:top="1440" w:right="1797" w:bottom="1440" w:left="1797" w:header="851" w:footer="851" w:gutter="0"/>
          <w:cols w:space="425"/>
        </w:sectPr>
      </w:pPr>
      <w:r>
        <w:pict>
          <v:shape id="文本框 2" o:spid="_x0000_s1027" type="#_x0000_t202" style="position:absolute;left:0;text-align:left;margin-left:-93.6pt;margin-top:-71.25pt;width:597.75pt;height:840pt;z-index:251657216;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9048C8" w:rsidRDefault="00A82BA7">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9048C8" w:rsidRDefault="00A82BA7">
      <w:pPr>
        <w:pStyle w:val="21"/>
        <w:tabs>
          <w:tab w:val="right" w:leader="dot" w:pos="8504"/>
        </w:tabs>
        <w:spacing w:line="480" w:lineRule="auto"/>
        <w:rPr>
          <w:noProof/>
        </w:rPr>
      </w:pPr>
      <w:r>
        <w:rPr>
          <w:rStyle w:val="af2"/>
          <w:b/>
          <w:smallCaps w:val="0"/>
          <w:color w:val="auto"/>
        </w:rPr>
        <w:fldChar w:fldCharType="begin"/>
      </w:r>
      <w:r>
        <w:rPr>
          <w:rStyle w:val="af2"/>
          <w:rFonts w:asciiTheme="minorEastAsia" w:eastAsiaTheme="minorEastAsia" w:hAnsiTheme="minorEastAsia"/>
          <w:b/>
          <w:smallCaps w:val="0"/>
          <w:color w:val="auto"/>
          <w:szCs w:val="24"/>
        </w:rPr>
        <w:instrText xml:space="preserve"> TOC \o "1-3" \h \z \u </w:instrText>
      </w:r>
      <w:r>
        <w:rPr>
          <w:rStyle w:val="af2"/>
          <w:b/>
          <w:smallCaps w:val="0"/>
          <w:color w:val="auto"/>
        </w:rPr>
        <w:fldChar w:fldCharType="separate"/>
      </w:r>
      <w:hyperlink w:anchor="_Toc26177" w:history="1">
        <w:r>
          <w:rPr>
            <w:rFonts w:ascii="Times New Roman" w:hAnsi="Times New Roman" w:hint="eastAsia"/>
            <w:noProof/>
          </w:rPr>
          <w:t>声明</w:t>
        </w:r>
        <w:r>
          <w:rPr>
            <w:noProof/>
          </w:rPr>
          <w:tab/>
        </w:r>
        <w:r w:rsidR="00E73B17">
          <w:rPr>
            <w:noProof/>
          </w:rPr>
          <w:fldChar w:fldCharType="begin"/>
        </w:r>
        <w:r w:rsidR="00E73B17">
          <w:rPr>
            <w:noProof/>
          </w:rPr>
          <w:instrText xml:space="preserve"> PAGEREF _Toc26177 </w:instrText>
        </w:r>
        <w:r w:rsidR="00E73B17">
          <w:rPr>
            <w:noProof/>
          </w:rPr>
          <w:fldChar w:fldCharType="separate"/>
        </w:r>
        <w:r w:rsidR="0091473E">
          <w:rPr>
            <w:noProof/>
          </w:rPr>
          <w:t>1</w:t>
        </w:r>
        <w:r w:rsidR="00E73B17">
          <w:rPr>
            <w:noProof/>
          </w:rPr>
          <w:fldChar w:fldCharType="end"/>
        </w:r>
      </w:hyperlink>
    </w:p>
    <w:p w:rsidR="009048C8" w:rsidRDefault="00F83F90">
      <w:pPr>
        <w:pStyle w:val="21"/>
        <w:tabs>
          <w:tab w:val="right" w:leader="dot" w:pos="8504"/>
        </w:tabs>
        <w:spacing w:line="480" w:lineRule="auto"/>
        <w:rPr>
          <w:noProof/>
        </w:rPr>
      </w:pPr>
      <w:hyperlink w:anchor="_Toc9349" w:history="1">
        <w:r w:rsidR="00A82BA7">
          <w:rPr>
            <w:rFonts w:hint="eastAsia"/>
            <w:bCs/>
            <w:noProof/>
          </w:rPr>
          <w:t>资产</w:t>
        </w:r>
        <w:r w:rsidR="00A82BA7">
          <w:rPr>
            <w:rFonts w:hint="eastAsia"/>
            <w:noProof/>
          </w:rPr>
          <w:t>评估报告摘要</w:t>
        </w:r>
        <w:r w:rsidR="00A82BA7">
          <w:rPr>
            <w:noProof/>
          </w:rPr>
          <w:tab/>
        </w:r>
        <w:r w:rsidR="00E73B17">
          <w:rPr>
            <w:noProof/>
          </w:rPr>
          <w:fldChar w:fldCharType="begin"/>
        </w:r>
        <w:r w:rsidR="00E73B17">
          <w:rPr>
            <w:noProof/>
          </w:rPr>
          <w:instrText xml:space="preserve"> PAGEREF _Toc9349 </w:instrText>
        </w:r>
        <w:r w:rsidR="00E73B17">
          <w:rPr>
            <w:noProof/>
          </w:rPr>
          <w:fldChar w:fldCharType="separate"/>
        </w:r>
        <w:r w:rsidR="0091473E">
          <w:rPr>
            <w:noProof/>
          </w:rPr>
          <w:t>2</w:t>
        </w:r>
        <w:r w:rsidR="00E73B17">
          <w:rPr>
            <w:noProof/>
          </w:rPr>
          <w:fldChar w:fldCharType="end"/>
        </w:r>
      </w:hyperlink>
    </w:p>
    <w:p w:rsidR="009048C8" w:rsidRDefault="00F83F90">
      <w:pPr>
        <w:pStyle w:val="21"/>
        <w:tabs>
          <w:tab w:val="right" w:leader="dot" w:pos="8504"/>
        </w:tabs>
        <w:spacing w:line="480" w:lineRule="auto"/>
        <w:rPr>
          <w:noProof/>
        </w:rPr>
      </w:pPr>
      <w:hyperlink w:anchor="_Toc8546" w:history="1">
        <w:r w:rsidR="00A82BA7">
          <w:rPr>
            <w:rFonts w:ascii="Times New Roman" w:hAnsi="Times New Roman" w:hint="eastAsia"/>
            <w:noProof/>
            <w:szCs w:val="36"/>
          </w:rPr>
          <w:t>资产评估报告</w:t>
        </w:r>
        <w:r w:rsidR="00A82BA7">
          <w:rPr>
            <w:noProof/>
          </w:rPr>
          <w:tab/>
        </w:r>
        <w:r w:rsidR="00E73B17">
          <w:rPr>
            <w:noProof/>
          </w:rPr>
          <w:fldChar w:fldCharType="begin"/>
        </w:r>
        <w:r w:rsidR="00E73B17">
          <w:rPr>
            <w:noProof/>
          </w:rPr>
          <w:instrText xml:space="preserve"> PAGEREF _Toc8546 </w:instrText>
        </w:r>
        <w:r w:rsidR="00E73B17">
          <w:rPr>
            <w:noProof/>
          </w:rPr>
          <w:fldChar w:fldCharType="separate"/>
        </w:r>
        <w:r w:rsidR="0091473E">
          <w:rPr>
            <w:noProof/>
          </w:rPr>
          <w:t>5</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5884" w:history="1">
        <w:r w:rsidR="00A82BA7">
          <w:rPr>
            <w:rFonts w:asciiTheme="minorEastAsia" w:eastAsiaTheme="minorEastAsia" w:hAnsiTheme="minorEastAsia" w:hint="eastAsia"/>
            <w:noProof/>
            <w:szCs w:val="28"/>
          </w:rPr>
          <w:t>一、委托人</w:t>
        </w:r>
        <w:r w:rsidR="00A82BA7">
          <w:rPr>
            <w:noProof/>
          </w:rPr>
          <w:tab/>
        </w:r>
        <w:r w:rsidR="00E73B17">
          <w:rPr>
            <w:noProof/>
          </w:rPr>
          <w:fldChar w:fldCharType="begin"/>
        </w:r>
        <w:r w:rsidR="00E73B17">
          <w:rPr>
            <w:noProof/>
          </w:rPr>
          <w:instrText xml:space="preserve"> PAGEREF _Toc5884 </w:instrText>
        </w:r>
        <w:r w:rsidR="00E73B17">
          <w:rPr>
            <w:noProof/>
          </w:rPr>
          <w:fldChar w:fldCharType="separate"/>
        </w:r>
        <w:r w:rsidR="0091473E">
          <w:rPr>
            <w:noProof/>
          </w:rPr>
          <w:t>5</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30736" w:history="1">
        <w:r w:rsidR="00A82BA7">
          <w:rPr>
            <w:rFonts w:asciiTheme="minorEastAsia" w:eastAsiaTheme="minorEastAsia" w:hAnsiTheme="minorEastAsia" w:hint="eastAsia"/>
            <w:noProof/>
            <w:szCs w:val="28"/>
          </w:rPr>
          <w:t>二、评估目的</w:t>
        </w:r>
        <w:r w:rsidR="00A82BA7">
          <w:rPr>
            <w:noProof/>
          </w:rPr>
          <w:tab/>
        </w:r>
        <w:r w:rsidR="00E73B17">
          <w:rPr>
            <w:noProof/>
          </w:rPr>
          <w:fldChar w:fldCharType="begin"/>
        </w:r>
        <w:r w:rsidR="00E73B17">
          <w:rPr>
            <w:noProof/>
          </w:rPr>
          <w:instrText xml:space="preserve"> PAGEREF _Toc30736 </w:instrText>
        </w:r>
        <w:r w:rsidR="00E73B17">
          <w:rPr>
            <w:noProof/>
          </w:rPr>
          <w:fldChar w:fldCharType="separate"/>
        </w:r>
        <w:r w:rsidR="0091473E">
          <w:rPr>
            <w:noProof/>
          </w:rPr>
          <w:t>5</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15321" w:history="1">
        <w:r w:rsidR="00A82BA7">
          <w:rPr>
            <w:rFonts w:asciiTheme="minorEastAsia" w:eastAsiaTheme="minorEastAsia" w:hAnsiTheme="minorEastAsia" w:hint="eastAsia"/>
            <w:noProof/>
            <w:szCs w:val="28"/>
          </w:rPr>
          <w:t>三、评估对象和评估范围</w:t>
        </w:r>
        <w:r w:rsidR="00A82BA7">
          <w:rPr>
            <w:noProof/>
          </w:rPr>
          <w:tab/>
        </w:r>
        <w:r w:rsidR="00E73B17">
          <w:rPr>
            <w:noProof/>
          </w:rPr>
          <w:fldChar w:fldCharType="begin"/>
        </w:r>
        <w:r w:rsidR="00E73B17">
          <w:rPr>
            <w:noProof/>
          </w:rPr>
          <w:instrText xml:space="preserve"> PAGEREF _Toc15321 </w:instrText>
        </w:r>
        <w:r w:rsidR="00E73B17">
          <w:rPr>
            <w:noProof/>
          </w:rPr>
          <w:fldChar w:fldCharType="separate"/>
        </w:r>
        <w:r w:rsidR="0091473E">
          <w:rPr>
            <w:noProof/>
          </w:rPr>
          <w:t>5</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30045" w:history="1">
        <w:r w:rsidR="00A82BA7">
          <w:rPr>
            <w:rFonts w:asciiTheme="minorEastAsia" w:eastAsiaTheme="minorEastAsia" w:hAnsiTheme="minorEastAsia" w:hint="eastAsia"/>
            <w:noProof/>
            <w:szCs w:val="28"/>
          </w:rPr>
          <w:t>四、价值类型</w:t>
        </w:r>
        <w:r w:rsidR="00A82BA7">
          <w:rPr>
            <w:noProof/>
          </w:rPr>
          <w:tab/>
        </w:r>
        <w:r w:rsidR="00A82BA7">
          <w:rPr>
            <w:rFonts w:hint="eastAsia"/>
            <w:noProof/>
          </w:rPr>
          <w:t>5</w:t>
        </w:r>
      </w:hyperlink>
    </w:p>
    <w:p w:rsidR="009048C8" w:rsidRDefault="00F83F90">
      <w:pPr>
        <w:pStyle w:val="30"/>
        <w:tabs>
          <w:tab w:val="right" w:leader="dot" w:pos="8504"/>
        </w:tabs>
        <w:spacing w:line="480" w:lineRule="auto"/>
        <w:ind w:left="480"/>
        <w:rPr>
          <w:noProof/>
        </w:rPr>
      </w:pPr>
      <w:hyperlink w:anchor="_Toc19559" w:history="1">
        <w:r w:rsidR="00A82BA7">
          <w:rPr>
            <w:rFonts w:asciiTheme="minorEastAsia" w:eastAsiaTheme="minorEastAsia" w:hAnsiTheme="minorEastAsia" w:hint="eastAsia"/>
            <w:noProof/>
            <w:szCs w:val="28"/>
          </w:rPr>
          <w:t>五、评估基准日</w:t>
        </w:r>
        <w:r w:rsidR="00A82BA7">
          <w:rPr>
            <w:noProof/>
          </w:rPr>
          <w:tab/>
        </w:r>
        <w:r w:rsidR="00E73B17">
          <w:rPr>
            <w:noProof/>
          </w:rPr>
          <w:fldChar w:fldCharType="begin"/>
        </w:r>
        <w:r w:rsidR="00E73B17">
          <w:rPr>
            <w:noProof/>
          </w:rPr>
          <w:instrText xml:space="preserve"> PAGEREF _Toc19559 </w:instrText>
        </w:r>
        <w:r w:rsidR="00E73B17">
          <w:rPr>
            <w:noProof/>
          </w:rPr>
          <w:fldChar w:fldCharType="separate"/>
        </w:r>
        <w:r w:rsidR="0091473E">
          <w:rPr>
            <w:noProof/>
          </w:rPr>
          <w:t>6</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17918" w:history="1">
        <w:r w:rsidR="00A82BA7">
          <w:rPr>
            <w:rFonts w:asciiTheme="minorEastAsia" w:eastAsiaTheme="minorEastAsia" w:hAnsiTheme="minorEastAsia" w:hint="eastAsia"/>
            <w:noProof/>
            <w:szCs w:val="28"/>
          </w:rPr>
          <w:t>六、评估依据</w:t>
        </w:r>
        <w:r w:rsidR="00A82BA7">
          <w:rPr>
            <w:noProof/>
          </w:rPr>
          <w:tab/>
        </w:r>
        <w:r w:rsidR="00E73B17">
          <w:rPr>
            <w:noProof/>
          </w:rPr>
          <w:fldChar w:fldCharType="begin"/>
        </w:r>
        <w:r w:rsidR="00E73B17">
          <w:rPr>
            <w:noProof/>
          </w:rPr>
          <w:instrText xml:space="preserve"> PAGEREF _Toc17918 </w:instrText>
        </w:r>
        <w:r w:rsidR="00E73B17">
          <w:rPr>
            <w:noProof/>
          </w:rPr>
          <w:fldChar w:fldCharType="separate"/>
        </w:r>
        <w:r w:rsidR="0091473E">
          <w:rPr>
            <w:noProof/>
          </w:rPr>
          <w:t>6</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200" w:history="1">
        <w:r w:rsidR="00A82BA7">
          <w:rPr>
            <w:rFonts w:asciiTheme="minorEastAsia" w:eastAsiaTheme="minorEastAsia" w:hAnsiTheme="minorEastAsia" w:hint="eastAsia"/>
            <w:noProof/>
            <w:szCs w:val="28"/>
          </w:rPr>
          <w:t>七、评估方法</w:t>
        </w:r>
        <w:r w:rsidR="00A82BA7">
          <w:rPr>
            <w:noProof/>
          </w:rPr>
          <w:tab/>
        </w:r>
        <w:r w:rsidR="00E73B17">
          <w:rPr>
            <w:noProof/>
          </w:rPr>
          <w:fldChar w:fldCharType="begin"/>
        </w:r>
        <w:r w:rsidR="00E73B17">
          <w:rPr>
            <w:noProof/>
          </w:rPr>
          <w:instrText xml:space="preserve"> PAGEREF _Toc200 </w:instrText>
        </w:r>
        <w:r w:rsidR="00E73B17">
          <w:rPr>
            <w:noProof/>
          </w:rPr>
          <w:fldChar w:fldCharType="separate"/>
        </w:r>
        <w:r w:rsidR="0091473E">
          <w:rPr>
            <w:noProof/>
          </w:rPr>
          <w:t>8</w:t>
        </w:r>
        <w:r w:rsidR="00E73B17">
          <w:rPr>
            <w:noProof/>
          </w:rPr>
          <w:fldChar w:fldCharType="end"/>
        </w:r>
      </w:hyperlink>
    </w:p>
    <w:p w:rsidR="009048C8" w:rsidRDefault="00F83F90">
      <w:pPr>
        <w:pStyle w:val="30"/>
        <w:tabs>
          <w:tab w:val="right" w:leader="dot" w:pos="8504"/>
        </w:tabs>
        <w:spacing w:line="480" w:lineRule="auto"/>
        <w:ind w:left="480"/>
        <w:rPr>
          <w:rFonts w:eastAsiaTheme="minorEastAsia"/>
          <w:noProof/>
        </w:rPr>
      </w:pPr>
      <w:hyperlink w:anchor="_Toc11943" w:history="1">
        <w:r w:rsidR="00A82BA7">
          <w:rPr>
            <w:rFonts w:asciiTheme="minorEastAsia" w:eastAsiaTheme="minorEastAsia" w:hAnsiTheme="minorEastAsia" w:hint="eastAsia"/>
            <w:noProof/>
            <w:szCs w:val="28"/>
          </w:rPr>
          <w:t>八、评估程序实施过程和情况</w:t>
        </w:r>
        <w:r w:rsidR="00A82BA7">
          <w:rPr>
            <w:noProof/>
          </w:rPr>
          <w:tab/>
        </w:r>
        <w:r w:rsidR="00A82BA7">
          <w:rPr>
            <w:rFonts w:hint="eastAsia"/>
            <w:noProof/>
          </w:rPr>
          <w:t>1</w:t>
        </w:r>
      </w:hyperlink>
      <w:r w:rsidR="00A82BA7">
        <w:rPr>
          <w:rFonts w:asciiTheme="minorEastAsia" w:eastAsiaTheme="minorEastAsia" w:hAnsiTheme="minorEastAsia" w:hint="eastAsia"/>
          <w:smallCaps/>
          <w:noProof/>
          <w:szCs w:val="24"/>
        </w:rPr>
        <w:t>0</w:t>
      </w:r>
    </w:p>
    <w:p w:rsidR="009048C8" w:rsidRDefault="00F83F90">
      <w:pPr>
        <w:pStyle w:val="30"/>
        <w:tabs>
          <w:tab w:val="right" w:leader="dot" w:pos="8504"/>
        </w:tabs>
        <w:spacing w:line="480" w:lineRule="auto"/>
        <w:ind w:left="480"/>
        <w:rPr>
          <w:noProof/>
        </w:rPr>
      </w:pPr>
      <w:hyperlink w:anchor="_Toc19327" w:history="1">
        <w:r w:rsidR="00A82BA7">
          <w:rPr>
            <w:rFonts w:asciiTheme="minorEastAsia" w:eastAsiaTheme="minorEastAsia" w:hAnsiTheme="minorEastAsia" w:hint="eastAsia"/>
            <w:noProof/>
            <w:szCs w:val="28"/>
          </w:rPr>
          <w:t>九、评估假设</w:t>
        </w:r>
        <w:r w:rsidR="00A82BA7">
          <w:rPr>
            <w:noProof/>
          </w:rPr>
          <w:tab/>
        </w:r>
        <w:r w:rsidR="00E73B17">
          <w:rPr>
            <w:noProof/>
          </w:rPr>
          <w:fldChar w:fldCharType="begin"/>
        </w:r>
        <w:r w:rsidR="00E73B17">
          <w:rPr>
            <w:noProof/>
          </w:rPr>
          <w:instrText xml:space="preserve"> PAGEREF _Toc19327 </w:instrText>
        </w:r>
        <w:r w:rsidR="00E73B17">
          <w:rPr>
            <w:noProof/>
          </w:rPr>
          <w:fldChar w:fldCharType="separate"/>
        </w:r>
        <w:r w:rsidR="0091473E">
          <w:rPr>
            <w:noProof/>
          </w:rPr>
          <w:t>10</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32267" w:history="1">
        <w:r w:rsidR="00A82BA7">
          <w:rPr>
            <w:rFonts w:asciiTheme="minorEastAsia" w:eastAsiaTheme="minorEastAsia" w:hAnsiTheme="minorEastAsia" w:hint="eastAsia"/>
            <w:noProof/>
            <w:szCs w:val="28"/>
          </w:rPr>
          <w:t>十、评估结论</w:t>
        </w:r>
        <w:r w:rsidR="00A82BA7">
          <w:rPr>
            <w:noProof/>
          </w:rPr>
          <w:tab/>
        </w:r>
        <w:r w:rsidR="00E73B17">
          <w:rPr>
            <w:noProof/>
          </w:rPr>
          <w:fldChar w:fldCharType="begin"/>
        </w:r>
        <w:r w:rsidR="00E73B17">
          <w:rPr>
            <w:noProof/>
          </w:rPr>
          <w:instrText xml:space="preserve"> PAGEREF _Toc32267 </w:instrText>
        </w:r>
        <w:r w:rsidR="00E73B17">
          <w:rPr>
            <w:noProof/>
          </w:rPr>
          <w:fldChar w:fldCharType="separate"/>
        </w:r>
        <w:r w:rsidR="0091473E">
          <w:rPr>
            <w:noProof/>
          </w:rPr>
          <w:t>11</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5597" w:history="1">
        <w:r w:rsidR="00A82BA7">
          <w:rPr>
            <w:rFonts w:asciiTheme="minorEastAsia" w:eastAsiaTheme="minorEastAsia" w:hAnsiTheme="minorEastAsia" w:hint="eastAsia"/>
            <w:noProof/>
            <w:szCs w:val="28"/>
          </w:rPr>
          <w:t>十一、特别事项说明</w:t>
        </w:r>
        <w:r w:rsidR="00A82BA7">
          <w:rPr>
            <w:noProof/>
          </w:rPr>
          <w:tab/>
        </w:r>
        <w:r w:rsidR="00E73B17">
          <w:rPr>
            <w:noProof/>
          </w:rPr>
          <w:fldChar w:fldCharType="begin"/>
        </w:r>
        <w:r w:rsidR="00E73B17">
          <w:rPr>
            <w:noProof/>
          </w:rPr>
          <w:instrText xml:space="preserve"> PAGEREF _Toc5597 </w:instrText>
        </w:r>
        <w:r w:rsidR="00E73B17">
          <w:rPr>
            <w:noProof/>
          </w:rPr>
          <w:fldChar w:fldCharType="separate"/>
        </w:r>
        <w:r w:rsidR="0091473E">
          <w:rPr>
            <w:noProof/>
          </w:rPr>
          <w:t>11</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8179" w:history="1">
        <w:r w:rsidR="00A82BA7">
          <w:rPr>
            <w:rFonts w:asciiTheme="minorEastAsia" w:eastAsiaTheme="minorEastAsia" w:hAnsiTheme="minorEastAsia" w:hint="eastAsia"/>
            <w:noProof/>
            <w:szCs w:val="28"/>
          </w:rPr>
          <w:t>十二、资产评估报告的使用限制说明</w:t>
        </w:r>
        <w:r w:rsidR="00A82BA7">
          <w:rPr>
            <w:noProof/>
          </w:rPr>
          <w:tab/>
        </w:r>
        <w:r w:rsidR="00E73B17">
          <w:rPr>
            <w:noProof/>
          </w:rPr>
          <w:fldChar w:fldCharType="begin"/>
        </w:r>
        <w:r w:rsidR="00E73B17">
          <w:rPr>
            <w:noProof/>
          </w:rPr>
          <w:instrText xml:space="preserve"> PAGEREF _Toc8179 </w:instrText>
        </w:r>
        <w:r w:rsidR="00E73B17">
          <w:rPr>
            <w:noProof/>
          </w:rPr>
          <w:fldChar w:fldCharType="separate"/>
        </w:r>
        <w:r w:rsidR="0091473E">
          <w:rPr>
            <w:noProof/>
          </w:rPr>
          <w:t>12</w:t>
        </w:r>
        <w:r w:rsidR="00E73B17">
          <w:rPr>
            <w:noProof/>
          </w:rPr>
          <w:fldChar w:fldCharType="end"/>
        </w:r>
      </w:hyperlink>
    </w:p>
    <w:p w:rsidR="009048C8" w:rsidRDefault="00F83F90">
      <w:pPr>
        <w:pStyle w:val="30"/>
        <w:tabs>
          <w:tab w:val="right" w:leader="dot" w:pos="8504"/>
        </w:tabs>
        <w:spacing w:line="480" w:lineRule="auto"/>
        <w:ind w:left="480"/>
        <w:rPr>
          <w:noProof/>
        </w:rPr>
      </w:pPr>
      <w:hyperlink w:anchor="_Toc11586" w:history="1">
        <w:r w:rsidR="00A82BA7">
          <w:rPr>
            <w:rFonts w:asciiTheme="minorEastAsia" w:eastAsiaTheme="minorEastAsia" w:hAnsiTheme="minorEastAsia" w:hint="eastAsia"/>
            <w:noProof/>
            <w:szCs w:val="28"/>
          </w:rPr>
          <w:t>十三、资产评估报告日</w:t>
        </w:r>
        <w:r w:rsidR="00A82BA7">
          <w:rPr>
            <w:noProof/>
          </w:rPr>
          <w:tab/>
        </w:r>
        <w:r w:rsidR="00E73B17">
          <w:rPr>
            <w:noProof/>
          </w:rPr>
          <w:fldChar w:fldCharType="begin"/>
        </w:r>
        <w:r w:rsidR="00E73B17">
          <w:rPr>
            <w:noProof/>
          </w:rPr>
          <w:instrText xml:space="preserve"> PAGEREF _Toc11586 </w:instrText>
        </w:r>
        <w:r w:rsidR="00E73B17">
          <w:rPr>
            <w:noProof/>
          </w:rPr>
          <w:fldChar w:fldCharType="separate"/>
        </w:r>
        <w:r w:rsidR="0091473E">
          <w:rPr>
            <w:noProof/>
          </w:rPr>
          <w:t>12</w:t>
        </w:r>
        <w:r w:rsidR="00E73B17">
          <w:rPr>
            <w:noProof/>
          </w:rPr>
          <w:fldChar w:fldCharType="end"/>
        </w:r>
      </w:hyperlink>
    </w:p>
    <w:p w:rsidR="009048C8" w:rsidRDefault="00F83F90">
      <w:pPr>
        <w:pStyle w:val="21"/>
        <w:tabs>
          <w:tab w:val="right" w:leader="dot" w:pos="8504"/>
        </w:tabs>
        <w:spacing w:line="480" w:lineRule="auto"/>
        <w:ind w:firstLineChars="100" w:firstLine="240"/>
        <w:rPr>
          <w:rFonts w:eastAsiaTheme="minorEastAsia"/>
          <w:noProof/>
        </w:rPr>
      </w:pPr>
      <w:hyperlink w:anchor="_Toc25106" w:history="1">
        <w:r w:rsidR="00A82BA7">
          <w:rPr>
            <w:rFonts w:asciiTheme="minorEastAsia" w:eastAsiaTheme="minorEastAsia" w:hAnsiTheme="minorEastAsia" w:hint="eastAsia"/>
            <w:noProof/>
            <w:szCs w:val="36"/>
          </w:rPr>
          <w:t>资产评估报告附件</w:t>
        </w:r>
        <w:r w:rsidR="00A82BA7">
          <w:rPr>
            <w:noProof/>
          </w:rPr>
          <w:tab/>
        </w:r>
        <w:r w:rsidR="00E73B17">
          <w:rPr>
            <w:noProof/>
          </w:rPr>
          <w:fldChar w:fldCharType="begin"/>
        </w:r>
        <w:r w:rsidR="00E73B17">
          <w:rPr>
            <w:noProof/>
          </w:rPr>
          <w:instrText xml:space="preserve"> PAGEREF _Toc25106 </w:instrText>
        </w:r>
        <w:r w:rsidR="00E73B17">
          <w:rPr>
            <w:noProof/>
          </w:rPr>
          <w:fldChar w:fldCharType="separate"/>
        </w:r>
        <w:r w:rsidR="0091473E">
          <w:rPr>
            <w:noProof/>
          </w:rPr>
          <w:t>1</w:t>
        </w:r>
        <w:r w:rsidR="00E73B17">
          <w:rPr>
            <w:noProof/>
          </w:rPr>
          <w:fldChar w:fldCharType="end"/>
        </w:r>
      </w:hyperlink>
      <w:r w:rsidR="00A82BA7">
        <w:rPr>
          <w:rFonts w:asciiTheme="minorEastAsia" w:eastAsiaTheme="minorEastAsia" w:hAnsiTheme="minorEastAsia" w:hint="eastAsia"/>
          <w:noProof/>
          <w:szCs w:val="24"/>
        </w:rPr>
        <w:t>4</w:t>
      </w:r>
    </w:p>
    <w:p w:rsidR="009048C8" w:rsidRDefault="00A82BA7">
      <w:pPr>
        <w:adjustRightInd w:val="0"/>
        <w:snapToGrid w:val="0"/>
        <w:spacing w:line="480" w:lineRule="auto"/>
        <w:ind w:firstLineChars="200" w:firstLine="480"/>
        <w:rPr>
          <w:b/>
          <w:smallCaps/>
          <w:szCs w:val="24"/>
          <w:u w:val="single"/>
        </w:rPr>
        <w:sectPr w:rsidR="009048C8">
          <w:headerReference w:type="default" r:id="rId12"/>
          <w:footerReference w:type="default" r:id="rId13"/>
          <w:pgSz w:w="11906" w:h="16838"/>
          <w:pgMar w:top="1588" w:right="1701" w:bottom="1247" w:left="1701" w:header="1134" w:footer="907" w:gutter="0"/>
          <w:pgNumType w:start="1"/>
          <w:cols w:space="720"/>
          <w:docGrid w:linePitch="450" w:charSpace="-4916"/>
        </w:sectPr>
      </w:pPr>
      <w:r>
        <w:rPr>
          <w:rFonts w:asciiTheme="minorEastAsia" w:eastAsiaTheme="minorEastAsia" w:hAnsiTheme="minorEastAsia" w:cstheme="minorHAnsi"/>
          <w:smallCaps/>
          <w:szCs w:val="24"/>
        </w:rPr>
        <w:fldChar w:fldCharType="end"/>
      </w:r>
    </w:p>
    <w:p w:rsidR="009048C8" w:rsidRDefault="00A82BA7">
      <w:pPr>
        <w:pStyle w:val="2"/>
        <w:snapToGrid w:val="0"/>
        <w:spacing w:before="60" w:after="60" w:line="360" w:lineRule="auto"/>
        <w:ind w:firstLine="0"/>
        <w:jc w:val="center"/>
        <w:textAlignment w:val="auto"/>
        <w:rPr>
          <w:rFonts w:ascii="Times New Roman" w:eastAsia="宋体" w:hAnsi="Times New Roman"/>
          <w:b w:val="0"/>
          <w:sz w:val="30"/>
          <w:szCs w:val="30"/>
        </w:rPr>
      </w:pPr>
      <w:bookmarkStart w:id="2" w:name="_Toc26177"/>
      <w:r>
        <w:rPr>
          <w:rStyle w:val="1Char"/>
          <w:rFonts w:ascii="Times New Roman" w:eastAsia="宋体" w:hAnsi="Times New Roman" w:hint="eastAsia"/>
          <w:b/>
        </w:rPr>
        <w:lastRenderedPageBreak/>
        <w:t>声明</w:t>
      </w:r>
      <w:bookmarkEnd w:id="2"/>
    </w:p>
    <w:p w:rsidR="009048C8"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9048C8"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9048C8"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9048C8"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9048C8"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733AC6"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9048C8" w:rsidRPr="00733AC6" w:rsidRDefault="00A82BA7" w:rsidP="00733AC6">
      <w:pPr>
        <w:pStyle w:val="a0"/>
        <w:snapToGrid w:val="0"/>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rPr>
        <w:t>七、</w:t>
      </w:r>
      <w:proofErr w:type="gramStart"/>
      <w:r>
        <w:rPr>
          <w:rFonts w:asciiTheme="minorEastAsia" w:eastAsiaTheme="minorEastAsia" w:hAnsiTheme="minorEastAsia"/>
        </w:rPr>
        <w:t>本资产</w:t>
      </w:r>
      <w:proofErr w:type="gramEnd"/>
      <w:r>
        <w:rPr>
          <w:rFonts w:asciiTheme="minorEastAsia" w:eastAsiaTheme="minorEastAsia" w:hAnsiTheme="minorEastAsia"/>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rPr>
        <w:tab/>
      </w:r>
      <w:r>
        <w:br w:type="page"/>
      </w:r>
      <w:bookmarkStart w:id="3" w:name="_Toc9349"/>
    </w:p>
    <w:p w:rsidR="00733AC6" w:rsidRPr="00A82BA7" w:rsidRDefault="00733AC6" w:rsidP="00733AC6">
      <w:pPr>
        <w:pStyle w:val="ae"/>
        <w:spacing w:before="0" w:beforeAutospacing="0" w:after="0" w:afterAutospacing="0" w:line="276" w:lineRule="auto"/>
        <w:jc w:val="center"/>
        <w:rPr>
          <w:rStyle w:val="1Char"/>
          <w:rFonts w:ascii="Arial" w:eastAsia="宋体" w:hAnsi="Arial" w:cs="Times New Roman" w:hint="default"/>
          <w:szCs w:val="20"/>
        </w:rPr>
      </w:pPr>
      <w:r w:rsidRPr="00A82BA7">
        <w:rPr>
          <w:rStyle w:val="1Char"/>
          <w:rFonts w:ascii="Arial" w:eastAsia="宋体" w:hAnsi="Arial" w:cs="Times New Roman"/>
          <w:szCs w:val="20"/>
        </w:rPr>
        <w:lastRenderedPageBreak/>
        <w:t>山西省运城市中级人民法院拟核实</w:t>
      </w:r>
    </w:p>
    <w:p w:rsidR="00733AC6" w:rsidRDefault="00733AC6" w:rsidP="00733AC6">
      <w:pPr>
        <w:pStyle w:val="ae"/>
        <w:spacing w:before="0" w:beforeAutospacing="0" w:after="0" w:afterAutospacing="0" w:line="276" w:lineRule="auto"/>
        <w:jc w:val="center"/>
        <w:rPr>
          <w:rStyle w:val="1Char"/>
          <w:rFonts w:asciiTheme="minorEastAsia" w:eastAsiaTheme="minorEastAsia" w:hAnsiTheme="minorEastAsia" w:cs="Times New Roman" w:hint="default"/>
          <w:szCs w:val="20"/>
        </w:rPr>
      </w:pPr>
      <w:r w:rsidRPr="00A82BA7">
        <w:rPr>
          <w:rStyle w:val="1Char"/>
          <w:rFonts w:asciiTheme="minorEastAsia" w:eastAsiaTheme="minorEastAsia" w:hAnsiTheme="minorEastAsia" w:cs="Times New Roman"/>
          <w:szCs w:val="20"/>
        </w:rPr>
        <w:t>侯金发、侯金亮、</w:t>
      </w:r>
      <w:proofErr w:type="gramStart"/>
      <w:r w:rsidRPr="00A82BA7">
        <w:rPr>
          <w:rStyle w:val="1Char"/>
          <w:rFonts w:asciiTheme="minorEastAsia" w:eastAsiaTheme="minorEastAsia" w:hAnsiTheme="minorEastAsia" w:cs="Times New Roman"/>
          <w:szCs w:val="20"/>
        </w:rPr>
        <w:t>候金海</w:t>
      </w:r>
      <w:proofErr w:type="gramEnd"/>
      <w:r w:rsidRPr="00A82BA7">
        <w:rPr>
          <w:rStyle w:val="1Char"/>
          <w:rFonts w:asciiTheme="minorEastAsia" w:eastAsiaTheme="minorEastAsia" w:hAnsiTheme="minorEastAsia" w:cs="Times New Roman"/>
          <w:szCs w:val="20"/>
        </w:rPr>
        <w:t>、景春凯、王红贵、张保民、景益民案件财产</w:t>
      </w:r>
      <w:proofErr w:type="gramStart"/>
      <w:r w:rsidRPr="00A82BA7">
        <w:rPr>
          <w:rStyle w:val="1Char"/>
          <w:rFonts w:asciiTheme="minorEastAsia" w:eastAsiaTheme="minorEastAsia" w:hAnsiTheme="minorEastAsia" w:cs="Times New Roman"/>
          <w:szCs w:val="20"/>
        </w:rPr>
        <w:t>刑</w:t>
      </w:r>
      <w:proofErr w:type="gramEnd"/>
      <w:r w:rsidRPr="00A82BA7">
        <w:rPr>
          <w:rStyle w:val="1Char"/>
          <w:rFonts w:asciiTheme="minorEastAsia" w:eastAsiaTheme="minorEastAsia" w:hAnsiTheme="minorEastAsia" w:cs="Times New Roman"/>
          <w:szCs w:val="20"/>
        </w:rPr>
        <w:t>一案所涉及的房产</w:t>
      </w:r>
      <w:r>
        <w:rPr>
          <w:rStyle w:val="1Char"/>
          <w:rFonts w:asciiTheme="minorEastAsia" w:eastAsiaTheme="minorEastAsia" w:hAnsiTheme="minorEastAsia" w:cs="Times New Roman"/>
          <w:szCs w:val="20"/>
        </w:rPr>
        <w:t>价值</w:t>
      </w:r>
      <w:r w:rsidRPr="00A82BA7">
        <w:rPr>
          <w:rStyle w:val="1Char"/>
          <w:rFonts w:asciiTheme="minorEastAsia" w:eastAsiaTheme="minorEastAsia" w:hAnsiTheme="minorEastAsia" w:cs="Times New Roman"/>
          <w:szCs w:val="20"/>
        </w:rPr>
        <w:t>项目</w:t>
      </w:r>
      <w:r w:rsidR="001A36A6" w:rsidRPr="001A36A6">
        <w:rPr>
          <w:rStyle w:val="1Char"/>
          <w:rFonts w:asciiTheme="minorEastAsia" w:eastAsiaTheme="minorEastAsia" w:hAnsiTheme="minorEastAsia" w:cs="Times New Roman"/>
          <w:szCs w:val="20"/>
        </w:rPr>
        <w:t>（运城市黄金水岸小区50号楼3102号、运城市黄金水岸小区22号楼3单元1102B号）</w:t>
      </w:r>
    </w:p>
    <w:p w:rsidR="009048C8" w:rsidRDefault="00A82BA7" w:rsidP="00733AC6">
      <w:pPr>
        <w:pStyle w:val="ae"/>
        <w:spacing w:before="0" w:beforeAutospacing="0" w:after="0" w:afterAutospacing="0" w:line="276" w:lineRule="auto"/>
        <w:jc w:val="center"/>
        <w:rPr>
          <w:rStyle w:val="1Char"/>
          <w:rFonts w:ascii="Arial" w:eastAsia="宋体" w:hAnsi="Arial" w:cs="Times New Roman" w:hint="default"/>
          <w:szCs w:val="20"/>
        </w:rPr>
      </w:pPr>
      <w:r>
        <w:rPr>
          <w:rStyle w:val="1Char"/>
          <w:rFonts w:ascii="Arial" w:eastAsia="宋体" w:hAnsi="Arial" w:cs="Times New Roman"/>
          <w:szCs w:val="20"/>
        </w:rPr>
        <w:t>资产</w:t>
      </w:r>
      <w:r>
        <w:rPr>
          <w:rStyle w:val="1Char"/>
          <w:rFonts w:eastAsia="宋体"/>
        </w:rPr>
        <w:t>评估报告摘要</w:t>
      </w:r>
      <w:bookmarkEnd w:id="3"/>
    </w:p>
    <w:p w:rsidR="009048C8" w:rsidRDefault="00A82BA7">
      <w:pPr>
        <w:adjustRightInd w:val="0"/>
        <w:snapToGrid w:val="0"/>
        <w:spacing w:before="60" w:after="60" w:line="360" w:lineRule="auto"/>
        <w:jc w:val="center"/>
        <w:rPr>
          <w:rFonts w:asciiTheme="minorEastAsia" w:eastAsiaTheme="minorEastAsia" w:hAnsiTheme="minorEastAsia"/>
          <w:b/>
          <w:spacing w:val="20"/>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w:t>
      </w:r>
      <w:r w:rsidR="00733AC6">
        <w:rPr>
          <w:rFonts w:asciiTheme="minorEastAsia" w:eastAsiaTheme="minorEastAsia" w:hAnsiTheme="minorEastAsia" w:hint="eastAsia"/>
          <w:szCs w:val="24"/>
        </w:rPr>
        <w:t>037</w:t>
      </w:r>
      <w:r>
        <w:rPr>
          <w:rFonts w:asciiTheme="minorEastAsia" w:eastAsiaTheme="minorEastAsia" w:hAnsiTheme="minorEastAsia" w:hint="eastAsia"/>
          <w:szCs w:val="24"/>
        </w:rPr>
        <w:t>号</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山西一诺千金资产评估有限公司接受山西省运城市中级人民法院的委托，按照有关法律、行政法规和资产评估准则的规定，坚持独立、客观、公正的原则，采用市场法，按照必要的评估程序，对侯金发、侯金亮、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一案所涉及的运城市黄金水岸小区50号楼3102号、运城市黄金水岸小区22号楼3单元1102B号在2019年11月8日的市场价值进行了评估。现将资产评估情况报告如下。</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二、评估对象及范围：运城市黄金水岸小区50号楼3102号、运城市黄金水岸小区22号楼3单元1102B号</w:t>
      </w:r>
      <w:r w:rsidR="001A36A6">
        <w:rPr>
          <w:rFonts w:asciiTheme="minorEastAsia" w:eastAsiaTheme="minorEastAsia" w:hAnsiTheme="minorEastAsia" w:hint="eastAsia"/>
          <w:szCs w:val="24"/>
        </w:rPr>
        <w:t>的市场价值</w:t>
      </w:r>
      <w:r>
        <w:rPr>
          <w:rFonts w:asciiTheme="minorEastAsia" w:eastAsiaTheme="minorEastAsia" w:hAnsiTheme="minorEastAsia" w:hint="eastAsia"/>
          <w:szCs w:val="24"/>
        </w:rPr>
        <w:t>。</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201</w:t>
      </w:r>
      <w:r>
        <w:rPr>
          <w:rFonts w:asciiTheme="minorEastAsia" w:eastAsiaTheme="minorEastAsia" w:hAnsiTheme="minorEastAsia" w:hint="eastAsia"/>
          <w:szCs w:val="24"/>
        </w:rPr>
        <w:t>9年11月8日。</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五、评估方法：市场法。</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w:t>
      </w:r>
      <w:r>
        <w:rPr>
          <w:rFonts w:asciiTheme="minorEastAsia" w:eastAsiaTheme="minorEastAsia" w:hAnsiTheme="minorEastAsia"/>
          <w:szCs w:val="24"/>
        </w:rPr>
        <w:t xml:space="preserve"> 201</w:t>
      </w:r>
      <w:r>
        <w:rPr>
          <w:rFonts w:asciiTheme="minorEastAsia" w:eastAsiaTheme="minorEastAsia" w:hAnsiTheme="minorEastAsia" w:hint="eastAsia"/>
          <w:szCs w:val="24"/>
        </w:rPr>
        <w:t>9年11月8日：确定估价对象运城市黄金水岸小区50号楼3102号、运城市黄金水岸小区22号楼3单元1102B号房屋市场价值为人民币：1553009元（大写:壹佰伍拾伍万叁仟零玖元整），详见《评估明细表》。</w:t>
      </w:r>
    </w:p>
    <w:p w:rsidR="001A36A6" w:rsidRDefault="00A82BA7" w:rsidP="001A36A6">
      <w:pPr>
        <w:pStyle w:val="a0"/>
        <w:snapToGrid w:val="0"/>
        <w:spacing w:line="360" w:lineRule="auto"/>
        <w:ind w:firstLineChars="200" w:firstLine="480"/>
        <w:rPr>
          <w:rFonts w:asciiTheme="minorEastAsia" w:eastAsiaTheme="minorEastAsia" w:hAnsiTheme="minorEastAsia"/>
          <w:b/>
          <w:szCs w:val="24"/>
        </w:rPr>
      </w:pPr>
      <w:r>
        <w:rPr>
          <w:rFonts w:asciiTheme="minorEastAsia" w:eastAsiaTheme="minorEastAsia" w:hAnsiTheme="minorEastAsia" w:hint="eastAsia"/>
          <w:szCs w:val="24"/>
        </w:rPr>
        <w:lastRenderedPageBreak/>
        <w:t>本报告及其结论仅用于本报告设定的评估目的，而不能用于其他目的</w:t>
      </w:r>
      <w:r>
        <w:rPr>
          <w:rFonts w:asciiTheme="minorEastAsia" w:eastAsiaTheme="minorEastAsia" w:hAnsiTheme="minorEastAsia" w:hint="eastAsia"/>
        </w:rPr>
        <w:t>。</w:t>
      </w:r>
    </w:p>
    <w:p w:rsidR="009048C8" w:rsidRPr="001A36A6" w:rsidRDefault="00A82BA7" w:rsidP="001A36A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七、评估结论使用有效期：根据国家的有关规定，本评估报告使用的有效期限为一年，自2020年1月2</w:t>
      </w:r>
      <w:r w:rsidR="005204EC">
        <w:rPr>
          <w:rFonts w:asciiTheme="minorEastAsia" w:eastAsiaTheme="minorEastAsia" w:hAnsiTheme="minorEastAsia" w:hint="eastAsia"/>
        </w:rPr>
        <w:t>0</w:t>
      </w:r>
      <w:r>
        <w:rPr>
          <w:rFonts w:asciiTheme="minorEastAsia" w:eastAsiaTheme="minorEastAsia" w:hAnsiTheme="minorEastAsia" w:hint="eastAsia"/>
        </w:rPr>
        <w:t>日起，至</w:t>
      </w:r>
      <w:r>
        <w:rPr>
          <w:rFonts w:asciiTheme="minorEastAsia" w:eastAsiaTheme="minorEastAsia" w:hAnsiTheme="minorEastAsia"/>
        </w:rPr>
        <w:t>20</w:t>
      </w:r>
      <w:r>
        <w:rPr>
          <w:rFonts w:asciiTheme="minorEastAsia" w:eastAsiaTheme="minorEastAsia" w:hAnsiTheme="minorEastAsia" w:hint="eastAsia"/>
        </w:rPr>
        <w:t>21年1月1</w:t>
      </w:r>
      <w:r w:rsidR="005204EC">
        <w:rPr>
          <w:rFonts w:asciiTheme="minorEastAsia" w:eastAsiaTheme="minorEastAsia" w:hAnsiTheme="minorEastAsia" w:hint="eastAsia"/>
        </w:rPr>
        <w:t>9</w:t>
      </w:r>
      <w:r>
        <w:rPr>
          <w:rFonts w:asciiTheme="minorEastAsia" w:eastAsiaTheme="minorEastAsia" w:hAnsiTheme="minorEastAsia" w:hint="eastAsia"/>
        </w:rPr>
        <w:t>日止。</w:t>
      </w:r>
    </w:p>
    <w:p w:rsidR="009048C8" w:rsidRDefault="00A82BA7">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9048C8" w:rsidRDefault="00A82BA7">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提供了房屋所有权证存根复印件，但是对委托评估资产的产权鉴定工作超出了评估工作的范围。我们不对委托评估资产的权属发表意见，同时不对其真实性承担任何责任。</w:t>
      </w:r>
    </w:p>
    <w:p w:rsidR="009048C8" w:rsidRDefault="00A82BA7">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本次评估无评估程序受到限制的情况。</w:t>
      </w:r>
    </w:p>
    <w:p w:rsidR="009048C8" w:rsidRDefault="00A82BA7">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9048C8" w:rsidRDefault="00A82BA7">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9048C8" w:rsidRDefault="00A82BA7">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委托人未提供评估标的竣工日期相关资料，评估人员通过询问小区物业，本次评估假设评估标的2010年建成。</w:t>
      </w:r>
    </w:p>
    <w:p w:rsidR="009048C8" w:rsidRDefault="00A82BA7">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lastRenderedPageBreak/>
        <w:t>本次评估</w:t>
      </w:r>
      <w:r>
        <w:rPr>
          <w:rFonts w:asciiTheme="minorEastAsia" w:eastAsiaTheme="minorEastAsia" w:hAnsiTheme="minorEastAsia" w:hint="eastAsia"/>
          <w:color w:val="000000" w:themeColor="text1"/>
          <w:szCs w:val="24"/>
        </w:rPr>
        <w:t>价值为房地产的价值，未考虑产权转让发生的费用等。</w:t>
      </w:r>
    </w:p>
    <w:p w:rsidR="009048C8" w:rsidRDefault="00A82BA7">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9048C8" w:rsidRDefault="00A82BA7">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9048C8" w:rsidRDefault="00A82BA7">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九、评估报告资产评估报告日：</w:t>
      </w:r>
      <w:r>
        <w:rPr>
          <w:rFonts w:asciiTheme="minorEastAsia" w:eastAsiaTheme="minorEastAsia" w:hAnsiTheme="minorEastAsia"/>
          <w:color w:val="000000" w:themeColor="text1"/>
          <w:szCs w:val="24"/>
        </w:rPr>
        <w:t>20</w:t>
      </w:r>
      <w:r>
        <w:rPr>
          <w:rFonts w:asciiTheme="minorEastAsia" w:eastAsiaTheme="minorEastAsia" w:hAnsiTheme="minorEastAsia" w:hint="eastAsia"/>
          <w:color w:val="000000" w:themeColor="text1"/>
          <w:szCs w:val="24"/>
        </w:rPr>
        <w:t>20年1月2</w:t>
      </w:r>
      <w:r w:rsidR="005204EC">
        <w:rPr>
          <w:rFonts w:asciiTheme="minorEastAsia" w:eastAsiaTheme="minorEastAsia" w:hAnsiTheme="minorEastAsia" w:hint="eastAsia"/>
          <w:color w:val="000000" w:themeColor="text1"/>
          <w:szCs w:val="24"/>
        </w:rPr>
        <w:t>0</w:t>
      </w:r>
      <w:r>
        <w:rPr>
          <w:rFonts w:asciiTheme="minorEastAsia" w:eastAsiaTheme="minorEastAsia" w:hAnsiTheme="minorEastAsia" w:hint="eastAsia"/>
          <w:color w:val="000000" w:themeColor="text1"/>
          <w:szCs w:val="24"/>
        </w:rPr>
        <w:t>日。</w:t>
      </w:r>
    </w:p>
    <w:p w:rsidR="009048C8" w:rsidRDefault="009048C8">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9048C8" w:rsidRDefault="00A82BA7">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9048C8" w:rsidRDefault="00A82BA7">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733AC6" w:rsidRPr="00A82BA7" w:rsidRDefault="00733AC6" w:rsidP="00733AC6">
      <w:pPr>
        <w:pStyle w:val="ae"/>
        <w:spacing w:before="0" w:beforeAutospacing="0" w:after="0" w:afterAutospacing="0" w:line="276" w:lineRule="auto"/>
        <w:jc w:val="center"/>
        <w:rPr>
          <w:rStyle w:val="1Char"/>
          <w:rFonts w:ascii="Arial" w:eastAsia="宋体" w:hAnsi="Arial" w:cs="Times New Roman" w:hint="default"/>
          <w:szCs w:val="20"/>
        </w:rPr>
      </w:pPr>
      <w:bookmarkStart w:id="4" w:name="_Toc8546"/>
      <w:r w:rsidRPr="00A82BA7">
        <w:rPr>
          <w:rStyle w:val="1Char"/>
          <w:rFonts w:ascii="Arial" w:eastAsia="宋体" w:hAnsi="Arial" w:cs="Times New Roman"/>
          <w:szCs w:val="20"/>
        </w:rPr>
        <w:lastRenderedPageBreak/>
        <w:t>山西省运城市中级人民法院拟核实</w:t>
      </w:r>
    </w:p>
    <w:p w:rsidR="00733AC6" w:rsidRDefault="00733AC6" w:rsidP="00733AC6">
      <w:pPr>
        <w:pStyle w:val="ae"/>
        <w:spacing w:before="0" w:beforeAutospacing="0" w:after="0" w:afterAutospacing="0" w:line="276" w:lineRule="auto"/>
        <w:jc w:val="center"/>
        <w:rPr>
          <w:rStyle w:val="1Char"/>
          <w:rFonts w:ascii="Arial" w:eastAsia="宋体" w:hAnsi="Arial" w:cs="Times New Roman" w:hint="default"/>
          <w:szCs w:val="20"/>
        </w:rPr>
      </w:pPr>
      <w:r w:rsidRPr="00A82BA7">
        <w:rPr>
          <w:rStyle w:val="1Char"/>
          <w:rFonts w:asciiTheme="minorEastAsia" w:eastAsiaTheme="minorEastAsia" w:hAnsiTheme="minorEastAsia" w:cs="Times New Roman"/>
          <w:szCs w:val="20"/>
        </w:rPr>
        <w:t>侯金发、侯金亮、</w:t>
      </w:r>
      <w:proofErr w:type="gramStart"/>
      <w:r w:rsidRPr="00A82BA7">
        <w:rPr>
          <w:rStyle w:val="1Char"/>
          <w:rFonts w:asciiTheme="minorEastAsia" w:eastAsiaTheme="minorEastAsia" w:hAnsiTheme="minorEastAsia" w:cs="Times New Roman"/>
          <w:szCs w:val="20"/>
        </w:rPr>
        <w:t>候金海</w:t>
      </w:r>
      <w:proofErr w:type="gramEnd"/>
      <w:r w:rsidRPr="00A82BA7">
        <w:rPr>
          <w:rStyle w:val="1Char"/>
          <w:rFonts w:asciiTheme="minorEastAsia" w:eastAsiaTheme="minorEastAsia" w:hAnsiTheme="minorEastAsia" w:cs="Times New Roman"/>
          <w:szCs w:val="20"/>
        </w:rPr>
        <w:t>、景春凯、王红贵、张保民、景益民案件财产</w:t>
      </w:r>
      <w:proofErr w:type="gramStart"/>
      <w:r w:rsidRPr="00A82BA7">
        <w:rPr>
          <w:rStyle w:val="1Char"/>
          <w:rFonts w:asciiTheme="minorEastAsia" w:eastAsiaTheme="minorEastAsia" w:hAnsiTheme="minorEastAsia" w:cs="Times New Roman"/>
          <w:szCs w:val="20"/>
        </w:rPr>
        <w:t>刑</w:t>
      </w:r>
      <w:proofErr w:type="gramEnd"/>
      <w:r w:rsidRPr="00A82BA7">
        <w:rPr>
          <w:rStyle w:val="1Char"/>
          <w:rFonts w:asciiTheme="minorEastAsia" w:eastAsiaTheme="minorEastAsia" w:hAnsiTheme="minorEastAsia" w:cs="Times New Roman"/>
          <w:szCs w:val="20"/>
        </w:rPr>
        <w:t>一案所涉及的房产</w:t>
      </w:r>
      <w:r>
        <w:rPr>
          <w:rStyle w:val="1Char"/>
          <w:rFonts w:asciiTheme="minorEastAsia" w:eastAsiaTheme="minorEastAsia" w:hAnsiTheme="minorEastAsia" w:cs="Times New Roman"/>
          <w:szCs w:val="20"/>
        </w:rPr>
        <w:t>价值</w:t>
      </w:r>
      <w:r w:rsidRPr="00A82BA7">
        <w:rPr>
          <w:rStyle w:val="1Char"/>
          <w:rFonts w:asciiTheme="minorEastAsia" w:eastAsiaTheme="minorEastAsia" w:hAnsiTheme="minorEastAsia" w:cs="Times New Roman"/>
          <w:szCs w:val="20"/>
        </w:rPr>
        <w:t>项目</w:t>
      </w:r>
      <w:r w:rsidR="001A36A6" w:rsidRPr="001A36A6">
        <w:rPr>
          <w:rStyle w:val="1Char"/>
          <w:rFonts w:asciiTheme="minorEastAsia" w:eastAsiaTheme="minorEastAsia" w:hAnsiTheme="minorEastAsia" w:cs="Times New Roman"/>
          <w:szCs w:val="20"/>
        </w:rPr>
        <w:t>（运城市黄金水岸小区50号楼3102号、运城市黄金水岸小区22号楼3单元1102B号）</w:t>
      </w:r>
    </w:p>
    <w:p w:rsidR="009048C8" w:rsidRPr="00733AC6" w:rsidRDefault="00A82BA7" w:rsidP="00733AC6">
      <w:pPr>
        <w:pStyle w:val="ae"/>
        <w:spacing w:before="0" w:beforeAutospacing="0" w:after="0" w:afterAutospacing="0" w:line="276" w:lineRule="auto"/>
        <w:jc w:val="center"/>
        <w:rPr>
          <w:rFonts w:ascii="Arial" w:hAnsi="Arial" w:cs="Times New Roman" w:hint="default"/>
          <w:b/>
          <w:kern w:val="44"/>
          <w:sz w:val="36"/>
          <w:szCs w:val="20"/>
        </w:rPr>
      </w:pPr>
      <w:r>
        <w:rPr>
          <w:rStyle w:val="1Char"/>
          <w:rFonts w:ascii="Arial" w:eastAsia="宋体" w:hAnsi="Arial" w:cs="Times New Roman"/>
          <w:szCs w:val="20"/>
        </w:rPr>
        <w:t>资产</w:t>
      </w:r>
      <w:r>
        <w:rPr>
          <w:rStyle w:val="1Char"/>
          <w:rFonts w:ascii="Times New Roman" w:eastAsia="宋体" w:hAnsi="Times New Roman"/>
          <w:szCs w:val="36"/>
        </w:rPr>
        <w:t>评估</w:t>
      </w:r>
      <w:bookmarkEnd w:id="4"/>
      <w:r>
        <w:rPr>
          <w:rStyle w:val="1Char"/>
          <w:rFonts w:ascii="Times New Roman" w:eastAsia="宋体" w:hAnsi="Times New Roman"/>
          <w:szCs w:val="36"/>
        </w:rPr>
        <w:t>报告</w:t>
      </w:r>
    </w:p>
    <w:p w:rsidR="009048C8" w:rsidRDefault="00A82BA7">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字（2020）第</w:t>
      </w:r>
      <w:r w:rsidR="00733AC6">
        <w:rPr>
          <w:rFonts w:asciiTheme="minorEastAsia" w:eastAsiaTheme="minorEastAsia" w:hAnsiTheme="minorEastAsia" w:hint="eastAsia"/>
        </w:rPr>
        <w:t>037</w:t>
      </w:r>
      <w:r>
        <w:rPr>
          <w:rFonts w:asciiTheme="minorEastAsia" w:eastAsiaTheme="minorEastAsia" w:hAnsiTheme="minorEastAsia" w:hint="eastAsia"/>
        </w:rPr>
        <w:t>号</w:t>
      </w:r>
    </w:p>
    <w:p w:rsidR="009048C8" w:rsidRDefault="00A82BA7">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w:t>
      </w:r>
      <w:r w:rsidR="00733AC6">
        <w:rPr>
          <w:rFonts w:asciiTheme="minorEastAsia" w:eastAsiaTheme="minorEastAsia" w:hAnsiTheme="minorEastAsia" w:hint="eastAsia"/>
          <w:szCs w:val="24"/>
        </w:rPr>
        <w:t>院</w:t>
      </w:r>
      <w:r>
        <w:rPr>
          <w:rFonts w:asciiTheme="minorEastAsia" w:eastAsiaTheme="minorEastAsia" w:hAnsiTheme="minorEastAsia" w:hint="eastAsia"/>
          <w:szCs w:val="24"/>
        </w:rPr>
        <w:t>的委托，按照有关法律、行政法规和资产评估准则的规定，坚持独立、客观和公正的原则，采用市场法，按照必要的评估程序，对侯金发、侯金亮、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一案所涉及的运城市黄金水岸小区50号楼3102号、运城市黄金水岸小区22号楼3单元1102B号房屋在2019年11月8日的市场价值进行了评估。现将资产评估情况报告如下。</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5" w:name="_Toc5884"/>
      <w:bookmarkStart w:id="6" w:name="_Toc490978137"/>
      <w:bookmarkStart w:id="7" w:name="_Toc403664411"/>
      <w:r>
        <w:rPr>
          <w:rFonts w:asciiTheme="minorEastAsia" w:eastAsiaTheme="minorEastAsia" w:hAnsiTheme="minorEastAsia" w:hint="eastAsia"/>
          <w:sz w:val="28"/>
          <w:szCs w:val="28"/>
        </w:rPr>
        <w:t>一、资产评估报告委托人</w:t>
      </w:r>
      <w:bookmarkEnd w:id="5"/>
    </w:p>
    <w:p w:rsidR="009048C8" w:rsidRDefault="00A82BA7">
      <w:pPr>
        <w:pStyle w:val="a0"/>
        <w:snapToGrid w:val="0"/>
        <w:spacing w:line="360" w:lineRule="auto"/>
        <w:ind w:firstLineChars="200" w:firstLine="480"/>
        <w:rPr>
          <w:rFonts w:asciiTheme="minorEastAsia" w:eastAsiaTheme="minorEastAsia" w:hAnsiTheme="minorEastAsia"/>
          <w:szCs w:val="24"/>
        </w:rPr>
      </w:pPr>
      <w:bookmarkStart w:id="8" w:name="_Toc492260129"/>
      <w:r>
        <w:rPr>
          <w:rFonts w:asciiTheme="minorEastAsia" w:eastAsiaTheme="minorEastAsia" w:hAnsiTheme="minorEastAsia" w:hint="eastAsia"/>
          <w:szCs w:val="24"/>
        </w:rPr>
        <w:t>山西省运城市中级人民法院</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9" w:name="_Toc30736"/>
      <w:r>
        <w:rPr>
          <w:rFonts w:asciiTheme="minorEastAsia" w:eastAsiaTheme="minorEastAsia" w:hAnsiTheme="minorEastAsia" w:hint="eastAsia"/>
          <w:sz w:val="28"/>
          <w:szCs w:val="28"/>
        </w:rPr>
        <w:t>二、评估目的</w:t>
      </w:r>
      <w:bookmarkEnd w:id="8"/>
      <w:bookmarkEnd w:id="9"/>
    </w:p>
    <w:p w:rsidR="009048C8" w:rsidRDefault="00A82BA7">
      <w:pPr>
        <w:pStyle w:val="a0"/>
        <w:snapToGrid w:val="0"/>
        <w:spacing w:line="360" w:lineRule="auto"/>
        <w:ind w:firstLineChars="200" w:firstLine="480"/>
        <w:rPr>
          <w:rFonts w:asciiTheme="minorEastAsia" w:eastAsiaTheme="minorEastAsia" w:hAnsiTheme="minorEastAsia"/>
          <w:szCs w:val="24"/>
        </w:rPr>
      </w:pPr>
      <w:bookmarkStart w:id="10"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1" w:name="_Toc15321"/>
      <w:r>
        <w:rPr>
          <w:rFonts w:asciiTheme="minorEastAsia" w:eastAsiaTheme="minorEastAsia" w:hAnsiTheme="minorEastAsia" w:hint="eastAsia"/>
          <w:sz w:val="28"/>
          <w:szCs w:val="28"/>
        </w:rPr>
        <w:t>三、评估对象和评估范围</w:t>
      </w:r>
      <w:bookmarkEnd w:id="10"/>
      <w:bookmarkEnd w:id="11"/>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1、权益状况</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根据委托方提供的字第DX2015374号房屋所有权证存根复印件，房屋坐落于运城经济开发区黄金水岸小区50号楼3102号、房屋所有权人为景煜淇，房屋性质为私有。</w:t>
      </w:r>
      <w:r>
        <w:rPr>
          <w:rFonts w:hint="eastAsia"/>
        </w:rPr>
        <w:t>字第</w:t>
      </w:r>
      <w:r>
        <w:rPr>
          <w:rFonts w:hint="eastAsia"/>
        </w:rPr>
        <w:t>DX2012025</w:t>
      </w:r>
      <w:r>
        <w:rPr>
          <w:rFonts w:hint="eastAsia"/>
        </w:rPr>
        <w:t>号房屋所有权证存根复印件，房屋坐落于</w:t>
      </w:r>
      <w:r>
        <w:rPr>
          <w:rFonts w:asciiTheme="minorEastAsia" w:eastAsiaTheme="minorEastAsia" w:hAnsiTheme="minorEastAsia" w:hint="eastAsia"/>
          <w:szCs w:val="24"/>
        </w:rPr>
        <w:t>运城市黄金水岸小区22号楼3单元1102B号，</w:t>
      </w:r>
      <w:r>
        <w:rPr>
          <w:rFonts w:hint="eastAsia"/>
        </w:rPr>
        <w:t>房屋所有权人为景强，房屋性质为私有。</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2、实体状况</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估价对象坐落于运城经济开发区黄金水岸小区50号楼3102号，建筑物地上7</w:t>
      </w:r>
      <w:r>
        <w:rPr>
          <w:rFonts w:asciiTheme="minorEastAsia" w:eastAsiaTheme="minorEastAsia" w:hAnsiTheme="minorEastAsia" w:hint="eastAsia"/>
          <w:szCs w:val="24"/>
        </w:rPr>
        <w:lastRenderedPageBreak/>
        <w:t>层，建筑结构为砖混，2010年建成，建筑外立面防水涂料，</w:t>
      </w:r>
      <w:proofErr w:type="gramStart"/>
      <w:r>
        <w:rPr>
          <w:rFonts w:asciiTheme="minorEastAsia" w:eastAsiaTheme="minorEastAsia" w:hAnsiTheme="minorEastAsia" w:hint="eastAsia"/>
          <w:szCs w:val="24"/>
        </w:rPr>
        <w:t>电梯间贴地砖</w:t>
      </w:r>
      <w:proofErr w:type="gramEnd"/>
      <w:r>
        <w:rPr>
          <w:rFonts w:asciiTheme="minorEastAsia" w:eastAsiaTheme="minorEastAsia" w:hAnsiTheme="minorEastAsia" w:hint="eastAsia"/>
          <w:szCs w:val="24"/>
        </w:rPr>
        <w:t>，墙面、天棚仿瓷。</w:t>
      </w:r>
    </w:p>
    <w:p w:rsidR="009048C8" w:rsidRDefault="00A82BA7">
      <w:pPr>
        <w:pStyle w:val="31"/>
        <w:spacing w:line="520" w:lineRule="exact"/>
        <w:ind w:firstLineChars="200" w:firstLine="480"/>
        <w:rPr>
          <w:rFonts w:ascii="Times New Roman"/>
          <w:szCs w:val="22"/>
        </w:rPr>
      </w:pPr>
      <w:r>
        <w:rPr>
          <w:rFonts w:asciiTheme="minorEastAsia" w:eastAsiaTheme="minorEastAsia" w:hAnsiTheme="minorEastAsia" w:hint="eastAsia"/>
          <w:szCs w:val="24"/>
        </w:rPr>
        <w:t>室内空间布局为两室两厅</w:t>
      </w:r>
      <w:proofErr w:type="gramStart"/>
      <w:r>
        <w:rPr>
          <w:rFonts w:asciiTheme="minorEastAsia" w:eastAsiaTheme="minorEastAsia" w:hAnsiTheme="minorEastAsia" w:hint="eastAsia"/>
          <w:szCs w:val="24"/>
        </w:rPr>
        <w:t>一</w:t>
      </w:r>
      <w:proofErr w:type="gramEnd"/>
      <w:r>
        <w:rPr>
          <w:rFonts w:asciiTheme="minorEastAsia" w:eastAsiaTheme="minorEastAsia" w:hAnsiTheme="minorEastAsia" w:hint="eastAsia"/>
          <w:szCs w:val="24"/>
        </w:rPr>
        <w:t>厨</w:t>
      </w:r>
      <w:proofErr w:type="gramStart"/>
      <w:r>
        <w:rPr>
          <w:rFonts w:asciiTheme="minorEastAsia" w:eastAsiaTheme="minorEastAsia" w:hAnsiTheme="minorEastAsia" w:hint="eastAsia"/>
          <w:szCs w:val="24"/>
        </w:rPr>
        <w:t>一</w:t>
      </w:r>
      <w:proofErr w:type="gramEnd"/>
      <w:r>
        <w:rPr>
          <w:rFonts w:asciiTheme="minorEastAsia" w:eastAsiaTheme="minorEastAsia" w:hAnsiTheme="minorEastAsia" w:hint="eastAsia"/>
          <w:szCs w:val="24"/>
        </w:rPr>
        <w:t>卫，卧室地面瓷砖，墙面壁纸，顶面仿瓷；</w:t>
      </w:r>
      <w:r>
        <w:rPr>
          <w:rFonts w:ascii="Times New Roman" w:hint="eastAsia"/>
          <w:szCs w:val="22"/>
        </w:rPr>
        <w:t>客、餐厅地面瓷砖，墙面壁纸，顶面仿瓷；卫生间墙面瓷砖，地面瓷砖，顶面吊顶。给排水、电照、燃气、供暖设施齐全，维护情况较好。</w:t>
      </w:r>
    </w:p>
    <w:p w:rsidR="009048C8" w:rsidRDefault="00A82BA7">
      <w:pPr>
        <w:pStyle w:val="31"/>
        <w:spacing w:line="520" w:lineRule="exact"/>
        <w:ind w:firstLineChars="200" w:firstLine="480"/>
        <w:rPr>
          <w:rFonts w:ascii="Times New Roman"/>
        </w:rPr>
      </w:pPr>
      <w:r>
        <w:rPr>
          <w:rFonts w:ascii="Times New Roman" w:hint="eastAsia"/>
          <w:szCs w:val="22"/>
        </w:rPr>
        <w:t>估价对象坐落于运城经济开发区黄金水岸小区</w:t>
      </w:r>
      <w:r>
        <w:rPr>
          <w:rFonts w:ascii="Times New Roman" w:hint="eastAsia"/>
          <w:szCs w:val="22"/>
        </w:rPr>
        <w:t>22</w:t>
      </w:r>
      <w:r>
        <w:rPr>
          <w:rFonts w:ascii="Times New Roman" w:hint="eastAsia"/>
          <w:szCs w:val="22"/>
        </w:rPr>
        <w:t>号楼</w:t>
      </w:r>
      <w:r>
        <w:rPr>
          <w:rFonts w:ascii="Times New Roman" w:hint="eastAsia"/>
          <w:szCs w:val="22"/>
        </w:rPr>
        <w:t>3</w:t>
      </w:r>
      <w:r>
        <w:rPr>
          <w:rFonts w:ascii="Times New Roman" w:hint="eastAsia"/>
          <w:szCs w:val="22"/>
        </w:rPr>
        <w:t>单元</w:t>
      </w:r>
      <w:r>
        <w:rPr>
          <w:rFonts w:ascii="Times New Roman" w:hint="eastAsia"/>
          <w:szCs w:val="22"/>
        </w:rPr>
        <w:t>1102B</w:t>
      </w:r>
      <w:r>
        <w:rPr>
          <w:rFonts w:ascii="Times New Roman" w:hint="eastAsia"/>
          <w:szCs w:val="22"/>
        </w:rPr>
        <w:t>室，建筑物地上</w:t>
      </w:r>
      <w:r>
        <w:rPr>
          <w:rFonts w:ascii="Times New Roman" w:hint="eastAsia"/>
          <w:szCs w:val="22"/>
        </w:rPr>
        <w:t>12</w:t>
      </w:r>
      <w:r>
        <w:rPr>
          <w:rFonts w:ascii="Times New Roman" w:hint="eastAsia"/>
          <w:szCs w:val="22"/>
        </w:rPr>
        <w:t>层，建筑结构为框剪结构，</w:t>
      </w:r>
      <w:r>
        <w:rPr>
          <w:rFonts w:ascii="Times New Roman" w:hint="eastAsia"/>
          <w:szCs w:val="22"/>
        </w:rPr>
        <w:t>2010</w:t>
      </w:r>
      <w:r>
        <w:rPr>
          <w:rFonts w:ascii="Times New Roman" w:hint="eastAsia"/>
          <w:szCs w:val="22"/>
        </w:rPr>
        <w:t>年建成，建筑外立面防</w:t>
      </w:r>
      <w:r>
        <w:rPr>
          <w:rFonts w:ascii="Times New Roman" w:hint="eastAsia"/>
        </w:rPr>
        <w:t>水涂料，</w:t>
      </w:r>
      <w:proofErr w:type="gramStart"/>
      <w:r>
        <w:rPr>
          <w:rFonts w:ascii="Times New Roman" w:hint="eastAsia"/>
        </w:rPr>
        <w:t>电梯间贴地砖</w:t>
      </w:r>
      <w:proofErr w:type="gramEnd"/>
      <w:r>
        <w:rPr>
          <w:rFonts w:ascii="Times New Roman" w:hint="eastAsia"/>
        </w:rPr>
        <w:t>，墙面、天棚仿瓷。</w:t>
      </w:r>
    </w:p>
    <w:p w:rsidR="009048C8" w:rsidRDefault="00A82BA7">
      <w:pPr>
        <w:pStyle w:val="31"/>
        <w:spacing w:line="520" w:lineRule="exact"/>
        <w:ind w:firstLineChars="200" w:firstLine="480"/>
        <w:rPr>
          <w:rFonts w:ascii="Times New Roman"/>
          <w:szCs w:val="22"/>
        </w:rPr>
      </w:pPr>
      <w:r>
        <w:rPr>
          <w:rFonts w:ascii="Times New Roman" w:hint="eastAsia"/>
        </w:rPr>
        <w:t>室内空间布局为四室两厅两卫</w:t>
      </w:r>
      <w:proofErr w:type="gramStart"/>
      <w:r>
        <w:rPr>
          <w:rFonts w:ascii="Times New Roman" w:hint="eastAsia"/>
        </w:rPr>
        <w:t>一</w:t>
      </w:r>
      <w:proofErr w:type="gramEnd"/>
      <w:r>
        <w:rPr>
          <w:rFonts w:ascii="Times New Roman" w:hint="eastAsia"/>
        </w:rPr>
        <w:t>厨，正常层高，室内毛坯，</w:t>
      </w:r>
      <w:r>
        <w:rPr>
          <w:rFonts w:asciiTheme="minorEastAsia" w:eastAsiaTheme="minorEastAsia" w:hAnsiTheme="minorEastAsia" w:hint="eastAsia"/>
          <w:szCs w:val="24"/>
        </w:rPr>
        <w:t>给排水、电照、</w:t>
      </w:r>
      <w:r>
        <w:rPr>
          <w:rFonts w:ascii="Times New Roman" w:hint="eastAsia"/>
          <w:szCs w:val="22"/>
        </w:rPr>
        <w:t>燃气、供暖设施齐全，维护情况较好。</w:t>
      </w:r>
    </w:p>
    <w:p w:rsidR="009048C8" w:rsidRDefault="00A82BA7">
      <w:pPr>
        <w:pStyle w:val="31"/>
        <w:spacing w:line="520" w:lineRule="exact"/>
        <w:ind w:firstLineChars="200" w:firstLine="480"/>
        <w:rPr>
          <w:rFonts w:ascii="Times New Roman"/>
          <w:szCs w:val="22"/>
        </w:rPr>
      </w:pPr>
      <w:r>
        <w:rPr>
          <w:rFonts w:ascii="Times New Roman" w:hint="eastAsia"/>
          <w:szCs w:val="22"/>
        </w:rPr>
        <w:t>3</w:t>
      </w:r>
      <w:r>
        <w:rPr>
          <w:rFonts w:ascii="Times New Roman" w:hint="eastAsia"/>
          <w:szCs w:val="22"/>
        </w:rPr>
        <w:t>、区位状况</w:t>
      </w:r>
    </w:p>
    <w:p w:rsidR="009048C8" w:rsidRDefault="00A82BA7">
      <w:pPr>
        <w:pStyle w:val="31"/>
        <w:spacing w:line="520" w:lineRule="exact"/>
        <w:ind w:firstLineChars="200" w:firstLine="480"/>
        <w:rPr>
          <w:rFonts w:ascii="Times New Roman"/>
          <w:szCs w:val="22"/>
        </w:rPr>
      </w:pPr>
      <w:r>
        <w:rPr>
          <w:rFonts w:ascii="Times New Roman" w:hint="eastAsia"/>
          <w:szCs w:val="22"/>
        </w:rPr>
        <w:t>估价对象位于运城经济开发区库东路西侧，周边有</w:t>
      </w:r>
      <w:r w:rsidR="00FE48DD">
        <w:rPr>
          <w:rFonts w:ascii="Times New Roman" w:hint="eastAsia"/>
          <w:szCs w:val="22"/>
        </w:rPr>
        <w:t>浦发银行、华夏银行、</w:t>
      </w:r>
      <w:r>
        <w:rPr>
          <w:rFonts w:ascii="Times New Roman" w:hint="eastAsia"/>
          <w:szCs w:val="22"/>
        </w:rPr>
        <w:t>建设银行、交通银行、</w:t>
      </w:r>
      <w:r w:rsidR="00FE48DD">
        <w:rPr>
          <w:rFonts w:ascii="Times New Roman" w:hint="eastAsia"/>
          <w:szCs w:val="22"/>
        </w:rPr>
        <w:t>万家乐购物广场、生鲜超市、大市北小学、浦东小学、</w:t>
      </w:r>
      <w:r>
        <w:rPr>
          <w:rFonts w:ascii="Times New Roman" w:hint="eastAsia"/>
          <w:szCs w:val="22"/>
        </w:rPr>
        <w:t>运城职业技术学院、</w:t>
      </w:r>
      <w:r w:rsidR="00FE48DD">
        <w:rPr>
          <w:rFonts w:ascii="Times New Roman" w:hint="eastAsia"/>
          <w:szCs w:val="22"/>
        </w:rPr>
        <w:t>尚东商务酒店、</w:t>
      </w:r>
      <w:r>
        <w:rPr>
          <w:rFonts w:ascii="Times New Roman" w:hint="eastAsia"/>
          <w:szCs w:val="22"/>
        </w:rPr>
        <w:t>樊村水库等生活配套设施齐全。附近有</w:t>
      </w:r>
      <w:r w:rsidR="00CA3B24">
        <w:rPr>
          <w:rFonts w:ascii="Times New Roman" w:hint="eastAsia"/>
          <w:szCs w:val="22"/>
        </w:rPr>
        <w:t>9</w:t>
      </w:r>
      <w:r>
        <w:rPr>
          <w:rFonts w:ascii="Times New Roman" w:hint="eastAsia"/>
          <w:szCs w:val="22"/>
        </w:rPr>
        <w:t>路、</w:t>
      </w:r>
      <w:r w:rsidR="00192180">
        <w:rPr>
          <w:rFonts w:ascii="Times New Roman" w:hint="eastAsia"/>
          <w:szCs w:val="22"/>
        </w:rPr>
        <w:t>13</w:t>
      </w:r>
      <w:r>
        <w:rPr>
          <w:rFonts w:ascii="Times New Roman" w:hint="eastAsia"/>
          <w:szCs w:val="22"/>
        </w:rPr>
        <w:t>路</w:t>
      </w:r>
      <w:r w:rsidR="005D543B">
        <w:rPr>
          <w:rFonts w:ascii="Times New Roman" w:hint="eastAsia"/>
          <w:szCs w:val="22"/>
        </w:rPr>
        <w:t>、</w:t>
      </w:r>
      <w:r w:rsidR="00192180">
        <w:rPr>
          <w:rFonts w:ascii="Times New Roman" w:hint="eastAsia"/>
          <w:szCs w:val="22"/>
        </w:rPr>
        <w:t>15</w:t>
      </w:r>
      <w:r w:rsidR="00192180">
        <w:rPr>
          <w:rFonts w:ascii="Times New Roman" w:hint="eastAsia"/>
          <w:szCs w:val="22"/>
        </w:rPr>
        <w:t>路、</w:t>
      </w:r>
      <w:r w:rsidR="00192180">
        <w:rPr>
          <w:rFonts w:ascii="Times New Roman" w:hint="eastAsia"/>
          <w:szCs w:val="22"/>
        </w:rPr>
        <w:t>25</w:t>
      </w:r>
      <w:r w:rsidR="00192180">
        <w:rPr>
          <w:rFonts w:ascii="Times New Roman" w:hint="eastAsia"/>
          <w:szCs w:val="22"/>
        </w:rPr>
        <w:t>路</w:t>
      </w:r>
      <w:r>
        <w:rPr>
          <w:rFonts w:ascii="Times New Roman" w:hint="eastAsia"/>
          <w:szCs w:val="22"/>
        </w:rPr>
        <w:t>等多条公交线路，交通便利</w:t>
      </w:r>
      <w:bookmarkStart w:id="12" w:name="_Toc30045"/>
      <w:bookmarkStart w:id="13" w:name="_Toc153011971"/>
      <w:r>
        <w:rPr>
          <w:rFonts w:ascii="Times New Roman" w:hint="eastAsia"/>
          <w:szCs w:val="22"/>
        </w:rPr>
        <w:t>。</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sz w:val="28"/>
          <w:szCs w:val="28"/>
        </w:rPr>
        <w:t>四、价值类型</w:t>
      </w:r>
      <w:bookmarkEnd w:id="12"/>
      <w:bookmarkEnd w:id="13"/>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4" w:name="_Toc19559"/>
      <w:r>
        <w:rPr>
          <w:rFonts w:asciiTheme="minorEastAsia" w:eastAsiaTheme="minorEastAsia" w:hAnsiTheme="minorEastAsia" w:hint="eastAsia"/>
          <w:sz w:val="28"/>
          <w:szCs w:val="28"/>
        </w:rPr>
        <w:t>五、评估基准日</w:t>
      </w:r>
      <w:bookmarkEnd w:id="6"/>
      <w:bookmarkEnd w:id="14"/>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w:t>
      </w:r>
      <w:r>
        <w:rPr>
          <w:rFonts w:asciiTheme="minorEastAsia" w:eastAsiaTheme="minorEastAsia" w:hAnsiTheme="minorEastAsia"/>
          <w:szCs w:val="24"/>
        </w:rPr>
        <w:t>201</w:t>
      </w:r>
      <w:r>
        <w:rPr>
          <w:rFonts w:asciiTheme="minorEastAsia" w:eastAsiaTheme="minorEastAsia" w:hAnsiTheme="minorEastAsia" w:hint="eastAsia"/>
          <w:szCs w:val="24"/>
        </w:rPr>
        <w:t>9年11月8日。</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5" w:name="_Toc17918"/>
      <w:bookmarkStart w:id="16" w:name="_Toc448559713"/>
      <w:bookmarkEnd w:id="7"/>
      <w:r>
        <w:rPr>
          <w:rFonts w:asciiTheme="minorEastAsia" w:eastAsiaTheme="minorEastAsia" w:hAnsiTheme="minorEastAsia" w:hint="eastAsia"/>
          <w:sz w:val="28"/>
          <w:szCs w:val="28"/>
        </w:rPr>
        <w:t>六、评估依据</w:t>
      </w:r>
      <w:bookmarkEnd w:id="15"/>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6"/>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lastRenderedPageBreak/>
        <w:t>（一）经济行为依据</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7" w:name="_Toc213846101"/>
      <w:bookmarkStart w:id="18" w:name="_Toc113244878"/>
      <w:bookmarkStart w:id="19" w:name="_Toc143578291"/>
      <w:bookmarkStart w:id="20" w:name="_Toc80893259"/>
      <w:bookmarkStart w:id="21" w:name="_Toc113332682"/>
      <w:r>
        <w:rPr>
          <w:rFonts w:asciiTheme="minorEastAsia" w:eastAsiaTheme="minorEastAsia" w:hAnsiTheme="minorEastAsia" w:hint="eastAsia"/>
          <w:b/>
          <w:szCs w:val="24"/>
        </w:rPr>
        <w:t>法律法规依据</w:t>
      </w:r>
      <w:bookmarkEnd w:id="17"/>
      <w:bookmarkEnd w:id="18"/>
      <w:bookmarkEnd w:id="19"/>
      <w:bookmarkEnd w:id="20"/>
      <w:bookmarkEnd w:id="21"/>
    </w:p>
    <w:p w:rsidR="009048C8" w:rsidRDefault="00A82BA7">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9048C8" w:rsidRDefault="00A82BA7">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9048C8" w:rsidRDefault="00A82BA7">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9048C8" w:rsidRDefault="00A82BA7">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9048C8" w:rsidRDefault="00A82BA7">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2" w:name="_Toc213846102"/>
      <w:r>
        <w:rPr>
          <w:rFonts w:asciiTheme="minorEastAsia" w:eastAsiaTheme="minorEastAsia" w:hAnsiTheme="minorEastAsia" w:hint="eastAsia"/>
          <w:b/>
          <w:szCs w:val="24"/>
        </w:rPr>
        <w:t>评估准则依据</w:t>
      </w:r>
      <w:bookmarkEnd w:id="22"/>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《不动产登记暂行条例》（中华人民共和国国务院令第656号，自2015年3月1日起施行；</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9048C8" w:rsidRDefault="00A82BA7">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9048C8" w:rsidRDefault="00A82BA7">
      <w:pPr>
        <w:pStyle w:val="a0"/>
        <w:tabs>
          <w:tab w:val="left" w:pos="851"/>
        </w:tabs>
        <w:snapToGrid w:val="0"/>
        <w:spacing w:line="360" w:lineRule="auto"/>
        <w:ind w:leftChars="200" w:left="480" w:firstLineChars="100" w:firstLine="240"/>
      </w:pPr>
      <w:bookmarkStart w:id="23" w:name="_Toc522509760"/>
      <w:bookmarkStart w:id="24" w:name="_Toc495555895"/>
      <w:bookmarkStart w:id="25" w:name="_Toc502117271"/>
      <w:bookmarkStart w:id="26" w:name="_Toc403664410"/>
      <w:r>
        <w:rPr>
          <w:rFonts w:hint="eastAsia"/>
        </w:rPr>
        <w:t>房屋所有权证存根复印件。</w:t>
      </w:r>
    </w:p>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9048C8" w:rsidRDefault="00A82BA7">
      <w:pPr>
        <w:pStyle w:val="a0"/>
        <w:numPr>
          <w:ilvl w:val="0"/>
          <w:numId w:val="5"/>
        </w:numPr>
        <w:tabs>
          <w:tab w:val="left" w:pos="851"/>
        </w:tabs>
        <w:snapToGrid w:val="0"/>
        <w:spacing w:line="360" w:lineRule="auto"/>
        <w:ind w:left="0" w:firstLineChars="200" w:firstLine="48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9048C8" w:rsidRDefault="00A82BA7">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9048C8" w:rsidRDefault="00A82BA7">
      <w:pPr>
        <w:pStyle w:val="a0"/>
        <w:numPr>
          <w:ilvl w:val="0"/>
          <w:numId w:val="6"/>
        </w:numPr>
        <w:tabs>
          <w:tab w:val="left" w:pos="851"/>
        </w:tabs>
        <w:snapToGrid w:val="0"/>
        <w:spacing w:line="360" w:lineRule="auto"/>
        <w:ind w:left="0" w:firstLineChars="200" w:firstLine="480"/>
        <w:rPr>
          <w:szCs w:val="28"/>
        </w:rPr>
      </w:pPr>
      <w:r>
        <w:rPr>
          <w:rFonts w:hint="eastAsia"/>
          <w:szCs w:val="28"/>
        </w:rPr>
        <w:t>委托人提供的资产评估明细表；</w:t>
      </w:r>
    </w:p>
    <w:p w:rsidR="009048C8" w:rsidRDefault="00A82BA7">
      <w:pPr>
        <w:pStyle w:val="a0"/>
        <w:numPr>
          <w:ilvl w:val="0"/>
          <w:numId w:val="6"/>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9048C8" w:rsidRDefault="00A82BA7">
      <w:pPr>
        <w:pStyle w:val="a0"/>
        <w:numPr>
          <w:ilvl w:val="0"/>
          <w:numId w:val="6"/>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9048C8" w:rsidRDefault="00A82BA7">
      <w:pPr>
        <w:pStyle w:val="a0"/>
        <w:numPr>
          <w:ilvl w:val="0"/>
          <w:numId w:val="6"/>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7" w:name="_Toc200"/>
      <w:bookmarkEnd w:id="23"/>
      <w:bookmarkEnd w:id="24"/>
      <w:bookmarkEnd w:id="25"/>
      <w:r>
        <w:rPr>
          <w:rFonts w:asciiTheme="minorEastAsia" w:eastAsiaTheme="minorEastAsia" w:hAnsiTheme="minorEastAsia" w:hint="eastAsia"/>
          <w:sz w:val="28"/>
          <w:szCs w:val="28"/>
        </w:rPr>
        <w:t>七、评估方法</w:t>
      </w:r>
      <w:bookmarkEnd w:id="27"/>
    </w:p>
    <w:p w:rsidR="009048C8" w:rsidRDefault="00A82BA7">
      <w:pPr>
        <w:pStyle w:val="a6"/>
        <w:spacing w:line="360" w:lineRule="auto"/>
        <w:ind w:firstLineChars="200" w:firstLine="480"/>
        <w:rPr>
          <w:color w:val="000000" w:themeColor="text1"/>
          <w:szCs w:val="24"/>
        </w:rPr>
      </w:pPr>
      <w:r>
        <w:rPr>
          <w:rFonts w:hint="eastAsia"/>
          <w:color w:val="000000" w:themeColor="text1"/>
          <w:szCs w:val="24"/>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w:t>
      </w:r>
      <w:r w:rsidR="00D73C28">
        <w:rPr>
          <w:rFonts w:hint="eastAsia"/>
          <w:color w:val="000000" w:themeColor="text1"/>
          <w:szCs w:val="24"/>
        </w:rPr>
        <w:t>市场</w:t>
      </w:r>
      <w:r>
        <w:rPr>
          <w:rFonts w:hint="eastAsia"/>
          <w:color w:val="000000" w:themeColor="text1"/>
          <w:szCs w:val="24"/>
        </w:rPr>
        <w:t>法、收益法三种评估方法的适用性进行了分析判断，最后根据委托方本次评估的目的和资产状况，确定本项目采用市场法进行评估</w:t>
      </w:r>
      <w:bookmarkStart w:id="28" w:name="_Toc11943"/>
      <w:bookmarkStart w:id="29" w:name="_Toc403664414"/>
      <w:bookmarkEnd w:id="26"/>
      <w:r>
        <w:rPr>
          <w:rFonts w:hint="eastAsia"/>
          <w:color w:val="000000" w:themeColor="text1"/>
          <w:szCs w:val="24"/>
        </w:rPr>
        <w:t>。</w:t>
      </w:r>
    </w:p>
    <w:p w:rsidR="009048C8" w:rsidRDefault="00A82BA7">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bookmarkEnd w:id="28"/>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山西一诺千金资产评估有限公司经过《人民法院诉讼资产网》进行网上报名并通过网上摇号确定本评估机构，并于</w:t>
      </w:r>
      <w:r>
        <w:rPr>
          <w:rFonts w:asciiTheme="minorEastAsia" w:eastAsiaTheme="minorEastAsia" w:hAnsiTheme="minorEastAsia"/>
          <w:szCs w:val="24"/>
        </w:rPr>
        <w:t>201</w:t>
      </w:r>
      <w:r>
        <w:rPr>
          <w:rFonts w:asciiTheme="minorEastAsia" w:eastAsiaTheme="minorEastAsia" w:hAnsiTheme="minorEastAsia" w:hint="eastAsia"/>
          <w:szCs w:val="24"/>
        </w:rPr>
        <w:t>9年11月接受委托人的委托，从事本次评估项目。</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（二）签订资产评估业务约定书</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在接受委托后，由承办法官安排了现场勘察时间。</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查询记录、询价结果、检查记录、行业资讯、分析资料、鉴定报告、专业报告及政府文件等形式；</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5.查验产权证明文件</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我们对评估范围内产权持有人提供的评估对象法律权属资料和资料来源进行了必要的查验。</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9048C8" w:rsidRDefault="00A82BA7">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0" w:name="_Toc19327"/>
      <w:r>
        <w:rPr>
          <w:rFonts w:asciiTheme="minorEastAsia" w:eastAsiaTheme="minorEastAsia" w:hAnsiTheme="minorEastAsia" w:hint="eastAsia"/>
          <w:sz w:val="28"/>
          <w:szCs w:val="28"/>
        </w:rPr>
        <w:t>九、评估假设</w:t>
      </w:r>
      <w:bookmarkEnd w:id="30"/>
    </w:p>
    <w:p w:rsidR="009048C8" w:rsidRDefault="00A82BA7">
      <w:pPr>
        <w:pStyle w:val="a0"/>
        <w:numPr>
          <w:ilvl w:val="0"/>
          <w:numId w:val="7"/>
        </w:numPr>
        <w:snapToGrid w:val="0"/>
        <w:spacing w:line="360" w:lineRule="auto"/>
        <w:ind w:firstLineChars="200" w:firstLine="480"/>
        <w:rPr>
          <w:color w:val="000000" w:themeColor="text1"/>
          <w:szCs w:val="22"/>
        </w:rPr>
      </w:pPr>
      <w:r>
        <w:rPr>
          <w:rFonts w:hint="eastAsia"/>
          <w:color w:val="000000" w:themeColor="text1"/>
          <w:szCs w:val="22"/>
        </w:rPr>
        <w:t>委托人未提供评估标的竣工日期相关资料，评估人员通过询问小区物业，本次评估假设评估标的</w:t>
      </w:r>
      <w:r>
        <w:rPr>
          <w:rFonts w:hint="eastAsia"/>
          <w:color w:val="000000" w:themeColor="text1"/>
          <w:szCs w:val="22"/>
        </w:rPr>
        <w:t>2010</w:t>
      </w:r>
      <w:r>
        <w:rPr>
          <w:rFonts w:hint="eastAsia"/>
          <w:color w:val="000000" w:themeColor="text1"/>
          <w:szCs w:val="22"/>
        </w:rPr>
        <w:t>年建成。</w:t>
      </w:r>
    </w:p>
    <w:p w:rsidR="009048C8" w:rsidRDefault="00A82BA7">
      <w:pPr>
        <w:pStyle w:val="a0"/>
        <w:numPr>
          <w:ilvl w:val="0"/>
          <w:numId w:val="7"/>
        </w:numPr>
        <w:snapToGrid w:val="0"/>
        <w:spacing w:line="360" w:lineRule="auto"/>
        <w:ind w:firstLineChars="200" w:firstLine="480"/>
        <w:rPr>
          <w:color w:val="000000" w:themeColor="text1"/>
        </w:rPr>
      </w:pPr>
      <w:r>
        <w:rPr>
          <w:rFonts w:hint="eastAsia"/>
          <w:color w:val="000000" w:themeColor="text1"/>
        </w:rPr>
        <w:t>评估所遵循的我国现行法律、法规和制度以及</w:t>
      </w:r>
      <w:r w:rsidR="00733AC6">
        <w:rPr>
          <w:rFonts w:hint="eastAsia"/>
          <w:color w:val="000000" w:themeColor="text1"/>
        </w:rPr>
        <w:t>房屋</w:t>
      </w:r>
      <w:r>
        <w:rPr>
          <w:rFonts w:hint="eastAsia"/>
          <w:color w:val="000000" w:themeColor="text1"/>
        </w:rPr>
        <w:t>所在地的社会经济环境无重大变动；</w:t>
      </w:r>
    </w:p>
    <w:p w:rsidR="009048C8" w:rsidRDefault="00A82BA7">
      <w:pPr>
        <w:pStyle w:val="a0"/>
        <w:numPr>
          <w:ilvl w:val="0"/>
          <w:numId w:val="7"/>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9048C8" w:rsidRDefault="00A82BA7">
      <w:pPr>
        <w:pStyle w:val="a0"/>
        <w:numPr>
          <w:ilvl w:val="0"/>
          <w:numId w:val="7"/>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1" w:name="_Toc32267"/>
      <w:bookmarkStart w:id="32" w:name="_Toc186357222"/>
      <w:bookmarkStart w:id="33" w:name="_Toc186555678"/>
      <w:bookmarkStart w:id="34" w:name="_Toc403664415"/>
      <w:bookmarkEnd w:id="29"/>
      <w:r>
        <w:rPr>
          <w:rFonts w:asciiTheme="minorEastAsia" w:eastAsiaTheme="minorEastAsia" w:hAnsiTheme="minorEastAsia" w:hint="eastAsia"/>
          <w:sz w:val="28"/>
          <w:szCs w:val="28"/>
        </w:rPr>
        <w:lastRenderedPageBreak/>
        <w:t>十、评估结论</w:t>
      </w:r>
      <w:bookmarkEnd w:id="31"/>
    </w:p>
    <w:p w:rsidR="009048C8" w:rsidRDefault="00A82BA7">
      <w:pPr>
        <w:pStyle w:val="3"/>
        <w:adjustRightInd w:val="0"/>
        <w:snapToGrid w:val="0"/>
        <w:spacing w:before="60" w:after="60" w:line="360" w:lineRule="auto"/>
        <w:ind w:firstLineChars="200" w:firstLine="480"/>
        <w:rPr>
          <w:rFonts w:ascii="宋体" w:hAnsi="宋体"/>
          <w:b w:val="0"/>
          <w:kern w:val="0"/>
          <w:sz w:val="24"/>
          <w:szCs w:val="24"/>
        </w:rPr>
      </w:pPr>
      <w:bookmarkStart w:id="35" w:name="_Toc5597"/>
      <w:bookmarkStart w:id="36" w:name="_Toc477576904"/>
      <w:bookmarkStart w:id="37" w:name="_Toc403664417"/>
      <w:bookmarkEnd w:id="32"/>
      <w:bookmarkEnd w:id="33"/>
      <w:bookmarkEnd w:id="34"/>
      <w:r>
        <w:rPr>
          <w:rFonts w:ascii="宋体" w:hAnsi="宋体" w:hint="eastAsia"/>
          <w:b w:val="0"/>
          <w:kern w:val="0"/>
          <w:sz w:val="24"/>
          <w:szCs w:val="24"/>
        </w:rPr>
        <w:t>估价对象运城市黄金水岸小区50号楼3102号、运城市黄金水岸小区22号楼3单元1102B号房屋市场价值为人民币：1553009元（大写:壹佰伍拾伍万叁仟零玖元整）。</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sz w:val="28"/>
          <w:szCs w:val="28"/>
        </w:rPr>
        <w:t>十一、特别事项说明</w:t>
      </w:r>
      <w:bookmarkEnd w:id="35"/>
    </w:p>
    <w:p w:rsidR="009048C8" w:rsidRDefault="00A82BA7">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仅提供了房屋所有权证存根复印件，但是对委托评估资产的产权鉴定工作超出了评估工作的范围。我们不对委托评估资产的权属发表意见，同时不对其真实性承担任何责任。</w:t>
      </w:r>
    </w:p>
    <w:p w:rsidR="009048C8" w:rsidRDefault="00A82BA7">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本次评估无评估程序受到限制的情况。</w:t>
      </w:r>
    </w:p>
    <w:p w:rsidR="009048C8" w:rsidRDefault="00A82BA7">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9048C8" w:rsidRDefault="00A82BA7">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9048C8" w:rsidRDefault="00A82BA7">
      <w:pPr>
        <w:pStyle w:val="a0"/>
        <w:numPr>
          <w:ilvl w:val="0"/>
          <w:numId w:val="8"/>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9048C8" w:rsidRDefault="00A82BA7">
      <w:pPr>
        <w:pStyle w:val="a0"/>
        <w:numPr>
          <w:ilvl w:val="0"/>
          <w:numId w:val="9"/>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委托人未提供评估标的竣工日期相关资料，评估人员通过询问小区物业，本次评估假设评估标的2010年建成。</w:t>
      </w:r>
    </w:p>
    <w:p w:rsidR="009048C8" w:rsidRDefault="00A82BA7">
      <w:pPr>
        <w:pStyle w:val="a0"/>
        <w:numPr>
          <w:ilvl w:val="0"/>
          <w:numId w:val="9"/>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p>
    <w:p w:rsidR="009048C8" w:rsidRDefault="00A82BA7">
      <w:pPr>
        <w:pStyle w:val="a0"/>
        <w:numPr>
          <w:ilvl w:val="0"/>
          <w:numId w:val="9"/>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w:t>
      </w:r>
      <w:r>
        <w:rPr>
          <w:rFonts w:asciiTheme="minorEastAsia" w:eastAsiaTheme="minorEastAsia" w:hAnsiTheme="minorEastAsia" w:hint="eastAsia"/>
          <w:color w:val="000000" w:themeColor="text1"/>
          <w:szCs w:val="24"/>
        </w:rPr>
        <w:lastRenderedPageBreak/>
        <w:t>法律、法规和资产评估准则的规定，我公司及所有参加评估的人员与委托方及有关当事人之间无任何特殊利害关系，评估人员在整个评估过程中，始终恪守职业道德和规范。</w:t>
      </w:r>
    </w:p>
    <w:p w:rsidR="009048C8" w:rsidRDefault="00A82BA7">
      <w:pPr>
        <w:pStyle w:val="a0"/>
        <w:numPr>
          <w:ilvl w:val="0"/>
          <w:numId w:val="9"/>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9048C8" w:rsidRDefault="00A82BA7">
      <w:pPr>
        <w:pStyle w:val="a0"/>
        <w:numPr>
          <w:ilvl w:val="0"/>
          <w:numId w:val="9"/>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评估报告附件与报告正文配套使用方为有效。</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8" w:name="_Toc8179"/>
      <w:r>
        <w:rPr>
          <w:rFonts w:asciiTheme="minorEastAsia" w:eastAsiaTheme="minorEastAsia" w:hAnsiTheme="minorEastAsia" w:hint="eastAsia"/>
          <w:sz w:val="28"/>
          <w:szCs w:val="28"/>
        </w:rPr>
        <w:t>十二、资产评估报告的使用限制说明</w:t>
      </w:r>
      <w:bookmarkEnd w:id="38"/>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9048C8" w:rsidRDefault="00A82BA7">
      <w:pPr>
        <w:pStyle w:val="a0"/>
        <w:numPr>
          <w:ilvl w:val="0"/>
          <w:numId w:val="10"/>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w:t>
      </w:r>
      <w:r>
        <w:rPr>
          <w:rFonts w:asciiTheme="minorEastAsia" w:eastAsiaTheme="minorEastAsia" w:hAnsiTheme="minorEastAsia"/>
          <w:szCs w:val="24"/>
        </w:rPr>
        <w:t>20</w:t>
      </w:r>
      <w:r>
        <w:rPr>
          <w:rFonts w:asciiTheme="minorEastAsia" w:eastAsiaTheme="minorEastAsia" w:hAnsiTheme="minorEastAsia" w:hint="eastAsia"/>
          <w:szCs w:val="24"/>
        </w:rPr>
        <w:t>20年1月2</w:t>
      </w:r>
      <w:r w:rsidR="005502BB">
        <w:rPr>
          <w:rFonts w:asciiTheme="minorEastAsia" w:eastAsiaTheme="minorEastAsia" w:hAnsiTheme="minorEastAsia" w:hint="eastAsia"/>
          <w:szCs w:val="24"/>
        </w:rPr>
        <w:t>0</w:t>
      </w:r>
      <w:r>
        <w:rPr>
          <w:rFonts w:asciiTheme="minorEastAsia" w:eastAsiaTheme="minorEastAsia" w:hAnsiTheme="minorEastAsia" w:hint="eastAsia"/>
          <w:szCs w:val="24"/>
        </w:rPr>
        <w:t>日至</w:t>
      </w:r>
      <w:r>
        <w:rPr>
          <w:rFonts w:asciiTheme="minorEastAsia" w:eastAsiaTheme="minorEastAsia" w:hAnsiTheme="minorEastAsia"/>
          <w:szCs w:val="24"/>
        </w:rPr>
        <w:t>20</w:t>
      </w:r>
      <w:r>
        <w:rPr>
          <w:rFonts w:asciiTheme="minorEastAsia" w:eastAsiaTheme="minorEastAsia" w:hAnsiTheme="minorEastAsia" w:hint="eastAsia"/>
          <w:szCs w:val="24"/>
        </w:rPr>
        <w:t>21年1月1</w:t>
      </w:r>
      <w:r w:rsidR="005502BB">
        <w:rPr>
          <w:rFonts w:asciiTheme="minorEastAsia" w:eastAsiaTheme="minorEastAsia" w:hAnsiTheme="minorEastAsia" w:hint="eastAsia"/>
          <w:szCs w:val="24"/>
        </w:rPr>
        <w:t>9</w:t>
      </w:r>
      <w:r>
        <w:rPr>
          <w:rFonts w:asciiTheme="minorEastAsia" w:eastAsiaTheme="minorEastAsia" w:hAnsiTheme="minorEastAsia" w:hint="eastAsia"/>
          <w:szCs w:val="24"/>
        </w:rPr>
        <w:t>日止。当评估目的在有效期内实现时，要以评估结论作为价值的参考依据（还需结合评估基准日的期后事项的调整）。</w:t>
      </w:r>
    </w:p>
    <w:p w:rsidR="009048C8" w:rsidRDefault="00A82BA7">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9" w:name="_Toc11586"/>
      <w:bookmarkEnd w:id="36"/>
      <w:bookmarkEnd w:id="37"/>
      <w:r>
        <w:rPr>
          <w:rFonts w:asciiTheme="minorEastAsia" w:eastAsiaTheme="minorEastAsia" w:hAnsiTheme="minorEastAsia" w:hint="eastAsia"/>
          <w:sz w:val="28"/>
          <w:szCs w:val="28"/>
        </w:rPr>
        <w:t>十三、资产评估报告日</w:t>
      </w:r>
      <w:bookmarkEnd w:id="39"/>
    </w:p>
    <w:p w:rsidR="009048C8" w:rsidRDefault="00A82BA7">
      <w:pPr>
        <w:pStyle w:val="a0"/>
        <w:snapToGrid w:val="0"/>
        <w:spacing w:line="360" w:lineRule="auto"/>
        <w:ind w:firstLineChars="200" w:firstLine="480"/>
        <w:rPr>
          <w:rFonts w:asciiTheme="minorEastAsia" w:eastAsiaTheme="minorEastAsia" w:hAnsiTheme="minorEastAsia"/>
          <w:b/>
          <w:spacing w:val="14"/>
          <w:sz w:val="28"/>
          <w:szCs w:val="28"/>
        </w:rPr>
      </w:pPr>
      <w:r>
        <w:rPr>
          <w:rFonts w:asciiTheme="minorEastAsia" w:eastAsiaTheme="minorEastAsia" w:hAnsiTheme="minorEastAsia" w:hint="eastAsia"/>
          <w:szCs w:val="24"/>
        </w:rPr>
        <w:t>资产评估报告日为</w:t>
      </w:r>
      <w:r>
        <w:rPr>
          <w:rFonts w:asciiTheme="minorEastAsia" w:eastAsiaTheme="minorEastAsia" w:hAnsiTheme="minorEastAsia"/>
          <w:szCs w:val="24"/>
        </w:rPr>
        <w:t>20</w:t>
      </w:r>
      <w:r>
        <w:rPr>
          <w:rFonts w:asciiTheme="minorEastAsia" w:eastAsiaTheme="minorEastAsia" w:hAnsiTheme="minorEastAsia" w:hint="eastAsia"/>
          <w:szCs w:val="24"/>
        </w:rPr>
        <w:t>20年1月2</w:t>
      </w:r>
      <w:r w:rsidR="005502BB">
        <w:rPr>
          <w:rFonts w:asciiTheme="minorEastAsia" w:eastAsiaTheme="minorEastAsia" w:hAnsiTheme="minorEastAsia" w:hint="eastAsia"/>
          <w:szCs w:val="24"/>
        </w:rPr>
        <w:t>0</w:t>
      </w:r>
      <w:r>
        <w:rPr>
          <w:rFonts w:asciiTheme="minorEastAsia" w:eastAsiaTheme="minorEastAsia" w:hAnsiTheme="minorEastAsia" w:hint="eastAsia"/>
          <w:szCs w:val="24"/>
        </w:rPr>
        <w:t>日。</w:t>
      </w:r>
      <w:r>
        <w:rPr>
          <w:rFonts w:asciiTheme="minorEastAsia" w:eastAsiaTheme="minorEastAsia" w:hAnsiTheme="minorEastAsia"/>
          <w:szCs w:val="24"/>
        </w:rPr>
        <w:t xml:space="preserve"> </w:t>
      </w:r>
    </w:p>
    <w:p w:rsidR="009048C8" w:rsidRDefault="009048C8" w:rsidP="001A36A6">
      <w:pPr>
        <w:adjustRightInd w:val="0"/>
        <w:snapToGrid w:val="0"/>
        <w:spacing w:before="60" w:after="60" w:line="360" w:lineRule="auto"/>
        <w:rPr>
          <w:rFonts w:asciiTheme="minorEastAsia" w:eastAsiaTheme="minorEastAsia" w:hAnsiTheme="minorEastAsia"/>
          <w:b/>
          <w:spacing w:val="14"/>
          <w:sz w:val="28"/>
          <w:szCs w:val="28"/>
        </w:rPr>
      </w:pPr>
    </w:p>
    <w:p w:rsidR="001A36A6" w:rsidRDefault="001A36A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048C8" w:rsidRDefault="00A82BA7">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9048C8" w:rsidRDefault="009048C8">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9048C8" w:rsidRDefault="009048C8">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9048C8" w:rsidRDefault="00A82BA7">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9048C8" w:rsidRDefault="009048C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048C8" w:rsidRDefault="009048C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048C8" w:rsidRDefault="00A82BA7">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9048C8" w:rsidRDefault="009048C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048C8" w:rsidRDefault="009048C8">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048C8" w:rsidRDefault="00A82BA7">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9048C8" w:rsidRDefault="009048C8">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9048C8" w:rsidRDefault="009048C8">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9048C8" w:rsidRDefault="009048C8">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9048C8" w:rsidRDefault="00A82BA7">
      <w:pPr>
        <w:adjustRightInd w:val="0"/>
        <w:snapToGrid w:val="0"/>
        <w:spacing w:before="60" w:after="60" w:line="360" w:lineRule="auto"/>
        <w:ind w:firstLineChars="200" w:firstLine="618"/>
        <w:jc w:val="center"/>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 xml:space="preserve">                       二0二0年一月二</w:t>
      </w:r>
      <w:r w:rsidR="005502BB">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40" w:name="_Toc334347482"/>
    </w:p>
    <w:p w:rsidR="009048C8" w:rsidRDefault="009048C8">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9048C8">
          <w:headerReference w:type="default" r:id="rId15"/>
          <w:pgSz w:w="11906" w:h="16838"/>
          <w:pgMar w:top="1588" w:right="1701" w:bottom="1247" w:left="1701" w:header="1134" w:footer="907" w:gutter="0"/>
          <w:pgNumType w:start="1"/>
          <w:cols w:space="720"/>
          <w:docGrid w:linePitch="450" w:charSpace="-4916"/>
        </w:sectPr>
      </w:pPr>
      <w:bookmarkStart w:id="41" w:name="_Toc25106"/>
    </w:p>
    <w:p w:rsidR="009048C8" w:rsidRDefault="00A82BA7">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r>
        <w:rPr>
          <w:rStyle w:val="1Char"/>
          <w:rFonts w:asciiTheme="minorEastAsia" w:eastAsiaTheme="minorEastAsia" w:hAnsiTheme="minorEastAsia" w:hint="eastAsia"/>
          <w:b/>
          <w:szCs w:val="36"/>
        </w:rPr>
        <w:lastRenderedPageBreak/>
        <w:t>资产评估报告附件</w:t>
      </w:r>
      <w:bookmarkEnd w:id="40"/>
      <w:bookmarkEnd w:id="41"/>
    </w:p>
    <w:p w:rsidR="009048C8" w:rsidRDefault="009048C8">
      <w:pPr>
        <w:adjustRightInd w:val="0"/>
        <w:snapToGrid w:val="0"/>
        <w:spacing w:before="60" w:after="60" w:line="360" w:lineRule="auto"/>
        <w:ind w:firstLineChars="200" w:firstLine="480"/>
        <w:rPr>
          <w:rFonts w:asciiTheme="minorEastAsia" w:eastAsiaTheme="minorEastAsia" w:hAnsiTheme="minorEastAsia"/>
          <w:szCs w:val="24"/>
        </w:rPr>
      </w:pP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估价对象房屋所有权证存根（复印件）</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9048C8" w:rsidRDefault="00A82BA7">
      <w:pPr>
        <w:numPr>
          <w:ilvl w:val="3"/>
          <w:numId w:val="11"/>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9048C8" w:rsidRDefault="009048C8">
      <w:pPr>
        <w:adjustRightInd w:val="0"/>
        <w:snapToGrid w:val="0"/>
        <w:spacing w:before="60" w:after="60" w:line="360" w:lineRule="auto"/>
        <w:ind w:firstLineChars="200" w:firstLine="480"/>
        <w:rPr>
          <w:rFonts w:asciiTheme="minorEastAsia" w:eastAsiaTheme="minorEastAsia" w:hAnsiTheme="minorEastAsia"/>
          <w:szCs w:val="24"/>
        </w:rPr>
      </w:pPr>
    </w:p>
    <w:sectPr w:rsidR="009048C8">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90" w:rsidRDefault="00F83F90">
      <w:r>
        <w:separator/>
      </w:r>
    </w:p>
  </w:endnote>
  <w:endnote w:type="continuationSeparator" w:id="0">
    <w:p w:rsidR="00F83F90" w:rsidRDefault="00F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A82BA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048C8" w:rsidRDefault="009048C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9048C8">
    <w:pPr>
      <w:pStyle w:val="ab"/>
      <w:pBdr>
        <w:bottom w:val="single" w:sz="6" w:space="1" w:color="auto"/>
      </w:pBdr>
      <w:tabs>
        <w:tab w:val="clear" w:pos="8306"/>
        <w:tab w:val="right" w:pos="8600"/>
      </w:tabs>
      <w:spacing w:line="300" w:lineRule="exact"/>
      <w:ind w:right="-96"/>
      <w:jc w:val="both"/>
      <w:rPr>
        <w:rFonts w:ascii="宋体" w:hAnsi="宋体"/>
        <w:szCs w:val="18"/>
      </w:rPr>
    </w:pPr>
  </w:p>
  <w:p w:rsidR="009048C8" w:rsidRDefault="00A82BA7">
    <w:pPr>
      <w:pStyle w:val="ab"/>
      <w:tabs>
        <w:tab w:val="clear" w:pos="8306"/>
        <w:tab w:val="right" w:pos="8600"/>
      </w:tabs>
      <w:spacing w:line="300" w:lineRule="exact"/>
      <w:ind w:right="-96"/>
      <w:jc w:val="both"/>
      <w:rPr>
        <w:rFonts w:ascii="宋体" w:hAnsi="宋体"/>
        <w:szCs w:val="18"/>
      </w:rPr>
    </w:pPr>
    <w:r>
      <w:rPr>
        <w:rFonts w:ascii="宋体" w:hAnsi="宋体" w:hint="eastAsia"/>
        <w:szCs w:val="18"/>
      </w:rPr>
      <w:t xml:space="preserve">公司名称：山西一诺千金资产评估有限公司   </w:t>
    </w:r>
    <w:r>
      <w:rPr>
        <w:rFonts w:ascii="宋体" w:hAnsi="宋体"/>
        <w:szCs w:val="18"/>
      </w:rPr>
      <w:tab/>
    </w:r>
    <w:r>
      <w:rPr>
        <w:rFonts w:ascii="宋体" w:hAnsi="宋体" w:hint="eastAsia"/>
        <w:szCs w:val="18"/>
      </w:rPr>
      <w:t xml:space="preserve">                              电话：</w:t>
    </w:r>
    <w:r>
      <w:rPr>
        <w:rFonts w:ascii="宋体" w:hAnsi="宋体"/>
        <w:szCs w:val="18"/>
      </w:rPr>
      <w:t>0359-</w:t>
    </w:r>
    <w:r>
      <w:rPr>
        <w:rFonts w:ascii="宋体" w:hAnsi="宋体" w:hint="eastAsia"/>
        <w:szCs w:val="18"/>
      </w:rPr>
      <w:t>2211668</w:t>
    </w:r>
  </w:p>
  <w:p w:rsidR="009048C8" w:rsidRPr="001A36A6" w:rsidRDefault="00733AC6" w:rsidP="001A36A6">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w:t>
    </w:r>
    <w:r w:rsidRPr="00F62E4B">
      <w:rPr>
        <w:rFonts w:ascii="宋体" w:hAnsi="宋体" w:hint="eastAsia"/>
        <w:szCs w:val="18"/>
      </w:rPr>
      <w:t>运城市盐湖区红旗街德茂河东国际3栋19层1908室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90" w:rsidRDefault="00F83F90">
      <w:r>
        <w:separator/>
      </w:r>
    </w:p>
  </w:footnote>
  <w:footnote w:type="continuationSeparator" w:id="0">
    <w:p w:rsidR="00F83F90" w:rsidRDefault="00F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F83F90">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2052;mso-fit-shape-to-text:t" inset="0,0,0,0">
            <w:txbxContent>
              <w:p w:rsidR="009048C8" w:rsidRDefault="009048C8"/>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F83F90">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1;mso-fit-shape-to-text:t" inset="0,0,0,0">
            <w:txbxContent>
              <w:p w:rsidR="009048C8" w:rsidRDefault="00A82BA7">
                <w:pPr>
                  <w:pStyle w:val="ac"/>
                </w:pPr>
                <w:r>
                  <w:rPr>
                    <w:rFonts w:hint="eastAsia"/>
                  </w:rPr>
                  <w:fldChar w:fldCharType="begin"/>
                </w:r>
                <w:r>
                  <w:rPr>
                    <w:rFonts w:hint="eastAsia"/>
                  </w:rPr>
                  <w:instrText xml:space="preserve"> PAGE  \* MERGEFORMAT </w:instrText>
                </w:r>
                <w:r>
                  <w:rPr>
                    <w:rFonts w:hint="eastAsia"/>
                  </w:rPr>
                  <w:fldChar w:fldCharType="separate"/>
                </w:r>
                <w:r w:rsidR="0091473E">
                  <w:rPr>
                    <w:noProof/>
                  </w:rPr>
                  <w:t>1</w:t>
                </w:r>
                <w:r>
                  <w:rPr>
                    <w:rFonts w:hint="eastAsia"/>
                  </w:rPr>
                  <w:fldChar w:fldCharType="end"/>
                </w:r>
              </w:p>
            </w:txbxContent>
          </v:textbox>
          <w10:wrap anchorx="margin"/>
        </v:shape>
      </w:pict>
    </w:r>
    <w:r w:rsidR="00A82BA7">
      <w:rPr>
        <w:rFonts w:ascii="宋体" w:hAnsi="宋体" w:hint="eastAsia"/>
        <w:szCs w:val="18"/>
      </w:rPr>
      <w:t>目录</w:t>
    </w:r>
    <w:r w:rsidR="00A82BA7">
      <w:rPr>
        <w:rFonts w:hint="eastAsia"/>
        <w:b/>
        <w:i/>
      </w:rPr>
      <w:t xml:space="preserve"> </w:t>
    </w:r>
    <w:r w:rsidR="00A82BA7">
      <w:rPr>
        <w:rFonts w:ascii="黑体" w:eastAsia="黑体" w:hint="eastAsia"/>
        <w:color w:val="808080"/>
        <w:sz w:val="15"/>
      </w:rPr>
      <w:t xml:space="preserve">         </w:t>
    </w:r>
    <w:r w:rsidR="00A82BA7">
      <w:rPr>
        <w:rFonts w:ascii="黑体" w:eastAsia="黑体"/>
        <w:color w:val="808080"/>
        <w:sz w:val="15"/>
      </w:rPr>
      <w:t xml:space="preserve">                                                                                         </w:t>
    </w:r>
    <w:r w:rsidR="00A82BA7">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F83F90">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next-textbox:#_x0000_s2050;mso-fit-shape-to-text:t" inset="0,0,0,0">
            <w:txbxContent>
              <w:p w:rsidR="009048C8" w:rsidRDefault="00A82BA7">
                <w:pPr>
                  <w:pStyle w:val="ac"/>
                  <w:ind w:firstLineChars="3600" w:firstLine="5400"/>
                  <w:jc w:val="both"/>
                </w:pP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91473E">
                  <w:rPr>
                    <w:rFonts w:ascii="宋体" w:hAnsi="宋体"/>
                    <w:noProof/>
                    <w:szCs w:val="18"/>
                  </w:rPr>
                  <w:t>13</w:t>
                </w:r>
                <w:r>
                  <w:rPr>
                    <w:rFonts w:ascii="宋体" w:hAnsi="宋体"/>
                    <w:szCs w:val="18"/>
                  </w:rPr>
                  <w:fldChar w:fldCharType="end"/>
                </w:r>
                <w:r>
                  <w:rPr>
                    <w:rFonts w:ascii="宋体" w:hAnsi="宋体" w:hint="eastAsia"/>
                    <w:szCs w:val="18"/>
                  </w:rPr>
                  <w:t xml:space="preserve">页     </w:t>
                </w:r>
              </w:p>
            </w:txbxContent>
          </v:textbox>
          <w10:wrap anchorx="margin"/>
        </v:shape>
      </w:pict>
    </w:r>
    <w:r w:rsidR="00A82BA7">
      <w:rPr>
        <w:rFonts w:ascii="宋体" w:hAnsi="宋体" w:hint="eastAsia"/>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C8" w:rsidRDefault="00F83F90">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9048C8" w:rsidRDefault="00A82BA7">
                <w:pPr>
                  <w:pStyle w:val="ac"/>
                </w:pPr>
                <w:r>
                  <w:rPr>
                    <w:rFonts w:hint="eastAsia"/>
                  </w:rPr>
                  <w:fldChar w:fldCharType="begin"/>
                </w:r>
                <w:r>
                  <w:rPr>
                    <w:rFonts w:hint="eastAsia"/>
                  </w:rPr>
                  <w:instrText xml:space="preserve"> PAGE  \* MERGEFORMAT </w:instrText>
                </w:r>
                <w:r>
                  <w:rPr>
                    <w:rFonts w:hint="eastAsia"/>
                  </w:rPr>
                  <w:fldChar w:fldCharType="separate"/>
                </w:r>
                <w:r w:rsidR="0091473E">
                  <w:rPr>
                    <w:noProof/>
                  </w:rPr>
                  <w:t>1</w:t>
                </w:r>
                <w:r>
                  <w:rPr>
                    <w:rFonts w:hint="eastAsia"/>
                  </w:rPr>
                  <w:fldChar w:fldCharType="end"/>
                </w:r>
              </w:p>
            </w:txbxContent>
          </v:textbox>
          <w10:wrap anchorx="margin"/>
        </v:shape>
      </w:pict>
    </w:r>
    <w:r w:rsidR="00A82BA7">
      <w:rPr>
        <w:rFonts w:hint="eastAsia"/>
        <w:u w:val="single"/>
      </w:rPr>
      <w:t>报告附件</w:t>
    </w:r>
    <w:r w:rsidR="00A82BA7">
      <w:rPr>
        <w:rFonts w:hint="eastAsia"/>
        <w:u w:val="single"/>
      </w:rPr>
      <w:t xml:space="preserve">                                                                             </w:t>
    </w:r>
    <w:r w:rsidR="00A82BA7">
      <w:rPr>
        <w:rFonts w:hint="eastAsia"/>
        <w:u w:val="single"/>
      </w:rPr>
      <w:t>第</w:t>
    </w:r>
    <w:r w:rsidR="00A82BA7">
      <w:rPr>
        <w:rFonts w:hint="eastAsia"/>
        <w:u w:val="single"/>
      </w:rPr>
      <w:t>14</w:t>
    </w:r>
    <w:r w:rsidR="00A82BA7">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C641946"/>
    <w:multiLevelType w:val="singleLevel"/>
    <w:tmpl w:val="FC641946"/>
    <w:lvl w:ilvl="0">
      <w:start w:val="1"/>
      <w:numFmt w:val="decimal"/>
      <w:suff w:val="nothing"/>
      <w:lvlText w:val="%1、"/>
      <w:lvlJc w:val="left"/>
    </w:lvl>
  </w:abstractNum>
  <w:abstractNum w:abstractNumId="2">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3">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4811FEF"/>
    <w:multiLevelType w:val="multilevel"/>
    <w:tmpl w:val="24811F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2431AD"/>
    <w:multiLevelType w:val="singleLevel"/>
    <w:tmpl w:val="352431AD"/>
    <w:lvl w:ilvl="0">
      <w:start w:val="1"/>
      <w:numFmt w:val="decimal"/>
      <w:suff w:val="space"/>
      <w:lvlText w:val="%1、"/>
      <w:lvlJc w:val="left"/>
    </w:lvl>
  </w:abstractNum>
  <w:abstractNum w:abstractNumId="7">
    <w:nsid w:val="3EFE0C42"/>
    <w:multiLevelType w:val="singleLevel"/>
    <w:tmpl w:val="3EFE0C42"/>
    <w:lvl w:ilvl="0">
      <w:start w:val="1"/>
      <w:numFmt w:val="decimal"/>
      <w:suff w:val="space"/>
      <w:lvlText w:val="%1、"/>
      <w:lvlJc w:val="left"/>
    </w:lvl>
  </w:abstractNum>
  <w:abstractNum w:abstractNumId="8">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9">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10">
    <w:nsid w:val="76A8DE67"/>
    <w:multiLevelType w:val="singleLevel"/>
    <w:tmpl w:val="76A8DE67"/>
    <w:lvl w:ilvl="0">
      <w:start w:val="5"/>
      <w:numFmt w:val="chineseCounting"/>
      <w:suff w:val="nothing"/>
      <w:lvlText w:val="（%1）"/>
      <w:lvlJc w:val="left"/>
      <w:rPr>
        <w:rFonts w:hint="eastAsia"/>
      </w:rPr>
    </w:lvl>
  </w:abstractNum>
  <w:num w:numId="1">
    <w:abstractNumId w:val="9"/>
  </w:num>
  <w:num w:numId="2">
    <w:abstractNumId w:val="10"/>
  </w:num>
  <w:num w:numId="3">
    <w:abstractNumId w:val="7"/>
  </w:num>
  <w:num w:numId="4">
    <w:abstractNumId w:val="5"/>
  </w:num>
  <w:num w:numId="5">
    <w:abstractNumId w:val="4"/>
  </w:num>
  <w:num w:numId="6">
    <w:abstractNumId w:val="0"/>
  </w:num>
  <w:num w:numId="7">
    <w:abstractNumId w:val="1"/>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622BA"/>
    <w:rsid w:val="0000062B"/>
    <w:rsid w:val="000008C3"/>
    <w:rsid w:val="00001E5A"/>
    <w:rsid w:val="000027AF"/>
    <w:rsid w:val="00004D73"/>
    <w:rsid w:val="0001612F"/>
    <w:rsid w:val="0001780E"/>
    <w:rsid w:val="00020760"/>
    <w:rsid w:val="000238FC"/>
    <w:rsid w:val="00023B14"/>
    <w:rsid w:val="00025D6F"/>
    <w:rsid w:val="0003193A"/>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3C31"/>
    <w:rsid w:val="000768DD"/>
    <w:rsid w:val="000769A9"/>
    <w:rsid w:val="0007783F"/>
    <w:rsid w:val="00080B66"/>
    <w:rsid w:val="00081DC3"/>
    <w:rsid w:val="000843A1"/>
    <w:rsid w:val="00086600"/>
    <w:rsid w:val="00093293"/>
    <w:rsid w:val="00095224"/>
    <w:rsid w:val="0009752F"/>
    <w:rsid w:val="000976ED"/>
    <w:rsid w:val="000A338F"/>
    <w:rsid w:val="000A7238"/>
    <w:rsid w:val="000A7ACA"/>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3F70"/>
    <w:rsid w:val="000F4B19"/>
    <w:rsid w:val="000F6B69"/>
    <w:rsid w:val="000F6F58"/>
    <w:rsid w:val="0010034D"/>
    <w:rsid w:val="00101406"/>
    <w:rsid w:val="00101A6E"/>
    <w:rsid w:val="0011249E"/>
    <w:rsid w:val="001135AF"/>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3AD1"/>
    <w:rsid w:val="00175EA0"/>
    <w:rsid w:val="0017709A"/>
    <w:rsid w:val="001825A6"/>
    <w:rsid w:val="00185F65"/>
    <w:rsid w:val="0018629A"/>
    <w:rsid w:val="00186320"/>
    <w:rsid w:val="0018741B"/>
    <w:rsid w:val="0019089E"/>
    <w:rsid w:val="00192154"/>
    <w:rsid w:val="00192180"/>
    <w:rsid w:val="001922FD"/>
    <w:rsid w:val="0019464C"/>
    <w:rsid w:val="001947ED"/>
    <w:rsid w:val="001953B7"/>
    <w:rsid w:val="00195BBE"/>
    <w:rsid w:val="0019784E"/>
    <w:rsid w:val="001A1382"/>
    <w:rsid w:val="001A36A6"/>
    <w:rsid w:val="001A7A9B"/>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4C0"/>
    <w:rsid w:val="001E1C0D"/>
    <w:rsid w:val="001E7F43"/>
    <w:rsid w:val="001F27BD"/>
    <w:rsid w:val="001F326F"/>
    <w:rsid w:val="001F38CC"/>
    <w:rsid w:val="002001CF"/>
    <w:rsid w:val="002016EB"/>
    <w:rsid w:val="002066AA"/>
    <w:rsid w:val="00217A1C"/>
    <w:rsid w:val="00220EB0"/>
    <w:rsid w:val="00222329"/>
    <w:rsid w:val="00222CB9"/>
    <w:rsid w:val="00226FBA"/>
    <w:rsid w:val="002353FC"/>
    <w:rsid w:val="00236DA0"/>
    <w:rsid w:val="002376FA"/>
    <w:rsid w:val="00240686"/>
    <w:rsid w:val="00241DE2"/>
    <w:rsid w:val="00241F46"/>
    <w:rsid w:val="00242D86"/>
    <w:rsid w:val="002445C3"/>
    <w:rsid w:val="00245FEB"/>
    <w:rsid w:val="00246B2C"/>
    <w:rsid w:val="00247ADA"/>
    <w:rsid w:val="0025112B"/>
    <w:rsid w:val="00254383"/>
    <w:rsid w:val="002566E5"/>
    <w:rsid w:val="00256CF6"/>
    <w:rsid w:val="00262A38"/>
    <w:rsid w:val="00263495"/>
    <w:rsid w:val="00263D33"/>
    <w:rsid w:val="00270496"/>
    <w:rsid w:val="002707F8"/>
    <w:rsid w:val="002716E9"/>
    <w:rsid w:val="002727F1"/>
    <w:rsid w:val="00274FF4"/>
    <w:rsid w:val="002759B1"/>
    <w:rsid w:val="002772E8"/>
    <w:rsid w:val="002803F8"/>
    <w:rsid w:val="00280E91"/>
    <w:rsid w:val="002832F1"/>
    <w:rsid w:val="00283B8D"/>
    <w:rsid w:val="00284B86"/>
    <w:rsid w:val="00286A82"/>
    <w:rsid w:val="0029311D"/>
    <w:rsid w:val="00293125"/>
    <w:rsid w:val="00295733"/>
    <w:rsid w:val="00295D9D"/>
    <w:rsid w:val="002A2D8C"/>
    <w:rsid w:val="002A5FEE"/>
    <w:rsid w:val="002A645B"/>
    <w:rsid w:val="002A6DC5"/>
    <w:rsid w:val="002B1035"/>
    <w:rsid w:val="002B2AD5"/>
    <w:rsid w:val="002B3F85"/>
    <w:rsid w:val="002B6465"/>
    <w:rsid w:val="002B69CE"/>
    <w:rsid w:val="002B7E40"/>
    <w:rsid w:val="002C3503"/>
    <w:rsid w:val="002C3849"/>
    <w:rsid w:val="002C737F"/>
    <w:rsid w:val="002D419A"/>
    <w:rsid w:val="002D606B"/>
    <w:rsid w:val="002D6BF0"/>
    <w:rsid w:val="002E047C"/>
    <w:rsid w:val="002E1070"/>
    <w:rsid w:val="002E6F58"/>
    <w:rsid w:val="002E753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571F"/>
    <w:rsid w:val="00327D32"/>
    <w:rsid w:val="00327D7D"/>
    <w:rsid w:val="00335FBF"/>
    <w:rsid w:val="00336778"/>
    <w:rsid w:val="003427AF"/>
    <w:rsid w:val="00357918"/>
    <w:rsid w:val="003618EA"/>
    <w:rsid w:val="003662B7"/>
    <w:rsid w:val="00367289"/>
    <w:rsid w:val="0037000D"/>
    <w:rsid w:val="00373C00"/>
    <w:rsid w:val="00373C40"/>
    <w:rsid w:val="00374017"/>
    <w:rsid w:val="00374450"/>
    <w:rsid w:val="00376CF2"/>
    <w:rsid w:val="00377D57"/>
    <w:rsid w:val="003802C6"/>
    <w:rsid w:val="0038177F"/>
    <w:rsid w:val="003911FA"/>
    <w:rsid w:val="0039141C"/>
    <w:rsid w:val="00391DB7"/>
    <w:rsid w:val="00397EC7"/>
    <w:rsid w:val="003B1769"/>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F34E2"/>
    <w:rsid w:val="003F44E5"/>
    <w:rsid w:val="003F4D28"/>
    <w:rsid w:val="003F6C43"/>
    <w:rsid w:val="003F769F"/>
    <w:rsid w:val="00400814"/>
    <w:rsid w:val="00402ECD"/>
    <w:rsid w:val="00406DEA"/>
    <w:rsid w:val="0040750B"/>
    <w:rsid w:val="00407B52"/>
    <w:rsid w:val="00414E26"/>
    <w:rsid w:val="0041683A"/>
    <w:rsid w:val="004264CD"/>
    <w:rsid w:val="00432873"/>
    <w:rsid w:val="0043449A"/>
    <w:rsid w:val="004345F3"/>
    <w:rsid w:val="00435469"/>
    <w:rsid w:val="00436213"/>
    <w:rsid w:val="004427E8"/>
    <w:rsid w:val="0044464C"/>
    <w:rsid w:val="00451C08"/>
    <w:rsid w:val="004523EB"/>
    <w:rsid w:val="00453BF9"/>
    <w:rsid w:val="004559E5"/>
    <w:rsid w:val="00464953"/>
    <w:rsid w:val="00464D7E"/>
    <w:rsid w:val="00477789"/>
    <w:rsid w:val="00482271"/>
    <w:rsid w:val="00482663"/>
    <w:rsid w:val="0048373B"/>
    <w:rsid w:val="0048586A"/>
    <w:rsid w:val="0048779F"/>
    <w:rsid w:val="004901E7"/>
    <w:rsid w:val="00494064"/>
    <w:rsid w:val="004A0991"/>
    <w:rsid w:val="004A1203"/>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D50F8"/>
    <w:rsid w:val="004E0720"/>
    <w:rsid w:val="004E1A65"/>
    <w:rsid w:val="004F0EDB"/>
    <w:rsid w:val="004F3624"/>
    <w:rsid w:val="005002BB"/>
    <w:rsid w:val="005057FA"/>
    <w:rsid w:val="00510489"/>
    <w:rsid w:val="005204EC"/>
    <w:rsid w:val="00520F35"/>
    <w:rsid w:val="00522374"/>
    <w:rsid w:val="00522542"/>
    <w:rsid w:val="005240C8"/>
    <w:rsid w:val="00526353"/>
    <w:rsid w:val="00533CB5"/>
    <w:rsid w:val="0053619B"/>
    <w:rsid w:val="00541B22"/>
    <w:rsid w:val="00545B5C"/>
    <w:rsid w:val="00545BAB"/>
    <w:rsid w:val="00545E50"/>
    <w:rsid w:val="005502BB"/>
    <w:rsid w:val="0055272C"/>
    <w:rsid w:val="00553FDC"/>
    <w:rsid w:val="005550A9"/>
    <w:rsid w:val="00555AD5"/>
    <w:rsid w:val="00555E85"/>
    <w:rsid w:val="00564482"/>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85B4B"/>
    <w:rsid w:val="005865AB"/>
    <w:rsid w:val="00593D48"/>
    <w:rsid w:val="00596552"/>
    <w:rsid w:val="00596ADE"/>
    <w:rsid w:val="005A17C0"/>
    <w:rsid w:val="005A3D32"/>
    <w:rsid w:val="005A492C"/>
    <w:rsid w:val="005A71D2"/>
    <w:rsid w:val="005A79A5"/>
    <w:rsid w:val="005B23AF"/>
    <w:rsid w:val="005B247F"/>
    <w:rsid w:val="005C031D"/>
    <w:rsid w:val="005C08AA"/>
    <w:rsid w:val="005C1113"/>
    <w:rsid w:val="005C208F"/>
    <w:rsid w:val="005C33EB"/>
    <w:rsid w:val="005C57CF"/>
    <w:rsid w:val="005C71A6"/>
    <w:rsid w:val="005C72CC"/>
    <w:rsid w:val="005C7703"/>
    <w:rsid w:val="005D0183"/>
    <w:rsid w:val="005D2CAE"/>
    <w:rsid w:val="005D543B"/>
    <w:rsid w:val="005D7F59"/>
    <w:rsid w:val="005E0FD1"/>
    <w:rsid w:val="005E21B1"/>
    <w:rsid w:val="005E26A8"/>
    <w:rsid w:val="005E743C"/>
    <w:rsid w:val="005E7523"/>
    <w:rsid w:val="005F0B07"/>
    <w:rsid w:val="005F2F5F"/>
    <w:rsid w:val="005F4163"/>
    <w:rsid w:val="005F682C"/>
    <w:rsid w:val="00601350"/>
    <w:rsid w:val="00601775"/>
    <w:rsid w:val="00604977"/>
    <w:rsid w:val="00604C44"/>
    <w:rsid w:val="00604FFA"/>
    <w:rsid w:val="00605431"/>
    <w:rsid w:val="00622D67"/>
    <w:rsid w:val="00626B77"/>
    <w:rsid w:val="006323FA"/>
    <w:rsid w:val="0064258C"/>
    <w:rsid w:val="00643D13"/>
    <w:rsid w:val="00644702"/>
    <w:rsid w:val="00645527"/>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69DD"/>
    <w:rsid w:val="006D0026"/>
    <w:rsid w:val="006D0713"/>
    <w:rsid w:val="006D3241"/>
    <w:rsid w:val="006D3971"/>
    <w:rsid w:val="006D5BCD"/>
    <w:rsid w:val="006E2A9B"/>
    <w:rsid w:val="006E31DD"/>
    <w:rsid w:val="006E6149"/>
    <w:rsid w:val="006E64FB"/>
    <w:rsid w:val="006F0C5A"/>
    <w:rsid w:val="006F4A63"/>
    <w:rsid w:val="006F5CC1"/>
    <w:rsid w:val="006F65A0"/>
    <w:rsid w:val="006F6D5D"/>
    <w:rsid w:val="006F7E20"/>
    <w:rsid w:val="00702066"/>
    <w:rsid w:val="00704559"/>
    <w:rsid w:val="007051F3"/>
    <w:rsid w:val="00705A5F"/>
    <w:rsid w:val="00705D2A"/>
    <w:rsid w:val="0070785E"/>
    <w:rsid w:val="007103B4"/>
    <w:rsid w:val="0071103F"/>
    <w:rsid w:val="007137C5"/>
    <w:rsid w:val="0071382E"/>
    <w:rsid w:val="0071468B"/>
    <w:rsid w:val="00726C29"/>
    <w:rsid w:val="00726C5F"/>
    <w:rsid w:val="00730B61"/>
    <w:rsid w:val="0073376F"/>
    <w:rsid w:val="00733AC6"/>
    <w:rsid w:val="00736D69"/>
    <w:rsid w:val="00747BFB"/>
    <w:rsid w:val="00750441"/>
    <w:rsid w:val="00751D3A"/>
    <w:rsid w:val="007538B9"/>
    <w:rsid w:val="007544A7"/>
    <w:rsid w:val="00754689"/>
    <w:rsid w:val="007566A4"/>
    <w:rsid w:val="00756976"/>
    <w:rsid w:val="0076012A"/>
    <w:rsid w:val="0076089D"/>
    <w:rsid w:val="00760A75"/>
    <w:rsid w:val="0077429C"/>
    <w:rsid w:val="00786C3E"/>
    <w:rsid w:val="00786CEA"/>
    <w:rsid w:val="00790769"/>
    <w:rsid w:val="00790832"/>
    <w:rsid w:val="00792C23"/>
    <w:rsid w:val="007955D8"/>
    <w:rsid w:val="007A08CB"/>
    <w:rsid w:val="007A0E59"/>
    <w:rsid w:val="007A117C"/>
    <w:rsid w:val="007A1FFA"/>
    <w:rsid w:val="007A28E3"/>
    <w:rsid w:val="007A439F"/>
    <w:rsid w:val="007A5379"/>
    <w:rsid w:val="007B0280"/>
    <w:rsid w:val="007B27EB"/>
    <w:rsid w:val="007B519F"/>
    <w:rsid w:val="007B5A11"/>
    <w:rsid w:val="007B61AB"/>
    <w:rsid w:val="007C17A2"/>
    <w:rsid w:val="007C6001"/>
    <w:rsid w:val="007D0AA8"/>
    <w:rsid w:val="007D4068"/>
    <w:rsid w:val="007D5186"/>
    <w:rsid w:val="007D5A81"/>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17311"/>
    <w:rsid w:val="00824F7B"/>
    <w:rsid w:val="008275BC"/>
    <w:rsid w:val="00827810"/>
    <w:rsid w:val="00831744"/>
    <w:rsid w:val="008323A4"/>
    <w:rsid w:val="0083285C"/>
    <w:rsid w:val="008356DB"/>
    <w:rsid w:val="00837D47"/>
    <w:rsid w:val="00840F68"/>
    <w:rsid w:val="00843620"/>
    <w:rsid w:val="0084425B"/>
    <w:rsid w:val="00845A11"/>
    <w:rsid w:val="00853AB8"/>
    <w:rsid w:val="00855109"/>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48C8"/>
    <w:rsid w:val="0090794B"/>
    <w:rsid w:val="00912B2A"/>
    <w:rsid w:val="0091473E"/>
    <w:rsid w:val="009309C7"/>
    <w:rsid w:val="009347B9"/>
    <w:rsid w:val="00934992"/>
    <w:rsid w:val="00934F5F"/>
    <w:rsid w:val="00940F61"/>
    <w:rsid w:val="00945784"/>
    <w:rsid w:val="00947B91"/>
    <w:rsid w:val="00947F8A"/>
    <w:rsid w:val="00950EB5"/>
    <w:rsid w:val="00951C07"/>
    <w:rsid w:val="00956503"/>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80FB9"/>
    <w:rsid w:val="009863FC"/>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451E"/>
    <w:rsid w:val="00A245C3"/>
    <w:rsid w:val="00A246B9"/>
    <w:rsid w:val="00A247DF"/>
    <w:rsid w:val="00A26C30"/>
    <w:rsid w:val="00A26DCF"/>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2BA7"/>
    <w:rsid w:val="00A838EE"/>
    <w:rsid w:val="00A83B9F"/>
    <w:rsid w:val="00A85BAB"/>
    <w:rsid w:val="00A86E10"/>
    <w:rsid w:val="00A87147"/>
    <w:rsid w:val="00A90DA6"/>
    <w:rsid w:val="00A940F3"/>
    <w:rsid w:val="00A9462F"/>
    <w:rsid w:val="00A947A4"/>
    <w:rsid w:val="00AA010A"/>
    <w:rsid w:val="00AB3B44"/>
    <w:rsid w:val="00AB4CBA"/>
    <w:rsid w:val="00AB6A24"/>
    <w:rsid w:val="00AC0AFC"/>
    <w:rsid w:val="00AC1177"/>
    <w:rsid w:val="00AC5B52"/>
    <w:rsid w:val="00AC6E97"/>
    <w:rsid w:val="00AD3120"/>
    <w:rsid w:val="00AD414B"/>
    <w:rsid w:val="00AD4843"/>
    <w:rsid w:val="00AD744D"/>
    <w:rsid w:val="00AD7538"/>
    <w:rsid w:val="00AD7AA7"/>
    <w:rsid w:val="00AE2498"/>
    <w:rsid w:val="00AE45A6"/>
    <w:rsid w:val="00AE4D40"/>
    <w:rsid w:val="00AE561D"/>
    <w:rsid w:val="00AE6CE2"/>
    <w:rsid w:val="00AF1F54"/>
    <w:rsid w:val="00AF207B"/>
    <w:rsid w:val="00AF79E6"/>
    <w:rsid w:val="00B00A7F"/>
    <w:rsid w:val="00B057DE"/>
    <w:rsid w:val="00B07475"/>
    <w:rsid w:val="00B1010C"/>
    <w:rsid w:val="00B113C4"/>
    <w:rsid w:val="00B11DA4"/>
    <w:rsid w:val="00B2036F"/>
    <w:rsid w:val="00B206A7"/>
    <w:rsid w:val="00B216A9"/>
    <w:rsid w:val="00B21F12"/>
    <w:rsid w:val="00B2263F"/>
    <w:rsid w:val="00B23931"/>
    <w:rsid w:val="00B27A14"/>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81E8A"/>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37F1"/>
    <w:rsid w:val="00BD456A"/>
    <w:rsid w:val="00BD59A4"/>
    <w:rsid w:val="00BD631C"/>
    <w:rsid w:val="00BD6DE5"/>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51C"/>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57F0B"/>
    <w:rsid w:val="00C61E95"/>
    <w:rsid w:val="00C63B2A"/>
    <w:rsid w:val="00C64DBE"/>
    <w:rsid w:val="00C65B41"/>
    <w:rsid w:val="00C75C46"/>
    <w:rsid w:val="00C76C09"/>
    <w:rsid w:val="00C8254A"/>
    <w:rsid w:val="00C8531F"/>
    <w:rsid w:val="00C85CEE"/>
    <w:rsid w:val="00C913CA"/>
    <w:rsid w:val="00C91487"/>
    <w:rsid w:val="00C926F0"/>
    <w:rsid w:val="00C938B3"/>
    <w:rsid w:val="00C968B2"/>
    <w:rsid w:val="00C978D3"/>
    <w:rsid w:val="00CA03BE"/>
    <w:rsid w:val="00CA1094"/>
    <w:rsid w:val="00CA3039"/>
    <w:rsid w:val="00CA3B24"/>
    <w:rsid w:val="00CA4ABC"/>
    <w:rsid w:val="00CA4BEF"/>
    <w:rsid w:val="00CA5932"/>
    <w:rsid w:val="00CA6EAC"/>
    <w:rsid w:val="00CB0CCA"/>
    <w:rsid w:val="00CB1727"/>
    <w:rsid w:val="00CB1CFA"/>
    <w:rsid w:val="00CB2AC1"/>
    <w:rsid w:val="00CB427E"/>
    <w:rsid w:val="00CB5AB9"/>
    <w:rsid w:val="00CC3436"/>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35C0"/>
    <w:rsid w:val="00D0631F"/>
    <w:rsid w:val="00D11CB0"/>
    <w:rsid w:val="00D16EBA"/>
    <w:rsid w:val="00D24655"/>
    <w:rsid w:val="00D33387"/>
    <w:rsid w:val="00D344E4"/>
    <w:rsid w:val="00D41ACB"/>
    <w:rsid w:val="00D435A8"/>
    <w:rsid w:val="00D44B89"/>
    <w:rsid w:val="00D5042E"/>
    <w:rsid w:val="00D508D3"/>
    <w:rsid w:val="00D5093F"/>
    <w:rsid w:val="00D5225F"/>
    <w:rsid w:val="00D542C4"/>
    <w:rsid w:val="00D558BF"/>
    <w:rsid w:val="00D5656D"/>
    <w:rsid w:val="00D565CD"/>
    <w:rsid w:val="00D60AD0"/>
    <w:rsid w:val="00D60E66"/>
    <w:rsid w:val="00D61296"/>
    <w:rsid w:val="00D633C4"/>
    <w:rsid w:val="00D65B2A"/>
    <w:rsid w:val="00D710BC"/>
    <w:rsid w:val="00D73C28"/>
    <w:rsid w:val="00D75121"/>
    <w:rsid w:val="00D75DBD"/>
    <w:rsid w:val="00D76006"/>
    <w:rsid w:val="00D760C2"/>
    <w:rsid w:val="00D805E9"/>
    <w:rsid w:val="00D81331"/>
    <w:rsid w:val="00D8296A"/>
    <w:rsid w:val="00D8633D"/>
    <w:rsid w:val="00D876B0"/>
    <w:rsid w:val="00D912E2"/>
    <w:rsid w:val="00D91F35"/>
    <w:rsid w:val="00D932C3"/>
    <w:rsid w:val="00D95877"/>
    <w:rsid w:val="00D96B10"/>
    <w:rsid w:val="00D97BB0"/>
    <w:rsid w:val="00DA7A10"/>
    <w:rsid w:val="00DB0C95"/>
    <w:rsid w:val="00DB0D13"/>
    <w:rsid w:val="00DB1374"/>
    <w:rsid w:val="00DB2FA1"/>
    <w:rsid w:val="00DB4651"/>
    <w:rsid w:val="00DB5B29"/>
    <w:rsid w:val="00DC5906"/>
    <w:rsid w:val="00DD02BF"/>
    <w:rsid w:val="00DD0B85"/>
    <w:rsid w:val="00DD0D0D"/>
    <w:rsid w:val="00DD25C3"/>
    <w:rsid w:val="00DE2021"/>
    <w:rsid w:val="00DE3081"/>
    <w:rsid w:val="00DE5383"/>
    <w:rsid w:val="00DE53FD"/>
    <w:rsid w:val="00DE71A9"/>
    <w:rsid w:val="00DF04BC"/>
    <w:rsid w:val="00DF1039"/>
    <w:rsid w:val="00DF31F6"/>
    <w:rsid w:val="00DF3E40"/>
    <w:rsid w:val="00DF451A"/>
    <w:rsid w:val="00DF5CAA"/>
    <w:rsid w:val="00DF667C"/>
    <w:rsid w:val="00E00938"/>
    <w:rsid w:val="00E02098"/>
    <w:rsid w:val="00E0432D"/>
    <w:rsid w:val="00E04B04"/>
    <w:rsid w:val="00E10D99"/>
    <w:rsid w:val="00E17797"/>
    <w:rsid w:val="00E22C98"/>
    <w:rsid w:val="00E233FE"/>
    <w:rsid w:val="00E26BD0"/>
    <w:rsid w:val="00E27955"/>
    <w:rsid w:val="00E34B2E"/>
    <w:rsid w:val="00E35352"/>
    <w:rsid w:val="00E47837"/>
    <w:rsid w:val="00E479E0"/>
    <w:rsid w:val="00E537F6"/>
    <w:rsid w:val="00E5523B"/>
    <w:rsid w:val="00E559DE"/>
    <w:rsid w:val="00E57879"/>
    <w:rsid w:val="00E61827"/>
    <w:rsid w:val="00E62978"/>
    <w:rsid w:val="00E643C6"/>
    <w:rsid w:val="00E644C7"/>
    <w:rsid w:val="00E64D9A"/>
    <w:rsid w:val="00E67258"/>
    <w:rsid w:val="00E71C68"/>
    <w:rsid w:val="00E72B9D"/>
    <w:rsid w:val="00E73B17"/>
    <w:rsid w:val="00E74ACA"/>
    <w:rsid w:val="00E75B0D"/>
    <w:rsid w:val="00E75B95"/>
    <w:rsid w:val="00E779C4"/>
    <w:rsid w:val="00E81C58"/>
    <w:rsid w:val="00E82DD0"/>
    <w:rsid w:val="00E86AD1"/>
    <w:rsid w:val="00E966D4"/>
    <w:rsid w:val="00EA3EB9"/>
    <w:rsid w:val="00EA7B06"/>
    <w:rsid w:val="00EA7ED9"/>
    <w:rsid w:val="00EB10BD"/>
    <w:rsid w:val="00EB197B"/>
    <w:rsid w:val="00EB2EA3"/>
    <w:rsid w:val="00EB3899"/>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6358"/>
    <w:rsid w:val="00F22B37"/>
    <w:rsid w:val="00F2326B"/>
    <w:rsid w:val="00F343F5"/>
    <w:rsid w:val="00F3696C"/>
    <w:rsid w:val="00F3704D"/>
    <w:rsid w:val="00F3728E"/>
    <w:rsid w:val="00F373E5"/>
    <w:rsid w:val="00F45B39"/>
    <w:rsid w:val="00F463FD"/>
    <w:rsid w:val="00F50B71"/>
    <w:rsid w:val="00F52481"/>
    <w:rsid w:val="00F524C0"/>
    <w:rsid w:val="00F529A3"/>
    <w:rsid w:val="00F5397B"/>
    <w:rsid w:val="00F546A7"/>
    <w:rsid w:val="00F558DE"/>
    <w:rsid w:val="00F57070"/>
    <w:rsid w:val="00F576AC"/>
    <w:rsid w:val="00F60F83"/>
    <w:rsid w:val="00F637C0"/>
    <w:rsid w:val="00F6655B"/>
    <w:rsid w:val="00F70CAE"/>
    <w:rsid w:val="00F733C4"/>
    <w:rsid w:val="00F73CF5"/>
    <w:rsid w:val="00F74273"/>
    <w:rsid w:val="00F83F90"/>
    <w:rsid w:val="00F8436A"/>
    <w:rsid w:val="00F87ACF"/>
    <w:rsid w:val="00F94D41"/>
    <w:rsid w:val="00F95AC5"/>
    <w:rsid w:val="00F97AB3"/>
    <w:rsid w:val="00F97EFE"/>
    <w:rsid w:val="00FA1E60"/>
    <w:rsid w:val="00FA20A5"/>
    <w:rsid w:val="00FA34BC"/>
    <w:rsid w:val="00FA7AB0"/>
    <w:rsid w:val="00FB0AFC"/>
    <w:rsid w:val="00FB2836"/>
    <w:rsid w:val="00FB35AA"/>
    <w:rsid w:val="00FB409B"/>
    <w:rsid w:val="00FB713C"/>
    <w:rsid w:val="00FC19C1"/>
    <w:rsid w:val="00FC2266"/>
    <w:rsid w:val="00FC256C"/>
    <w:rsid w:val="00FC56FE"/>
    <w:rsid w:val="00FC722D"/>
    <w:rsid w:val="00FC784A"/>
    <w:rsid w:val="00FD2E3B"/>
    <w:rsid w:val="00FD60E7"/>
    <w:rsid w:val="00FD63BF"/>
    <w:rsid w:val="00FE1E7D"/>
    <w:rsid w:val="00FE1F9C"/>
    <w:rsid w:val="00FE3E7A"/>
    <w:rsid w:val="00FE48DD"/>
    <w:rsid w:val="00FE68AA"/>
    <w:rsid w:val="00FE70AF"/>
    <w:rsid w:val="00FF1F38"/>
    <w:rsid w:val="00FF2AF1"/>
    <w:rsid w:val="00FF345E"/>
    <w:rsid w:val="00FF357D"/>
    <w:rsid w:val="00FF50A2"/>
    <w:rsid w:val="00FF7073"/>
    <w:rsid w:val="00FF7D92"/>
    <w:rsid w:val="0118630A"/>
    <w:rsid w:val="01206FF8"/>
    <w:rsid w:val="013701D2"/>
    <w:rsid w:val="013D45F5"/>
    <w:rsid w:val="020931AB"/>
    <w:rsid w:val="0310419E"/>
    <w:rsid w:val="0348244C"/>
    <w:rsid w:val="03533814"/>
    <w:rsid w:val="03A1437D"/>
    <w:rsid w:val="03B355B6"/>
    <w:rsid w:val="03EE67CF"/>
    <w:rsid w:val="05334073"/>
    <w:rsid w:val="05A008A1"/>
    <w:rsid w:val="06A872C9"/>
    <w:rsid w:val="06AB2C47"/>
    <w:rsid w:val="08501EC5"/>
    <w:rsid w:val="08800120"/>
    <w:rsid w:val="097D287C"/>
    <w:rsid w:val="09A36A10"/>
    <w:rsid w:val="0B8C582F"/>
    <w:rsid w:val="0B965BE9"/>
    <w:rsid w:val="0BEA272F"/>
    <w:rsid w:val="0C2D42D7"/>
    <w:rsid w:val="0D24698F"/>
    <w:rsid w:val="0E7D3D66"/>
    <w:rsid w:val="0EEF5AD8"/>
    <w:rsid w:val="0F833DD6"/>
    <w:rsid w:val="110273F8"/>
    <w:rsid w:val="12F4458A"/>
    <w:rsid w:val="142E12C7"/>
    <w:rsid w:val="151719B5"/>
    <w:rsid w:val="1544233D"/>
    <w:rsid w:val="161D5603"/>
    <w:rsid w:val="16A64A2E"/>
    <w:rsid w:val="16F1313A"/>
    <w:rsid w:val="16F7348B"/>
    <w:rsid w:val="17131715"/>
    <w:rsid w:val="172245C3"/>
    <w:rsid w:val="1A8924E5"/>
    <w:rsid w:val="1B057A04"/>
    <w:rsid w:val="1CB54B08"/>
    <w:rsid w:val="1CC80EBC"/>
    <w:rsid w:val="1D993EBF"/>
    <w:rsid w:val="1DAC2D7D"/>
    <w:rsid w:val="1E4850E9"/>
    <w:rsid w:val="1E840B55"/>
    <w:rsid w:val="1E8B2AC5"/>
    <w:rsid w:val="1F47047C"/>
    <w:rsid w:val="1FDD2E10"/>
    <w:rsid w:val="20075655"/>
    <w:rsid w:val="2064532C"/>
    <w:rsid w:val="21DA20D8"/>
    <w:rsid w:val="21E6631D"/>
    <w:rsid w:val="221C2A66"/>
    <w:rsid w:val="230F460D"/>
    <w:rsid w:val="23681CDC"/>
    <w:rsid w:val="242B0F6C"/>
    <w:rsid w:val="24E45523"/>
    <w:rsid w:val="24EE048E"/>
    <w:rsid w:val="25B36771"/>
    <w:rsid w:val="25CD4844"/>
    <w:rsid w:val="26214BB1"/>
    <w:rsid w:val="26EC7558"/>
    <w:rsid w:val="2813131B"/>
    <w:rsid w:val="289972A7"/>
    <w:rsid w:val="29F5114B"/>
    <w:rsid w:val="2A527F78"/>
    <w:rsid w:val="2B8B19B5"/>
    <w:rsid w:val="2BF6177B"/>
    <w:rsid w:val="2BFC3D07"/>
    <w:rsid w:val="2C4D00E2"/>
    <w:rsid w:val="2C5C3D67"/>
    <w:rsid w:val="2C7A352C"/>
    <w:rsid w:val="2CB54675"/>
    <w:rsid w:val="2CD6557D"/>
    <w:rsid w:val="2D0B4C04"/>
    <w:rsid w:val="2D765D70"/>
    <w:rsid w:val="2ED778E4"/>
    <w:rsid w:val="2F325DFE"/>
    <w:rsid w:val="30971F98"/>
    <w:rsid w:val="310247CE"/>
    <w:rsid w:val="31294009"/>
    <w:rsid w:val="31C61E7E"/>
    <w:rsid w:val="32971CCA"/>
    <w:rsid w:val="330D2037"/>
    <w:rsid w:val="338348CC"/>
    <w:rsid w:val="33B31420"/>
    <w:rsid w:val="33E24F08"/>
    <w:rsid w:val="34A90E42"/>
    <w:rsid w:val="35B316FF"/>
    <w:rsid w:val="35ED0805"/>
    <w:rsid w:val="35F55F2E"/>
    <w:rsid w:val="36470821"/>
    <w:rsid w:val="36EE37DA"/>
    <w:rsid w:val="379859FF"/>
    <w:rsid w:val="387963E2"/>
    <w:rsid w:val="3891121F"/>
    <w:rsid w:val="39261482"/>
    <w:rsid w:val="39EA3913"/>
    <w:rsid w:val="3A3F31A4"/>
    <w:rsid w:val="3A473A09"/>
    <w:rsid w:val="3A907F7C"/>
    <w:rsid w:val="3AC24219"/>
    <w:rsid w:val="3AC24C58"/>
    <w:rsid w:val="3B275888"/>
    <w:rsid w:val="3B90435E"/>
    <w:rsid w:val="3D1F746E"/>
    <w:rsid w:val="3DA33E92"/>
    <w:rsid w:val="3DA72BE1"/>
    <w:rsid w:val="3DAB0E5A"/>
    <w:rsid w:val="3DE74E0F"/>
    <w:rsid w:val="3E6045DE"/>
    <w:rsid w:val="3F373BAE"/>
    <w:rsid w:val="3F4A441B"/>
    <w:rsid w:val="3FB07C41"/>
    <w:rsid w:val="407D2141"/>
    <w:rsid w:val="41BB6258"/>
    <w:rsid w:val="41D762DE"/>
    <w:rsid w:val="42B5145A"/>
    <w:rsid w:val="42EF68DE"/>
    <w:rsid w:val="430D2EC6"/>
    <w:rsid w:val="43B003A2"/>
    <w:rsid w:val="43B253F6"/>
    <w:rsid w:val="43F67985"/>
    <w:rsid w:val="43FF2763"/>
    <w:rsid w:val="446D3329"/>
    <w:rsid w:val="45F67F66"/>
    <w:rsid w:val="46027347"/>
    <w:rsid w:val="47221212"/>
    <w:rsid w:val="47812D4B"/>
    <w:rsid w:val="48975320"/>
    <w:rsid w:val="48C35861"/>
    <w:rsid w:val="4A112765"/>
    <w:rsid w:val="4ADD3ABC"/>
    <w:rsid w:val="4B184B83"/>
    <w:rsid w:val="4BC14AC0"/>
    <w:rsid w:val="4BF51F95"/>
    <w:rsid w:val="4C5C176F"/>
    <w:rsid w:val="4C931F65"/>
    <w:rsid w:val="4D3A585F"/>
    <w:rsid w:val="4D6A640E"/>
    <w:rsid w:val="4E1C44A7"/>
    <w:rsid w:val="4E1C4BC6"/>
    <w:rsid w:val="4E365A14"/>
    <w:rsid w:val="50E84D79"/>
    <w:rsid w:val="51EE5757"/>
    <w:rsid w:val="521F7707"/>
    <w:rsid w:val="52B220CC"/>
    <w:rsid w:val="53273461"/>
    <w:rsid w:val="534740B7"/>
    <w:rsid w:val="53B46F6E"/>
    <w:rsid w:val="54B461B8"/>
    <w:rsid w:val="55212EFE"/>
    <w:rsid w:val="55480798"/>
    <w:rsid w:val="55590665"/>
    <w:rsid w:val="56076BE2"/>
    <w:rsid w:val="573A2A50"/>
    <w:rsid w:val="57536FD6"/>
    <w:rsid w:val="57B933F7"/>
    <w:rsid w:val="57CB077A"/>
    <w:rsid w:val="596520B4"/>
    <w:rsid w:val="59F05738"/>
    <w:rsid w:val="5A175919"/>
    <w:rsid w:val="5A4D0B4E"/>
    <w:rsid w:val="5A9B2962"/>
    <w:rsid w:val="5AE62D18"/>
    <w:rsid w:val="5BF46E4D"/>
    <w:rsid w:val="5DA7067E"/>
    <w:rsid w:val="5F7A3163"/>
    <w:rsid w:val="5F812BC1"/>
    <w:rsid w:val="5FB16D53"/>
    <w:rsid w:val="601509DF"/>
    <w:rsid w:val="601E05E6"/>
    <w:rsid w:val="605A712F"/>
    <w:rsid w:val="60AE6BBE"/>
    <w:rsid w:val="60E278EE"/>
    <w:rsid w:val="611F6CC4"/>
    <w:rsid w:val="615D1222"/>
    <w:rsid w:val="61F860B0"/>
    <w:rsid w:val="623B763E"/>
    <w:rsid w:val="65487B34"/>
    <w:rsid w:val="659B586F"/>
    <w:rsid w:val="66512236"/>
    <w:rsid w:val="66682119"/>
    <w:rsid w:val="666D3B0B"/>
    <w:rsid w:val="671C70AE"/>
    <w:rsid w:val="676C3E61"/>
    <w:rsid w:val="67CE41AB"/>
    <w:rsid w:val="68373A5C"/>
    <w:rsid w:val="69B17509"/>
    <w:rsid w:val="6A5338C5"/>
    <w:rsid w:val="6A815E3C"/>
    <w:rsid w:val="6A960792"/>
    <w:rsid w:val="6AC94ACC"/>
    <w:rsid w:val="6B271636"/>
    <w:rsid w:val="6B7B5A5F"/>
    <w:rsid w:val="6B7B62EF"/>
    <w:rsid w:val="6BCA4C89"/>
    <w:rsid w:val="6BFA78B0"/>
    <w:rsid w:val="6C1D2695"/>
    <w:rsid w:val="6C3A7A59"/>
    <w:rsid w:val="6C5340C1"/>
    <w:rsid w:val="6C712198"/>
    <w:rsid w:val="6C7F63DF"/>
    <w:rsid w:val="6CB564F2"/>
    <w:rsid w:val="6CD253E0"/>
    <w:rsid w:val="6D27778D"/>
    <w:rsid w:val="6D8420AE"/>
    <w:rsid w:val="6E0A5DB5"/>
    <w:rsid w:val="6E8E63AA"/>
    <w:rsid w:val="6EBB1D8A"/>
    <w:rsid w:val="6F8656B3"/>
    <w:rsid w:val="6FC061D7"/>
    <w:rsid w:val="6FF8264E"/>
    <w:rsid w:val="706C0767"/>
    <w:rsid w:val="706C651D"/>
    <w:rsid w:val="708804BF"/>
    <w:rsid w:val="710D19B0"/>
    <w:rsid w:val="71D05B2C"/>
    <w:rsid w:val="72CB2B43"/>
    <w:rsid w:val="73477FE0"/>
    <w:rsid w:val="739966F4"/>
    <w:rsid w:val="74C47B78"/>
    <w:rsid w:val="75CC7A74"/>
    <w:rsid w:val="767F7327"/>
    <w:rsid w:val="76CD26D3"/>
    <w:rsid w:val="7783559B"/>
    <w:rsid w:val="78E755F2"/>
    <w:rsid w:val="7909067A"/>
    <w:rsid w:val="794A3A3B"/>
    <w:rsid w:val="796F4AAA"/>
    <w:rsid w:val="799A5841"/>
    <w:rsid w:val="79C2544C"/>
    <w:rsid w:val="79D608E7"/>
    <w:rsid w:val="79F90A1A"/>
    <w:rsid w:val="7ABF048B"/>
    <w:rsid w:val="7AC260D9"/>
    <w:rsid w:val="7B8218F2"/>
    <w:rsid w:val="7BF03F78"/>
    <w:rsid w:val="7C340F91"/>
    <w:rsid w:val="7CAC7D68"/>
    <w:rsid w:val="7CFD6915"/>
    <w:rsid w:val="7D926391"/>
    <w:rsid w:val="7DAD28A9"/>
    <w:rsid w:val="7DE24DAD"/>
    <w:rsid w:val="7E4625C4"/>
    <w:rsid w:val="7EBA4D9E"/>
    <w:rsid w:val="7F4D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qFormat/>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376BD-898F-4026-8B39-1855C496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1351</Words>
  <Characters>7703</Characters>
  <Application>Microsoft Office Word</Application>
  <DocSecurity>0</DocSecurity>
  <Lines>64</Lines>
  <Paragraphs>18</Paragraphs>
  <ScaleCrop>false</ScaleCrop>
  <Company>xycpa.china</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119</cp:revision>
  <cp:lastPrinted>2020-07-12T08:17:00Z</cp:lastPrinted>
  <dcterms:created xsi:type="dcterms:W3CDTF">2019-12-04T02:47:00Z</dcterms:created>
  <dcterms:modified xsi:type="dcterms:W3CDTF">2020-07-12T08:19:00Z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