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房地产司法鉴定报告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晋聚评房字（2020）第033号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太原市长风西街16号10幢28层2804号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太原市尖草坪区人民法院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tabs>
          <w:tab w:val="left" w:pos="540"/>
        </w:tabs>
        <w:snapToGrid w:val="0"/>
        <w:spacing w:line="480" w:lineRule="auto"/>
        <w:ind w:firstLine="1400" w:firstLineChars="500"/>
        <w:rPr>
          <w:rFonts w:ascii="黑体" w:hAnsi="黑体" w:eastAsia="黑体" w:cs="黑体"/>
          <w:sz w:val="28"/>
          <w:szCs w:val="28"/>
          <w:highlight w:val="none"/>
        </w:rPr>
      </w:pPr>
      <w:r>
        <w:rPr>
          <w:rFonts w:hint="eastAsia" w:ascii="黑体" w:hAnsi="黑体" w:eastAsia="黑体" w:cs="黑体"/>
          <w:sz w:val="28"/>
          <w:szCs w:val="28"/>
          <w:highlight w:val="none"/>
          <w:lang w:val="en-US" w:eastAsia="zh-CN"/>
        </w:rPr>
        <w:t>赵俊丽</w:t>
      </w:r>
      <w:r>
        <w:rPr>
          <w:rFonts w:hint="eastAsia" w:ascii="黑体" w:hAnsi="黑体" w:eastAsia="黑体" w:cs="黑体"/>
          <w:sz w:val="28"/>
          <w:szCs w:val="28"/>
          <w:highlight w:val="none"/>
        </w:rPr>
        <w:t xml:space="preserve">  中国注册房地产估价师(注册号</w:t>
      </w:r>
      <w:r>
        <w:rPr>
          <w:rFonts w:hint="eastAsia" w:ascii="黑体" w:hAnsi="黑体" w:eastAsia="黑体" w:cs="黑体"/>
          <w:sz w:val="28"/>
          <w:szCs w:val="28"/>
          <w:highlight w:val="none"/>
          <w:lang w:eastAsia="zh-CN"/>
        </w:rPr>
        <w:t>1420</w:t>
      </w:r>
      <w:r>
        <w:rPr>
          <w:rFonts w:hint="eastAsia" w:ascii="黑体" w:hAnsi="黑体" w:eastAsia="黑体" w:cs="黑体"/>
          <w:sz w:val="28"/>
          <w:szCs w:val="28"/>
          <w:highlight w:val="none"/>
          <w:lang w:val="en-US" w:eastAsia="zh-CN"/>
        </w:rPr>
        <w:t>190072</w:t>
      </w:r>
      <w:r>
        <w:rPr>
          <w:rFonts w:hint="eastAsia" w:ascii="黑体" w:hAnsi="黑体" w:eastAsia="黑体" w:cs="黑体"/>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二〇二〇年二月二十七日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0" w:afterLines="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太原市尖草坪区人民法院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太原市长风西街16号10幢28层2804号</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买受人为王文敏</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规划用途为公寓</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264.82</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根据</w:t>
      </w:r>
      <w:r>
        <w:rPr>
          <w:rFonts w:hint="eastAsia" w:eastAsia="仿宋_GB2312" w:cs="Times New Roman"/>
          <w:color w:val="auto"/>
          <w:sz w:val="24"/>
          <w:szCs w:val="24"/>
          <w:highlight w:val="none"/>
          <w:lang w:eastAsia="zh-CN"/>
        </w:rPr>
        <w:t>委托方</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商品房买卖合同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，估价对象的买受人为王文敏，房</w:t>
      </w:r>
      <w:r>
        <w:rPr>
          <w:rFonts w:hint="eastAsia" w:ascii="Times New Roman" w:hAnsi="Times New Roman" w:eastAsia="仿宋_GB2312" w:cs="Times New Roman"/>
          <w:color w:val="auto"/>
          <w:sz w:val="24"/>
          <w:szCs w:val="24"/>
          <w:highlight w:val="none"/>
          <w:lang w:eastAsia="zh-CN"/>
        </w:rPr>
        <w:t>屋</w:t>
      </w:r>
      <w:r>
        <w:rPr>
          <w:rFonts w:hint="eastAsia" w:eastAsia="仿宋_GB2312" w:cs="Times New Roman"/>
          <w:color w:val="auto"/>
          <w:sz w:val="24"/>
          <w:szCs w:val="24"/>
          <w:highlight w:val="none"/>
          <w:lang w:eastAsia="zh-CN"/>
        </w:rPr>
        <w:t>建筑面积为264.82平方米</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详见估价对象基本表。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38"/>
        <w:tblW w:w="7538"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96"/>
        <w:gridCol w:w="1362"/>
        <w:gridCol w:w="1362"/>
        <w:gridCol w:w="1113"/>
        <w:gridCol w:w="818"/>
        <w:gridCol w:w="1000"/>
        <w:gridCol w:w="987"/>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jc w:val="center"/>
        </w:trPr>
        <w:tc>
          <w:tcPr>
            <w:tcW w:w="896"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caps/>
                <w:color w:val="auto"/>
                <w:sz w:val="18"/>
                <w:szCs w:val="18"/>
                <w:highlight w:val="none"/>
                <w:lang w:eastAsia="zh-CN"/>
              </w:rPr>
              <w:t>房屋买受人</w:t>
            </w:r>
          </w:p>
        </w:tc>
        <w:tc>
          <w:tcPr>
            <w:tcW w:w="1362"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共同共有人</w:t>
            </w:r>
          </w:p>
        </w:tc>
        <w:tc>
          <w:tcPr>
            <w:tcW w:w="1362"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1113"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818"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20"/>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结构</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98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eastAsia" w:eastAsia="仿宋_GB2312" w:cs="Times New Roman"/>
                <w:b/>
                <w:bCs w:val="0"/>
                <w:color w:val="auto"/>
                <w:sz w:val="18"/>
                <w:szCs w:val="18"/>
                <w:highlight w:val="none"/>
                <w:lang w:eastAsia="zh-CN"/>
              </w:rPr>
              <w:t>规划用途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jc w:val="center"/>
        </w:trPr>
        <w:tc>
          <w:tcPr>
            <w:tcW w:w="896"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王文敏</w:t>
            </w:r>
          </w:p>
        </w:tc>
        <w:tc>
          <w:tcPr>
            <w:tcW w:w="1362"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w:t>
            </w:r>
          </w:p>
        </w:tc>
        <w:tc>
          <w:tcPr>
            <w:tcW w:w="1362"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长风西街16号10幢28层2804号</w:t>
            </w:r>
          </w:p>
        </w:tc>
        <w:tc>
          <w:tcPr>
            <w:tcW w:w="111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264.82</w:t>
            </w:r>
          </w:p>
        </w:tc>
        <w:tc>
          <w:tcPr>
            <w:tcW w:w="8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20"/>
                <w:highlight w:val="none"/>
                <w:lang w:val="en-US" w:eastAsia="zh-CN"/>
              </w:rPr>
            </w:pPr>
            <w:r>
              <w:rPr>
                <w:rFonts w:hint="eastAsia" w:ascii="仿宋_GB2312" w:hAnsi="黑体" w:eastAsia="仿宋_GB2312"/>
                <w:b w:val="0"/>
                <w:bCs/>
                <w:caps/>
                <w:color w:val="auto"/>
                <w:sz w:val="18"/>
                <w:szCs w:val="18"/>
                <w:highlight w:val="none"/>
                <w:lang w:val="en-US" w:eastAsia="zh-CN"/>
              </w:rPr>
              <w:t>钢混</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28/33</w:t>
            </w:r>
          </w:p>
        </w:tc>
        <w:tc>
          <w:tcPr>
            <w:tcW w:w="987"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eastAsia="zh-CN" w:bidi="ar"/>
              </w:rPr>
            </w:pPr>
            <w:r>
              <w:rPr>
                <w:rFonts w:hint="eastAsia" w:eastAsia="仿宋_GB2312" w:cs="Times New Roman"/>
                <w:b w:val="0"/>
                <w:bCs/>
                <w:i w:val="0"/>
                <w:color w:val="auto"/>
                <w:kern w:val="2"/>
                <w:sz w:val="18"/>
                <w:szCs w:val="18"/>
                <w:highlight w:val="none"/>
                <w:u w:val="none"/>
                <w:lang w:val="en-US" w:eastAsia="zh-CN" w:bidi="ar"/>
              </w:rPr>
              <w:t>公寓</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2020年1月20日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2020年1月20日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 w:cs="Times New Roman"/>
          <w:b/>
          <w:color w:val="auto"/>
          <w:sz w:val="24"/>
          <w:szCs w:val="24"/>
          <w:highlight w:val="none"/>
        </w:rPr>
        <w:t>房</w:t>
      </w:r>
      <w:r>
        <w:rPr>
          <w:rFonts w:hint="default" w:ascii="Times New Roman" w:hAnsi="Times New Roman" w:eastAsia="仿宋" w:cs="Times New Roman"/>
          <w:b/>
          <w:color w:val="auto"/>
          <w:sz w:val="24"/>
          <w:szCs w:val="24"/>
          <w:highlight w:val="none"/>
          <w:lang w:eastAsia="zh-CN"/>
        </w:rPr>
        <w:t>地</w:t>
      </w:r>
      <w:r>
        <w:rPr>
          <w:rFonts w:hint="default" w:ascii="Times New Roman" w:hAnsi="Times New Roman" w:eastAsia="仿宋" w:cs="Times New Roman"/>
          <w:b/>
          <w:color w:val="auto"/>
          <w:sz w:val="24"/>
          <w:szCs w:val="24"/>
          <w:highlight w:val="none"/>
        </w:rPr>
        <w:t>产价值总价:</w:t>
      </w:r>
      <w:r>
        <w:rPr>
          <w:rFonts w:hint="eastAsia" w:eastAsia="仿宋" w:cs="Times New Roman"/>
          <w:b/>
          <w:color w:val="auto"/>
          <w:sz w:val="24"/>
          <w:szCs w:val="24"/>
          <w:highlight w:val="none"/>
          <w:lang w:val="en-US" w:eastAsia="zh-CN"/>
        </w:rPr>
        <w:t>344.8</w:t>
      </w:r>
      <w:r>
        <w:rPr>
          <w:rFonts w:hint="default" w:ascii="Times New Roman" w:hAnsi="Times New Roman" w:eastAsia="仿宋" w:cs="Times New Roman"/>
          <w:b/>
          <w:color w:val="auto"/>
          <w:sz w:val="24"/>
          <w:szCs w:val="24"/>
          <w:highlight w:val="none"/>
          <w:lang w:val="en-US" w:eastAsia="zh-CN"/>
        </w:rPr>
        <w:t>万元整</w:t>
      </w:r>
      <w:r>
        <w:rPr>
          <w:rFonts w:hint="default"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lang w:val="en-US" w:eastAsia="zh-CN"/>
        </w:rPr>
      </w:pPr>
      <w:r>
        <w:rPr>
          <w:rFonts w:hint="default" w:ascii="Times New Roman" w:hAnsi="Times New Roman" w:eastAsia="仿宋" w:cs="Times New Roman"/>
          <w:b/>
          <w:color w:val="auto"/>
          <w:sz w:val="24"/>
          <w:szCs w:val="24"/>
          <w:highlight w:val="none"/>
        </w:rPr>
        <w:t>大写金额：</w:t>
      </w:r>
      <w:r>
        <w:rPr>
          <w:rFonts w:hint="eastAsia" w:eastAsia="仿宋" w:cs="Times New Roman"/>
          <w:b/>
          <w:color w:val="auto"/>
          <w:sz w:val="24"/>
          <w:szCs w:val="24"/>
          <w:highlight w:val="none"/>
          <w:lang w:eastAsia="zh-CN"/>
        </w:rPr>
        <w:t>叁佰肆拾肆万捌仟</w:t>
      </w:r>
      <w:r>
        <w:rPr>
          <w:rFonts w:hint="default" w:ascii="Times New Roman" w:hAnsi="Times New Roman" w:eastAsia="仿宋" w:cs="Times New Roman"/>
          <w:b/>
          <w:color w:val="auto"/>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lang w:val="en-US" w:eastAsia="zh-CN"/>
        </w:rPr>
      </w:pPr>
      <w:bookmarkStart w:id="0" w:name="OLE_LINK37"/>
      <w:r>
        <w:rPr>
          <w:rFonts w:hint="default" w:ascii="Times New Roman" w:hAnsi="Times New Roman" w:eastAsia="仿宋" w:cs="Times New Roman"/>
          <w:b/>
          <w:color w:val="auto"/>
          <w:sz w:val="24"/>
          <w:szCs w:val="24"/>
          <w:highlight w:val="none"/>
          <w:lang w:val="en-US" w:eastAsia="zh-CN"/>
        </w:rPr>
        <w:t>评估</w:t>
      </w:r>
      <w:r>
        <w:rPr>
          <w:rFonts w:hint="default" w:ascii="Times New Roman" w:hAnsi="Times New Roman" w:eastAsia="仿宋" w:cs="Times New Roman"/>
          <w:b/>
          <w:color w:val="auto"/>
          <w:sz w:val="24"/>
          <w:szCs w:val="24"/>
          <w:highlight w:val="none"/>
        </w:rPr>
        <w:t>单价</w:t>
      </w:r>
      <w:bookmarkEnd w:id="0"/>
      <w:r>
        <w:rPr>
          <w:rFonts w:hint="default" w:ascii="Times New Roman" w:hAnsi="Times New Roman" w:eastAsia="仿宋" w:cs="Times New Roman"/>
          <w:b/>
          <w:color w:val="auto"/>
          <w:sz w:val="24"/>
          <w:szCs w:val="24"/>
          <w:highlight w:val="none"/>
        </w:rPr>
        <w:t>：</w:t>
      </w:r>
      <w:r>
        <w:rPr>
          <w:rFonts w:hint="eastAsia" w:eastAsia="仿宋" w:cs="Times New Roman"/>
          <w:b/>
          <w:color w:val="auto"/>
          <w:sz w:val="24"/>
          <w:szCs w:val="24"/>
          <w:highlight w:val="none"/>
          <w:lang w:val="en-US" w:eastAsia="zh-CN"/>
        </w:rPr>
        <w:t>13020</w:t>
      </w:r>
      <w:r>
        <w:rPr>
          <w:rFonts w:hint="default" w:ascii="Times New Roman" w:hAnsi="Times New Roman" w:eastAsia="仿宋" w:cs="Times New Roman"/>
          <w:b/>
          <w:color w:val="auto"/>
          <w:sz w:val="24"/>
          <w:szCs w:val="24"/>
          <w:highlight w:val="none"/>
          <w:lang w:val="en-US" w:eastAsia="zh-CN"/>
        </w:rPr>
        <w:t>元/</w:t>
      </w:r>
      <w:r>
        <w:rPr>
          <w:rFonts w:hint="eastAsia" w:ascii="Times New Roman" w:hAnsi="Times New Roman" w:eastAsia="仿宋" w:cs="Times New Roman"/>
          <w:b/>
          <w:color w:val="auto"/>
          <w:sz w:val="24"/>
          <w:szCs w:val="24"/>
          <w:highlight w:val="none"/>
          <w:lang w:val="en-US" w:eastAsia="zh-CN"/>
        </w:rPr>
        <w:t>m</w:t>
      </w:r>
      <w:r>
        <w:rPr>
          <w:rFonts w:hint="eastAsia" w:ascii="Times New Roman" w:hAnsi="Times New Roman" w:eastAsia="仿宋" w:cs="Times New Roman"/>
          <w:b/>
          <w:color w:val="auto"/>
          <w:sz w:val="24"/>
          <w:szCs w:val="24"/>
          <w:highlight w:val="none"/>
          <w:vertAlign w:val="superscript"/>
          <w:lang w:val="en-US" w:eastAsia="zh-CN"/>
        </w:rPr>
        <w:t>2</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eastAsia" w:ascii="仿宋_GB2312" w:hAnsi="黑体" w:eastAsia="仿宋_GB2312" w:cs="Arial"/>
          <w:b/>
          <w:bCs/>
          <w:color w:val="auto"/>
          <w:sz w:val="24"/>
          <w:szCs w:val="24"/>
          <w:highlight w:val="none"/>
          <w:lang w:val="en-US" w:eastAsia="zh-CN"/>
        </w:rPr>
      </w:pPr>
      <w:r>
        <w:rPr>
          <w:rFonts w:hint="eastAsia" w:ascii="仿宋_GB2312" w:hAnsi="黑体" w:eastAsia="仿宋_GB2312" w:cs="Arial"/>
          <w:b/>
          <w:bCs/>
          <w:color w:val="auto"/>
          <w:sz w:val="24"/>
          <w:szCs w:val="24"/>
          <w:highlight w:val="none"/>
        </w:rPr>
        <w:t>特别提示</w:t>
      </w:r>
      <w:r>
        <w:rPr>
          <w:rFonts w:hint="eastAsia" w:ascii="仿宋_GB2312" w:hAnsi="黑体" w:eastAsia="仿宋_GB2312" w:cs="Arial"/>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2021年2月26日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widowControl w:val="0"/>
        <w:wordWrap/>
        <w:adjustRightInd w:val="0"/>
        <w:snapToGrid w:val="0"/>
        <w:spacing w:beforeLines="0" w:afterLines="0" w:line="360" w:lineRule="auto"/>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二〇二〇年二月二十七日</w:t>
      </w: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22050"/>
      <w:bookmarkStart w:id="2" w:name="_Toc367869492"/>
      <w:bookmarkStart w:id="3" w:name="_Toc301369710"/>
      <w:bookmarkStart w:id="4" w:name="_Toc297196345"/>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_Toc22482 </w:instrText>
      </w:r>
      <w:r>
        <w:rPr>
          <w:rFonts w:hint="default" w:ascii="Times New Roman" w:hAnsi="Times New Roman" w:eastAsia="仿宋_GB2312" w:cs="Times New Roman"/>
          <w:bCs/>
          <w:snapToGrid w:val="0"/>
          <w:kern w:val="0"/>
          <w:szCs w:val="28"/>
          <w:highlight w:val="none"/>
        </w:rPr>
        <w:fldChar w:fldCharType="separate"/>
      </w:r>
      <w:r>
        <w:rPr>
          <w:rFonts w:hint="eastAsia" w:ascii="黑体" w:hAnsi="黑体" w:eastAsia="黑体" w:cs="黑体"/>
          <w:bCs/>
          <w:snapToGrid w:val="0"/>
          <w:kern w:val="0"/>
          <w:szCs w:val="32"/>
          <w:highlight w:val="none"/>
        </w:rPr>
        <w:t>估价师声明</w:t>
      </w:r>
      <w:r>
        <w:tab/>
      </w:r>
      <w:r>
        <w:fldChar w:fldCharType="begin"/>
      </w:r>
      <w:r>
        <w:instrText xml:space="preserve"> PAGEREF _Toc22482 </w:instrText>
      </w:r>
      <w:r>
        <w:fldChar w:fldCharType="separate"/>
      </w:r>
      <w:r>
        <w:t>3</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25"/>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_Toc26228 </w:instrText>
      </w:r>
      <w:r>
        <w:rPr>
          <w:rFonts w:hint="default" w:ascii="Times New Roman" w:hAnsi="Times New Roman" w:eastAsia="仿宋_GB2312" w:cs="Times New Roman"/>
          <w:bCs/>
          <w:snapToGrid w:val="0"/>
          <w:kern w:val="0"/>
          <w:szCs w:val="28"/>
          <w:highlight w:val="none"/>
        </w:rPr>
        <w:fldChar w:fldCharType="separate"/>
      </w:r>
      <w:r>
        <w:rPr>
          <w:rFonts w:hint="eastAsia" w:ascii="黑体" w:hAnsi="黑体" w:eastAsia="黑体" w:cs="黑体"/>
          <w:bCs/>
          <w:snapToGrid w:val="0"/>
          <w:kern w:val="0"/>
          <w:szCs w:val="32"/>
          <w:highlight w:val="none"/>
        </w:rPr>
        <w:t>估价假设和限制条件</w:t>
      </w:r>
      <w:r>
        <w:tab/>
      </w:r>
      <w:r>
        <w:fldChar w:fldCharType="begin"/>
      </w:r>
      <w:r>
        <w:instrText xml:space="preserve"> PAGEREF _Toc26228 </w:instrText>
      </w:r>
      <w:r>
        <w:fldChar w:fldCharType="separate"/>
      </w:r>
      <w:r>
        <w:t>3</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25"/>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_Toc19486 </w:instrText>
      </w:r>
      <w:r>
        <w:rPr>
          <w:rFonts w:hint="default" w:ascii="Times New Roman" w:hAnsi="Times New Roman" w:eastAsia="仿宋_GB2312" w:cs="Times New Roman"/>
          <w:bCs/>
          <w:snapToGrid w:val="0"/>
          <w:kern w:val="0"/>
          <w:szCs w:val="28"/>
          <w:highlight w:val="none"/>
        </w:rPr>
        <w:fldChar w:fldCharType="separate"/>
      </w:r>
      <w:r>
        <w:rPr>
          <w:rFonts w:hint="eastAsia" w:ascii="黑体" w:hAnsi="黑体" w:eastAsia="黑体" w:cs="黑体"/>
          <w:bCs/>
          <w:snapToGrid w:val="0"/>
          <w:kern w:val="0"/>
          <w:szCs w:val="32"/>
          <w:highlight w:val="none"/>
        </w:rPr>
        <w:t>估价结果报告</w:t>
      </w:r>
      <w:r>
        <w:tab/>
      </w:r>
      <w:r>
        <w:fldChar w:fldCharType="begin"/>
      </w:r>
      <w:r>
        <w:instrText xml:space="preserve"> PAGEREF _Toc19486 </w:instrText>
      </w:r>
      <w:r>
        <w:fldChar w:fldCharType="separate"/>
      </w:r>
      <w:r>
        <w:t>6</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_Toc26588 </w:instrText>
      </w:r>
      <w:r>
        <w:rPr>
          <w:rFonts w:hint="default" w:ascii="Times New Roman" w:hAnsi="Times New Roman" w:eastAsia="仿宋_GB2312" w:cs="Times New Roman"/>
          <w:bCs/>
          <w:snapToGrid w:val="0"/>
          <w:kern w:val="0"/>
          <w:szCs w:val="28"/>
          <w:highlight w:val="none"/>
        </w:rPr>
        <w:fldChar w:fldCharType="separate"/>
      </w:r>
      <w:r>
        <w:rPr>
          <w:rFonts w:hint="eastAsia" w:ascii="Times New Roman" w:hAnsi="Times New Roman" w:eastAsia="仿宋_GB2312" w:cs="Times New Roman"/>
          <w:szCs w:val="24"/>
          <w:highlight w:val="none"/>
        </w:rPr>
        <w:t>一</w:t>
      </w:r>
      <w:r>
        <w:rPr>
          <w:rFonts w:hint="eastAsia" w:eastAsia="仿宋_GB2312" w:cs="Times New Roman"/>
          <w:szCs w:val="24"/>
          <w:highlight w:val="none"/>
          <w:lang w:eastAsia="zh-CN"/>
        </w:rPr>
        <w:t>、</w:t>
      </w:r>
      <w:r>
        <w:rPr>
          <w:rFonts w:hint="eastAsia" w:ascii="Times New Roman" w:hAnsi="Times New Roman" w:eastAsia="仿宋_GB2312" w:cs="Times New Roman"/>
          <w:szCs w:val="24"/>
          <w:highlight w:val="none"/>
        </w:rPr>
        <w:t>估价委托</w:t>
      </w:r>
      <w:r>
        <w:rPr>
          <w:rFonts w:hint="eastAsia" w:ascii="Times New Roman" w:hAnsi="Times New Roman" w:eastAsia="仿宋_GB2312" w:cs="Times New Roman"/>
          <w:szCs w:val="24"/>
          <w:highlight w:val="none"/>
          <w:lang w:eastAsia="zh-CN"/>
        </w:rPr>
        <w:t>人</w:t>
      </w:r>
      <w:r>
        <w:tab/>
      </w:r>
      <w:r>
        <w:fldChar w:fldCharType="begin"/>
      </w:r>
      <w:r>
        <w:instrText xml:space="preserve"> PAGEREF _Toc26588 </w:instrText>
      </w:r>
      <w:r>
        <w:fldChar w:fldCharType="separate"/>
      </w:r>
      <w:r>
        <w:t>6</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_Toc27169 </w:instrText>
      </w:r>
      <w:r>
        <w:rPr>
          <w:rFonts w:hint="default" w:ascii="Times New Roman" w:hAnsi="Times New Roman" w:eastAsia="仿宋_GB2312" w:cs="Times New Roman"/>
          <w:bCs/>
          <w:snapToGrid w:val="0"/>
          <w:kern w:val="0"/>
          <w:szCs w:val="28"/>
          <w:highlight w:val="none"/>
        </w:rPr>
        <w:fldChar w:fldCharType="separate"/>
      </w:r>
      <w:r>
        <w:rPr>
          <w:rFonts w:hint="eastAsia" w:ascii="仿宋" w:hAnsi="仿宋" w:eastAsia="仿宋"/>
          <w:bCs w:val="0"/>
          <w:szCs w:val="24"/>
          <w:highlight w:val="none"/>
          <w:lang w:eastAsia="zh-CN"/>
        </w:rPr>
        <w:t>二、房地产估价机构</w:t>
      </w:r>
      <w:r>
        <w:tab/>
      </w:r>
      <w:r>
        <w:fldChar w:fldCharType="begin"/>
      </w:r>
      <w:r>
        <w:instrText xml:space="preserve"> PAGEREF _Toc27169 </w:instrText>
      </w:r>
      <w:r>
        <w:fldChar w:fldCharType="separate"/>
      </w:r>
      <w:r>
        <w:t>6</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_Toc28615 </w:instrText>
      </w:r>
      <w:r>
        <w:rPr>
          <w:rFonts w:hint="default" w:ascii="Times New Roman" w:hAnsi="Times New Roman" w:eastAsia="仿宋_GB2312" w:cs="Times New Roman"/>
          <w:bCs/>
          <w:snapToGrid w:val="0"/>
          <w:kern w:val="0"/>
          <w:szCs w:val="28"/>
          <w:highlight w:val="none"/>
        </w:rPr>
        <w:fldChar w:fldCharType="separate"/>
      </w:r>
      <w:r>
        <w:rPr>
          <w:rFonts w:hint="eastAsia" w:ascii="Times New Roman" w:hAnsi="Times New Roman" w:eastAsia="仿宋_GB2312" w:cs="Times New Roman"/>
          <w:bCs w:val="0"/>
          <w:szCs w:val="24"/>
          <w:highlight w:val="none"/>
        </w:rPr>
        <w:t>三</w:t>
      </w:r>
      <w:r>
        <w:rPr>
          <w:rFonts w:hint="eastAsia" w:eastAsia="仿宋_GB2312" w:cs="Times New Roman"/>
          <w:bCs w:val="0"/>
          <w:szCs w:val="24"/>
          <w:highlight w:val="none"/>
          <w:lang w:eastAsia="zh-CN"/>
        </w:rPr>
        <w:t>、</w:t>
      </w:r>
      <w:r>
        <w:rPr>
          <w:rFonts w:hint="eastAsia" w:ascii="Times New Roman" w:hAnsi="Times New Roman" w:eastAsia="仿宋_GB2312" w:cs="Times New Roman"/>
          <w:bCs w:val="0"/>
          <w:szCs w:val="24"/>
          <w:highlight w:val="none"/>
        </w:rPr>
        <w:t>估价目的</w:t>
      </w:r>
      <w:r>
        <w:tab/>
      </w:r>
      <w:r>
        <w:fldChar w:fldCharType="begin"/>
      </w:r>
      <w:r>
        <w:instrText xml:space="preserve"> PAGEREF _Toc28615 </w:instrText>
      </w:r>
      <w:r>
        <w:fldChar w:fldCharType="separate"/>
      </w:r>
      <w:r>
        <w:t>6</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_Toc21158 </w:instrText>
      </w:r>
      <w:r>
        <w:rPr>
          <w:rFonts w:hint="default" w:ascii="Times New Roman" w:hAnsi="Times New Roman" w:eastAsia="仿宋_GB2312" w:cs="Times New Roman"/>
          <w:bCs/>
          <w:snapToGrid w:val="0"/>
          <w:kern w:val="0"/>
          <w:szCs w:val="28"/>
          <w:highlight w:val="none"/>
        </w:rPr>
        <w:fldChar w:fldCharType="separate"/>
      </w:r>
      <w:r>
        <w:rPr>
          <w:rFonts w:hint="eastAsia" w:ascii="Times New Roman" w:hAnsi="Times New Roman" w:eastAsia="仿宋_GB2312" w:cs="Times New Roman"/>
          <w:bCs w:val="0"/>
          <w:szCs w:val="24"/>
          <w:highlight w:val="none"/>
          <w:lang w:eastAsia="zh-CN"/>
        </w:rPr>
        <w:t>四</w:t>
      </w:r>
      <w:r>
        <w:rPr>
          <w:rFonts w:hint="eastAsia" w:eastAsia="仿宋_GB2312" w:cs="Times New Roman"/>
          <w:bCs w:val="0"/>
          <w:szCs w:val="24"/>
          <w:highlight w:val="none"/>
          <w:lang w:eastAsia="zh-CN"/>
        </w:rPr>
        <w:t>、</w:t>
      </w:r>
      <w:r>
        <w:rPr>
          <w:rFonts w:hint="default" w:ascii="Times New Roman" w:hAnsi="Times New Roman" w:eastAsia="仿宋_GB2312" w:cs="Times New Roman"/>
          <w:bCs w:val="0"/>
          <w:szCs w:val="24"/>
          <w:highlight w:val="none"/>
          <w:lang w:eastAsia="zh-CN"/>
        </w:rPr>
        <w:t>估价对象</w:t>
      </w:r>
      <w:r>
        <w:tab/>
      </w:r>
      <w:r>
        <w:fldChar w:fldCharType="begin"/>
      </w:r>
      <w:r>
        <w:instrText xml:space="preserve"> PAGEREF _Toc21158 </w:instrText>
      </w:r>
      <w:r>
        <w:fldChar w:fldCharType="separate"/>
      </w:r>
      <w:r>
        <w:t>6</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_Toc13206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五</w:t>
      </w:r>
      <w:r>
        <w:rPr>
          <w:rFonts w:hint="eastAsia" w:eastAsia="仿宋_GB2312" w:cs="Times New Roman"/>
          <w:bCs w:val="0"/>
          <w:szCs w:val="24"/>
          <w:highlight w:val="none"/>
          <w:lang w:val="en-US" w:eastAsia="zh-CN"/>
        </w:rPr>
        <w:t>、</w:t>
      </w:r>
      <w:r>
        <w:rPr>
          <w:rFonts w:hint="default" w:ascii="Times New Roman" w:hAnsi="Times New Roman" w:eastAsia="仿宋_GB2312" w:cs="Times New Roman"/>
          <w:bCs w:val="0"/>
          <w:szCs w:val="24"/>
          <w:highlight w:val="none"/>
          <w:lang w:val="en-US" w:eastAsia="zh-CN"/>
        </w:rPr>
        <w:t>鉴定要求</w:t>
      </w:r>
      <w:r>
        <w:tab/>
      </w:r>
      <w:r>
        <w:fldChar w:fldCharType="begin"/>
      </w:r>
      <w:r>
        <w:instrText xml:space="preserve"> PAGEREF _Toc13206 </w:instrText>
      </w:r>
      <w:r>
        <w:fldChar w:fldCharType="separate"/>
      </w:r>
      <w:r>
        <w:t>7</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_Toc12164 </w:instrText>
      </w:r>
      <w:r>
        <w:rPr>
          <w:rFonts w:hint="default" w:ascii="Times New Roman" w:hAnsi="Times New Roman" w:eastAsia="仿宋_GB2312" w:cs="Times New Roman"/>
          <w:bCs/>
          <w:snapToGrid w:val="0"/>
          <w:kern w:val="0"/>
          <w:szCs w:val="28"/>
          <w:highlight w:val="none"/>
        </w:rPr>
        <w:fldChar w:fldCharType="separate"/>
      </w:r>
      <w:r>
        <w:rPr>
          <w:rFonts w:hint="eastAsia" w:eastAsia="仿宋_GB2312" w:cs="Times New Roman"/>
          <w:bCs w:val="0"/>
          <w:szCs w:val="24"/>
          <w:highlight w:val="none"/>
          <w:lang w:val="en-US" w:eastAsia="zh-CN"/>
        </w:rPr>
        <w:t>六、</w:t>
      </w:r>
      <w:r>
        <w:rPr>
          <w:rFonts w:hint="default" w:ascii="Times New Roman" w:hAnsi="Times New Roman" w:eastAsia="仿宋_GB2312" w:cs="Times New Roman"/>
          <w:bCs w:val="0"/>
          <w:szCs w:val="24"/>
          <w:highlight w:val="none"/>
          <w:lang w:val="en-US" w:eastAsia="zh-CN"/>
        </w:rPr>
        <w:t>价值时点</w:t>
      </w:r>
      <w:r>
        <w:tab/>
      </w:r>
      <w:r>
        <w:fldChar w:fldCharType="begin"/>
      </w:r>
      <w:r>
        <w:instrText xml:space="preserve"> PAGEREF _Toc12164 </w:instrText>
      </w:r>
      <w:r>
        <w:fldChar w:fldCharType="separate"/>
      </w:r>
      <w:r>
        <w:t>15</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_Toc26107 </w:instrText>
      </w:r>
      <w:r>
        <w:rPr>
          <w:rFonts w:hint="default" w:ascii="Times New Roman" w:hAnsi="Times New Roman" w:eastAsia="仿宋_GB2312" w:cs="Times New Roman"/>
          <w:bCs/>
          <w:snapToGrid w:val="0"/>
          <w:kern w:val="0"/>
          <w:szCs w:val="28"/>
          <w:highlight w:val="none"/>
        </w:rPr>
        <w:fldChar w:fldCharType="separate"/>
      </w:r>
      <w:r>
        <w:rPr>
          <w:rFonts w:hint="eastAsia" w:eastAsia="仿宋_GB2312" w:cs="Times New Roman"/>
          <w:bCs w:val="0"/>
          <w:szCs w:val="24"/>
          <w:highlight w:val="none"/>
          <w:lang w:val="en-US" w:eastAsia="zh-CN"/>
        </w:rPr>
        <w:t>七、</w:t>
      </w:r>
      <w:r>
        <w:rPr>
          <w:rFonts w:hint="default" w:ascii="Times New Roman" w:hAnsi="Times New Roman" w:eastAsia="仿宋_GB2312" w:cs="Times New Roman"/>
          <w:bCs w:val="0"/>
          <w:szCs w:val="24"/>
          <w:highlight w:val="none"/>
          <w:lang w:val="en-US" w:eastAsia="zh-CN"/>
        </w:rPr>
        <w:t>价值类型</w:t>
      </w:r>
      <w:r>
        <w:tab/>
      </w:r>
      <w:r>
        <w:fldChar w:fldCharType="begin"/>
      </w:r>
      <w:r>
        <w:instrText xml:space="preserve"> PAGEREF _Toc26107 </w:instrText>
      </w:r>
      <w:r>
        <w:fldChar w:fldCharType="separate"/>
      </w:r>
      <w:r>
        <w:t>15</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_Toc7362 </w:instrText>
      </w:r>
      <w:r>
        <w:rPr>
          <w:rFonts w:hint="default" w:ascii="Times New Roman" w:hAnsi="Times New Roman" w:eastAsia="仿宋_GB2312" w:cs="Times New Roman"/>
          <w:bCs/>
          <w:snapToGrid w:val="0"/>
          <w:kern w:val="0"/>
          <w:szCs w:val="28"/>
          <w:highlight w:val="none"/>
        </w:rPr>
        <w:fldChar w:fldCharType="separate"/>
      </w:r>
      <w:r>
        <w:rPr>
          <w:rFonts w:hint="eastAsia" w:eastAsia="仿宋_GB2312" w:cs="Times New Roman"/>
          <w:bCs w:val="0"/>
          <w:szCs w:val="24"/>
          <w:highlight w:val="none"/>
          <w:lang w:val="en-US" w:eastAsia="zh-CN"/>
        </w:rPr>
        <w:t>八、</w:t>
      </w:r>
      <w:r>
        <w:rPr>
          <w:rFonts w:hint="default" w:ascii="Times New Roman" w:hAnsi="Times New Roman" w:eastAsia="仿宋_GB2312" w:cs="Times New Roman"/>
          <w:bCs w:val="0"/>
          <w:szCs w:val="24"/>
          <w:highlight w:val="none"/>
          <w:lang w:val="en-US" w:eastAsia="zh-CN"/>
        </w:rPr>
        <w:t>估价原则</w:t>
      </w:r>
      <w:r>
        <w:tab/>
      </w:r>
      <w:r>
        <w:fldChar w:fldCharType="begin"/>
      </w:r>
      <w:r>
        <w:instrText xml:space="preserve"> PAGEREF _Toc7362 </w:instrText>
      </w:r>
      <w:r>
        <w:fldChar w:fldCharType="separate"/>
      </w:r>
      <w:r>
        <w:t>15</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_Toc7961 </w:instrText>
      </w:r>
      <w:r>
        <w:rPr>
          <w:rFonts w:hint="default" w:ascii="Times New Roman" w:hAnsi="Times New Roman" w:eastAsia="仿宋_GB2312" w:cs="Times New Roman"/>
          <w:bCs/>
          <w:snapToGrid w:val="0"/>
          <w:kern w:val="0"/>
          <w:szCs w:val="28"/>
          <w:highlight w:val="none"/>
        </w:rPr>
        <w:fldChar w:fldCharType="separate"/>
      </w:r>
      <w:r>
        <w:rPr>
          <w:rFonts w:hint="eastAsia" w:eastAsia="仿宋_GB2312" w:cs="Times New Roman"/>
          <w:bCs w:val="0"/>
          <w:szCs w:val="24"/>
          <w:highlight w:val="none"/>
          <w:lang w:val="en-US" w:eastAsia="zh-CN"/>
        </w:rPr>
        <w:t>九、</w:t>
      </w:r>
      <w:r>
        <w:rPr>
          <w:rFonts w:hint="default" w:ascii="Times New Roman" w:hAnsi="Times New Roman" w:eastAsia="仿宋_GB2312" w:cs="Times New Roman"/>
          <w:bCs w:val="0"/>
          <w:szCs w:val="24"/>
          <w:highlight w:val="none"/>
          <w:lang w:val="en-US" w:eastAsia="zh-CN"/>
        </w:rPr>
        <w:t>估价依据</w:t>
      </w:r>
      <w:r>
        <w:tab/>
      </w:r>
      <w:r>
        <w:fldChar w:fldCharType="begin"/>
      </w:r>
      <w:r>
        <w:instrText xml:space="preserve"> PAGEREF _Toc7961 </w:instrText>
      </w:r>
      <w:r>
        <w:fldChar w:fldCharType="separate"/>
      </w:r>
      <w:r>
        <w:t>17</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_Toc17534 </w:instrText>
      </w:r>
      <w:r>
        <w:rPr>
          <w:rFonts w:hint="default" w:ascii="Times New Roman" w:hAnsi="Times New Roman" w:eastAsia="仿宋_GB2312" w:cs="Times New Roman"/>
          <w:bCs/>
          <w:snapToGrid w:val="0"/>
          <w:kern w:val="0"/>
          <w:szCs w:val="28"/>
          <w:highlight w:val="none"/>
        </w:rPr>
        <w:fldChar w:fldCharType="separate"/>
      </w:r>
      <w:r>
        <w:rPr>
          <w:rFonts w:hint="eastAsia" w:eastAsia="仿宋_GB2312" w:cs="Times New Roman"/>
          <w:bCs w:val="0"/>
          <w:szCs w:val="24"/>
          <w:highlight w:val="none"/>
          <w:lang w:val="en-US" w:eastAsia="zh-CN"/>
        </w:rPr>
        <w:t>十、</w:t>
      </w:r>
      <w:r>
        <w:rPr>
          <w:rFonts w:hint="default" w:ascii="Times New Roman" w:hAnsi="Times New Roman" w:eastAsia="仿宋_GB2312" w:cs="Times New Roman"/>
          <w:bCs w:val="0"/>
          <w:szCs w:val="24"/>
          <w:highlight w:val="none"/>
          <w:lang w:val="en-US" w:eastAsia="zh-CN"/>
        </w:rPr>
        <w:t>估价方法</w:t>
      </w:r>
      <w:r>
        <w:tab/>
      </w:r>
      <w:r>
        <w:fldChar w:fldCharType="begin"/>
      </w:r>
      <w:r>
        <w:instrText xml:space="preserve"> PAGEREF _Toc17534 </w:instrText>
      </w:r>
      <w:r>
        <w:fldChar w:fldCharType="separate"/>
      </w:r>
      <w:r>
        <w:t>18</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_Toc11719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w:t>
      </w:r>
      <w:r>
        <w:rPr>
          <w:rFonts w:hint="eastAsia" w:eastAsia="仿宋_GB2312" w:cs="Times New Roman"/>
          <w:bCs w:val="0"/>
          <w:szCs w:val="24"/>
          <w:highlight w:val="none"/>
          <w:lang w:val="en-US" w:eastAsia="zh-CN"/>
        </w:rPr>
        <w:t>一、</w:t>
      </w:r>
      <w:r>
        <w:rPr>
          <w:rFonts w:hint="default" w:ascii="Times New Roman" w:hAnsi="Times New Roman" w:eastAsia="仿宋_GB2312" w:cs="Times New Roman"/>
          <w:bCs w:val="0"/>
          <w:szCs w:val="24"/>
          <w:highlight w:val="none"/>
          <w:lang w:val="en-US" w:eastAsia="zh-CN"/>
        </w:rPr>
        <w:t>估价结果</w:t>
      </w:r>
      <w:r>
        <w:tab/>
      </w:r>
      <w:r>
        <w:fldChar w:fldCharType="begin"/>
      </w:r>
      <w:r>
        <w:instrText xml:space="preserve"> PAGEREF _Toc11719 </w:instrText>
      </w:r>
      <w:r>
        <w:fldChar w:fldCharType="separate"/>
      </w:r>
      <w:r>
        <w:t>19</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_Toc2420 </w:instrText>
      </w:r>
      <w:r>
        <w:rPr>
          <w:rFonts w:hint="default" w:ascii="Times New Roman" w:hAnsi="Times New Roman" w:eastAsia="仿宋_GB2312" w:cs="Times New Roman"/>
          <w:bCs/>
          <w:snapToGrid w:val="0"/>
          <w:kern w:val="0"/>
          <w:szCs w:val="28"/>
          <w:highlight w:val="none"/>
        </w:rPr>
        <w:fldChar w:fldCharType="separate"/>
      </w:r>
      <w:r>
        <w:rPr>
          <w:rFonts w:hint="eastAsia" w:ascii="Times New Roman" w:hAnsi="Times New Roman" w:eastAsia="仿宋_GB2312" w:cs="Times New Roman"/>
          <w:bCs w:val="0"/>
          <w:szCs w:val="24"/>
          <w:highlight w:val="none"/>
          <w:lang w:val="en-US" w:eastAsia="zh-CN"/>
        </w:rPr>
        <w:t>十</w:t>
      </w:r>
      <w:r>
        <w:rPr>
          <w:rFonts w:hint="eastAsia" w:eastAsia="仿宋_GB2312" w:cs="Times New Roman"/>
          <w:bCs w:val="0"/>
          <w:szCs w:val="24"/>
          <w:highlight w:val="none"/>
          <w:lang w:val="en-US" w:eastAsia="zh-CN"/>
        </w:rPr>
        <w:t>二、</w:t>
      </w:r>
      <w:r>
        <w:rPr>
          <w:rFonts w:hint="default" w:ascii="Times New Roman" w:hAnsi="Times New Roman" w:eastAsia="仿宋_GB2312" w:cs="Times New Roman"/>
          <w:bCs w:val="0"/>
          <w:szCs w:val="24"/>
          <w:highlight w:val="none"/>
          <w:lang w:val="en-US" w:eastAsia="zh-CN"/>
        </w:rPr>
        <w:t>注册房地产估价师</w:t>
      </w:r>
      <w:r>
        <w:tab/>
      </w:r>
      <w:r>
        <w:fldChar w:fldCharType="begin"/>
      </w:r>
      <w:r>
        <w:instrText xml:space="preserve"> PAGEREF _Toc2420 </w:instrText>
      </w:r>
      <w:r>
        <w:fldChar w:fldCharType="separate"/>
      </w:r>
      <w:r>
        <w:t>20</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_Toc12015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w:t>
      </w:r>
      <w:r>
        <w:rPr>
          <w:rFonts w:hint="eastAsia" w:eastAsia="仿宋_GB2312" w:cs="Times New Roman"/>
          <w:bCs w:val="0"/>
          <w:szCs w:val="24"/>
          <w:highlight w:val="none"/>
          <w:lang w:val="en-US" w:eastAsia="zh-CN"/>
        </w:rPr>
        <w:t>三、</w:t>
      </w:r>
      <w:r>
        <w:rPr>
          <w:rFonts w:hint="default" w:ascii="Times New Roman" w:hAnsi="Times New Roman" w:eastAsia="仿宋_GB2312" w:cs="Times New Roman"/>
          <w:bCs w:val="0"/>
          <w:szCs w:val="24"/>
          <w:highlight w:val="none"/>
          <w:lang w:val="en-US" w:eastAsia="zh-CN"/>
        </w:rPr>
        <w:t>实地查勘期</w:t>
      </w:r>
      <w:r>
        <w:tab/>
      </w:r>
      <w:r>
        <w:fldChar w:fldCharType="begin"/>
      </w:r>
      <w:r>
        <w:instrText xml:space="preserve"> PAGEREF _Toc12015 </w:instrText>
      </w:r>
      <w:r>
        <w:fldChar w:fldCharType="separate"/>
      </w:r>
      <w:r>
        <w:t>20</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33"/>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_Toc21504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w:t>
      </w:r>
      <w:r>
        <w:rPr>
          <w:rFonts w:hint="eastAsia" w:eastAsia="仿宋_GB2312" w:cs="Times New Roman"/>
          <w:bCs w:val="0"/>
          <w:szCs w:val="24"/>
          <w:highlight w:val="none"/>
          <w:lang w:val="en-US" w:eastAsia="zh-CN"/>
        </w:rPr>
        <w:t>四、</w:t>
      </w:r>
      <w:r>
        <w:rPr>
          <w:rFonts w:hint="default" w:ascii="Times New Roman" w:hAnsi="Times New Roman" w:eastAsia="仿宋_GB2312" w:cs="Times New Roman"/>
          <w:bCs w:val="0"/>
          <w:szCs w:val="24"/>
          <w:highlight w:val="none"/>
          <w:lang w:val="en-US" w:eastAsia="zh-CN"/>
        </w:rPr>
        <w:t>估价作业期</w:t>
      </w:r>
      <w:r>
        <w:tab/>
      </w:r>
      <w:r>
        <w:fldChar w:fldCharType="begin"/>
      </w:r>
      <w:r>
        <w:instrText xml:space="preserve"> PAGEREF _Toc21504 </w:instrText>
      </w:r>
      <w:r>
        <w:fldChar w:fldCharType="separate"/>
      </w:r>
      <w:r>
        <w:t>20</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25"/>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_Toc21084 </w:instrText>
      </w:r>
      <w:r>
        <w:rPr>
          <w:rFonts w:hint="default" w:ascii="Times New Roman" w:hAnsi="Times New Roman" w:eastAsia="仿宋_GB2312" w:cs="Times New Roman"/>
          <w:bCs/>
          <w:snapToGrid w:val="0"/>
          <w:kern w:val="0"/>
          <w:szCs w:val="28"/>
          <w:highlight w:val="none"/>
        </w:rPr>
        <w:fldChar w:fldCharType="separate"/>
      </w:r>
      <w:r>
        <w:rPr>
          <w:rFonts w:hint="eastAsia" w:ascii="黑体" w:hAnsi="黑体" w:eastAsia="黑体" w:cs="黑体"/>
          <w:bCs/>
          <w:snapToGrid w:val="0"/>
          <w:spacing w:val="0"/>
          <w:kern w:val="0"/>
          <w:szCs w:val="32"/>
          <w:highlight w:val="none"/>
        </w:rPr>
        <w:t>附件</w:t>
      </w:r>
      <w:r>
        <w:tab/>
      </w:r>
      <w:r>
        <w:fldChar w:fldCharType="begin"/>
      </w:r>
      <w:r>
        <w:instrText xml:space="preserve"> PAGEREF _Toc21084 </w:instrText>
      </w:r>
      <w:r>
        <w:fldChar w:fldCharType="separate"/>
      </w:r>
      <w:r>
        <w:t>21</w:t>
      </w:r>
      <w: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72"/>
        <w:numPr>
          <w:ilvl w:val="0"/>
          <w:numId w:val="0"/>
        </w:numPr>
        <w:adjustRightInd w:val="0"/>
        <w:snapToGrid w:val="0"/>
        <w:spacing w:beforeLines="0" w:afterLines="0" w:line="360" w:lineRule="auto"/>
        <w:ind w:firstLine="480"/>
        <w:jc w:val="left"/>
        <w:outlineLvl w:val="1"/>
        <w:rPr>
          <w:rFonts w:hint="default" w:eastAsia="仿宋_GB2312"/>
          <w:color w:val="auto"/>
          <w:sz w:val="21"/>
          <w:szCs w:val="21"/>
        </w:rPr>
      </w:pPr>
      <w:r>
        <w:rPr>
          <w:rFonts w:hint="default" w:eastAsia="仿宋_GB2312"/>
          <w:color w:val="auto"/>
          <w:sz w:val="21"/>
          <w:szCs w:val="21"/>
        </w:rPr>
        <w:t>1.</w:t>
      </w:r>
      <w:r>
        <w:rPr>
          <w:rFonts w:hint="eastAsia" w:eastAsia="仿宋_GB2312"/>
          <w:color w:val="auto"/>
          <w:sz w:val="21"/>
          <w:szCs w:val="21"/>
          <w:lang w:eastAsia="zh-CN"/>
        </w:rPr>
        <w:t>《委托书》</w:t>
      </w:r>
      <w:r>
        <w:rPr>
          <w:rFonts w:hint="eastAsia" w:eastAsia="仿宋_GB2312"/>
          <w:color w:val="auto"/>
          <w:sz w:val="21"/>
          <w:szCs w:val="21"/>
        </w:rPr>
        <w:t>复印件</w:t>
      </w:r>
    </w:p>
    <w:p>
      <w:pPr>
        <w:pStyle w:val="72"/>
        <w:numPr>
          <w:ilvl w:val="0"/>
          <w:numId w:val="0"/>
        </w:numPr>
        <w:adjustRightInd w:val="0"/>
        <w:snapToGrid w:val="0"/>
        <w:spacing w:beforeLines="0" w:afterLines="0" w:line="360" w:lineRule="auto"/>
        <w:ind w:firstLine="480"/>
        <w:jc w:val="left"/>
        <w:outlineLvl w:val="1"/>
        <w:rPr>
          <w:rFonts w:hint="eastAsia" w:eastAsia="仿宋_GB2312"/>
          <w:color w:val="auto"/>
          <w:sz w:val="21"/>
          <w:szCs w:val="21"/>
        </w:rPr>
      </w:pPr>
      <w:r>
        <w:rPr>
          <w:rFonts w:hint="default" w:eastAsia="仿宋_GB2312"/>
          <w:color w:val="auto"/>
          <w:sz w:val="21"/>
          <w:szCs w:val="21"/>
        </w:rPr>
        <w:t>2.</w:t>
      </w:r>
      <w:r>
        <w:rPr>
          <w:rFonts w:hint="eastAsia" w:eastAsia="仿宋_GB2312"/>
          <w:color w:val="auto"/>
          <w:sz w:val="21"/>
          <w:szCs w:val="21"/>
        </w:rPr>
        <w:t>《商品房买卖合同》复印件</w:t>
      </w:r>
    </w:p>
    <w:p>
      <w:pPr>
        <w:pStyle w:val="72"/>
        <w:numPr>
          <w:ilvl w:val="0"/>
          <w:numId w:val="0"/>
        </w:numPr>
        <w:adjustRightInd w:val="0"/>
        <w:snapToGrid w:val="0"/>
        <w:spacing w:beforeLines="0" w:afterLines="0" w:line="360" w:lineRule="auto"/>
        <w:ind w:firstLine="480"/>
        <w:jc w:val="left"/>
        <w:outlineLvl w:val="1"/>
        <w:rPr>
          <w:rFonts w:hint="default" w:eastAsia="仿宋_GB2312"/>
          <w:color w:val="auto"/>
          <w:sz w:val="21"/>
          <w:szCs w:val="21"/>
        </w:rPr>
      </w:pPr>
      <w:r>
        <w:rPr>
          <w:rFonts w:hint="eastAsia" w:eastAsia="仿宋_GB2312"/>
          <w:color w:val="auto"/>
          <w:sz w:val="21"/>
          <w:szCs w:val="21"/>
          <w:lang w:val="en-US" w:eastAsia="zh-CN"/>
        </w:rPr>
        <w:t>3.</w:t>
      </w:r>
      <w:r>
        <w:rPr>
          <w:rFonts w:hint="eastAsia" w:eastAsia="仿宋_GB2312"/>
          <w:color w:val="auto"/>
          <w:sz w:val="21"/>
          <w:szCs w:val="21"/>
        </w:rPr>
        <w:t>估价对象位置图</w:t>
      </w:r>
    </w:p>
    <w:p>
      <w:pPr>
        <w:pStyle w:val="72"/>
        <w:numPr>
          <w:ilvl w:val="0"/>
          <w:numId w:val="0"/>
        </w:numPr>
        <w:adjustRightInd w:val="0"/>
        <w:snapToGrid w:val="0"/>
        <w:spacing w:beforeLines="0" w:afterLines="0" w:line="360" w:lineRule="auto"/>
        <w:ind w:firstLine="480"/>
        <w:jc w:val="left"/>
        <w:outlineLvl w:val="1"/>
        <w:rPr>
          <w:rFonts w:hint="default" w:eastAsia="仿宋_GB2312"/>
          <w:color w:val="auto"/>
          <w:sz w:val="21"/>
          <w:szCs w:val="21"/>
        </w:rPr>
      </w:pPr>
      <w:r>
        <w:rPr>
          <w:rFonts w:hint="eastAsia" w:eastAsia="仿宋_GB2312"/>
          <w:color w:val="auto"/>
          <w:sz w:val="21"/>
          <w:szCs w:val="21"/>
          <w:lang w:val="en-US" w:eastAsia="zh-CN"/>
        </w:rPr>
        <w:t>4</w:t>
      </w:r>
      <w:r>
        <w:rPr>
          <w:rFonts w:hint="default" w:eastAsia="仿宋_GB2312"/>
          <w:color w:val="auto"/>
          <w:sz w:val="21"/>
          <w:szCs w:val="21"/>
        </w:rPr>
        <w:t>.</w:t>
      </w:r>
      <w:r>
        <w:rPr>
          <w:rFonts w:hint="eastAsia" w:eastAsia="仿宋_GB2312"/>
          <w:color w:val="auto"/>
          <w:sz w:val="21"/>
          <w:szCs w:val="21"/>
        </w:rPr>
        <w:t>估价对象相关照片</w:t>
      </w:r>
    </w:p>
    <w:p>
      <w:pPr>
        <w:pStyle w:val="72"/>
        <w:numPr>
          <w:ilvl w:val="0"/>
          <w:numId w:val="0"/>
        </w:numPr>
        <w:adjustRightInd w:val="0"/>
        <w:snapToGrid w:val="0"/>
        <w:spacing w:beforeLines="0" w:afterLines="0" w:line="360" w:lineRule="auto"/>
        <w:ind w:firstLine="480"/>
        <w:jc w:val="left"/>
        <w:outlineLvl w:val="1"/>
        <w:rPr>
          <w:rFonts w:hint="default" w:eastAsia="仿宋_GB2312"/>
          <w:color w:val="auto"/>
          <w:sz w:val="21"/>
          <w:szCs w:val="21"/>
        </w:rPr>
      </w:pPr>
      <w:r>
        <w:rPr>
          <w:rFonts w:hint="eastAsia" w:eastAsia="仿宋_GB2312"/>
          <w:color w:val="auto"/>
          <w:sz w:val="21"/>
          <w:szCs w:val="21"/>
          <w:lang w:val="en-US" w:eastAsia="zh-CN"/>
        </w:rPr>
        <w:t>5</w:t>
      </w:r>
      <w:r>
        <w:rPr>
          <w:rFonts w:hint="default" w:eastAsia="仿宋_GB2312"/>
          <w:color w:val="auto"/>
          <w:sz w:val="21"/>
          <w:szCs w:val="21"/>
        </w:rPr>
        <w:t>.</w:t>
      </w:r>
      <w:r>
        <w:rPr>
          <w:rFonts w:hint="eastAsia" w:eastAsia="仿宋_GB2312"/>
          <w:color w:val="auto"/>
          <w:sz w:val="21"/>
          <w:szCs w:val="21"/>
        </w:rPr>
        <w:t>房地产估价机构营业执照复印件</w:t>
      </w:r>
    </w:p>
    <w:p>
      <w:pPr>
        <w:pStyle w:val="72"/>
        <w:numPr>
          <w:ilvl w:val="0"/>
          <w:numId w:val="0"/>
        </w:numPr>
        <w:adjustRightInd w:val="0"/>
        <w:snapToGrid w:val="0"/>
        <w:spacing w:beforeLines="0" w:afterLines="0" w:line="360" w:lineRule="auto"/>
        <w:ind w:firstLine="480"/>
        <w:jc w:val="left"/>
        <w:outlineLvl w:val="1"/>
        <w:rPr>
          <w:rFonts w:hint="default" w:eastAsia="仿宋_GB2312"/>
          <w:color w:val="auto"/>
          <w:sz w:val="21"/>
          <w:szCs w:val="21"/>
        </w:rPr>
      </w:pPr>
      <w:r>
        <w:rPr>
          <w:rFonts w:hint="eastAsia" w:eastAsia="仿宋_GB2312"/>
          <w:color w:val="auto"/>
          <w:sz w:val="21"/>
          <w:szCs w:val="21"/>
          <w:lang w:val="en-US" w:eastAsia="zh-CN"/>
        </w:rPr>
        <w:t>6</w:t>
      </w:r>
      <w:r>
        <w:rPr>
          <w:rFonts w:hint="eastAsia" w:eastAsia="仿宋_GB2312"/>
          <w:color w:val="auto"/>
          <w:sz w:val="21"/>
          <w:szCs w:val="21"/>
        </w:rPr>
        <w:t>.房地产估价机构备案证书复印件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firstLine="480"/>
        <w:jc w:val="left"/>
        <w:textAlignment w:val="auto"/>
        <w:outlineLvl w:val="1"/>
        <w:rPr>
          <w:rFonts w:hint="default" w:eastAsia="仿宋_GB2312"/>
          <w:color w:val="auto"/>
          <w:sz w:val="21"/>
          <w:szCs w:val="21"/>
        </w:rPr>
      </w:pPr>
      <w:r>
        <w:rPr>
          <w:rFonts w:hint="eastAsia" w:eastAsia="仿宋_GB2312"/>
          <w:color w:val="auto"/>
          <w:sz w:val="21"/>
          <w:szCs w:val="21"/>
          <w:lang w:val="en-US" w:eastAsia="zh-CN"/>
        </w:rPr>
        <w:t>7</w:t>
      </w:r>
      <w:r>
        <w:rPr>
          <w:rFonts w:hint="default" w:eastAsia="仿宋_GB2312"/>
          <w:color w:val="auto"/>
          <w:sz w:val="21"/>
          <w:szCs w:val="21"/>
          <w:lang w:val="en-US" w:eastAsia="zh-CN"/>
        </w:rPr>
        <w:t>.</w:t>
      </w:r>
      <w:r>
        <w:rPr>
          <w:rFonts w:hint="eastAsia" w:eastAsia="仿宋_GB2312"/>
          <w:color w:val="auto"/>
          <w:sz w:val="21"/>
          <w:szCs w:val="21"/>
          <w:lang w:val="en-US" w:eastAsia="zh-CN"/>
        </w:rPr>
        <w:t>注册房地产估价师注册证书复印件</w:t>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6" w:name="_Toc22482"/>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3、</w:t>
      </w:r>
      <w:r>
        <w:rPr>
          <w:rFonts w:hint="default" w:ascii="Times New Roman" w:hAnsi="Times New Roman" w:eastAsia="仿宋" w:cs="Times New Roman"/>
          <w:color w:val="auto"/>
          <w:sz w:val="24"/>
          <w:szCs w:val="24"/>
          <w:highlight w:val="none"/>
        </w:rPr>
        <w:t>注册房地产估价师与本估价报告中的估价对象没有现实或潜在的利益，与</w:t>
      </w:r>
      <w:r>
        <w:rPr>
          <w:rFonts w:hint="default" w:ascii="Times New Roman" w:hAnsi="Times New Roman" w:eastAsia="仿宋" w:cs="Times New Roman"/>
          <w:color w:val="auto"/>
          <w:sz w:val="24"/>
          <w:szCs w:val="24"/>
          <w:highlight w:val="none"/>
          <w:lang w:val="en-US" w:eastAsia="zh-CN"/>
        </w:rPr>
        <w:t>估价委托方</w:t>
      </w:r>
      <w:r>
        <w:rPr>
          <w:rFonts w:hint="default" w:ascii="Times New Roman" w:hAnsi="Times New Roman" w:eastAsia="仿宋" w:cs="Times New Roman"/>
          <w:color w:val="auto"/>
          <w:sz w:val="24"/>
          <w:szCs w:val="24"/>
          <w:highlight w:val="none"/>
        </w:rPr>
        <w:t>及估价利害关系人没有利害关系，也对估价对象、</w:t>
      </w:r>
      <w:r>
        <w:rPr>
          <w:rFonts w:hint="default" w:ascii="Times New Roman" w:hAnsi="Times New Roman" w:eastAsia="仿宋" w:cs="Times New Roman"/>
          <w:color w:val="auto"/>
          <w:sz w:val="24"/>
          <w:szCs w:val="24"/>
          <w:highlight w:val="none"/>
          <w:lang w:val="en-US" w:eastAsia="zh-CN"/>
        </w:rPr>
        <w:t>估价委托方</w:t>
      </w:r>
      <w:r>
        <w:rPr>
          <w:rFonts w:hint="default" w:ascii="Times New Roman" w:hAnsi="Times New Roman" w:eastAsia="仿宋" w:cs="Times New Roman"/>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default" w:ascii="Times New Roman" w:hAnsi="Times New Roman" w:eastAsia="仿宋" w:cs="Times New Roman"/>
          <w:color w:val="auto"/>
          <w:sz w:val="24"/>
          <w:szCs w:val="24"/>
          <w:highlight w:val="none"/>
          <w:lang w:val="en-US" w:eastAsia="zh-CN"/>
        </w:rPr>
        <w:t>4、</w:t>
      </w:r>
      <w:r>
        <w:rPr>
          <w:rFonts w:hint="default" w:ascii="Times New Roman" w:hAnsi="Times New Roman" w:eastAsia="仿宋" w:cs="Times New Roman"/>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26228"/>
      <w:bookmarkStart w:id="9" w:name="_Toc1334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买受人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商品房买卖合同</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《委托书》</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_GB2312" w:hAnsi="宋体" w:eastAsia="仿宋_GB2312"/>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仿宋_GB2312" w:hAnsi="宋体" w:eastAsia="仿宋_GB2312"/>
          <w:color w:val="auto"/>
          <w:sz w:val="24"/>
          <w:szCs w:val="24"/>
          <w:highlight w:val="none"/>
          <w:lang w:val="en-US" w:eastAsia="zh-CN"/>
        </w:rPr>
      </w:pPr>
      <w:r>
        <w:rPr>
          <w:rFonts w:hint="default" w:ascii="仿宋_GB2312" w:hAnsi="宋体" w:eastAsia="仿宋_GB2312"/>
          <w:color w:val="auto"/>
          <w:sz w:val="24"/>
          <w:szCs w:val="24"/>
          <w:highlight w:val="none"/>
          <w:lang w:val="en-US" w:eastAsia="zh-CN"/>
        </w:rPr>
        <w:t>（11）估价人员于</w:t>
      </w:r>
      <w:r>
        <w:rPr>
          <w:rFonts w:hint="eastAsia" w:eastAsia="仿宋_GB2312" w:cs="Times New Roman"/>
          <w:color w:val="auto"/>
          <w:sz w:val="24"/>
          <w:szCs w:val="24"/>
          <w:highlight w:val="none"/>
          <w:lang w:val="en-US" w:eastAsia="zh-CN"/>
        </w:rPr>
        <w:t>2020年1月20日</w:t>
      </w:r>
      <w:r>
        <w:rPr>
          <w:rFonts w:hint="default" w:ascii="仿宋_GB2312" w:hAnsi="宋体" w:eastAsia="仿宋_GB2312"/>
          <w:color w:val="auto"/>
          <w:sz w:val="24"/>
          <w:szCs w:val="24"/>
          <w:highlight w:val="none"/>
          <w:lang w:val="en-US" w:eastAsia="zh-CN"/>
        </w:rPr>
        <w:t>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仿宋_GB2312" w:hAnsi="宋体" w:eastAsia="仿宋_GB2312"/>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2020年2月27日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367869494"/>
      <w:bookmarkStart w:id="11" w:name="_Toc257051888"/>
      <w:bookmarkStart w:id="12" w:name="_Toc297196349"/>
      <w:bookmarkStart w:id="13" w:name="_Toc301369712"/>
      <w:bookmarkStart w:id="14" w:name="_Toc19486"/>
      <w:bookmarkStart w:id="15" w:name="_Toc297122054"/>
      <w:bookmarkStart w:id="16" w:name="_Toc24552"/>
      <w:bookmarkStart w:id="17" w:name="_Toc135016170"/>
      <w:bookmarkStart w:id="18" w:name="_Toc254875137"/>
      <w:bookmarkStart w:id="19" w:name="_Toc270691065"/>
      <w:bookmarkStart w:id="20" w:name="_Toc130033720"/>
      <w:bookmarkStart w:id="21" w:name="_Toc254860123"/>
      <w:bookmarkStart w:id="22" w:name="_Toc243111712"/>
      <w:bookmarkStart w:id="23" w:name="_Toc243111683"/>
      <w:bookmarkStart w:id="24" w:name="_Toc269132866"/>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67869495"/>
      <w:bookmarkStart w:id="26" w:name="_Toc301369713"/>
      <w:bookmarkStart w:id="27" w:name="_Toc26588"/>
      <w:bookmarkStart w:id="28" w:name="_Toc13269"/>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243111713"/>
      <w:bookmarkStart w:id="30" w:name="_Toc270691066"/>
      <w:bookmarkStart w:id="31" w:name="_Toc135016171"/>
      <w:bookmarkStart w:id="32" w:name="_Toc367869496"/>
      <w:bookmarkStart w:id="33" w:name="_Toc269132867"/>
      <w:bookmarkStart w:id="34" w:name="_Toc301369714"/>
      <w:bookmarkStart w:id="35" w:name="_Toc130033721"/>
      <w:bookmarkStart w:id="36" w:name="_Toc254860124"/>
      <w:bookmarkStart w:id="37" w:name="_Toc254875138"/>
      <w:bookmarkStart w:id="38" w:name="_Toc243111684"/>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太原市尖草坪区人民法院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27169"/>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243111685"/>
      <w:bookmarkStart w:id="42" w:name="_Toc270691067"/>
      <w:bookmarkStart w:id="43" w:name="_Toc254875139"/>
      <w:bookmarkStart w:id="44" w:name="_Toc243111714"/>
      <w:bookmarkStart w:id="45" w:name="_Toc254860125"/>
      <w:bookmarkStart w:id="46" w:name="_Toc130033722"/>
      <w:bookmarkStart w:id="47" w:name="_Toc135016172"/>
      <w:bookmarkStart w:id="48" w:name="_Toc269132868"/>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有效期限</w:t>
      </w:r>
      <w:r>
        <w:rPr>
          <w:rFonts w:hint="eastAsia" w:eastAsia="仿宋_GB2312"/>
          <w:color w:val="auto"/>
          <w:sz w:val="24"/>
          <w:szCs w:val="24"/>
          <w:highlight w:val="none"/>
          <w:lang w:eastAsia="zh-CN"/>
        </w:rPr>
        <w:t>：</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4459"/>
      <w:bookmarkStart w:id="50" w:name="_Toc28615"/>
      <w:bookmarkStart w:id="51" w:name="_Toc367869497"/>
      <w:bookmarkStart w:id="5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21158"/>
      <w:bookmarkStart w:id="5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7827692"/>
      <w:bookmarkStart w:id="56" w:name="_Toc384813581"/>
      <w:bookmarkStart w:id="57" w:name="_Toc383068139"/>
      <w:bookmarkStart w:id="58" w:name="_Toc382493620"/>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太原市长风西街16号10幢28层2804号</w:t>
      </w:r>
      <w:r>
        <w:rPr>
          <w:rFonts w:hint="eastAsia" w:eastAsia="仿宋_GB2312"/>
          <w:color w:val="auto"/>
          <w:sz w:val="24"/>
          <w:szCs w:val="24"/>
          <w:highlight w:val="none"/>
        </w:rPr>
        <w:t>，其</w:t>
      </w:r>
      <w:r>
        <w:rPr>
          <w:rFonts w:hint="eastAsia" w:eastAsia="仿宋_GB2312"/>
          <w:color w:val="auto"/>
          <w:sz w:val="24"/>
          <w:szCs w:val="24"/>
          <w:highlight w:val="none"/>
          <w:lang w:eastAsia="zh-CN"/>
        </w:rPr>
        <w:t>北临长风西街，</w:t>
      </w:r>
      <w:r>
        <w:rPr>
          <w:rFonts w:hint="eastAsia" w:eastAsia="仿宋_GB2312"/>
          <w:color w:val="auto"/>
          <w:sz w:val="24"/>
          <w:szCs w:val="24"/>
          <w:highlight w:val="none"/>
        </w:rPr>
        <w:t>西临</w:t>
      </w:r>
      <w:r>
        <w:rPr>
          <w:rFonts w:hint="eastAsia" w:eastAsia="仿宋_GB2312"/>
          <w:color w:val="auto"/>
          <w:sz w:val="24"/>
          <w:szCs w:val="24"/>
          <w:highlight w:val="none"/>
          <w:lang w:eastAsia="zh-CN"/>
        </w:rPr>
        <w:t>新晋祠路，</w:t>
      </w:r>
      <w:r>
        <w:rPr>
          <w:rFonts w:hint="eastAsia" w:eastAsia="仿宋_GB2312"/>
          <w:color w:val="auto"/>
          <w:sz w:val="24"/>
          <w:szCs w:val="24"/>
          <w:highlight w:val="none"/>
        </w:rPr>
        <w:t>南</w:t>
      </w:r>
      <w:r>
        <w:rPr>
          <w:rFonts w:hint="eastAsia" w:eastAsia="仿宋_GB2312"/>
          <w:color w:val="auto"/>
          <w:sz w:val="24"/>
          <w:szCs w:val="24"/>
          <w:highlight w:val="none"/>
          <w:lang w:eastAsia="zh-CN"/>
        </w:rPr>
        <w:t>临广博街，</w:t>
      </w:r>
      <w:r>
        <w:rPr>
          <w:rFonts w:hint="eastAsia" w:eastAsia="仿宋_GB2312"/>
          <w:color w:val="auto"/>
          <w:sz w:val="24"/>
          <w:szCs w:val="24"/>
          <w:highlight w:val="none"/>
        </w:rPr>
        <w:t>东</w:t>
      </w:r>
      <w:r>
        <w:rPr>
          <w:rFonts w:hint="eastAsia" w:eastAsia="仿宋_GB2312"/>
          <w:color w:val="auto"/>
          <w:sz w:val="24"/>
          <w:szCs w:val="24"/>
          <w:highlight w:val="none"/>
          <w:lang w:eastAsia="zh-CN"/>
        </w:rPr>
        <w:t>临滨河西路</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商品房买卖合同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olor w:val="auto"/>
          <w:sz w:val="24"/>
          <w:szCs w:val="24"/>
          <w:highlight w:val="none"/>
          <w:lang w:eastAsia="zh-CN"/>
        </w:rPr>
        <w:t>买受人</w:t>
      </w:r>
      <w:r>
        <w:rPr>
          <w:rFonts w:hint="eastAsia" w:eastAsia="仿宋_GB2312"/>
          <w:color w:val="auto"/>
          <w:sz w:val="24"/>
          <w:szCs w:val="24"/>
          <w:highlight w:val="none"/>
        </w:rPr>
        <w:t>为</w:t>
      </w:r>
      <w:r>
        <w:rPr>
          <w:rFonts w:hint="eastAsia" w:eastAsia="仿宋_GB2312"/>
          <w:color w:val="auto"/>
          <w:sz w:val="24"/>
          <w:szCs w:val="24"/>
          <w:highlight w:val="none"/>
          <w:lang w:eastAsia="zh-CN"/>
        </w:rPr>
        <w:t>王文敏</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264.82</w:t>
      </w:r>
      <w:r>
        <w:rPr>
          <w:rFonts w:hint="eastAsia" w:eastAsia="仿宋_GB2312"/>
          <w:color w:val="auto"/>
          <w:sz w:val="24"/>
          <w:szCs w:val="24"/>
          <w:highlight w:val="none"/>
        </w:rPr>
        <w:t>平方米</w:t>
      </w:r>
      <w:r>
        <w:rPr>
          <w:rFonts w:hint="eastAsia" w:eastAsia="仿宋_GB2312"/>
          <w:color w:val="auto"/>
          <w:sz w:val="24"/>
          <w:szCs w:val="24"/>
          <w:highlight w:val="none"/>
          <w:lang w:eastAsia="zh-CN"/>
        </w:rPr>
        <w:t>，规划用途为公寓</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估价对象范围包含《商品房买卖合同》等资料登记房地产以及附着在建筑物上的、与估价对象功能相匹配的、不可移动的设施设备。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59"/>
    <w:tbl>
      <w:tblPr>
        <w:tblStyle w:val="38"/>
        <w:tblW w:w="8763"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56"/>
        <w:gridCol w:w="1050"/>
        <w:gridCol w:w="761"/>
        <w:gridCol w:w="900"/>
        <w:gridCol w:w="1127"/>
        <w:gridCol w:w="992"/>
        <w:gridCol w:w="1527"/>
        <w:gridCol w:w="1150"/>
        <w:tblGridChange w:id="0">
          <w:tblGrid>
            <w:gridCol w:w="1256"/>
            <w:gridCol w:w="1050"/>
            <w:gridCol w:w="761"/>
            <w:gridCol w:w="900"/>
            <w:gridCol w:w="1127"/>
            <w:gridCol w:w="992"/>
            <w:gridCol w:w="1527"/>
            <w:gridCol w:w="1150"/>
          </w:tblGrid>
        </w:tblGridChange>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69" w:hRule="atLeast"/>
          <w:jc w:val="center"/>
        </w:trPr>
        <w:tc>
          <w:tcPr>
            <w:tcW w:w="1256"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10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建筑面积</w:t>
            </w:r>
            <w:r>
              <w:rPr>
                <w:rFonts w:hint="eastAsia" w:ascii="仿宋_GB2312" w:hAnsi="黑体" w:eastAsia="仿宋_GB2312"/>
                <w:b/>
                <w:caps/>
                <w:color w:val="auto"/>
                <w:sz w:val="18"/>
                <w:szCs w:val="18"/>
                <w:highlight w:val="none"/>
              </w:rPr>
              <w:t>（</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7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规划</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用途</w:t>
            </w:r>
          </w:p>
        </w:tc>
        <w:tc>
          <w:tcPr>
            <w:tcW w:w="90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112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992"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152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27" w:hRule="atLeast"/>
          <w:jc w:val="center"/>
        </w:trPr>
        <w:tc>
          <w:tcPr>
            <w:tcW w:w="12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sz w:val="18"/>
                <w:szCs w:val="18"/>
                <w:highlight w:val="none"/>
                <w:lang w:eastAsia="zh-CN"/>
              </w:rPr>
            </w:pPr>
            <w:r>
              <w:rPr>
                <w:rFonts w:hint="default" w:ascii="Times New Roman" w:hAnsi="Times New Roman" w:eastAsia="仿宋_GB2312" w:cs="Times New Roman"/>
                <w:color w:val="auto"/>
                <w:sz w:val="18"/>
                <w:szCs w:val="18"/>
                <w:highlight w:val="none"/>
                <w:lang w:eastAsia="zh-CN"/>
              </w:rPr>
              <w:t>太原市</w:t>
            </w:r>
            <w:r>
              <w:rPr>
                <w:rFonts w:hint="eastAsia" w:eastAsia="仿宋_GB2312" w:cs="Times New Roman"/>
                <w:color w:val="auto"/>
                <w:sz w:val="18"/>
                <w:szCs w:val="18"/>
                <w:highlight w:val="none"/>
                <w:lang w:eastAsia="zh-CN"/>
              </w:rPr>
              <w:t>长风西街16号10幢28层2804号</w:t>
            </w:r>
          </w:p>
        </w:tc>
        <w:tc>
          <w:tcPr>
            <w:tcW w:w="10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sz w:val="18"/>
                <w:szCs w:val="18"/>
                <w:highlight w:val="none"/>
              </w:rPr>
            </w:pPr>
            <w:r>
              <w:rPr>
                <w:rFonts w:hint="eastAsia" w:eastAsia="仿宋_GB2312" w:cs="Times New Roman"/>
                <w:color w:val="auto"/>
                <w:sz w:val="18"/>
                <w:szCs w:val="18"/>
                <w:highlight w:val="none"/>
                <w:lang w:eastAsia="zh-CN"/>
              </w:rPr>
              <w:t>264.82</w:t>
            </w:r>
          </w:p>
        </w:tc>
        <w:tc>
          <w:tcPr>
            <w:tcW w:w="7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sz w:val="18"/>
                <w:szCs w:val="18"/>
                <w:highlight w:val="none"/>
                <w:lang w:eastAsia="zh-CN"/>
              </w:rPr>
            </w:pPr>
            <w:r>
              <w:rPr>
                <w:rFonts w:hint="eastAsia" w:eastAsia="仿宋_GB2312" w:cs="Times New Roman"/>
                <w:color w:val="auto"/>
                <w:sz w:val="18"/>
                <w:szCs w:val="18"/>
                <w:highlight w:val="none"/>
                <w:lang w:val="en-US" w:eastAsia="zh-CN"/>
              </w:rPr>
              <w:t>公寓</w:t>
            </w:r>
          </w:p>
        </w:tc>
        <w:tc>
          <w:tcPr>
            <w:tcW w:w="9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lang w:eastAsia="zh-CN"/>
              </w:rPr>
            </w:pPr>
            <w:r>
              <w:rPr>
                <w:rFonts w:hint="default" w:ascii="Times New Roman" w:hAnsi="Times New Roman" w:eastAsia="仿宋_GB2312" w:cs="Times New Roman"/>
                <w:caps/>
                <w:color w:val="auto"/>
                <w:sz w:val="18"/>
                <w:szCs w:val="18"/>
                <w:highlight w:val="none"/>
                <w:lang w:eastAsia="zh-CN"/>
              </w:rPr>
              <w:t>空置</w:t>
            </w:r>
          </w:p>
        </w:tc>
        <w:tc>
          <w:tcPr>
            <w:tcW w:w="112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aps/>
                <w:color w:val="auto"/>
                <w:sz w:val="18"/>
                <w:szCs w:val="18"/>
                <w:highlight w:val="none"/>
                <w:lang w:val="en-US" w:eastAsia="zh-CN"/>
              </w:rPr>
              <w:t>钢混/</w:t>
            </w:r>
            <w:r>
              <w:rPr>
                <w:rFonts w:hint="eastAsia" w:eastAsia="仿宋_GB2312" w:cs="Times New Roman"/>
                <w:caps/>
                <w:color w:val="auto"/>
                <w:sz w:val="18"/>
                <w:szCs w:val="18"/>
                <w:highlight w:val="none"/>
                <w:lang w:val="en-US" w:eastAsia="zh-CN"/>
              </w:rPr>
              <w:t>28</w:t>
            </w:r>
            <w:r>
              <w:rPr>
                <w:rFonts w:hint="default" w:ascii="Times New Roman" w:hAnsi="Times New Roman" w:eastAsia="仿宋_GB2312" w:cs="Times New Roman"/>
                <w:caps/>
                <w:color w:val="auto"/>
                <w:sz w:val="18"/>
                <w:szCs w:val="18"/>
                <w:highlight w:val="none"/>
                <w:lang w:val="en-US" w:eastAsia="zh-CN"/>
              </w:rPr>
              <w:t>层</w:t>
            </w:r>
          </w:p>
        </w:tc>
        <w:tc>
          <w:tcPr>
            <w:tcW w:w="99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lang w:val="en-US" w:eastAsia="zh-CN"/>
              </w:rPr>
            </w:pPr>
            <w:r>
              <w:rPr>
                <w:rFonts w:hint="default" w:ascii="Times New Roman" w:hAnsi="Times New Roman" w:eastAsia="仿宋_GB2312" w:cs="Times New Roman"/>
                <w:caps/>
                <w:color w:val="auto"/>
                <w:sz w:val="18"/>
                <w:szCs w:val="18"/>
                <w:highlight w:val="none"/>
                <w:lang w:val="en-US" w:eastAsia="zh-CN"/>
              </w:rPr>
              <w:t>3室2厅1厨</w:t>
            </w:r>
            <w:bookmarkStart w:id="223" w:name="_GoBack"/>
            <w:bookmarkEnd w:id="223"/>
            <w:r>
              <w:rPr>
                <w:rFonts w:hint="eastAsia" w:eastAsia="仿宋_GB2312" w:cs="Times New Roman"/>
                <w:caps/>
                <w:color w:val="auto"/>
                <w:sz w:val="18"/>
                <w:szCs w:val="18"/>
                <w:highlight w:val="none"/>
                <w:lang w:val="en-US" w:eastAsia="zh-CN"/>
              </w:rPr>
              <w:t>3卫1储藏室</w:t>
            </w:r>
          </w:p>
        </w:tc>
        <w:tc>
          <w:tcPr>
            <w:tcW w:w="152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rPr>
            </w:pPr>
            <w:r>
              <w:rPr>
                <w:rFonts w:hint="default" w:ascii="Times New Roman" w:hAnsi="Times New Roman" w:eastAsia="仿宋_GB2312" w:cs="Times New Roman"/>
                <w:color w:val="auto"/>
                <w:sz w:val="18"/>
                <w:szCs w:val="18"/>
                <w:highlight w:val="none"/>
              </w:rPr>
              <w:t>水、电、</w:t>
            </w:r>
            <w:r>
              <w:rPr>
                <w:rFonts w:hint="eastAsia" w:eastAsia="仿宋_GB2312" w:cs="Times New Roman"/>
                <w:color w:val="auto"/>
                <w:sz w:val="18"/>
                <w:szCs w:val="18"/>
                <w:highlight w:val="none"/>
                <w:lang w:eastAsia="zh-CN"/>
              </w:rPr>
              <w:t>暖、</w:t>
            </w:r>
            <w:r>
              <w:rPr>
                <w:rFonts w:hint="default" w:ascii="Times New Roman" w:hAnsi="Times New Roman" w:eastAsia="仿宋_GB2312" w:cs="Times New Roman"/>
                <w:color w:val="auto"/>
                <w:sz w:val="18"/>
                <w:szCs w:val="18"/>
                <w:highlight w:val="none"/>
                <w:lang w:eastAsia="zh-CN"/>
              </w:rPr>
              <w:t>电梯、</w:t>
            </w:r>
            <w:r>
              <w:rPr>
                <w:rFonts w:hint="default" w:ascii="Times New Roman" w:hAnsi="Times New Roman" w:eastAsia="仿宋_GB2312" w:cs="Times New Roman"/>
                <w:color w:val="auto"/>
                <w:sz w:val="18"/>
                <w:szCs w:val="18"/>
                <w:highlight w:val="none"/>
              </w:rPr>
              <w:t>通讯等配套设施</w:t>
            </w:r>
            <w:r>
              <w:rPr>
                <w:rFonts w:hint="default" w:ascii="Times New Roman" w:hAnsi="Times New Roman" w:eastAsia="仿宋_GB2312" w:cs="Times New Roman"/>
                <w:color w:val="auto"/>
                <w:sz w:val="18"/>
                <w:szCs w:val="18"/>
                <w:highlight w:val="none"/>
                <w:lang w:eastAsia="zh-CN"/>
              </w:rPr>
              <w:t>较</w:t>
            </w:r>
            <w:r>
              <w:rPr>
                <w:rFonts w:hint="default" w:ascii="Times New Roman" w:hAnsi="Times New Roman" w:eastAsia="仿宋_GB2312" w:cs="Times New Roman"/>
                <w:color w:val="auto"/>
                <w:sz w:val="18"/>
                <w:szCs w:val="18"/>
                <w:highlight w:val="none"/>
              </w:rPr>
              <w:t>齐全</w:t>
            </w:r>
          </w:p>
        </w:tc>
        <w:tc>
          <w:tcPr>
            <w:tcW w:w="11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lang w:eastAsia="zh-CN"/>
              </w:rPr>
            </w:pPr>
            <w:r>
              <w:rPr>
                <w:rFonts w:hint="default" w:ascii="Times New Roman" w:hAnsi="Times New Roman" w:eastAsia="仿宋_GB2312" w:cs="Times New Roman"/>
                <w:color w:val="auto"/>
                <w:sz w:val="18"/>
                <w:szCs w:val="18"/>
                <w:highlight w:val="none"/>
                <w:lang w:val="en-US" w:eastAsia="zh-CN"/>
              </w:rPr>
              <w:t>毛坯状态，未使用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2" w:hRule="atLeast"/>
          <w:jc w:val="center"/>
        </w:trPr>
        <w:tc>
          <w:tcPr>
            <w:tcW w:w="1256"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07" w:type="dxa"/>
            <w:gridSpan w:val="7"/>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default" w:ascii="仿宋_GB2312" w:hAnsi="黑体" w:eastAsia="仿宋_GB2312" w:cs="宋体"/>
                <w:color w:val="auto"/>
                <w:sz w:val="18"/>
                <w:szCs w:val="20"/>
                <w:highlight w:val="none"/>
                <w:lang w:val="en-US" w:eastAsia="zh-CN"/>
              </w:rPr>
            </w:pPr>
            <w:r>
              <w:rPr>
                <w:rFonts w:hint="eastAsia" w:ascii="仿宋_GB2312" w:hAnsi="黑体" w:eastAsia="仿宋_GB2312" w:cs="宋体"/>
                <w:color w:val="auto"/>
                <w:sz w:val="18"/>
                <w:szCs w:val="18"/>
                <w:highlight w:val="none"/>
                <w:lang w:val="en-US" w:eastAsia="zh-CN"/>
              </w:rPr>
              <w:t>公共部位水泥地面，墙面刮白，顶面石膏板吊顶；</w:t>
            </w:r>
          </w:p>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eastAsia="zh-CN"/>
              </w:rPr>
              <w:t>内部毛墙毛地。</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17156"/>
      <w:bookmarkStart w:id="61" w:name="_Toc254860129"/>
      <w:bookmarkStart w:id="62" w:name="_Toc135016175"/>
      <w:bookmarkStart w:id="63" w:name="_Toc243111718"/>
      <w:bookmarkStart w:id="64" w:name="_Toc367869501"/>
      <w:bookmarkStart w:id="65" w:name="_Toc270691071"/>
      <w:bookmarkStart w:id="66" w:name="_Toc243111689"/>
      <w:bookmarkStart w:id="67" w:name="_Toc130033725"/>
      <w:bookmarkStart w:id="68" w:name="_Toc254875143"/>
      <w:bookmarkStart w:id="69" w:name="_Toc301369719"/>
      <w:bookmarkStart w:id="70" w:name="_Toc269132872"/>
      <w:bookmarkStart w:id="71" w:name="_Toc4991"/>
      <w:bookmarkStart w:id="72" w:name="_Toc135016178"/>
      <w:bookmarkStart w:id="73" w:name="_Toc254875146"/>
      <w:bookmarkStart w:id="74" w:name="_Toc243111721"/>
      <w:bookmarkStart w:id="75" w:name="_Toc367869504"/>
      <w:bookmarkStart w:id="76" w:name="_Toc130033728"/>
      <w:bookmarkStart w:id="77" w:name="_Toc270691074"/>
      <w:bookmarkStart w:id="78" w:name="_Toc243111692"/>
      <w:bookmarkStart w:id="79" w:name="_Toc254860132"/>
      <w:bookmarkStart w:id="80" w:name="_Toc269132875"/>
      <w:bookmarkStart w:id="81" w:name="_Toc301369722"/>
      <w:r>
        <w:rPr>
          <w:rFonts w:hint="eastAsia" w:eastAsia="仿宋_GB2312" w:cs="Times New Roman"/>
          <w:b/>
          <w:bCs w:val="0"/>
          <w:color w:val="auto"/>
          <w:sz w:val="24"/>
          <w:szCs w:val="24"/>
          <w:highlight w:val="none"/>
          <w:lang w:val="en-US" w:eastAsia="zh-CN"/>
        </w:rPr>
        <w:t>3.</w:t>
      </w:r>
      <w:r>
        <w:rPr>
          <w:rFonts w:hint="default" w:ascii="Times New Roman" w:hAnsi="Times New Roman" w:eastAsia="仿宋_GB2312" w:cs="Times New Roman"/>
          <w:b/>
          <w:bCs w:val="0"/>
          <w:color w:val="auto"/>
          <w:sz w:val="24"/>
          <w:szCs w:val="24"/>
          <w:highlight w:val="none"/>
          <w:lang w:val="en-US" w:eastAsia="zh-CN"/>
        </w:rPr>
        <w:t>区位状况描述与分析</w:t>
      </w:r>
      <w:bookmarkEnd w:id="60"/>
    </w:p>
    <w:tbl>
      <w:tblPr>
        <w:tblStyle w:val="38"/>
        <w:tblW w:w="8828"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39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2" w:name="_Toc2478"/>
            <w:r>
              <w:rPr>
                <w:rFonts w:hint="eastAsia" w:ascii="仿宋_GB2312" w:hAnsi="黑体" w:eastAsia="仿宋_GB2312"/>
                <w:color w:val="auto"/>
                <w:kern w:val="0"/>
                <w:sz w:val="18"/>
              </w:rPr>
              <w:t>坐落</w:t>
            </w:r>
            <w:bookmarkEnd w:id="82"/>
          </w:p>
        </w:tc>
        <w:tc>
          <w:tcPr>
            <w:tcW w:w="7396"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val="en-US" w:eastAsia="zh-CN"/>
              </w:rPr>
            </w:pPr>
            <w:r>
              <w:rPr>
                <w:rFonts w:hint="eastAsia" w:eastAsia="仿宋_GB2312" w:cs="Times New Roman"/>
                <w:color w:val="auto"/>
                <w:sz w:val="18"/>
                <w:szCs w:val="20"/>
                <w:lang w:eastAsia="zh-CN"/>
              </w:rPr>
              <w:t>长风西街16号10幢28层2804号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8"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3" w:name="_Toc1616"/>
            <w:r>
              <w:rPr>
                <w:rFonts w:hint="eastAsia" w:ascii="仿宋_GB2312" w:hAnsi="黑体" w:eastAsia="仿宋_GB2312"/>
                <w:color w:val="auto"/>
                <w:kern w:val="0"/>
                <w:sz w:val="18"/>
              </w:rPr>
              <w:t>方位</w:t>
            </w:r>
            <w:bookmarkEnd w:id="83"/>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所居小区</w:t>
            </w:r>
            <w:r>
              <w:rPr>
                <w:rFonts w:hint="default" w:ascii="Times New Roman" w:hAnsi="Times New Roman" w:eastAsia="仿宋_GB2312" w:cs="Times New Roman"/>
                <w:color w:val="auto"/>
                <w:sz w:val="18"/>
                <w:szCs w:val="20"/>
                <w:lang w:eastAsia="zh-CN"/>
              </w:rPr>
              <w:t>北临长风西街，</w:t>
            </w:r>
            <w:r>
              <w:rPr>
                <w:rFonts w:hint="default" w:ascii="Times New Roman" w:hAnsi="Times New Roman" w:eastAsia="仿宋_GB2312" w:cs="Times New Roman"/>
                <w:color w:val="auto"/>
                <w:sz w:val="18"/>
                <w:szCs w:val="20"/>
              </w:rPr>
              <w:t>西临</w:t>
            </w:r>
            <w:r>
              <w:rPr>
                <w:rFonts w:hint="default" w:ascii="Times New Roman" w:hAnsi="Times New Roman" w:eastAsia="仿宋_GB2312" w:cs="Times New Roman"/>
                <w:color w:val="auto"/>
                <w:sz w:val="18"/>
                <w:szCs w:val="20"/>
                <w:lang w:eastAsia="zh-CN"/>
              </w:rPr>
              <w:t>新晋祠路，</w:t>
            </w:r>
            <w:r>
              <w:rPr>
                <w:rFonts w:hint="default" w:ascii="Times New Roman" w:hAnsi="Times New Roman" w:eastAsia="仿宋_GB2312" w:cs="Times New Roman"/>
                <w:color w:val="auto"/>
                <w:sz w:val="18"/>
                <w:szCs w:val="20"/>
              </w:rPr>
              <w:t>南</w:t>
            </w:r>
            <w:r>
              <w:rPr>
                <w:rFonts w:hint="default" w:ascii="Times New Roman" w:hAnsi="Times New Roman" w:eastAsia="仿宋_GB2312" w:cs="Times New Roman"/>
                <w:color w:val="auto"/>
                <w:sz w:val="18"/>
                <w:szCs w:val="20"/>
                <w:lang w:eastAsia="zh-CN"/>
              </w:rPr>
              <w:t>临广博街，</w:t>
            </w:r>
            <w:r>
              <w:rPr>
                <w:rFonts w:hint="default" w:ascii="Times New Roman" w:hAnsi="Times New Roman" w:eastAsia="仿宋_GB2312" w:cs="Times New Roman"/>
                <w:color w:val="auto"/>
                <w:sz w:val="18"/>
                <w:szCs w:val="20"/>
              </w:rPr>
              <w:t>东</w:t>
            </w:r>
            <w:r>
              <w:rPr>
                <w:rFonts w:hint="default" w:ascii="Times New Roman" w:hAnsi="Times New Roman" w:eastAsia="仿宋_GB2312" w:cs="Times New Roman"/>
                <w:color w:val="auto"/>
                <w:sz w:val="18"/>
                <w:szCs w:val="20"/>
                <w:lang w:eastAsia="zh-CN"/>
              </w:rPr>
              <w:t>临滨河西路</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4" w:name="_Toc5818"/>
            <w:r>
              <w:rPr>
                <w:rFonts w:hint="eastAsia" w:ascii="仿宋_GB2312" w:hAnsi="黑体" w:eastAsia="仿宋_GB2312"/>
                <w:color w:val="auto"/>
                <w:kern w:val="0"/>
                <w:sz w:val="18"/>
              </w:rPr>
              <w:t>朝向</w:t>
            </w:r>
            <w:bookmarkEnd w:id="84"/>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eastAsia="zh-CN"/>
              </w:rPr>
            </w:pPr>
            <w:r>
              <w:rPr>
                <w:rFonts w:hint="default" w:ascii="Times New Roman" w:hAnsi="Times New Roman" w:eastAsia="仿宋_GB2312" w:cs="Times New Roman"/>
                <w:color w:val="auto"/>
                <w:sz w:val="18"/>
                <w:szCs w:val="20"/>
                <w:highlight w:val="none"/>
                <w:lang w:val="en-US" w:eastAsia="zh-CN"/>
              </w:rPr>
              <w:t>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5" w:name="_Toc10750"/>
            <w:r>
              <w:rPr>
                <w:rFonts w:hint="eastAsia" w:ascii="仿宋_GB2312" w:hAnsi="黑体" w:eastAsia="仿宋_GB2312"/>
                <w:color w:val="auto"/>
                <w:kern w:val="0"/>
                <w:sz w:val="18"/>
              </w:rPr>
              <w:t>楼层</w:t>
            </w:r>
            <w:bookmarkEnd w:id="85"/>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房屋总层数</w:t>
            </w:r>
            <w:r>
              <w:rPr>
                <w:rFonts w:hint="default" w:ascii="Times New Roman" w:hAnsi="Times New Roman" w:eastAsia="仿宋_GB2312" w:cs="Times New Roman"/>
                <w:color w:val="auto"/>
                <w:sz w:val="18"/>
                <w:szCs w:val="20"/>
                <w:lang w:val="en-US" w:eastAsia="zh-CN"/>
              </w:rPr>
              <w:t>3</w:t>
            </w:r>
            <w:r>
              <w:rPr>
                <w:rFonts w:hint="eastAsia" w:eastAsia="仿宋_GB2312" w:cs="Times New Roman"/>
                <w:color w:val="auto"/>
                <w:sz w:val="18"/>
                <w:szCs w:val="20"/>
                <w:lang w:val="en-US" w:eastAsia="zh-CN"/>
              </w:rPr>
              <w:t>3</w:t>
            </w:r>
            <w:r>
              <w:rPr>
                <w:rFonts w:hint="default" w:ascii="Times New Roman" w:hAnsi="Times New Roman" w:eastAsia="仿宋_GB2312" w:cs="Times New Roman"/>
                <w:color w:val="auto"/>
                <w:sz w:val="18"/>
                <w:szCs w:val="20"/>
              </w:rPr>
              <w:t>层，估价对象所在</w:t>
            </w:r>
            <w:r>
              <w:rPr>
                <w:rFonts w:hint="eastAsia" w:eastAsia="仿宋_GB2312" w:cs="Times New Roman"/>
                <w:color w:val="auto"/>
                <w:sz w:val="18"/>
                <w:szCs w:val="20"/>
                <w:lang w:val="en-US" w:eastAsia="zh-CN"/>
              </w:rPr>
              <w:t>28</w:t>
            </w:r>
            <w:r>
              <w:rPr>
                <w:rFonts w:hint="default" w:ascii="Times New Roman" w:hAnsi="Times New Roman" w:eastAsia="仿宋_GB2312" w:cs="Times New Roman"/>
                <w:color w:val="auto"/>
                <w:sz w:val="18"/>
                <w:szCs w:val="20"/>
              </w:rPr>
              <w:t>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6" w:name="_Toc23641"/>
            <w:bookmarkStart w:id="87" w:name="_Toc2449"/>
            <w:r>
              <w:rPr>
                <w:rFonts w:hint="eastAsia" w:ascii="仿宋_GB2312" w:hAnsi="黑体" w:eastAsia="仿宋_GB2312"/>
                <w:color w:val="auto"/>
                <w:kern w:val="0"/>
                <w:sz w:val="18"/>
              </w:rPr>
              <w:t>基础设施配套</w:t>
            </w:r>
            <w:bookmarkEnd w:id="86"/>
            <w:bookmarkEnd w:id="87"/>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eastAsia" w:ascii="仿宋_GB2312" w:hAnsi="黑体" w:eastAsia="仿宋_GB2312"/>
                <w:color w:val="auto"/>
                <w:sz w:val="18"/>
                <w:szCs w:val="20"/>
                <w:lang w:eastAsia="zh-CN"/>
              </w:rPr>
            </w:pPr>
            <w:r>
              <w:rPr>
                <w:rFonts w:hint="eastAsia" w:ascii="仿宋_GB2312" w:hAnsi="黑体" w:eastAsia="仿宋_GB2312"/>
                <w:color w:val="auto"/>
                <w:sz w:val="18"/>
                <w:szCs w:val="20"/>
                <w:highlight w:val="none"/>
              </w:rPr>
              <w:t xml:space="preserve">   上水、下水、路、电、讯、暖</w:t>
            </w:r>
            <w:r>
              <w:rPr>
                <w:rFonts w:hint="eastAsia" w:ascii="仿宋_GB2312" w:hAnsi="黑体" w:eastAsia="仿宋_GB2312"/>
                <w:color w:val="auto"/>
                <w:sz w:val="18"/>
                <w:szCs w:val="20"/>
                <w:highlight w:val="none"/>
                <w:lang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66"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88" w:name="_Toc2930"/>
            <w:bookmarkStart w:id="89" w:name="_Toc5058"/>
            <w:r>
              <w:rPr>
                <w:rFonts w:hint="eastAsia" w:ascii="仿宋_GB2312" w:hAnsi="黑体" w:eastAsia="仿宋_GB2312"/>
                <w:color w:val="auto"/>
                <w:kern w:val="0"/>
                <w:sz w:val="18"/>
              </w:rPr>
              <w:t>公共服务设施</w:t>
            </w:r>
            <w:bookmarkEnd w:id="88"/>
            <w:bookmarkEnd w:id="89"/>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eastAsia" w:ascii="仿宋_GB2312" w:hAnsi="黑体" w:eastAsia="仿宋_GB2312"/>
                <w:color w:val="auto"/>
                <w:sz w:val="18"/>
                <w:szCs w:val="20"/>
              </w:rPr>
            </w:pPr>
            <w:r>
              <w:rPr>
                <w:rFonts w:hint="eastAsia" w:ascii="仿宋_GB2312" w:hAnsi="黑体" w:eastAsia="仿宋_GB2312"/>
                <w:color w:val="auto"/>
                <w:sz w:val="18"/>
                <w:szCs w:val="20"/>
              </w:rPr>
              <w:t xml:space="preserve">    </w:t>
            </w:r>
            <w:r>
              <w:rPr>
                <w:rFonts w:hint="eastAsia" w:ascii="仿宋_GB2312" w:hAnsi="黑体" w:eastAsia="仿宋_GB2312"/>
                <w:color w:val="auto"/>
                <w:sz w:val="18"/>
                <w:szCs w:val="20"/>
                <w:lang w:val="en-US" w:eastAsia="zh-CN"/>
              </w:rPr>
              <w:t>估价对象位于万柏林区长风西街16号万国MOMA，自然环境较优，公共基础配套设施齐全，适合居住。该区域附近有爱助家精选超市、青创田园天泉生活超市(丽华苑店)、中信银行、中国农业银行、中国工商银行、维乐口腔、百姓诊所、万国城摩码幼儿园、柏林南上庄小学等公共配套设施。</w:t>
            </w:r>
            <w:r>
              <w:rPr>
                <w:rFonts w:hint="eastAsia" w:ascii="仿宋_GB2312" w:hAnsi="黑体" w:eastAsia="仿宋_GB2312"/>
                <w:color w:val="auto"/>
                <w:sz w:val="18"/>
                <w:szCs w:val="20"/>
              </w:rPr>
              <w:t xml:space="preserve"> </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4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90" w:name="_Toc28542"/>
            <w:bookmarkStart w:id="91" w:name="_Toc2382"/>
            <w:r>
              <w:rPr>
                <w:rFonts w:hint="eastAsia" w:ascii="仿宋_GB2312" w:hAnsi="黑体" w:eastAsia="仿宋_GB2312"/>
                <w:color w:val="auto"/>
                <w:kern w:val="0"/>
                <w:sz w:val="18"/>
              </w:rPr>
              <w:t>交通便捷度</w:t>
            </w:r>
            <w:bookmarkEnd w:id="90"/>
            <w:bookmarkEnd w:id="91"/>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 xml:space="preserve">    </w:t>
            </w:r>
            <w:r>
              <w:rPr>
                <w:rFonts w:hint="default" w:ascii="Times New Roman" w:hAnsi="Times New Roman" w:eastAsia="仿宋_GB2312" w:cs="Times New Roman"/>
                <w:color w:val="auto"/>
                <w:sz w:val="18"/>
                <w:szCs w:val="20"/>
                <w:lang w:val="en-US" w:eastAsia="zh-CN"/>
              </w:rPr>
              <w:t>估价对象附近通有57路、619路、851路、856路、858路等多条公交线路，出行便利。</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3"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92" w:name="_Toc17282"/>
            <w:bookmarkStart w:id="93" w:name="_Toc32706"/>
            <w:r>
              <w:rPr>
                <w:rFonts w:hint="eastAsia" w:ascii="仿宋_GB2312" w:hAnsi="黑体" w:eastAsia="仿宋_GB2312"/>
                <w:color w:val="auto"/>
                <w:kern w:val="0"/>
                <w:sz w:val="18"/>
              </w:rPr>
              <w:t>周边典型物业</w:t>
            </w:r>
            <w:bookmarkEnd w:id="92"/>
            <w:bookmarkEnd w:id="93"/>
          </w:p>
        </w:tc>
        <w:tc>
          <w:tcPr>
            <w:tcW w:w="7396"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 xml:space="preserve">    </w:t>
            </w:r>
            <w:r>
              <w:rPr>
                <w:rFonts w:hint="default" w:ascii="Times New Roman" w:hAnsi="Times New Roman" w:eastAsia="仿宋_GB2312" w:cs="Times New Roman"/>
                <w:color w:val="auto"/>
                <w:sz w:val="18"/>
                <w:szCs w:val="20"/>
                <w:lang w:val="en-US" w:eastAsia="zh-CN"/>
              </w:rPr>
              <w:t>南屯小区、丽华苑、景秀苑等多个居民住宅小区。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2"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rPr>
            </w:pPr>
            <w:bookmarkStart w:id="94" w:name="_Toc20336"/>
            <w:bookmarkStart w:id="95" w:name="_Toc22477"/>
            <w:r>
              <w:rPr>
                <w:rFonts w:hint="eastAsia" w:ascii="仿宋_GB2312" w:hAnsi="黑体" w:eastAsia="仿宋_GB2312"/>
                <w:color w:val="auto"/>
                <w:kern w:val="0"/>
                <w:sz w:val="18"/>
              </w:rPr>
              <w:t>环境景观</w:t>
            </w:r>
            <w:bookmarkEnd w:id="94"/>
            <w:bookmarkEnd w:id="95"/>
          </w:p>
        </w:tc>
        <w:tc>
          <w:tcPr>
            <w:tcW w:w="7396"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eastAsia" w:ascii="仿宋_GB2312" w:hAnsi="黑体" w:eastAsia="仿宋_GB2312"/>
                <w:color w:val="auto"/>
                <w:sz w:val="18"/>
                <w:szCs w:val="20"/>
              </w:rPr>
            </w:pPr>
            <w:r>
              <w:rPr>
                <w:rFonts w:hint="eastAsia" w:ascii="仿宋_GB2312" w:hAnsi="黑体" w:eastAsia="仿宋_GB2312"/>
                <w:color w:val="auto"/>
                <w:sz w:val="18"/>
                <w:szCs w:val="20"/>
              </w:rPr>
              <w:t xml:space="preserve">    较好</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6" w:name="_Toc7015"/>
      <w:r>
        <w:rPr>
          <w:rFonts w:hint="eastAsia" w:eastAsia="仿宋_GB2312" w:cs="Times New Roman"/>
          <w:b/>
          <w:bCs w:val="0"/>
          <w:color w:val="auto"/>
          <w:sz w:val="24"/>
          <w:szCs w:val="24"/>
          <w:highlight w:val="none"/>
          <w:lang w:val="en-US" w:eastAsia="zh-CN"/>
        </w:rPr>
        <w:t>4</w:t>
      </w:r>
      <w:r>
        <w:rPr>
          <w:rFonts w:hint="default" w:ascii="Times New Roman" w:hAnsi="Times New Roman" w:eastAsia="仿宋_GB2312" w:cs="Times New Roman"/>
          <w:b/>
          <w:bCs w:val="0"/>
          <w:color w:val="auto"/>
          <w:sz w:val="24"/>
          <w:szCs w:val="24"/>
          <w:highlight w:val="none"/>
          <w:lang w:val="en-US" w:eastAsia="zh-CN"/>
        </w:rPr>
        <w:t>.市场背景描述与分析</w:t>
      </w:r>
      <w:bookmarkEnd w:id="96"/>
    </w:p>
    <w:p>
      <w:pPr>
        <w:adjustRightInd w:val="0"/>
        <w:snapToGrid w:val="0"/>
        <w:spacing w:line="360" w:lineRule="auto"/>
        <w:ind w:firstLine="482" w:firstLineChars="200"/>
        <w:rPr>
          <w:rFonts w:hint="eastAsia" w:eastAsia="仿宋_GB2312"/>
          <w:b/>
          <w:color w:val="auto"/>
          <w:sz w:val="24"/>
          <w:lang w:eastAsia="zh-CN"/>
        </w:rPr>
      </w:pPr>
      <w:r>
        <w:rPr>
          <w:rFonts w:hint="eastAsia" w:eastAsia="仿宋_GB2312"/>
          <w:b/>
          <w:color w:val="auto"/>
          <w:sz w:val="24"/>
        </w:rPr>
        <w:t>（1）宏观经济</w:t>
      </w:r>
      <w:r>
        <w:rPr>
          <w:rFonts w:hint="eastAsia" w:eastAsia="仿宋_GB2312"/>
          <w:b/>
          <w:color w:val="auto"/>
          <w:sz w:val="24"/>
          <w:lang w:eastAsia="zh-CN"/>
        </w:rPr>
        <w:t>形势</w:t>
      </w:r>
    </w:p>
    <w:p>
      <w:pPr>
        <w:spacing w:beforeLines="0" w:afterLines="0" w:line="360" w:lineRule="auto"/>
        <w:ind w:firstLine="480" w:firstLineChars="200"/>
        <w:rPr>
          <w:rFonts w:hint="eastAsia" w:eastAsia="仿宋_GB2312"/>
          <w:color w:val="auto"/>
          <w:sz w:val="24"/>
        </w:rPr>
      </w:pPr>
      <w:bookmarkStart w:id="97" w:name="_Toc13206"/>
      <w:r>
        <w:rPr>
          <w:rFonts w:hint="eastAsia" w:eastAsia="仿宋_GB2312"/>
          <w:color w:val="auto"/>
          <w:sz w:val="24"/>
        </w:rPr>
        <w:t>太原市是山西省省会，濒临汾河，西、北、东三面环山，中、南部为河谷平原，太原现辖6区3县1市，是山西省的政治、经济、文化、教育、科技、交通、信息中心。第六次全国人口普查，太原市常住人口为4201591人。</w:t>
      </w:r>
    </w:p>
    <w:p>
      <w:pPr>
        <w:numPr>
          <w:ilvl w:val="0"/>
          <w:numId w:val="0"/>
        </w:numPr>
        <w:spacing w:beforeLines="0" w:afterLines="0" w:line="360" w:lineRule="auto"/>
        <w:ind w:firstLine="480" w:firstLineChars="200"/>
        <w:rPr>
          <w:rFonts w:hint="eastAsia" w:eastAsia="仿宋_GB2312"/>
          <w:color w:val="auto"/>
          <w:sz w:val="24"/>
        </w:rPr>
      </w:pPr>
      <w:r>
        <w:rPr>
          <w:rFonts w:hint="eastAsia" w:eastAsia="仿宋_GB2312"/>
          <w:color w:val="auto"/>
          <w:sz w:val="24"/>
        </w:rPr>
        <w:t>①工业经济低位运行</w:t>
      </w:r>
    </w:p>
    <w:p>
      <w:pPr>
        <w:numPr>
          <w:ilvl w:val="0"/>
          <w:numId w:val="0"/>
        </w:numPr>
        <w:spacing w:beforeLines="0" w:afterLines="0" w:line="360" w:lineRule="auto"/>
        <w:ind w:firstLine="480" w:firstLineChars="200"/>
        <w:rPr>
          <w:rFonts w:hint="eastAsia" w:eastAsia="仿宋_GB2312"/>
          <w:color w:val="auto"/>
          <w:sz w:val="24"/>
        </w:rPr>
      </w:pPr>
      <w:r>
        <w:rPr>
          <w:rFonts w:hint="eastAsia" w:eastAsia="仿宋_GB2312"/>
          <w:color w:val="auto"/>
          <w:sz w:val="24"/>
        </w:rPr>
        <w:t>从全市完成情况看，前11个月，太原市规模以上工业增加值增长5.5%，增速比前10个月（5.6%）减缓0.1个百分点。</w:t>
      </w:r>
    </w:p>
    <w:p>
      <w:pPr>
        <w:numPr>
          <w:ilvl w:val="0"/>
          <w:numId w:val="0"/>
        </w:numPr>
        <w:spacing w:beforeLines="0" w:afterLines="0" w:line="360" w:lineRule="auto"/>
        <w:ind w:firstLine="480" w:firstLineChars="200"/>
        <w:rPr>
          <w:rFonts w:hint="eastAsia" w:eastAsia="仿宋_GB2312"/>
          <w:color w:val="auto"/>
          <w:sz w:val="24"/>
        </w:rPr>
      </w:pPr>
      <w:r>
        <w:rPr>
          <w:rFonts w:hint="eastAsia" w:eastAsia="仿宋_GB2312"/>
          <w:color w:val="auto"/>
          <w:sz w:val="24"/>
        </w:rPr>
        <w:t>从经济类型看，国有控股企业增加值3.9%；非公有制企业增加值增长8.6%。</w:t>
      </w:r>
    </w:p>
    <w:p>
      <w:pPr>
        <w:numPr>
          <w:ilvl w:val="0"/>
          <w:numId w:val="0"/>
        </w:numPr>
        <w:spacing w:beforeLines="0" w:afterLines="0" w:line="360" w:lineRule="auto"/>
        <w:ind w:firstLine="480" w:firstLineChars="200"/>
        <w:rPr>
          <w:rFonts w:hint="eastAsia" w:eastAsia="仿宋_GB2312"/>
          <w:color w:val="auto"/>
          <w:sz w:val="24"/>
        </w:rPr>
      </w:pPr>
      <w:r>
        <w:rPr>
          <w:rFonts w:hint="eastAsia" w:eastAsia="仿宋_GB2312"/>
          <w:color w:val="auto"/>
          <w:sz w:val="24"/>
        </w:rPr>
        <w:t>从三大门类看，采矿业增加值增长3.5%；制造业增加值增长5.6%；电力、热力、燃气及水生产和供应业增加值增长10.5%。</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②固定资产投资增速重返两位数增长区间</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从全市完成情况看，前11个月，全市固定资产投资增长10.6%，增速比前10个月（9.9%）加快0.7个百分点。</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从三次产业看，第一产业投资增长18.6%；第二产业投资增长15.5%；第三产业投资990.35亿元，增长9.5%。</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从隶属关系看，央属项目投资增长103.4%；地方项目投资下降25.9%；其他项目投资增长45.6%。</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从经济类型看，国有投资增长0.4%；非国有投资增长23.1%。</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③限额以上消费品零售额零增长</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从全市完成情况看，前11个月，全市限额以上消费品零售额774.34亿元，与上年同期持平。</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 xml:space="preserve">从地域看，城镇限额以上消费品零售额769.73亿元，与上年同期持平；乡村限额以上消费品零售额4.61亿元，增长12.7%。 </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从消费形态看，商品零售收入740.27亿元，与上年同期持平，占全市限额以上消费品零售额比重达95.6%；餐饮收入34.07亿元，增长0.8%，占比4.4%。</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④旅游经济较快发展</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前11个月，全市共接待入境游客24.78万人次，增长5.3%；国内游客9354.02万人次，增长13.9%。实现旅游总收入1128亿元，增长18.1%，其中：国内旅游收入1119.93亿元，增长18.1%；旅游外汇收入11.14亿美元，增长5.7%。</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⑤一般公共预算收入保持增长</w:t>
      </w:r>
    </w:p>
    <w:p>
      <w:pPr>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前11个月，一般公共预算收入356.86亿元，增长4.6%。一般公共预算支出564.73亿元，增长14.0%。</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从级次看，市级一般公共预算收入185.11亿元，增长2.7%；县区级一般公共预算收入171.75亿元，增长6.7%。从收入构成看，税收收入281.98亿元，增长4.1%。</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⑥CPI涨幅扩大</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11月份当月，居民消费价格总指数（CPI）上涨3.5%，涨幅比上月（2.8%）扩大0.7个百分点。前11个月CPI上涨2.6%，涨幅比前10个月（2.5%）扩大0.1个百分点。</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八大类消费价格“七升一降”。食品烟酒类上涨5.4%，教育文化和娱乐类上涨3.9%，其他用品和服务类上涨2.4%，居住类上涨2.0%，衣着类上涨1.5%，生活用品及服务类上涨1.1%，医疗保健类上涨0.7%，交通和通信类下降0.9%。</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⑦其他要素指标</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工业用电量降幅收窄。前11个月，全市用电量233.15亿千瓦时，下降2.3%，降幅与前10个月（下降2.3%）持平。其中工业用电量134.97亿千瓦时，下降9.3%，降幅比前10个月（下降9.6%）收窄0.3个百分点；居民生活用电量39.48亿千瓦时，增长8.3%。</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B.金融存贷款余额增速同步加快。截止11月末，全市金融机构人民币存款余额12805.64亿元，比年初增加782.69亿元，增长6.5%，比上年同期（4.8％）加快1.7个百分点。人民币贷款余额13754.16亿元，比年初增加1234.44亿元，增长9.9%，比上年同期（6.5％）加快3.4个百分点。</w:t>
      </w:r>
    </w:p>
    <w:p>
      <w:pPr>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C.铁路货运量增速加快。前11个月，太原地区铁路货运量3526.26万吨，增长7.0%，增速比前10个月（5.5%）加快1.5个百分点。</w:t>
      </w:r>
    </w:p>
    <w:p>
      <w:pPr>
        <w:spacing w:beforeLines="0" w:afterLines="0" w:line="360" w:lineRule="auto"/>
        <w:ind w:firstLine="480" w:firstLineChars="200"/>
        <w:rPr>
          <w:rFonts w:hint="eastAsia" w:ascii="Times New Roman" w:eastAsia="仿宋_GB2312"/>
          <w:color w:val="auto"/>
          <w:spacing w:val="0"/>
          <w:kern w:val="2"/>
          <w:sz w:val="24"/>
        </w:rPr>
      </w:pPr>
      <w:r>
        <w:rPr>
          <w:rFonts w:hint="eastAsia" w:eastAsia="仿宋_GB2312"/>
          <w:color w:val="auto"/>
          <w:sz w:val="24"/>
          <w:szCs w:val="22"/>
        </w:rPr>
        <w:t>总体来看，前11个月太原市经济继续保持总体平稳的运行态势。下一步，应以习近平新时代中国特色社会主义思想为指导，全面贯彻落实党的十九大和十九届二中、三中、四中全会精神，贯彻落实中央经济工作会议决策部署，紧扣全面建成小康社会目标任务，坚持稳中求进工作总基调，坚持新发展理念，推动经济高质量发展，深化改革开放，实施创新驱动，统筹推进稳增长、促改革、调结构、惠民生、防风险、保稳定，为推动全市高质量发展奠定坚实基础。</w:t>
      </w:r>
    </w:p>
    <w:p>
      <w:pPr>
        <w:pStyle w:val="30"/>
        <w:spacing w:beforeLines="0" w:afterLines="0"/>
        <w:ind w:firstLine="482" w:firstLineChars="200"/>
        <w:rPr>
          <w:rFonts w:hint="default" w:ascii="Times New Roman" w:eastAsia="仿宋_GB2312"/>
          <w:color w:val="auto"/>
          <w:kern w:val="2"/>
          <w:sz w:val="24"/>
        </w:rPr>
      </w:pPr>
      <w:r>
        <w:rPr>
          <w:rFonts w:hint="eastAsia" w:ascii="Times New Roman" w:eastAsia="仿宋_GB2312" w:cs="Times New Roman"/>
          <w:b/>
          <w:color w:val="auto"/>
          <w:spacing w:val="0"/>
          <w:kern w:val="2"/>
          <w:sz w:val="24"/>
          <w:szCs w:val="22"/>
          <w:lang w:val="en-US" w:eastAsia="zh-CN" w:bidi="ar-SA"/>
        </w:rPr>
        <w:t>（2）</w:t>
      </w:r>
      <w:r>
        <w:rPr>
          <w:rFonts w:hint="eastAsia" w:ascii="Times New Roman" w:hAnsi="Times New Roman" w:eastAsia="仿宋_GB2312" w:cs="Times New Roman"/>
          <w:b/>
          <w:color w:val="auto"/>
          <w:spacing w:val="0"/>
          <w:kern w:val="2"/>
          <w:sz w:val="24"/>
          <w:szCs w:val="22"/>
          <w:lang w:val="en-US" w:eastAsia="zh-CN" w:bidi="ar-SA"/>
        </w:rPr>
        <w:t>相关政策简况</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eastAsia="仿宋_GB2312"/>
          <w:color w:val="auto"/>
          <w:sz w:val="24"/>
        </w:rPr>
      </w:pPr>
      <w:r>
        <w:rPr>
          <w:rFonts w:hint="default" w:eastAsia="仿宋_GB2312"/>
          <w:color w:val="auto"/>
          <w:sz w:val="24"/>
        </w:rPr>
        <w:t>2018</w:t>
      </w:r>
      <w:r>
        <w:rPr>
          <w:rFonts w:hint="eastAsia" w:eastAsia="仿宋_GB2312"/>
          <w:color w:val="auto"/>
          <w:sz w:val="24"/>
        </w:rPr>
        <w:t>年5月31日，山西省人民政府办公厅印发《山西省发展住房租赁市场的实施方案》的通知。通知表明山西省的发展目标：2018年，出台住房租赁相关制度政策，省级和市级建成、县级基本建成住房租赁综合服务平台，全省至少新增30家专业化、机构化住房租赁企业和兼营住房租赁业务的房地产企业;各设区城市至少推出1宗土地用于建设租赁住房。各设区城市根据住房需求结构等情况发展住房租赁市场，争取用3-5年时间，租赁住房占新增</w:t>
      </w:r>
      <w:r>
        <w:rPr>
          <w:rFonts w:hint="eastAsia" w:eastAsia="仿宋_GB2312"/>
          <w:color w:val="auto"/>
          <w:sz w:val="24"/>
          <w:lang w:eastAsia="zh-CN"/>
        </w:rPr>
        <w:t>（</w:t>
      </w:r>
      <w:r>
        <w:rPr>
          <w:rFonts w:hint="eastAsia" w:eastAsia="仿宋_GB2312"/>
          <w:color w:val="auto"/>
          <w:sz w:val="24"/>
        </w:rPr>
        <w:t>改造</w:t>
      </w:r>
      <w:r>
        <w:rPr>
          <w:rFonts w:hint="eastAsia" w:eastAsia="仿宋_GB2312"/>
          <w:color w:val="auto"/>
          <w:sz w:val="24"/>
          <w:lang w:eastAsia="zh-CN"/>
        </w:rPr>
        <w:t>）</w:t>
      </w:r>
      <w:r>
        <w:rPr>
          <w:rFonts w:hint="eastAsia" w:eastAsia="仿宋_GB2312"/>
          <w:color w:val="auto"/>
          <w:sz w:val="24"/>
        </w:rPr>
        <w:t>住房供应量的比例提高到50%左右。</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eastAsia="仿宋_GB2312"/>
          <w:color w:val="auto"/>
          <w:sz w:val="24"/>
        </w:rPr>
      </w:pPr>
      <w:r>
        <w:rPr>
          <w:rFonts w:hint="eastAsia" w:eastAsia="仿宋_GB2312"/>
          <w:color w:val="auto"/>
          <w:sz w:val="24"/>
        </w:rPr>
        <w:t>为了进一步规范住房公积金个人贷款行为，防范贷款风险，同时维护缴存职工购房贷款权益，山西省省级机关住房资金管理中心现根据要求对部分住房公积金个人贷款业务进行进一步规范。</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①将公积金贷款首付比例上调至30％，贷款额度不与缴存年限挂钩，最高贷款额度恢复到100万元；</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②借款在50万元以内的，须选择2名职工作为担保人；借款在50万元以上的，须选择3名以上职工作为担保人。采用职工阶段性信用担保方式时，取消担保人住房公积金账户余额必须是申请贷款额10%以上的规定；</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③停止受理自2018年9月30日以后商业银行发放的商业住房按揭贷款转公积金贷款申请。</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中共第十九次全国代表大会指出，巩固和完善农村基本经营制度，深化农村土地制度改革，完善承包地“三权”分置制度。保持土地承包关系稳定并长久不变，第二轮土地承包到期后再延长三十年。</w:t>
      </w:r>
    </w:p>
    <w:p>
      <w:pPr>
        <w:spacing w:beforeLines="0" w:afterLines="0" w:line="360" w:lineRule="auto"/>
        <w:ind w:firstLine="480" w:firstLineChars="200"/>
        <w:rPr>
          <w:rFonts w:hint="eastAsia" w:eastAsia="仿宋_GB2312"/>
          <w:color w:val="auto"/>
          <w:sz w:val="24"/>
        </w:rPr>
      </w:pPr>
      <w:r>
        <w:rPr>
          <w:rFonts w:hint="eastAsia" w:eastAsia="仿宋_GB2312"/>
          <w:color w:val="auto"/>
          <w:sz w:val="24"/>
        </w:rPr>
        <w:t>2018年4月4日，太原市人民政府办公厅对外通知：太原市国有建设用地使用权交易税费优惠暂行办法新鲜出炉，国有建设用地使用权转让交易契税适用税率统一按照《山西省契税实施办法》</w:t>
      </w:r>
      <w:r>
        <w:rPr>
          <w:rFonts w:hint="eastAsia" w:eastAsia="仿宋_GB2312"/>
          <w:color w:val="auto"/>
          <w:sz w:val="24"/>
          <w:lang w:eastAsia="zh-CN"/>
        </w:rPr>
        <w:t>（</w:t>
      </w:r>
      <w:r>
        <w:rPr>
          <w:rFonts w:hint="eastAsia" w:eastAsia="仿宋_GB2312"/>
          <w:color w:val="auto"/>
          <w:sz w:val="24"/>
        </w:rPr>
        <w:t>山西省人民政府令第158号</w:t>
      </w:r>
      <w:r>
        <w:rPr>
          <w:rFonts w:hint="eastAsia" w:eastAsia="仿宋_GB2312"/>
          <w:color w:val="auto"/>
          <w:sz w:val="24"/>
          <w:lang w:eastAsia="zh-CN"/>
        </w:rPr>
        <w:t>）</w:t>
      </w:r>
      <w:r>
        <w:rPr>
          <w:rFonts w:hint="eastAsia" w:eastAsia="仿宋_GB2312"/>
          <w:color w:val="auto"/>
          <w:sz w:val="24"/>
        </w:rPr>
        <w:t>规定执行。从事鼓励类产业的企业土地转让环节契税税率由4%调整为3%。</w:t>
      </w:r>
    </w:p>
    <w:p>
      <w:pPr>
        <w:spacing w:beforeLines="0" w:afterLines="0" w:line="360" w:lineRule="auto"/>
        <w:ind w:firstLine="480" w:firstLineChars="200"/>
        <w:rPr>
          <w:rFonts w:hint="eastAsia" w:eastAsia="仿宋_GB2312"/>
          <w:color w:val="auto"/>
          <w:sz w:val="24"/>
        </w:rPr>
      </w:pPr>
      <w:r>
        <w:rPr>
          <w:rFonts w:hint="eastAsia" w:eastAsia="仿宋_GB2312"/>
          <w:color w:val="auto"/>
          <w:sz w:val="24"/>
        </w:rPr>
        <w:t>为加强国有划拨土地使用权出租经营管理，促进土地资源优化配置，2018年7月12日，太原市政府印发了关于国有划拨土地使用权出租经营管理试行办法的通知。适用于太原市城六区范围内的公司、企业及其他经济组织国有划拨土地使用权出租管理。</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2018年</w:t>
      </w:r>
      <w:r>
        <w:rPr>
          <w:rFonts w:hint="default" w:eastAsia="仿宋_GB2312"/>
          <w:color w:val="auto"/>
          <w:sz w:val="24"/>
        </w:rPr>
        <w:t>5</w:t>
      </w:r>
      <w:r>
        <w:rPr>
          <w:rFonts w:hint="eastAsia" w:eastAsia="仿宋_GB2312"/>
          <w:color w:val="auto"/>
          <w:sz w:val="24"/>
        </w:rPr>
        <w:t>月14日，太原市人民政府印发《关于加强房地产市场调控工作的实施意见》（并政办发〔2018〕23号）。A.对拥有1套城六区住房的本市城镇居民家庭，在城六区没有住房且能够提供在本市1年以上（或逐月连续缴满6个月）的纳税证明的非本市城镇居民家庭，在本市城六区限购1套住房；对拥有2套以上（含2套）城六区住房的本市城镇居民家庭，拥有1套以上（含1套）城六区住房的非本市城镇居民家庭及无法提供在本市1年以上（或逐月连续缴满6个月）的纳税证明（或社会保险缴纳证明）的非本市城镇居民家庭，暂停在本市城六区内购买住房。B.执行差别化住房信贷政策。规定购买首套住房的居民家庭申请商业性个人住房贷款，首付款比例不低于30%，贷款利率按基准利率执行；购买第二套的，最低首付款比例不低于40%，贷款利率不低于基准利率的1.1倍；购买第三套及以上住房的居民家庭，暂停发放商业性个人住房贷款。C.规定商品房销售价格，原则上不得高于周边同品质、同类型在售商品住房销售价格或本项目前一期实际成交价格。对商品房销售价格明显悖高土地成本、开发建设成本的开发项目，暂缓核发商品住房预（销）售许可证。</w:t>
      </w:r>
    </w:p>
    <w:p>
      <w:pPr>
        <w:spacing w:beforeLines="0" w:afterLines="0" w:line="360" w:lineRule="auto"/>
        <w:ind w:firstLine="480" w:firstLineChars="200"/>
        <w:rPr>
          <w:rFonts w:hint="default" w:eastAsia="仿宋_GB2312"/>
          <w:color w:val="auto"/>
          <w:sz w:val="24"/>
        </w:rPr>
      </w:pPr>
      <w:r>
        <w:rPr>
          <w:rFonts w:hint="default" w:eastAsia="仿宋_GB2312"/>
          <w:color w:val="auto"/>
          <w:sz w:val="24"/>
        </w:rPr>
        <w:t>2018</w:t>
      </w:r>
      <w:r>
        <w:rPr>
          <w:rFonts w:hint="eastAsia" w:eastAsia="仿宋_GB2312"/>
          <w:color w:val="auto"/>
          <w:sz w:val="24"/>
        </w:rPr>
        <w:t>年7月限购政策正式落地，规定如下：</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A.凡属于太原市户口的（包括清徐、古交等并入太原区的）以家庭为单位可以在太原市申请最多两套住房，第三套不予审批；</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B.凡不属于太原市户口（外地户口）在太原必须缴纳半年以上社保的提供以家庭为单位在太原市最多可以申请一套住房；</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C.不限售。</w:t>
      </w:r>
    </w:p>
    <w:p>
      <w:pPr>
        <w:spacing w:beforeLines="0" w:afterLines="0" w:line="360" w:lineRule="auto"/>
        <w:ind w:firstLine="480" w:firstLineChars="200"/>
        <w:rPr>
          <w:rFonts w:hint="default" w:eastAsia="仿宋_GB2312"/>
          <w:color w:val="auto"/>
          <w:sz w:val="24"/>
        </w:rPr>
      </w:pPr>
      <w:r>
        <w:rPr>
          <w:rFonts w:hint="eastAsia" w:eastAsia="仿宋_GB2312"/>
          <w:color w:val="auto"/>
          <w:sz w:val="24"/>
        </w:rPr>
        <w:t>2018年</w:t>
      </w:r>
      <w:r>
        <w:rPr>
          <w:rFonts w:hint="default" w:eastAsia="仿宋_GB2312"/>
          <w:color w:val="auto"/>
          <w:sz w:val="24"/>
        </w:rPr>
        <w:t>8</w:t>
      </w:r>
      <w:r>
        <w:rPr>
          <w:rFonts w:hint="eastAsia" w:eastAsia="仿宋_GB2312"/>
          <w:color w:val="auto"/>
          <w:sz w:val="24"/>
        </w:rPr>
        <w:t>月28日，太原市政府办公厅最新印发公布《太原市发展住房租赁市场实施方案》。按照《方案》，太原将新建一批租赁住房。2018年底前，至少推出1宗土地用于建设租赁住房；从2019年起，新出具商品住房地块规划条件时，要求至少配建住宅面积20％的租赁住房；鼓励企业利用自有住宅用地自建或与房地产开发企业合作建设租赁住房等。</w:t>
      </w:r>
    </w:p>
    <w:p>
      <w:pPr>
        <w:spacing w:beforeLines="0" w:afterLines="0" w:line="360" w:lineRule="auto"/>
        <w:ind w:firstLine="482" w:firstLineChars="200"/>
        <w:jc w:val="left"/>
        <w:rPr>
          <w:rFonts w:hint="default" w:eastAsia="仿宋_GB2312"/>
          <w:b/>
          <w:bCs/>
          <w:color w:val="auto"/>
          <w:sz w:val="24"/>
        </w:rPr>
      </w:pPr>
      <w:r>
        <w:rPr>
          <w:rFonts w:hint="eastAsia" w:eastAsia="仿宋_GB2312"/>
          <w:b/>
          <w:bCs/>
          <w:color w:val="auto"/>
          <w:sz w:val="24"/>
          <w:lang w:eastAsia="zh-CN"/>
        </w:rPr>
        <w:t>（</w:t>
      </w:r>
      <w:r>
        <w:rPr>
          <w:rFonts w:hint="eastAsia" w:eastAsia="仿宋_GB2312"/>
          <w:b/>
          <w:bCs/>
          <w:color w:val="auto"/>
          <w:sz w:val="24"/>
          <w:lang w:val="en-US" w:eastAsia="zh-CN"/>
        </w:rPr>
        <w:t>3</w:t>
      </w:r>
      <w:r>
        <w:rPr>
          <w:rFonts w:hint="eastAsia" w:eastAsia="仿宋_GB2312"/>
          <w:b/>
          <w:bCs/>
          <w:color w:val="auto"/>
          <w:sz w:val="24"/>
          <w:lang w:eastAsia="zh-CN"/>
        </w:rPr>
        <w:t>）</w:t>
      </w:r>
      <w:r>
        <w:rPr>
          <w:rFonts w:hint="eastAsia" w:eastAsia="仿宋_GB2312"/>
          <w:b/>
          <w:bCs/>
          <w:color w:val="auto"/>
          <w:sz w:val="24"/>
        </w:rPr>
        <w:t>太原市房地产市场总体状况</w:t>
      </w:r>
    </w:p>
    <w:p>
      <w:pPr>
        <w:widowControl/>
        <w:spacing w:beforeLines="0" w:afterLines="0" w:line="360" w:lineRule="auto"/>
        <w:ind w:firstLine="480" w:firstLineChars="200"/>
        <w:rPr>
          <w:rFonts w:hint="default" w:eastAsia="仿宋_GB2312"/>
          <w:color w:val="auto"/>
          <w:sz w:val="24"/>
        </w:rPr>
      </w:pPr>
      <w:r>
        <w:rPr>
          <w:rFonts w:hint="eastAsia" w:eastAsia="仿宋_GB2312"/>
          <w:color w:val="auto"/>
          <w:sz w:val="24"/>
        </w:rPr>
        <w:t xml:space="preserve">“房住不炒”定位未曾动摇，“稳地价、稳房价、稳预期”目标基本实现，房地产决不会再成为短期刺激增长的手段。 </w:t>
      </w:r>
    </w:p>
    <w:p>
      <w:pPr>
        <w:widowControl/>
        <w:spacing w:beforeLines="0" w:afterLines="0" w:line="360" w:lineRule="auto"/>
        <w:ind w:firstLine="480" w:firstLineChars="200"/>
        <w:jc w:val="left"/>
        <w:rPr>
          <w:rFonts w:hint="default" w:eastAsia="仿宋_GB2312"/>
          <w:color w:val="auto"/>
          <w:sz w:val="24"/>
        </w:rPr>
      </w:pPr>
      <w:r>
        <w:rPr>
          <w:rFonts w:hint="eastAsia" w:eastAsia="仿宋_GB2312"/>
          <w:color w:val="auto"/>
          <w:sz w:val="24"/>
        </w:rPr>
        <w:t>①土地出让与成交情况</w:t>
      </w:r>
    </w:p>
    <w:p>
      <w:pPr>
        <w:widowControl/>
        <w:spacing w:beforeLines="0" w:afterLines="0" w:line="360" w:lineRule="auto"/>
        <w:ind w:firstLine="480" w:firstLineChars="200"/>
        <w:rPr>
          <w:rFonts w:hint="default" w:eastAsia="仿宋_GB2312"/>
          <w:color w:val="auto"/>
          <w:sz w:val="24"/>
        </w:rPr>
      </w:pPr>
      <w:r>
        <w:rPr>
          <w:rFonts w:hint="eastAsia" w:eastAsia="仿宋_GB2312"/>
          <w:color w:val="auto"/>
          <w:sz w:val="24"/>
        </w:rPr>
        <w:t>本月，全市累计成交各类用地12宗，共计99.96万平方米，环比上涨82.99%，同比上涨12.52%。其中，成交住宅用地5宗，建设用地面积17.35万平方米；成交商业/办公用地2宗，建设用地面积5.35万平方米；成交工业用地5宗，建设用地面积77.26万平方米。从2018年12月开始到2019年12月太原市土地成交面积变化如图1所示，土地市场波动较大。</w:t>
      </w:r>
    </w:p>
    <w:p>
      <w:pPr>
        <w:widowControl/>
        <w:spacing w:beforeLines="0" w:afterLines="0" w:line="360" w:lineRule="auto"/>
        <w:jc w:val="center"/>
        <w:rPr>
          <w:rFonts w:hint="eastAsia"/>
          <w:b/>
          <w:color w:val="auto"/>
          <w:sz w:val="18"/>
        </w:rPr>
      </w:pPr>
      <w:r>
        <w:rPr>
          <w:rFonts w:hint="eastAsia" w:eastAsia="仿宋_GB2312"/>
          <w:color w:val="auto"/>
          <w:sz w:val="24"/>
        </w:rPr>
        <w:t>图1.2018年12月-2019年12月太原土地成交面积</w:t>
      </w:r>
    </w:p>
    <w:p>
      <w:pPr>
        <w:adjustRightInd w:val="0"/>
        <w:snapToGrid w:val="0"/>
        <w:spacing w:beforeLines="0" w:afterLines="0" w:line="360" w:lineRule="auto"/>
        <w:ind w:left="-850" w:leftChars="-405" w:right="-850" w:rightChars="-405"/>
        <w:jc w:val="center"/>
        <w:rPr>
          <w:rFonts w:hint="eastAsia"/>
          <w:b/>
          <w:color w:val="auto"/>
          <w:sz w:val="18"/>
        </w:rPr>
      </w:pPr>
      <w:r>
        <w:rPr>
          <w:rFonts w:hint="default"/>
          <w:b/>
          <w:color w:val="auto"/>
          <w:sz w:val="18"/>
        </w:rPr>
        <w:drawing>
          <wp:inline distT="0" distB="0" distL="114300" distR="114300">
            <wp:extent cx="3263265" cy="2092325"/>
            <wp:effectExtent l="0" t="0" r="13335" b="3175"/>
            <wp:docPr id="9" name="图片 49" descr="C:\Users\Administrator\Desktop\月报\太原2019年12月月报\月报截图\图1.太原土地成交面积.png图1.太原土地成交面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9" descr="C:\Users\Administrator\Desktop\月报\太原2019年12月月报\月报截图\图1.太原土地成交面积.png图1.太原土地成交面积"/>
                    <pic:cNvPicPr>
                      <a:picLocks noChangeAspect="1"/>
                    </pic:cNvPicPr>
                  </pic:nvPicPr>
                  <pic:blipFill>
                    <a:blip r:embed="rId15"/>
                    <a:stretch>
                      <a:fillRect/>
                    </a:stretch>
                  </pic:blipFill>
                  <pic:spPr>
                    <a:xfrm>
                      <a:off x="0" y="0"/>
                      <a:ext cx="3263265" cy="2092325"/>
                    </a:xfrm>
                    <a:prstGeom prst="rect">
                      <a:avLst/>
                    </a:prstGeom>
                    <a:noFill/>
                    <a:ln>
                      <a:noFill/>
                    </a:ln>
                  </pic:spPr>
                </pic:pic>
              </a:graphicData>
            </a:graphic>
          </wp:inline>
        </w:drawing>
      </w:r>
    </w:p>
    <w:p>
      <w:pPr>
        <w:widowControl/>
        <w:spacing w:beforeLines="0" w:afterLines="0" w:line="360" w:lineRule="auto"/>
        <w:ind w:firstLine="480" w:firstLineChars="200"/>
        <w:jc w:val="left"/>
        <w:rPr>
          <w:rFonts w:hint="default" w:eastAsia="仿宋_GB2312"/>
          <w:color w:val="auto"/>
          <w:sz w:val="24"/>
        </w:rPr>
      </w:pPr>
      <w:r>
        <w:rPr>
          <w:rFonts w:hint="eastAsia" w:eastAsia="仿宋_GB2312"/>
          <w:color w:val="auto"/>
          <w:sz w:val="24"/>
        </w:rPr>
        <w:t>②商品住宅市场</w:t>
      </w:r>
    </w:p>
    <w:p>
      <w:pPr>
        <w:widowControl/>
        <w:numPr>
          <w:ilvl w:val="0"/>
          <w:numId w:val="1"/>
        </w:numPr>
        <w:spacing w:beforeLines="0" w:afterLines="0" w:line="360" w:lineRule="auto"/>
        <w:ind w:firstLine="480" w:firstLineChars="200"/>
        <w:jc w:val="left"/>
        <w:rPr>
          <w:rFonts w:hint="default" w:eastAsia="仿宋_GB2312"/>
          <w:color w:val="auto"/>
          <w:sz w:val="24"/>
        </w:rPr>
      </w:pPr>
      <w:r>
        <w:rPr>
          <w:rFonts w:hint="eastAsia" w:eastAsia="仿宋_GB2312"/>
          <w:color w:val="auto"/>
          <w:sz w:val="24"/>
        </w:rPr>
        <w:t>市场供应</w:t>
      </w:r>
    </w:p>
    <w:p>
      <w:pPr>
        <w:widowControl/>
        <w:spacing w:beforeLines="0" w:afterLines="0" w:line="360" w:lineRule="auto"/>
        <w:jc w:val="center"/>
        <w:rPr>
          <w:rFonts w:hint="default" w:eastAsia="仿宋_GB2312"/>
          <w:color w:val="auto"/>
          <w:sz w:val="24"/>
        </w:rPr>
      </w:pPr>
      <w:r>
        <w:rPr>
          <w:rFonts w:hint="default" w:eastAsia="仿宋_GB2312"/>
          <w:color w:val="auto"/>
          <w:sz w:val="24"/>
        </w:rPr>
        <w:t>2019</w:t>
      </w:r>
      <w:r>
        <w:rPr>
          <w:rFonts w:hint="eastAsia" w:eastAsia="仿宋_GB2312"/>
          <w:color w:val="auto"/>
          <w:sz w:val="24"/>
        </w:rPr>
        <w:t>年12月份太原市共批准预售商品住房6532套，总面积为67.31万平方米，面积环比下跌44.85%，同比下跌41.47%。本月太原楼市批准预售住宅量套数和面积与上月相较跌幅较大。2018年12月-2019年12月太原市新增商品住房面积变化见图2。</w:t>
      </w:r>
    </w:p>
    <w:p>
      <w:pPr>
        <w:widowControl/>
        <w:spacing w:beforeLines="0" w:afterLines="0" w:line="360" w:lineRule="auto"/>
        <w:jc w:val="center"/>
        <w:rPr>
          <w:rFonts w:hint="eastAsia" w:eastAsia="仿宋_GB2312"/>
          <w:color w:val="auto"/>
          <w:sz w:val="24"/>
        </w:rPr>
      </w:pPr>
      <w:r>
        <w:rPr>
          <w:rFonts w:hint="eastAsia" w:eastAsia="仿宋_GB2312"/>
          <w:color w:val="auto"/>
          <w:sz w:val="24"/>
        </w:rPr>
        <w:t>图2.2018年12月-2019年12月太原市新增商品住房面积图</w:t>
      </w:r>
    </w:p>
    <w:p>
      <w:pPr>
        <w:pStyle w:val="35"/>
        <w:spacing w:before="0" w:beforeLines="0" w:beforeAutospacing="0" w:after="0" w:afterLines="0" w:afterAutospacing="0" w:line="360" w:lineRule="auto"/>
        <w:jc w:val="center"/>
        <w:rPr>
          <w:rFonts w:hint="eastAsia" w:eastAsia="宋体"/>
          <w:b/>
          <w:color w:val="000000"/>
          <w:sz w:val="18"/>
        </w:rPr>
      </w:pPr>
      <w:r>
        <w:rPr>
          <w:rFonts w:hint="default" w:eastAsia="宋体"/>
          <w:b/>
          <w:color w:val="000000"/>
          <w:sz w:val="18"/>
        </w:rPr>
        <w:drawing>
          <wp:inline distT="0" distB="0" distL="114300" distR="114300">
            <wp:extent cx="3381375" cy="2265680"/>
            <wp:effectExtent l="0" t="0" r="9525" b="1270"/>
            <wp:docPr id="10" name="图片 57" descr="C:\Users\Administrator\Desktop\月报\太原2019年12月月报\月报截图\图2.太原市新增商品住房面积图.png图2.太原市新增商品住房面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7" descr="C:\Users\Administrator\Desktop\月报\太原2019年12月月报\月报截图\图2.太原市新增商品住房面积图.png图2.太原市新增商品住房面积图"/>
                    <pic:cNvPicPr>
                      <a:picLocks noChangeAspect="1"/>
                    </pic:cNvPicPr>
                  </pic:nvPicPr>
                  <pic:blipFill>
                    <a:blip r:embed="rId16"/>
                    <a:stretch>
                      <a:fillRect/>
                    </a:stretch>
                  </pic:blipFill>
                  <pic:spPr>
                    <a:xfrm>
                      <a:off x="0" y="0"/>
                      <a:ext cx="3381375" cy="2265680"/>
                    </a:xfrm>
                    <a:prstGeom prst="rect">
                      <a:avLst/>
                    </a:prstGeom>
                    <a:noFill/>
                    <a:ln>
                      <a:noFill/>
                    </a:ln>
                  </pic:spPr>
                </pic:pic>
              </a:graphicData>
            </a:graphic>
          </wp:inline>
        </w:drawing>
      </w:r>
    </w:p>
    <w:p>
      <w:pPr>
        <w:widowControl/>
        <w:spacing w:beforeLines="0" w:afterLines="0" w:line="360" w:lineRule="auto"/>
        <w:ind w:firstLine="480" w:firstLineChars="200"/>
        <w:jc w:val="left"/>
        <w:rPr>
          <w:rFonts w:hint="default" w:eastAsia="仿宋_GB2312"/>
          <w:color w:val="auto"/>
          <w:sz w:val="24"/>
        </w:rPr>
      </w:pPr>
      <w:r>
        <w:rPr>
          <w:rFonts w:hint="eastAsia" w:eastAsia="仿宋_GB2312"/>
          <w:color w:val="auto"/>
          <w:sz w:val="24"/>
        </w:rPr>
        <w:t xml:space="preserve">b.整体成交走势 </w:t>
      </w:r>
    </w:p>
    <w:p>
      <w:pPr>
        <w:widowControl/>
        <w:spacing w:beforeLines="0" w:afterLines="0" w:line="360" w:lineRule="auto"/>
        <w:ind w:firstLine="480" w:firstLineChars="200"/>
        <w:rPr>
          <w:rFonts w:hint="eastAsia" w:eastAsia="仿宋_GB2312"/>
          <w:color w:val="auto"/>
          <w:sz w:val="24"/>
        </w:rPr>
      </w:pPr>
      <w:r>
        <w:rPr>
          <w:rFonts w:hint="default" w:eastAsia="仿宋_GB2312"/>
          <w:color w:val="auto"/>
          <w:sz w:val="24"/>
        </w:rPr>
        <w:t>12</w:t>
      </w:r>
      <w:r>
        <w:rPr>
          <w:rFonts w:hint="eastAsia" w:eastAsia="仿宋_GB2312"/>
          <w:color w:val="auto"/>
          <w:sz w:val="24"/>
        </w:rPr>
        <w:t>月份太原楼市环比量涨价跌。一手住宅成交5955套，太原商品住宅销售面积为76.59万平方米，环比上涨0.39%，同比上涨15.83%；而楼市价格方面，2019年12月，太原商品住宅价格为11382元/平方米，环比下跌3.75%，同比下跌9.16%。2018年12月至2019年12月太原一手住宅成交走势如图3所示。</w:t>
      </w:r>
    </w:p>
    <w:p>
      <w:pPr>
        <w:widowControl/>
        <w:spacing w:beforeLines="0" w:afterLines="0" w:line="360" w:lineRule="auto"/>
        <w:jc w:val="center"/>
        <w:rPr>
          <w:rFonts w:hint="eastAsia"/>
          <w:b/>
          <w:color w:val="auto"/>
          <w:w w:val="95"/>
          <w:sz w:val="18"/>
        </w:rPr>
      </w:pPr>
      <w:r>
        <w:rPr>
          <w:rFonts w:hint="eastAsia" w:eastAsia="仿宋_GB2312"/>
          <w:color w:val="auto"/>
          <w:sz w:val="24"/>
        </w:rPr>
        <w:t>图3.2018年12月至2019年12月太原一手住宅成交走势</w:t>
      </w:r>
    </w:p>
    <w:p>
      <w:pPr>
        <w:pStyle w:val="30"/>
        <w:spacing w:beforeLines="0" w:afterLines="0"/>
        <w:ind w:firstLine="423" w:firstLineChars="200"/>
        <w:jc w:val="center"/>
        <w:rPr>
          <w:rFonts w:hint="eastAsia"/>
          <w:b/>
          <w:color w:val="auto"/>
          <w:w w:val="95"/>
          <w:sz w:val="18"/>
        </w:rPr>
      </w:pPr>
      <w:r>
        <w:rPr>
          <w:rFonts w:hint="default"/>
          <w:b/>
          <w:color w:val="auto"/>
          <w:w w:val="95"/>
          <w:sz w:val="18"/>
        </w:rPr>
        <w:drawing>
          <wp:inline distT="0" distB="0" distL="114300" distR="114300">
            <wp:extent cx="3272790" cy="2326640"/>
            <wp:effectExtent l="0" t="0" r="3810" b="16510"/>
            <wp:docPr id="12" name="图片 56" descr="C:\Users\Administrator\Desktop\月报\太原2019年12月月报\月报截图\图3.太原一手住宅成交走势.png图3.太原一手住宅成交走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6" descr="C:\Users\Administrator\Desktop\月报\太原2019年12月月报\月报截图\图3.太原一手住宅成交走势.png图3.太原一手住宅成交走势"/>
                    <pic:cNvPicPr>
                      <a:picLocks noChangeAspect="1"/>
                    </pic:cNvPicPr>
                  </pic:nvPicPr>
                  <pic:blipFill>
                    <a:blip r:embed="rId17"/>
                    <a:stretch>
                      <a:fillRect/>
                    </a:stretch>
                  </pic:blipFill>
                  <pic:spPr>
                    <a:xfrm>
                      <a:off x="0" y="0"/>
                      <a:ext cx="3272790" cy="2326640"/>
                    </a:xfrm>
                    <a:prstGeom prst="rect">
                      <a:avLst/>
                    </a:prstGeom>
                    <a:noFill/>
                    <a:ln>
                      <a:noFill/>
                    </a:ln>
                  </pic:spPr>
                </pic:pic>
              </a:graphicData>
            </a:graphic>
          </wp:inline>
        </w:drawing>
      </w:r>
    </w:p>
    <w:p>
      <w:pPr>
        <w:pStyle w:val="30"/>
        <w:spacing w:beforeLines="0" w:afterLines="0"/>
        <w:ind w:firstLine="0"/>
        <w:rPr>
          <w:rFonts w:hint="eastAsia" w:ascii="Times New Roman" w:eastAsia="仿宋_GB2312"/>
          <w:color w:val="auto"/>
          <w:spacing w:val="0"/>
          <w:kern w:val="2"/>
          <w:sz w:val="24"/>
        </w:rPr>
      </w:pPr>
    </w:p>
    <w:p>
      <w:pPr>
        <w:pStyle w:val="30"/>
        <w:spacing w:beforeLines="0" w:afterLines="0"/>
        <w:rPr>
          <w:rFonts w:hint="default" w:ascii="Times New Roman" w:eastAsia="仿宋_GB2312"/>
          <w:color w:val="auto"/>
          <w:spacing w:val="0"/>
          <w:kern w:val="2"/>
          <w:sz w:val="24"/>
        </w:rPr>
      </w:pPr>
      <w:r>
        <w:rPr>
          <w:rFonts w:hint="eastAsia" w:ascii="Times New Roman" w:eastAsia="仿宋_GB2312"/>
          <w:color w:val="auto"/>
          <w:spacing w:val="0"/>
          <w:kern w:val="2"/>
          <w:sz w:val="24"/>
        </w:rPr>
        <w:t>c.需求结构分析</w:t>
      </w:r>
    </w:p>
    <w:p>
      <w:pPr>
        <w:widowControl/>
        <w:spacing w:beforeLines="0" w:afterLines="0" w:line="360" w:lineRule="auto"/>
        <w:ind w:firstLine="480"/>
        <w:rPr>
          <w:rFonts w:hint="default" w:eastAsia="仿宋_GB2312"/>
          <w:color w:val="auto"/>
          <w:sz w:val="24"/>
        </w:rPr>
      </w:pPr>
      <w:r>
        <w:rPr>
          <w:rFonts w:hint="eastAsia" w:eastAsia="仿宋_GB2312"/>
          <w:color w:val="auto"/>
          <w:sz w:val="24"/>
        </w:rPr>
        <w:t>从需求结构的价格段来看，单价12000元(含)以上价格段销售套数最多，为2329套，占比最高，达39.11%。其次为8000（含）-10000元价格段，占比为26.53%。各价格段销售套数占比结构图如下图4所示。</w:t>
      </w:r>
    </w:p>
    <w:p>
      <w:pPr>
        <w:widowControl/>
        <w:spacing w:beforeLines="0" w:afterLines="0" w:line="360" w:lineRule="auto"/>
        <w:ind w:firstLine="480"/>
        <w:jc w:val="center"/>
        <w:rPr>
          <w:rFonts w:hint="eastAsia"/>
          <w:b/>
          <w:color w:val="auto"/>
          <w:sz w:val="18"/>
        </w:rPr>
      </w:pPr>
      <w:r>
        <w:rPr>
          <w:rFonts w:hint="eastAsia" w:eastAsia="仿宋_GB2312"/>
          <w:color w:val="auto"/>
          <w:sz w:val="24"/>
        </w:rPr>
        <w:t>图4.2019年12月太原价格段销售套数占比结构图</w:t>
      </w:r>
    </w:p>
    <w:p>
      <w:pPr>
        <w:pStyle w:val="30"/>
        <w:spacing w:beforeLines="0" w:afterLines="0"/>
        <w:ind w:firstLine="441" w:firstLineChars="200"/>
        <w:jc w:val="center"/>
        <w:rPr>
          <w:rFonts w:hint="eastAsia"/>
          <w:b/>
          <w:color w:val="auto"/>
          <w:sz w:val="18"/>
        </w:rPr>
      </w:pPr>
      <w:r>
        <w:rPr>
          <w:rFonts w:hint="default"/>
          <w:b/>
          <w:color w:val="auto"/>
          <w:sz w:val="18"/>
        </w:rPr>
        <w:drawing>
          <wp:inline distT="0" distB="0" distL="114300" distR="114300">
            <wp:extent cx="2898140" cy="2030095"/>
            <wp:effectExtent l="0" t="0" r="16510" b="8255"/>
            <wp:docPr id="14" name="图片 53" descr="C:\Users\Administrator\Desktop\月报\太原2019年12月月报\月报截图\图4.饼状图.png图4.饼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3" descr="C:\Users\Administrator\Desktop\月报\太原2019年12月月报\月报截图\图4.饼状图.png图4.饼状图"/>
                    <pic:cNvPicPr>
                      <a:picLocks noChangeAspect="1"/>
                    </pic:cNvPicPr>
                  </pic:nvPicPr>
                  <pic:blipFill>
                    <a:blip r:embed="rId18"/>
                    <a:stretch>
                      <a:fillRect/>
                    </a:stretch>
                  </pic:blipFill>
                  <pic:spPr>
                    <a:xfrm>
                      <a:off x="0" y="0"/>
                      <a:ext cx="2898140" cy="2030095"/>
                    </a:xfrm>
                    <a:prstGeom prst="rect">
                      <a:avLst/>
                    </a:prstGeom>
                    <a:noFill/>
                    <a:ln>
                      <a:noFill/>
                    </a:ln>
                  </pic:spPr>
                </pic:pic>
              </a:graphicData>
            </a:graphic>
          </wp:inline>
        </w:drawing>
      </w:r>
    </w:p>
    <w:p>
      <w:pPr>
        <w:adjustRightInd w:val="0"/>
        <w:spacing w:beforeLines="0" w:afterLines="0" w:line="360" w:lineRule="auto"/>
        <w:ind w:firstLine="480" w:firstLineChars="200"/>
        <w:rPr>
          <w:rFonts w:hint="default" w:eastAsia="仿宋_GB2312"/>
          <w:color w:val="auto"/>
          <w:sz w:val="24"/>
        </w:rPr>
      </w:pPr>
      <w:r>
        <w:rPr>
          <w:rFonts w:hint="eastAsia" w:eastAsia="仿宋_GB2312"/>
          <w:color w:val="auto"/>
          <w:sz w:val="24"/>
        </w:rPr>
        <w:t>③存量房价格指数</w:t>
      </w:r>
    </w:p>
    <w:p>
      <w:pPr>
        <w:pStyle w:val="30"/>
        <w:spacing w:beforeLines="0" w:afterLines="0"/>
        <w:ind w:firstLine="480" w:firstLineChars="200"/>
        <w:jc w:val="both"/>
        <w:rPr>
          <w:rFonts w:hint="eastAsia" w:ascii="Times New Roman" w:eastAsia="仿宋_GB2312"/>
          <w:color w:val="auto"/>
          <w:spacing w:val="0"/>
          <w:kern w:val="2"/>
          <w:sz w:val="24"/>
        </w:rPr>
      </w:pPr>
      <w:r>
        <w:rPr>
          <w:rFonts w:hint="eastAsia" w:ascii="Times New Roman" w:eastAsia="仿宋_GB2312"/>
          <w:color w:val="auto"/>
          <w:spacing w:val="0"/>
          <w:kern w:val="2"/>
          <w:sz w:val="24"/>
        </w:rPr>
        <w:t>根据V估价系统对全市六大城区中3502个存量住宅小区的监测，2020年1月份存量住宅均价为11054元/平方米，环比下跌0.08%。</w:t>
      </w:r>
    </w:p>
    <w:p>
      <w:pPr>
        <w:pStyle w:val="30"/>
        <w:spacing w:beforeLines="0" w:afterLines="0"/>
        <w:ind w:firstLine="480" w:firstLineChars="200"/>
        <w:jc w:val="center"/>
        <w:rPr>
          <w:rFonts w:hint="eastAsia"/>
          <w:color w:val="000000"/>
          <w:sz w:val="20"/>
        </w:rPr>
      </w:pPr>
      <w:r>
        <w:rPr>
          <w:rFonts w:hint="default"/>
          <w:color w:val="000000"/>
          <w:sz w:val="20"/>
        </w:rPr>
        <w:drawing>
          <wp:inline distT="0" distB="0" distL="114300" distR="114300">
            <wp:extent cx="3122930" cy="2484120"/>
            <wp:effectExtent l="0" t="0" r="1270" b="11430"/>
            <wp:docPr id="15" name="图片 55" descr="C:\Users\Administrator\Desktop\月报\太原2019年12月月报\月报截图\太原市主城区存量房均值.png太原市主城区存量房均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5" descr="C:\Users\Administrator\Desktop\月报\太原2019年12月月报\月报截图\太原市主城区存量房均值.png太原市主城区存量房均值"/>
                    <pic:cNvPicPr>
                      <a:picLocks noChangeAspect="1"/>
                    </pic:cNvPicPr>
                  </pic:nvPicPr>
                  <pic:blipFill>
                    <a:blip r:embed="rId19"/>
                    <a:stretch>
                      <a:fillRect/>
                    </a:stretch>
                  </pic:blipFill>
                  <pic:spPr>
                    <a:xfrm>
                      <a:off x="0" y="0"/>
                      <a:ext cx="3122930" cy="2484120"/>
                    </a:xfrm>
                    <a:prstGeom prst="rect">
                      <a:avLst/>
                    </a:prstGeom>
                    <a:noFill/>
                    <a:ln>
                      <a:noFill/>
                    </a:ln>
                  </pic:spPr>
                </pic:pic>
              </a:graphicData>
            </a:graphic>
          </wp:inline>
        </w:drawing>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④太原市写字楼商业市场状况及发展趋势</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a.太原市写字楼、商业现状</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太原写字楼主要依昭示性较强的城市主干道或政务、商业区而建，目前主要分为四个商务区，未来商务集聚的优势会越来越明显。</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府西商务区是太原市最早的商务办公区，优越的地段吸引了众多酒店、餐厅等服务业聚集于此，形成了一个成熟的商务办公中心。</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迎泽商务区是太原市传统商务区之一，是省城的政治中心、交通枢纽和对外交往的“窗口”，区域环境好、交通便利，主要入驻企业以贸易、能源、服务行业为主，区域办公物业未来逐渐向高配置、高品质方向发展。</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长风商务区为集商务、商业为一体的综合性南板块核心商区，城市次中心。太原市公安局、市人民检查院、市中级人民法院、市为民服务中心皆位于此，为民服务中心有63家单位先后入驻。此外，省人社厅、省教育厅、省旅发委等也陆续迁至此区域。长风中心之势已然形成，未来价值潜力不言而喻。</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南中环高新片区将成为带动太原都市圈产业转型和服务功能提升的核心地区。</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目前，太原市商业格局呈现以柳巷、钟楼街商圈-长风商圈-朝阳街商圈为中心的三中心特征，三大商圈形成了“金三角”式的城市商业格局。</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柳巷-钟楼商圈是太原历史最悠久的商业街，集休闲、娱乐、购物为一体，该商业区不仅在太原市的经济和社会生活中扮演着重要的角色，而且具有独特的历史文化和旅游观光价值。</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亲贤-长风商圈是城市发展的新名片，在政府的努力打造下，亲贤-长风商圈对“南郊区”到“小店区”变化至关重要，使长风街成为太原市的“世纪大道”，是逐步成长起来的商业集中区域。</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火车站朝阳商圈是山西的服装集散中心，毗邻太原火车站，交通便利。太原火车站的改造，使得周边街道干净整洁，曾经拥堵的交通也变得井然有序，改造后的建设路，提高太原东部地区交通通达性。得天独厚的地理位置、巨大的商业价值和较高的人口密度，朝阳街的区域价值不断提升。</w:t>
      </w:r>
    </w:p>
    <w:p>
      <w:pPr>
        <w:adjustRightInd w:val="0"/>
        <w:spacing w:beforeLines="0" w:afterLines="0" w:line="360" w:lineRule="auto"/>
        <w:ind w:firstLine="480" w:firstLineChars="200"/>
        <w:rPr>
          <w:rFonts w:hint="default" w:eastAsia="仿宋_GB2312"/>
          <w:color w:val="auto"/>
          <w:sz w:val="24"/>
          <w:szCs w:val="22"/>
        </w:rPr>
      </w:pPr>
      <w:r>
        <w:rPr>
          <w:rFonts w:hint="eastAsia" w:eastAsia="仿宋_GB2312"/>
          <w:color w:val="auto"/>
          <w:sz w:val="24"/>
          <w:szCs w:val="22"/>
        </w:rPr>
        <w:t>b.太原市写字楼、商业发展趋势</w:t>
      </w:r>
    </w:p>
    <w:p>
      <w:pPr>
        <w:adjustRightInd w:val="0"/>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2019年，晋源区将抓好以下几项重点工作：</w:t>
      </w:r>
    </w:p>
    <w:p>
      <w:pPr>
        <w:adjustRightInd w:val="0"/>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a.将推动4个核心产业圈布局，继续抓好三个百亿级项目落地建设；</w:t>
      </w:r>
    </w:p>
    <w:p>
      <w:pPr>
        <w:adjustRightInd w:val="0"/>
        <w:spacing w:beforeLines="0" w:afterLines="0" w:line="360" w:lineRule="auto"/>
        <w:ind w:firstLine="480" w:firstLineChars="200"/>
        <w:rPr>
          <w:rFonts w:hint="eastAsia" w:eastAsia="仿宋_GB2312"/>
          <w:color w:val="auto"/>
          <w:sz w:val="24"/>
          <w:szCs w:val="22"/>
        </w:rPr>
      </w:pPr>
      <w:r>
        <w:rPr>
          <w:rFonts w:hint="eastAsia" w:eastAsia="仿宋_GB2312"/>
          <w:color w:val="auto"/>
          <w:sz w:val="24"/>
          <w:szCs w:val="22"/>
        </w:rPr>
        <w:t>b.将以长风文化商务区为核心，持续推动阳光城环球金融中心、化建大厦、鸿升时代广场提质扩容，服务保障太原国际会展中心建设，提升长风国贸六馆等商业服务功能；</w:t>
      </w:r>
    </w:p>
    <w:p>
      <w:pPr>
        <w:adjustRightInd w:val="0"/>
        <w:spacing w:beforeLines="0" w:afterLines="0" w:line="360" w:lineRule="auto"/>
        <w:ind w:firstLine="480" w:firstLineChars="200"/>
        <w:rPr>
          <w:rFonts w:hint="eastAsia" w:eastAsia="仿宋_GB2312"/>
          <w:color w:val="auto"/>
          <w:sz w:val="24"/>
        </w:rPr>
      </w:pPr>
      <w:r>
        <w:rPr>
          <w:rFonts w:hint="eastAsia" w:eastAsia="仿宋_GB2312"/>
          <w:color w:val="auto"/>
          <w:sz w:val="24"/>
          <w:szCs w:val="22"/>
        </w:rPr>
        <w:t>c.将以晋阳湖及晋阳湖湿地公园为核心，保障晋阳里、悦榕庄酒店建成投用，培育中高端消费增长点，着力构建地标经济、生态文化产业集群。</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9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鉴定要求：对位于太原市长风西街16号10幢28层2804号房地产的市场价格予以鉴定。</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8" w:name="_Toc12164"/>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9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99" w:name="_Toc301369720"/>
      <w:bookmarkStart w:id="100" w:name="_Toc367869502"/>
      <w:bookmarkStart w:id="101" w:name="_Toc243111719"/>
      <w:bookmarkStart w:id="102" w:name="_Toc254875144"/>
      <w:bookmarkStart w:id="103" w:name="_Toc269132873"/>
      <w:bookmarkStart w:id="104" w:name="_Toc135016176"/>
      <w:bookmarkStart w:id="105" w:name="_Toc254860130"/>
      <w:bookmarkStart w:id="106" w:name="_Toc270691072"/>
      <w:bookmarkStart w:id="107" w:name="_Toc130033726"/>
      <w:bookmarkStart w:id="108" w:name="_Toc243111690"/>
      <w:r>
        <w:rPr>
          <w:rFonts w:hint="eastAsia" w:eastAsia="仿宋_GB2312" w:cs="Times New Roman"/>
          <w:color w:val="auto"/>
          <w:sz w:val="24"/>
          <w:szCs w:val="24"/>
          <w:highlight w:val="none"/>
          <w:lang w:val="en-US" w:eastAsia="zh-CN"/>
        </w:rPr>
        <w:t>2020年1月20日（实地查勘日期）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6115"/>
      <w:bookmarkStart w:id="110" w:name="_Toc26107"/>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99"/>
      <w:bookmarkEnd w:id="100"/>
      <w:bookmarkEnd w:id="101"/>
      <w:bookmarkEnd w:id="102"/>
      <w:bookmarkEnd w:id="103"/>
      <w:bookmarkEnd w:id="104"/>
      <w:bookmarkEnd w:id="105"/>
      <w:bookmarkEnd w:id="106"/>
      <w:bookmarkEnd w:id="107"/>
      <w:bookmarkEnd w:id="108"/>
      <w:r>
        <w:rPr>
          <w:rFonts w:hint="default" w:ascii="Times New Roman" w:hAnsi="Times New Roman" w:eastAsia="仿宋_GB2312" w:cs="Times New Roman"/>
          <w:b/>
          <w:bCs w:val="0"/>
          <w:color w:val="auto"/>
          <w:sz w:val="24"/>
          <w:szCs w:val="24"/>
          <w:highlight w:val="none"/>
          <w:lang w:val="en-US" w:eastAsia="zh-CN"/>
        </w:rPr>
        <w:t>类型</w:t>
      </w:r>
      <w:bookmarkEnd w:id="109"/>
      <w:bookmarkEnd w:id="11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本报告的估价结果是指估价对象在规划用途并正常使用的条件下，于价值时点2020年1月20日房地产市场价值。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1" w:name="_Toc17565"/>
      <w:bookmarkStart w:id="112" w:name="_Toc7362"/>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111"/>
      <w:bookmarkEnd w:id="11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113" w:name="_Toc243111720"/>
      <w:bookmarkStart w:id="114" w:name="_Toc270691073"/>
      <w:bookmarkStart w:id="115" w:name="_Toc269132874"/>
      <w:bookmarkStart w:id="116" w:name="_Toc243111691"/>
      <w:bookmarkStart w:id="117" w:name="_Toc254875145"/>
      <w:bookmarkStart w:id="118" w:name="_Toc135016177"/>
      <w:bookmarkStart w:id="119" w:name="_Toc301369721"/>
      <w:bookmarkStart w:id="120" w:name="_Toc130033727"/>
      <w:bookmarkStart w:id="121" w:name="_Toc254860131"/>
      <w:bookmarkStart w:id="122" w:name="_Toc367869503"/>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3" w:name="_Toc11279"/>
      <w:bookmarkStart w:id="124" w:name="_Toc7961"/>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113"/>
      <w:bookmarkEnd w:id="114"/>
      <w:bookmarkEnd w:id="115"/>
      <w:bookmarkEnd w:id="116"/>
      <w:bookmarkEnd w:id="117"/>
      <w:bookmarkEnd w:id="118"/>
      <w:bookmarkEnd w:id="119"/>
      <w:bookmarkEnd w:id="120"/>
      <w:bookmarkEnd w:id="121"/>
      <w:bookmarkEnd w:id="122"/>
      <w:bookmarkEnd w:id="123"/>
      <w:bookmarkEnd w:id="124"/>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《委托书》；</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《商品房买卖合同》</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太原市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5" w:name="_Toc269132876"/>
      <w:bookmarkStart w:id="126" w:name="_Toc135016179"/>
      <w:bookmarkStart w:id="127" w:name="_Toc243111722"/>
      <w:bookmarkStart w:id="128" w:name="_Toc243111693"/>
      <w:bookmarkStart w:id="129" w:name="_Toc254875147"/>
      <w:bookmarkStart w:id="130" w:name="_Toc17534"/>
      <w:bookmarkStart w:id="131" w:name="_Toc367869505"/>
      <w:bookmarkStart w:id="132" w:name="_Toc254860133"/>
      <w:bookmarkStart w:id="133" w:name="_Toc6890"/>
      <w:bookmarkStart w:id="134" w:name="_Toc130033729"/>
      <w:bookmarkStart w:id="135" w:name="_Toc270691075"/>
      <w:bookmarkStart w:id="136" w:name="_Toc301369723"/>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25"/>
      <w:bookmarkEnd w:id="126"/>
      <w:bookmarkEnd w:id="127"/>
      <w:bookmarkEnd w:id="128"/>
      <w:bookmarkEnd w:id="129"/>
      <w:bookmarkEnd w:id="130"/>
      <w:bookmarkEnd w:id="131"/>
      <w:bookmarkEnd w:id="132"/>
      <w:bookmarkEnd w:id="133"/>
      <w:bookmarkEnd w:id="134"/>
      <w:bookmarkEnd w:id="135"/>
      <w:bookmarkEnd w:id="136"/>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37" w:name="_Toc254875148"/>
      <w:bookmarkStart w:id="138" w:name="_Toc367869506"/>
      <w:bookmarkStart w:id="139" w:name="_Toc254860134"/>
      <w:bookmarkStart w:id="140" w:name="_Toc243111723"/>
      <w:bookmarkStart w:id="141" w:name="_Toc243111694"/>
      <w:bookmarkStart w:id="142" w:name="_Toc270691076"/>
      <w:bookmarkStart w:id="143" w:name="_Toc269132877"/>
      <w:bookmarkStart w:id="144" w:name="_Toc301369724"/>
      <w:bookmarkStart w:id="145" w:name="_Toc367869507"/>
      <w:bookmarkStart w:id="146" w:name="_Toc270691077"/>
      <w:bookmarkStart w:id="147" w:name="_Toc301369725"/>
      <w:bookmarkStart w:id="148" w:name="_Toc254860135"/>
      <w:bookmarkStart w:id="149" w:name="_Toc130033731"/>
      <w:bookmarkStart w:id="150" w:name="_Toc135016181"/>
      <w:bookmarkStart w:id="151" w:name="_Toc254875149"/>
      <w:bookmarkStart w:id="152" w:name="_Toc243111724"/>
      <w:bookmarkStart w:id="153" w:name="_Toc243111695"/>
      <w:bookmarkStart w:id="154" w:name="_Toc269132878"/>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太原市长风西街16号10幢28层2804号</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264.82</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38"/>
        <w:tblW w:w="8830"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53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规划用途为公寓</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估价对象规划用途为</w:t>
            </w:r>
            <w:r>
              <w:rPr>
                <w:rFonts w:hint="eastAsia" w:ascii="仿宋_GB2312" w:hAnsi="宋体" w:eastAsia="仿宋_GB2312" w:cs="宋体"/>
                <w:color w:val="auto"/>
                <w:sz w:val="18"/>
                <w:szCs w:val="18"/>
                <w:highlight w:val="none"/>
                <w:lang w:eastAsia="zh-CN"/>
              </w:rPr>
              <w:t>公寓</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公寓</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53"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55"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55"/>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11719"/>
      <w:bookmarkStart w:id="157" w:name="_Toc4592"/>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37"/>
      <w:bookmarkEnd w:id="138"/>
      <w:bookmarkEnd w:id="139"/>
      <w:bookmarkEnd w:id="140"/>
      <w:bookmarkEnd w:id="141"/>
      <w:bookmarkEnd w:id="142"/>
      <w:bookmarkEnd w:id="143"/>
      <w:bookmarkEnd w:id="144"/>
      <w:bookmarkEnd w:id="156"/>
      <w:bookmarkEnd w:id="157"/>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2020年1月20日</w:t>
      </w:r>
      <w:r>
        <w:rPr>
          <w:rFonts w:hint="default"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p>
    <w:bookmarkEnd w:id="145"/>
    <w:bookmarkEnd w:id="146"/>
    <w:bookmarkEnd w:id="147"/>
    <w:bookmarkEnd w:id="148"/>
    <w:bookmarkEnd w:id="149"/>
    <w:bookmarkEnd w:id="150"/>
    <w:bookmarkEnd w:id="151"/>
    <w:bookmarkEnd w:id="152"/>
    <w:bookmarkEnd w:id="153"/>
    <w:bookmarkEnd w:id="154"/>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bookmarkStart w:id="158" w:name="_Toc2185"/>
      <w:bookmarkStart w:id="159" w:name="_Toc387827702"/>
      <w:r>
        <w:rPr>
          <w:rFonts w:hint="default" w:ascii="Times New Roman" w:hAnsi="Times New Roman" w:eastAsia="仿宋" w:cs="Times New Roman"/>
          <w:b/>
          <w:color w:val="auto"/>
          <w:sz w:val="24"/>
          <w:szCs w:val="24"/>
          <w:highlight w:val="none"/>
          <w:u w:val="none"/>
        </w:rPr>
        <w:t>房地产价值总价:</w:t>
      </w:r>
      <w:r>
        <w:rPr>
          <w:rFonts w:hint="eastAsia" w:eastAsia="仿宋" w:cs="Times New Roman"/>
          <w:b/>
          <w:color w:val="auto"/>
          <w:sz w:val="24"/>
          <w:szCs w:val="24"/>
          <w:highlight w:val="none"/>
          <w:u w:val="none"/>
          <w:lang w:eastAsia="zh-CN"/>
        </w:rPr>
        <w:t>344.8</w:t>
      </w:r>
      <w:r>
        <w:rPr>
          <w:rFonts w:hint="default" w:ascii="Times New Roman" w:hAnsi="Times New Roman" w:eastAsia="仿宋" w:cs="Times New Roman"/>
          <w:b/>
          <w:color w:val="auto"/>
          <w:sz w:val="24"/>
          <w:szCs w:val="24"/>
          <w:highlight w:val="none"/>
          <w:u w:val="none"/>
        </w:rPr>
        <w:t xml:space="preserve">万元整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大写金额：</w:t>
      </w:r>
      <w:r>
        <w:rPr>
          <w:rFonts w:hint="eastAsia" w:eastAsia="仿宋" w:cs="Times New Roman"/>
          <w:b/>
          <w:color w:val="auto"/>
          <w:sz w:val="24"/>
          <w:szCs w:val="24"/>
          <w:highlight w:val="none"/>
          <w:u w:val="none"/>
          <w:lang w:eastAsia="zh-CN"/>
        </w:rPr>
        <w:t>叁佰肆拾肆万捌仟</w:t>
      </w:r>
      <w:r>
        <w:rPr>
          <w:rFonts w:hint="default" w:ascii="Times New Roman" w:hAnsi="Times New Roman" w:eastAsia="仿宋" w:cs="Times New Roman"/>
          <w:b/>
          <w:color w:val="auto"/>
          <w:sz w:val="24"/>
          <w:szCs w:val="24"/>
          <w:highlight w:val="none"/>
          <w:u w:val="none"/>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评估单价：</w:t>
      </w:r>
      <w:r>
        <w:rPr>
          <w:rFonts w:hint="eastAsia" w:eastAsia="仿宋" w:cs="Times New Roman"/>
          <w:b/>
          <w:color w:val="auto"/>
          <w:sz w:val="24"/>
          <w:szCs w:val="24"/>
          <w:highlight w:val="none"/>
          <w:u w:val="none"/>
          <w:lang w:eastAsia="zh-CN"/>
        </w:rPr>
        <w:t>13020</w:t>
      </w:r>
      <w:r>
        <w:rPr>
          <w:rFonts w:hint="default" w:ascii="Times New Roman" w:hAnsi="Times New Roman" w:eastAsia="仿宋" w:cs="Times New Roman"/>
          <w:b/>
          <w:color w:val="auto"/>
          <w:sz w:val="24"/>
          <w:szCs w:val="24"/>
          <w:highlight w:val="none"/>
          <w:u w:val="none"/>
        </w:rPr>
        <w:t>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0" w:name="_Toc2420"/>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58"/>
      <w:bookmarkEnd w:id="159"/>
      <w:bookmarkEnd w:id="1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61" w:name="_Toc1031"/>
      <w:bookmarkStart w:id="162" w:name="_Toc228"/>
      <w:bookmarkStart w:id="163" w:name="_Toc254875150"/>
      <w:bookmarkStart w:id="164" w:name="_Toc130033732"/>
      <w:bookmarkStart w:id="165" w:name="_Toc301369726"/>
      <w:bookmarkStart w:id="166" w:name="_Toc243111696"/>
      <w:bookmarkStart w:id="167" w:name="_Toc135016182"/>
      <w:bookmarkStart w:id="168" w:name="_Toc270691078"/>
      <w:bookmarkStart w:id="169" w:name="_Toc243111725"/>
      <w:bookmarkStart w:id="170" w:name="_Toc367869508"/>
      <w:bookmarkStart w:id="171" w:name="_Toc269132879"/>
      <w:bookmarkStart w:id="172" w:name="_Toc254860136"/>
      <w:r>
        <w:rPr>
          <w:rFonts w:hint="default" w:ascii="Times New Roman" w:hAnsi="Times New Roman" w:eastAsia="仿宋_GB2312" w:cs="Times New Roman"/>
          <w:b w:val="0"/>
          <w:bCs w:val="0"/>
          <w:color w:val="auto"/>
          <w:sz w:val="24"/>
          <w:szCs w:val="24"/>
          <w:highlight w:val="none"/>
        </w:rPr>
        <w:t>参加本次估价的注册房地产估价师为：</w:t>
      </w:r>
      <w:bookmarkEnd w:id="161"/>
      <w:bookmarkEnd w:id="162"/>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eastAsia" w:ascii="仿宋" w:hAnsi="仿宋" w:eastAsia="仿宋" w:cs="仿宋"/>
                <w:b w:val="0"/>
                <w:bCs/>
                <w:color w:val="auto"/>
                <w:sz w:val="18"/>
                <w:szCs w:val="18"/>
                <w:highlight w:val="none"/>
                <w:lang w:eastAsia="zh-CN"/>
              </w:rPr>
            </w:pPr>
            <w:r>
              <w:rPr>
                <w:rFonts w:hint="eastAsia" w:ascii="仿宋" w:hAnsi="仿宋" w:eastAsia="仿宋" w:cs="仿宋"/>
                <w:bCs/>
                <w:sz w:val="18"/>
                <w:szCs w:val="18"/>
                <w:highlight w:val="none"/>
                <w:lang w:val="en-US" w:eastAsia="zh-CN"/>
              </w:rPr>
              <w:t>赵俊丽</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eastAsia" w:ascii="仿宋" w:hAnsi="仿宋" w:eastAsia="仿宋" w:cs="仿宋"/>
                <w:b w:val="0"/>
                <w:bCs/>
                <w:color w:val="auto"/>
                <w:sz w:val="18"/>
                <w:szCs w:val="18"/>
                <w:highlight w:val="none"/>
                <w:lang w:eastAsia="zh-CN"/>
              </w:rPr>
            </w:pPr>
            <w:r>
              <w:rPr>
                <w:rFonts w:hint="eastAsia" w:ascii="仿宋" w:hAnsi="仿宋" w:eastAsia="仿宋" w:cs="仿宋"/>
                <w:bCs/>
                <w:sz w:val="18"/>
                <w:szCs w:val="18"/>
                <w:highlight w:val="none"/>
                <w:lang w:val="en-US" w:eastAsia="zh-CN"/>
              </w:rPr>
              <w:t>1420190072</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73" w:name="_Toc24173"/>
      <w:bookmarkStart w:id="174" w:name="_Toc12015"/>
      <w:r>
        <w:rPr>
          <w:rFonts w:hint="default" w:ascii="Times New Roman" w:hAnsi="Times New Roman" w:eastAsia="仿宋_GB2312" w:cs="Times New Roman"/>
          <w:b/>
          <w:bCs w:val="0"/>
          <w:color w:val="auto"/>
          <w:sz w:val="24"/>
          <w:szCs w:val="24"/>
          <w:highlight w:val="none"/>
          <w:lang w:val="en-US" w:eastAsia="zh-CN"/>
        </w:rPr>
        <w:t>十</w:t>
      </w:r>
      <w:bookmarkEnd w:id="163"/>
      <w:bookmarkEnd w:id="164"/>
      <w:bookmarkEnd w:id="165"/>
      <w:bookmarkEnd w:id="166"/>
      <w:bookmarkEnd w:id="167"/>
      <w:bookmarkEnd w:id="168"/>
      <w:bookmarkEnd w:id="169"/>
      <w:bookmarkEnd w:id="170"/>
      <w:bookmarkEnd w:id="171"/>
      <w:bookmarkEnd w:id="172"/>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73"/>
      <w:bookmarkEnd w:id="17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75" w:name="_Toc254860138"/>
      <w:bookmarkStart w:id="176" w:name="_Toc130033734"/>
      <w:bookmarkStart w:id="177" w:name="_Toc254875152"/>
      <w:bookmarkStart w:id="178" w:name="_Toc135016184"/>
      <w:bookmarkStart w:id="179" w:name="_Toc270691080"/>
      <w:bookmarkStart w:id="180" w:name="_Toc269132881"/>
      <w:bookmarkStart w:id="181" w:name="_Toc243111727"/>
      <w:bookmarkStart w:id="182" w:name="_Toc299004832"/>
      <w:bookmarkStart w:id="183" w:name="_Toc243111698"/>
      <w:bookmarkStart w:id="184" w:name="_Toc299004801"/>
      <w:r>
        <w:rPr>
          <w:rFonts w:hint="eastAsia" w:eastAsia="仿宋_GB2312" w:cs="Times New Roman"/>
          <w:b w:val="0"/>
          <w:bCs w:val="0"/>
          <w:color w:val="auto"/>
          <w:sz w:val="24"/>
          <w:szCs w:val="24"/>
          <w:highlight w:val="none"/>
          <w:lang w:val="en-US" w:eastAsia="zh-CN"/>
        </w:rPr>
        <w:t>2020年1月20日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85" w:name="_Toc254860137"/>
      <w:bookmarkStart w:id="186" w:name="_Toc254875151"/>
      <w:bookmarkStart w:id="187" w:name="_Toc367869509"/>
      <w:bookmarkStart w:id="188" w:name="_Toc301369727"/>
      <w:bookmarkStart w:id="189" w:name="_Toc243111726"/>
      <w:bookmarkStart w:id="190" w:name="_Toc130033733"/>
      <w:bookmarkStart w:id="191" w:name="_Toc269132880"/>
      <w:bookmarkStart w:id="192" w:name="_Toc243111697"/>
      <w:bookmarkStart w:id="193" w:name="_Toc270691079"/>
      <w:bookmarkStart w:id="194" w:name="_Toc135016183"/>
      <w:bookmarkStart w:id="195" w:name="_Toc21504"/>
      <w:bookmarkStart w:id="196" w:name="_Toc2473"/>
      <w:r>
        <w:rPr>
          <w:rFonts w:hint="default" w:ascii="Times New Roman" w:hAnsi="Times New Roman" w:eastAsia="仿宋_GB2312" w:cs="Times New Roman"/>
          <w:b/>
          <w:bCs w:val="0"/>
          <w:color w:val="auto"/>
          <w:sz w:val="24"/>
          <w:szCs w:val="24"/>
          <w:highlight w:val="none"/>
          <w:lang w:val="en-US" w:eastAsia="zh-CN"/>
        </w:rPr>
        <w:t>十</w:t>
      </w:r>
      <w:bookmarkEnd w:id="185"/>
      <w:bookmarkEnd w:id="186"/>
      <w:bookmarkEnd w:id="187"/>
      <w:bookmarkEnd w:id="188"/>
      <w:bookmarkEnd w:id="189"/>
      <w:bookmarkEnd w:id="190"/>
      <w:bookmarkEnd w:id="191"/>
      <w:bookmarkEnd w:id="192"/>
      <w:bookmarkEnd w:id="193"/>
      <w:bookmarkEnd w:id="194"/>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95"/>
      <w:bookmarkEnd w:id="1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二○二○年一月二十日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二〇二〇年二月二十七日</w:t>
      </w:r>
    </w:p>
    <w:bookmarkEnd w:id="175"/>
    <w:bookmarkEnd w:id="176"/>
    <w:bookmarkEnd w:id="177"/>
    <w:bookmarkEnd w:id="178"/>
    <w:bookmarkEnd w:id="179"/>
    <w:bookmarkEnd w:id="180"/>
    <w:bookmarkEnd w:id="181"/>
    <w:bookmarkEnd w:id="182"/>
    <w:bookmarkEnd w:id="183"/>
    <w:bookmarkEnd w:id="184"/>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964" w:firstLineChars="300"/>
        <w:jc w:val="left"/>
        <w:textAlignment w:val="auto"/>
        <w:outlineLvl w:val="9"/>
        <w:rPr>
          <w:rFonts w:hint="eastAsia" w:ascii="黑体" w:hAnsi="黑体" w:eastAsia="黑体" w:cs="黑体"/>
          <w:b/>
          <w:bCs/>
          <w:snapToGrid w:val="0"/>
          <w:color w:val="auto"/>
          <w:spacing w:val="0"/>
          <w:kern w:val="0"/>
          <w:sz w:val="32"/>
          <w:szCs w:val="32"/>
          <w:highlight w:val="none"/>
        </w:rPr>
      </w:pPr>
      <w:bookmarkStart w:id="197" w:name="_Toc269132882"/>
      <w:bookmarkStart w:id="198" w:name="_Toc301369729"/>
      <w:bookmarkStart w:id="199" w:name="_Toc135016185"/>
      <w:bookmarkStart w:id="200" w:name="_Toc299004833"/>
      <w:bookmarkStart w:id="201" w:name="_Toc382493635"/>
      <w:bookmarkStart w:id="202" w:name="_Toc367869511"/>
      <w:bookmarkStart w:id="203" w:name="_Toc94587103"/>
      <w:bookmarkStart w:id="204" w:name="_Toc299005654"/>
      <w:bookmarkStart w:id="205" w:name="_Toc254860169"/>
      <w:bookmarkStart w:id="206" w:name="_Toc299007139"/>
      <w:bookmarkStart w:id="207" w:name="_Toc13168"/>
      <w:bookmarkStart w:id="208" w:name="_Toc243111728"/>
      <w:bookmarkStart w:id="209" w:name="_Toc301369583"/>
      <w:bookmarkStart w:id="210" w:name="_Toc155258976"/>
      <w:bookmarkStart w:id="211" w:name="_Toc254875153"/>
      <w:bookmarkStart w:id="212" w:name="_Toc270691081"/>
      <w:bookmarkStart w:id="213" w:name="_Toc243111699"/>
      <w:bookmarkStart w:id="214" w:name="_Toc432411984"/>
      <w:bookmarkStart w:id="215" w:name="_Toc94587045"/>
      <w:bookmarkStart w:id="216" w:name="_Toc298936729"/>
      <w:bookmarkStart w:id="217" w:name="_Toc254860139"/>
      <w:bookmarkStart w:id="218" w:name="_Toc299006852"/>
      <w:bookmarkStart w:id="219" w:name="_Toc298936786"/>
      <w:r>
        <w:rPr>
          <w:rFonts w:hint="eastAsia" w:ascii="黑体" w:hAnsi="黑体" w:eastAsia="黑体" w:cs="黑体"/>
          <w:b/>
          <w:bCs/>
          <w:snapToGrid w:val="0"/>
          <w:color w:val="auto"/>
          <w:kern w:val="0"/>
          <w:sz w:val="32"/>
          <w:szCs w:val="32"/>
          <w:highlight w:val="none"/>
        </w:rPr>
        <w:br w:type="page"/>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Start w:id="220" w:name="_Toc1528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221" w:name="_Toc21084"/>
      <w:r>
        <w:rPr>
          <w:rFonts w:hint="eastAsia" w:ascii="黑体" w:hAnsi="黑体" w:eastAsia="黑体" w:cs="黑体"/>
          <w:b/>
          <w:bCs/>
          <w:snapToGrid w:val="0"/>
          <w:color w:val="auto"/>
          <w:spacing w:val="0"/>
          <w:kern w:val="0"/>
          <w:sz w:val="32"/>
          <w:szCs w:val="32"/>
          <w:highlight w:val="none"/>
        </w:rPr>
        <w:t>附件</w:t>
      </w:r>
      <w:bookmarkEnd w:id="220"/>
      <w:bookmarkEnd w:id="221"/>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bookmarkStart w:id="222" w:name="_Toc29703"/>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《委托书》</w:t>
      </w:r>
      <w:r>
        <w:rPr>
          <w:rFonts w:hint="default" w:ascii="Times New Roman" w:hAnsi="Times New Roman" w:eastAsia="仿宋_GB2312" w:cs="Times New Roman"/>
          <w:color w:val="auto"/>
          <w:sz w:val="24"/>
          <w:szCs w:val="24"/>
          <w:highlight w:val="none"/>
          <w:lang w:val="en-US" w:eastAsia="zh-CN"/>
        </w:rPr>
        <w:t>复印件</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2.《商品房买卖合同》复印件</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lang w:val="en-US" w:eastAsia="zh-CN"/>
        </w:rPr>
        <w:t>.估价对象位置图</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lang w:val="en-US" w:eastAsia="zh-CN"/>
        </w:rPr>
        <w:t>.估价对象相关照片</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.房地产估价机构备案证书复印件</w:t>
      </w:r>
    </w:p>
    <w:p>
      <w:pPr>
        <w:pStyle w:val="72"/>
        <w:adjustRightInd w:val="0"/>
        <w:snapToGrid w:val="0"/>
        <w:spacing w:line="360" w:lineRule="auto"/>
        <w:ind w:firstLine="480" w:firstLineChars="200"/>
        <w:jc w:val="left"/>
        <w:outlineLvl w:val="1"/>
        <w:rPr>
          <w:color w:val="auto"/>
          <w:highlight w:val="none"/>
        </w:rPr>
      </w:pP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2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地址：山西省太原市小店区亲贤北街79号茂业天地2幢2301室</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地址：山西省太原市小店区亲贤北街</w:t>
    </w:r>
    <w:r>
      <w:rPr>
        <w:rFonts w:hint="eastAsia" w:ascii="黑体" w:hAnsi="黑体" w:eastAsia="黑体" w:cs="黑体"/>
        <w:sz w:val="18"/>
        <w:szCs w:val="18"/>
        <w:lang w:val="en-US" w:eastAsia="zh-CN"/>
      </w:rPr>
      <w:t xml:space="preserve">79号茂业天地2幢2301室  </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地址：山西省太原市小店区亲贤北街79号茂业天地2幢2301室</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4EB94"/>
    <w:multiLevelType w:val="multilevel"/>
    <w:tmpl w:val="BAE4EB94"/>
    <w:lvl w:ilvl="0" w:tentative="0">
      <w:start w:val="1"/>
      <w:numFmt w:val="lowerLetter"/>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2B82"/>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581CEA"/>
    <w:rsid w:val="01582BC2"/>
    <w:rsid w:val="018060CB"/>
    <w:rsid w:val="01876908"/>
    <w:rsid w:val="018C52F4"/>
    <w:rsid w:val="0196262E"/>
    <w:rsid w:val="019B6701"/>
    <w:rsid w:val="01C35B36"/>
    <w:rsid w:val="01C656F5"/>
    <w:rsid w:val="01CB1654"/>
    <w:rsid w:val="01D13DE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A41B94"/>
    <w:rsid w:val="02BE70A1"/>
    <w:rsid w:val="02BF2E5D"/>
    <w:rsid w:val="02C93983"/>
    <w:rsid w:val="02D832EC"/>
    <w:rsid w:val="02DF1744"/>
    <w:rsid w:val="02FF7A7B"/>
    <w:rsid w:val="0300091A"/>
    <w:rsid w:val="030C2623"/>
    <w:rsid w:val="033B1BD3"/>
    <w:rsid w:val="03401A83"/>
    <w:rsid w:val="03440A0D"/>
    <w:rsid w:val="034C085E"/>
    <w:rsid w:val="034F13E3"/>
    <w:rsid w:val="0356048A"/>
    <w:rsid w:val="035616DE"/>
    <w:rsid w:val="03597EA2"/>
    <w:rsid w:val="03630067"/>
    <w:rsid w:val="036B4BAC"/>
    <w:rsid w:val="038163E8"/>
    <w:rsid w:val="038A219A"/>
    <w:rsid w:val="03A02D5E"/>
    <w:rsid w:val="03A621E8"/>
    <w:rsid w:val="03CC4152"/>
    <w:rsid w:val="03E37CED"/>
    <w:rsid w:val="03FD0897"/>
    <w:rsid w:val="04022D99"/>
    <w:rsid w:val="04034794"/>
    <w:rsid w:val="041B442A"/>
    <w:rsid w:val="041C1188"/>
    <w:rsid w:val="04284F5F"/>
    <w:rsid w:val="0444752C"/>
    <w:rsid w:val="044F06A2"/>
    <w:rsid w:val="04564892"/>
    <w:rsid w:val="045E1362"/>
    <w:rsid w:val="04950697"/>
    <w:rsid w:val="04B17441"/>
    <w:rsid w:val="04B270C1"/>
    <w:rsid w:val="04BD34CC"/>
    <w:rsid w:val="04BD5452"/>
    <w:rsid w:val="04D4636A"/>
    <w:rsid w:val="04DD3789"/>
    <w:rsid w:val="05015CB7"/>
    <w:rsid w:val="05215051"/>
    <w:rsid w:val="05317E6B"/>
    <w:rsid w:val="053D62EF"/>
    <w:rsid w:val="05587DC0"/>
    <w:rsid w:val="05710536"/>
    <w:rsid w:val="05754C01"/>
    <w:rsid w:val="057A0329"/>
    <w:rsid w:val="058241A2"/>
    <w:rsid w:val="059C0566"/>
    <w:rsid w:val="059C71C1"/>
    <w:rsid w:val="059E4554"/>
    <w:rsid w:val="059F55D9"/>
    <w:rsid w:val="059F7890"/>
    <w:rsid w:val="05B92D9E"/>
    <w:rsid w:val="05BA4A65"/>
    <w:rsid w:val="05C45EB2"/>
    <w:rsid w:val="05D71A78"/>
    <w:rsid w:val="05F0454A"/>
    <w:rsid w:val="05F9037C"/>
    <w:rsid w:val="06096C86"/>
    <w:rsid w:val="060D18FC"/>
    <w:rsid w:val="062318A1"/>
    <w:rsid w:val="06270808"/>
    <w:rsid w:val="062D43AF"/>
    <w:rsid w:val="06314854"/>
    <w:rsid w:val="06324840"/>
    <w:rsid w:val="06370B39"/>
    <w:rsid w:val="064B280F"/>
    <w:rsid w:val="064F2365"/>
    <w:rsid w:val="06575096"/>
    <w:rsid w:val="065C796A"/>
    <w:rsid w:val="06646A88"/>
    <w:rsid w:val="06666E9A"/>
    <w:rsid w:val="066C4064"/>
    <w:rsid w:val="06703448"/>
    <w:rsid w:val="067C6DC3"/>
    <w:rsid w:val="068F69D2"/>
    <w:rsid w:val="06994D63"/>
    <w:rsid w:val="06A77BBA"/>
    <w:rsid w:val="06BA7D75"/>
    <w:rsid w:val="06D95373"/>
    <w:rsid w:val="06F20851"/>
    <w:rsid w:val="06FC3783"/>
    <w:rsid w:val="07054DC1"/>
    <w:rsid w:val="07096CDE"/>
    <w:rsid w:val="07117EA5"/>
    <w:rsid w:val="071A7D2B"/>
    <w:rsid w:val="074276A8"/>
    <w:rsid w:val="074F01EB"/>
    <w:rsid w:val="0750187D"/>
    <w:rsid w:val="07660B81"/>
    <w:rsid w:val="07684137"/>
    <w:rsid w:val="076B1A95"/>
    <w:rsid w:val="076E5750"/>
    <w:rsid w:val="078C6755"/>
    <w:rsid w:val="07966471"/>
    <w:rsid w:val="07AA4BA0"/>
    <w:rsid w:val="07AB267D"/>
    <w:rsid w:val="07BE042E"/>
    <w:rsid w:val="07DF75F9"/>
    <w:rsid w:val="08053D95"/>
    <w:rsid w:val="080926EB"/>
    <w:rsid w:val="080B7A47"/>
    <w:rsid w:val="080C1F93"/>
    <w:rsid w:val="08285910"/>
    <w:rsid w:val="08320784"/>
    <w:rsid w:val="08360008"/>
    <w:rsid w:val="0836162E"/>
    <w:rsid w:val="083D2D99"/>
    <w:rsid w:val="084F4C4C"/>
    <w:rsid w:val="0876729D"/>
    <w:rsid w:val="087E28F4"/>
    <w:rsid w:val="088F23D7"/>
    <w:rsid w:val="08B84D5E"/>
    <w:rsid w:val="08C330EF"/>
    <w:rsid w:val="08D20DB5"/>
    <w:rsid w:val="08DB080B"/>
    <w:rsid w:val="08DB10FE"/>
    <w:rsid w:val="08F74AB9"/>
    <w:rsid w:val="090E2BB5"/>
    <w:rsid w:val="091B377D"/>
    <w:rsid w:val="091F21C7"/>
    <w:rsid w:val="09207555"/>
    <w:rsid w:val="092678C8"/>
    <w:rsid w:val="092831A8"/>
    <w:rsid w:val="09382714"/>
    <w:rsid w:val="09467E45"/>
    <w:rsid w:val="09517B5E"/>
    <w:rsid w:val="095626E6"/>
    <w:rsid w:val="09582F9E"/>
    <w:rsid w:val="095B7DEA"/>
    <w:rsid w:val="096936CD"/>
    <w:rsid w:val="09735227"/>
    <w:rsid w:val="098C20E6"/>
    <w:rsid w:val="09CB2B12"/>
    <w:rsid w:val="09D2062C"/>
    <w:rsid w:val="09D471C9"/>
    <w:rsid w:val="09DD5C78"/>
    <w:rsid w:val="09DF15B5"/>
    <w:rsid w:val="09E42DC3"/>
    <w:rsid w:val="09EB7828"/>
    <w:rsid w:val="09FE03D8"/>
    <w:rsid w:val="0A044F60"/>
    <w:rsid w:val="0A0E045E"/>
    <w:rsid w:val="0A1239E7"/>
    <w:rsid w:val="0A1D3CBB"/>
    <w:rsid w:val="0A2020E2"/>
    <w:rsid w:val="0A23074E"/>
    <w:rsid w:val="0A4246D0"/>
    <w:rsid w:val="0A4A1C71"/>
    <w:rsid w:val="0A4C7105"/>
    <w:rsid w:val="0A5F6393"/>
    <w:rsid w:val="0A8B0AB9"/>
    <w:rsid w:val="0AA47CB8"/>
    <w:rsid w:val="0AA76591"/>
    <w:rsid w:val="0AAC0A11"/>
    <w:rsid w:val="0AB66DA2"/>
    <w:rsid w:val="0AB81405"/>
    <w:rsid w:val="0ABE0846"/>
    <w:rsid w:val="0AC10DCA"/>
    <w:rsid w:val="0AC10FCF"/>
    <w:rsid w:val="0AC24DB3"/>
    <w:rsid w:val="0ADE0306"/>
    <w:rsid w:val="0AEA1A3C"/>
    <w:rsid w:val="0AED147A"/>
    <w:rsid w:val="0AED4CFD"/>
    <w:rsid w:val="0AED6AB6"/>
    <w:rsid w:val="0AFB105E"/>
    <w:rsid w:val="0AFE5923"/>
    <w:rsid w:val="0B1103B5"/>
    <w:rsid w:val="0B1B0CBA"/>
    <w:rsid w:val="0B2973D8"/>
    <w:rsid w:val="0B2E5767"/>
    <w:rsid w:val="0B33072C"/>
    <w:rsid w:val="0B42631E"/>
    <w:rsid w:val="0B45378F"/>
    <w:rsid w:val="0B4F3D95"/>
    <w:rsid w:val="0B524942"/>
    <w:rsid w:val="0B5335DD"/>
    <w:rsid w:val="0B591E2E"/>
    <w:rsid w:val="0B60695D"/>
    <w:rsid w:val="0B6518B5"/>
    <w:rsid w:val="0B695FBD"/>
    <w:rsid w:val="0B772AD3"/>
    <w:rsid w:val="0B7C3514"/>
    <w:rsid w:val="0B8647A8"/>
    <w:rsid w:val="0B8B39EA"/>
    <w:rsid w:val="0B9410CE"/>
    <w:rsid w:val="0BB0283D"/>
    <w:rsid w:val="0BB31227"/>
    <w:rsid w:val="0BBC39F4"/>
    <w:rsid w:val="0BBD40EF"/>
    <w:rsid w:val="0BC45F86"/>
    <w:rsid w:val="0BC76BDF"/>
    <w:rsid w:val="0BDE634C"/>
    <w:rsid w:val="0BEE0459"/>
    <w:rsid w:val="0C0075E4"/>
    <w:rsid w:val="0C262B80"/>
    <w:rsid w:val="0C281202"/>
    <w:rsid w:val="0C337593"/>
    <w:rsid w:val="0C39190C"/>
    <w:rsid w:val="0C3D5924"/>
    <w:rsid w:val="0C462FA8"/>
    <w:rsid w:val="0C483CB5"/>
    <w:rsid w:val="0C493935"/>
    <w:rsid w:val="0C5F0057"/>
    <w:rsid w:val="0C62438D"/>
    <w:rsid w:val="0C8A0B57"/>
    <w:rsid w:val="0CAE275E"/>
    <w:rsid w:val="0CB41B4A"/>
    <w:rsid w:val="0CD95699"/>
    <w:rsid w:val="0CE21CC1"/>
    <w:rsid w:val="0CF25493"/>
    <w:rsid w:val="0CF550D2"/>
    <w:rsid w:val="0D01363D"/>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B32A95"/>
    <w:rsid w:val="0DBA028E"/>
    <w:rsid w:val="0DC238AA"/>
    <w:rsid w:val="0DC90065"/>
    <w:rsid w:val="0DEE3FEB"/>
    <w:rsid w:val="0E0539FD"/>
    <w:rsid w:val="0E0E388F"/>
    <w:rsid w:val="0E122EF9"/>
    <w:rsid w:val="0E172296"/>
    <w:rsid w:val="0E1F625C"/>
    <w:rsid w:val="0E2A5A25"/>
    <w:rsid w:val="0E4076EC"/>
    <w:rsid w:val="0E4B4720"/>
    <w:rsid w:val="0E4E4CE2"/>
    <w:rsid w:val="0E52758D"/>
    <w:rsid w:val="0E7D5F6A"/>
    <w:rsid w:val="0E89342D"/>
    <w:rsid w:val="0E912511"/>
    <w:rsid w:val="0E980EA6"/>
    <w:rsid w:val="0EB5375A"/>
    <w:rsid w:val="0EC72E33"/>
    <w:rsid w:val="0ECC6D06"/>
    <w:rsid w:val="0ED40DB1"/>
    <w:rsid w:val="0EFF5127"/>
    <w:rsid w:val="0F02713F"/>
    <w:rsid w:val="0F1B2570"/>
    <w:rsid w:val="0F1F345E"/>
    <w:rsid w:val="0F200AE5"/>
    <w:rsid w:val="0F3928BF"/>
    <w:rsid w:val="0F3D383C"/>
    <w:rsid w:val="0F4642F0"/>
    <w:rsid w:val="0F4E7007"/>
    <w:rsid w:val="0F5C10AE"/>
    <w:rsid w:val="0F5E63AE"/>
    <w:rsid w:val="0F61774B"/>
    <w:rsid w:val="0F6F4EB1"/>
    <w:rsid w:val="0F763E6D"/>
    <w:rsid w:val="0F7770D7"/>
    <w:rsid w:val="0F7B1B25"/>
    <w:rsid w:val="0F883AF1"/>
    <w:rsid w:val="0F9B33B3"/>
    <w:rsid w:val="0FA2064D"/>
    <w:rsid w:val="0FA81262"/>
    <w:rsid w:val="0FC53C09"/>
    <w:rsid w:val="0FCC0FF8"/>
    <w:rsid w:val="0FD41A92"/>
    <w:rsid w:val="0FD9288C"/>
    <w:rsid w:val="0FE20512"/>
    <w:rsid w:val="0FE30C1D"/>
    <w:rsid w:val="0FEB007F"/>
    <w:rsid w:val="0FFA33DE"/>
    <w:rsid w:val="0FFD2578"/>
    <w:rsid w:val="1002154A"/>
    <w:rsid w:val="101C21A8"/>
    <w:rsid w:val="1022232C"/>
    <w:rsid w:val="10395716"/>
    <w:rsid w:val="103A162C"/>
    <w:rsid w:val="103E004F"/>
    <w:rsid w:val="103E263E"/>
    <w:rsid w:val="104D38FE"/>
    <w:rsid w:val="10541E98"/>
    <w:rsid w:val="10745E8E"/>
    <w:rsid w:val="107723C9"/>
    <w:rsid w:val="1079018C"/>
    <w:rsid w:val="10794671"/>
    <w:rsid w:val="108E3943"/>
    <w:rsid w:val="10992C43"/>
    <w:rsid w:val="10A1415A"/>
    <w:rsid w:val="10AD4364"/>
    <w:rsid w:val="10B06048"/>
    <w:rsid w:val="10B10371"/>
    <w:rsid w:val="10B4611B"/>
    <w:rsid w:val="10C87E24"/>
    <w:rsid w:val="10E37DF9"/>
    <w:rsid w:val="10E76B50"/>
    <w:rsid w:val="10FD29EF"/>
    <w:rsid w:val="1109084D"/>
    <w:rsid w:val="110C2A4D"/>
    <w:rsid w:val="111D30CC"/>
    <w:rsid w:val="114315F1"/>
    <w:rsid w:val="11431DFA"/>
    <w:rsid w:val="115E178F"/>
    <w:rsid w:val="116F5084"/>
    <w:rsid w:val="119D6136"/>
    <w:rsid w:val="11BE2C35"/>
    <w:rsid w:val="11E12C61"/>
    <w:rsid w:val="11E23FBC"/>
    <w:rsid w:val="11EF0032"/>
    <w:rsid w:val="12236F4E"/>
    <w:rsid w:val="12352C09"/>
    <w:rsid w:val="12386EF3"/>
    <w:rsid w:val="123F3FF7"/>
    <w:rsid w:val="124259D3"/>
    <w:rsid w:val="124F3295"/>
    <w:rsid w:val="12A23B6B"/>
    <w:rsid w:val="12AD13E8"/>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C75B2"/>
    <w:rsid w:val="13C23F44"/>
    <w:rsid w:val="13F21AD0"/>
    <w:rsid w:val="13F35D5C"/>
    <w:rsid w:val="141E7B61"/>
    <w:rsid w:val="14360433"/>
    <w:rsid w:val="14360F37"/>
    <w:rsid w:val="14426F48"/>
    <w:rsid w:val="14486E4B"/>
    <w:rsid w:val="144C52D9"/>
    <w:rsid w:val="14576EEE"/>
    <w:rsid w:val="148C1946"/>
    <w:rsid w:val="148D62D7"/>
    <w:rsid w:val="148E1A8A"/>
    <w:rsid w:val="14973CFC"/>
    <w:rsid w:val="149D2389"/>
    <w:rsid w:val="14A80E7D"/>
    <w:rsid w:val="14CE6F67"/>
    <w:rsid w:val="14CE7FBD"/>
    <w:rsid w:val="14F74F6D"/>
    <w:rsid w:val="14FE7D84"/>
    <w:rsid w:val="15052A94"/>
    <w:rsid w:val="150936D3"/>
    <w:rsid w:val="15160350"/>
    <w:rsid w:val="154D4BE6"/>
    <w:rsid w:val="1563277B"/>
    <w:rsid w:val="157C06D4"/>
    <w:rsid w:val="158717DE"/>
    <w:rsid w:val="158A2763"/>
    <w:rsid w:val="15B25EA5"/>
    <w:rsid w:val="15C92011"/>
    <w:rsid w:val="15CA1DC0"/>
    <w:rsid w:val="15D95B41"/>
    <w:rsid w:val="15F37002"/>
    <w:rsid w:val="15F42192"/>
    <w:rsid w:val="1613101D"/>
    <w:rsid w:val="161404C8"/>
    <w:rsid w:val="16180FAD"/>
    <w:rsid w:val="163A4B41"/>
    <w:rsid w:val="163B769B"/>
    <w:rsid w:val="164A731D"/>
    <w:rsid w:val="16501509"/>
    <w:rsid w:val="16632F56"/>
    <w:rsid w:val="166C1A50"/>
    <w:rsid w:val="167309D6"/>
    <w:rsid w:val="168022B0"/>
    <w:rsid w:val="168073E1"/>
    <w:rsid w:val="168626AF"/>
    <w:rsid w:val="16A17D2C"/>
    <w:rsid w:val="16A90DFE"/>
    <w:rsid w:val="16B47F9F"/>
    <w:rsid w:val="16BF1B5F"/>
    <w:rsid w:val="16C56590"/>
    <w:rsid w:val="16D04686"/>
    <w:rsid w:val="16D85C88"/>
    <w:rsid w:val="16DE7756"/>
    <w:rsid w:val="16F823B7"/>
    <w:rsid w:val="1702234F"/>
    <w:rsid w:val="17176A71"/>
    <w:rsid w:val="1721540D"/>
    <w:rsid w:val="17447D4F"/>
    <w:rsid w:val="17481B9E"/>
    <w:rsid w:val="17495F81"/>
    <w:rsid w:val="17532E27"/>
    <w:rsid w:val="175446D0"/>
    <w:rsid w:val="17592D5E"/>
    <w:rsid w:val="17783C1D"/>
    <w:rsid w:val="177A7C76"/>
    <w:rsid w:val="17814D67"/>
    <w:rsid w:val="17837F34"/>
    <w:rsid w:val="178C335A"/>
    <w:rsid w:val="17990D5A"/>
    <w:rsid w:val="17A553DC"/>
    <w:rsid w:val="17B57FE7"/>
    <w:rsid w:val="17C77B0F"/>
    <w:rsid w:val="17CA14D0"/>
    <w:rsid w:val="17D35ADA"/>
    <w:rsid w:val="17DF4B07"/>
    <w:rsid w:val="17E75E45"/>
    <w:rsid w:val="17F92E54"/>
    <w:rsid w:val="17FE3BC6"/>
    <w:rsid w:val="18096649"/>
    <w:rsid w:val="180C5BD3"/>
    <w:rsid w:val="181B6A8B"/>
    <w:rsid w:val="182868AE"/>
    <w:rsid w:val="183051C0"/>
    <w:rsid w:val="18405DAD"/>
    <w:rsid w:val="185664F3"/>
    <w:rsid w:val="18674E8A"/>
    <w:rsid w:val="187212AC"/>
    <w:rsid w:val="187459A7"/>
    <w:rsid w:val="18876D10"/>
    <w:rsid w:val="1889564E"/>
    <w:rsid w:val="188A0ED1"/>
    <w:rsid w:val="18947263"/>
    <w:rsid w:val="18A0383D"/>
    <w:rsid w:val="18B36072"/>
    <w:rsid w:val="18CB193B"/>
    <w:rsid w:val="18CF54EB"/>
    <w:rsid w:val="18D7009E"/>
    <w:rsid w:val="18EB7C71"/>
    <w:rsid w:val="19004393"/>
    <w:rsid w:val="19067869"/>
    <w:rsid w:val="190D6F23"/>
    <w:rsid w:val="19170735"/>
    <w:rsid w:val="191B50C1"/>
    <w:rsid w:val="19211DD9"/>
    <w:rsid w:val="19216AC6"/>
    <w:rsid w:val="19256EFE"/>
    <w:rsid w:val="192606B8"/>
    <w:rsid w:val="193D3F08"/>
    <w:rsid w:val="195A51A5"/>
    <w:rsid w:val="196C12BE"/>
    <w:rsid w:val="196C2A14"/>
    <w:rsid w:val="196D1144"/>
    <w:rsid w:val="197020C9"/>
    <w:rsid w:val="19816723"/>
    <w:rsid w:val="198D0952"/>
    <w:rsid w:val="199D7B5C"/>
    <w:rsid w:val="19A37420"/>
    <w:rsid w:val="19B60240"/>
    <w:rsid w:val="19C34FF2"/>
    <w:rsid w:val="19CF3767"/>
    <w:rsid w:val="19D57A46"/>
    <w:rsid w:val="19E47E89"/>
    <w:rsid w:val="19FC022A"/>
    <w:rsid w:val="1A0027D8"/>
    <w:rsid w:val="1A006FB0"/>
    <w:rsid w:val="1A013974"/>
    <w:rsid w:val="1A065E3F"/>
    <w:rsid w:val="1A151840"/>
    <w:rsid w:val="1A1C5090"/>
    <w:rsid w:val="1A1D5C25"/>
    <w:rsid w:val="1A212645"/>
    <w:rsid w:val="1A2A0E12"/>
    <w:rsid w:val="1A403C45"/>
    <w:rsid w:val="1A4255E6"/>
    <w:rsid w:val="1A7C1301"/>
    <w:rsid w:val="1A842D58"/>
    <w:rsid w:val="1A9A2D3E"/>
    <w:rsid w:val="1AB3725D"/>
    <w:rsid w:val="1ABE7773"/>
    <w:rsid w:val="1ADF58D2"/>
    <w:rsid w:val="1AF30046"/>
    <w:rsid w:val="1AFE6D3A"/>
    <w:rsid w:val="1B134B81"/>
    <w:rsid w:val="1B171FD7"/>
    <w:rsid w:val="1B196A10"/>
    <w:rsid w:val="1B1B3919"/>
    <w:rsid w:val="1B1D22B7"/>
    <w:rsid w:val="1B252476"/>
    <w:rsid w:val="1B2B3AA5"/>
    <w:rsid w:val="1B326C6E"/>
    <w:rsid w:val="1B392744"/>
    <w:rsid w:val="1B47065A"/>
    <w:rsid w:val="1B596302"/>
    <w:rsid w:val="1B5D4604"/>
    <w:rsid w:val="1B5F2F3A"/>
    <w:rsid w:val="1B6E7990"/>
    <w:rsid w:val="1B822DAD"/>
    <w:rsid w:val="1B823C4D"/>
    <w:rsid w:val="1B885E33"/>
    <w:rsid w:val="1BA018BB"/>
    <w:rsid w:val="1BAD1DA6"/>
    <w:rsid w:val="1BAD74ED"/>
    <w:rsid w:val="1BB75806"/>
    <w:rsid w:val="1BB81089"/>
    <w:rsid w:val="1BCA1D23"/>
    <w:rsid w:val="1BD134D5"/>
    <w:rsid w:val="1BD42468"/>
    <w:rsid w:val="1BD73B3C"/>
    <w:rsid w:val="1BE31B4D"/>
    <w:rsid w:val="1BEB5A56"/>
    <w:rsid w:val="1BF16ECB"/>
    <w:rsid w:val="1C016C8D"/>
    <w:rsid w:val="1C170F00"/>
    <w:rsid w:val="1C374EC2"/>
    <w:rsid w:val="1C6F4FB4"/>
    <w:rsid w:val="1C7E4A65"/>
    <w:rsid w:val="1CAD7CFD"/>
    <w:rsid w:val="1CBB7632"/>
    <w:rsid w:val="1CD03D74"/>
    <w:rsid w:val="1CD178CB"/>
    <w:rsid w:val="1CDD55E8"/>
    <w:rsid w:val="1CE046C9"/>
    <w:rsid w:val="1CE1079E"/>
    <w:rsid w:val="1CE76945"/>
    <w:rsid w:val="1CFD391F"/>
    <w:rsid w:val="1D081CB0"/>
    <w:rsid w:val="1D0E6BAE"/>
    <w:rsid w:val="1D1247AB"/>
    <w:rsid w:val="1D1D5E98"/>
    <w:rsid w:val="1D3A56AD"/>
    <w:rsid w:val="1D3B6373"/>
    <w:rsid w:val="1D4F74D2"/>
    <w:rsid w:val="1D541044"/>
    <w:rsid w:val="1D54432D"/>
    <w:rsid w:val="1D59036A"/>
    <w:rsid w:val="1D6A731C"/>
    <w:rsid w:val="1D8C4BB7"/>
    <w:rsid w:val="1DA03128"/>
    <w:rsid w:val="1DB40842"/>
    <w:rsid w:val="1DC0145E"/>
    <w:rsid w:val="1DC66CFF"/>
    <w:rsid w:val="1DCC746F"/>
    <w:rsid w:val="1DDB7A8A"/>
    <w:rsid w:val="1DDF140D"/>
    <w:rsid w:val="1DE35C6D"/>
    <w:rsid w:val="1DEB1D8A"/>
    <w:rsid w:val="1DF1682A"/>
    <w:rsid w:val="1DF42554"/>
    <w:rsid w:val="1DF91472"/>
    <w:rsid w:val="1DFA7470"/>
    <w:rsid w:val="1E0C51D8"/>
    <w:rsid w:val="1E13278F"/>
    <w:rsid w:val="1E133B74"/>
    <w:rsid w:val="1E190B30"/>
    <w:rsid w:val="1E1D5B3F"/>
    <w:rsid w:val="1E1E1710"/>
    <w:rsid w:val="1E215AC6"/>
    <w:rsid w:val="1E265696"/>
    <w:rsid w:val="1E287ED7"/>
    <w:rsid w:val="1E2B540E"/>
    <w:rsid w:val="1E387E23"/>
    <w:rsid w:val="1E420AC1"/>
    <w:rsid w:val="1E4221D2"/>
    <w:rsid w:val="1E443301"/>
    <w:rsid w:val="1E443B61"/>
    <w:rsid w:val="1E4D4545"/>
    <w:rsid w:val="1E541703"/>
    <w:rsid w:val="1E5C16A0"/>
    <w:rsid w:val="1E5D01C4"/>
    <w:rsid w:val="1E5F666F"/>
    <w:rsid w:val="1E5F6F43"/>
    <w:rsid w:val="1E696CD4"/>
    <w:rsid w:val="1E773579"/>
    <w:rsid w:val="1E7E179F"/>
    <w:rsid w:val="1E7E6B20"/>
    <w:rsid w:val="1E976F52"/>
    <w:rsid w:val="1EA10F11"/>
    <w:rsid w:val="1EB17AA4"/>
    <w:rsid w:val="1EB43DC0"/>
    <w:rsid w:val="1EB62BF6"/>
    <w:rsid w:val="1ECF7034"/>
    <w:rsid w:val="1EDB762C"/>
    <w:rsid w:val="1EE9014F"/>
    <w:rsid w:val="1F027E0C"/>
    <w:rsid w:val="1F086948"/>
    <w:rsid w:val="1F10173E"/>
    <w:rsid w:val="1F254C8A"/>
    <w:rsid w:val="1F2B71A6"/>
    <w:rsid w:val="1F31003B"/>
    <w:rsid w:val="1F3758BD"/>
    <w:rsid w:val="1F3C02C5"/>
    <w:rsid w:val="1F3C1C4F"/>
    <w:rsid w:val="1F4665D4"/>
    <w:rsid w:val="1F4C2C14"/>
    <w:rsid w:val="1F5C6F9F"/>
    <w:rsid w:val="1F62723F"/>
    <w:rsid w:val="1F682713"/>
    <w:rsid w:val="1F7161F0"/>
    <w:rsid w:val="1F730AA4"/>
    <w:rsid w:val="1F817D99"/>
    <w:rsid w:val="1F884543"/>
    <w:rsid w:val="1F8D3FAF"/>
    <w:rsid w:val="1F8E6221"/>
    <w:rsid w:val="1F972E14"/>
    <w:rsid w:val="1F9D160D"/>
    <w:rsid w:val="1FB82982"/>
    <w:rsid w:val="1FBF3122"/>
    <w:rsid w:val="1FC56C42"/>
    <w:rsid w:val="1FCA14B3"/>
    <w:rsid w:val="1FD57317"/>
    <w:rsid w:val="1FDC0A54"/>
    <w:rsid w:val="1FF0476B"/>
    <w:rsid w:val="1FF71790"/>
    <w:rsid w:val="200B57A0"/>
    <w:rsid w:val="200E6725"/>
    <w:rsid w:val="20240C71"/>
    <w:rsid w:val="2025765E"/>
    <w:rsid w:val="20436F37"/>
    <w:rsid w:val="20820C62"/>
    <w:rsid w:val="20C36FBB"/>
    <w:rsid w:val="20C37D1E"/>
    <w:rsid w:val="20C80C1E"/>
    <w:rsid w:val="20CE1100"/>
    <w:rsid w:val="20CF7BE1"/>
    <w:rsid w:val="20D6459A"/>
    <w:rsid w:val="20DA681B"/>
    <w:rsid w:val="20E064B4"/>
    <w:rsid w:val="20E32BA0"/>
    <w:rsid w:val="20EE5BED"/>
    <w:rsid w:val="20F42BD7"/>
    <w:rsid w:val="21025D28"/>
    <w:rsid w:val="21042984"/>
    <w:rsid w:val="210C0BC6"/>
    <w:rsid w:val="211D3380"/>
    <w:rsid w:val="211F556D"/>
    <w:rsid w:val="212137FB"/>
    <w:rsid w:val="21255C88"/>
    <w:rsid w:val="213A057C"/>
    <w:rsid w:val="21441B76"/>
    <w:rsid w:val="214636D2"/>
    <w:rsid w:val="21464C1D"/>
    <w:rsid w:val="21525F79"/>
    <w:rsid w:val="215B298E"/>
    <w:rsid w:val="215E6DBD"/>
    <w:rsid w:val="216541E9"/>
    <w:rsid w:val="21867D55"/>
    <w:rsid w:val="2193271F"/>
    <w:rsid w:val="21932A4D"/>
    <w:rsid w:val="21AD18CB"/>
    <w:rsid w:val="21AF622A"/>
    <w:rsid w:val="21B6479C"/>
    <w:rsid w:val="21B870C8"/>
    <w:rsid w:val="21BD5166"/>
    <w:rsid w:val="21C10F0E"/>
    <w:rsid w:val="21C12BDB"/>
    <w:rsid w:val="21CA2A15"/>
    <w:rsid w:val="21E617FE"/>
    <w:rsid w:val="21E914AE"/>
    <w:rsid w:val="21FC7413"/>
    <w:rsid w:val="22135B75"/>
    <w:rsid w:val="2220297A"/>
    <w:rsid w:val="223601D0"/>
    <w:rsid w:val="22380D04"/>
    <w:rsid w:val="224B19B1"/>
    <w:rsid w:val="226029BC"/>
    <w:rsid w:val="226A12B0"/>
    <w:rsid w:val="226D1831"/>
    <w:rsid w:val="22761ADF"/>
    <w:rsid w:val="227F6529"/>
    <w:rsid w:val="228A48BA"/>
    <w:rsid w:val="228C453A"/>
    <w:rsid w:val="22936F24"/>
    <w:rsid w:val="22AF7601"/>
    <w:rsid w:val="22BF1BC7"/>
    <w:rsid w:val="22C21B4E"/>
    <w:rsid w:val="22C64859"/>
    <w:rsid w:val="22C929A5"/>
    <w:rsid w:val="22C953AA"/>
    <w:rsid w:val="22CB5324"/>
    <w:rsid w:val="22E152C9"/>
    <w:rsid w:val="22F8166B"/>
    <w:rsid w:val="22FD77BD"/>
    <w:rsid w:val="22FE6A70"/>
    <w:rsid w:val="230A30FD"/>
    <w:rsid w:val="2313553E"/>
    <w:rsid w:val="23234C31"/>
    <w:rsid w:val="23395957"/>
    <w:rsid w:val="23471BF3"/>
    <w:rsid w:val="23772F71"/>
    <w:rsid w:val="237B7928"/>
    <w:rsid w:val="23A3029F"/>
    <w:rsid w:val="23AA2C20"/>
    <w:rsid w:val="23CA7BC5"/>
    <w:rsid w:val="23D767CC"/>
    <w:rsid w:val="23E13624"/>
    <w:rsid w:val="23E634F2"/>
    <w:rsid w:val="24146DD4"/>
    <w:rsid w:val="2418467F"/>
    <w:rsid w:val="242A3A37"/>
    <w:rsid w:val="24335B6F"/>
    <w:rsid w:val="2435697B"/>
    <w:rsid w:val="24454D53"/>
    <w:rsid w:val="245D2237"/>
    <w:rsid w:val="246D6D85"/>
    <w:rsid w:val="248079C6"/>
    <w:rsid w:val="24AF046D"/>
    <w:rsid w:val="24B72DE9"/>
    <w:rsid w:val="24C860F3"/>
    <w:rsid w:val="24CC034B"/>
    <w:rsid w:val="24EA54DD"/>
    <w:rsid w:val="24F56F32"/>
    <w:rsid w:val="25097C14"/>
    <w:rsid w:val="250C32D4"/>
    <w:rsid w:val="25101460"/>
    <w:rsid w:val="25267B52"/>
    <w:rsid w:val="253805DB"/>
    <w:rsid w:val="253866B3"/>
    <w:rsid w:val="253D7362"/>
    <w:rsid w:val="25453E31"/>
    <w:rsid w:val="25562DC0"/>
    <w:rsid w:val="255E68B4"/>
    <w:rsid w:val="256D7169"/>
    <w:rsid w:val="257B14F8"/>
    <w:rsid w:val="257E4F01"/>
    <w:rsid w:val="258863EB"/>
    <w:rsid w:val="25AD118A"/>
    <w:rsid w:val="25C42A83"/>
    <w:rsid w:val="25D01836"/>
    <w:rsid w:val="25E56478"/>
    <w:rsid w:val="25FE3F0B"/>
    <w:rsid w:val="2611445C"/>
    <w:rsid w:val="2613289A"/>
    <w:rsid w:val="261C512C"/>
    <w:rsid w:val="261E4BD0"/>
    <w:rsid w:val="262705EC"/>
    <w:rsid w:val="263C008D"/>
    <w:rsid w:val="263E33EE"/>
    <w:rsid w:val="2641031D"/>
    <w:rsid w:val="264A47EB"/>
    <w:rsid w:val="264B164B"/>
    <w:rsid w:val="26676349"/>
    <w:rsid w:val="2668518F"/>
    <w:rsid w:val="266C7DC7"/>
    <w:rsid w:val="266D7E03"/>
    <w:rsid w:val="267C2231"/>
    <w:rsid w:val="269221D6"/>
    <w:rsid w:val="269E2990"/>
    <w:rsid w:val="26A86578"/>
    <w:rsid w:val="26A93B7D"/>
    <w:rsid w:val="26AE2C84"/>
    <w:rsid w:val="26D35912"/>
    <w:rsid w:val="26D81121"/>
    <w:rsid w:val="26DC5B08"/>
    <w:rsid w:val="26E52BF1"/>
    <w:rsid w:val="26F32EED"/>
    <w:rsid w:val="26FF0324"/>
    <w:rsid w:val="27156F2D"/>
    <w:rsid w:val="271F52BE"/>
    <w:rsid w:val="272955A8"/>
    <w:rsid w:val="272B3D2B"/>
    <w:rsid w:val="27335FA4"/>
    <w:rsid w:val="273419E0"/>
    <w:rsid w:val="274A1985"/>
    <w:rsid w:val="2750709C"/>
    <w:rsid w:val="27626F68"/>
    <w:rsid w:val="277A3DFB"/>
    <w:rsid w:val="278C6D87"/>
    <w:rsid w:val="27A8579F"/>
    <w:rsid w:val="27E32A7D"/>
    <w:rsid w:val="27E409E5"/>
    <w:rsid w:val="27FD7FA3"/>
    <w:rsid w:val="280A784A"/>
    <w:rsid w:val="280E7144"/>
    <w:rsid w:val="280F3B5F"/>
    <w:rsid w:val="28230268"/>
    <w:rsid w:val="28293D16"/>
    <w:rsid w:val="28377356"/>
    <w:rsid w:val="2839380C"/>
    <w:rsid w:val="283F44F6"/>
    <w:rsid w:val="28506847"/>
    <w:rsid w:val="28606CCB"/>
    <w:rsid w:val="28657B53"/>
    <w:rsid w:val="28666C55"/>
    <w:rsid w:val="286F5EE4"/>
    <w:rsid w:val="28B85E2B"/>
    <w:rsid w:val="28D06520"/>
    <w:rsid w:val="28D35137"/>
    <w:rsid w:val="28EB7E02"/>
    <w:rsid w:val="28FD6631"/>
    <w:rsid w:val="29037E8D"/>
    <w:rsid w:val="29082BE0"/>
    <w:rsid w:val="291B3B18"/>
    <w:rsid w:val="29315AC6"/>
    <w:rsid w:val="293272A7"/>
    <w:rsid w:val="294102A6"/>
    <w:rsid w:val="29425306"/>
    <w:rsid w:val="29466C5E"/>
    <w:rsid w:val="297E60A1"/>
    <w:rsid w:val="29803C4C"/>
    <w:rsid w:val="29845972"/>
    <w:rsid w:val="29BB4172"/>
    <w:rsid w:val="29C15F77"/>
    <w:rsid w:val="29CC447C"/>
    <w:rsid w:val="29D13F49"/>
    <w:rsid w:val="29F22860"/>
    <w:rsid w:val="29F242C5"/>
    <w:rsid w:val="29F74A66"/>
    <w:rsid w:val="2A0A3AD4"/>
    <w:rsid w:val="2A193F00"/>
    <w:rsid w:val="2A201452"/>
    <w:rsid w:val="2A2A0D43"/>
    <w:rsid w:val="2A351270"/>
    <w:rsid w:val="2A3E2451"/>
    <w:rsid w:val="2A423861"/>
    <w:rsid w:val="2A4850F3"/>
    <w:rsid w:val="2A4A2D86"/>
    <w:rsid w:val="2A5F298A"/>
    <w:rsid w:val="2A6E2CD9"/>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C50B4"/>
    <w:rsid w:val="2B3F0281"/>
    <w:rsid w:val="2B4B1164"/>
    <w:rsid w:val="2B805DFC"/>
    <w:rsid w:val="2B855116"/>
    <w:rsid w:val="2B8F5FDC"/>
    <w:rsid w:val="2B991D45"/>
    <w:rsid w:val="2BA21399"/>
    <w:rsid w:val="2BB36041"/>
    <w:rsid w:val="2BC313A1"/>
    <w:rsid w:val="2BC6471C"/>
    <w:rsid w:val="2BC8433B"/>
    <w:rsid w:val="2BD30AF4"/>
    <w:rsid w:val="2BE37469"/>
    <w:rsid w:val="2BF16494"/>
    <w:rsid w:val="2BF326C8"/>
    <w:rsid w:val="2BFA00F3"/>
    <w:rsid w:val="2BFD3015"/>
    <w:rsid w:val="2C134961"/>
    <w:rsid w:val="2C1D74F6"/>
    <w:rsid w:val="2C244501"/>
    <w:rsid w:val="2C2B1183"/>
    <w:rsid w:val="2C2B39C0"/>
    <w:rsid w:val="2C357514"/>
    <w:rsid w:val="2C42050C"/>
    <w:rsid w:val="2C551AFF"/>
    <w:rsid w:val="2C702366"/>
    <w:rsid w:val="2C7E38E8"/>
    <w:rsid w:val="2C845E16"/>
    <w:rsid w:val="2C9F7771"/>
    <w:rsid w:val="2CB50CB7"/>
    <w:rsid w:val="2CCE20AB"/>
    <w:rsid w:val="2CD01148"/>
    <w:rsid w:val="2CE341B5"/>
    <w:rsid w:val="2CE34900"/>
    <w:rsid w:val="2CE86846"/>
    <w:rsid w:val="2D09686E"/>
    <w:rsid w:val="2D1944EE"/>
    <w:rsid w:val="2D1A72C3"/>
    <w:rsid w:val="2D236D2B"/>
    <w:rsid w:val="2D3E3E31"/>
    <w:rsid w:val="2D40299E"/>
    <w:rsid w:val="2D435732"/>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0C3F79"/>
    <w:rsid w:val="2E2C716F"/>
    <w:rsid w:val="2E482668"/>
    <w:rsid w:val="2E6B1A9C"/>
    <w:rsid w:val="2E734D13"/>
    <w:rsid w:val="2E751304"/>
    <w:rsid w:val="2E757E3C"/>
    <w:rsid w:val="2E7F3342"/>
    <w:rsid w:val="2E7F3BD6"/>
    <w:rsid w:val="2E8D6419"/>
    <w:rsid w:val="2E9637FB"/>
    <w:rsid w:val="2E9D74E1"/>
    <w:rsid w:val="2E9F1865"/>
    <w:rsid w:val="2EA11B8C"/>
    <w:rsid w:val="2EAB3791"/>
    <w:rsid w:val="2EB0332B"/>
    <w:rsid w:val="2EBB4C43"/>
    <w:rsid w:val="2EBC40DA"/>
    <w:rsid w:val="2EBD4B3A"/>
    <w:rsid w:val="2EC15517"/>
    <w:rsid w:val="2ECF6CA3"/>
    <w:rsid w:val="2EE00C04"/>
    <w:rsid w:val="2EEB6950"/>
    <w:rsid w:val="2EF46E2D"/>
    <w:rsid w:val="2EF75732"/>
    <w:rsid w:val="2F0D6CBD"/>
    <w:rsid w:val="2F120AAE"/>
    <w:rsid w:val="2F1C6405"/>
    <w:rsid w:val="2F386C07"/>
    <w:rsid w:val="2F424F98"/>
    <w:rsid w:val="2F640BBB"/>
    <w:rsid w:val="2F6E3B09"/>
    <w:rsid w:val="2F9959A7"/>
    <w:rsid w:val="2FA539B8"/>
    <w:rsid w:val="2FAB47B6"/>
    <w:rsid w:val="2FB42C34"/>
    <w:rsid w:val="2FBB395D"/>
    <w:rsid w:val="2FC14B89"/>
    <w:rsid w:val="2FC37CED"/>
    <w:rsid w:val="2FD83D12"/>
    <w:rsid w:val="2FE145AF"/>
    <w:rsid w:val="2FED073E"/>
    <w:rsid w:val="2FF31812"/>
    <w:rsid w:val="2FFB643B"/>
    <w:rsid w:val="30002617"/>
    <w:rsid w:val="30062758"/>
    <w:rsid w:val="301175C3"/>
    <w:rsid w:val="30432BB9"/>
    <w:rsid w:val="30486A45"/>
    <w:rsid w:val="305D3167"/>
    <w:rsid w:val="3073310C"/>
    <w:rsid w:val="307B4E56"/>
    <w:rsid w:val="30800383"/>
    <w:rsid w:val="30A40CA1"/>
    <w:rsid w:val="30A91F61"/>
    <w:rsid w:val="30AC5D12"/>
    <w:rsid w:val="30C705F4"/>
    <w:rsid w:val="30CB6B93"/>
    <w:rsid w:val="30D31304"/>
    <w:rsid w:val="30E50FF1"/>
    <w:rsid w:val="30E91238"/>
    <w:rsid w:val="310B4584"/>
    <w:rsid w:val="310B6445"/>
    <w:rsid w:val="312B28BA"/>
    <w:rsid w:val="312F15D9"/>
    <w:rsid w:val="31350C4C"/>
    <w:rsid w:val="313C6CF8"/>
    <w:rsid w:val="31436D72"/>
    <w:rsid w:val="318E6A32"/>
    <w:rsid w:val="319C4D6F"/>
    <w:rsid w:val="319E0F4C"/>
    <w:rsid w:val="31A359FC"/>
    <w:rsid w:val="31BA786F"/>
    <w:rsid w:val="31D900D5"/>
    <w:rsid w:val="31D91B85"/>
    <w:rsid w:val="31DD78B1"/>
    <w:rsid w:val="31FA1C8E"/>
    <w:rsid w:val="32005F01"/>
    <w:rsid w:val="3204001F"/>
    <w:rsid w:val="320D345F"/>
    <w:rsid w:val="320E4349"/>
    <w:rsid w:val="320F63B0"/>
    <w:rsid w:val="32112DC4"/>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D82583"/>
    <w:rsid w:val="32DF43A9"/>
    <w:rsid w:val="331F3209"/>
    <w:rsid w:val="33212455"/>
    <w:rsid w:val="3334726B"/>
    <w:rsid w:val="333F068C"/>
    <w:rsid w:val="333F0CA1"/>
    <w:rsid w:val="335332D1"/>
    <w:rsid w:val="33751281"/>
    <w:rsid w:val="33755AFE"/>
    <w:rsid w:val="33766BFC"/>
    <w:rsid w:val="33B77665"/>
    <w:rsid w:val="33E631B0"/>
    <w:rsid w:val="33EA1E75"/>
    <w:rsid w:val="33EA288D"/>
    <w:rsid w:val="33F83D9B"/>
    <w:rsid w:val="34003EB8"/>
    <w:rsid w:val="34212112"/>
    <w:rsid w:val="342B6AE0"/>
    <w:rsid w:val="342C322B"/>
    <w:rsid w:val="343330E5"/>
    <w:rsid w:val="343C3521"/>
    <w:rsid w:val="34427558"/>
    <w:rsid w:val="34476BFA"/>
    <w:rsid w:val="34777383"/>
    <w:rsid w:val="34853536"/>
    <w:rsid w:val="34910471"/>
    <w:rsid w:val="349A4473"/>
    <w:rsid w:val="34A64677"/>
    <w:rsid w:val="34B613CA"/>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9F1F45"/>
    <w:rsid w:val="35A04F88"/>
    <w:rsid w:val="35A75ACF"/>
    <w:rsid w:val="35B516AA"/>
    <w:rsid w:val="35BA7615"/>
    <w:rsid w:val="35C43FA2"/>
    <w:rsid w:val="35C70E03"/>
    <w:rsid w:val="35C8308B"/>
    <w:rsid w:val="35C96AE1"/>
    <w:rsid w:val="35D76EBC"/>
    <w:rsid w:val="35E53B68"/>
    <w:rsid w:val="35EC4B15"/>
    <w:rsid w:val="35ED4B69"/>
    <w:rsid w:val="35FD5ADC"/>
    <w:rsid w:val="35FF1DD6"/>
    <w:rsid w:val="36013D27"/>
    <w:rsid w:val="36021FCE"/>
    <w:rsid w:val="360C20B8"/>
    <w:rsid w:val="360F7756"/>
    <w:rsid w:val="3621205E"/>
    <w:rsid w:val="363E624B"/>
    <w:rsid w:val="3649532D"/>
    <w:rsid w:val="364D6936"/>
    <w:rsid w:val="3658000C"/>
    <w:rsid w:val="36584736"/>
    <w:rsid w:val="36632192"/>
    <w:rsid w:val="367677C7"/>
    <w:rsid w:val="36A77377"/>
    <w:rsid w:val="36B81E23"/>
    <w:rsid w:val="36B92F2B"/>
    <w:rsid w:val="36E35200"/>
    <w:rsid w:val="36E40CBB"/>
    <w:rsid w:val="36F05BAE"/>
    <w:rsid w:val="3706695D"/>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D5302"/>
    <w:rsid w:val="37BF0AE9"/>
    <w:rsid w:val="37D416A4"/>
    <w:rsid w:val="37D47AA9"/>
    <w:rsid w:val="37F13817"/>
    <w:rsid w:val="37FA0882"/>
    <w:rsid w:val="38184A4C"/>
    <w:rsid w:val="382B20B3"/>
    <w:rsid w:val="3836506B"/>
    <w:rsid w:val="38394CDD"/>
    <w:rsid w:val="384B2F5A"/>
    <w:rsid w:val="387256EC"/>
    <w:rsid w:val="38847BFA"/>
    <w:rsid w:val="38A573FB"/>
    <w:rsid w:val="38C565F4"/>
    <w:rsid w:val="38CE513F"/>
    <w:rsid w:val="38D34EB5"/>
    <w:rsid w:val="38D95D0E"/>
    <w:rsid w:val="38DB3CCB"/>
    <w:rsid w:val="38DB3ED1"/>
    <w:rsid w:val="38EE7BF2"/>
    <w:rsid w:val="38F54178"/>
    <w:rsid w:val="390A3A8C"/>
    <w:rsid w:val="390B2ECB"/>
    <w:rsid w:val="391C0D6A"/>
    <w:rsid w:val="391E7771"/>
    <w:rsid w:val="39374483"/>
    <w:rsid w:val="396D25D1"/>
    <w:rsid w:val="3978663D"/>
    <w:rsid w:val="39802573"/>
    <w:rsid w:val="398D168B"/>
    <w:rsid w:val="398E3837"/>
    <w:rsid w:val="39921D80"/>
    <w:rsid w:val="399B4893"/>
    <w:rsid w:val="39A06DEB"/>
    <w:rsid w:val="39C86698"/>
    <w:rsid w:val="39CE1C35"/>
    <w:rsid w:val="39D377BD"/>
    <w:rsid w:val="39D578FF"/>
    <w:rsid w:val="39DD52FC"/>
    <w:rsid w:val="39E74A46"/>
    <w:rsid w:val="39F204A5"/>
    <w:rsid w:val="39F252A2"/>
    <w:rsid w:val="3A1379D5"/>
    <w:rsid w:val="3A2A5D1E"/>
    <w:rsid w:val="3A2D5EF2"/>
    <w:rsid w:val="3A335D0B"/>
    <w:rsid w:val="3A3B7645"/>
    <w:rsid w:val="3A3E2BA4"/>
    <w:rsid w:val="3A474098"/>
    <w:rsid w:val="3A4B63DF"/>
    <w:rsid w:val="3A4C0086"/>
    <w:rsid w:val="3A8B3586"/>
    <w:rsid w:val="3A936FCA"/>
    <w:rsid w:val="3AB71C38"/>
    <w:rsid w:val="3AB9285E"/>
    <w:rsid w:val="3ABF1172"/>
    <w:rsid w:val="3AD65514"/>
    <w:rsid w:val="3AF6521C"/>
    <w:rsid w:val="3AF834CA"/>
    <w:rsid w:val="3AFB7202"/>
    <w:rsid w:val="3AFC5754"/>
    <w:rsid w:val="3AFD58F6"/>
    <w:rsid w:val="3AFE1023"/>
    <w:rsid w:val="3B0908FB"/>
    <w:rsid w:val="3B0F614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6032"/>
    <w:rsid w:val="3BDE7E13"/>
    <w:rsid w:val="3BE66D5F"/>
    <w:rsid w:val="3BF7068A"/>
    <w:rsid w:val="3BF8070C"/>
    <w:rsid w:val="3C0261EB"/>
    <w:rsid w:val="3C0368FA"/>
    <w:rsid w:val="3C1618EA"/>
    <w:rsid w:val="3C1737A8"/>
    <w:rsid w:val="3C175CCE"/>
    <w:rsid w:val="3C245E3C"/>
    <w:rsid w:val="3C300515"/>
    <w:rsid w:val="3C343D16"/>
    <w:rsid w:val="3C3632EB"/>
    <w:rsid w:val="3C3A7CDB"/>
    <w:rsid w:val="3C45632C"/>
    <w:rsid w:val="3C4B6681"/>
    <w:rsid w:val="3C57157C"/>
    <w:rsid w:val="3C5E208E"/>
    <w:rsid w:val="3C7207B9"/>
    <w:rsid w:val="3C75561C"/>
    <w:rsid w:val="3C7A6E34"/>
    <w:rsid w:val="3C7D23CD"/>
    <w:rsid w:val="3C7E5542"/>
    <w:rsid w:val="3C836EBD"/>
    <w:rsid w:val="3C9D5C1C"/>
    <w:rsid w:val="3C9F4B00"/>
    <w:rsid w:val="3CAA2A38"/>
    <w:rsid w:val="3CAE6AEB"/>
    <w:rsid w:val="3CBA284F"/>
    <w:rsid w:val="3CC82060"/>
    <w:rsid w:val="3CDC6F60"/>
    <w:rsid w:val="3CE41A74"/>
    <w:rsid w:val="3CE74807"/>
    <w:rsid w:val="3CF2304A"/>
    <w:rsid w:val="3D1D6F71"/>
    <w:rsid w:val="3D1D71D4"/>
    <w:rsid w:val="3D201BD6"/>
    <w:rsid w:val="3D205459"/>
    <w:rsid w:val="3D417B8C"/>
    <w:rsid w:val="3D9F176C"/>
    <w:rsid w:val="3DA10BBD"/>
    <w:rsid w:val="3DA73E2E"/>
    <w:rsid w:val="3DCA7DE5"/>
    <w:rsid w:val="3DCF2C73"/>
    <w:rsid w:val="3DD44675"/>
    <w:rsid w:val="3DDA632F"/>
    <w:rsid w:val="3DDE26FA"/>
    <w:rsid w:val="3DE80C86"/>
    <w:rsid w:val="3DE92BCC"/>
    <w:rsid w:val="3DE9666C"/>
    <w:rsid w:val="3DF27BA4"/>
    <w:rsid w:val="3DF91EC3"/>
    <w:rsid w:val="3E0456CC"/>
    <w:rsid w:val="3E1002AE"/>
    <w:rsid w:val="3E1E6165"/>
    <w:rsid w:val="3E212900"/>
    <w:rsid w:val="3E301A13"/>
    <w:rsid w:val="3E5176CA"/>
    <w:rsid w:val="3E5C1A20"/>
    <w:rsid w:val="3E652386"/>
    <w:rsid w:val="3E783A08"/>
    <w:rsid w:val="3E845D91"/>
    <w:rsid w:val="3E900E20"/>
    <w:rsid w:val="3E9207B3"/>
    <w:rsid w:val="3E984F01"/>
    <w:rsid w:val="3EA70329"/>
    <w:rsid w:val="3EB61CDC"/>
    <w:rsid w:val="3EB62A70"/>
    <w:rsid w:val="3EBC6496"/>
    <w:rsid w:val="3EC37F54"/>
    <w:rsid w:val="3ED34AA0"/>
    <w:rsid w:val="3EE64C97"/>
    <w:rsid w:val="3EE777B0"/>
    <w:rsid w:val="3EE811C2"/>
    <w:rsid w:val="3EEB45D7"/>
    <w:rsid w:val="3EF03B17"/>
    <w:rsid w:val="3EF37553"/>
    <w:rsid w:val="3EFF4ACD"/>
    <w:rsid w:val="3F0B5CAA"/>
    <w:rsid w:val="3F2452B3"/>
    <w:rsid w:val="3F2A54AE"/>
    <w:rsid w:val="3F34383F"/>
    <w:rsid w:val="3F46458D"/>
    <w:rsid w:val="3F6B5F18"/>
    <w:rsid w:val="3F6B7BE2"/>
    <w:rsid w:val="3F790AB1"/>
    <w:rsid w:val="3F793AC9"/>
    <w:rsid w:val="3F7A346B"/>
    <w:rsid w:val="3F801624"/>
    <w:rsid w:val="3F945640"/>
    <w:rsid w:val="3FAB2584"/>
    <w:rsid w:val="3FB24824"/>
    <w:rsid w:val="3FBC4FF0"/>
    <w:rsid w:val="3FE029B8"/>
    <w:rsid w:val="3FF26C0D"/>
    <w:rsid w:val="40022F93"/>
    <w:rsid w:val="400D1324"/>
    <w:rsid w:val="401776B5"/>
    <w:rsid w:val="40197335"/>
    <w:rsid w:val="40250BC9"/>
    <w:rsid w:val="40273DCF"/>
    <w:rsid w:val="4028101B"/>
    <w:rsid w:val="402A45AC"/>
    <w:rsid w:val="402E72DA"/>
    <w:rsid w:val="403542CB"/>
    <w:rsid w:val="4037516D"/>
    <w:rsid w:val="403C5F8F"/>
    <w:rsid w:val="40445F57"/>
    <w:rsid w:val="404F4D70"/>
    <w:rsid w:val="40583D50"/>
    <w:rsid w:val="405939A2"/>
    <w:rsid w:val="406F0CAF"/>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D57C1"/>
    <w:rsid w:val="417E7F01"/>
    <w:rsid w:val="418D3FFD"/>
    <w:rsid w:val="419831CE"/>
    <w:rsid w:val="41A238BE"/>
    <w:rsid w:val="41A6058F"/>
    <w:rsid w:val="41B76E23"/>
    <w:rsid w:val="41B931B9"/>
    <w:rsid w:val="41C0067E"/>
    <w:rsid w:val="41C460D3"/>
    <w:rsid w:val="41C61313"/>
    <w:rsid w:val="41E534D8"/>
    <w:rsid w:val="41F56C46"/>
    <w:rsid w:val="42014C57"/>
    <w:rsid w:val="421A30EA"/>
    <w:rsid w:val="4221652D"/>
    <w:rsid w:val="422740E8"/>
    <w:rsid w:val="42431278"/>
    <w:rsid w:val="424D4720"/>
    <w:rsid w:val="4252731F"/>
    <w:rsid w:val="425659E6"/>
    <w:rsid w:val="4264444C"/>
    <w:rsid w:val="42792DEA"/>
    <w:rsid w:val="428D00BE"/>
    <w:rsid w:val="42924C4B"/>
    <w:rsid w:val="42955934"/>
    <w:rsid w:val="42E40ACD"/>
    <w:rsid w:val="42E86F67"/>
    <w:rsid w:val="42F83A5D"/>
    <w:rsid w:val="42FB4E6F"/>
    <w:rsid w:val="43104E14"/>
    <w:rsid w:val="43254DBA"/>
    <w:rsid w:val="432C515A"/>
    <w:rsid w:val="43320329"/>
    <w:rsid w:val="4351587E"/>
    <w:rsid w:val="43610529"/>
    <w:rsid w:val="43636A04"/>
    <w:rsid w:val="43675823"/>
    <w:rsid w:val="437C1F45"/>
    <w:rsid w:val="438357F9"/>
    <w:rsid w:val="43A91C78"/>
    <w:rsid w:val="43B3461E"/>
    <w:rsid w:val="43E009D2"/>
    <w:rsid w:val="43E72CA8"/>
    <w:rsid w:val="43EC1F0A"/>
    <w:rsid w:val="44255E29"/>
    <w:rsid w:val="44342A6A"/>
    <w:rsid w:val="44644349"/>
    <w:rsid w:val="446A0DD0"/>
    <w:rsid w:val="44893D3D"/>
    <w:rsid w:val="448C2AE0"/>
    <w:rsid w:val="44AC00B9"/>
    <w:rsid w:val="44BB57DF"/>
    <w:rsid w:val="44C531B1"/>
    <w:rsid w:val="44D171AA"/>
    <w:rsid w:val="44E84123"/>
    <w:rsid w:val="44EC3F4C"/>
    <w:rsid w:val="44EE0B22"/>
    <w:rsid w:val="450619AD"/>
    <w:rsid w:val="4512202D"/>
    <w:rsid w:val="452424B8"/>
    <w:rsid w:val="45345E91"/>
    <w:rsid w:val="453C28BB"/>
    <w:rsid w:val="454107E0"/>
    <w:rsid w:val="45595473"/>
    <w:rsid w:val="455B06EA"/>
    <w:rsid w:val="4568452C"/>
    <w:rsid w:val="456C2F6D"/>
    <w:rsid w:val="45997D1B"/>
    <w:rsid w:val="45E745BD"/>
    <w:rsid w:val="45F2294E"/>
    <w:rsid w:val="45FA0C49"/>
    <w:rsid w:val="460B2516"/>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6FC4862"/>
    <w:rsid w:val="47076BB7"/>
    <w:rsid w:val="47222A2F"/>
    <w:rsid w:val="4731783E"/>
    <w:rsid w:val="47426DF8"/>
    <w:rsid w:val="474346E2"/>
    <w:rsid w:val="47475D83"/>
    <w:rsid w:val="474C39E8"/>
    <w:rsid w:val="474D618F"/>
    <w:rsid w:val="47665118"/>
    <w:rsid w:val="47666E0B"/>
    <w:rsid w:val="477D2842"/>
    <w:rsid w:val="478A3C66"/>
    <w:rsid w:val="479B6C51"/>
    <w:rsid w:val="47BE15DE"/>
    <w:rsid w:val="47DB5183"/>
    <w:rsid w:val="47E5475A"/>
    <w:rsid w:val="47E6047B"/>
    <w:rsid w:val="47EF4992"/>
    <w:rsid w:val="48057393"/>
    <w:rsid w:val="48171328"/>
    <w:rsid w:val="481F54E2"/>
    <w:rsid w:val="48213E9C"/>
    <w:rsid w:val="482B72F7"/>
    <w:rsid w:val="483412B8"/>
    <w:rsid w:val="483C7010"/>
    <w:rsid w:val="48564026"/>
    <w:rsid w:val="48635EAB"/>
    <w:rsid w:val="48683357"/>
    <w:rsid w:val="48816738"/>
    <w:rsid w:val="488559E4"/>
    <w:rsid w:val="4888168E"/>
    <w:rsid w:val="48A50C41"/>
    <w:rsid w:val="48BD01BD"/>
    <w:rsid w:val="48C7275D"/>
    <w:rsid w:val="48C84D7D"/>
    <w:rsid w:val="48F467BF"/>
    <w:rsid w:val="495751DE"/>
    <w:rsid w:val="4961356F"/>
    <w:rsid w:val="49626DF3"/>
    <w:rsid w:val="496E1500"/>
    <w:rsid w:val="49934950"/>
    <w:rsid w:val="49951069"/>
    <w:rsid w:val="49A3379D"/>
    <w:rsid w:val="49A55A46"/>
    <w:rsid w:val="49ED225A"/>
    <w:rsid w:val="49F15259"/>
    <w:rsid w:val="49FD5FEF"/>
    <w:rsid w:val="4A192D1E"/>
    <w:rsid w:val="4A1C6239"/>
    <w:rsid w:val="4A235724"/>
    <w:rsid w:val="4A262C53"/>
    <w:rsid w:val="4A2719C0"/>
    <w:rsid w:val="4A2F399F"/>
    <w:rsid w:val="4A442959"/>
    <w:rsid w:val="4A44514D"/>
    <w:rsid w:val="4A494465"/>
    <w:rsid w:val="4A503A0A"/>
    <w:rsid w:val="4A607280"/>
    <w:rsid w:val="4A6E1CD8"/>
    <w:rsid w:val="4A706FB0"/>
    <w:rsid w:val="4A75533C"/>
    <w:rsid w:val="4A8536D2"/>
    <w:rsid w:val="4AB40829"/>
    <w:rsid w:val="4ABD162D"/>
    <w:rsid w:val="4AC07F44"/>
    <w:rsid w:val="4AC41041"/>
    <w:rsid w:val="4AC7413B"/>
    <w:rsid w:val="4AD27920"/>
    <w:rsid w:val="4AE033EA"/>
    <w:rsid w:val="4AEE6775"/>
    <w:rsid w:val="4AF13569"/>
    <w:rsid w:val="4AF30483"/>
    <w:rsid w:val="4AF4438A"/>
    <w:rsid w:val="4B10240B"/>
    <w:rsid w:val="4B1063FD"/>
    <w:rsid w:val="4B29738D"/>
    <w:rsid w:val="4B3061AE"/>
    <w:rsid w:val="4B334AEF"/>
    <w:rsid w:val="4B431905"/>
    <w:rsid w:val="4B473C93"/>
    <w:rsid w:val="4B612284"/>
    <w:rsid w:val="4B6B1EE4"/>
    <w:rsid w:val="4B704828"/>
    <w:rsid w:val="4B712D8E"/>
    <w:rsid w:val="4B7F716D"/>
    <w:rsid w:val="4B96350F"/>
    <w:rsid w:val="4BA12164"/>
    <w:rsid w:val="4BAE01D3"/>
    <w:rsid w:val="4BB935D4"/>
    <w:rsid w:val="4BBA0544"/>
    <w:rsid w:val="4BBC0AE6"/>
    <w:rsid w:val="4C010404"/>
    <w:rsid w:val="4C115FD5"/>
    <w:rsid w:val="4C39659B"/>
    <w:rsid w:val="4C4E2CBD"/>
    <w:rsid w:val="4C541105"/>
    <w:rsid w:val="4C565AFE"/>
    <w:rsid w:val="4C7D4F23"/>
    <w:rsid w:val="4C7E604F"/>
    <w:rsid w:val="4C831FF5"/>
    <w:rsid w:val="4CB40248"/>
    <w:rsid w:val="4CB52B93"/>
    <w:rsid w:val="4CBA3672"/>
    <w:rsid w:val="4CBC5836"/>
    <w:rsid w:val="4CD72D71"/>
    <w:rsid w:val="4CDB5DA5"/>
    <w:rsid w:val="4CE64136"/>
    <w:rsid w:val="4CE679B9"/>
    <w:rsid w:val="4CFE2FA1"/>
    <w:rsid w:val="4D0B7808"/>
    <w:rsid w:val="4D0E71DD"/>
    <w:rsid w:val="4D1619DE"/>
    <w:rsid w:val="4D280422"/>
    <w:rsid w:val="4D356A88"/>
    <w:rsid w:val="4D5A02F7"/>
    <w:rsid w:val="4D6B0CA2"/>
    <w:rsid w:val="4D7C7A75"/>
    <w:rsid w:val="4D7D74C4"/>
    <w:rsid w:val="4D8B5895"/>
    <w:rsid w:val="4D940DD6"/>
    <w:rsid w:val="4DA70003"/>
    <w:rsid w:val="4DAF32A2"/>
    <w:rsid w:val="4DB33889"/>
    <w:rsid w:val="4DBE1787"/>
    <w:rsid w:val="4DBF2917"/>
    <w:rsid w:val="4DE0047B"/>
    <w:rsid w:val="4DE5285D"/>
    <w:rsid w:val="4DEA5F62"/>
    <w:rsid w:val="4DF542F3"/>
    <w:rsid w:val="4E0C3F18"/>
    <w:rsid w:val="4E0F558F"/>
    <w:rsid w:val="4E1F5137"/>
    <w:rsid w:val="4E2E2577"/>
    <w:rsid w:val="4E3605DF"/>
    <w:rsid w:val="4E467223"/>
    <w:rsid w:val="4E7A5909"/>
    <w:rsid w:val="4E927FCE"/>
    <w:rsid w:val="4E9422D5"/>
    <w:rsid w:val="4EA758C4"/>
    <w:rsid w:val="4EA764CA"/>
    <w:rsid w:val="4EA970FF"/>
    <w:rsid w:val="4EB7094C"/>
    <w:rsid w:val="4ED97DE9"/>
    <w:rsid w:val="4EEE7D8E"/>
    <w:rsid w:val="4F041A59"/>
    <w:rsid w:val="4F101E82"/>
    <w:rsid w:val="4F1A0D05"/>
    <w:rsid w:val="4F1C31C3"/>
    <w:rsid w:val="4F293EDB"/>
    <w:rsid w:val="4F445512"/>
    <w:rsid w:val="4F4813E4"/>
    <w:rsid w:val="4F6C5456"/>
    <w:rsid w:val="4F72354F"/>
    <w:rsid w:val="4F754DE4"/>
    <w:rsid w:val="4F7A2482"/>
    <w:rsid w:val="4F7F767D"/>
    <w:rsid w:val="4F9A528E"/>
    <w:rsid w:val="4F9C11AB"/>
    <w:rsid w:val="4F9C27E5"/>
    <w:rsid w:val="4F9D07F9"/>
    <w:rsid w:val="4FAC2768"/>
    <w:rsid w:val="4FB440CF"/>
    <w:rsid w:val="4FC424C1"/>
    <w:rsid w:val="4FD01652"/>
    <w:rsid w:val="4FD3235D"/>
    <w:rsid w:val="4FD41A91"/>
    <w:rsid w:val="4FE71116"/>
    <w:rsid w:val="4FE71B76"/>
    <w:rsid w:val="4FE83829"/>
    <w:rsid w:val="4FED4673"/>
    <w:rsid w:val="4FFF3362"/>
    <w:rsid w:val="500121A5"/>
    <w:rsid w:val="500856B3"/>
    <w:rsid w:val="50175B91"/>
    <w:rsid w:val="50430BE8"/>
    <w:rsid w:val="504A5E71"/>
    <w:rsid w:val="504C7E13"/>
    <w:rsid w:val="505C3410"/>
    <w:rsid w:val="50622973"/>
    <w:rsid w:val="506B057F"/>
    <w:rsid w:val="50713578"/>
    <w:rsid w:val="5075308D"/>
    <w:rsid w:val="508023E0"/>
    <w:rsid w:val="508C2606"/>
    <w:rsid w:val="50997CF2"/>
    <w:rsid w:val="50A83FB9"/>
    <w:rsid w:val="50AB7851"/>
    <w:rsid w:val="50AC391D"/>
    <w:rsid w:val="50C47435"/>
    <w:rsid w:val="50CC3A9C"/>
    <w:rsid w:val="50D27E13"/>
    <w:rsid w:val="50D675D5"/>
    <w:rsid w:val="50E33E85"/>
    <w:rsid w:val="50E52744"/>
    <w:rsid w:val="50EF00B7"/>
    <w:rsid w:val="510F3321"/>
    <w:rsid w:val="513465BB"/>
    <w:rsid w:val="5139327E"/>
    <w:rsid w:val="51400832"/>
    <w:rsid w:val="515A6B83"/>
    <w:rsid w:val="515F7DC6"/>
    <w:rsid w:val="51652222"/>
    <w:rsid w:val="51777117"/>
    <w:rsid w:val="517A073C"/>
    <w:rsid w:val="51A1257E"/>
    <w:rsid w:val="51A41B90"/>
    <w:rsid w:val="51B07591"/>
    <w:rsid w:val="51D32D33"/>
    <w:rsid w:val="51D6284A"/>
    <w:rsid w:val="51F20719"/>
    <w:rsid w:val="52483017"/>
    <w:rsid w:val="5253261E"/>
    <w:rsid w:val="526762E9"/>
    <w:rsid w:val="52803C16"/>
    <w:rsid w:val="528A18EF"/>
    <w:rsid w:val="528B3966"/>
    <w:rsid w:val="528E09DE"/>
    <w:rsid w:val="529D628E"/>
    <w:rsid w:val="52B60DC1"/>
    <w:rsid w:val="52C11494"/>
    <w:rsid w:val="52DA0917"/>
    <w:rsid w:val="52E2102F"/>
    <w:rsid w:val="52E33212"/>
    <w:rsid w:val="52EE4A1B"/>
    <w:rsid w:val="52F411ED"/>
    <w:rsid w:val="53126CC0"/>
    <w:rsid w:val="533065FA"/>
    <w:rsid w:val="53390EC3"/>
    <w:rsid w:val="533B291C"/>
    <w:rsid w:val="5347356A"/>
    <w:rsid w:val="5356081A"/>
    <w:rsid w:val="5357444A"/>
    <w:rsid w:val="537A126C"/>
    <w:rsid w:val="5381694A"/>
    <w:rsid w:val="53A55CFE"/>
    <w:rsid w:val="53B62B1C"/>
    <w:rsid w:val="53C54A55"/>
    <w:rsid w:val="53C7710D"/>
    <w:rsid w:val="53DC687B"/>
    <w:rsid w:val="53EE1969"/>
    <w:rsid w:val="53F01145"/>
    <w:rsid w:val="54150303"/>
    <w:rsid w:val="542F247E"/>
    <w:rsid w:val="54311BAF"/>
    <w:rsid w:val="5432419A"/>
    <w:rsid w:val="54471B54"/>
    <w:rsid w:val="544A5DB8"/>
    <w:rsid w:val="54545C8A"/>
    <w:rsid w:val="545A0488"/>
    <w:rsid w:val="546A264A"/>
    <w:rsid w:val="546C03BC"/>
    <w:rsid w:val="54826C6C"/>
    <w:rsid w:val="54890532"/>
    <w:rsid w:val="549E12F8"/>
    <w:rsid w:val="54B2425A"/>
    <w:rsid w:val="54BF5BE0"/>
    <w:rsid w:val="54C0534B"/>
    <w:rsid w:val="54C4396C"/>
    <w:rsid w:val="54C578EC"/>
    <w:rsid w:val="54D779C2"/>
    <w:rsid w:val="54E9135D"/>
    <w:rsid w:val="54EB5FD2"/>
    <w:rsid w:val="54ED7897"/>
    <w:rsid w:val="54F00644"/>
    <w:rsid w:val="54F60B43"/>
    <w:rsid w:val="54FD717F"/>
    <w:rsid w:val="551F0BDE"/>
    <w:rsid w:val="55240F21"/>
    <w:rsid w:val="55612D30"/>
    <w:rsid w:val="55661FD0"/>
    <w:rsid w:val="556D5356"/>
    <w:rsid w:val="559B41AE"/>
    <w:rsid w:val="55AD6B1D"/>
    <w:rsid w:val="55B96B34"/>
    <w:rsid w:val="55C72A6A"/>
    <w:rsid w:val="55DB3B87"/>
    <w:rsid w:val="55EA2033"/>
    <w:rsid w:val="55ED318A"/>
    <w:rsid w:val="55F0050E"/>
    <w:rsid w:val="56093AE5"/>
    <w:rsid w:val="56172B6F"/>
    <w:rsid w:val="561A7ED4"/>
    <w:rsid w:val="562007B1"/>
    <w:rsid w:val="56210CEE"/>
    <w:rsid w:val="562D7AEF"/>
    <w:rsid w:val="56333A9E"/>
    <w:rsid w:val="566579F3"/>
    <w:rsid w:val="56682EC1"/>
    <w:rsid w:val="566C7023"/>
    <w:rsid w:val="56707EE0"/>
    <w:rsid w:val="567A6303"/>
    <w:rsid w:val="56800DFC"/>
    <w:rsid w:val="56B56C76"/>
    <w:rsid w:val="56BA673F"/>
    <w:rsid w:val="56C25B01"/>
    <w:rsid w:val="56C708EE"/>
    <w:rsid w:val="56C71A7F"/>
    <w:rsid w:val="56E733A1"/>
    <w:rsid w:val="56FC1780"/>
    <w:rsid w:val="57042721"/>
    <w:rsid w:val="57081358"/>
    <w:rsid w:val="571C2A94"/>
    <w:rsid w:val="571D2C46"/>
    <w:rsid w:val="57244A46"/>
    <w:rsid w:val="572C3B25"/>
    <w:rsid w:val="573A4EE3"/>
    <w:rsid w:val="573E4AFA"/>
    <w:rsid w:val="57403CDA"/>
    <w:rsid w:val="57404DA8"/>
    <w:rsid w:val="574A3D21"/>
    <w:rsid w:val="57626AEA"/>
    <w:rsid w:val="577E6AB0"/>
    <w:rsid w:val="579447BF"/>
    <w:rsid w:val="57AB0B61"/>
    <w:rsid w:val="57C00B06"/>
    <w:rsid w:val="57D947D5"/>
    <w:rsid w:val="57E83506"/>
    <w:rsid w:val="57EA2EBE"/>
    <w:rsid w:val="57EC60CF"/>
    <w:rsid w:val="58032DAF"/>
    <w:rsid w:val="580E0980"/>
    <w:rsid w:val="58195872"/>
    <w:rsid w:val="581A1DAC"/>
    <w:rsid w:val="5839179C"/>
    <w:rsid w:val="5843585C"/>
    <w:rsid w:val="584544F0"/>
    <w:rsid w:val="584561D9"/>
    <w:rsid w:val="58591F7E"/>
    <w:rsid w:val="58701BA4"/>
    <w:rsid w:val="587F34F3"/>
    <w:rsid w:val="589666D1"/>
    <w:rsid w:val="58C84CA4"/>
    <w:rsid w:val="58CF0CC3"/>
    <w:rsid w:val="58D664C7"/>
    <w:rsid w:val="58E9186D"/>
    <w:rsid w:val="58F85C6E"/>
    <w:rsid w:val="59087477"/>
    <w:rsid w:val="59094BCF"/>
    <w:rsid w:val="5911172D"/>
    <w:rsid w:val="593F4758"/>
    <w:rsid w:val="59413D2B"/>
    <w:rsid w:val="594A2F22"/>
    <w:rsid w:val="59537205"/>
    <w:rsid w:val="595D3DAB"/>
    <w:rsid w:val="59647E79"/>
    <w:rsid w:val="596E3FAD"/>
    <w:rsid w:val="59723265"/>
    <w:rsid w:val="59964129"/>
    <w:rsid w:val="599B194E"/>
    <w:rsid w:val="599E0097"/>
    <w:rsid w:val="59B447B9"/>
    <w:rsid w:val="59C408DA"/>
    <w:rsid w:val="59C53E9A"/>
    <w:rsid w:val="59CF21D5"/>
    <w:rsid w:val="59FF35B4"/>
    <w:rsid w:val="5A0938A9"/>
    <w:rsid w:val="5A0A7FE8"/>
    <w:rsid w:val="5A102236"/>
    <w:rsid w:val="5A1E1DE5"/>
    <w:rsid w:val="5A2B7B55"/>
    <w:rsid w:val="5A503DE4"/>
    <w:rsid w:val="5A6449B2"/>
    <w:rsid w:val="5A6D1B97"/>
    <w:rsid w:val="5A770510"/>
    <w:rsid w:val="5AA0466C"/>
    <w:rsid w:val="5AAD3DA1"/>
    <w:rsid w:val="5ABC5BBE"/>
    <w:rsid w:val="5AC43509"/>
    <w:rsid w:val="5AC456E5"/>
    <w:rsid w:val="5AC46F27"/>
    <w:rsid w:val="5AD87229"/>
    <w:rsid w:val="5AD90D18"/>
    <w:rsid w:val="5AE34D99"/>
    <w:rsid w:val="5AE365D1"/>
    <w:rsid w:val="5AE4292D"/>
    <w:rsid w:val="5AE7377C"/>
    <w:rsid w:val="5AEB4CB7"/>
    <w:rsid w:val="5B106A31"/>
    <w:rsid w:val="5B1B5005"/>
    <w:rsid w:val="5B253396"/>
    <w:rsid w:val="5B301727"/>
    <w:rsid w:val="5B3355C7"/>
    <w:rsid w:val="5B3B333C"/>
    <w:rsid w:val="5B503301"/>
    <w:rsid w:val="5B507A5E"/>
    <w:rsid w:val="5B7E582B"/>
    <w:rsid w:val="5B811E53"/>
    <w:rsid w:val="5B995D20"/>
    <w:rsid w:val="5BAA0353"/>
    <w:rsid w:val="5BC9066E"/>
    <w:rsid w:val="5BE10376"/>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845FB"/>
    <w:rsid w:val="5CA32CEC"/>
    <w:rsid w:val="5CAB1F13"/>
    <w:rsid w:val="5CAB2299"/>
    <w:rsid w:val="5CAC4428"/>
    <w:rsid w:val="5CCF6E7D"/>
    <w:rsid w:val="5CD53381"/>
    <w:rsid w:val="5CDD279D"/>
    <w:rsid w:val="5CDE50D9"/>
    <w:rsid w:val="5CE93CD8"/>
    <w:rsid w:val="5CEE2982"/>
    <w:rsid w:val="5D057C35"/>
    <w:rsid w:val="5D1D087A"/>
    <w:rsid w:val="5D2353DA"/>
    <w:rsid w:val="5D2F34C3"/>
    <w:rsid w:val="5D3869FF"/>
    <w:rsid w:val="5D404177"/>
    <w:rsid w:val="5D4F1722"/>
    <w:rsid w:val="5D5555E0"/>
    <w:rsid w:val="5D631C03"/>
    <w:rsid w:val="5D643A62"/>
    <w:rsid w:val="5D662AA3"/>
    <w:rsid w:val="5D7A166C"/>
    <w:rsid w:val="5D831DB9"/>
    <w:rsid w:val="5D84417A"/>
    <w:rsid w:val="5D8F5D8E"/>
    <w:rsid w:val="5D9938C7"/>
    <w:rsid w:val="5D9B3D9F"/>
    <w:rsid w:val="5D9B7FD9"/>
    <w:rsid w:val="5DA010B5"/>
    <w:rsid w:val="5DB61EAA"/>
    <w:rsid w:val="5DB728A1"/>
    <w:rsid w:val="5DC77A7D"/>
    <w:rsid w:val="5DC80323"/>
    <w:rsid w:val="5DCC086C"/>
    <w:rsid w:val="5DD32F2C"/>
    <w:rsid w:val="5DD43181"/>
    <w:rsid w:val="5DD52CC0"/>
    <w:rsid w:val="5DDB040C"/>
    <w:rsid w:val="5DEE471D"/>
    <w:rsid w:val="5DF409F1"/>
    <w:rsid w:val="5E062AD7"/>
    <w:rsid w:val="5E127261"/>
    <w:rsid w:val="5E282F8B"/>
    <w:rsid w:val="5E2D6C9F"/>
    <w:rsid w:val="5E3A25AA"/>
    <w:rsid w:val="5E407637"/>
    <w:rsid w:val="5E76098B"/>
    <w:rsid w:val="5E7C3AB6"/>
    <w:rsid w:val="5E84418A"/>
    <w:rsid w:val="5E936D62"/>
    <w:rsid w:val="5EA002A7"/>
    <w:rsid w:val="5EA76B98"/>
    <w:rsid w:val="5EAD48BB"/>
    <w:rsid w:val="5EB75379"/>
    <w:rsid w:val="5ED00CF7"/>
    <w:rsid w:val="5EE16635"/>
    <w:rsid w:val="5EE74A3F"/>
    <w:rsid w:val="5EEC6713"/>
    <w:rsid w:val="5EF665DA"/>
    <w:rsid w:val="5EF7717F"/>
    <w:rsid w:val="5F1339E6"/>
    <w:rsid w:val="5F345C44"/>
    <w:rsid w:val="5F3C654C"/>
    <w:rsid w:val="5F4730F6"/>
    <w:rsid w:val="5F553001"/>
    <w:rsid w:val="5F583C72"/>
    <w:rsid w:val="5F5B5F8D"/>
    <w:rsid w:val="5F772B4E"/>
    <w:rsid w:val="5F905D50"/>
    <w:rsid w:val="5FA02A98"/>
    <w:rsid w:val="5FA373DA"/>
    <w:rsid w:val="5FAC77F2"/>
    <w:rsid w:val="5FBD287A"/>
    <w:rsid w:val="5FE307E1"/>
    <w:rsid w:val="5FE823FB"/>
    <w:rsid w:val="5FF067F2"/>
    <w:rsid w:val="60010F16"/>
    <w:rsid w:val="60067EEB"/>
    <w:rsid w:val="60134F02"/>
    <w:rsid w:val="601C2B39"/>
    <w:rsid w:val="60202796"/>
    <w:rsid w:val="602268EB"/>
    <w:rsid w:val="60244210"/>
    <w:rsid w:val="602625C3"/>
    <w:rsid w:val="6026686A"/>
    <w:rsid w:val="602B1B09"/>
    <w:rsid w:val="60387822"/>
    <w:rsid w:val="6038794C"/>
    <w:rsid w:val="60467201"/>
    <w:rsid w:val="60494120"/>
    <w:rsid w:val="605F37A2"/>
    <w:rsid w:val="60642171"/>
    <w:rsid w:val="6094542E"/>
    <w:rsid w:val="60AE5AE5"/>
    <w:rsid w:val="60D4776B"/>
    <w:rsid w:val="60EA1007"/>
    <w:rsid w:val="60F37DAE"/>
    <w:rsid w:val="61002237"/>
    <w:rsid w:val="610D109F"/>
    <w:rsid w:val="61212CBB"/>
    <w:rsid w:val="612B536C"/>
    <w:rsid w:val="613151FE"/>
    <w:rsid w:val="61393535"/>
    <w:rsid w:val="613953E6"/>
    <w:rsid w:val="613F002A"/>
    <w:rsid w:val="61407419"/>
    <w:rsid w:val="61657168"/>
    <w:rsid w:val="616B7363"/>
    <w:rsid w:val="617556F4"/>
    <w:rsid w:val="61813705"/>
    <w:rsid w:val="618354BA"/>
    <w:rsid w:val="618F629E"/>
    <w:rsid w:val="619E5D28"/>
    <w:rsid w:val="61C5239E"/>
    <w:rsid w:val="61D134D9"/>
    <w:rsid w:val="61D45B1F"/>
    <w:rsid w:val="61D84114"/>
    <w:rsid w:val="61E22FC1"/>
    <w:rsid w:val="61E963F0"/>
    <w:rsid w:val="61F36F75"/>
    <w:rsid w:val="61FB0CF1"/>
    <w:rsid w:val="62080D7D"/>
    <w:rsid w:val="62194289"/>
    <w:rsid w:val="622336A4"/>
    <w:rsid w:val="62294BB3"/>
    <w:rsid w:val="623B7A45"/>
    <w:rsid w:val="62553FF8"/>
    <w:rsid w:val="626735BA"/>
    <w:rsid w:val="62680BC3"/>
    <w:rsid w:val="627316B4"/>
    <w:rsid w:val="628A3CD9"/>
    <w:rsid w:val="62A63868"/>
    <w:rsid w:val="62B22CF5"/>
    <w:rsid w:val="62BB7F8A"/>
    <w:rsid w:val="62C41494"/>
    <w:rsid w:val="62CD2349"/>
    <w:rsid w:val="62D27BAF"/>
    <w:rsid w:val="62F01836"/>
    <w:rsid w:val="62F43A03"/>
    <w:rsid w:val="62FD2B57"/>
    <w:rsid w:val="63072608"/>
    <w:rsid w:val="6312583F"/>
    <w:rsid w:val="631B1CDA"/>
    <w:rsid w:val="632C3BC3"/>
    <w:rsid w:val="633059B7"/>
    <w:rsid w:val="633330CC"/>
    <w:rsid w:val="634A2CF1"/>
    <w:rsid w:val="635D59AF"/>
    <w:rsid w:val="637473B8"/>
    <w:rsid w:val="6387393B"/>
    <w:rsid w:val="63943CD6"/>
    <w:rsid w:val="63A14DDA"/>
    <w:rsid w:val="63BE0DA8"/>
    <w:rsid w:val="63C329BB"/>
    <w:rsid w:val="63DD4BE6"/>
    <w:rsid w:val="6407248B"/>
    <w:rsid w:val="641335F0"/>
    <w:rsid w:val="64176BC2"/>
    <w:rsid w:val="641E279D"/>
    <w:rsid w:val="64426B0C"/>
    <w:rsid w:val="6463123F"/>
    <w:rsid w:val="646B705F"/>
    <w:rsid w:val="646E75D0"/>
    <w:rsid w:val="6481095C"/>
    <w:rsid w:val="64811CD4"/>
    <w:rsid w:val="649367C1"/>
    <w:rsid w:val="649A2630"/>
    <w:rsid w:val="64B953B1"/>
    <w:rsid w:val="64D316A5"/>
    <w:rsid w:val="650102C9"/>
    <w:rsid w:val="65062C11"/>
    <w:rsid w:val="652A52C8"/>
    <w:rsid w:val="652E2132"/>
    <w:rsid w:val="65474D35"/>
    <w:rsid w:val="655E7E66"/>
    <w:rsid w:val="656D383B"/>
    <w:rsid w:val="657213FC"/>
    <w:rsid w:val="657B77A2"/>
    <w:rsid w:val="6591507B"/>
    <w:rsid w:val="659A586C"/>
    <w:rsid w:val="65B208A7"/>
    <w:rsid w:val="65B85357"/>
    <w:rsid w:val="65C31B1A"/>
    <w:rsid w:val="65C74955"/>
    <w:rsid w:val="65E23E2E"/>
    <w:rsid w:val="65EA7DC1"/>
    <w:rsid w:val="66044840"/>
    <w:rsid w:val="660A60F8"/>
    <w:rsid w:val="66193C6F"/>
    <w:rsid w:val="66242643"/>
    <w:rsid w:val="662E62F7"/>
    <w:rsid w:val="663F17C6"/>
    <w:rsid w:val="66454613"/>
    <w:rsid w:val="66484699"/>
    <w:rsid w:val="6662696D"/>
    <w:rsid w:val="66763229"/>
    <w:rsid w:val="667B5825"/>
    <w:rsid w:val="667F6343"/>
    <w:rsid w:val="66827D7F"/>
    <w:rsid w:val="66883D4F"/>
    <w:rsid w:val="66966AA9"/>
    <w:rsid w:val="66A33E38"/>
    <w:rsid w:val="66AD1184"/>
    <w:rsid w:val="66B02109"/>
    <w:rsid w:val="66B100A2"/>
    <w:rsid w:val="66B139A7"/>
    <w:rsid w:val="66DE7E9B"/>
    <w:rsid w:val="66E30A7A"/>
    <w:rsid w:val="66F25704"/>
    <w:rsid w:val="66FE0E5B"/>
    <w:rsid w:val="66FE573A"/>
    <w:rsid w:val="670A1661"/>
    <w:rsid w:val="670C110C"/>
    <w:rsid w:val="67284A41"/>
    <w:rsid w:val="67336F50"/>
    <w:rsid w:val="67355268"/>
    <w:rsid w:val="673D410B"/>
    <w:rsid w:val="67461E29"/>
    <w:rsid w:val="674D00FC"/>
    <w:rsid w:val="6750098D"/>
    <w:rsid w:val="675953D2"/>
    <w:rsid w:val="676F539A"/>
    <w:rsid w:val="6773282F"/>
    <w:rsid w:val="67745CC8"/>
    <w:rsid w:val="677946E5"/>
    <w:rsid w:val="677C6478"/>
    <w:rsid w:val="678C42BD"/>
    <w:rsid w:val="678E6908"/>
    <w:rsid w:val="679F5EC5"/>
    <w:rsid w:val="67A2799F"/>
    <w:rsid w:val="67A9580C"/>
    <w:rsid w:val="67AB0471"/>
    <w:rsid w:val="67B1772D"/>
    <w:rsid w:val="67B44DCC"/>
    <w:rsid w:val="67BE78C5"/>
    <w:rsid w:val="67C5277C"/>
    <w:rsid w:val="67CE7C18"/>
    <w:rsid w:val="67D15A64"/>
    <w:rsid w:val="67D25CDC"/>
    <w:rsid w:val="67D52ABB"/>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03246"/>
    <w:rsid w:val="688B2364"/>
    <w:rsid w:val="68A04E37"/>
    <w:rsid w:val="68BB7363"/>
    <w:rsid w:val="68C16E87"/>
    <w:rsid w:val="68C2756A"/>
    <w:rsid w:val="68C848F3"/>
    <w:rsid w:val="68CA307E"/>
    <w:rsid w:val="68D00BBA"/>
    <w:rsid w:val="68D77510"/>
    <w:rsid w:val="68DD2800"/>
    <w:rsid w:val="68E0345A"/>
    <w:rsid w:val="68E17723"/>
    <w:rsid w:val="68F57680"/>
    <w:rsid w:val="691A7370"/>
    <w:rsid w:val="69216213"/>
    <w:rsid w:val="692E469B"/>
    <w:rsid w:val="694E3B55"/>
    <w:rsid w:val="695B47A7"/>
    <w:rsid w:val="69653647"/>
    <w:rsid w:val="696E68DD"/>
    <w:rsid w:val="698B3247"/>
    <w:rsid w:val="698F343B"/>
    <w:rsid w:val="69925CC6"/>
    <w:rsid w:val="69A05F97"/>
    <w:rsid w:val="69A338D8"/>
    <w:rsid w:val="69CB201B"/>
    <w:rsid w:val="69CC5473"/>
    <w:rsid w:val="69DB5AB9"/>
    <w:rsid w:val="69E4590A"/>
    <w:rsid w:val="69F746C9"/>
    <w:rsid w:val="6A046470"/>
    <w:rsid w:val="6A071E00"/>
    <w:rsid w:val="6A175F72"/>
    <w:rsid w:val="6A1776AF"/>
    <w:rsid w:val="6A1B1A7B"/>
    <w:rsid w:val="6A2A38F5"/>
    <w:rsid w:val="6A2B47E9"/>
    <w:rsid w:val="6A2C51F3"/>
    <w:rsid w:val="6A3A7FDA"/>
    <w:rsid w:val="6A49662A"/>
    <w:rsid w:val="6A4F71B1"/>
    <w:rsid w:val="6A5F5E20"/>
    <w:rsid w:val="6A7343B5"/>
    <w:rsid w:val="6A9F0757"/>
    <w:rsid w:val="6AB716A8"/>
    <w:rsid w:val="6ACA793F"/>
    <w:rsid w:val="6AD8140E"/>
    <w:rsid w:val="6AE506CB"/>
    <w:rsid w:val="6AED7705"/>
    <w:rsid w:val="6AEF0977"/>
    <w:rsid w:val="6B1060DC"/>
    <w:rsid w:val="6B1577EA"/>
    <w:rsid w:val="6B161FBD"/>
    <w:rsid w:val="6B20500F"/>
    <w:rsid w:val="6B36063F"/>
    <w:rsid w:val="6B4A3969"/>
    <w:rsid w:val="6B62760C"/>
    <w:rsid w:val="6B711862"/>
    <w:rsid w:val="6B815FE8"/>
    <w:rsid w:val="6B884FA3"/>
    <w:rsid w:val="6B8D0D02"/>
    <w:rsid w:val="6B943025"/>
    <w:rsid w:val="6B977093"/>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351FB7"/>
    <w:rsid w:val="6D3D4AA1"/>
    <w:rsid w:val="6D417812"/>
    <w:rsid w:val="6D4B1F5D"/>
    <w:rsid w:val="6D59435F"/>
    <w:rsid w:val="6D596386"/>
    <w:rsid w:val="6D5A49E5"/>
    <w:rsid w:val="6D5F1233"/>
    <w:rsid w:val="6D756624"/>
    <w:rsid w:val="6D7B29C4"/>
    <w:rsid w:val="6D807B87"/>
    <w:rsid w:val="6D82336B"/>
    <w:rsid w:val="6D9D5A8D"/>
    <w:rsid w:val="6DA170E8"/>
    <w:rsid w:val="6DC34A2C"/>
    <w:rsid w:val="6DC8035D"/>
    <w:rsid w:val="6DCC7033"/>
    <w:rsid w:val="6E0D7A9C"/>
    <w:rsid w:val="6E0F43B4"/>
    <w:rsid w:val="6E10018C"/>
    <w:rsid w:val="6E1E41D3"/>
    <w:rsid w:val="6E2F0649"/>
    <w:rsid w:val="6E2F5A53"/>
    <w:rsid w:val="6E3A7667"/>
    <w:rsid w:val="6E481B79"/>
    <w:rsid w:val="6E4F3D89"/>
    <w:rsid w:val="6E59211A"/>
    <w:rsid w:val="6E771E73"/>
    <w:rsid w:val="6E9571AC"/>
    <w:rsid w:val="6EB0117A"/>
    <w:rsid w:val="6EB26A10"/>
    <w:rsid w:val="6EB4710E"/>
    <w:rsid w:val="6EC735E8"/>
    <w:rsid w:val="6EF42B53"/>
    <w:rsid w:val="6F060D5A"/>
    <w:rsid w:val="6F1D2788"/>
    <w:rsid w:val="6F2753D1"/>
    <w:rsid w:val="6F2B6BEF"/>
    <w:rsid w:val="6F306CEB"/>
    <w:rsid w:val="6F31437C"/>
    <w:rsid w:val="6F3C70E6"/>
    <w:rsid w:val="6F411965"/>
    <w:rsid w:val="6F571497"/>
    <w:rsid w:val="6F6F5EB9"/>
    <w:rsid w:val="6F7F6679"/>
    <w:rsid w:val="6F8A1DC5"/>
    <w:rsid w:val="6F957F45"/>
    <w:rsid w:val="6FA8761E"/>
    <w:rsid w:val="6FA90A11"/>
    <w:rsid w:val="6FB04523"/>
    <w:rsid w:val="6FB540D0"/>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9F1031"/>
    <w:rsid w:val="70A16A21"/>
    <w:rsid w:val="70A80A05"/>
    <w:rsid w:val="70BE596D"/>
    <w:rsid w:val="70C1052B"/>
    <w:rsid w:val="70C4768E"/>
    <w:rsid w:val="70C90BFE"/>
    <w:rsid w:val="70CE1E6F"/>
    <w:rsid w:val="70D251E2"/>
    <w:rsid w:val="70D56BB1"/>
    <w:rsid w:val="70E004C7"/>
    <w:rsid w:val="70E77D94"/>
    <w:rsid w:val="70EF55D6"/>
    <w:rsid w:val="7103261E"/>
    <w:rsid w:val="71071BBA"/>
    <w:rsid w:val="71153306"/>
    <w:rsid w:val="71267CAF"/>
    <w:rsid w:val="713C6CA1"/>
    <w:rsid w:val="714102BD"/>
    <w:rsid w:val="714835BB"/>
    <w:rsid w:val="71545FD2"/>
    <w:rsid w:val="71610971"/>
    <w:rsid w:val="7165625C"/>
    <w:rsid w:val="71740388"/>
    <w:rsid w:val="718B030D"/>
    <w:rsid w:val="719D69F4"/>
    <w:rsid w:val="719F422A"/>
    <w:rsid w:val="71AC6042"/>
    <w:rsid w:val="71BE1E28"/>
    <w:rsid w:val="71C53CEB"/>
    <w:rsid w:val="71CE7B95"/>
    <w:rsid w:val="71E41CD0"/>
    <w:rsid w:val="71E53B69"/>
    <w:rsid w:val="71EA7653"/>
    <w:rsid w:val="71F443D4"/>
    <w:rsid w:val="72142F8F"/>
    <w:rsid w:val="722B6419"/>
    <w:rsid w:val="725116F6"/>
    <w:rsid w:val="726004A3"/>
    <w:rsid w:val="72690643"/>
    <w:rsid w:val="726B2544"/>
    <w:rsid w:val="7276032A"/>
    <w:rsid w:val="72915DDF"/>
    <w:rsid w:val="7296248F"/>
    <w:rsid w:val="729C12F1"/>
    <w:rsid w:val="72A10820"/>
    <w:rsid w:val="72A9117E"/>
    <w:rsid w:val="72C22F53"/>
    <w:rsid w:val="72D65E00"/>
    <w:rsid w:val="72D94322"/>
    <w:rsid w:val="72E5028E"/>
    <w:rsid w:val="72EB3608"/>
    <w:rsid w:val="730E2FA2"/>
    <w:rsid w:val="73482FF6"/>
    <w:rsid w:val="734D4305"/>
    <w:rsid w:val="73504B3B"/>
    <w:rsid w:val="735A74B4"/>
    <w:rsid w:val="735E7C4E"/>
    <w:rsid w:val="736071A2"/>
    <w:rsid w:val="736813F4"/>
    <w:rsid w:val="73902149"/>
    <w:rsid w:val="73A1161B"/>
    <w:rsid w:val="73AE496F"/>
    <w:rsid w:val="73B05D0F"/>
    <w:rsid w:val="73D12E79"/>
    <w:rsid w:val="73D25F55"/>
    <w:rsid w:val="73D27EF5"/>
    <w:rsid w:val="73D56ECE"/>
    <w:rsid w:val="73DB27DD"/>
    <w:rsid w:val="73DC25EC"/>
    <w:rsid w:val="73DF7581"/>
    <w:rsid w:val="73E32747"/>
    <w:rsid w:val="73E64F3C"/>
    <w:rsid w:val="73E82D35"/>
    <w:rsid w:val="74281BAB"/>
    <w:rsid w:val="743A1416"/>
    <w:rsid w:val="745D2D7F"/>
    <w:rsid w:val="74631B48"/>
    <w:rsid w:val="74725597"/>
    <w:rsid w:val="747D3EDD"/>
    <w:rsid w:val="74927A7C"/>
    <w:rsid w:val="74A024E4"/>
    <w:rsid w:val="74B264EB"/>
    <w:rsid w:val="74BA729F"/>
    <w:rsid w:val="74CC682B"/>
    <w:rsid w:val="74E43D1A"/>
    <w:rsid w:val="74E8582D"/>
    <w:rsid w:val="750F1B1D"/>
    <w:rsid w:val="75167939"/>
    <w:rsid w:val="752175BA"/>
    <w:rsid w:val="7532790E"/>
    <w:rsid w:val="755B1FDF"/>
    <w:rsid w:val="758D0799"/>
    <w:rsid w:val="759926FC"/>
    <w:rsid w:val="75AA6BC3"/>
    <w:rsid w:val="75D41027"/>
    <w:rsid w:val="75E9123C"/>
    <w:rsid w:val="75F0310B"/>
    <w:rsid w:val="75F1698E"/>
    <w:rsid w:val="75F45CD1"/>
    <w:rsid w:val="76097F78"/>
    <w:rsid w:val="760A25DC"/>
    <w:rsid w:val="760A3CB4"/>
    <w:rsid w:val="76150821"/>
    <w:rsid w:val="762C6EEC"/>
    <w:rsid w:val="763273F7"/>
    <w:rsid w:val="765E373E"/>
    <w:rsid w:val="766C7897"/>
    <w:rsid w:val="76853969"/>
    <w:rsid w:val="768D6287"/>
    <w:rsid w:val="769E7DAB"/>
    <w:rsid w:val="76A70EE6"/>
    <w:rsid w:val="76B5414D"/>
    <w:rsid w:val="76B6686F"/>
    <w:rsid w:val="76D71933"/>
    <w:rsid w:val="76F36211"/>
    <w:rsid w:val="76F507BA"/>
    <w:rsid w:val="770B4B5C"/>
    <w:rsid w:val="774055FD"/>
    <w:rsid w:val="774C4014"/>
    <w:rsid w:val="775E5C31"/>
    <w:rsid w:val="776D4FFE"/>
    <w:rsid w:val="778B67BB"/>
    <w:rsid w:val="77A96EE6"/>
    <w:rsid w:val="77C4430A"/>
    <w:rsid w:val="77C50295"/>
    <w:rsid w:val="77CE269B"/>
    <w:rsid w:val="77FA69E3"/>
    <w:rsid w:val="78061E5C"/>
    <w:rsid w:val="78171E7F"/>
    <w:rsid w:val="781A4D19"/>
    <w:rsid w:val="7821287C"/>
    <w:rsid w:val="78292AF0"/>
    <w:rsid w:val="783A3050"/>
    <w:rsid w:val="784513E1"/>
    <w:rsid w:val="78654D85"/>
    <w:rsid w:val="78663B14"/>
    <w:rsid w:val="78686EBC"/>
    <w:rsid w:val="786C7DAB"/>
    <w:rsid w:val="786D35FD"/>
    <w:rsid w:val="787F0BD1"/>
    <w:rsid w:val="78805E0C"/>
    <w:rsid w:val="78861E4A"/>
    <w:rsid w:val="788B6819"/>
    <w:rsid w:val="78914A1A"/>
    <w:rsid w:val="789A4251"/>
    <w:rsid w:val="78A15602"/>
    <w:rsid w:val="78A861CF"/>
    <w:rsid w:val="78B62C40"/>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E1035"/>
    <w:rsid w:val="79B16A86"/>
    <w:rsid w:val="79CC5134"/>
    <w:rsid w:val="79E34305"/>
    <w:rsid w:val="79ED6C6E"/>
    <w:rsid w:val="79F557D3"/>
    <w:rsid w:val="7A026DB8"/>
    <w:rsid w:val="7A23481B"/>
    <w:rsid w:val="7A260E7E"/>
    <w:rsid w:val="7A2B7AFA"/>
    <w:rsid w:val="7A2D6D03"/>
    <w:rsid w:val="7A327907"/>
    <w:rsid w:val="7A353513"/>
    <w:rsid w:val="7A4430A5"/>
    <w:rsid w:val="7A5730B3"/>
    <w:rsid w:val="7A626EBC"/>
    <w:rsid w:val="7A7459A5"/>
    <w:rsid w:val="7A8B0364"/>
    <w:rsid w:val="7A8E5489"/>
    <w:rsid w:val="7A907289"/>
    <w:rsid w:val="7AAA1ACE"/>
    <w:rsid w:val="7AB40748"/>
    <w:rsid w:val="7ABB38C7"/>
    <w:rsid w:val="7ABF1007"/>
    <w:rsid w:val="7AD0650C"/>
    <w:rsid w:val="7AE36747"/>
    <w:rsid w:val="7AF6599B"/>
    <w:rsid w:val="7B0A0B78"/>
    <w:rsid w:val="7B116F75"/>
    <w:rsid w:val="7B1227F8"/>
    <w:rsid w:val="7B126BD5"/>
    <w:rsid w:val="7B26407D"/>
    <w:rsid w:val="7B3375D8"/>
    <w:rsid w:val="7B3C6F71"/>
    <w:rsid w:val="7B465BDD"/>
    <w:rsid w:val="7B5E4E76"/>
    <w:rsid w:val="7B6A6C7F"/>
    <w:rsid w:val="7B8374D3"/>
    <w:rsid w:val="7B910FD5"/>
    <w:rsid w:val="7B9267BF"/>
    <w:rsid w:val="7B936F77"/>
    <w:rsid w:val="7BA11D98"/>
    <w:rsid w:val="7BBA34A3"/>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00E00"/>
    <w:rsid w:val="7C7937CE"/>
    <w:rsid w:val="7C7C0609"/>
    <w:rsid w:val="7C9E11A6"/>
    <w:rsid w:val="7C9E58A7"/>
    <w:rsid w:val="7CAD49F6"/>
    <w:rsid w:val="7CAE5A9D"/>
    <w:rsid w:val="7CB83E2E"/>
    <w:rsid w:val="7CC8400B"/>
    <w:rsid w:val="7CE13805"/>
    <w:rsid w:val="7CFA4897"/>
    <w:rsid w:val="7CFD76DE"/>
    <w:rsid w:val="7D0564AB"/>
    <w:rsid w:val="7D061861"/>
    <w:rsid w:val="7D0B6A20"/>
    <w:rsid w:val="7D157BD0"/>
    <w:rsid w:val="7D187D07"/>
    <w:rsid w:val="7D1E0EDC"/>
    <w:rsid w:val="7D260BDE"/>
    <w:rsid w:val="7D324B72"/>
    <w:rsid w:val="7D343777"/>
    <w:rsid w:val="7D3A05DE"/>
    <w:rsid w:val="7D3B0B84"/>
    <w:rsid w:val="7D615C26"/>
    <w:rsid w:val="7D6943DE"/>
    <w:rsid w:val="7D7B462C"/>
    <w:rsid w:val="7D7E6780"/>
    <w:rsid w:val="7D94424B"/>
    <w:rsid w:val="7DA94CC3"/>
    <w:rsid w:val="7DD43EB4"/>
    <w:rsid w:val="7DDB79CA"/>
    <w:rsid w:val="7DE035CA"/>
    <w:rsid w:val="7DED7E5E"/>
    <w:rsid w:val="7E1C3AF1"/>
    <w:rsid w:val="7E287F7F"/>
    <w:rsid w:val="7E2C763A"/>
    <w:rsid w:val="7E32667A"/>
    <w:rsid w:val="7E3E4AEC"/>
    <w:rsid w:val="7E43626A"/>
    <w:rsid w:val="7E5570D2"/>
    <w:rsid w:val="7E724113"/>
    <w:rsid w:val="7E75305A"/>
    <w:rsid w:val="7E76642F"/>
    <w:rsid w:val="7E7F731B"/>
    <w:rsid w:val="7E9051D6"/>
    <w:rsid w:val="7EA879A6"/>
    <w:rsid w:val="7EBA5050"/>
    <w:rsid w:val="7EC37706"/>
    <w:rsid w:val="7ED32AC4"/>
    <w:rsid w:val="7EDB4DAD"/>
    <w:rsid w:val="7EED3DCE"/>
    <w:rsid w:val="7EF8215F"/>
    <w:rsid w:val="7EF9576E"/>
    <w:rsid w:val="7F04016F"/>
    <w:rsid w:val="7F0E18A6"/>
    <w:rsid w:val="7F11604B"/>
    <w:rsid w:val="7F120EE7"/>
    <w:rsid w:val="7F204695"/>
    <w:rsid w:val="7F364F44"/>
    <w:rsid w:val="7F3C2EE7"/>
    <w:rsid w:val="7F420052"/>
    <w:rsid w:val="7F6C69F5"/>
    <w:rsid w:val="7F6F2AB0"/>
    <w:rsid w:val="7F722BA0"/>
    <w:rsid w:val="7F7C5D6D"/>
    <w:rsid w:val="7F9C15E8"/>
    <w:rsid w:val="7FA63FD9"/>
    <w:rsid w:val="7FAD2F46"/>
    <w:rsid w:val="7FB01E12"/>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12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赵赵</cp:lastModifiedBy>
  <cp:lastPrinted>2017-08-14T07:37:00Z</cp:lastPrinted>
  <dcterms:modified xsi:type="dcterms:W3CDTF">2020-02-28T15:07:25Z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