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eastAsia="仿宋_GB2312"/>
          <w:b/>
          <w:bCs/>
          <w:color w:val="000000"/>
          <w:sz w:val="32"/>
        </w:rPr>
      </w:pPr>
      <w:bookmarkStart w:id="69" w:name="_GoBack"/>
      <w:bookmarkEnd w:id="69"/>
    </w:p>
    <w:p>
      <w:pPr>
        <w:spacing w:line="480" w:lineRule="auto"/>
        <w:jc w:val="center"/>
        <w:rPr>
          <w:rFonts w:eastAsia="仿宋_GB2312"/>
          <w:color w:val="000000"/>
          <w:sz w:val="28"/>
        </w:rPr>
      </w:pPr>
    </w:p>
    <w:p>
      <w:pPr>
        <w:spacing w:line="480" w:lineRule="auto"/>
        <w:jc w:val="center"/>
        <w:rPr>
          <w:rFonts w:eastAsia="仿宋_GB2312"/>
          <w:color w:val="000000"/>
          <w:sz w:val="28"/>
        </w:rPr>
      </w:pPr>
    </w:p>
    <w:p>
      <w:pPr>
        <w:spacing w:line="480" w:lineRule="auto"/>
        <w:jc w:val="center"/>
        <w:rPr>
          <w:rFonts w:eastAsia="仿宋_GB2312"/>
          <w:color w:val="000000"/>
          <w:sz w:val="28"/>
        </w:rPr>
      </w:pPr>
    </w:p>
    <w:p>
      <w:pPr>
        <w:spacing w:line="480" w:lineRule="auto"/>
        <w:jc w:val="center"/>
        <w:rPr>
          <w:rFonts w:eastAsia="仿宋_GB2312"/>
          <w:color w:val="000000"/>
          <w:sz w:val="28"/>
        </w:rPr>
      </w:pPr>
    </w:p>
    <w:p>
      <w:pPr>
        <w:spacing w:line="480" w:lineRule="auto"/>
        <w:jc w:val="center"/>
        <w:rPr>
          <w:rFonts w:eastAsia="仿宋_GB2312"/>
          <w:color w:val="000000"/>
          <w:sz w:val="28"/>
        </w:rPr>
      </w:pPr>
    </w:p>
    <w:p>
      <w:pPr>
        <w:spacing w:line="480" w:lineRule="auto"/>
        <w:jc w:val="center"/>
        <w:rPr>
          <w:rFonts w:eastAsia="仿宋"/>
          <w:b/>
          <w:bCs/>
          <w:sz w:val="48"/>
        </w:rPr>
      </w:pPr>
      <w:r>
        <w:rPr>
          <w:rFonts w:eastAsia="仿宋"/>
          <w:b/>
          <w:bCs/>
          <w:sz w:val="48"/>
        </w:rPr>
        <w:t>涉执房地产处置司法评估报告</w:t>
      </w:r>
    </w:p>
    <w:p>
      <w:pPr>
        <w:spacing w:line="480" w:lineRule="auto"/>
        <w:jc w:val="center"/>
        <w:rPr>
          <w:rFonts w:eastAsia="楷体_GB2312"/>
          <w:b/>
          <w:bCs/>
          <w:color w:val="000000"/>
          <w:sz w:val="48"/>
        </w:rPr>
      </w:pPr>
    </w:p>
    <w:p>
      <w:pPr>
        <w:spacing w:line="480" w:lineRule="auto"/>
        <w:jc w:val="center"/>
        <w:rPr>
          <w:rFonts w:eastAsia="楷体_GB2312"/>
          <w:b/>
          <w:bCs/>
          <w:color w:val="000000"/>
          <w:sz w:val="28"/>
        </w:rPr>
      </w:pPr>
    </w:p>
    <w:p>
      <w:pPr>
        <w:spacing w:line="480" w:lineRule="auto"/>
        <w:jc w:val="center"/>
        <w:rPr>
          <w:rFonts w:eastAsia="楷体_GB2312"/>
          <w:b/>
          <w:bCs/>
          <w:color w:val="000000"/>
          <w:sz w:val="28"/>
        </w:rPr>
      </w:pPr>
    </w:p>
    <w:p>
      <w:pPr>
        <w:spacing w:line="480" w:lineRule="auto"/>
        <w:jc w:val="center"/>
        <w:rPr>
          <w:rFonts w:eastAsia="楷体_GB2312"/>
          <w:b/>
          <w:bCs/>
          <w:color w:val="000000"/>
          <w:sz w:val="28"/>
        </w:rPr>
      </w:pPr>
    </w:p>
    <w:p>
      <w:pPr>
        <w:spacing w:line="480" w:lineRule="auto"/>
        <w:jc w:val="center"/>
        <w:rPr>
          <w:rFonts w:eastAsia="楷体_GB2312"/>
          <w:b/>
          <w:bCs/>
          <w:color w:val="000000"/>
          <w:sz w:val="28"/>
        </w:rPr>
      </w:pPr>
    </w:p>
    <w:p>
      <w:pPr>
        <w:spacing w:line="480" w:lineRule="auto"/>
        <w:ind w:left="2213" w:hanging="2213" w:hangingChars="689"/>
        <w:rPr>
          <w:rFonts w:eastAsia="楷体_GB2312"/>
          <w:sz w:val="28"/>
          <w:szCs w:val="28"/>
        </w:rPr>
      </w:pPr>
      <w:r>
        <w:rPr>
          <w:rFonts w:eastAsia="楷体_GB2312"/>
          <w:b/>
          <w:bCs/>
          <w:sz w:val="32"/>
        </w:rPr>
        <w:t>估价项目名称</w:t>
      </w:r>
      <w:r>
        <w:rPr>
          <w:rFonts w:eastAsia="楷体_GB2312"/>
          <w:b/>
          <w:bCs/>
          <w:sz w:val="28"/>
        </w:rPr>
        <w:t>：</w:t>
      </w:r>
      <w:r>
        <w:rPr>
          <w:rFonts w:eastAsia="楷体_GB2312"/>
          <w:sz w:val="28"/>
        </w:rPr>
        <w:t>萍乡市上栗县上栗镇贸易广场站前路共计456.53平方米商住房地产价值评估</w:t>
      </w:r>
    </w:p>
    <w:p>
      <w:pPr>
        <w:spacing w:line="360" w:lineRule="auto"/>
        <w:ind w:left="2249" w:hanging="2249" w:hangingChars="700"/>
        <w:rPr>
          <w:rFonts w:eastAsia="楷体_GB2312"/>
          <w:sz w:val="28"/>
        </w:rPr>
      </w:pPr>
      <w:r>
        <w:rPr>
          <w:rFonts w:eastAsia="楷体_GB2312"/>
          <w:b/>
          <w:bCs/>
          <w:sz w:val="32"/>
        </w:rPr>
        <w:t>估价委托人</w:t>
      </w:r>
      <w:r>
        <w:rPr>
          <w:rFonts w:eastAsia="楷体_GB2312"/>
          <w:b/>
          <w:bCs/>
          <w:sz w:val="28"/>
        </w:rPr>
        <w:t>：</w:t>
      </w:r>
      <w:r>
        <w:rPr>
          <w:rFonts w:eastAsia="楷体_GB2312"/>
          <w:sz w:val="28"/>
        </w:rPr>
        <w:t>上栗县人民法院</w:t>
      </w:r>
    </w:p>
    <w:p>
      <w:pPr>
        <w:spacing w:line="360" w:lineRule="auto"/>
        <w:ind w:left="2249" w:hanging="2249" w:hangingChars="700"/>
        <w:rPr>
          <w:rFonts w:eastAsia="楷体_GB2312"/>
          <w:sz w:val="28"/>
        </w:rPr>
      </w:pPr>
      <w:r>
        <w:rPr>
          <w:rFonts w:eastAsia="楷体_GB2312"/>
          <w:b/>
          <w:bCs/>
          <w:sz w:val="32"/>
        </w:rPr>
        <w:t>房地产估价机构</w:t>
      </w:r>
      <w:r>
        <w:rPr>
          <w:rFonts w:eastAsia="楷体_GB2312"/>
          <w:b/>
          <w:bCs/>
          <w:sz w:val="28"/>
        </w:rPr>
        <w:t>：</w:t>
      </w:r>
      <w:r>
        <w:rPr>
          <w:rFonts w:eastAsia="楷体_GB2312"/>
          <w:sz w:val="28"/>
        </w:rPr>
        <w:t>江西开元房地产土地资产评估咨询有限公司</w:t>
      </w:r>
    </w:p>
    <w:p>
      <w:pPr>
        <w:spacing w:line="360" w:lineRule="auto"/>
        <w:ind w:left="2249" w:hanging="2249" w:hangingChars="700"/>
        <w:rPr>
          <w:rFonts w:eastAsia="楷体_GB2312"/>
          <w:sz w:val="28"/>
        </w:rPr>
      </w:pPr>
      <w:r>
        <w:rPr>
          <w:rFonts w:eastAsia="楷体_GB2312"/>
          <w:b/>
          <w:bCs/>
          <w:sz w:val="32"/>
        </w:rPr>
        <w:t>估价报告编号</w:t>
      </w:r>
      <w:r>
        <w:rPr>
          <w:rFonts w:eastAsia="楷体_GB2312"/>
          <w:b/>
          <w:bCs/>
          <w:sz w:val="28"/>
        </w:rPr>
        <w:t>：</w:t>
      </w:r>
      <w:r>
        <w:rPr>
          <w:rFonts w:eastAsia="楷体_GB2312"/>
          <w:sz w:val="28"/>
          <w:szCs w:val="28"/>
        </w:rPr>
        <w:t>赣开元（2020）（估）房字第0320号</w:t>
      </w:r>
    </w:p>
    <w:p>
      <w:pPr>
        <w:spacing w:line="480" w:lineRule="auto"/>
        <w:ind w:left="2249" w:hanging="2249" w:hangingChars="700"/>
        <w:rPr>
          <w:rFonts w:eastAsia="楷体_GB2312"/>
          <w:sz w:val="28"/>
        </w:rPr>
      </w:pPr>
      <w:r>
        <w:rPr>
          <w:rFonts w:eastAsia="楷体_GB2312"/>
          <w:b/>
          <w:bCs/>
          <w:sz w:val="32"/>
        </w:rPr>
        <w:t>注册房地产估价师</w:t>
      </w:r>
      <w:r>
        <w:rPr>
          <w:rFonts w:eastAsia="楷体_GB2312"/>
          <w:b/>
          <w:bCs/>
          <w:sz w:val="28"/>
        </w:rPr>
        <w:t xml:space="preserve">：    </w:t>
      </w:r>
      <w:r>
        <w:rPr>
          <w:rFonts w:eastAsia="楷体_GB2312"/>
          <w:sz w:val="28"/>
        </w:rPr>
        <w:t>高娜      注册号：3620180023</w:t>
      </w:r>
    </w:p>
    <w:p>
      <w:pPr>
        <w:spacing w:line="480" w:lineRule="auto"/>
        <w:ind w:firstLine="3360" w:firstLineChars="1200"/>
        <w:rPr>
          <w:rFonts w:eastAsia="楷体_GB2312"/>
          <w:sz w:val="28"/>
        </w:rPr>
      </w:pPr>
      <w:r>
        <w:rPr>
          <w:rFonts w:eastAsia="楷体_GB2312"/>
          <w:sz w:val="28"/>
        </w:rPr>
        <w:t>曾国盛    注册号：3620140027</w:t>
      </w:r>
    </w:p>
    <w:p>
      <w:pPr>
        <w:spacing w:line="480" w:lineRule="auto"/>
        <w:ind w:left="2213" w:hanging="2213" w:hangingChars="689"/>
        <w:rPr>
          <w:rFonts w:eastAsia="仿宋_GB2312"/>
          <w:b/>
          <w:color w:val="000000"/>
          <w:sz w:val="28"/>
        </w:rPr>
      </w:pPr>
      <w:r>
        <w:rPr>
          <w:rFonts w:eastAsia="楷体_GB2312"/>
          <w:b/>
          <w:bCs/>
          <w:sz w:val="32"/>
        </w:rPr>
        <w:t>估价报告出具日期</w:t>
      </w:r>
      <w:r>
        <w:rPr>
          <w:rFonts w:eastAsia="楷体_GB2312"/>
          <w:b/>
          <w:bCs/>
          <w:sz w:val="28"/>
        </w:rPr>
        <w:t>：</w:t>
      </w:r>
      <w:r>
        <w:rPr>
          <w:rFonts w:eastAsia="楷体_GB2312"/>
          <w:sz w:val="28"/>
        </w:rPr>
        <w:t>2020年03月24日</w:t>
      </w:r>
      <w:r>
        <w:rPr>
          <w:rFonts w:eastAsia="仿宋_GB2312"/>
          <w:b/>
          <w:color w:val="000000"/>
          <w:sz w:val="28"/>
        </w:rPr>
        <w:br w:type="page"/>
      </w:r>
    </w:p>
    <w:p>
      <w:pPr>
        <w:spacing w:line="480" w:lineRule="exact"/>
        <w:ind w:left="2528" w:hanging="2528" w:hangingChars="700"/>
        <w:jc w:val="center"/>
        <w:rPr>
          <w:rFonts w:eastAsia="楷体_GB2312"/>
          <w:color w:val="000000"/>
          <w:sz w:val="28"/>
          <w:szCs w:val="28"/>
        </w:rPr>
      </w:pPr>
      <w:r>
        <w:rPr>
          <w:rFonts w:eastAsia="仿宋_GB2312"/>
          <w:b/>
          <w:color w:val="000000"/>
          <w:spacing w:val="40"/>
          <w:sz w:val="28"/>
        </w:rPr>
        <w:t>致估价委托人函</w:t>
      </w:r>
    </w:p>
    <w:p>
      <w:pPr>
        <w:tabs>
          <w:tab w:val="left" w:pos="540"/>
        </w:tabs>
        <w:adjustRightInd w:val="0"/>
        <w:snapToGrid w:val="0"/>
        <w:spacing w:line="480" w:lineRule="exact"/>
        <w:rPr>
          <w:rFonts w:eastAsia="仿宋_GB2312"/>
          <w:b/>
          <w:sz w:val="28"/>
        </w:rPr>
      </w:pPr>
      <w:r>
        <w:rPr>
          <w:rFonts w:eastAsia="仿宋_GB2312"/>
          <w:b/>
          <w:sz w:val="28"/>
          <w:szCs w:val="28"/>
        </w:rPr>
        <w:t>上栗县人民法院</w:t>
      </w:r>
      <w:r>
        <w:rPr>
          <w:rFonts w:eastAsia="仿宋_GB2312"/>
          <w:b/>
          <w:sz w:val="28"/>
        </w:rPr>
        <w:t>：</w:t>
      </w:r>
    </w:p>
    <w:p>
      <w:pPr>
        <w:tabs>
          <w:tab w:val="left" w:pos="540"/>
        </w:tabs>
        <w:adjustRightInd w:val="0"/>
        <w:snapToGrid w:val="0"/>
        <w:spacing w:line="480" w:lineRule="exact"/>
        <w:ind w:firstLine="560" w:firstLineChars="200"/>
        <w:rPr>
          <w:rFonts w:eastAsia="仿宋_GB2312"/>
          <w:sz w:val="28"/>
        </w:rPr>
      </w:pPr>
      <w:r>
        <w:rPr>
          <w:rFonts w:eastAsia="仿宋_GB2312"/>
          <w:sz w:val="28"/>
        </w:rPr>
        <w:t>承蒙委托，我公司选派注册房地产估价师高娜、曾国盛对贵单位委托的位于萍乡市上栗县上栗镇贸易广场站前路共计456.53平方米商住房地产进行了价值时点为2020年03月16日，估价目的是为人民法院确定房地产处置参考价提供参考依据的物业价值评估。</w:t>
      </w:r>
    </w:p>
    <w:p>
      <w:pPr>
        <w:tabs>
          <w:tab w:val="left" w:pos="540"/>
        </w:tabs>
        <w:adjustRightInd w:val="0"/>
        <w:snapToGrid w:val="0"/>
        <w:spacing w:line="480" w:lineRule="exact"/>
        <w:ind w:firstLine="560" w:firstLineChars="200"/>
        <w:rPr>
          <w:rFonts w:eastAsia="仿宋_GB2312"/>
          <w:sz w:val="28"/>
        </w:rPr>
      </w:pPr>
      <w:r>
        <w:rPr>
          <w:rFonts w:eastAsia="仿宋_GB2312"/>
          <w:sz w:val="28"/>
        </w:rPr>
        <w:t>根据《中华人民共和国城市房地产管理法》、《房地产估价规范》、《司法鉴定程序通则》，以及有关房地产法规和政策，我们遵循估价原则和行业标准，按照估价工作程序，进行市场调查和实地勘查，综合考虑影响房地产价格的各项因素，选用收益法及比较法，并依据估价人员的专业经验，最终确定估价对象于价值时点2020年03月16日，在满足全部假设和限制条件下的估价结果为</w:t>
      </w:r>
      <w:r>
        <w:rPr>
          <w:rFonts w:eastAsia="仿宋_GB2312"/>
          <w:b/>
          <w:sz w:val="28"/>
        </w:rPr>
        <w:t>￥156.64万元</w:t>
      </w:r>
      <w:r>
        <w:rPr>
          <w:rFonts w:eastAsia="仿宋_GB2312"/>
          <w:sz w:val="28"/>
        </w:rPr>
        <w:t>，人民币大写</w:t>
      </w:r>
      <w:r>
        <w:rPr>
          <w:rFonts w:eastAsia="仿宋_GB2312"/>
          <w:b/>
          <w:sz w:val="28"/>
        </w:rPr>
        <w:t>壹佰伍拾陆万陆仟肆佰</w:t>
      </w:r>
      <w:r>
        <w:rPr>
          <w:rFonts w:eastAsia="仿宋_GB2312"/>
          <w:sz w:val="28"/>
        </w:rPr>
        <w:t>元整。</w:t>
      </w:r>
    </w:p>
    <w:p>
      <w:pPr>
        <w:adjustRightInd w:val="0"/>
        <w:snapToGrid w:val="0"/>
        <w:spacing w:line="480" w:lineRule="exact"/>
        <w:ind w:firstLine="527"/>
        <w:jc w:val="center"/>
        <w:rPr>
          <w:rFonts w:eastAsia="仿宋_GB2312"/>
          <w:szCs w:val="21"/>
        </w:rPr>
      </w:pPr>
      <w:r>
        <w:rPr>
          <w:rFonts w:eastAsia="仿宋_GB2312"/>
          <w:b/>
          <w:sz w:val="28"/>
          <w:szCs w:val="28"/>
        </w:rPr>
        <w:t xml:space="preserve">                    估价结果明细表          </w:t>
      </w:r>
      <w:r>
        <w:rPr>
          <w:rFonts w:eastAsia="仿宋_GB2312"/>
          <w:szCs w:val="21"/>
        </w:rPr>
        <w:t>（币种：人民币）</w:t>
      </w:r>
    </w:p>
    <w:tbl>
      <w:tblPr>
        <w:tblStyle w:val="25"/>
        <w:tblW w:w="5000" w:type="pct"/>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652"/>
        <w:gridCol w:w="887"/>
        <w:gridCol w:w="1085"/>
        <w:gridCol w:w="586"/>
        <w:gridCol w:w="682"/>
        <w:gridCol w:w="961"/>
        <w:gridCol w:w="1534"/>
        <w:gridCol w:w="904"/>
        <w:gridCol w:w="9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94" w:type="pct"/>
            <w:vMerge w:val="restar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《房屋所有权证》证号</w:t>
            </w:r>
          </w:p>
        </w:tc>
        <w:tc>
          <w:tcPr>
            <w:tcW w:w="480" w:type="pct"/>
            <w:vMerge w:val="restar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房屋所有权人</w:t>
            </w:r>
          </w:p>
        </w:tc>
        <w:tc>
          <w:tcPr>
            <w:tcW w:w="587" w:type="pct"/>
            <w:vMerge w:val="restar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房屋坐落</w:t>
            </w:r>
          </w:p>
        </w:tc>
        <w:tc>
          <w:tcPr>
            <w:tcW w:w="317" w:type="pct"/>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结构</w:t>
            </w:r>
          </w:p>
        </w:tc>
        <w:tc>
          <w:tcPr>
            <w:tcW w:w="369" w:type="pct"/>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规划用途</w:t>
            </w:r>
          </w:p>
        </w:tc>
        <w:tc>
          <w:tcPr>
            <w:tcW w:w="520" w:type="pct"/>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评估层/所在楼层</w:t>
            </w:r>
          </w:p>
        </w:tc>
        <w:tc>
          <w:tcPr>
            <w:tcW w:w="830" w:type="pct"/>
            <w:vMerge w:val="restar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建筑面积（</w:t>
            </w:r>
            <w:r>
              <w:rPr>
                <w:rFonts w:eastAsia="仿宋"/>
                <w:color w:val="000000"/>
                <w:kern w:val="0"/>
                <w:sz w:val="18"/>
                <w:szCs w:val="18"/>
              </w:rPr>
              <w:t>㎡</w:t>
            </w:r>
            <w:r>
              <w:rPr>
                <w:rFonts w:eastAsia="仿宋_GB2312"/>
                <w:color w:val="000000"/>
                <w:kern w:val="0"/>
                <w:sz w:val="18"/>
                <w:szCs w:val="18"/>
              </w:rPr>
              <w:t>）</w:t>
            </w:r>
          </w:p>
        </w:tc>
        <w:tc>
          <w:tcPr>
            <w:tcW w:w="489" w:type="pct"/>
            <w:vMerge w:val="restar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评估单价（元/</w:t>
            </w:r>
            <w:r>
              <w:rPr>
                <w:rFonts w:eastAsia="仿宋"/>
                <w:color w:val="000000"/>
                <w:kern w:val="0"/>
                <w:sz w:val="18"/>
                <w:szCs w:val="18"/>
              </w:rPr>
              <w:t>㎡</w:t>
            </w:r>
            <w:r>
              <w:rPr>
                <w:rFonts w:eastAsia="仿宋_GB2312"/>
                <w:color w:val="000000"/>
                <w:kern w:val="0"/>
                <w:sz w:val="18"/>
                <w:szCs w:val="18"/>
              </w:rPr>
              <w:t>）</w:t>
            </w:r>
          </w:p>
        </w:tc>
        <w:tc>
          <w:tcPr>
            <w:tcW w:w="514" w:type="pct"/>
            <w:vMerge w:val="restar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评估总价（万元）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894" w:type="pct"/>
            <w:vMerge w:val="continue"/>
            <w:vAlign w:val="center"/>
          </w:tcPr>
          <w:p>
            <w:pPr>
              <w:widowControl/>
              <w:jc w:val="left"/>
              <w:rPr>
                <w:rFonts w:eastAsia="仿宋_GB2312"/>
                <w:color w:val="000000"/>
                <w:kern w:val="0"/>
                <w:sz w:val="18"/>
                <w:szCs w:val="18"/>
              </w:rPr>
            </w:pPr>
          </w:p>
        </w:tc>
        <w:tc>
          <w:tcPr>
            <w:tcW w:w="480" w:type="pct"/>
            <w:vMerge w:val="continue"/>
            <w:vAlign w:val="center"/>
          </w:tcPr>
          <w:p>
            <w:pPr>
              <w:widowControl/>
              <w:jc w:val="left"/>
              <w:rPr>
                <w:rFonts w:eastAsia="仿宋_GB2312"/>
                <w:color w:val="000000"/>
                <w:kern w:val="0"/>
                <w:sz w:val="18"/>
                <w:szCs w:val="18"/>
              </w:rPr>
            </w:pPr>
          </w:p>
        </w:tc>
        <w:tc>
          <w:tcPr>
            <w:tcW w:w="587" w:type="pct"/>
            <w:vMerge w:val="continue"/>
            <w:vAlign w:val="center"/>
          </w:tcPr>
          <w:p>
            <w:pPr>
              <w:widowControl/>
              <w:jc w:val="left"/>
              <w:rPr>
                <w:rFonts w:eastAsia="仿宋_GB2312"/>
                <w:color w:val="000000"/>
                <w:kern w:val="0"/>
                <w:sz w:val="18"/>
                <w:szCs w:val="18"/>
              </w:rPr>
            </w:pPr>
          </w:p>
        </w:tc>
        <w:tc>
          <w:tcPr>
            <w:tcW w:w="317" w:type="pct"/>
            <w:vMerge w:val="continue"/>
            <w:vAlign w:val="center"/>
          </w:tcPr>
          <w:p>
            <w:pPr>
              <w:widowControl/>
              <w:jc w:val="left"/>
              <w:rPr>
                <w:rFonts w:eastAsia="仿宋_GB2312"/>
                <w:kern w:val="0"/>
                <w:sz w:val="18"/>
                <w:szCs w:val="18"/>
              </w:rPr>
            </w:pPr>
          </w:p>
        </w:tc>
        <w:tc>
          <w:tcPr>
            <w:tcW w:w="369" w:type="pct"/>
            <w:vMerge w:val="continue"/>
            <w:vAlign w:val="center"/>
          </w:tcPr>
          <w:p>
            <w:pPr>
              <w:widowControl/>
              <w:jc w:val="left"/>
              <w:rPr>
                <w:rFonts w:eastAsia="仿宋_GB2312"/>
                <w:kern w:val="0"/>
                <w:sz w:val="18"/>
                <w:szCs w:val="18"/>
              </w:rPr>
            </w:pPr>
          </w:p>
        </w:tc>
        <w:tc>
          <w:tcPr>
            <w:tcW w:w="520" w:type="pct"/>
            <w:vMerge w:val="continue"/>
            <w:vAlign w:val="center"/>
          </w:tcPr>
          <w:p>
            <w:pPr>
              <w:widowControl/>
              <w:jc w:val="left"/>
              <w:rPr>
                <w:rFonts w:eastAsia="仿宋_GB2312"/>
                <w:kern w:val="0"/>
                <w:sz w:val="18"/>
                <w:szCs w:val="18"/>
              </w:rPr>
            </w:pPr>
          </w:p>
        </w:tc>
        <w:tc>
          <w:tcPr>
            <w:tcW w:w="830" w:type="pct"/>
            <w:vMerge w:val="continue"/>
            <w:vAlign w:val="center"/>
          </w:tcPr>
          <w:p>
            <w:pPr>
              <w:widowControl/>
              <w:jc w:val="left"/>
              <w:rPr>
                <w:rFonts w:eastAsia="仿宋_GB2312"/>
                <w:color w:val="000000"/>
                <w:kern w:val="0"/>
                <w:sz w:val="18"/>
                <w:szCs w:val="18"/>
              </w:rPr>
            </w:pPr>
          </w:p>
        </w:tc>
        <w:tc>
          <w:tcPr>
            <w:tcW w:w="489" w:type="pct"/>
            <w:vMerge w:val="continue"/>
            <w:vAlign w:val="center"/>
          </w:tcPr>
          <w:p>
            <w:pPr>
              <w:widowControl/>
              <w:jc w:val="left"/>
              <w:rPr>
                <w:rFonts w:eastAsia="仿宋_GB2312"/>
                <w:color w:val="000000"/>
                <w:kern w:val="0"/>
                <w:sz w:val="18"/>
                <w:szCs w:val="18"/>
              </w:rPr>
            </w:pPr>
          </w:p>
        </w:tc>
        <w:tc>
          <w:tcPr>
            <w:tcW w:w="514" w:type="pct"/>
            <w:vMerge w:val="continue"/>
            <w:vAlign w:val="center"/>
          </w:tcPr>
          <w:p>
            <w:pPr>
              <w:widowControl/>
              <w:jc w:val="left"/>
              <w:rPr>
                <w:rFonts w:eastAsia="仿宋_GB2312"/>
                <w:color w:val="000000"/>
                <w:kern w:val="0"/>
                <w:sz w:val="18"/>
                <w:szCs w:val="18"/>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894" w:type="pct"/>
            <w:shd w:val="clear" w:color="auto" w:fill="auto"/>
            <w:vAlign w:val="center"/>
          </w:tcPr>
          <w:p>
            <w:pPr>
              <w:widowControl/>
              <w:jc w:val="center"/>
              <w:rPr>
                <w:rFonts w:eastAsia="仿宋_GB2312"/>
                <w:kern w:val="0"/>
                <w:sz w:val="18"/>
                <w:szCs w:val="18"/>
              </w:rPr>
            </w:pPr>
            <w:r>
              <w:rPr>
                <w:rFonts w:eastAsia="仿宋_GB2312"/>
                <w:kern w:val="0"/>
                <w:sz w:val="18"/>
                <w:szCs w:val="18"/>
              </w:rPr>
              <w:t>栗房权证上栗镇字第103110605号</w:t>
            </w:r>
          </w:p>
        </w:tc>
        <w:tc>
          <w:tcPr>
            <w:tcW w:w="480" w:type="pc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柳桂林</w:t>
            </w:r>
          </w:p>
        </w:tc>
        <w:tc>
          <w:tcPr>
            <w:tcW w:w="587" w:type="pct"/>
            <w:vMerge w:val="restar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上栗县上栗镇贸易广场站前路</w:t>
            </w:r>
          </w:p>
        </w:tc>
        <w:tc>
          <w:tcPr>
            <w:tcW w:w="317" w:type="pct"/>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砖混</w:t>
            </w:r>
          </w:p>
        </w:tc>
        <w:tc>
          <w:tcPr>
            <w:tcW w:w="369" w:type="pct"/>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商住</w:t>
            </w:r>
          </w:p>
        </w:tc>
        <w:tc>
          <w:tcPr>
            <w:tcW w:w="520" w:type="pct"/>
            <w:tcBorders>
              <w:bottom w:val="single" w:color="auto" w:sz="4" w:space="0"/>
            </w:tcBorders>
            <w:shd w:val="clear" w:color="auto" w:fill="auto"/>
            <w:vAlign w:val="center"/>
          </w:tcPr>
          <w:p>
            <w:pPr>
              <w:jc w:val="center"/>
              <w:rPr>
                <w:rFonts w:eastAsia="仿宋_GB2312"/>
                <w:sz w:val="18"/>
                <w:szCs w:val="18"/>
              </w:rPr>
            </w:pPr>
            <w:r>
              <w:rPr>
                <w:rFonts w:eastAsia="仿宋_GB2312"/>
                <w:sz w:val="18"/>
                <w:szCs w:val="18"/>
              </w:rPr>
              <w:t>1/6</w:t>
            </w:r>
          </w:p>
        </w:tc>
        <w:tc>
          <w:tcPr>
            <w:tcW w:w="830" w:type="pct"/>
            <w:tcBorders>
              <w:bottom w:val="single" w:color="auto" w:sz="4" w:space="0"/>
            </w:tcBorders>
            <w:shd w:val="clear" w:color="auto" w:fill="auto"/>
            <w:vAlign w:val="center"/>
          </w:tcPr>
          <w:p>
            <w:pPr>
              <w:jc w:val="center"/>
              <w:rPr>
                <w:rFonts w:eastAsia="仿宋_GB2312"/>
                <w:color w:val="000000"/>
                <w:sz w:val="18"/>
                <w:szCs w:val="18"/>
              </w:rPr>
            </w:pPr>
            <w:r>
              <w:rPr>
                <w:rFonts w:eastAsia="仿宋_GB2312"/>
                <w:color w:val="000000"/>
                <w:sz w:val="18"/>
                <w:szCs w:val="18"/>
              </w:rPr>
              <w:t>64.335</w:t>
            </w:r>
          </w:p>
        </w:tc>
        <w:tc>
          <w:tcPr>
            <w:tcW w:w="489" w:type="pct"/>
            <w:tcBorders>
              <w:bottom w:val="single" w:color="auto" w:sz="4" w:space="0"/>
            </w:tcBorders>
            <w:shd w:val="clear" w:color="auto" w:fill="auto"/>
            <w:vAlign w:val="center"/>
          </w:tcPr>
          <w:p>
            <w:pPr>
              <w:jc w:val="center"/>
              <w:rPr>
                <w:color w:val="000000"/>
                <w:sz w:val="18"/>
                <w:szCs w:val="18"/>
              </w:rPr>
            </w:pPr>
            <w:r>
              <w:rPr>
                <w:color w:val="000000"/>
                <w:sz w:val="18"/>
                <w:szCs w:val="18"/>
              </w:rPr>
              <w:t>6909</w:t>
            </w:r>
          </w:p>
        </w:tc>
        <w:tc>
          <w:tcPr>
            <w:tcW w:w="514" w:type="pct"/>
            <w:tcBorders>
              <w:bottom w:val="single" w:color="auto" w:sz="4" w:space="0"/>
            </w:tcBorders>
            <w:shd w:val="clear" w:color="auto" w:fill="auto"/>
            <w:vAlign w:val="center"/>
          </w:tcPr>
          <w:p>
            <w:pPr>
              <w:jc w:val="center"/>
              <w:rPr>
                <w:color w:val="000000"/>
                <w:sz w:val="18"/>
                <w:szCs w:val="18"/>
              </w:rPr>
            </w:pPr>
            <w:r>
              <w:rPr>
                <w:color w:val="000000"/>
                <w:sz w:val="18"/>
                <w:szCs w:val="18"/>
              </w:rPr>
              <w:t>44.45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894" w:type="pct"/>
            <w:shd w:val="clear" w:color="auto" w:fill="auto"/>
            <w:vAlign w:val="center"/>
          </w:tcPr>
          <w:p>
            <w:pPr>
              <w:widowControl/>
              <w:jc w:val="center"/>
              <w:rPr>
                <w:rFonts w:eastAsia="仿宋_GB2312"/>
                <w:kern w:val="0"/>
                <w:sz w:val="18"/>
                <w:szCs w:val="18"/>
              </w:rPr>
            </w:pPr>
            <w:r>
              <w:rPr>
                <w:rFonts w:eastAsia="仿宋_GB2312"/>
                <w:kern w:val="0"/>
                <w:sz w:val="18"/>
                <w:szCs w:val="18"/>
              </w:rPr>
              <w:t>栗房权证上栗镇字第103110606号</w:t>
            </w:r>
          </w:p>
        </w:tc>
        <w:tc>
          <w:tcPr>
            <w:tcW w:w="480" w:type="pc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袁理智</w:t>
            </w:r>
          </w:p>
        </w:tc>
        <w:tc>
          <w:tcPr>
            <w:tcW w:w="587" w:type="pct"/>
            <w:vMerge w:val="continue"/>
            <w:vAlign w:val="center"/>
          </w:tcPr>
          <w:p>
            <w:pPr>
              <w:widowControl/>
              <w:jc w:val="left"/>
              <w:rPr>
                <w:rFonts w:eastAsia="仿宋_GB2312"/>
                <w:color w:val="000000"/>
                <w:kern w:val="0"/>
                <w:sz w:val="18"/>
                <w:szCs w:val="18"/>
              </w:rPr>
            </w:pPr>
          </w:p>
        </w:tc>
        <w:tc>
          <w:tcPr>
            <w:tcW w:w="317" w:type="pct"/>
            <w:vMerge w:val="continue"/>
            <w:vAlign w:val="center"/>
          </w:tcPr>
          <w:p>
            <w:pPr>
              <w:widowControl/>
              <w:jc w:val="left"/>
              <w:rPr>
                <w:rFonts w:eastAsia="仿宋_GB2312"/>
                <w:kern w:val="0"/>
                <w:sz w:val="18"/>
                <w:szCs w:val="18"/>
              </w:rPr>
            </w:pPr>
          </w:p>
        </w:tc>
        <w:tc>
          <w:tcPr>
            <w:tcW w:w="369" w:type="pct"/>
            <w:vMerge w:val="continue"/>
            <w:vAlign w:val="center"/>
          </w:tcPr>
          <w:p>
            <w:pPr>
              <w:widowControl/>
              <w:jc w:val="left"/>
              <w:rPr>
                <w:rFonts w:eastAsia="仿宋_GB2312"/>
                <w:kern w:val="0"/>
                <w:sz w:val="18"/>
                <w:szCs w:val="18"/>
              </w:rPr>
            </w:pPr>
          </w:p>
        </w:tc>
        <w:tc>
          <w:tcPr>
            <w:tcW w:w="520" w:type="pct"/>
            <w:tcBorders>
              <w:top w:val="single" w:color="auto" w:sz="4" w:space="0"/>
            </w:tcBorders>
            <w:vAlign w:val="center"/>
          </w:tcPr>
          <w:p>
            <w:pPr>
              <w:jc w:val="center"/>
              <w:rPr>
                <w:rFonts w:eastAsia="仿宋_GB2312"/>
                <w:sz w:val="18"/>
                <w:szCs w:val="18"/>
              </w:rPr>
            </w:pPr>
            <w:r>
              <w:rPr>
                <w:rFonts w:eastAsia="仿宋_GB2312"/>
                <w:sz w:val="18"/>
                <w:szCs w:val="18"/>
              </w:rPr>
              <w:t>2/6</w:t>
            </w:r>
          </w:p>
        </w:tc>
        <w:tc>
          <w:tcPr>
            <w:tcW w:w="830" w:type="pct"/>
            <w:tcBorders>
              <w:top w:val="single" w:color="auto" w:sz="4" w:space="0"/>
            </w:tcBorders>
            <w:vAlign w:val="center"/>
          </w:tcPr>
          <w:p>
            <w:pPr>
              <w:jc w:val="center"/>
              <w:rPr>
                <w:rFonts w:eastAsia="仿宋_GB2312"/>
                <w:color w:val="000000"/>
                <w:sz w:val="18"/>
                <w:szCs w:val="18"/>
              </w:rPr>
            </w:pPr>
            <w:r>
              <w:rPr>
                <w:rFonts w:eastAsia="仿宋_GB2312"/>
                <w:color w:val="000000"/>
                <w:sz w:val="18"/>
                <w:szCs w:val="18"/>
              </w:rPr>
              <w:t>64.335</w:t>
            </w:r>
          </w:p>
        </w:tc>
        <w:tc>
          <w:tcPr>
            <w:tcW w:w="489" w:type="pct"/>
            <w:tcBorders>
              <w:top w:val="single" w:color="auto" w:sz="4" w:space="0"/>
            </w:tcBorders>
            <w:vAlign w:val="center"/>
          </w:tcPr>
          <w:p>
            <w:pPr>
              <w:jc w:val="center"/>
              <w:rPr>
                <w:color w:val="000000"/>
                <w:sz w:val="18"/>
                <w:szCs w:val="18"/>
              </w:rPr>
            </w:pPr>
            <w:r>
              <w:rPr>
                <w:color w:val="000000"/>
                <w:sz w:val="18"/>
                <w:szCs w:val="18"/>
              </w:rPr>
              <w:t>2746</w:t>
            </w:r>
          </w:p>
        </w:tc>
        <w:tc>
          <w:tcPr>
            <w:tcW w:w="514" w:type="pct"/>
            <w:tcBorders>
              <w:top w:val="single" w:color="auto" w:sz="4" w:space="0"/>
            </w:tcBorders>
            <w:vAlign w:val="center"/>
          </w:tcPr>
          <w:p>
            <w:pPr>
              <w:jc w:val="center"/>
              <w:rPr>
                <w:color w:val="000000"/>
                <w:sz w:val="18"/>
                <w:szCs w:val="18"/>
              </w:rPr>
            </w:pPr>
            <w:r>
              <w:rPr>
                <w:color w:val="000000"/>
                <w:sz w:val="18"/>
                <w:szCs w:val="18"/>
              </w:rPr>
              <w:t>17.67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894" w:type="pct"/>
            <w:shd w:val="clear" w:color="auto" w:fill="auto"/>
            <w:vAlign w:val="center"/>
          </w:tcPr>
          <w:p>
            <w:pPr>
              <w:widowControl/>
              <w:jc w:val="center"/>
              <w:rPr>
                <w:rFonts w:eastAsia="仿宋_GB2312"/>
                <w:kern w:val="0"/>
                <w:sz w:val="18"/>
                <w:szCs w:val="18"/>
              </w:rPr>
            </w:pPr>
            <w:r>
              <w:rPr>
                <w:rFonts w:eastAsia="仿宋_GB2312"/>
                <w:kern w:val="0"/>
                <w:sz w:val="18"/>
                <w:szCs w:val="18"/>
              </w:rPr>
              <w:t>栗房权证上栗镇字第103110607号</w:t>
            </w:r>
          </w:p>
        </w:tc>
        <w:tc>
          <w:tcPr>
            <w:tcW w:w="480" w:type="pc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柳桂林</w:t>
            </w:r>
          </w:p>
        </w:tc>
        <w:tc>
          <w:tcPr>
            <w:tcW w:w="587" w:type="pct"/>
            <w:vMerge w:val="restar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上栗县上栗镇贸易广场站前路</w:t>
            </w:r>
          </w:p>
        </w:tc>
        <w:tc>
          <w:tcPr>
            <w:tcW w:w="317" w:type="pct"/>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砖混</w:t>
            </w:r>
          </w:p>
        </w:tc>
        <w:tc>
          <w:tcPr>
            <w:tcW w:w="369" w:type="pct"/>
            <w:vMerge w:val="restart"/>
            <w:shd w:val="clear" w:color="auto" w:fill="auto"/>
            <w:vAlign w:val="center"/>
          </w:tcPr>
          <w:p>
            <w:pPr>
              <w:widowControl/>
              <w:jc w:val="center"/>
              <w:rPr>
                <w:rFonts w:eastAsia="仿宋_GB2312"/>
                <w:kern w:val="0"/>
                <w:sz w:val="18"/>
                <w:szCs w:val="18"/>
              </w:rPr>
            </w:pPr>
            <w:r>
              <w:rPr>
                <w:rFonts w:eastAsia="仿宋_GB2312"/>
                <w:kern w:val="0"/>
                <w:sz w:val="18"/>
                <w:szCs w:val="18"/>
              </w:rPr>
              <w:t>住宅</w:t>
            </w:r>
          </w:p>
        </w:tc>
        <w:tc>
          <w:tcPr>
            <w:tcW w:w="520" w:type="pct"/>
            <w:tcBorders>
              <w:bottom w:val="single" w:color="auto" w:sz="4" w:space="0"/>
            </w:tcBorders>
            <w:shd w:val="clear" w:color="auto" w:fill="auto"/>
            <w:vAlign w:val="center"/>
          </w:tcPr>
          <w:p>
            <w:pPr>
              <w:jc w:val="center"/>
              <w:rPr>
                <w:rFonts w:eastAsia="仿宋_GB2312"/>
                <w:sz w:val="18"/>
                <w:szCs w:val="18"/>
              </w:rPr>
            </w:pPr>
            <w:r>
              <w:rPr>
                <w:rFonts w:eastAsia="仿宋_GB2312"/>
                <w:sz w:val="18"/>
                <w:szCs w:val="18"/>
              </w:rPr>
              <w:t>3/6</w:t>
            </w:r>
          </w:p>
        </w:tc>
        <w:tc>
          <w:tcPr>
            <w:tcW w:w="830" w:type="pct"/>
            <w:tcBorders>
              <w:bottom w:val="single" w:color="auto" w:sz="4" w:space="0"/>
            </w:tcBorders>
            <w:shd w:val="clear" w:color="auto" w:fill="auto"/>
            <w:vAlign w:val="center"/>
          </w:tcPr>
          <w:p>
            <w:pPr>
              <w:jc w:val="center"/>
              <w:rPr>
                <w:rFonts w:eastAsia="仿宋_GB2312"/>
                <w:color w:val="000000"/>
                <w:sz w:val="18"/>
                <w:szCs w:val="18"/>
              </w:rPr>
            </w:pPr>
            <w:r>
              <w:rPr>
                <w:rFonts w:eastAsia="仿宋_GB2312"/>
                <w:color w:val="000000"/>
                <w:sz w:val="18"/>
                <w:szCs w:val="18"/>
              </w:rPr>
              <w:t>163.93</w:t>
            </w:r>
          </w:p>
        </w:tc>
        <w:tc>
          <w:tcPr>
            <w:tcW w:w="489" w:type="pct"/>
            <w:tcBorders>
              <w:bottom w:val="single" w:color="auto" w:sz="4" w:space="0"/>
            </w:tcBorders>
            <w:shd w:val="clear" w:color="auto" w:fill="auto"/>
            <w:vAlign w:val="center"/>
          </w:tcPr>
          <w:p>
            <w:pPr>
              <w:jc w:val="center"/>
              <w:rPr>
                <w:color w:val="000000"/>
                <w:sz w:val="18"/>
                <w:szCs w:val="18"/>
              </w:rPr>
            </w:pPr>
            <w:r>
              <w:rPr>
                <w:color w:val="000000"/>
                <w:sz w:val="18"/>
                <w:szCs w:val="18"/>
              </w:rPr>
              <w:t>2832</w:t>
            </w:r>
          </w:p>
        </w:tc>
        <w:tc>
          <w:tcPr>
            <w:tcW w:w="514" w:type="pct"/>
            <w:tcBorders>
              <w:bottom w:val="single" w:color="auto" w:sz="4" w:space="0"/>
            </w:tcBorders>
            <w:shd w:val="clear" w:color="auto" w:fill="auto"/>
            <w:vAlign w:val="center"/>
          </w:tcPr>
          <w:p>
            <w:pPr>
              <w:jc w:val="center"/>
              <w:rPr>
                <w:color w:val="000000"/>
                <w:sz w:val="18"/>
                <w:szCs w:val="18"/>
              </w:rPr>
            </w:pPr>
            <w:r>
              <w:rPr>
                <w:color w:val="000000"/>
                <w:sz w:val="18"/>
                <w:szCs w:val="18"/>
              </w:rPr>
              <w:t>46.42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894" w:type="pct"/>
            <w:shd w:val="clear" w:color="auto" w:fill="auto"/>
            <w:vAlign w:val="center"/>
          </w:tcPr>
          <w:p>
            <w:pPr>
              <w:widowControl/>
              <w:jc w:val="center"/>
              <w:rPr>
                <w:rFonts w:eastAsia="仿宋_GB2312"/>
                <w:kern w:val="0"/>
                <w:sz w:val="18"/>
                <w:szCs w:val="18"/>
              </w:rPr>
            </w:pPr>
            <w:r>
              <w:rPr>
                <w:rFonts w:eastAsia="仿宋_GB2312"/>
                <w:kern w:val="0"/>
                <w:sz w:val="18"/>
                <w:szCs w:val="18"/>
              </w:rPr>
              <w:t>栗房权证上栗镇字第103110608号</w:t>
            </w:r>
          </w:p>
        </w:tc>
        <w:tc>
          <w:tcPr>
            <w:tcW w:w="480" w:type="pc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袁理智</w:t>
            </w:r>
          </w:p>
        </w:tc>
        <w:tc>
          <w:tcPr>
            <w:tcW w:w="587" w:type="pct"/>
            <w:vMerge w:val="continue"/>
            <w:vAlign w:val="center"/>
          </w:tcPr>
          <w:p>
            <w:pPr>
              <w:widowControl/>
              <w:jc w:val="left"/>
              <w:rPr>
                <w:rFonts w:eastAsia="仿宋_GB2312"/>
                <w:color w:val="000000"/>
                <w:kern w:val="0"/>
                <w:sz w:val="18"/>
                <w:szCs w:val="18"/>
              </w:rPr>
            </w:pPr>
          </w:p>
        </w:tc>
        <w:tc>
          <w:tcPr>
            <w:tcW w:w="317" w:type="pct"/>
            <w:vMerge w:val="continue"/>
            <w:vAlign w:val="center"/>
          </w:tcPr>
          <w:p>
            <w:pPr>
              <w:widowControl/>
              <w:jc w:val="left"/>
              <w:rPr>
                <w:rFonts w:eastAsia="仿宋_GB2312"/>
                <w:kern w:val="0"/>
                <w:sz w:val="18"/>
                <w:szCs w:val="18"/>
              </w:rPr>
            </w:pPr>
          </w:p>
        </w:tc>
        <w:tc>
          <w:tcPr>
            <w:tcW w:w="369" w:type="pct"/>
            <w:vMerge w:val="continue"/>
            <w:vAlign w:val="center"/>
          </w:tcPr>
          <w:p>
            <w:pPr>
              <w:widowControl/>
              <w:jc w:val="left"/>
              <w:rPr>
                <w:rFonts w:eastAsia="仿宋_GB2312"/>
                <w:kern w:val="0"/>
                <w:sz w:val="18"/>
                <w:szCs w:val="18"/>
              </w:rPr>
            </w:pPr>
          </w:p>
        </w:tc>
        <w:tc>
          <w:tcPr>
            <w:tcW w:w="520" w:type="pct"/>
            <w:tcBorders>
              <w:top w:val="single" w:color="auto" w:sz="4" w:space="0"/>
            </w:tcBorders>
            <w:vAlign w:val="center"/>
          </w:tcPr>
          <w:p>
            <w:pPr>
              <w:jc w:val="center"/>
              <w:rPr>
                <w:rFonts w:eastAsia="仿宋_GB2312"/>
                <w:sz w:val="18"/>
                <w:szCs w:val="18"/>
              </w:rPr>
            </w:pPr>
            <w:r>
              <w:rPr>
                <w:rFonts w:eastAsia="仿宋_GB2312"/>
                <w:sz w:val="18"/>
                <w:szCs w:val="18"/>
              </w:rPr>
              <w:t>4/6</w:t>
            </w:r>
          </w:p>
        </w:tc>
        <w:tc>
          <w:tcPr>
            <w:tcW w:w="830" w:type="pct"/>
            <w:tcBorders>
              <w:top w:val="single" w:color="auto" w:sz="4" w:space="0"/>
            </w:tcBorders>
            <w:vAlign w:val="center"/>
          </w:tcPr>
          <w:p>
            <w:pPr>
              <w:jc w:val="center"/>
              <w:rPr>
                <w:rFonts w:eastAsia="仿宋_GB2312"/>
                <w:color w:val="000000"/>
                <w:sz w:val="18"/>
                <w:szCs w:val="18"/>
              </w:rPr>
            </w:pPr>
            <w:r>
              <w:rPr>
                <w:rFonts w:eastAsia="仿宋_GB2312"/>
                <w:color w:val="000000"/>
                <w:sz w:val="18"/>
                <w:szCs w:val="18"/>
              </w:rPr>
              <w:t>163.93</w:t>
            </w:r>
          </w:p>
        </w:tc>
        <w:tc>
          <w:tcPr>
            <w:tcW w:w="489" w:type="pct"/>
            <w:tcBorders>
              <w:top w:val="single" w:color="auto" w:sz="4" w:space="0"/>
            </w:tcBorders>
            <w:vAlign w:val="center"/>
          </w:tcPr>
          <w:p>
            <w:pPr>
              <w:jc w:val="center"/>
              <w:rPr>
                <w:color w:val="000000"/>
                <w:sz w:val="18"/>
                <w:szCs w:val="18"/>
              </w:rPr>
            </w:pPr>
            <w:r>
              <w:rPr>
                <w:color w:val="000000"/>
                <w:sz w:val="18"/>
                <w:szCs w:val="18"/>
              </w:rPr>
              <w:t>2934</w:t>
            </w:r>
          </w:p>
        </w:tc>
        <w:tc>
          <w:tcPr>
            <w:tcW w:w="514" w:type="pct"/>
            <w:tcBorders>
              <w:top w:val="single" w:color="auto" w:sz="4" w:space="0"/>
            </w:tcBorders>
            <w:vAlign w:val="center"/>
          </w:tcPr>
          <w:p>
            <w:pPr>
              <w:jc w:val="center"/>
              <w:rPr>
                <w:color w:val="000000"/>
                <w:sz w:val="18"/>
                <w:szCs w:val="18"/>
              </w:rPr>
            </w:pPr>
            <w:r>
              <w:rPr>
                <w:color w:val="000000"/>
                <w:sz w:val="18"/>
                <w:szCs w:val="18"/>
              </w:rPr>
              <w:t>48.1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5" w:hRule="atLeast"/>
        </w:trPr>
        <w:tc>
          <w:tcPr>
            <w:tcW w:w="3167" w:type="pct"/>
            <w:gridSpan w:val="6"/>
            <w:shd w:val="clear" w:color="auto" w:fill="auto"/>
            <w:vAlign w:val="center"/>
          </w:tcPr>
          <w:p>
            <w:pPr>
              <w:widowControl/>
              <w:jc w:val="center"/>
              <w:rPr>
                <w:rFonts w:eastAsia="仿宋_GB2312"/>
                <w:kern w:val="0"/>
                <w:sz w:val="18"/>
                <w:szCs w:val="18"/>
              </w:rPr>
            </w:pPr>
            <w:r>
              <w:rPr>
                <w:rFonts w:eastAsia="仿宋_GB2312"/>
                <w:kern w:val="0"/>
                <w:sz w:val="18"/>
                <w:szCs w:val="18"/>
              </w:rPr>
              <w:t>合计</w:t>
            </w:r>
          </w:p>
        </w:tc>
        <w:tc>
          <w:tcPr>
            <w:tcW w:w="830" w:type="pc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456.53</w:t>
            </w:r>
          </w:p>
        </w:tc>
        <w:tc>
          <w:tcPr>
            <w:tcW w:w="489" w:type="pc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w:t>
            </w:r>
          </w:p>
        </w:tc>
        <w:tc>
          <w:tcPr>
            <w:tcW w:w="514" w:type="pct"/>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156.64</w:t>
            </w:r>
          </w:p>
        </w:tc>
      </w:tr>
    </w:tbl>
    <w:p>
      <w:pPr>
        <w:adjustRightInd w:val="0"/>
        <w:snapToGrid w:val="0"/>
        <w:spacing w:line="300" w:lineRule="exact"/>
        <w:ind w:right="-51" w:firstLine="420" w:firstLineChars="200"/>
        <w:rPr>
          <w:rFonts w:eastAsia="仿宋_GB2312"/>
          <w:szCs w:val="21"/>
        </w:rPr>
      </w:pPr>
      <w:r>
        <w:rPr>
          <w:rFonts w:eastAsia="仿宋_GB2312"/>
          <w:szCs w:val="21"/>
        </w:rPr>
        <w:t>特别提示：</w:t>
      </w:r>
    </w:p>
    <w:p>
      <w:pPr>
        <w:pStyle w:val="49"/>
        <w:numPr>
          <w:ilvl w:val="0"/>
          <w:numId w:val="1"/>
        </w:numPr>
        <w:adjustRightInd w:val="0"/>
        <w:snapToGrid w:val="0"/>
        <w:spacing w:line="300" w:lineRule="exact"/>
        <w:ind w:right="-51" w:firstLineChars="0"/>
        <w:rPr>
          <w:rFonts w:eastAsia="仿宋_GB2312"/>
          <w:szCs w:val="21"/>
        </w:rPr>
      </w:pPr>
      <w:r>
        <w:rPr>
          <w:rFonts w:eastAsia="仿宋_GB2312"/>
          <w:szCs w:val="21"/>
        </w:rPr>
        <w:t>上述估价结果中不包含估价对象使用及处置时的水电暖气费、物业管理费、司法诉讼费用、过户税费及其他应付费用等。</w:t>
      </w:r>
    </w:p>
    <w:p>
      <w:pPr>
        <w:pStyle w:val="49"/>
        <w:numPr>
          <w:ilvl w:val="0"/>
          <w:numId w:val="1"/>
        </w:numPr>
        <w:snapToGrid w:val="0"/>
        <w:spacing w:line="300" w:lineRule="exact"/>
        <w:ind w:right="-51" w:firstLineChars="0"/>
        <w:rPr>
          <w:rFonts w:eastAsia="仿宋_GB2312"/>
          <w:szCs w:val="21"/>
        </w:rPr>
      </w:pPr>
      <w:r>
        <w:rPr>
          <w:rFonts w:eastAsia="仿宋_GB2312"/>
          <w:szCs w:val="21"/>
        </w:rPr>
        <w:t>《房屋所有权证》上证载用途一、二层为商住，三、四层为住宅，《国有土地使用证》上证载土地用途为城镇住宅用地，此次评估一层按商业用途，二、三、四层为住宅用途。</w:t>
      </w:r>
    </w:p>
    <w:p>
      <w:pPr>
        <w:pStyle w:val="49"/>
        <w:numPr>
          <w:ilvl w:val="0"/>
          <w:numId w:val="1"/>
        </w:numPr>
        <w:snapToGrid w:val="0"/>
        <w:spacing w:line="300" w:lineRule="exact"/>
        <w:ind w:right="-51" w:firstLineChars="0"/>
        <w:rPr>
          <w:rFonts w:eastAsia="仿宋_GB2312"/>
          <w:szCs w:val="21"/>
        </w:rPr>
      </w:pPr>
      <w:r>
        <w:rPr>
          <w:rFonts w:eastAsia="仿宋_GB2312"/>
          <w:szCs w:val="21"/>
        </w:rPr>
        <w:t>根据“房地产平面图”可知，一、二层房地产平面图相同；三、四层房地产平面图相同，故可计算出每层面积。</w:t>
      </w:r>
    </w:p>
    <w:p>
      <w:pPr>
        <w:pStyle w:val="49"/>
        <w:numPr>
          <w:ilvl w:val="0"/>
          <w:numId w:val="1"/>
        </w:numPr>
        <w:adjustRightInd w:val="0"/>
        <w:snapToGrid w:val="0"/>
        <w:spacing w:line="300" w:lineRule="exact"/>
        <w:ind w:right="-51" w:firstLineChars="0"/>
        <w:rPr>
          <w:rFonts w:eastAsia="仿宋_GB2312"/>
          <w:szCs w:val="21"/>
        </w:rPr>
      </w:pPr>
      <w:r>
        <w:rPr>
          <w:rFonts w:eastAsia="仿宋_GB2312"/>
          <w:szCs w:val="21"/>
        </w:rPr>
        <w:t>双方当事人若对本次估价结果有异议，需在收到本评估报告5日之内提出书面申请，双方当事人自收到本评估报告5日之内未提出书面异议的，此评估报告正式生效。</w:t>
      </w:r>
    </w:p>
    <w:p>
      <w:pPr>
        <w:pStyle w:val="49"/>
        <w:numPr>
          <w:ilvl w:val="0"/>
          <w:numId w:val="1"/>
        </w:numPr>
        <w:adjustRightInd w:val="0"/>
        <w:snapToGrid w:val="0"/>
        <w:spacing w:line="300" w:lineRule="exact"/>
        <w:ind w:right="-51" w:firstLineChars="0"/>
        <w:rPr>
          <w:rFonts w:eastAsia="仿宋_GB2312"/>
          <w:szCs w:val="21"/>
        </w:rPr>
      </w:pPr>
      <w:r>
        <w:rPr>
          <w:rFonts w:eastAsia="仿宋_GB2312"/>
          <w:szCs w:val="21"/>
        </w:rPr>
        <w:t>本估价报告自出报告之日起一年内有效。</w:t>
      </w:r>
    </w:p>
    <w:p>
      <w:pPr>
        <w:tabs>
          <w:tab w:val="left" w:pos="540"/>
        </w:tabs>
        <w:adjustRightInd w:val="0"/>
        <w:snapToGrid w:val="0"/>
        <w:spacing w:line="300" w:lineRule="exact"/>
        <w:ind w:firstLine="560" w:firstLineChars="200"/>
        <w:rPr>
          <w:rFonts w:eastAsia="仿宋_GB2312"/>
          <w:sz w:val="28"/>
          <w:szCs w:val="28"/>
        </w:rPr>
      </w:pPr>
      <w:r>
        <w:rPr>
          <w:rFonts w:eastAsia="仿宋_GB2312"/>
          <w:sz w:val="28"/>
          <w:szCs w:val="28"/>
        </w:rPr>
        <w:t>法定代表人签章</w:t>
      </w:r>
    </w:p>
    <w:p>
      <w:pPr>
        <w:snapToGrid w:val="0"/>
        <w:spacing w:line="500" w:lineRule="exact"/>
        <w:ind w:right="11"/>
        <w:jc w:val="right"/>
        <w:rPr>
          <w:rFonts w:eastAsia="仿宋_GB2312"/>
          <w:sz w:val="28"/>
        </w:rPr>
      </w:pPr>
      <w:r>
        <w:rPr>
          <w:rFonts w:eastAsia="仿宋_GB2312"/>
          <w:sz w:val="28"/>
        </w:rPr>
        <w:t>江西开元房地产土地资产评估咨询有限公司</w:t>
      </w:r>
    </w:p>
    <w:p>
      <w:pPr>
        <w:tabs>
          <w:tab w:val="left" w:pos="540"/>
        </w:tabs>
        <w:adjustRightInd w:val="0"/>
        <w:snapToGrid w:val="0"/>
        <w:spacing w:line="500" w:lineRule="exact"/>
        <w:ind w:firstLine="560" w:firstLineChars="200"/>
        <w:jc w:val="right"/>
        <w:rPr>
          <w:rFonts w:eastAsia="仿宋_GB2312"/>
          <w:sz w:val="28"/>
        </w:rPr>
      </w:pPr>
      <w:r>
        <w:rPr>
          <w:rFonts w:eastAsia="仿宋_GB2312"/>
          <w:sz w:val="28"/>
        </w:rPr>
        <w:t>二</w:t>
      </w:r>
      <w:r>
        <w:rPr>
          <w:rFonts w:hint="eastAsia" w:ascii="宋体" w:hAnsi="宋体" w:cs="宋体"/>
          <w:sz w:val="28"/>
        </w:rPr>
        <w:t>〇</w:t>
      </w:r>
      <w:r>
        <w:rPr>
          <w:rFonts w:hint="eastAsia" w:ascii="仿宋_GB2312" w:hAnsi="仿宋_GB2312" w:eastAsia="仿宋_GB2312" w:cs="仿宋_GB2312"/>
          <w:sz w:val="28"/>
        </w:rPr>
        <w:t>二</w:t>
      </w:r>
      <w:r>
        <w:rPr>
          <w:rFonts w:hint="eastAsia" w:ascii="宋体" w:hAnsi="宋体" w:cs="宋体"/>
          <w:sz w:val="28"/>
        </w:rPr>
        <w:t>〇</w:t>
      </w:r>
      <w:r>
        <w:rPr>
          <w:rFonts w:hint="eastAsia" w:ascii="仿宋_GB2312" w:hAnsi="仿宋_GB2312" w:eastAsia="仿宋_GB2312" w:cs="仿宋_GB2312"/>
          <w:sz w:val="28"/>
        </w:rPr>
        <w:t>年</w:t>
      </w:r>
      <w:r>
        <w:rPr>
          <w:rFonts w:eastAsia="仿宋_GB2312"/>
          <w:sz w:val="28"/>
        </w:rPr>
        <w:t>三月二十四日</w:t>
      </w:r>
    </w:p>
    <w:p>
      <w:pPr>
        <w:pStyle w:val="18"/>
        <w:tabs>
          <w:tab w:val="right" w:leader="dot" w:pos="9016"/>
        </w:tabs>
        <w:rPr>
          <w:rFonts w:eastAsia="仿宋_GB2312"/>
          <w:b/>
          <w:color w:val="000000"/>
          <w:sz w:val="28"/>
        </w:rPr>
      </w:pPr>
    </w:p>
    <w:p>
      <w:pPr>
        <w:pStyle w:val="18"/>
        <w:tabs>
          <w:tab w:val="right" w:leader="dot" w:pos="9016"/>
        </w:tabs>
        <w:spacing w:line="560" w:lineRule="exact"/>
        <w:jc w:val="center"/>
        <w:rPr>
          <w:rFonts w:eastAsia="仿宋_GB2312"/>
          <w:b/>
          <w:color w:val="000000"/>
          <w:sz w:val="36"/>
          <w:szCs w:val="36"/>
        </w:rPr>
      </w:pPr>
      <w:r>
        <w:rPr>
          <w:rFonts w:eastAsia="仿宋_GB2312"/>
          <w:b/>
          <w:color w:val="000000"/>
          <w:sz w:val="36"/>
          <w:szCs w:val="36"/>
        </w:rPr>
        <w:t>目录</w:t>
      </w:r>
    </w:p>
    <w:p>
      <w:pPr>
        <w:pStyle w:val="18"/>
        <w:tabs>
          <w:tab w:val="right" w:leader="dot" w:pos="9016"/>
        </w:tabs>
        <w:spacing w:line="560" w:lineRule="exact"/>
        <w:rPr>
          <w:rFonts w:asciiTheme="minorHAnsi" w:hAnsiTheme="minorHAnsi" w:eastAsiaTheme="minorEastAsia" w:cstheme="minorBidi"/>
          <w:sz w:val="28"/>
          <w:szCs w:val="28"/>
        </w:rPr>
      </w:pPr>
      <w:r>
        <w:rPr>
          <w:rFonts w:eastAsia="仿宋_GB2312"/>
          <w:b/>
          <w:color w:val="000000"/>
          <w:sz w:val="28"/>
          <w:szCs w:val="28"/>
        </w:rPr>
        <w:fldChar w:fldCharType="begin"/>
      </w:r>
      <w:r>
        <w:rPr>
          <w:rFonts w:eastAsia="仿宋_GB2312"/>
          <w:b/>
          <w:color w:val="000000"/>
          <w:sz w:val="28"/>
          <w:szCs w:val="28"/>
        </w:rPr>
        <w:instrText xml:space="preserve"> TOC \o "1-3" \h \z \u </w:instrText>
      </w:r>
      <w:r>
        <w:rPr>
          <w:rFonts w:eastAsia="仿宋_GB2312"/>
          <w:b/>
          <w:color w:val="000000"/>
          <w:sz w:val="28"/>
          <w:szCs w:val="28"/>
        </w:rPr>
        <w:fldChar w:fldCharType="separate"/>
      </w:r>
      <w:r>
        <w:fldChar w:fldCharType="begin"/>
      </w:r>
      <w:r>
        <w:instrText xml:space="preserve"> HYPERLINK \l "_Toc36713635" </w:instrText>
      </w:r>
      <w:r>
        <w:fldChar w:fldCharType="separate"/>
      </w:r>
      <w:r>
        <w:rPr>
          <w:rStyle w:val="30"/>
          <w:rFonts w:hint="eastAsia" w:eastAsia="仿宋_GB2312"/>
          <w:sz w:val="28"/>
          <w:szCs w:val="28"/>
        </w:rPr>
        <w:t>一、估价师声明</w:t>
      </w:r>
      <w:r>
        <w:rPr>
          <w:sz w:val="28"/>
          <w:szCs w:val="28"/>
        </w:rPr>
        <w:tab/>
      </w:r>
      <w:r>
        <w:rPr>
          <w:sz w:val="28"/>
          <w:szCs w:val="28"/>
        </w:rPr>
        <w:fldChar w:fldCharType="begin"/>
      </w:r>
      <w:r>
        <w:rPr>
          <w:sz w:val="28"/>
          <w:szCs w:val="28"/>
        </w:rPr>
        <w:instrText xml:space="preserve"> PAGEREF _Toc36713635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8"/>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"_Toc36713636" </w:instrText>
      </w:r>
      <w:r>
        <w:fldChar w:fldCharType="separate"/>
      </w:r>
      <w:r>
        <w:rPr>
          <w:rStyle w:val="30"/>
          <w:rFonts w:hint="eastAsia" w:eastAsia="仿宋_GB2312"/>
          <w:sz w:val="28"/>
          <w:szCs w:val="28"/>
        </w:rPr>
        <w:t>二、估价假设和限制条件</w:t>
      </w:r>
      <w:r>
        <w:rPr>
          <w:sz w:val="28"/>
          <w:szCs w:val="28"/>
        </w:rPr>
        <w:tab/>
      </w:r>
      <w:r>
        <w:rPr>
          <w:sz w:val="28"/>
          <w:szCs w:val="28"/>
        </w:rPr>
        <w:fldChar w:fldCharType="begin"/>
      </w:r>
      <w:r>
        <w:rPr>
          <w:sz w:val="28"/>
          <w:szCs w:val="28"/>
        </w:rPr>
        <w:instrText xml:space="preserve"> PAGEREF _Toc36713636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18"/>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"_Toc36713637" </w:instrText>
      </w:r>
      <w:r>
        <w:fldChar w:fldCharType="separate"/>
      </w:r>
      <w:r>
        <w:rPr>
          <w:rStyle w:val="30"/>
          <w:rFonts w:hint="eastAsia" w:eastAsia="仿宋_GB2312"/>
          <w:sz w:val="28"/>
          <w:szCs w:val="28"/>
        </w:rPr>
        <w:t>三、估价结果报告</w:t>
      </w:r>
      <w:r>
        <w:rPr>
          <w:sz w:val="28"/>
          <w:szCs w:val="28"/>
        </w:rPr>
        <w:tab/>
      </w:r>
      <w:r>
        <w:rPr>
          <w:sz w:val="28"/>
          <w:szCs w:val="28"/>
        </w:rPr>
        <w:fldChar w:fldCharType="begin"/>
      </w:r>
      <w:r>
        <w:rPr>
          <w:sz w:val="28"/>
          <w:szCs w:val="28"/>
        </w:rPr>
        <w:instrText xml:space="preserve"> PAGEREF _Toc36713637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"_Toc36713638" </w:instrText>
      </w:r>
      <w:r>
        <w:fldChar w:fldCharType="separate"/>
      </w:r>
      <w:r>
        <w:rPr>
          <w:rStyle w:val="30"/>
          <w:rFonts w:hint="eastAsia" w:eastAsia="仿宋_GB2312"/>
          <w:sz w:val="28"/>
          <w:szCs w:val="28"/>
        </w:rPr>
        <w:t>（一）估价委托人</w:t>
      </w:r>
      <w:r>
        <w:rPr>
          <w:sz w:val="28"/>
          <w:szCs w:val="28"/>
        </w:rPr>
        <w:tab/>
      </w:r>
      <w:r>
        <w:rPr>
          <w:sz w:val="28"/>
          <w:szCs w:val="28"/>
        </w:rPr>
        <w:fldChar w:fldCharType="begin"/>
      </w:r>
      <w:r>
        <w:rPr>
          <w:sz w:val="28"/>
          <w:szCs w:val="28"/>
        </w:rPr>
        <w:instrText xml:space="preserve"> PAGEREF _Toc36713638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"_Toc36713639" </w:instrText>
      </w:r>
      <w:r>
        <w:fldChar w:fldCharType="separate"/>
      </w:r>
      <w:r>
        <w:rPr>
          <w:rStyle w:val="30"/>
          <w:rFonts w:hint="eastAsia" w:eastAsia="仿宋_GB2312"/>
          <w:sz w:val="28"/>
          <w:szCs w:val="28"/>
        </w:rPr>
        <w:t>（二）房地产估价机构</w:t>
      </w:r>
      <w:r>
        <w:rPr>
          <w:sz w:val="28"/>
          <w:szCs w:val="28"/>
        </w:rPr>
        <w:tab/>
      </w:r>
      <w:r>
        <w:rPr>
          <w:sz w:val="28"/>
          <w:szCs w:val="28"/>
        </w:rPr>
        <w:fldChar w:fldCharType="begin"/>
      </w:r>
      <w:r>
        <w:rPr>
          <w:sz w:val="28"/>
          <w:szCs w:val="28"/>
        </w:rPr>
        <w:instrText xml:space="preserve"> PAGEREF _Toc36713639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"_Toc36713640" </w:instrText>
      </w:r>
      <w:r>
        <w:fldChar w:fldCharType="separate"/>
      </w:r>
      <w:r>
        <w:rPr>
          <w:rStyle w:val="30"/>
          <w:rFonts w:hint="eastAsia" w:eastAsia="仿宋_GB2312"/>
          <w:sz w:val="28"/>
          <w:szCs w:val="28"/>
        </w:rPr>
        <w:t>（三）估价对象</w:t>
      </w:r>
      <w:r>
        <w:rPr>
          <w:sz w:val="28"/>
          <w:szCs w:val="28"/>
        </w:rPr>
        <w:tab/>
      </w:r>
      <w:r>
        <w:rPr>
          <w:sz w:val="28"/>
          <w:szCs w:val="28"/>
        </w:rPr>
        <w:fldChar w:fldCharType="begin"/>
      </w:r>
      <w:r>
        <w:rPr>
          <w:sz w:val="28"/>
          <w:szCs w:val="28"/>
        </w:rPr>
        <w:instrText xml:space="preserve"> PAGEREF _Toc36713640 \h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"_Toc36713641" </w:instrText>
      </w:r>
      <w:r>
        <w:fldChar w:fldCharType="separate"/>
      </w:r>
      <w:r>
        <w:rPr>
          <w:rStyle w:val="30"/>
          <w:rFonts w:hint="eastAsia" w:eastAsia="仿宋_GB2312"/>
          <w:sz w:val="28"/>
          <w:szCs w:val="28"/>
        </w:rPr>
        <w:t>（四）估价目的</w:t>
      </w:r>
      <w:r>
        <w:rPr>
          <w:sz w:val="28"/>
          <w:szCs w:val="28"/>
        </w:rPr>
        <w:tab/>
      </w:r>
      <w:r>
        <w:rPr>
          <w:sz w:val="28"/>
          <w:szCs w:val="28"/>
        </w:rPr>
        <w:fldChar w:fldCharType="begin"/>
      </w:r>
      <w:r>
        <w:rPr>
          <w:sz w:val="28"/>
          <w:szCs w:val="28"/>
        </w:rPr>
        <w:instrText xml:space="preserve"> PAGEREF _Toc36713641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"_Toc36713642" </w:instrText>
      </w:r>
      <w:r>
        <w:fldChar w:fldCharType="separate"/>
      </w:r>
      <w:r>
        <w:rPr>
          <w:rStyle w:val="30"/>
          <w:rFonts w:hint="eastAsia" w:eastAsia="仿宋_GB2312"/>
          <w:sz w:val="28"/>
          <w:szCs w:val="28"/>
        </w:rPr>
        <w:t>（五）价值时点</w:t>
      </w:r>
      <w:r>
        <w:rPr>
          <w:sz w:val="28"/>
          <w:szCs w:val="28"/>
        </w:rPr>
        <w:tab/>
      </w:r>
      <w:r>
        <w:rPr>
          <w:sz w:val="28"/>
          <w:szCs w:val="28"/>
        </w:rPr>
        <w:fldChar w:fldCharType="begin"/>
      </w:r>
      <w:r>
        <w:rPr>
          <w:sz w:val="28"/>
          <w:szCs w:val="28"/>
        </w:rPr>
        <w:instrText xml:space="preserve"> PAGEREF _Toc36713642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"_Toc36713643" </w:instrText>
      </w:r>
      <w:r>
        <w:fldChar w:fldCharType="separate"/>
      </w:r>
      <w:r>
        <w:rPr>
          <w:rStyle w:val="30"/>
          <w:rFonts w:hint="eastAsia" w:eastAsia="仿宋_GB2312"/>
          <w:sz w:val="28"/>
          <w:szCs w:val="28"/>
        </w:rPr>
        <w:t>（六）价值类型</w:t>
      </w:r>
      <w:r>
        <w:rPr>
          <w:sz w:val="28"/>
          <w:szCs w:val="28"/>
        </w:rPr>
        <w:tab/>
      </w:r>
      <w:r>
        <w:rPr>
          <w:sz w:val="28"/>
          <w:szCs w:val="28"/>
        </w:rPr>
        <w:fldChar w:fldCharType="begin"/>
      </w:r>
      <w:r>
        <w:rPr>
          <w:sz w:val="28"/>
          <w:szCs w:val="28"/>
        </w:rPr>
        <w:instrText xml:space="preserve"> PAGEREF _Toc36713643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"_Toc36713644" </w:instrText>
      </w:r>
      <w:r>
        <w:fldChar w:fldCharType="separate"/>
      </w:r>
      <w:r>
        <w:rPr>
          <w:rStyle w:val="30"/>
          <w:rFonts w:hint="eastAsia" w:eastAsia="仿宋_GB2312"/>
          <w:sz w:val="28"/>
          <w:szCs w:val="28"/>
        </w:rPr>
        <w:t>（七）估价依据</w:t>
      </w:r>
      <w:r>
        <w:rPr>
          <w:sz w:val="28"/>
          <w:szCs w:val="28"/>
        </w:rPr>
        <w:tab/>
      </w:r>
      <w:r>
        <w:rPr>
          <w:sz w:val="28"/>
          <w:szCs w:val="28"/>
        </w:rPr>
        <w:fldChar w:fldCharType="begin"/>
      </w:r>
      <w:r>
        <w:rPr>
          <w:sz w:val="28"/>
          <w:szCs w:val="28"/>
        </w:rPr>
        <w:instrText xml:space="preserve"> PAGEREF _Toc36713644 \h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"_Toc36713645" </w:instrText>
      </w:r>
      <w:r>
        <w:fldChar w:fldCharType="separate"/>
      </w:r>
      <w:r>
        <w:rPr>
          <w:rStyle w:val="30"/>
          <w:rFonts w:hint="eastAsia" w:eastAsia="仿宋_GB2312"/>
          <w:sz w:val="28"/>
          <w:szCs w:val="28"/>
        </w:rPr>
        <w:t>（八）估价原则</w:t>
      </w:r>
      <w:r>
        <w:rPr>
          <w:sz w:val="28"/>
          <w:szCs w:val="28"/>
        </w:rPr>
        <w:tab/>
      </w:r>
      <w:r>
        <w:rPr>
          <w:sz w:val="28"/>
          <w:szCs w:val="28"/>
        </w:rPr>
        <w:fldChar w:fldCharType="begin"/>
      </w:r>
      <w:r>
        <w:rPr>
          <w:sz w:val="28"/>
          <w:szCs w:val="28"/>
        </w:rPr>
        <w:instrText xml:space="preserve"> PAGEREF _Toc36713645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"_Toc36713646" </w:instrText>
      </w:r>
      <w:r>
        <w:fldChar w:fldCharType="separate"/>
      </w:r>
      <w:r>
        <w:rPr>
          <w:rStyle w:val="30"/>
          <w:rFonts w:hint="eastAsia" w:eastAsia="仿宋_GB2312"/>
          <w:sz w:val="28"/>
          <w:szCs w:val="28"/>
        </w:rPr>
        <w:t>（九）估价方法</w:t>
      </w:r>
      <w:r>
        <w:rPr>
          <w:sz w:val="28"/>
          <w:szCs w:val="28"/>
        </w:rPr>
        <w:tab/>
      </w:r>
      <w:r>
        <w:rPr>
          <w:sz w:val="28"/>
          <w:szCs w:val="28"/>
        </w:rPr>
        <w:fldChar w:fldCharType="begin"/>
      </w:r>
      <w:r>
        <w:rPr>
          <w:sz w:val="28"/>
          <w:szCs w:val="28"/>
        </w:rPr>
        <w:instrText xml:space="preserve"> PAGEREF _Toc36713646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"_Toc36713647" </w:instrText>
      </w:r>
      <w:r>
        <w:fldChar w:fldCharType="separate"/>
      </w:r>
      <w:r>
        <w:rPr>
          <w:rStyle w:val="30"/>
          <w:rFonts w:hint="eastAsia" w:eastAsia="仿宋_GB2312"/>
          <w:sz w:val="28"/>
          <w:szCs w:val="28"/>
        </w:rPr>
        <w:t>（十）估价结果</w:t>
      </w:r>
      <w:r>
        <w:rPr>
          <w:sz w:val="28"/>
          <w:szCs w:val="28"/>
        </w:rPr>
        <w:tab/>
      </w:r>
      <w:r>
        <w:rPr>
          <w:sz w:val="28"/>
          <w:szCs w:val="28"/>
        </w:rPr>
        <w:fldChar w:fldCharType="begin"/>
      </w:r>
      <w:r>
        <w:rPr>
          <w:sz w:val="28"/>
          <w:szCs w:val="28"/>
        </w:rPr>
        <w:instrText xml:space="preserve"> PAGEREF _Toc36713647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"_Toc36713648" </w:instrText>
      </w:r>
      <w:r>
        <w:fldChar w:fldCharType="separate"/>
      </w:r>
      <w:r>
        <w:rPr>
          <w:rStyle w:val="30"/>
          <w:rFonts w:hint="eastAsia" w:eastAsia="仿宋_GB2312"/>
          <w:sz w:val="28"/>
          <w:szCs w:val="28"/>
        </w:rPr>
        <w:t>（十一）估价人员</w:t>
      </w:r>
      <w:r>
        <w:rPr>
          <w:sz w:val="28"/>
          <w:szCs w:val="28"/>
        </w:rPr>
        <w:tab/>
      </w:r>
      <w:r>
        <w:rPr>
          <w:sz w:val="28"/>
          <w:szCs w:val="28"/>
        </w:rPr>
        <w:fldChar w:fldCharType="begin"/>
      </w:r>
      <w:r>
        <w:rPr>
          <w:sz w:val="28"/>
          <w:szCs w:val="28"/>
        </w:rPr>
        <w:instrText xml:space="preserve"> PAGEREF _Toc36713648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"_Toc36713649" </w:instrText>
      </w:r>
      <w:r>
        <w:fldChar w:fldCharType="separate"/>
      </w:r>
      <w:r>
        <w:rPr>
          <w:rStyle w:val="30"/>
          <w:rFonts w:hint="eastAsia" w:eastAsia="仿宋_GB2312"/>
          <w:sz w:val="28"/>
          <w:szCs w:val="28"/>
        </w:rPr>
        <w:t>（十二）实地查勘期</w:t>
      </w:r>
      <w:r>
        <w:rPr>
          <w:sz w:val="28"/>
          <w:szCs w:val="28"/>
        </w:rPr>
        <w:tab/>
      </w:r>
      <w:r>
        <w:rPr>
          <w:sz w:val="28"/>
          <w:szCs w:val="28"/>
        </w:rPr>
        <w:fldChar w:fldCharType="begin"/>
      </w:r>
      <w:r>
        <w:rPr>
          <w:sz w:val="28"/>
          <w:szCs w:val="28"/>
        </w:rPr>
        <w:instrText xml:space="preserve"> PAGEREF _Toc36713649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20"/>
        <w:tabs>
          <w:tab w:val="right" w:leader="dot" w:pos="9016"/>
        </w:tabs>
        <w:spacing w:line="560" w:lineRule="exact"/>
        <w:rPr>
          <w:rFonts w:asciiTheme="minorHAnsi" w:hAnsiTheme="minorHAnsi" w:eastAsiaTheme="minorEastAsia" w:cstheme="minorBidi"/>
          <w:sz w:val="28"/>
          <w:szCs w:val="28"/>
        </w:rPr>
      </w:pPr>
      <w:r>
        <w:fldChar w:fldCharType="begin"/>
      </w:r>
      <w:r>
        <w:instrText xml:space="preserve"> HYPERLINK \l "_Toc36713650" </w:instrText>
      </w:r>
      <w:r>
        <w:fldChar w:fldCharType="separate"/>
      </w:r>
      <w:r>
        <w:rPr>
          <w:rStyle w:val="30"/>
          <w:rFonts w:hint="eastAsia" w:eastAsia="仿宋_GB2312"/>
          <w:sz w:val="28"/>
          <w:szCs w:val="28"/>
        </w:rPr>
        <w:t>（十三）估价作业期</w:t>
      </w:r>
      <w:r>
        <w:rPr>
          <w:sz w:val="28"/>
          <w:szCs w:val="28"/>
        </w:rPr>
        <w:tab/>
      </w:r>
      <w:r>
        <w:rPr>
          <w:sz w:val="28"/>
          <w:szCs w:val="28"/>
        </w:rPr>
        <w:fldChar w:fldCharType="begin"/>
      </w:r>
      <w:r>
        <w:rPr>
          <w:sz w:val="28"/>
          <w:szCs w:val="28"/>
        </w:rPr>
        <w:instrText xml:space="preserve"> PAGEREF _Toc36713650 \h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8"/>
        <w:tabs>
          <w:tab w:val="right" w:leader="dot" w:pos="9016"/>
        </w:tabs>
        <w:spacing w:line="560" w:lineRule="exact"/>
        <w:rPr>
          <w:rFonts w:asciiTheme="minorHAnsi" w:hAnsiTheme="minorHAnsi" w:eastAsiaTheme="minorEastAsia" w:cstheme="minorBidi"/>
          <w:szCs w:val="22"/>
        </w:rPr>
      </w:pPr>
      <w:r>
        <w:fldChar w:fldCharType="begin"/>
      </w:r>
      <w:r>
        <w:instrText xml:space="preserve"> HYPERLINK \l "_Toc36713651" </w:instrText>
      </w:r>
      <w:r>
        <w:fldChar w:fldCharType="separate"/>
      </w:r>
      <w:r>
        <w:rPr>
          <w:rStyle w:val="30"/>
          <w:rFonts w:hint="eastAsia" w:eastAsia="仿宋_GB2312"/>
          <w:sz w:val="28"/>
          <w:szCs w:val="28"/>
        </w:rPr>
        <w:t>四、附件</w:t>
      </w:r>
      <w:r>
        <w:rPr>
          <w:sz w:val="28"/>
          <w:szCs w:val="28"/>
        </w:rPr>
        <w:tab/>
      </w:r>
      <w:r>
        <w:rPr>
          <w:sz w:val="28"/>
          <w:szCs w:val="28"/>
        </w:rPr>
        <w:fldChar w:fldCharType="begin"/>
      </w:r>
      <w:r>
        <w:rPr>
          <w:sz w:val="28"/>
          <w:szCs w:val="28"/>
        </w:rPr>
        <w:instrText xml:space="preserve"> PAGEREF _Toc36713651 \h </w:instrText>
      </w:r>
      <w:r>
        <w:rPr>
          <w:sz w:val="28"/>
          <w:szCs w:val="28"/>
        </w:rPr>
        <w:fldChar w:fldCharType="separate"/>
      </w:r>
      <w:r>
        <w:rPr>
          <w:sz w:val="28"/>
          <w:szCs w:val="28"/>
        </w:rPr>
        <w:t>12</w:t>
      </w:r>
      <w:r>
        <w:rPr>
          <w:sz w:val="28"/>
          <w:szCs w:val="28"/>
        </w:rPr>
        <w:fldChar w:fldCharType="end"/>
      </w:r>
      <w:r>
        <w:rPr>
          <w:sz w:val="28"/>
          <w:szCs w:val="28"/>
        </w:rPr>
        <w:fldChar w:fldCharType="end"/>
      </w:r>
    </w:p>
    <w:p>
      <w:pPr>
        <w:tabs>
          <w:tab w:val="left" w:pos="540"/>
        </w:tabs>
        <w:adjustRightInd w:val="0"/>
        <w:snapToGrid w:val="0"/>
        <w:spacing w:line="560" w:lineRule="exact"/>
        <w:ind w:firstLine="562" w:firstLineChars="200"/>
        <w:jc w:val="center"/>
        <w:rPr>
          <w:rFonts w:eastAsia="仿宋_GB2312"/>
          <w:b/>
          <w:color w:val="000000"/>
          <w:sz w:val="28"/>
          <w:szCs w:val="28"/>
        </w:rPr>
      </w:pPr>
      <w:r>
        <w:rPr>
          <w:rFonts w:eastAsia="仿宋_GB2312"/>
          <w:b/>
          <w:color w:val="000000"/>
          <w:sz w:val="28"/>
          <w:szCs w:val="28"/>
        </w:rPr>
        <w:fldChar w:fldCharType="end"/>
      </w:r>
    </w:p>
    <w:p>
      <w:pPr>
        <w:pStyle w:val="2"/>
        <w:spacing w:line="500" w:lineRule="exact"/>
        <w:ind w:left="0" w:firstLine="0"/>
        <w:jc w:val="center"/>
        <w:rPr>
          <w:rFonts w:ascii="Times New Roman" w:eastAsia="仿宋_GB2312"/>
          <w:color w:val="000000"/>
          <w:sz w:val="28"/>
        </w:rPr>
      </w:pPr>
      <w:r>
        <w:rPr>
          <w:rFonts w:ascii="Times New Roman" w:eastAsia="仿宋_GB2312"/>
          <w:b w:val="0"/>
          <w:color w:val="000000"/>
          <w:sz w:val="28"/>
        </w:rPr>
        <w:br w:type="page"/>
      </w:r>
      <w:bookmarkStart w:id="0" w:name="_Toc427611313"/>
      <w:bookmarkStart w:id="1" w:name="_Toc23344707"/>
      <w:bookmarkStart w:id="2" w:name="_Toc36713635"/>
      <w:bookmarkStart w:id="3" w:name="_Toc36552782"/>
      <w:bookmarkStart w:id="4" w:name="_Toc427611547"/>
      <w:r>
        <w:rPr>
          <w:rFonts w:ascii="Times New Roman" w:eastAsia="仿宋_GB2312"/>
          <w:color w:val="000000"/>
          <w:sz w:val="28"/>
        </w:rPr>
        <w:t>一、估价师声明</w:t>
      </w:r>
      <w:bookmarkEnd w:id="0"/>
      <w:bookmarkEnd w:id="1"/>
      <w:bookmarkEnd w:id="2"/>
      <w:bookmarkEnd w:id="3"/>
      <w:bookmarkEnd w:id="4"/>
    </w:p>
    <w:p>
      <w:pPr>
        <w:spacing w:line="500" w:lineRule="exact"/>
        <w:rPr>
          <w:rFonts w:eastAsia="仿宋_GB2312"/>
          <w:color w:val="000000"/>
          <w:sz w:val="28"/>
        </w:rPr>
      </w:pPr>
      <w:r>
        <w:rPr>
          <w:rFonts w:eastAsia="仿宋_GB2312"/>
          <w:color w:val="000000"/>
          <w:sz w:val="28"/>
        </w:rPr>
        <w:t>我们郑重声明：</w:t>
      </w:r>
    </w:p>
    <w:p>
      <w:pPr>
        <w:numPr>
          <w:ilvl w:val="0"/>
          <w:numId w:val="2"/>
        </w:numPr>
        <w:spacing w:line="500" w:lineRule="exact"/>
        <w:rPr>
          <w:rFonts w:eastAsia="仿宋_GB2312"/>
          <w:color w:val="000000"/>
          <w:sz w:val="28"/>
        </w:rPr>
      </w:pPr>
      <w:r>
        <w:rPr>
          <w:rFonts w:eastAsia="仿宋_GB2312"/>
          <w:sz w:val="28"/>
        </w:rPr>
        <w:t>注册房地产估价师在估价报告中对事实的说明是真实和准确的，没有虚假记载、误导性</w:t>
      </w:r>
      <w:r>
        <w:rPr>
          <w:rFonts w:eastAsia="仿宋_GB2312"/>
          <w:color w:val="000000"/>
          <w:sz w:val="28"/>
        </w:rPr>
        <w:t>陈述和重大遗漏。</w:t>
      </w:r>
    </w:p>
    <w:p>
      <w:pPr>
        <w:numPr>
          <w:ilvl w:val="0"/>
          <w:numId w:val="2"/>
        </w:numPr>
        <w:spacing w:line="500" w:lineRule="exact"/>
        <w:rPr>
          <w:rFonts w:eastAsia="仿宋_GB2312"/>
          <w:color w:val="000000"/>
          <w:sz w:val="28"/>
        </w:rPr>
      </w:pPr>
      <w:r>
        <w:rPr>
          <w:rFonts w:eastAsia="仿宋_GB2312"/>
          <w:color w:val="000000"/>
          <w:sz w:val="28"/>
        </w:rPr>
        <w:t>本估价报告中的分析、意见和结论是注册房地产估价师独立、客观、公正的专业分析、意见和结论，但受到本估价报告中已说明的估价假设和限制条件的限制。</w:t>
      </w:r>
    </w:p>
    <w:p>
      <w:pPr>
        <w:numPr>
          <w:ilvl w:val="0"/>
          <w:numId w:val="2"/>
        </w:numPr>
        <w:spacing w:line="500" w:lineRule="exact"/>
        <w:rPr>
          <w:rFonts w:eastAsia="仿宋_GB2312"/>
          <w:color w:val="000000"/>
          <w:sz w:val="28"/>
        </w:rPr>
      </w:pPr>
      <w:r>
        <w:rPr>
          <w:rFonts w:eastAsia="仿宋_GB2312"/>
          <w:color w:val="000000"/>
          <w:sz w:val="28"/>
        </w:rPr>
        <w:t>注册房地产估价师与本估价报告中的估价对象没有现实或潜在的利益，与估价委托人及估价利害关系人没有利害关系。</w:t>
      </w:r>
    </w:p>
    <w:p>
      <w:pPr>
        <w:numPr>
          <w:ilvl w:val="0"/>
          <w:numId w:val="2"/>
        </w:numPr>
        <w:spacing w:line="500" w:lineRule="exact"/>
        <w:rPr>
          <w:rFonts w:eastAsia="仿宋_GB2312"/>
          <w:color w:val="000000"/>
          <w:sz w:val="28"/>
        </w:rPr>
      </w:pPr>
      <w:r>
        <w:rPr>
          <w:rFonts w:eastAsia="仿宋_GB2312"/>
          <w:color w:val="000000"/>
          <w:sz w:val="28"/>
        </w:rPr>
        <w:t>注册房地产估价师对估价报告中的估价对象、估价委托人及估价利害关系人没有偏见。</w:t>
      </w:r>
    </w:p>
    <w:p>
      <w:pPr>
        <w:numPr>
          <w:ilvl w:val="0"/>
          <w:numId w:val="2"/>
        </w:numPr>
        <w:spacing w:line="500" w:lineRule="exact"/>
        <w:ind w:left="560" w:hanging="560" w:hangingChars="200"/>
        <w:rPr>
          <w:rFonts w:eastAsia="仿宋_GB2312"/>
          <w:color w:val="000000"/>
          <w:sz w:val="28"/>
        </w:rPr>
      </w:pPr>
      <w:r>
        <w:rPr>
          <w:rFonts w:eastAsia="仿宋_GB2312"/>
          <w:color w:val="000000"/>
          <w:sz w:val="28"/>
        </w:rPr>
        <w:t>注册房地产估价师是依照中华人民共和国国家标准《房地产估价规范》（GB/T 50291-2015）、《房地产估价基本术语标准》（GB/T 50899-2013）以及相关房地产估价专项标准进行分析，形成意见和结论，撰写本估价报告。</w:t>
      </w:r>
    </w:p>
    <w:p>
      <w:pPr>
        <w:numPr>
          <w:ilvl w:val="0"/>
          <w:numId w:val="2"/>
        </w:numPr>
        <w:spacing w:line="500" w:lineRule="exact"/>
        <w:rPr>
          <w:rFonts w:eastAsia="仿宋_GB2312"/>
          <w:color w:val="000000"/>
          <w:sz w:val="28"/>
        </w:rPr>
      </w:pPr>
      <w:r>
        <w:rPr>
          <w:rFonts w:eastAsia="仿宋_GB2312"/>
          <w:color w:val="000000"/>
          <w:sz w:val="28"/>
        </w:rPr>
        <w:t>估价人员</w:t>
      </w:r>
      <w:r>
        <w:rPr>
          <w:rFonts w:eastAsia="仿宋_GB2312"/>
          <w:sz w:val="28"/>
        </w:rPr>
        <w:t>已于2020年03月16日对</w:t>
      </w:r>
      <w:r>
        <w:rPr>
          <w:rFonts w:eastAsia="仿宋_GB2312"/>
          <w:color w:val="000000"/>
          <w:sz w:val="28"/>
        </w:rPr>
        <w:t>估价报告中的估价对象进行了实地查勘。</w:t>
      </w:r>
    </w:p>
    <w:p>
      <w:pPr>
        <w:numPr>
          <w:ilvl w:val="0"/>
          <w:numId w:val="2"/>
        </w:numPr>
        <w:spacing w:line="500" w:lineRule="exact"/>
        <w:rPr>
          <w:rFonts w:eastAsia="仿宋_GB2312"/>
          <w:color w:val="000000"/>
          <w:sz w:val="28"/>
        </w:rPr>
      </w:pPr>
      <w:r>
        <w:rPr>
          <w:rFonts w:eastAsia="仿宋_GB2312"/>
          <w:color w:val="000000"/>
          <w:sz w:val="28"/>
        </w:rPr>
        <w:t>在本次估价报告撰写过程中，没有外部专家和单位对本估价报告提供过重要专业帮助。</w:t>
      </w:r>
    </w:p>
    <w:p>
      <w:pPr>
        <w:numPr>
          <w:ilvl w:val="0"/>
          <w:numId w:val="2"/>
        </w:numPr>
        <w:spacing w:line="500" w:lineRule="exact"/>
        <w:rPr>
          <w:rFonts w:eastAsia="仿宋_GB2312"/>
          <w:color w:val="000000"/>
          <w:sz w:val="28"/>
        </w:rPr>
      </w:pPr>
      <w:r>
        <w:rPr>
          <w:rFonts w:eastAsia="仿宋_GB2312"/>
          <w:color w:val="000000"/>
          <w:sz w:val="28"/>
        </w:rPr>
        <w:t>注册房地产估价师在估价作业过程中严格遵守职业道德。</w:t>
      </w:r>
    </w:p>
    <w:p>
      <w:pPr>
        <w:spacing w:line="500" w:lineRule="exact"/>
        <w:jc w:val="center"/>
        <w:rPr>
          <w:rFonts w:eastAsia="仿宋_GB2312"/>
          <w:sz w:val="28"/>
          <w:szCs w:val="28"/>
        </w:rPr>
      </w:pPr>
      <w:r>
        <w:rPr>
          <w:rFonts w:eastAsia="仿宋_GB2312"/>
          <w:sz w:val="28"/>
          <w:szCs w:val="28"/>
        </w:rPr>
        <w:t>注册房地产估价师</w:t>
      </w:r>
    </w:p>
    <w:tbl>
      <w:tblPr>
        <w:tblStyle w:val="25"/>
        <w:tblW w:w="932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2268"/>
        <w:gridCol w:w="2268"/>
        <w:gridCol w:w="26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67" w:hRule="atLeast"/>
          <w:jc w:val="center"/>
        </w:trPr>
        <w:tc>
          <w:tcPr>
            <w:tcW w:w="2110" w:type="dxa"/>
            <w:tcBorders>
              <w:tl2br w:val="nil"/>
              <w:tr2bl w:val="nil"/>
            </w:tcBorders>
            <w:vAlign w:val="center"/>
          </w:tcPr>
          <w:p>
            <w:pPr>
              <w:spacing w:line="600" w:lineRule="exact"/>
              <w:jc w:val="center"/>
              <w:rPr>
                <w:rFonts w:eastAsia="仿宋_GB2312"/>
                <w:sz w:val="28"/>
                <w:szCs w:val="28"/>
              </w:rPr>
            </w:pPr>
            <w:r>
              <w:rPr>
                <w:rFonts w:eastAsia="仿宋_GB2312"/>
                <w:sz w:val="28"/>
                <w:szCs w:val="28"/>
              </w:rPr>
              <w:t>姓名</w:t>
            </w:r>
          </w:p>
        </w:tc>
        <w:tc>
          <w:tcPr>
            <w:tcW w:w="2268" w:type="dxa"/>
            <w:tcBorders>
              <w:tl2br w:val="nil"/>
              <w:tr2bl w:val="nil"/>
            </w:tcBorders>
            <w:vAlign w:val="center"/>
          </w:tcPr>
          <w:p>
            <w:pPr>
              <w:spacing w:line="600" w:lineRule="exact"/>
              <w:jc w:val="center"/>
              <w:rPr>
                <w:rFonts w:eastAsia="仿宋_GB2312"/>
                <w:sz w:val="28"/>
                <w:szCs w:val="28"/>
              </w:rPr>
            </w:pPr>
            <w:r>
              <w:rPr>
                <w:rFonts w:eastAsia="仿宋_GB2312"/>
                <w:sz w:val="28"/>
                <w:szCs w:val="28"/>
              </w:rPr>
              <w:t>注册号</w:t>
            </w:r>
          </w:p>
        </w:tc>
        <w:tc>
          <w:tcPr>
            <w:tcW w:w="2268" w:type="dxa"/>
            <w:tcBorders>
              <w:tl2br w:val="nil"/>
              <w:tr2bl w:val="nil"/>
            </w:tcBorders>
            <w:vAlign w:val="center"/>
          </w:tcPr>
          <w:p>
            <w:pPr>
              <w:spacing w:line="600" w:lineRule="exact"/>
              <w:jc w:val="center"/>
              <w:rPr>
                <w:rFonts w:eastAsia="仿宋_GB2312"/>
                <w:sz w:val="28"/>
                <w:szCs w:val="28"/>
              </w:rPr>
            </w:pPr>
            <w:r>
              <w:rPr>
                <w:rFonts w:eastAsia="仿宋_GB2312"/>
                <w:sz w:val="28"/>
                <w:szCs w:val="28"/>
              </w:rPr>
              <w:t>签字</w:t>
            </w:r>
          </w:p>
        </w:tc>
        <w:tc>
          <w:tcPr>
            <w:tcW w:w="2676" w:type="dxa"/>
            <w:tcBorders>
              <w:tl2br w:val="nil"/>
              <w:tr2bl w:val="nil"/>
            </w:tcBorders>
            <w:vAlign w:val="center"/>
          </w:tcPr>
          <w:p>
            <w:pPr>
              <w:spacing w:line="600" w:lineRule="exact"/>
              <w:jc w:val="center"/>
              <w:rPr>
                <w:rFonts w:eastAsia="仿宋_GB2312"/>
                <w:sz w:val="28"/>
                <w:szCs w:val="28"/>
              </w:rPr>
            </w:pPr>
            <w:r>
              <w:rPr>
                <w:rFonts w:eastAsia="仿宋_GB2312"/>
                <w:sz w:val="28"/>
                <w:szCs w:val="28"/>
              </w:rPr>
              <w:t>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2110" w:type="dxa"/>
            <w:tcBorders>
              <w:tl2br w:val="nil"/>
              <w:tr2bl w:val="nil"/>
            </w:tcBorders>
            <w:vAlign w:val="center"/>
          </w:tcPr>
          <w:p>
            <w:pPr>
              <w:spacing w:line="500" w:lineRule="exact"/>
              <w:jc w:val="center"/>
              <w:rPr>
                <w:rFonts w:eastAsia="仿宋_GB2312"/>
                <w:sz w:val="28"/>
                <w:szCs w:val="28"/>
              </w:rPr>
            </w:pPr>
            <w:r>
              <w:rPr>
                <w:rFonts w:eastAsia="仿宋_GB2312"/>
                <w:sz w:val="28"/>
                <w:szCs w:val="28"/>
              </w:rPr>
              <w:t>高</w:t>
            </w:r>
            <w:r>
              <w:rPr>
                <w:rFonts w:hint="eastAsia" w:eastAsia="仿宋_GB2312"/>
                <w:sz w:val="28"/>
                <w:szCs w:val="28"/>
              </w:rPr>
              <w:t xml:space="preserve"> </w:t>
            </w:r>
            <w:r>
              <w:rPr>
                <w:rFonts w:eastAsia="仿宋_GB2312"/>
                <w:sz w:val="28"/>
                <w:szCs w:val="28"/>
              </w:rPr>
              <w:t>娜</w:t>
            </w:r>
          </w:p>
        </w:tc>
        <w:tc>
          <w:tcPr>
            <w:tcW w:w="2268" w:type="dxa"/>
            <w:tcBorders>
              <w:tl2br w:val="nil"/>
              <w:tr2bl w:val="nil"/>
            </w:tcBorders>
            <w:vAlign w:val="center"/>
          </w:tcPr>
          <w:p>
            <w:pPr>
              <w:spacing w:line="500" w:lineRule="exact"/>
              <w:jc w:val="center"/>
              <w:rPr>
                <w:rFonts w:eastAsia="仿宋_GB2312"/>
                <w:sz w:val="28"/>
                <w:szCs w:val="28"/>
              </w:rPr>
            </w:pPr>
            <w:r>
              <w:rPr>
                <w:rFonts w:eastAsia="仿宋_GB2312"/>
                <w:sz w:val="28"/>
              </w:rPr>
              <w:t>3620180023</w:t>
            </w:r>
          </w:p>
        </w:tc>
        <w:tc>
          <w:tcPr>
            <w:tcW w:w="2268" w:type="dxa"/>
            <w:tcBorders>
              <w:tl2br w:val="nil"/>
              <w:tr2bl w:val="nil"/>
            </w:tcBorders>
            <w:vAlign w:val="center"/>
          </w:tcPr>
          <w:p>
            <w:pPr>
              <w:spacing w:line="600" w:lineRule="exact"/>
              <w:jc w:val="center"/>
              <w:rPr>
                <w:rFonts w:eastAsia="仿宋_GB2312"/>
                <w:sz w:val="28"/>
                <w:szCs w:val="28"/>
              </w:rPr>
            </w:pPr>
          </w:p>
        </w:tc>
        <w:tc>
          <w:tcPr>
            <w:tcW w:w="2676" w:type="dxa"/>
            <w:tcBorders>
              <w:tl2br w:val="nil"/>
              <w:tr2bl w:val="nil"/>
            </w:tcBorders>
            <w:vAlign w:val="center"/>
          </w:tcPr>
          <w:p>
            <w:pPr>
              <w:spacing w:line="600" w:lineRule="exact"/>
              <w:jc w:val="center"/>
              <w:rPr>
                <w:rFonts w:eastAsia="仿宋_GB2312"/>
                <w:sz w:val="28"/>
                <w:szCs w:val="28"/>
              </w:rPr>
            </w:pPr>
            <w:r>
              <w:rPr>
                <w:rFonts w:eastAsia="仿宋_GB2312"/>
                <w:sz w:val="28"/>
                <w:szCs w:val="28"/>
              </w:rPr>
              <w:t>2020年03月24日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110" w:type="dxa"/>
            <w:tcBorders>
              <w:tl2br w:val="nil"/>
              <w:tr2bl w:val="nil"/>
            </w:tcBorders>
            <w:vAlign w:val="center"/>
          </w:tcPr>
          <w:p>
            <w:pPr>
              <w:spacing w:line="500" w:lineRule="exact"/>
              <w:jc w:val="center"/>
              <w:rPr>
                <w:rFonts w:eastAsia="仿宋_GB2312"/>
                <w:sz w:val="28"/>
                <w:szCs w:val="28"/>
              </w:rPr>
            </w:pPr>
            <w:r>
              <w:rPr>
                <w:rFonts w:eastAsia="仿宋_GB2312"/>
                <w:sz w:val="28"/>
                <w:szCs w:val="28"/>
              </w:rPr>
              <w:t>曾国盛</w:t>
            </w:r>
          </w:p>
        </w:tc>
        <w:tc>
          <w:tcPr>
            <w:tcW w:w="2268" w:type="dxa"/>
            <w:tcBorders>
              <w:tl2br w:val="nil"/>
              <w:tr2bl w:val="nil"/>
            </w:tcBorders>
            <w:vAlign w:val="center"/>
          </w:tcPr>
          <w:p>
            <w:pPr>
              <w:spacing w:line="500" w:lineRule="exact"/>
              <w:jc w:val="center"/>
              <w:rPr>
                <w:rFonts w:eastAsia="仿宋_GB2312"/>
                <w:sz w:val="28"/>
                <w:szCs w:val="28"/>
              </w:rPr>
            </w:pPr>
            <w:r>
              <w:rPr>
                <w:rFonts w:eastAsia="仿宋_GB2312"/>
                <w:sz w:val="28"/>
              </w:rPr>
              <w:t>3620140027</w:t>
            </w:r>
          </w:p>
        </w:tc>
        <w:tc>
          <w:tcPr>
            <w:tcW w:w="2268" w:type="dxa"/>
            <w:tcBorders>
              <w:tl2br w:val="nil"/>
              <w:tr2bl w:val="nil"/>
            </w:tcBorders>
            <w:vAlign w:val="center"/>
          </w:tcPr>
          <w:p>
            <w:pPr>
              <w:spacing w:line="600" w:lineRule="exact"/>
              <w:jc w:val="center"/>
              <w:rPr>
                <w:rFonts w:eastAsia="仿宋_GB2312"/>
                <w:sz w:val="28"/>
                <w:szCs w:val="28"/>
              </w:rPr>
            </w:pPr>
          </w:p>
        </w:tc>
        <w:tc>
          <w:tcPr>
            <w:tcW w:w="2676" w:type="dxa"/>
            <w:tcBorders>
              <w:tl2br w:val="nil"/>
              <w:tr2bl w:val="nil"/>
            </w:tcBorders>
            <w:vAlign w:val="center"/>
          </w:tcPr>
          <w:p>
            <w:pPr>
              <w:spacing w:line="600" w:lineRule="exact"/>
              <w:jc w:val="center"/>
              <w:rPr>
                <w:rFonts w:eastAsia="仿宋_GB2312"/>
                <w:sz w:val="28"/>
                <w:szCs w:val="28"/>
              </w:rPr>
            </w:pPr>
            <w:r>
              <w:rPr>
                <w:rFonts w:eastAsia="仿宋_GB2312"/>
                <w:sz w:val="28"/>
                <w:szCs w:val="28"/>
              </w:rPr>
              <w:t>2020年03月24日</w:t>
            </w:r>
          </w:p>
        </w:tc>
      </w:tr>
    </w:tbl>
    <w:p>
      <w:pPr>
        <w:spacing w:line="500" w:lineRule="exact"/>
        <w:jc w:val="center"/>
        <w:rPr>
          <w:rFonts w:eastAsia="仿宋_GB2312"/>
          <w:color w:val="000000"/>
          <w:sz w:val="28"/>
        </w:rPr>
      </w:pPr>
    </w:p>
    <w:p>
      <w:pPr>
        <w:spacing w:line="500" w:lineRule="exact"/>
        <w:jc w:val="center"/>
        <w:rPr>
          <w:rFonts w:eastAsia="仿宋_GB2312"/>
          <w:color w:val="000000"/>
          <w:sz w:val="28"/>
        </w:rPr>
      </w:pPr>
    </w:p>
    <w:p>
      <w:pPr>
        <w:pStyle w:val="2"/>
        <w:spacing w:line="500" w:lineRule="exact"/>
        <w:ind w:left="0" w:firstLine="0"/>
        <w:jc w:val="center"/>
        <w:rPr>
          <w:rFonts w:ascii="Times New Roman" w:eastAsia="仿宋_GB2312"/>
          <w:color w:val="000000"/>
          <w:sz w:val="28"/>
        </w:rPr>
      </w:pPr>
      <w:r>
        <w:rPr>
          <w:rFonts w:ascii="Times New Roman" w:eastAsia="仿宋_GB2312"/>
          <w:color w:val="000000"/>
          <w:sz w:val="28"/>
        </w:rPr>
        <w:br w:type="page"/>
      </w:r>
      <w:bookmarkStart w:id="5" w:name="_Toc427611548"/>
      <w:bookmarkStart w:id="6" w:name="_Toc427611314"/>
      <w:bookmarkStart w:id="7" w:name="_Toc36713636"/>
      <w:bookmarkStart w:id="8" w:name="_Toc23344708"/>
      <w:bookmarkStart w:id="9" w:name="_Toc36552783"/>
      <w:r>
        <w:rPr>
          <w:rFonts w:ascii="Times New Roman" w:eastAsia="仿宋_GB2312"/>
          <w:color w:val="000000"/>
          <w:sz w:val="28"/>
        </w:rPr>
        <w:t>二、估价假设和限制条件</w:t>
      </w:r>
      <w:bookmarkEnd w:id="5"/>
      <w:bookmarkEnd w:id="6"/>
      <w:bookmarkEnd w:id="7"/>
      <w:bookmarkEnd w:id="8"/>
      <w:bookmarkEnd w:id="9"/>
    </w:p>
    <w:tbl>
      <w:tblPr>
        <w:tblStyle w:val="25"/>
        <w:tblW w:w="5000" w:type="pct"/>
        <w:tblInd w:w="0" w:type="dxa"/>
        <w:tblLayout w:type="autofit"/>
        <w:tblCellMar>
          <w:top w:w="0" w:type="dxa"/>
          <w:left w:w="108" w:type="dxa"/>
          <w:bottom w:w="0" w:type="dxa"/>
          <w:right w:w="108" w:type="dxa"/>
        </w:tblCellMar>
      </w:tblPr>
      <w:tblGrid>
        <w:gridCol w:w="9242"/>
      </w:tblGrid>
      <w:tr>
        <w:tblPrEx>
          <w:tblCellMar>
            <w:top w:w="0" w:type="dxa"/>
            <w:left w:w="108" w:type="dxa"/>
            <w:bottom w:w="0" w:type="dxa"/>
            <w:right w:w="108" w:type="dxa"/>
          </w:tblCellMar>
        </w:tblPrEx>
        <w:trPr>
          <w:trHeight w:val="620" w:hRule="atLeast"/>
        </w:trPr>
        <w:tc>
          <w:tcPr>
            <w:tcW w:w="5000" w:type="pct"/>
            <w:vAlign w:val="center"/>
          </w:tcPr>
          <w:p>
            <w:pPr>
              <w:spacing w:line="500" w:lineRule="exact"/>
              <w:rPr>
                <w:rFonts w:eastAsia="仿宋_GB2312"/>
                <w:b/>
                <w:color w:val="000000"/>
                <w:sz w:val="28"/>
                <w:szCs w:val="28"/>
              </w:rPr>
            </w:pPr>
            <w:r>
              <w:rPr>
                <w:rFonts w:eastAsia="仿宋_GB2312"/>
                <w:b/>
                <w:color w:val="000000"/>
                <w:sz w:val="28"/>
                <w:szCs w:val="28"/>
              </w:rPr>
              <w:t>（一）估价假设</w:t>
            </w:r>
          </w:p>
        </w:tc>
      </w:tr>
      <w:tr>
        <w:tblPrEx>
          <w:tblCellMar>
            <w:top w:w="0" w:type="dxa"/>
            <w:left w:w="108" w:type="dxa"/>
            <w:bottom w:w="0" w:type="dxa"/>
            <w:right w:w="108" w:type="dxa"/>
          </w:tblCellMar>
        </w:tblPrEx>
        <w:tc>
          <w:tcPr>
            <w:tcW w:w="5000" w:type="pct"/>
            <w:vAlign w:val="center"/>
          </w:tcPr>
          <w:p>
            <w:pPr>
              <w:spacing w:line="500" w:lineRule="exact"/>
              <w:ind w:firstLine="562" w:firstLineChars="200"/>
              <w:rPr>
                <w:rFonts w:eastAsia="仿宋"/>
                <w:b/>
                <w:sz w:val="28"/>
                <w:szCs w:val="28"/>
              </w:rPr>
            </w:pPr>
            <w:r>
              <w:rPr>
                <w:rFonts w:eastAsia="仿宋"/>
                <w:b/>
                <w:sz w:val="28"/>
                <w:szCs w:val="28"/>
              </w:rPr>
              <w:t>一般假设：</w:t>
            </w:r>
          </w:p>
          <w:p>
            <w:pPr>
              <w:spacing w:line="500" w:lineRule="exact"/>
              <w:ind w:firstLine="560" w:firstLineChars="200"/>
              <w:rPr>
                <w:rFonts w:eastAsia="仿宋_GB2312"/>
                <w:color w:val="000000"/>
                <w:sz w:val="28"/>
                <w:szCs w:val="28"/>
              </w:rPr>
            </w:pPr>
            <w:r>
              <w:rPr>
                <w:rFonts w:eastAsia="仿宋_GB2312"/>
                <w:color w:val="000000"/>
                <w:sz w:val="28"/>
                <w:szCs w:val="28"/>
              </w:rPr>
              <w:t>1．假定任何有关估价对象的运作方式、程序符合国家、地方的有关法律、法规。在价值时点时，估价对象权属合法、清晰、无争议，并能够正常上市交易。</w:t>
            </w:r>
          </w:p>
          <w:p>
            <w:pPr>
              <w:spacing w:line="500" w:lineRule="exact"/>
              <w:ind w:firstLine="560" w:firstLineChars="200"/>
              <w:rPr>
                <w:rFonts w:eastAsia="仿宋_GB2312"/>
                <w:sz w:val="28"/>
                <w:szCs w:val="28"/>
              </w:rPr>
            </w:pPr>
            <w:r>
              <w:rPr>
                <w:rFonts w:eastAsia="仿宋_GB2312"/>
                <w:color w:val="000000"/>
                <w:sz w:val="28"/>
                <w:szCs w:val="28"/>
              </w:rPr>
              <w:t>2．</w:t>
            </w:r>
            <w:r>
              <w:rPr>
                <w:rFonts w:eastAsia="仿宋_GB2312"/>
                <w:sz w:val="28"/>
                <w:szCs w:val="28"/>
              </w:rPr>
              <w:t>假定在价值时点时的房地产市场状况是公开、平等、自愿的交易市场。</w:t>
            </w:r>
          </w:p>
          <w:p>
            <w:pPr>
              <w:spacing w:line="500" w:lineRule="exact"/>
              <w:ind w:firstLine="560" w:firstLineChars="200"/>
              <w:rPr>
                <w:rFonts w:eastAsia="仿宋_GB2312"/>
                <w:sz w:val="28"/>
                <w:szCs w:val="28"/>
              </w:rPr>
            </w:pPr>
            <w:r>
              <w:rPr>
                <w:rFonts w:eastAsia="仿宋_GB2312"/>
                <w:sz w:val="28"/>
                <w:szCs w:val="28"/>
              </w:rPr>
              <w:t>3．以产权人合法取得估价对象权属文件，且无权属纠纷，符合法律、法规规定，在市场上可转让为假设前提。</w:t>
            </w:r>
          </w:p>
          <w:p>
            <w:pPr>
              <w:spacing w:line="500" w:lineRule="exact"/>
              <w:ind w:firstLine="560" w:firstLineChars="200"/>
              <w:rPr>
                <w:rFonts w:eastAsia="仿宋_GB2312"/>
                <w:color w:val="000000"/>
                <w:sz w:val="28"/>
                <w:szCs w:val="28"/>
              </w:rPr>
            </w:pPr>
            <w:r>
              <w:rPr>
                <w:rFonts w:eastAsia="仿宋_GB2312"/>
                <w:color w:val="000000"/>
                <w:sz w:val="28"/>
                <w:szCs w:val="28"/>
              </w:rPr>
              <w:t>4．本次估价中，估价人员对估价对象进行了实地查勘，同时对房屋安全、建筑质量、环境污染状况给予了必要关注，估价人员无理由怀疑估价对象存在安全隐患且无相应的专业机构进行鉴定和检测，故假定估价对象房屋是安全的，周边环境是安全。</w:t>
            </w:r>
          </w:p>
          <w:p>
            <w:pPr>
              <w:spacing w:line="500" w:lineRule="exact"/>
              <w:ind w:firstLine="560" w:firstLineChars="200"/>
              <w:rPr>
                <w:rFonts w:eastAsia="仿宋_GB2312"/>
                <w:color w:val="FF0000"/>
                <w:sz w:val="28"/>
                <w:szCs w:val="28"/>
              </w:rPr>
            </w:pPr>
            <w:r>
              <w:rPr>
                <w:rFonts w:eastAsia="仿宋_GB2312"/>
                <w:color w:val="000000"/>
                <w:sz w:val="28"/>
                <w:szCs w:val="28"/>
              </w:rPr>
              <w:t>5．</w:t>
            </w:r>
            <w:r>
              <w:rPr>
                <w:rFonts w:eastAsia="仿宋_GB2312"/>
                <w:sz w:val="28"/>
                <w:szCs w:val="28"/>
              </w:rPr>
              <w:t>估价人员对估价委托人提供的估价相关资料进行了审慎检查，无理由怀疑估价委托人提供的情况和资料的合法性、真实性、准确性和完整性，但未向政府有关部门核实和查证，故假定估价委托人所提供资料是合法、真实、准确和完整的，估价委托人对其提供资料的合法性、真实性、准确性和完整性负责。</w:t>
            </w:r>
          </w:p>
          <w:p>
            <w:pPr>
              <w:spacing w:line="500" w:lineRule="exact"/>
              <w:ind w:firstLine="560" w:firstLineChars="200"/>
              <w:rPr>
                <w:rFonts w:eastAsia="仿宋_GB2312"/>
                <w:color w:val="000000" w:themeColor="text1"/>
                <w:sz w:val="28"/>
                <w:szCs w:val="28"/>
              </w:rPr>
            </w:pPr>
            <w:r>
              <w:rPr>
                <w:rFonts w:eastAsia="仿宋_GB2312"/>
                <w:color w:val="000000" w:themeColor="text1"/>
                <w:sz w:val="28"/>
                <w:szCs w:val="28"/>
              </w:rPr>
              <w:t>6</w:t>
            </w:r>
            <w:r>
              <w:rPr>
                <w:rFonts w:eastAsia="仿宋_GB2312"/>
                <w:sz w:val="28"/>
                <w:szCs w:val="28"/>
              </w:rPr>
              <w:t>．</w:t>
            </w:r>
            <w:r>
              <w:rPr>
                <w:rFonts w:eastAsia="仿宋_GB2312"/>
                <w:color w:val="000000" w:themeColor="text1"/>
                <w:sz w:val="28"/>
                <w:szCs w:val="28"/>
              </w:rPr>
              <w:t>本估价报告中的估价对象房地产市场价值，未考虑快速变现等处分方式和估价对象被司法查封等带来的影响，也未考虑估价对象可能存在的原有租赁权和用益物权的影响。</w:t>
            </w:r>
          </w:p>
          <w:p>
            <w:pPr>
              <w:spacing w:line="500" w:lineRule="exact"/>
              <w:ind w:firstLine="560" w:firstLineChars="200"/>
              <w:rPr>
                <w:rFonts w:eastAsia="仿宋_GB2312"/>
                <w:color w:val="000000" w:themeColor="text1"/>
                <w:sz w:val="28"/>
                <w:szCs w:val="28"/>
              </w:rPr>
            </w:pPr>
            <w:r>
              <w:rPr>
                <w:rFonts w:eastAsia="仿宋_GB2312"/>
                <w:color w:val="000000" w:themeColor="text1"/>
                <w:sz w:val="28"/>
                <w:szCs w:val="28"/>
              </w:rPr>
              <w:t>7</w:t>
            </w:r>
            <w:r>
              <w:rPr>
                <w:rFonts w:eastAsia="仿宋_GB2312"/>
                <w:sz w:val="28"/>
                <w:szCs w:val="28"/>
              </w:rPr>
              <w:t>．</w:t>
            </w:r>
            <w:r>
              <w:rPr>
                <w:rFonts w:eastAsia="仿宋_GB2312"/>
                <w:color w:val="000000" w:themeColor="text1"/>
                <w:sz w:val="28"/>
                <w:szCs w:val="28"/>
              </w:rPr>
              <w:t>估价委托人提供的《房屋所有权证》，</w:t>
            </w:r>
            <w:r>
              <w:rPr>
                <w:rFonts w:hint="eastAsia" w:eastAsia="仿宋_GB2312"/>
                <w:color w:val="000000" w:themeColor="text1"/>
                <w:sz w:val="28"/>
                <w:szCs w:val="28"/>
              </w:rPr>
              <w:t>证载</w:t>
            </w:r>
            <w:r>
              <w:rPr>
                <w:rFonts w:eastAsia="仿宋_GB2312"/>
                <w:color w:val="000000" w:themeColor="text1"/>
                <w:sz w:val="28"/>
                <w:szCs w:val="28"/>
              </w:rPr>
              <w:t>用途一</w:t>
            </w:r>
            <w:r>
              <w:rPr>
                <w:rFonts w:hint="eastAsia" w:eastAsia="仿宋_GB2312"/>
                <w:color w:val="000000" w:themeColor="text1"/>
                <w:sz w:val="28"/>
                <w:szCs w:val="28"/>
              </w:rPr>
              <w:t>、</w:t>
            </w:r>
            <w:r>
              <w:rPr>
                <w:rFonts w:eastAsia="仿宋_GB2312"/>
                <w:color w:val="000000" w:themeColor="text1"/>
                <w:sz w:val="28"/>
                <w:szCs w:val="28"/>
              </w:rPr>
              <w:t>二层为</w:t>
            </w:r>
            <w:r>
              <w:rPr>
                <w:rFonts w:hint="eastAsia" w:eastAsia="仿宋_GB2312"/>
                <w:color w:val="000000" w:themeColor="text1"/>
                <w:sz w:val="28"/>
                <w:szCs w:val="28"/>
              </w:rPr>
              <w:t>商住，三、四层为住宅，</w:t>
            </w:r>
            <w:r>
              <w:rPr>
                <w:rFonts w:eastAsia="仿宋_GB2312"/>
                <w:color w:val="000000" w:themeColor="text1"/>
                <w:sz w:val="28"/>
                <w:szCs w:val="28"/>
              </w:rPr>
              <w:t>《</w:t>
            </w:r>
            <w:r>
              <w:rPr>
                <w:rFonts w:hint="eastAsia" w:eastAsia="仿宋_GB2312"/>
                <w:color w:val="000000" w:themeColor="text1"/>
                <w:sz w:val="28"/>
                <w:szCs w:val="28"/>
              </w:rPr>
              <w:t>国有</w:t>
            </w:r>
            <w:r>
              <w:rPr>
                <w:rFonts w:eastAsia="仿宋_GB2312"/>
                <w:color w:val="000000" w:themeColor="text1"/>
                <w:sz w:val="28"/>
                <w:szCs w:val="28"/>
              </w:rPr>
              <w:t>土地使用证》</w:t>
            </w:r>
            <w:r>
              <w:rPr>
                <w:rFonts w:hint="eastAsia" w:eastAsia="仿宋_GB2312"/>
                <w:color w:val="000000" w:themeColor="text1"/>
                <w:sz w:val="28"/>
                <w:szCs w:val="28"/>
              </w:rPr>
              <w:t>上证载</w:t>
            </w:r>
            <w:r>
              <w:rPr>
                <w:rFonts w:eastAsia="仿宋_GB2312"/>
                <w:color w:val="000000" w:themeColor="text1"/>
                <w:sz w:val="28"/>
                <w:szCs w:val="28"/>
              </w:rPr>
              <w:t>土地用途为</w:t>
            </w:r>
            <w:r>
              <w:rPr>
                <w:rFonts w:hint="eastAsia" w:eastAsia="仿宋_GB2312"/>
                <w:color w:val="000000" w:themeColor="text1"/>
                <w:sz w:val="28"/>
                <w:szCs w:val="28"/>
              </w:rPr>
              <w:t>城镇住宅用地，此次评估一层按商业用途，二、三、四层为住宅用途</w:t>
            </w:r>
            <w:r>
              <w:rPr>
                <w:rFonts w:eastAsia="仿宋_GB2312"/>
                <w:color w:val="000000" w:themeColor="text1"/>
                <w:sz w:val="28"/>
                <w:szCs w:val="28"/>
              </w:rPr>
              <w:t>，</w:t>
            </w:r>
            <w:r>
              <w:rPr>
                <w:rFonts w:hint="eastAsia" w:eastAsia="仿宋_GB2312"/>
                <w:color w:val="000000" w:themeColor="text1"/>
                <w:sz w:val="28"/>
                <w:szCs w:val="28"/>
              </w:rPr>
              <w:t>另根据“房地产平面图”可知，一、二层房地产平面图相同；三、四层房地产平面图相同，故可计算出每层面积</w:t>
            </w:r>
            <w:r>
              <w:rPr>
                <w:rFonts w:eastAsia="仿宋_GB2312"/>
                <w:color w:val="000000" w:themeColor="text1"/>
                <w:sz w:val="28"/>
                <w:szCs w:val="28"/>
              </w:rPr>
              <w:t>。</w:t>
            </w:r>
          </w:p>
          <w:p>
            <w:pPr>
              <w:spacing w:line="500" w:lineRule="exact"/>
              <w:ind w:firstLine="560" w:firstLineChars="200"/>
              <w:rPr>
                <w:rFonts w:eastAsia="仿宋_GB2312"/>
                <w:color w:val="000000" w:themeColor="text1"/>
                <w:sz w:val="28"/>
                <w:szCs w:val="28"/>
              </w:rPr>
            </w:pPr>
            <w:r>
              <w:rPr>
                <w:rFonts w:eastAsia="仿宋_GB2312"/>
                <w:color w:val="000000" w:themeColor="text1"/>
                <w:sz w:val="28"/>
                <w:szCs w:val="28"/>
              </w:rPr>
              <w:t>8</w:t>
            </w:r>
            <w:r>
              <w:rPr>
                <w:rFonts w:eastAsia="仿宋_GB2312"/>
                <w:sz w:val="28"/>
                <w:szCs w:val="28"/>
              </w:rPr>
              <w:t>．</w:t>
            </w:r>
            <w:r>
              <w:rPr>
                <w:rFonts w:eastAsia="仿宋_GB2312"/>
                <w:color w:val="000000" w:themeColor="text1"/>
                <w:sz w:val="28"/>
                <w:szCs w:val="28"/>
              </w:rPr>
              <w:t>本估价报告中的估价对象房地产市场价值，未考虑估价对象可能存在的原有担保物权和其他优先受偿权的影响，也未考虑估价对象可能存在的物业管理费、水费、电费、气费等欠费。</w:t>
            </w:r>
          </w:p>
          <w:p>
            <w:pPr>
              <w:spacing w:line="500" w:lineRule="exact"/>
              <w:ind w:firstLine="562" w:firstLineChars="200"/>
              <w:rPr>
                <w:rFonts w:eastAsia="仿宋"/>
                <w:b/>
                <w:sz w:val="28"/>
                <w:szCs w:val="28"/>
              </w:rPr>
            </w:pPr>
            <w:r>
              <w:rPr>
                <w:rFonts w:eastAsia="仿宋"/>
                <w:b/>
                <w:sz w:val="28"/>
                <w:szCs w:val="28"/>
              </w:rPr>
              <w:t>背离事项假设：</w:t>
            </w:r>
          </w:p>
          <w:p>
            <w:pPr>
              <w:spacing w:line="500" w:lineRule="exact"/>
              <w:ind w:firstLine="560" w:firstLineChars="200"/>
              <w:rPr>
                <w:rFonts w:eastAsia="仿宋"/>
                <w:sz w:val="28"/>
                <w:szCs w:val="28"/>
              </w:rPr>
            </w:pPr>
            <w:r>
              <w:rPr>
                <w:rFonts w:eastAsia="仿宋_GB2312"/>
                <w:color w:val="000000" w:themeColor="text1"/>
                <w:sz w:val="28"/>
                <w:szCs w:val="28"/>
              </w:rPr>
              <w:t>本次估价报告不考虑评估对象被查封以及原有的担保物权和其他优先受偿权情况，视为没有查封、未设立担保物权及其他优先受偿权的财产进行评估</w:t>
            </w:r>
            <w:r>
              <w:rPr>
                <w:rFonts w:eastAsia="仿宋"/>
                <w:sz w:val="28"/>
                <w:szCs w:val="28"/>
              </w:rPr>
              <w:t>。</w:t>
            </w:r>
          </w:p>
          <w:p>
            <w:pPr>
              <w:spacing w:line="500" w:lineRule="exact"/>
              <w:ind w:firstLine="602" w:firstLineChars="200"/>
              <w:rPr>
                <w:rFonts w:eastAsia="仿宋_GB2312"/>
                <w:b/>
                <w:sz w:val="30"/>
                <w:szCs w:val="30"/>
              </w:rPr>
            </w:pPr>
            <w:r>
              <w:rPr>
                <w:rFonts w:eastAsia="仿宋_GB2312"/>
                <w:b/>
                <w:sz w:val="30"/>
                <w:szCs w:val="30"/>
              </w:rPr>
              <w:t>依据不足假设：</w:t>
            </w:r>
          </w:p>
          <w:p>
            <w:pPr>
              <w:spacing w:line="500" w:lineRule="exact"/>
              <w:ind w:firstLine="560" w:firstLineChars="200"/>
              <w:rPr>
                <w:rFonts w:eastAsia="仿宋"/>
                <w:sz w:val="28"/>
                <w:szCs w:val="28"/>
              </w:rPr>
            </w:pPr>
            <w:r>
              <w:rPr>
                <w:rFonts w:eastAsia="仿宋_GB2312"/>
                <w:color w:val="000000" w:themeColor="text1"/>
                <w:sz w:val="28"/>
                <w:szCs w:val="28"/>
              </w:rPr>
              <w:t>本次评估未掌握评估对象欠缴税费（含物业费、供暖费、水电气费等）的相关情况，故本次未考虑估价对象可能存在的物业管理费、水费、电费、气费等欠费</w:t>
            </w:r>
            <w:r>
              <w:rPr>
                <w:rFonts w:eastAsia="仿宋"/>
                <w:sz w:val="28"/>
                <w:szCs w:val="28"/>
              </w:rPr>
              <w:t>。</w:t>
            </w:r>
          </w:p>
          <w:p>
            <w:pPr>
              <w:spacing w:line="500" w:lineRule="exact"/>
              <w:ind w:firstLine="562" w:firstLineChars="200"/>
              <w:rPr>
                <w:rFonts w:eastAsia="仿宋_GB2312"/>
                <w:b/>
                <w:sz w:val="28"/>
                <w:szCs w:val="28"/>
              </w:rPr>
            </w:pPr>
            <w:r>
              <w:rPr>
                <w:rFonts w:eastAsia="仿宋_GB2312"/>
                <w:b/>
                <w:sz w:val="28"/>
                <w:szCs w:val="28"/>
              </w:rPr>
              <w:t>不相一致假设：</w:t>
            </w:r>
          </w:p>
          <w:p>
            <w:pPr>
              <w:spacing w:line="500" w:lineRule="exact"/>
              <w:ind w:firstLine="560" w:firstLineChars="200"/>
              <w:rPr>
                <w:rFonts w:eastAsia="仿宋_GB2312"/>
                <w:color w:val="000000" w:themeColor="text1"/>
                <w:sz w:val="28"/>
                <w:szCs w:val="28"/>
                <w:highlight w:val="darkCyan"/>
              </w:rPr>
            </w:pPr>
            <w:r>
              <w:rPr>
                <w:rFonts w:eastAsia="仿宋"/>
                <w:sz w:val="28"/>
                <w:szCs w:val="28"/>
              </w:rPr>
              <w:t>估价委托人提供的《房屋所有权证》房屋所有权人为柳桂林与袁理智，《国有土地使用证》土地使用权人为柳桂林。</w:t>
            </w:r>
          </w:p>
        </w:tc>
      </w:tr>
      <w:tr>
        <w:tblPrEx>
          <w:tblCellMar>
            <w:top w:w="0" w:type="dxa"/>
            <w:left w:w="108" w:type="dxa"/>
            <w:bottom w:w="0" w:type="dxa"/>
            <w:right w:w="108" w:type="dxa"/>
          </w:tblCellMar>
        </w:tblPrEx>
        <w:trPr>
          <w:trHeight w:val="664" w:hRule="atLeast"/>
        </w:trPr>
        <w:tc>
          <w:tcPr>
            <w:tcW w:w="5000" w:type="pct"/>
            <w:vAlign w:val="center"/>
          </w:tcPr>
          <w:p>
            <w:pPr>
              <w:spacing w:line="500" w:lineRule="exact"/>
              <w:rPr>
                <w:rFonts w:eastAsia="仿宋_GB2312"/>
                <w:b/>
                <w:sz w:val="28"/>
                <w:szCs w:val="28"/>
              </w:rPr>
            </w:pPr>
            <w:r>
              <w:rPr>
                <w:rFonts w:eastAsia="仿宋_GB2312"/>
                <w:b/>
                <w:sz w:val="28"/>
                <w:szCs w:val="28"/>
              </w:rPr>
              <w:t>（二）限制条件</w:t>
            </w:r>
          </w:p>
        </w:tc>
      </w:tr>
      <w:tr>
        <w:tblPrEx>
          <w:tblCellMar>
            <w:top w:w="0" w:type="dxa"/>
            <w:left w:w="108" w:type="dxa"/>
            <w:bottom w:w="0" w:type="dxa"/>
            <w:right w:w="108" w:type="dxa"/>
          </w:tblCellMar>
        </w:tblPrEx>
        <w:tc>
          <w:tcPr>
            <w:tcW w:w="5000" w:type="pct"/>
            <w:vAlign w:val="center"/>
          </w:tcPr>
          <w:p>
            <w:pPr>
              <w:spacing w:line="500" w:lineRule="exact"/>
              <w:ind w:firstLine="560" w:firstLineChars="200"/>
              <w:rPr>
                <w:rFonts w:eastAsia="仿宋_GB2312"/>
                <w:sz w:val="28"/>
                <w:szCs w:val="28"/>
              </w:rPr>
            </w:pPr>
            <w:r>
              <w:rPr>
                <w:rFonts w:eastAsia="仿宋_GB2312"/>
                <w:sz w:val="28"/>
                <w:szCs w:val="28"/>
              </w:rPr>
              <w:t>1．本估价报告仅应用于为人民法院确定房地产处置参考价提供参考依据，若改变估价目的及使用条件需向本估价机构咨询后重新出具报告。</w:t>
            </w:r>
          </w:p>
          <w:p>
            <w:pPr>
              <w:spacing w:line="500" w:lineRule="exact"/>
              <w:ind w:firstLine="560" w:firstLineChars="200"/>
              <w:rPr>
                <w:rFonts w:eastAsia="仿宋_GB2312"/>
                <w:sz w:val="28"/>
                <w:szCs w:val="28"/>
              </w:rPr>
            </w:pPr>
            <w:r>
              <w:rPr>
                <w:rFonts w:eastAsia="仿宋_GB2312"/>
                <w:sz w:val="28"/>
                <w:szCs w:val="28"/>
              </w:rPr>
              <w:t>2．未经估价机构和估价委托人书面同意，本报告的全部或部分及任何参考资料均不允许在任何公开发表的文件、通告或声明中引用，亦不得以其他任何方式公开发表。凡因报告使用人不当使用估价报告而引起的后果，估价机构及估价人员不承担相应的责任。</w:t>
            </w:r>
          </w:p>
          <w:p>
            <w:pPr>
              <w:spacing w:line="500" w:lineRule="exact"/>
              <w:ind w:firstLine="560" w:firstLineChars="200"/>
              <w:rPr>
                <w:rFonts w:eastAsia="仿宋_GB2312"/>
                <w:sz w:val="28"/>
                <w:szCs w:val="28"/>
              </w:rPr>
            </w:pPr>
            <w:r>
              <w:rPr>
                <w:rFonts w:eastAsia="仿宋_GB2312"/>
                <w:sz w:val="28"/>
                <w:szCs w:val="28"/>
              </w:rPr>
              <w:t>3．若改变估价目的、价值时点、估价假设前提及使用条件，估价结果亦会发生变化，需向本估价机构咨询后重新出具报告。由此对估价报告使用人造成的损失，估价机构不承担任何责任。</w:t>
            </w:r>
          </w:p>
          <w:p>
            <w:pPr>
              <w:spacing w:line="500" w:lineRule="exact"/>
              <w:ind w:firstLine="560" w:firstLineChars="200"/>
              <w:rPr>
                <w:rFonts w:eastAsia="仿宋_GB2312"/>
                <w:sz w:val="28"/>
                <w:szCs w:val="28"/>
              </w:rPr>
            </w:pPr>
            <w:r>
              <w:rPr>
                <w:rFonts w:eastAsia="仿宋_GB2312"/>
                <w:sz w:val="28"/>
                <w:szCs w:val="28"/>
              </w:rPr>
              <w:t>4．估价结果是反映估价对象在本次估价目的下的房地产价值，估价中未考虑国家宏观经济政策发生变化、市场供应关系变化、市场结构转变、遇有自然力和其他不可抗力等因素对房地产价值的影响，以及特殊交易方式下的特殊交易价格等对评估价值的影响。当上述条件发生变化时，估价结果一般也会发生变化。</w:t>
            </w:r>
          </w:p>
          <w:p>
            <w:pPr>
              <w:spacing w:line="500" w:lineRule="exact"/>
              <w:ind w:firstLine="560" w:firstLineChars="200"/>
              <w:rPr>
                <w:rFonts w:eastAsia="仿宋_GB2312"/>
                <w:sz w:val="28"/>
                <w:szCs w:val="28"/>
              </w:rPr>
            </w:pPr>
            <w:r>
              <w:rPr>
                <w:rFonts w:eastAsia="仿宋_GB2312"/>
                <w:sz w:val="28"/>
                <w:szCs w:val="28"/>
              </w:rPr>
              <w:t>5.本估价报告仅是在报告中说明的假设条件下对估价对象市场价值进行的合理估算，报告中对估价对象权属情况的披露不能作为对其权属确认的依据，估价对象权属界定以有关权利管理部门认定为准。</w:t>
            </w:r>
          </w:p>
          <w:p>
            <w:pPr>
              <w:spacing w:line="500" w:lineRule="exact"/>
              <w:ind w:firstLine="560" w:firstLineChars="200"/>
              <w:rPr>
                <w:rFonts w:eastAsia="仿宋_GB2312"/>
                <w:sz w:val="28"/>
                <w:szCs w:val="28"/>
              </w:rPr>
            </w:pPr>
            <w:r>
              <w:rPr>
                <w:rFonts w:eastAsia="仿宋_GB2312"/>
                <w:sz w:val="28"/>
                <w:szCs w:val="28"/>
              </w:rPr>
              <w:t>6．本估价报告一式伍份。</w:t>
            </w:r>
          </w:p>
          <w:p>
            <w:pPr>
              <w:spacing w:line="500" w:lineRule="exact"/>
              <w:ind w:firstLine="560" w:firstLineChars="200"/>
              <w:rPr>
                <w:rFonts w:eastAsia="仿宋_GB2312"/>
                <w:sz w:val="28"/>
                <w:szCs w:val="28"/>
              </w:rPr>
            </w:pPr>
            <w:r>
              <w:rPr>
                <w:rFonts w:eastAsia="仿宋_GB2312"/>
                <w:sz w:val="28"/>
                <w:szCs w:val="28"/>
              </w:rPr>
              <w:t>7．本估价报告自出报告之日起一年内有效。</w:t>
            </w:r>
          </w:p>
          <w:p>
            <w:pPr>
              <w:spacing w:line="500" w:lineRule="exact"/>
              <w:ind w:firstLine="560" w:firstLineChars="200"/>
              <w:rPr>
                <w:rFonts w:eastAsia="仿宋_GB2312"/>
                <w:sz w:val="28"/>
                <w:szCs w:val="28"/>
              </w:rPr>
            </w:pPr>
            <w:r>
              <w:rPr>
                <w:rFonts w:eastAsia="仿宋_GB2312"/>
                <w:sz w:val="28"/>
                <w:szCs w:val="28"/>
              </w:rPr>
              <w:t>8．本估价报告经估价机构盖章并由注册房地产估价师签字后方可使用。由江西开元房地产土地资产评估咨询有限公司负责解释。</w:t>
            </w:r>
          </w:p>
        </w:tc>
      </w:tr>
      <w:tr>
        <w:tblPrEx>
          <w:tblCellMar>
            <w:top w:w="0" w:type="dxa"/>
            <w:left w:w="108" w:type="dxa"/>
            <w:bottom w:w="0" w:type="dxa"/>
            <w:right w:w="108" w:type="dxa"/>
          </w:tblCellMar>
        </w:tblPrEx>
        <w:trPr>
          <w:trHeight w:val="723" w:hRule="atLeast"/>
        </w:trPr>
        <w:tc>
          <w:tcPr>
            <w:tcW w:w="5000" w:type="pct"/>
            <w:vAlign w:val="center"/>
          </w:tcPr>
          <w:p>
            <w:pPr>
              <w:spacing w:line="500" w:lineRule="exact"/>
              <w:rPr>
                <w:rFonts w:eastAsia="仿宋_GB2312"/>
                <w:color w:val="000000"/>
                <w:sz w:val="28"/>
                <w:szCs w:val="28"/>
              </w:rPr>
            </w:pPr>
            <w:r>
              <w:rPr>
                <w:rFonts w:eastAsia="仿宋_GB2312"/>
                <w:b/>
                <w:color w:val="000000"/>
                <w:sz w:val="28"/>
                <w:szCs w:val="28"/>
              </w:rPr>
              <w:t>（三）其他说明事项</w:t>
            </w:r>
          </w:p>
        </w:tc>
      </w:tr>
      <w:tr>
        <w:tblPrEx>
          <w:tblCellMar>
            <w:top w:w="0" w:type="dxa"/>
            <w:left w:w="108" w:type="dxa"/>
            <w:bottom w:w="0" w:type="dxa"/>
            <w:right w:w="108" w:type="dxa"/>
          </w:tblCellMar>
        </w:tblPrEx>
        <w:tc>
          <w:tcPr>
            <w:tcW w:w="5000" w:type="pct"/>
            <w:vAlign w:val="center"/>
          </w:tcPr>
          <w:p>
            <w:pPr>
              <w:spacing w:line="500" w:lineRule="exact"/>
              <w:ind w:firstLine="560" w:firstLineChars="200"/>
              <w:rPr>
                <w:rFonts w:eastAsia="仿宋_GB2312"/>
                <w:color w:val="000000"/>
                <w:sz w:val="28"/>
                <w:szCs w:val="28"/>
              </w:rPr>
            </w:pPr>
            <w:r>
              <w:rPr>
                <w:rFonts w:eastAsia="仿宋_GB2312"/>
                <w:color w:val="000000"/>
                <w:sz w:val="28"/>
                <w:szCs w:val="28"/>
              </w:rPr>
              <w:t>1．本估价报告中的数据全部采用电算化连续计算得出，由于在报告中计算的数据均按四舍五入进行取整，因此，可能出现个别等式左右不完全相等的情况，但此种情况不影响计算结果及估价结论的准确性。</w:t>
            </w:r>
          </w:p>
          <w:p>
            <w:pPr>
              <w:spacing w:line="500" w:lineRule="exact"/>
              <w:ind w:firstLine="560" w:firstLineChars="200"/>
              <w:rPr>
                <w:rFonts w:eastAsia="仿宋"/>
                <w:sz w:val="28"/>
                <w:szCs w:val="28"/>
              </w:rPr>
            </w:pPr>
            <w:r>
              <w:rPr>
                <w:rFonts w:eastAsia="仿宋"/>
                <w:sz w:val="28"/>
                <w:szCs w:val="28"/>
              </w:rPr>
              <w:t>2.因财产拍卖（或者变卖）日期与价值时点不一致，评估对象状况或者房地产市场状况的变化会对评估结果产生影响；</w:t>
            </w:r>
          </w:p>
          <w:p>
            <w:pPr>
              <w:spacing w:line="500" w:lineRule="exact"/>
              <w:ind w:firstLine="560" w:firstLineChars="200"/>
              <w:rPr>
                <w:rFonts w:eastAsia="仿宋"/>
                <w:sz w:val="28"/>
                <w:szCs w:val="28"/>
              </w:rPr>
            </w:pPr>
            <w:r>
              <w:rPr>
                <w:rFonts w:eastAsia="仿宋"/>
                <w:sz w:val="28"/>
                <w:szCs w:val="28"/>
              </w:rPr>
              <w:t>3.在评估结果有效期内，评估对象状况或者房地产市场发生明显变化的，评估结果应当进行相应调整；</w:t>
            </w:r>
          </w:p>
          <w:p>
            <w:pPr>
              <w:spacing w:line="500" w:lineRule="exact"/>
              <w:ind w:firstLine="560" w:firstLineChars="200"/>
              <w:rPr>
                <w:rFonts w:eastAsia="仿宋"/>
                <w:sz w:val="28"/>
                <w:szCs w:val="28"/>
              </w:rPr>
            </w:pPr>
            <w:r>
              <w:rPr>
                <w:rFonts w:eastAsia="仿宋"/>
                <w:sz w:val="28"/>
                <w:szCs w:val="28"/>
              </w:rPr>
              <w:t>4.委托人或者评估报告使用人应当按照法律规定和评估报告载明的使用范围使用评估报告，违反该规定使用评估报告的，房地产估价机构和注册房地产估价师依法不承担责任；</w:t>
            </w:r>
          </w:p>
          <w:p>
            <w:pPr>
              <w:spacing w:line="500" w:lineRule="exact"/>
              <w:ind w:firstLine="560" w:firstLineChars="200"/>
              <w:rPr>
                <w:rFonts w:eastAsia="仿宋_GB2312"/>
                <w:color w:val="000000"/>
                <w:sz w:val="28"/>
                <w:szCs w:val="28"/>
              </w:rPr>
            </w:pPr>
            <w:r>
              <w:rPr>
                <w:rFonts w:eastAsia="仿宋"/>
                <w:sz w:val="28"/>
                <w:szCs w:val="28"/>
              </w:rPr>
              <w:t>5.评估结果不等于评估对象处置可实现的成交价，不应被认为是对评估对象处置成交价的保证。</w:t>
            </w:r>
          </w:p>
        </w:tc>
      </w:tr>
    </w:tbl>
    <w:p>
      <w:pPr>
        <w:pStyle w:val="2"/>
        <w:spacing w:line="500" w:lineRule="exact"/>
        <w:ind w:left="0" w:firstLine="0"/>
        <w:jc w:val="center"/>
        <w:rPr>
          <w:rFonts w:ascii="Times New Roman" w:eastAsia="仿宋_GB2312"/>
          <w:color w:val="000000"/>
          <w:sz w:val="28"/>
        </w:rPr>
      </w:pPr>
      <w:r>
        <w:rPr>
          <w:rFonts w:ascii="Times New Roman" w:eastAsia="仿宋_GB2312"/>
          <w:color w:val="000000"/>
          <w:sz w:val="28"/>
        </w:rPr>
        <w:br w:type="page"/>
      </w:r>
      <w:bookmarkStart w:id="10" w:name="_Toc427611315"/>
      <w:bookmarkStart w:id="11" w:name="_Toc427611549"/>
      <w:bookmarkStart w:id="12" w:name="_Toc23344709"/>
      <w:bookmarkStart w:id="13" w:name="_Toc36552784"/>
      <w:bookmarkStart w:id="14" w:name="_Toc36713637"/>
      <w:r>
        <w:rPr>
          <w:rFonts w:ascii="Times New Roman" w:eastAsia="仿宋_GB2312"/>
          <w:color w:val="000000"/>
          <w:sz w:val="28"/>
        </w:rPr>
        <w:t>三、估价结果报告</w:t>
      </w:r>
      <w:bookmarkEnd w:id="10"/>
      <w:bookmarkEnd w:id="11"/>
      <w:bookmarkEnd w:id="12"/>
      <w:bookmarkEnd w:id="13"/>
      <w:bookmarkEnd w:id="14"/>
    </w:p>
    <w:p>
      <w:pPr>
        <w:pStyle w:val="3"/>
        <w:spacing w:before="0" w:after="0" w:line="500" w:lineRule="exact"/>
        <w:rPr>
          <w:rFonts w:ascii="Times New Roman" w:hAnsi="Times New Roman" w:eastAsia="仿宋_GB2312"/>
          <w:color w:val="000000"/>
          <w:sz w:val="28"/>
        </w:rPr>
      </w:pPr>
      <w:bookmarkStart w:id="15" w:name="_Toc427611550"/>
      <w:bookmarkStart w:id="16" w:name="_Toc23344710"/>
      <w:bookmarkStart w:id="17" w:name="_Toc36552785"/>
      <w:bookmarkStart w:id="18" w:name="_Toc36713638"/>
      <w:r>
        <w:rPr>
          <w:rFonts w:ascii="Times New Roman" w:hAnsi="Times New Roman" w:eastAsia="仿宋_GB2312"/>
          <w:color w:val="000000"/>
          <w:sz w:val="28"/>
        </w:rPr>
        <w:t>（一）估价委托人</w:t>
      </w:r>
      <w:bookmarkEnd w:id="15"/>
      <w:bookmarkEnd w:id="16"/>
      <w:bookmarkEnd w:id="17"/>
      <w:bookmarkEnd w:id="18"/>
    </w:p>
    <w:p>
      <w:pPr>
        <w:tabs>
          <w:tab w:val="left" w:pos="4998"/>
        </w:tabs>
        <w:spacing w:line="500" w:lineRule="exact"/>
        <w:ind w:firstLine="562" w:firstLineChars="200"/>
        <w:rPr>
          <w:rFonts w:eastAsia="仿宋_GB2312"/>
          <w:sz w:val="28"/>
        </w:rPr>
      </w:pPr>
      <w:r>
        <w:rPr>
          <w:rFonts w:eastAsia="仿宋_GB2312"/>
          <w:b/>
          <w:bCs/>
          <w:sz w:val="28"/>
        </w:rPr>
        <w:t>名称：</w:t>
      </w:r>
      <w:r>
        <w:rPr>
          <w:rFonts w:eastAsia="仿宋_GB2312"/>
          <w:sz w:val="28"/>
        </w:rPr>
        <w:t>上栗县人民法院</w:t>
      </w:r>
    </w:p>
    <w:p>
      <w:pPr>
        <w:pStyle w:val="3"/>
        <w:spacing w:before="0" w:after="0" w:line="500" w:lineRule="exact"/>
        <w:rPr>
          <w:rFonts w:ascii="Times New Roman" w:hAnsi="Times New Roman" w:eastAsia="仿宋_GB2312"/>
          <w:color w:val="000000"/>
          <w:sz w:val="28"/>
        </w:rPr>
      </w:pPr>
      <w:bookmarkStart w:id="19" w:name="_Toc23344711"/>
      <w:bookmarkStart w:id="20" w:name="_Toc427611551"/>
      <w:bookmarkStart w:id="21" w:name="_Toc36552786"/>
      <w:bookmarkStart w:id="22" w:name="_Toc36713639"/>
      <w:r>
        <w:rPr>
          <w:rFonts w:ascii="Times New Roman" w:hAnsi="Times New Roman" w:eastAsia="仿宋_GB2312"/>
          <w:color w:val="000000"/>
          <w:sz w:val="28"/>
        </w:rPr>
        <w:t>（二）房地产估价机构</w:t>
      </w:r>
      <w:bookmarkEnd w:id="19"/>
      <w:bookmarkEnd w:id="20"/>
      <w:bookmarkEnd w:id="21"/>
      <w:bookmarkEnd w:id="22"/>
    </w:p>
    <w:p>
      <w:pPr>
        <w:tabs>
          <w:tab w:val="left" w:pos="4998"/>
        </w:tabs>
        <w:spacing w:line="500" w:lineRule="exact"/>
        <w:ind w:firstLine="562" w:firstLineChars="200"/>
        <w:rPr>
          <w:rFonts w:eastAsia="仿宋"/>
          <w:b/>
          <w:sz w:val="28"/>
        </w:rPr>
      </w:pPr>
      <w:bookmarkStart w:id="23" w:name="_Toc427611552"/>
      <w:r>
        <w:rPr>
          <w:rFonts w:eastAsia="仿宋"/>
          <w:b/>
          <w:sz w:val="28"/>
        </w:rPr>
        <w:t>估价机构名称：</w:t>
      </w:r>
      <w:r>
        <w:rPr>
          <w:rFonts w:eastAsia="仿宋"/>
          <w:sz w:val="28"/>
        </w:rPr>
        <w:t>江西开元房地产土地资产评估咨询有限公司</w:t>
      </w:r>
    </w:p>
    <w:p>
      <w:pPr>
        <w:tabs>
          <w:tab w:val="left" w:pos="4998"/>
        </w:tabs>
        <w:spacing w:line="500" w:lineRule="exact"/>
        <w:ind w:firstLine="562" w:firstLineChars="200"/>
        <w:rPr>
          <w:rFonts w:eastAsia="仿宋"/>
          <w:sz w:val="28"/>
        </w:rPr>
      </w:pPr>
      <w:r>
        <w:rPr>
          <w:rFonts w:eastAsia="仿宋"/>
          <w:b/>
          <w:sz w:val="28"/>
        </w:rPr>
        <w:t>法定代表人：</w:t>
      </w:r>
      <w:r>
        <w:rPr>
          <w:rFonts w:eastAsia="仿宋"/>
          <w:sz w:val="28"/>
        </w:rPr>
        <w:t>颜松</w:t>
      </w:r>
    </w:p>
    <w:p>
      <w:pPr>
        <w:tabs>
          <w:tab w:val="left" w:pos="4998"/>
        </w:tabs>
        <w:spacing w:line="500" w:lineRule="exact"/>
        <w:ind w:firstLine="562" w:firstLineChars="200"/>
        <w:rPr>
          <w:rFonts w:eastAsia="仿宋"/>
          <w:b/>
          <w:sz w:val="28"/>
        </w:rPr>
      </w:pPr>
      <w:r>
        <w:rPr>
          <w:rFonts w:eastAsia="仿宋"/>
          <w:b/>
          <w:sz w:val="28"/>
        </w:rPr>
        <w:t>房产资质级别：</w:t>
      </w:r>
      <w:r>
        <w:rPr>
          <w:rFonts w:eastAsia="仿宋"/>
          <w:sz w:val="28"/>
        </w:rPr>
        <w:t>壹级</w:t>
      </w:r>
    </w:p>
    <w:p>
      <w:pPr>
        <w:tabs>
          <w:tab w:val="left" w:pos="4998"/>
        </w:tabs>
        <w:spacing w:line="500" w:lineRule="exact"/>
        <w:ind w:firstLine="562" w:firstLineChars="200"/>
        <w:rPr>
          <w:rFonts w:eastAsia="仿宋"/>
          <w:sz w:val="28"/>
        </w:rPr>
      </w:pPr>
      <w:r>
        <w:rPr>
          <w:rFonts w:eastAsia="仿宋"/>
          <w:b/>
          <w:sz w:val="28"/>
        </w:rPr>
        <w:t>资质证书编号：</w:t>
      </w:r>
      <w:r>
        <w:rPr>
          <w:rFonts w:eastAsia="仿宋"/>
          <w:sz w:val="28"/>
        </w:rPr>
        <w:t>赣建房评字176号</w:t>
      </w:r>
    </w:p>
    <w:p>
      <w:pPr>
        <w:tabs>
          <w:tab w:val="left" w:pos="4998"/>
        </w:tabs>
        <w:spacing w:line="500" w:lineRule="exact"/>
        <w:ind w:firstLine="565" w:firstLineChars="201"/>
        <w:rPr>
          <w:rFonts w:eastAsia="仿宋"/>
          <w:sz w:val="28"/>
        </w:rPr>
      </w:pPr>
      <w:r>
        <w:rPr>
          <w:rFonts w:eastAsia="仿宋"/>
          <w:b/>
          <w:sz w:val="28"/>
        </w:rPr>
        <w:t>单位地址：</w:t>
      </w:r>
      <w:r>
        <w:rPr>
          <w:rFonts w:eastAsia="仿宋"/>
          <w:sz w:val="28"/>
        </w:rPr>
        <w:t>江西省南昌市红谷中大道1376号（红谷经典5楼）</w:t>
      </w:r>
    </w:p>
    <w:p>
      <w:pPr>
        <w:tabs>
          <w:tab w:val="left" w:pos="4998"/>
        </w:tabs>
        <w:spacing w:line="500" w:lineRule="exact"/>
        <w:ind w:firstLine="562" w:firstLineChars="200"/>
        <w:rPr>
          <w:rFonts w:eastAsia="仿宋"/>
          <w:b/>
          <w:sz w:val="28"/>
        </w:rPr>
      </w:pPr>
      <w:r>
        <w:rPr>
          <w:rFonts w:eastAsia="仿宋"/>
          <w:b/>
          <w:sz w:val="28"/>
        </w:rPr>
        <w:t>联系电话：</w:t>
      </w:r>
      <w:r>
        <w:rPr>
          <w:rFonts w:eastAsia="仿宋"/>
          <w:sz w:val="28"/>
        </w:rPr>
        <w:t>0791-83900711</w:t>
      </w:r>
    </w:p>
    <w:p>
      <w:pPr>
        <w:tabs>
          <w:tab w:val="left" w:pos="4998"/>
        </w:tabs>
        <w:spacing w:line="500" w:lineRule="exact"/>
        <w:ind w:firstLine="562" w:firstLineChars="200"/>
        <w:rPr>
          <w:rFonts w:eastAsia="仿宋"/>
          <w:b/>
          <w:sz w:val="28"/>
        </w:rPr>
      </w:pPr>
      <w:r>
        <w:rPr>
          <w:rFonts w:eastAsia="仿宋"/>
          <w:b/>
          <w:sz w:val="28"/>
        </w:rPr>
        <w:t>邮编：</w:t>
      </w:r>
      <w:r>
        <w:rPr>
          <w:rFonts w:eastAsia="仿宋"/>
          <w:sz w:val="28"/>
        </w:rPr>
        <w:t>330038</w:t>
      </w:r>
    </w:p>
    <w:p>
      <w:pPr>
        <w:pStyle w:val="3"/>
        <w:spacing w:before="0" w:after="0" w:line="500" w:lineRule="exact"/>
        <w:rPr>
          <w:rFonts w:ascii="Times New Roman" w:hAnsi="Times New Roman" w:eastAsia="仿宋_GB2312"/>
          <w:color w:val="000000"/>
          <w:sz w:val="28"/>
        </w:rPr>
      </w:pPr>
      <w:bookmarkStart w:id="24" w:name="_Toc23344712"/>
      <w:bookmarkStart w:id="25" w:name="_Toc36552787"/>
      <w:bookmarkStart w:id="26" w:name="_Toc36713640"/>
      <w:r>
        <w:rPr>
          <w:rFonts w:ascii="Times New Roman" w:hAnsi="Times New Roman" w:eastAsia="仿宋_GB2312"/>
          <w:color w:val="000000"/>
          <w:sz w:val="28"/>
        </w:rPr>
        <w:t>（三）估价对象</w:t>
      </w:r>
      <w:bookmarkEnd w:id="23"/>
      <w:bookmarkEnd w:id="24"/>
      <w:bookmarkEnd w:id="25"/>
      <w:bookmarkEnd w:id="26"/>
    </w:p>
    <w:p>
      <w:pPr>
        <w:tabs>
          <w:tab w:val="left" w:pos="4998"/>
        </w:tabs>
        <w:adjustRightInd w:val="0"/>
        <w:snapToGrid w:val="0"/>
        <w:spacing w:line="500" w:lineRule="exact"/>
        <w:ind w:firstLine="560" w:firstLineChars="200"/>
        <w:rPr>
          <w:rFonts w:eastAsia="仿宋"/>
          <w:sz w:val="28"/>
        </w:rPr>
      </w:pPr>
      <w:r>
        <w:rPr>
          <w:rFonts w:eastAsia="仿宋"/>
          <w:sz w:val="28"/>
        </w:rPr>
        <w:t>1、实物状况描述与分析</w:t>
      </w:r>
    </w:p>
    <w:p>
      <w:pPr>
        <w:tabs>
          <w:tab w:val="left" w:pos="4998"/>
        </w:tabs>
        <w:adjustRightInd w:val="0"/>
        <w:snapToGrid w:val="0"/>
        <w:spacing w:line="500" w:lineRule="exact"/>
        <w:ind w:firstLine="560" w:firstLineChars="200"/>
        <w:rPr>
          <w:rFonts w:eastAsia="仿宋_GB2312"/>
          <w:kern w:val="0"/>
          <w:sz w:val="28"/>
        </w:rPr>
      </w:pPr>
      <w:bookmarkStart w:id="27" w:name="_Toc427611553"/>
      <w:r>
        <w:rPr>
          <w:rFonts w:eastAsia="仿宋_GB2312"/>
          <w:sz w:val="28"/>
        </w:rPr>
        <w:t>根据估价委托人提供的“江西省上栗县人民法院价格评估委托书”及《房屋所有权证》、《国有土地使用证》复印件和估价人员实地查勘，估价对象位于上栗县上栗镇贸易广场站前路，</w:t>
      </w:r>
      <w:r>
        <w:rPr>
          <w:rFonts w:eastAsia="仿宋_GB2312"/>
          <w:kern w:val="0"/>
          <w:sz w:val="28"/>
        </w:rPr>
        <w:t>建筑为砖混结构，建筑外墙为墙面砖，建成于2011年，</w:t>
      </w:r>
      <w:r>
        <w:rPr>
          <w:rFonts w:eastAsia="仿宋_GB2312"/>
          <w:sz w:val="28"/>
        </w:rPr>
        <w:t>总</w:t>
      </w:r>
      <w:r>
        <w:rPr>
          <w:rFonts w:eastAsia="仿宋_GB2312"/>
          <w:kern w:val="0"/>
          <w:sz w:val="28"/>
        </w:rPr>
        <w:t>建筑面积为456.53平方米，总楼层为六层。估价对象位于第一至第四层。</w:t>
      </w:r>
    </w:p>
    <w:p>
      <w:pPr>
        <w:tabs>
          <w:tab w:val="left" w:pos="4998"/>
        </w:tabs>
        <w:adjustRightInd w:val="0"/>
        <w:snapToGrid w:val="0"/>
        <w:spacing w:line="500" w:lineRule="exact"/>
        <w:ind w:firstLine="560" w:firstLineChars="200"/>
        <w:rPr>
          <w:rFonts w:eastAsia="仿宋_GB2312"/>
          <w:sz w:val="28"/>
        </w:rPr>
      </w:pPr>
      <w:r>
        <w:rPr>
          <w:rFonts w:eastAsia="仿宋_GB2312"/>
          <w:sz w:val="28"/>
        </w:rPr>
        <w:t>估价对象第一至第二层为商住，上下层</w:t>
      </w:r>
      <w:r>
        <w:rPr>
          <w:rFonts w:hint="eastAsia" w:eastAsia="仿宋_GB2312"/>
          <w:sz w:val="28"/>
        </w:rPr>
        <w:t>面积</w:t>
      </w:r>
      <w:r>
        <w:rPr>
          <w:rFonts w:eastAsia="仿宋_GB2312"/>
          <w:sz w:val="28"/>
        </w:rPr>
        <w:t>相同，总建筑面积为128.67平方米，</w:t>
      </w:r>
      <w:r>
        <w:rPr>
          <w:rFonts w:eastAsia="仿宋_GB2312"/>
          <w:kern w:val="0"/>
          <w:sz w:val="28"/>
        </w:rPr>
        <w:t>第一层为商业，</w:t>
      </w:r>
      <w:r>
        <w:rPr>
          <w:rFonts w:eastAsia="仿宋_GB2312"/>
          <w:sz w:val="28"/>
        </w:rPr>
        <w:t>为临小巷通道店面，</w:t>
      </w:r>
      <w:r>
        <w:rPr>
          <w:rFonts w:eastAsia="仿宋"/>
          <w:sz w:val="28"/>
        </w:rPr>
        <w:t>临街（路）状况为一面临内街，临街宽约</w:t>
      </w:r>
      <w:r>
        <w:rPr>
          <w:rFonts w:eastAsia="仿宋_GB2312"/>
          <w:sz w:val="28"/>
        </w:rPr>
        <w:t>4</w:t>
      </w:r>
      <w:r>
        <w:rPr>
          <w:rFonts w:eastAsia="仿宋"/>
          <w:sz w:val="28"/>
        </w:rPr>
        <w:t>米，进深约</w:t>
      </w:r>
      <w:r>
        <w:rPr>
          <w:rFonts w:hint="eastAsia" w:eastAsia="仿宋_GB2312"/>
          <w:sz w:val="28"/>
        </w:rPr>
        <w:t>18</w:t>
      </w:r>
      <w:r>
        <w:rPr>
          <w:rFonts w:eastAsia="仿宋"/>
          <w:sz w:val="28"/>
        </w:rPr>
        <w:t>米，宽深比</w:t>
      </w:r>
      <w:r>
        <w:rPr>
          <w:rFonts w:hint="eastAsia" w:eastAsia="仿宋"/>
          <w:sz w:val="28"/>
        </w:rPr>
        <w:t>一般</w:t>
      </w:r>
      <w:r>
        <w:rPr>
          <w:rFonts w:eastAsia="仿宋"/>
          <w:sz w:val="28"/>
        </w:rPr>
        <w:t>，较</w:t>
      </w:r>
      <w:r>
        <w:rPr>
          <w:rFonts w:eastAsia="仿宋"/>
          <w:color w:val="000000"/>
          <w:sz w:val="28"/>
        </w:rPr>
        <w:t>有利于店面经营，估价对象</w:t>
      </w:r>
      <w:r>
        <w:rPr>
          <w:rFonts w:eastAsia="仿宋_GB2312"/>
          <w:kern w:val="0"/>
          <w:sz w:val="28"/>
        </w:rPr>
        <w:t>现与隔壁店面打通使用</w:t>
      </w:r>
      <w:r>
        <w:rPr>
          <w:rFonts w:hint="eastAsia" w:eastAsia="仿宋_GB2312"/>
          <w:kern w:val="0"/>
          <w:sz w:val="28"/>
        </w:rPr>
        <w:t>，</w:t>
      </w:r>
      <w:r>
        <w:rPr>
          <w:rFonts w:eastAsia="仿宋_GB2312"/>
          <w:sz w:val="28"/>
        </w:rPr>
        <w:t>出租于“金泰门窗批发”使用，室内地面铺地板砖</w:t>
      </w:r>
      <w:r>
        <w:rPr>
          <w:rFonts w:hint="eastAsia" w:eastAsia="仿宋_GB2312"/>
          <w:sz w:val="28"/>
        </w:rPr>
        <w:t>，</w:t>
      </w:r>
      <w:r>
        <w:rPr>
          <w:rFonts w:eastAsia="仿宋_GB2312"/>
          <w:sz w:val="28"/>
        </w:rPr>
        <w:t>墙面为毛坯，入户门为卷帘门，第二层做储藏间使用，室内地面铺地塑</w:t>
      </w:r>
      <w:r>
        <w:rPr>
          <w:rFonts w:hint="eastAsia" w:eastAsia="仿宋_GB2312"/>
          <w:sz w:val="28"/>
        </w:rPr>
        <w:t>，</w:t>
      </w:r>
      <w:r>
        <w:rPr>
          <w:rFonts w:eastAsia="仿宋_GB2312"/>
          <w:sz w:val="28"/>
        </w:rPr>
        <w:t>墙面粉白，入户门为防盗门，</w:t>
      </w:r>
      <w:r>
        <w:rPr>
          <w:rFonts w:eastAsia="仿宋_GB2312"/>
          <w:kern w:val="0"/>
          <w:sz w:val="28"/>
        </w:rPr>
        <w:t>外窗铝合金窗；建筑防水、保温、隔热、隔声条件较好，采光、通风、日照条件一般。估价对象规划用途为商住，目前实际为商住用途，保养情况较好，约九成新</w:t>
      </w:r>
      <w:r>
        <w:rPr>
          <w:rFonts w:eastAsia="仿宋_GB2312"/>
          <w:sz w:val="28"/>
        </w:rPr>
        <w:t>。</w:t>
      </w:r>
    </w:p>
    <w:p>
      <w:pPr>
        <w:tabs>
          <w:tab w:val="left" w:pos="4998"/>
        </w:tabs>
        <w:adjustRightInd w:val="0"/>
        <w:snapToGrid w:val="0"/>
        <w:spacing w:line="500" w:lineRule="exact"/>
        <w:ind w:firstLine="560" w:firstLineChars="200"/>
        <w:rPr>
          <w:rFonts w:eastAsia="仿宋_GB2312"/>
          <w:sz w:val="28"/>
        </w:rPr>
      </w:pPr>
      <w:r>
        <w:rPr>
          <w:rFonts w:eastAsia="仿宋_GB2312"/>
          <w:sz w:val="28"/>
        </w:rPr>
        <w:t>估价对象</w:t>
      </w:r>
      <w:r>
        <w:rPr>
          <w:rFonts w:eastAsia="仿宋_GB2312"/>
          <w:kern w:val="0"/>
          <w:sz w:val="28"/>
        </w:rPr>
        <w:t>第三至第四层为住宅，</w:t>
      </w:r>
      <w:r>
        <w:rPr>
          <w:rFonts w:eastAsia="仿宋_GB2312"/>
          <w:sz w:val="28"/>
        </w:rPr>
        <w:t>上下层</w:t>
      </w:r>
      <w:r>
        <w:rPr>
          <w:rFonts w:hint="eastAsia" w:eastAsia="仿宋_GB2312"/>
          <w:sz w:val="28"/>
        </w:rPr>
        <w:t>面积</w:t>
      </w:r>
      <w:r>
        <w:rPr>
          <w:rFonts w:eastAsia="仿宋_GB2312"/>
          <w:sz w:val="28"/>
        </w:rPr>
        <w:t>相同，总</w:t>
      </w:r>
      <w:r>
        <w:rPr>
          <w:rFonts w:eastAsia="仿宋_GB2312"/>
          <w:kern w:val="0"/>
          <w:sz w:val="28"/>
        </w:rPr>
        <w:t>建筑面积为327.86平方米，第三层现作为办公，室内为三房一厅，卫生间及厨房为毛坯，其他为简装，入户门为防盗门，外窗铝合金窗。第四层为住宅，室内为三房一厅，室内为简装，入户门为防盗门，外窗铝合金窗。建筑防水、保温、隔热、隔声条件较好，采光、通风、日照条件较好。估价对象规划用途为住宅，目前实际为住宅用途，保养情况较好，约九成新</w:t>
      </w:r>
      <w:r>
        <w:rPr>
          <w:rFonts w:eastAsia="仿宋_GB2312"/>
          <w:sz w:val="28"/>
        </w:rPr>
        <w:t>。</w:t>
      </w:r>
    </w:p>
    <w:p>
      <w:pPr>
        <w:tabs>
          <w:tab w:val="left" w:pos="4998"/>
        </w:tabs>
        <w:adjustRightInd w:val="0"/>
        <w:snapToGrid w:val="0"/>
        <w:spacing w:line="500" w:lineRule="exact"/>
        <w:ind w:firstLine="560" w:firstLineChars="200"/>
        <w:rPr>
          <w:rFonts w:eastAsia="仿宋_GB2312"/>
          <w:sz w:val="28"/>
        </w:rPr>
      </w:pPr>
      <w:r>
        <w:rPr>
          <w:rFonts w:eastAsia="仿宋_GB2312"/>
          <w:sz w:val="28"/>
        </w:rPr>
        <w:t>估价对象作为商住楼使用通用性较好，其外观设计、空间布局、内外装修、维护状况均能较好地满足其现状用途需求，估价对象实物状况上不存在明显瑕疵。</w:t>
      </w:r>
    </w:p>
    <w:p>
      <w:pPr>
        <w:tabs>
          <w:tab w:val="left" w:pos="4998"/>
        </w:tabs>
        <w:adjustRightInd w:val="0"/>
        <w:snapToGrid w:val="0"/>
        <w:spacing w:line="500" w:lineRule="exact"/>
        <w:ind w:firstLine="560" w:firstLineChars="200"/>
        <w:rPr>
          <w:rFonts w:eastAsia="仿宋"/>
          <w:sz w:val="28"/>
        </w:rPr>
      </w:pPr>
      <w:r>
        <w:rPr>
          <w:rFonts w:eastAsia="仿宋"/>
          <w:sz w:val="28"/>
        </w:rPr>
        <w:t>2、权益状况描述与分析</w:t>
      </w:r>
    </w:p>
    <w:p>
      <w:pPr>
        <w:tabs>
          <w:tab w:val="left" w:pos="4998"/>
        </w:tabs>
        <w:adjustRightInd w:val="0"/>
        <w:snapToGrid w:val="0"/>
        <w:spacing w:line="500" w:lineRule="exact"/>
        <w:ind w:firstLine="560" w:firstLineChars="200"/>
        <w:rPr>
          <w:rFonts w:eastAsia="仿宋"/>
          <w:sz w:val="28"/>
        </w:rPr>
      </w:pPr>
      <w:r>
        <w:rPr>
          <w:rFonts w:eastAsia="仿宋"/>
          <w:sz w:val="28"/>
        </w:rPr>
        <w:t>（1）房屋登记状况：</w:t>
      </w:r>
    </w:p>
    <w:p>
      <w:pPr>
        <w:tabs>
          <w:tab w:val="left" w:pos="540"/>
        </w:tabs>
        <w:adjustRightInd w:val="0"/>
        <w:snapToGrid w:val="0"/>
        <w:spacing w:line="500" w:lineRule="exact"/>
        <w:ind w:firstLine="560" w:firstLineChars="200"/>
        <w:rPr>
          <w:rFonts w:eastAsia="仿宋_GB2312"/>
          <w:color w:val="000000"/>
          <w:sz w:val="28"/>
        </w:rPr>
      </w:pPr>
      <w:r>
        <w:rPr>
          <w:rFonts w:eastAsia="仿宋_GB2312"/>
          <w:color w:val="000000"/>
          <w:sz w:val="28"/>
        </w:rPr>
        <w:t>根据委托方提供的《房屋所有权证》、《国有土地使用证》复印件，目前估价对象产权清晰。详见下表：</w:t>
      </w:r>
    </w:p>
    <w:p>
      <w:pPr>
        <w:tabs>
          <w:tab w:val="left" w:pos="4998"/>
        </w:tabs>
        <w:adjustRightInd w:val="0"/>
        <w:snapToGrid w:val="0"/>
        <w:spacing w:line="540" w:lineRule="exact"/>
        <w:ind w:firstLine="560" w:firstLineChars="200"/>
        <w:jc w:val="center"/>
        <w:rPr>
          <w:rFonts w:eastAsia="仿宋_GB2312"/>
          <w:sz w:val="28"/>
        </w:rPr>
      </w:pPr>
      <w:r>
        <w:rPr>
          <w:rFonts w:eastAsia="仿宋_GB2312"/>
          <w:sz w:val="28"/>
        </w:rPr>
        <w:t>房屋权属状况明细表</w:t>
      </w:r>
    </w:p>
    <w:tbl>
      <w:tblPr>
        <w:tblStyle w:val="25"/>
        <w:tblW w:w="5000" w:type="pct"/>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autofit"/>
        <w:tblCellMar>
          <w:top w:w="0" w:type="dxa"/>
          <w:left w:w="108" w:type="dxa"/>
          <w:bottom w:w="0" w:type="dxa"/>
          <w:right w:w="108" w:type="dxa"/>
        </w:tblCellMar>
      </w:tblPr>
      <w:tblGrid>
        <w:gridCol w:w="1848"/>
        <w:gridCol w:w="1384"/>
        <w:gridCol w:w="1518"/>
        <w:gridCol w:w="747"/>
        <w:gridCol w:w="989"/>
        <w:gridCol w:w="1420"/>
        <w:gridCol w:w="1336"/>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00" w:type="pct"/>
            <w:vAlign w:val="center"/>
          </w:tcPr>
          <w:p>
            <w:pPr>
              <w:widowControl/>
              <w:spacing w:line="260" w:lineRule="exact"/>
              <w:jc w:val="center"/>
              <w:rPr>
                <w:rFonts w:eastAsia="仿宋_GB2312"/>
                <w:kern w:val="0"/>
                <w:sz w:val="20"/>
              </w:rPr>
            </w:pPr>
            <w:r>
              <w:rPr>
                <w:rFonts w:eastAsia="仿宋_GB2312"/>
                <w:kern w:val="0"/>
                <w:sz w:val="20"/>
              </w:rPr>
              <w:t>《房屋所有权证》证号</w:t>
            </w:r>
          </w:p>
        </w:tc>
        <w:tc>
          <w:tcPr>
            <w:tcW w:w="749" w:type="pct"/>
            <w:vAlign w:val="center"/>
          </w:tcPr>
          <w:p>
            <w:pPr>
              <w:widowControl/>
              <w:spacing w:line="260" w:lineRule="exact"/>
              <w:jc w:val="center"/>
              <w:rPr>
                <w:rFonts w:eastAsia="仿宋_GB2312"/>
                <w:kern w:val="0"/>
                <w:sz w:val="20"/>
              </w:rPr>
            </w:pPr>
            <w:r>
              <w:rPr>
                <w:rFonts w:eastAsia="仿宋_GB2312"/>
                <w:kern w:val="0"/>
                <w:sz w:val="20"/>
              </w:rPr>
              <w:t>房屋所有权人</w:t>
            </w:r>
          </w:p>
        </w:tc>
        <w:tc>
          <w:tcPr>
            <w:tcW w:w="821" w:type="pct"/>
            <w:vAlign w:val="center"/>
          </w:tcPr>
          <w:p>
            <w:pPr>
              <w:widowControl/>
              <w:spacing w:line="400" w:lineRule="exact"/>
              <w:jc w:val="center"/>
              <w:rPr>
                <w:rFonts w:eastAsia="仿宋_GB2312"/>
                <w:color w:val="000000"/>
                <w:kern w:val="0"/>
                <w:sz w:val="18"/>
                <w:szCs w:val="18"/>
              </w:rPr>
            </w:pPr>
            <w:r>
              <w:rPr>
                <w:rFonts w:eastAsia="仿宋_GB2312"/>
                <w:color w:val="000000"/>
                <w:kern w:val="0"/>
                <w:sz w:val="18"/>
                <w:szCs w:val="18"/>
              </w:rPr>
              <w:t>坐落</w:t>
            </w:r>
          </w:p>
        </w:tc>
        <w:tc>
          <w:tcPr>
            <w:tcW w:w="404" w:type="pct"/>
            <w:vAlign w:val="center"/>
          </w:tcPr>
          <w:p>
            <w:pPr>
              <w:widowControl/>
              <w:adjustRightInd w:val="0"/>
              <w:snapToGrid w:val="0"/>
              <w:spacing w:line="400" w:lineRule="exact"/>
              <w:jc w:val="center"/>
              <w:rPr>
                <w:rFonts w:eastAsia="仿宋_GB2312"/>
                <w:sz w:val="18"/>
                <w:szCs w:val="18"/>
              </w:rPr>
            </w:pPr>
            <w:r>
              <w:rPr>
                <w:rFonts w:eastAsia="仿宋_GB2312"/>
                <w:sz w:val="18"/>
                <w:szCs w:val="18"/>
              </w:rPr>
              <w:t>结构</w:t>
            </w:r>
          </w:p>
        </w:tc>
        <w:tc>
          <w:tcPr>
            <w:tcW w:w="535" w:type="pct"/>
            <w:vAlign w:val="center"/>
          </w:tcPr>
          <w:p>
            <w:pPr>
              <w:widowControl/>
              <w:adjustRightInd w:val="0"/>
              <w:snapToGrid w:val="0"/>
              <w:spacing w:line="400" w:lineRule="exact"/>
              <w:jc w:val="center"/>
              <w:rPr>
                <w:rFonts w:eastAsia="仿宋_GB2312"/>
                <w:sz w:val="18"/>
                <w:szCs w:val="18"/>
              </w:rPr>
            </w:pPr>
            <w:r>
              <w:rPr>
                <w:rFonts w:eastAsia="仿宋_GB2312"/>
                <w:sz w:val="18"/>
                <w:szCs w:val="18"/>
              </w:rPr>
              <w:t>规划用途</w:t>
            </w:r>
          </w:p>
        </w:tc>
        <w:tc>
          <w:tcPr>
            <w:tcW w:w="768" w:type="pct"/>
            <w:vAlign w:val="center"/>
          </w:tcPr>
          <w:p>
            <w:pPr>
              <w:widowControl/>
              <w:adjustRightInd w:val="0"/>
              <w:snapToGrid w:val="0"/>
              <w:spacing w:line="400" w:lineRule="exact"/>
              <w:jc w:val="center"/>
              <w:rPr>
                <w:rFonts w:eastAsia="仿宋_GB2312"/>
                <w:sz w:val="18"/>
                <w:szCs w:val="18"/>
              </w:rPr>
            </w:pPr>
            <w:r>
              <w:rPr>
                <w:rFonts w:eastAsia="仿宋_GB2312"/>
                <w:sz w:val="18"/>
                <w:szCs w:val="18"/>
              </w:rPr>
              <w:t>评估层/总楼层</w:t>
            </w:r>
          </w:p>
        </w:tc>
        <w:tc>
          <w:tcPr>
            <w:tcW w:w="723" w:type="pct"/>
            <w:vAlign w:val="center"/>
          </w:tcPr>
          <w:p>
            <w:pPr>
              <w:widowControl/>
              <w:spacing w:line="400" w:lineRule="exact"/>
              <w:jc w:val="center"/>
              <w:rPr>
                <w:rFonts w:eastAsia="仿宋_GB2312"/>
                <w:color w:val="000000"/>
                <w:kern w:val="0"/>
                <w:sz w:val="18"/>
                <w:szCs w:val="18"/>
              </w:rPr>
            </w:pPr>
            <w:r>
              <w:rPr>
                <w:rFonts w:eastAsia="仿宋_GB2312"/>
                <w:color w:val="000000"/>
                <w:kern w:val="0"/>
                <w:sz w:val="18"/>
                <w:szCs w:val="18"/>
              </w:rPr>
              <w:t>建筑面积（</w:t>
            </w:r>
            <w:r>
              <w:rPr>
                <w:bCs/>
                <w:color w:val="000000"/>
                <w:sz w:val="18"/>
                <w:szCs w:val="18"/>
              </w:rPr>
              <w:t>㎡</w:t>
            </w:r>
            <w:r>
              <w:rPr>
                <w:rFonts w:eastAsia="仿宋_GB2312"/>
                <w:color w:val="000000"/>
                <w:kern w:val="0"/>
                <w:sz w:val="18"/>
                <w:szCs w:val="18"/>
              </w:rPr>
              <w:t>）</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000" w:type="pct"/>
            <w:vAlign w:val="center"/>
          </w:tcPr>
          <w:p>
            <w:pPr>
              <w:widowControl/>
              <w:jc w:val="center"/>
              <w:rPr>
                <w:rFonts w:eastAsia="仿宋_GB2312"/>
                <w:kern w:val="0"/>
                <w:sz w:val="18"/>
                <w:szCs w:val="18"/>
              </w:rPr>
            </w:pPr>
            <w:r>
              <w:rPr>
                <w:rFonts w:eastAsia="仿宋_GB2312"/>
                <w:kern w:val="0"/>
                <w:sz w:val="18"/>
                <w:szCs w:val="18"/>
              </w:rPr>
              <w:t>栗房权证上栗镇字第103110605号</w:t>
            </w:r>
          </w:p>
        </w:tc>
        <w:tc>
          <w:tcPr>
            <w:tcW w:w="749" w:type="pct"/>
            <w:vAlign w:val="center"/>
          </w:tcPr>
          <w:p>
            <w:pPr>
              <w:widowControl/>
              <w:jc w:val="center"/>
              <w:rPr>
                <w:rFonts w:eastAsia="仿宋_GB2312"/>
                <w:color w:val="000000"/>
                <w:kern w:val="0"/>
                <w:sz w:val="18"/>
                <w:szCs w:val="18"/>
              </w:rPr>
            </w:pPr>
            <w:r>
              <w:rPr>
                <w:rFonts w:eastAsia="仿宋_GB2312"/>
                <w:color w:val="000000"/>
                <w:kern w:val="0"/>
                <w:sz w:val="18"/>
                <w:szCs w:val="18"/>
              </w:rPr>
              <w:t>柳桂林</w:t>
            </w:r>
          </w:p>
        </w:tc>
        <w:tc>
          <w:tcPr>
            <w:tcW w:w="821" w:type="pct"/>
            <w:vMerge w:val="restart"/>
            <w:vAlign w:val="center"/>
          </w:tcPr>
          <w:p>
            <w:pPr>
              <w:spacing w:line="400" w:lineRule="exact"/>
              <w:jc w:val="center"/>
              <w:rPr>
                <w:rFonts w:eastAsia="仿宋_GB2312"/>
                <w:kern w:val="0"/>
                <w:sz w:val="18"/>
                <w:szCs w:val="18"/>
              </w:rPr>
            </w:pPr>
            <w:r>
              <w:rPr>
                <w:rFonts w:eastAsia="仿宋_GB2312"/>
                <w:color w:val="000000"/>
                <w:kern w:val="0"/>
                <w:sz w:val="18"/>
                <w:szCs w:val="18"/>
              </w:rPr>
              <w:t>上栗县上栗镇贸易广场站前路</w:t>
            </w:r>
          </w:p>
        </w:tc>
        <w:tc>
          <w:tcPr>
            <w:tcW w:w="404" w:type="pct"/>
            <w:vMerge w:val="restart"/>
            <w:vAlign w:val="center"/>
          </w:tcPr>
          <w:p>
            <w:pPr>
              <w:spacing w:line="400" w:lineRule="exact"/>
              <w:jc w:val="center"/>
              <w:rPr>
                <w:rFonts w:eastAsia="仿宋_GB2312"/>
                <w:color w:val="000000"/>
                <w:sz w:val="18"/>
                <w:szCs w:val="18"/>
              </w:rPr>
            </w:pPr>
            <w:r>
              <w:rPr>
                <w:rFonts w:eastAsia="仿宋_GB2312"/>
                <w:color w:val="000000"/>
                <w:sz w:val="18"/>
                <w:szCs w:val="18"/>
              </w:rPr>
              <w:t>砖混</w:t>
            </w:r>
          </w:p>
        </w:tc>
        <w:tc>
          <w:tcPr>
            <w:tcW w:w="535" w:type="pct"/>
            <w:vMerge w:val="restart"/>
            <w:vAlign w:val="center"/>
          </w:tcPr>
          <w:p>
            <w:pPr>
              <w:widowControl/>
              <w:jc w:val="center"/>
              <w:rPr>
                <w:rFonts w:eastAsia="仿宋_GB2312"/>
                <w:kern w:val="0"/>
                <w:sz w:val="18"/>
                <w:szCs w:val="18"/>
              </w:rPr>
            </w:pPr>
            <w:r>
              <w:rPr>
                <w:rFonts w:eastAsia="仿宋_GB2312"/>
                <w:kern w:val="0"/>
                <w:sz w:val="18"/>
                <w:szCs w:val="18"/>
              </w:rPr>
              <w:t>商住</w:t>
            </w:r>
          </w:p>
        </w:tc>
        <w:tc>
          <w:tcPr>
            <w:tcW w:w="768" w:type="pct"/>
            <w:vMerge w:val="restart"/>
            <w:vAlign w:val="center"/>
          </w:tcPr>
          <w:p>
            <w:pPr>
              <w:widowControl/>
              <w:jc w:val="center"/>
              <w:rPr>
                <w:rFonts w:eastAsia="仿宋_GB2312"/>
                <w:kern w:val="0"/>
                <w:sz w:val="18"/>
                <w:szCs w:val="18"/>
              </w:rPr>
            </w:pPr>
            <w:r>
              <w:rPr>
                <w:rFonts w:eastAsia="仿宋_GB2312"/>
                <w:kern w:val="0"/>
                <w:sz w:val="18"/>
                <w:szCs w:val="18"/>
              </w:rPr>
              <w:t>1-2/6</w:t>
            </w:r>
          </w:p>
        </w:tc>
        <w:tc>
          <w:tcPr>
            <w:tcW w:w="723" w:type="pct"/>
            <w:vMerge w:val="restart"/>
            <w:vAlign w:val="center"/>
          </w:tcPr>
          <w:p>
            <w:pPr>
              <w:widowControl/>
              <w:jc w:val="center"/>
              <w:rPr>
                <w:rFonts w:eastAsia="仿宋_GB2312"/>
                <w:color w:val="000000"/>
                <w:kern w:val="0"/>
                <w:sz w:val="18"/>
                <w:szCs w:val="18"/>
              </w:rPr>
            </w:pPr>
            <w:r>
              <w:rPr>
                <w:rFonts w:eastAsia="仿宋_GB2312"/>
                <w:color w:val="000000"/>
                <w:kern w:val="0"/>
                <w:sz w:val="18"/>
                <w:szCs w:val="18"/>
              </w:rPr>
              <w:t>128.67</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0" w:type="pct"/>
            <w:vAlign w:val="center"/>
          </w:tcPr>
          <w:p>
            <w:pPr>
              <w:widowControl/>
              <w:jc w:val="center"/>
              <w:rPr>
                <w:rFonts w:eastAsia="仿宋_GB2312"/>
                <w:kern w:val="0"/>
                <w:sz w:val="18"/>
                <w:szCs w:val="18"/>
              </w:rPr>
            </w:pPr>
            <w:r>
              <w:rPr>
                <w:rFonts w:eastAsia="仿宋_GB2312"/>
                <w:kern w:val="0"/>
                <w:sz w:val="18"/>
                <w:szCs w:val="18"/>
              </w:rPr>
              <w:t>栗房权证上栗镇字第103110606号</w:t>
            </w:r>
          </w:p>
        </w:tc>
        <w:tc>
          <w:tcPr>
            <w:tcW w:w="749" w:type="pct"/>
            <w:vAlign w:val="center"/>
          </w:tcPr>
          <w:p>
            <w:pPr>
              <w:widowControl/>
              <w:jc w:val="center"/>
              <w:rPr>
                <w:rFonts w:eastAsia="仿宋_GB2312"/>
                <w:color w:val="000000"/>
                <w:kern w:val="0"/>
                <w:sz w:val="18"/>
                <w:szCs w:val="18"/>
              </w:rPr>
            </w:pPr>
            <w:r>
              <w:rPr>
                <w:rFonts w:eastAsia="仿宋_GB2312"/>
                <w:color w:val="000000"/>
                <w:kern w:val="0"/>
                <w:sz w:val="18"/>
                <w:szCs w:val="18"/>
              </w:rPr>
              <w:t>袁理智</w:t>
            </w:r>
          </w:p>
        </w:tc>
        <w:tc>
          <w:tcPr>
            <w:tcW w:w="821" w:type="pct"/>
            <w:vMerge w:val="continue"/>
            <w:vAlign w:val="center"/>
          </w:tcPr>
          <w:p>
            <w:pPr>
              <w:spacing w:line="400" w:lineRule="exact"/>
              <w:jc w:val="center"/>
              <w:rPr>
                <w:rFonts w:eastAsia="仿宋_GB2312"/>
                <w:kern w:val="0"/>
                <w:sz w:val="18"/>
                <w:szCs w:val="18"/>
              </w:rPr>
            </w:pPr>
          </w:p>
        </w:tc>
        <w:tc>
          <w:tcPr>
            <w:tcW w:w="404" w:type="pct"/>
            <w:vMerge w:val="continue"/>
            <w:vAlign w:val="center"/>
          </w:tcPr>
          <w:p>
            <w:pPr>
              <w:spacing w:line="400" w:lineRule="exact"/>
              <w:jc w:val="center"/>
              <w:rPr>
                <w:rFonts w:eastAsia="仿宋_GB2312"/>
                <w:color w:val="000000"/>
                <w:sz w:val="18"/>
                <w:szCs w:val="18"/>
              </w:rPr>
            </w:pPr>
          </w:p>
        </w:tc>
        <w:tc>
          <w:tcPr>
            <w:tcW w:w="535" w:type="pct"/>
            <w:vMerge w:val="continue"/>
            <w:vAlign w:val="center"/>
          </w:tcPr>
          <w:p>
            <w:pPr>
              <w:widowControl/>
              <w:spacing w:line="400" w:lineRule="exact"/>
              <w:jc w:val="center"/>
              <w:rPr>
                <w:rFonts w:eastAsia="仿宋_GB2312"/>
                <w:kern w:val="0"/>
                <w:sz w:val="18"/>
                <w:szCs w:val="18"/>
              </w:rPr>
            </w:pPr>
          </w:p>
        </w:tc>
        <w:tc>
          <w:tcPr>
            <w:tcW w:w="768" w:type="pct"/>
            <w:vMerge w:val="continue"/>
            <w:vAlign w:val="center"/>
          </w:tcPr>
          <w:p>
            <w:pPr>
              <w:widowControl/>
              <w:spacing w:line="400" w:lineRule="exact"/>
              <w:jc w:val="center"/>
              <w:rPr>
                <w:rFonts w:eastAsia="仿宋_GB2312"/>
                <w:color w:val="000000"/>
                <w:kern w:val="0"/>
                <w:sz w:val="18"/>
                <w:szCs w:val="18"/>
              </w:rPr>
            </w:pPr>
          </w:p>
        </w:tc>
        <w:tc>
          <w:tcPr>
            <w:tcW w:w="723" w:type="pct"/>
            <w:vMerge w:val="continue"/>
            <w:vAlign w:val="center"/>
          </w:tcPr>
          <w:p>
            <w:pPr>
              <w:widowControl/>
              <w:spacing w:line="400" w:lineRule="exact"/>
              <w:jc w:val="center"/>
              <w:rPr>
                <w:rFonts w:eastAsia="仿宋_GB2312"/>
                <w:color w:val="000000"/>
                <w:kern w:val="0"/>
                <w:sz w:val="18"/>
                <w:szCs w:val="18"/>
              </w:rPr>
            </w:pP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0" w:type="pct"/>
            <w:vAlign w:val="center"/>
          </w:tcPr>
          <w:p>
            <w:pPr>
              <w:widowControl/>
              <w:jc w:val="center"/>
              <w:rPr>
                <w:rFonts w:eastAsia="仿宋_GB2312"/>
                <w:kern w:val="0"/>
                <w:sz w:val="18"/>
                <w:szCs w:val="18"/>
              </w:rPr>
            </w:pPr>
            <w:r>
              <w:rPr>
                <w:rFonts w:eastAsia="仿宋_GB2312"/>
                <w:kern w:val="0"/>
                <w:sz w:val="18"/>
                <w:szCs w:val="18"/>
              </w:rPr>
              <w:t>栗房权证上栗镇字第103110607号</w:t>
            </w:r>
          </w:p>
        </w:tc>
        <w:tc>
          <w:tcPr>
            <w:tcW w:w="749" w:type="pct"/>
            <w:vAlign w:val="center"/>
          </w:tcPr>
          <w:p>
            <w:pPr>
              <w:widowControl/>
              <w:jc w:val="center"/>
              <w:rPr>
                <w:rFonts w:eastAsia="仿宋_GB2312"/>
                <w:color w:val="000000"/>
                <w:kern w:val="0"/>
                <w:sz w:val="18"/>
                <w:szCs w:val="18"/>
              </w:rPr>
            </w:pPr>
            <w:r>
              <w:rPr>
                <w:rFonts w:eastAsia="仿宋_GB2312"/>
                <w:color w:val="000000"/>
                <w:kern w:val="0"/>
                <w:sz w:val="18"/>
                <w:szCs w:val="18"/>
              </w:rPr>
              <w:t>柳桂林</w:t>
            </w:r>
          </w:p>
        </w:tc>
        <w:tc>
          <w:tcPr>
            <w:tcW w:w="821" w:type="pct"/>
            <w:vMerge w:val="continue"/>
            <w:vAlign w:val="center"/>
          </w:tcPr>
          <w:p>
            <w:pPr>
              <w:spacing w:line="400" w:lineRule="exact"/>
              <w:jc w:val="center"/>
              <w:rPr>
                <w:rFonts w:eastAsia="仿宋_GB2312"/>
                <w:kern w:val="0"/>
                <w:sz w:val="18"/>
                <w:szCs w:val="18"/>
              </w:rPr>
            </w:pPr>
          </w:p>
        </w:tc>
        <w:tc>
          <w:tcPr>
            <w:tcW w:w="404" w:type="pct"/>
            <w:vMerge w:val="continue"/>
            <w:vAlign w:val="center"/>
          </w:tcPr>
          <w:p>
            <w:pPr>
              <w:spacing w:line="400" w:lineRule="exact"/>
              <w:jc w:val="center"/>
              <w:rPr>
                <w:rFonts w:eastAsia="仿宋_GB2312"/>
                <w:color w:val="000000"/>
                <w:sz w:val="18"/>
                <w:szCs w:val="18"/>
              </w:rPr>
            </w:pPr>
          </w:p>
        </w:tc>
        <w:tc>
          <w:tcPr>
            <w:tcW w:w="535" w:type="pct"/>
            <w:vMerge w:val="restart"/>
            <w:vAlign w:val="center"/>
          </w:tcPr>
          <w:p>
            <w:pPr>
              <w:widowControl/>
              <w:jc w:val="center"/>
              <w:rPr>
                <w:rFonts w:eastAsia="仿宋_GB2312"/>
                <w:kern w:val="0"/>
                <w:sz w:val="18"/>
                <w:szCs w:val="18"/>
              </w:rPr>
            </w:pPr>
            <w:r>
              <w:rPr>
                <w:rFonts w:eastAsia="仿宋_GB2312"/>
                <w:kern w:val="0"/>
                <w:sz w:val="18"/>
                <w:szCs w:val="18"/>
              </w:rPr>
              <w:t>住宅</w:t>
            </w:r>
          </w:p>
        </w:tc>
        <w:tc>
          <w:tcPr>
            <w:tcW w:w="768" w:type="pct"/>
            <w:vMerge w:val="restart"/>
            <w:vAlign w:val="center"/>
          </w:tcPr>
          <w:p>
            <w:pPr>
              <w:widowControl/>
              <w:jc w:val="center"/>
              <w:rPr>
                <w:rFonts w:eastAsia="仿宋_GB2312"/>
                <w:kern w:val="0"/>
                <w:sz w:val="18"/>
                <w:szCs w:val="18"/>
              </w:rPr>
            </w:pPr>
            <w:r>
              <w:rPr>
                <w:rFonts w:eastAsia="仿宋_GB2312"/>
                <w:kern w:val="0"/>
                <w:sz w:val="18"/>
                <w:szCs w:val="18"/>
              </w:rPr>
              <w:t>3-4/6</w:t>
            </w:r>
          </w:p>
        </w:tc>
        <w:tc>
          <w:tcPr>
            <w:tcW w:w="723" w:type="pct"/>
            <w:vMerge w:val="restart"/>
            <w:vAlign w:val="center"/>
          </w:tcPr>
          <w:p>
            <w:pPr>
              <w:widowControl/>
              <w:jc w:val="center"/>
              <w:rPr>
                <w:rFonts w:eastAsia="仿宋_GB2312"/>
                <w:color w:val="000000"/>
                <w:kern w:val="0"/>
                <w:sz w:val="18"/>
                <w:szCs w:val="18"/>
              </w:rPr>
            </w:pPr>
            <w:r>
              <w:rPr>
                <w:rFonts w:eastAsia="仿宋_GB2312"/>
                <w:color w:val="000000"/>
                <w:kern w:val="0"/>
                <w:sz w:val="18"/>
                <w:szCs w:val="18"/>
              </w:rPr>
              <w:t>327.86</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00" w:type="pct"/>
            <w:vAlign w:val="center"/>
          </w:tcPr>
          <w:p>
            <w:pPr>
              <w:widowControl/>
              <w:jc w:val="center"/>
              <w:rPr>
                <w:rFonts w:eastAsia="仿宋_GB2312"/>
                <w:kern w:val="0"/>
                <w:sz w:val="18"/>
                <w:szCs w:val="18"/>
              </w:rPr>
            </w:pPr>
            <w:r>
              <w:rPr>
                <w:rFonts w:eastAsia="仿宋_GB2312"/>
                <w:kern w:val="0"/>
                <w:sz w:val="18"/>
                <w:szCs w:val="18"/>
              </w:rPr>
              <w:t>栗房权证上栗镇字第103110608号</w:t>
            </w:r>
          </w:p>
        </w:tc>
        <w:tc>
          <w:tcPr>
            <w:tcW w:w="749" w:type="pct"/>
            <w:vAlign w:val="center"/>
          </w:tcPr>
          <w:p>
            <w:pPr>
              <w:widowControl/>
              <w:jc w:val="center"/>
              <w:rPr>
                <w:rFonts w:eastAsia="仿宋_GB2312"/>
                <w:color w:val="000000"/>
                <w:kern w:val="0"/>
                <w:sz w:val="18"/>
                <w:szCs w:val="18"/>
              </w:rPr>
            </w:pPr>
            <w:r>
              <w:rPr>
                <w:rFonts w:eastAsia="仿宋_GB2312"/>
                <w:color w:val="000000"/>
                <w:kern w:val="0"/>
                <w:sz w:val="18"/>
                <w:szCs w:val="18"/>
              </w:rPr>
              <w:t>袁理智</w:t>
            </w:r>
          </w:p>
        </w:tc>
        <w:tc>
          <w:tcPr>
            <w:tcW w:w="821" w:type="pct"/>
            <w:vMerge w:val="continue"/>
            <w:vAlign w:val="center"/>
          </w:tcPr>
          <w:p>
            <w:pPr>
              <w:spacing w:line="400" w:lineRule="exact"/>
              <w:jc w:val="center"/>
              <w:rPr>
                <w:rFonts w:eastAsia="仿宋_GB2312"/>
                <w:kern w:val="0"/>
                <w:sz w:val="18"/>
                <w:szCs w:val="18"/>
              </w:rPr>
            </w:pPr>
          </w:p>
        </w:tc>
        <w:tc>
          <w:tcPr>
            <w:tcW w:w="404" w:type="pct"/>
            <w:vMerge w:val="continue"/>
            <w:vAlign w:val="center"/>
          </w:tcPr>
          <w:p>
            <w:pPr>
              <w:spacing w:line="400" w:lineRule="exact"/>
              <w:jc w:val="center"/>
              <w:rPr>
                <w:rFonts w:eastAsia="仿宋_GB2312"/>
                <w:color w:val="000000"/>
                <w:sz w:val="18"/>
                <w:szCs w:val="18"/>
              </w:rPr>
            </w:pPr>
          </w:p>
        </w:tc>
        <w:tc>
          <w:tcPr>
            <w:tcW w:w="535" w:type="pct"/>
            <w:vMerge w:val="continue"/>
            <w:vAlign w:val="center"/>
          </w:tcPr>
          <w:p>
            <w:pPr>
              <w:widowControl/>
              <w:spacing w:line="400" w:lineRule="exact"/>
              <w:jc w:val="center"/>
              <w:rPr>
                <w:rFonts w:eastAsia="仿宋_GB2312"/>
                <w:kern w:val="0"/>
                <w:sz w:val="18"/>
                <w:szCs w:val="18"/>
              </w:rPr>
            </w:pPr>
          </w:p>
        </w:tc>
        <w:tc>
          <w:tcPr>
            <w:tcW w:w="768" w:type="pct"/>
            <w:vMerge w:val="continue"/>
            <w:vAlign w:val="center"/>
          </w:tcPr>
          <w:p>
            <w:pPr>
              <w:widowControl/>
              <w:spacing w:line="400" w:lineRule="exact"/>
              <w:jc w:val="center"/>
              <w:rPr>
                <w:rFonts w:eastAsia="仿宋_GB2312"/>
                <w:color w:val="000000"/>
                <w:kern w:val="0"/>
                <w:sz w:val="18"/>
                <w:szCs w:val="18"/>
              </w:rPr>
            </w:pPr>
          </w:p>
        </w:tc>
        <w:tc>
          <w:tcPr>
            <w:tcW w:w="723" w:type="pct"/>
            <w:vMerge w:val="continue"/>
            <w:vAlign w:val="center"/>
          </w:tcPr>
          <w:p>
            <w:pPr>
              <w:widowControl/>
              <w:spacing w:line="400" w:lineRule="exact"/>
              <w:jc w:val="center"/>
              <w:rPr>
                <w:rFonts w:eastAsia="仿宋_GB2312"/>
                <w:color w:val="000000"/>
                <w:kern w:val="0"/>
                <w:sz w:val="18"/>
                <w:szCs w:val="18"/>
              </w:rPr>
            </w:pPr>
          </w:p>
        </w:tc>
      </w:tr>
    </w:tbl>
    <w:p>
      <w:pPr>
        <w:tabs>
          <w:tab w:val="left" w:pos="4998"/>
        </w:tabs>
        <w:adjustRightInd w:val="0"/>
        <w:snapToGrid w:val="0"/>
        <w:spacing w:line="500" w:lineRule="exact"/>
        <w:ind w:firstLine="560" w:firstLineChars="200"/>
        <w:jc w:val="center"/>
        <w:rPr>
          <w:rFonts w:eastAsia="仿宋_GB2312"/>
          <w:sz w:val="28"/>
        </w:rPr>
      </w:pPr>
      <w:r>
        <w:rPr>
          <w:rFonts w:eastAsia="仿宋_GB2312"/>
          <w:sz w:val="28"/>
        </w:rPr>
        <w:t>土地权属状况明细表</w:t>
      </w:r>
    </w:p>
    <w:tbl>
      <w:tblPr>
        <w:tblStyle w:val="25"/>
        <w:tblW w:w="5000" w:type="pct"/>
        <w:tblInd w:w="0" w:type="dxa"/>
        <w:tblLayout w:type="autofit"/>
        <w:tblCellMar>
          <w:top w:w="0" w:type="dxa"/>
          <w:left w:w="108" w:type="dxa"/>
          <w:bottom w:w="0" w:type="dxa"/>
          <w:right w:w="108" w:type="dxa"/>
        </w:tblCellMar>
      </w:tblPr>
      <w:tblGrid>
        <w:gridCol w:w="1951"/>
        <w:gridCol w:w="1135"/>
        <w:gridCol w:w="1133"/>
        <w:gridCol w:w="1039"/>
        <w:gridCol w:w="880"/>
        <w:gridCol w:w="1061"/>
        <w:gridCol w:w="1087"/>
        <w:gridCol w:w="956"/>
      </w:tblGrid>
      <w:tr>
        <w:tblPrEx>
          <w:tblCellMar>
            <w:top w:w="0" w:type="dxa"/>
            <w:left w:w="108" w:type="dxa"/>
            <w:bottom w:w="0" w:type="dxa"/>
            <w:right w:w="108" w:type="dxa"/>
          </w:tblCellMar>
        </w:tblPrEx>
        <w:trPr>
          <w:trHeight w:val="555" w:hRule="atLeast"/>
        </w:trPr>
        <w:tc>
          <w:tcPr>
            <w:tcW w:w="1056" w:type="pct"/>
            <w:tcBorders>
              <w:top w:val="double" w:color="auto" w:sz="6" w:space="0"/>
              <w:left w:val="double" w:color="auto" w:sz="6" w:space="0"/>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《国有土地使用证》证号</w:t>
            </w:r>
          </w:p>
        </w:tc>
        <w:tc>
          <w:tcPr>
            <w:tcW w:w="614" w:type="pc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土地使用权人</w:t>
            </w:r>
          </w:p>
        </w:tc>
        <w:tc>
          <w:tcPr>
            <w:tcW w:w="613" w:type="pc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座落</w:t>
            </w:r>
          </w:p>
        </w:tc>
        <w:tc>
          <w:tcPr>
            <w:tcW w:w="562" w:type="pc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地类（用途）</w:t>
            </w:r>
          </w:p>
        </w:tc>
        <w:tc>
          <w:tcPr>
            <w:tcW w:w="476" w:type="pc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使用权类型</w:t>
            </w:r>
          </w:p>
        </w:tc>
        <w:tc>
          <w:tcPr>
            <w:tcW w:w="574" w:type="pc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终止日期</w:t>
            </w:r>
          </w:p>
        </w:tc>
        <w:tc>
          <w:tcPr>
            <w:tcW w:w="588" w:type="pct"/>
            <w:tcBorders>
              <w:top w:val="double" w:color="auto" w:sz="6" w:space="0"/>
              <w:left w:val="nil"/>
              <w:bottom w:val="single" w:color="auto" w:sz="4"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使用权面积（</w:t>
            </w:r>
            <w:r>
              <w:rPr>
                <w:rFonts w:eastAsia="Batang"/>
                <w:color w:val="000000"/>
                <w:kern w:val="0"/>
                <w:sz w:val="18"/>
                <w:szCs w:val="18"/>
              </w:rPr>
              <w:t>㎡</w:t>
            </w:r>
            <w:r>
              <w:rPr>
                <w:rFonts w:eastAsia="仿宋_GB2312"/>
                <w:color w:val="000000"/>
                <w:kern w:val="0"/>
                <w:sz w:val="18"/>
                <w:szCs w:val="18"/>
              </w:rPr>
              <w:t>）</w:t>
            </w:r>
          </w:p>
        </w:tc>
        <w:tc>
          <w:tcPr>
            <w:tcW w:w="517" w:type="pct"/>
            <w:tcBorders>
              <w:top w:val="double" w:color="auto" w:sz="6" w:space="0"/>
              <w:left w:val="nil"/>
              <w:bottom w:val="single" w:color="auto" w:sz="4" w:space="0"/>
              <w:right w:val="double" w:color="auto" w:sz="6"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分摊面积（</w:t>
            </w:r>
            <w:r>
              <w:rPr>
                <w:rFonts w:eastAsia="Batang"/>
                <w:color w:val="000000"/>
                <w:kern w:val="0"/>
                <w:sz w:val="18"/>
                <w:szCs w:val="18"/>
              </w:rPr>
              <w:t>㎡</w:t>
            </w:r>
            <w:r>
              <w:rPr>
                <w:rFonts w:eastAsia="仿宋_GB2312"/>
                <w:color w:val="000000"/>
                <w:kern w:val="0"/>
                <w:sz w:val="18"/>
                <w:szCs w:val="18"/>
              </w:rPr>
              <w:t>）</w:t>
            </w:r>
          </w:p>
        </w:tc>
      </w:tr>
      <w:tr>
        <w:tblPrEx>
          <w:tblCellMar>
            <w:top w:w="0" w:type="dxa"/>
            <w:left w:w="108" w:type="dxa"/>
            <w:bottom w:w="0" w:type="dxa"/>
            <w:right w:w="108" w:type="dxa"/>
          </w:tblCellMar>
        </w:tblPrEx>
        <w:trPr>
          <w:trHeight w:val="825" w:hRule="atLeast"/>
        </w:trPr>
        <w:tc>
          <w:tcPr>
            <w:tcW w:w="1056" w:type="pct"/>
            <w:tcBorders>
              <w:top w:val="nil"/>
              <w:left w:val="double" w:color="auto" w:sz="6" w:space="0"/>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栗国用（2009）第04751号</w:t>
            </w:r>
          </w:p>
        </w:tc>
        <w:tc>
          <w:tcPr>
            <w:tcW w:w="614" w:type="pct"/>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柳桂林</w:t>
            </w:r>
          </w:p>
        </w:tc>
        <w:tc>
          <w:tcPr>
            <w:tcW w:w="613" w:type="pct"/>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上栗县上栗镇贸易广场站前路</w:t>
            </w:r>
          </w:p>
        </w:tc>
        <w:tc>
          <w:tcPr>
            <w:tcW w:w="562" w:type="pct"/>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城镇住宅用地</w:t>
            </w:r>
          </w:p>
        </w:tc>
        <w:tc>
          <w:tcPr>
            <w:tcW w:w="476" w:type="pct"/>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出让</w:t>
            </w:r>
          </w:p>
        </w:tc>
        <w:tc>
          <w:tcPr>
            <w:tcW w:w="574" w:type="pct"/>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2052年11月26日</w:t>
            </w:r>
          </w:p>
        </w:tc>
        <w:tc>
          <w:tcPr>
            <w:tcW w:w="588" w:type="pct"/>
            <w:tcBorders>
              <w:top w:val="nil"/>
              <w:left w:val="nil"/>
              <w:bottom w:val="double" w:color="auto" w:sz="6" w:space="0"/>
              <w:right w:val="single" w:color="auto" w:sz="4"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73.2</w:t>
            </w:r>
          </w:p>
        </w:tc>
        <w:tc>
          <w:tcPr>
            <w:tcW w:w="517" w:type="pct"/>
            <w:tcBorders>
              <w:top w:val="nil"/>
              <w:left w:val="nil"/>
              <w:bottom w:val="double" w:color="auto" w:sz="6" w:space="0"/>
              <w:right w:val="double" w:color="auto" w:sz="6" w:space="0"/>
            </w:tcBorders>
            <w:shd w:val="clear" w:color="auto" w:fill="auto"/>
            <w:vAlign w:val="center"/>
          </w:tcPr>
          <w:p>
            <w:pPr>
              <w:widowControl/>
              <w:jc w:val="center"/>
              <w:rPr>
                <w:rFonts w:eastAsia="仿宋_GB2312"/>
                <w:color w:val="000000"/>
                <w:kern w:val="0"/>
                <w:sz w:val="18"/>
                <w:szCs w:val="18"/>
              </w:rPr>
            </w:pPr>
            <w:r>
              <w:rPr>
                <w:rFonts w:eastAsia="仿宋_GB2312"/>
                <w:color w:val="000000"/>
                <w:kern w:val="0"/>
                <w:sz w:val="18"/>
                <w:szCs w:val="18"/>
              </w:rPr>
              <w:t>73.2</w:t>
            </w:r>
          </w:p>
        </w:tc>
      </w:tr>
    </w:tbl>
    <w:p>
      <w:pPr>
        <w:tabs>
          <w:tab w:val="left" w:pos="4998"/>
        </w:tabs>
        <w:adjustRightInd w:val="0"/>
        <w:snapToGrid w:val="0"/>
        <w:spacing w:line="500" w:lineRule="exact"/>
        <w:ind w:firstLine="560" w:firstLineChars="200"/>
        <w:rPr>
          <w:rFonts w:eastAsia="仿宋"/>
          <w:sz w:val="28"/>
        </w:rPr>
      </w:pPr>
      <w:r>
        <w:rPr>
          <w:rFonts w:eastAsia="仿宋"/>
          <w:sz w:val="28"/>
        </w:rPr>
        <w:t>（2）他项权利状况</w:t>
      </w:r>
    </w:p>
    <w:p>
      <w:pPr>
        <w:tabs>
          <w:tab w:val="left" w:pos="4998"/>
        </w:tabs>
        <w:adjustRightInd w:val="0"/>
        <w:snapToGrid w:val="0"/>
        <w:spacing w:line="500" w:lineRule="exact"/>
        <w:ind w:firstLine="560" w:firstLineChars="200"/>
        <w:rPr>
          <w:rFonts w:eastAsia="仿宋"/>
          <w:sz w:val="28"/>
        </w:rPr>
      </w:pPr>
      <w:r>
        <w:rPr>
          <w:rFonts w:eastAsia="仿宋"/>
          <w:sz w:val="28"/>
        </w:rPr>
        <w:t>根据估价委托人介绍及查勘人员实地查勘，至价值时点，估价对象第三、四层已被查封。</w:t>
      </w:r>
    </w:p>
    <w:p>
      <w:pPr>
        <w:tabs>
          <w:tab w:val="left" w:pos="540"/>
        </w:tabs>
        <w:adjustRightInd w:val="0"/>
        <w:snapToGrid w:val="0"/>
        <w:spacing w:line="500" w:lineRule="exact"/>
        <w:ind w:firstLine="560" w:firstLineChars="200"/>
        <w:rPr>
          <w:rFonts w:eastAsia="仿宋"/>
          <w:sz w:val="28"/>
        </w:rPr>
      </w:pPr>
      <w:r>
        <w:rPr>
          <w:rFonts w:eastAsia="仿宋"/>
          <w:sz w:val="28"/>
        </w:rPr>
        <w:t>3、区位状况描述与分析</w:t>
      </w:r>
    </w:p>
    <w:p>
      <w:pPr>
        <w:tabs>
          <w:tab w:val="left" w:pos="4998"/>
        </w:tabs>
        <w:adjustRightInd w:val="0"/>
        <w:snapToGrid w:val="0"/>
        <w:spacing w:line="500" w:lineRule="exact"/>
        <w:ind w:firstLine="560" w:firstLineChars="200"/>
        <w:rPr>
          <w:rFonts w:eastAsia="仿宋_GB2312"/>
          <w:sz w:val="28"/>
        </w:rPr>
      </w:pPr>
      <w:r>
        <w:rPr>
          <w:rFonts w:eastAsia="仿宋"/>
          <w:sz w:val="28"/>
        </w:rPr>
        <w:t>（1）坐落：估价对象位于萍乡市上栗县上栗镇贸易广场站前路，为六层建筑的第一至四层，南北朝向；估价对象所在楼宇临小巷，</w:t>
      </w:r>
      <w:r>
        <w:rPr>
          <w:rFonts w:eastAsia="仿宋_GB2312"/>
          <w:sz w:val="28"/>
        </w:rPr>
        <w:t>所处位置商服繁华度一般，人流量一般。</w:t>
      </w:r>
    </w:p>
    <w:p>
      <w:pPr>
        <w:tabs>
          <w:tab w:val="left" w:pos="540"/>
        </w:tabs>
        <w:adjustRightInd w:val="0"/>
        <w:snapToGrid w:val="0"/>
        <w:spacing w:line="500" w:lineRule="exact"/>
        <w:ind w:firstLine="560" w:firstLineChars="200"/>
        <w:rPr>
          <w:rFonts w:eastAsia="仿宋"/>
          <w:sz w:val="28"/>
        </w:rPr>
      </w:pPr>
      <w:r>
        <w:rPr>
          <w:rFonts w:eastAsia="仿宋"/>
          <w:sz w:val="28"/>
        </w:rPr>
        <w:t>（2）交通：估价对象与兴盛大道、滨河南路相毗邻，交通较便利。</w:t>
      </w:r>
    </w:p>
    <w:p>
      <w:pPr>
        <w:tabs>
          <w:tab w:val="left" w:pos="540"/>
        </w:tabs>
        <w:adjustRightInd w:val="0"/>
        <w:snapToGrid w:val="0"/>
        <w:spacing w:line="500" w:lineRule="exact"/>
        <w:ind w:firstLine="560" w:firstLineChars="200"/>
        <w:rPr>
          <w:rFonts w:eastAsia="仿宋"/>
          <w:sz w:val="28"/>
        </w:rPr>
      </w:pPr>
      <w:r>
        <w:rPr>
          <w:rFonts w:eastAsia="仿宋"/>
          <w:sz w:val="28"/>
        </w:rPr>
        <w:t>（3）环境：估价对象周边景观环境、人文环境一般，周边环境一般，噪音影响较小。</w:t>
      </w:r>
    </w:p>
    <w:p>
      <w:pPr>
        <w:tabs>
          <w:tab w:val="left" w:pos="4998"/>
        </w:tabs>
        <w:adjustRightInd w:val="0"/>
        <w:snapToGrid w:val="0"/>
        <w:spacing w:line="480" w:lineRule="exact"/>
        <w:ind w:firstLine="560" w:firstLineChars="200"/>
        <w:rPr>
          <w:rFonts w:eastAsia="仿宋"/>
          <w:sz w:val="28"/>
        </w:rPr>
      </w:pPr>
      <w:r>
        <w:rPr>
          <w:rFonts w:eastAsia="仿宋"/>
          <w:sz w:val="28"/>
        </w:rPr>
        <w:t>（4）配套设施：区域内水、电、气等基础设施齐全，配套设施较完善，周边医院有上栗县中医院（约1.2公里）、上栗县栗江医院（约1.2公里）、针灸医院（约1.2公里）、上栗县妇幼保健院（约1.5公里）等，学校有胜利学校、镇中心小学、上栗县雅韵琴行艺术学校等，另有名都超市、花园超市、上栗贸易广场、万兴生活超市等各大超市、银行网点等众多公共配套设施坐落在区域范围内。</w:t>
      </w:r>
    </w:p>
    <w:p>
      <w:pPr>
        <w:pStyle w:val="3"/>
        <w:adjustRightInd w:val="0"/>
        <w:snapToGrid w:val="0"/>
        <w:spacing w:before="0" w:after="0" w:line="480" w:lineRule="exact"/>
        <w:rPr>
          <w:rFonts w:ascii="Times New Roman" w:hAnsi="Times New Roman" w:eastAsia="仿宋_GB2312"/>
          <w:bCs w:val="0"/>
          <w:color w:val="000000"/>
          <w:sz w:val="28"/>
        </w:rPr>
      </w:pPr>
      <w:bookmarkStart w:id="28" w:name="_Toc23344713"/>
      <w:bookmarkStart w:id="29" w:name="_Toc36552788"/>
      <w:bookmarkStart w:id="30" w:name="_Toc36713641"/>
      <w:r>
        <w:rPr>
          <w:rFonts w:ascii="Times New Roman" w:hAnsi="Times New Roman" w:eastAsia="仿宋_GB2312"/>
          <w:bCs w:val="0"/>
          <w:color w:val="000000"/>
          <w:sz w:val="28"/>
        </w:rPr>
        <w:t>（四）估价目的</w:t>
      </w:r>
      <w:bookmarkEnd w:id="27"/>
      <w:bookmarkEnd w:id="28"/>
      <w:bookmarkEnd w:id="29"/>
      <w:bookmarkEnd w:id="30"/>
    </w:p>
    <w:p>
      <w:pPr>
        <w:tabs>
          <w:tab w:val="left" w:pos="4998"/>
        </w:tabs>
        <w:adjustRightInd w:val="0"/>
        <w:snapToGrid w:val="0"/>
        <w:spacing w:line="480" w:lineRule="exact"/>
        <w:ind w:firstLine="490" w:firstLineChars="175"/>
        <w:rPr>
          <w:rFonts w:eastAsia="仿宋_GB2312"/>
          <w:color w:val="000000"/>
          <w:sz w:val="28"/>
        </w:rPr>
      </w:pPr>
      <w:r>
        <w:rPr>
          <w:rFonts w:eastAsia="仿宋_GB2312"/>
          <w:sz w:val="28"/>
        </w:rPr>
        <w:t>为人民法院确定房地产处置参考价提供参考依据</w:t>
      </w:r>
    </w:p>
    <w:p>
      <w:pPr>
        <w:pStyle w:val="3"/>
        <w:adjustRightInd w:val="0"/>
        <w:snapToGrid w:val="0"/>
        <w:spacing w:before="0" w:after="0" w:line="480" w:lineRule="exact"/>
        <w:rPr>
          <w:rFonts w:ascii="Times New Roman" w:hAnsi="Times New Roman" w:eastAsia="仿宋_GB2312"/>
          <w:color w:val="000000"/>
          <w:sz w:val="28"/>
        </w:rPr>
      </w:pPr>
      <w:bookmarkStart w:id="31" w:name="_Toc23344714"/>
      <w:bookmarkStart w:id="32" w:name="_Toc427611554"/>
      <w:bookmarkStart w:id="33" w:name="_Toc36713642"/>
      <w:bookmarkStart w:id="34" w:name="_Toc36552789"/>
      <w:r>
        <w:rPr>
          <w:rFonts w:ascii="Times New Roman" w:hAnsi="Times New Roman" w:eastAsia="仿宋_GB2312"/>
          <w:color w:val="000000"/>
          <w:sz w:val="28"/>
        </w:rPr>
        <w:t>（五）价值时点</w:t>
      </w:r>
      <w:bookmarkEnd w:id="31"/>
      <w:bookmarkEnd w:id="32"/>
      <w:bookmarkEnd w:id="33"/>
      <w:bookmarkEnd w:id="34"/>
    </w:p>
    <w:p>
      <w:pPr>
        <w:tabs>
          <w:tab w:val="left" w:pos="4998"/>
        </w:tabs>
        <w:adjustRightInd w:val="0"/>
        <w:snapToGrid w:val="0"/>
        <w:spacing w:line="480" w:lineRule="exact"/>
        <w:ind w:firstLine="490" w:firstLineChars="175"/>
        <w:rPr>
          <w:rFonts w:eastAsia="仿宋_GB2312"/>
          <w:color w:val="000000"/>
          <w:sz w:val="28"/>
        </w:rPr>
      </w:pPr>
      <w:r>
        <w:rPr>
          <w:rFonts w:eastAsia="仿宋_GB2312"/>
          <w:color w:val="000000"/>
          <w:sz w:val="28"/>
        </w:rPr>
        <w:t>2020年03月16日</w:t>
      </w:r>
    </w:p>
    <w:p>
      <w:pPr>
        <w:pStyle w:val="3"/>
        <w:adjustRightInd w:val="0"/>
        <w:snapToGrid w:val="0"/>
        <w:spacing w:before="0" w:after="0" w:line="480" w:lineRule="exact"/>
        <w:rPr>
          <w:rFonts w:ascii="Times New Roman" w:hAnsi="Times New Roman" w:eastAsia="仿宋_GB2312"/>
          <w:color w:val="000000"/>
          <w:sz w:val="28"/>
        </w:rPr>
      </w:pPr>
      <w:bookmarkStart w:id="35" w:name="_Toc427611555"/>
      <w:bookmarkStart w:id="36" w:name="_Toc23344715"/>
      <w:bookmarkStart w:id="37" w:name="_Toc36552790"/>
      <w:bookmarkStart w:id="38" w:name="_Toc36713643"/>
      <w:r>
        <w:rPr>
          <w:rFonts w:ascii="Times New Roman" w:hAnsi="Times New Roman" w:eastAsia="仿宋_GB2312"/>
          <w:color w:val="000000"/>
          <w:sz w:val="28"/>
        </w:rPr>
        <w:t>（六）价值</w:t>
      </w:r>
      <w:bookmarkEnd w:id="35"/>
      <w:r>
        <w:rPr>
          <w:rFonts w:ascii="Times New Roman" w:hAnsi="Times New Roman" w:eastAsia="仿宋_GB2312"/>
          <w:color w:val="000000"/>
          <w:sz w:val="28"/>
        </w:rPr>
        <w:t>类型</w:t>
      </w:r>
      <w:bookmarkEnd w:id="36"/>
      <w:bookmarkEnd w:id="37"/>
      <w:bookmarkEnd w:id="38"/>
    </w:p>
    <w:p>
      <w:pPr>
        <w:tabs>
          <w:tab w:val="left" w:pos="4998"/>
        </w:tabs>
        <w:spacing w:line="480" w:lineRule="exact"/>
        <w:ind w:firstLine="490" w:firstLineChars="175"/>
        <w:rPr>
          <w:rFonts w:eastAsia="仿宋_GB2312"/>
          <w:color w:val="000000"/>
          <w:sz w:val="28"/>
        </w:rPr>
      </w:pPr>
      <w:r>
        <w:rPr>
          <w:rFonts w:eastAsia="仿宋_GB2312"/>
          <w:color w:val="000000"/>
          <w:sz w:val="28"/>
        </w:rPr>
        <w:t>本次评估的是估价对象在价值时点的市场价值，市场价值为估价对象由熟悉情况、谨慎行事且不受强迫的交易双方，以公平交易方式在鉴定时点自愿进行交易的金额。</w:t>
      </w:r>
    </w:p>
    <w:p>
      <w:pPr>
        <w:pStyle w:val="3"/>
        <w:spacing w:before="0" w:after="0" w:line="480" w:lineRule="exact"/>
        <w:rPr>
          <w:rFonts w:ascii="Times New Roman" w:hAnsi="Times New Roman" w:eastAsia="仿宋_GB2312"/>
          <w:color w:val="000000"/>
          <w:sz w:val="28"/>
        </w:rPr>
      </w:pPr>
      <w:bookmarkStart w:id="39" w:name="_Toc23344716"/>
      <w:bookmarkStart w:id="40" w:name="_Toc427611556"/>
      <w:bookmarkStart w:id="41" w:name="_Toc36552791"/>
      <w:bookmarkStart w:id="42" w:name="_Toc36713644"/>
      <w:r>
        <w:rPr>
          <w:rFonts w:ascii="Times New Roman" w:hAnsi="Times New Roman" w:eastAsia="仿宋_GB2312"/>
          <w:color w:val="000000"/>
          <w:sz w:val="28"/>
        </w:rPr>
        <w:t>（七）估价依据</w:t>
      </w:r>
      <w:bookmarkEnd w:id="39"/>
      <w:bookmarkEnd w:id="40"/>
      <w:bookmarkEnd w:id="41"/>
      <w:bookmarkEnd w:id="42"/>
    </w:p>
    <w:p>
      <w:pPr>
        <w:spacing w:line="480" w:lineRule="exact"/>
        <w:ind w:firstLine="560" w:firstLineChars="200"/>
      </w:pPr>
      <w:r>
        <w:rPr>
          <w:rFonts w:eastAsia="仿宋"/>
          <w:bCs/>
          <w:color w:val="000000"/>
          <w:sz w:val="28"/>
        </w:rPr>
        <w:t>房地产估价的估价依据是指估价中所依据的有关法律、法规和政策文件、估价相关技术标准、估价委托人提供的有关资料及房地产估价机构和注册房地产估价师掌握和搜集的资料，具体如下：</w:t>
      </w:r>
    </w:p>
    <w:tbl>
      <w:tblPr>
        <w:tblStyle w:val="25"/>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27"/>
        <w:gridCol w:w="1874"/>
        <w:gridCol w:w="674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39" w:type="pct"/>
            <w:vAlign w:val="center"/>
          </w:tcPr>
          <w:p>
            <w:pPr>
              <w:tabs>
                <w:tab w:val="left" w:pos="980"/>
              </w:tabs>
              <w:spacing w:line="240" w:lineRule="exact"/>
              <w:jc w:val="center"/>
              <w:rPr>
                <w:rFonts w:eastAsia="仿宋_GB2312"/>
                <w:bCs/>
                <w:color w:val="000000"/>
                <w:sz w:val="20"/>
                <w:szCs w:val="21"/>
              </w:rPr>
            </w:pPr>
            <w:bookmarkStart w:id="43" w:name="_Toc427611557"/>
            <w:r>
              <w:rPr>
                <w:rFonts w:eastAsia="仿宋_GB2312"/>
                <w:color w:val="000000"/>
                <w:sz w:val="20"/>
                <w:szCs w:val="21"/>
              </w:rPr>
              <w:t>序号</w:t>
            </w:r>
          </w:p>
        </w:tc>
        <w:tc>
          <w:tcPr>
            <w:tcW w:w="1014" w:type="pct"/>
            <w:vAlign w:val="center"/>
          </w:tcPr>
          <w:p>
            <w:pPr>
              <w:tabs>
                <w:tab w:val="left" w:pos="980"/>
              </w:tabs>
              <w:spacing w:line="240" w:lineRule="exact"/>
              <w:jc w:val="center"/>
              <w:rPr>
                <w:rFonts w:eastAsia="仿宋_GB2312"/>
                <w:bCs/>
                <w:color w:val="000000"/>
                <w:sz w:val="20"/>
                <w:szCs w:val="21"/>
              </w:rPr>
            </w:pPr>
            <w:r>
              <w:rPr>
                <w:rFonts w:eastAsia="仿宋_GB2312"/>
                <w:color w:val="000000"/>
                <w:sz w:val="20"/>
                <w:szCs w:val="21"/>
              </w:rPr>
              <w:t>类别</w:t>
            </w:r>
          </w:p>
        </w:tc>
        <w:tc>
          <w:tcPr>
            <w:tcW w:w="3647" w:type="pct"/>
            <w:vAlign w:val="center"/>
          </w:tcPr>
          <w:p>
            <w:pPr>
              <w:tabs>
                <w:tab w:val="left" w:pos="980"/>
              </w:tabs>
              <w:spacing w:line="240" w:lineRule="exact"/>
              <w:ind w:firstLine="570"/>
              <w:jc w:val="center"/>
              <w:rPr>
                <w:rFonts w:eastAsia="仿宋_GB2312"/>
                <w:bCs/>
                <w:color w:val="000000"/>
                <w:sz w:val="20"/>
                <w:szCs w:val="21"/>
              </w:rPr>
            </w:pPr>
            <w:r>
              <w:rPr>
                <w:rFonts w:eastAsia="仿宋_GB2312"/>
                <w:color w:val="000000"/>
                <w:sz w:val="20"/>
                <w:szCs w:val="21"/>
              </w:rPr>
              <w:t>具体内容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39" w:type="pct"/>
            <w:vAlign w:val="center"/>
          </w:tcPr>
          <w:p>
            <w:pPr>
              <w:tabs>
                <w:tab w:val="left" w:pos="980"/>
              </w:tabs>
              <w:spacing w:line="240" w:lineRule="exact"/>
              <w:jc w:val="center"/>
              <w:rPr>
                <w:rFonts w:eastAsia="仿宋_GB2312"/>
                <w:color w:val="000000"/>
                <w:sz w:val="20"/>
                <w:szCs w:val="21"/>
              </w:rPr>
            </w:pPr>
            <w:r>
              <w:rPr>
                <w:rFonts w:eastAsia="仿宋_GB2312"/>
                <w:color w:val="000000"/>
                <w:sz w:val="20"/>
                <w:szCs w:val="21"/>
              </w:rPr>
              <w:t>1</w:t>
            </w:r>
          </w:p>
        </w:tc>
        <w:tc>
          <w:tcPr>
            <w:tcW w:w="1014" w:type="pct"/>
            <w:vAlign w:val="center"/>
          </w:tcPr>
          <w:p>
            <w:pPr>
              <w:tabs>
                <w:tab w:val="left" w:pos="980"/>
              </w:tabs>
              <w:spacing w:line="240" w:lineRule="exact"/>
              <w:jc w:val="center"/>
              <w:rPr>
                <w:rFonts w:eastAsia="仿宋_GB2312"/>
                <w:color w:val="000000"/>
                <w:sz w:val="20"/>
                <w:szCs w:val="21"/>
              </w:rPr>
            </w:pPr>
            <w:r>
              <w:rPr>
                <w:rFonts w:eastAsia="仿宋_GB2312"/>
                <w:color w:val="000000"/>
                <w:sz w:val="20"/>
                <w:szCs w:val="21"/>
              </w:rPr>
              <w:t>法律、法规和政策文件</w:t>
            </w:r>
          </w:p>
        </w:tc>
        <w:tc>
          <w:tcPr>
            <w:tcW w:w="3647" w:type="pct"/>
            <w:vAlign w:val="center"/>
          </w:tcPr>
          <w:p>
            <w:pPr>
              <w:tabs>
                <w:tab w:val="left" w:pos="-108"/>
              </w:tabs>
              <w:spacing w:line="240" w:lineRule="exact"/>
              <w:jc w:val="left"/>
              <w:rPr>
                <w:rFonts w:eastAsia="仿宋_GB2312"/>
                <w:bCs/>
                <w:color w:val="000000"/>
                <w:sz w:val="20"/>
                <w:szCs w:val="21"/>
              </w:rPr>
            </w:pPr>
            <w:r>
              <w:rPr>
                <w:rFonts w:eastAsia="仿宋_GB2312"/>
                <w:bCs/>
                <w:color w:val="000000"/>
                <w:sz w:val="20"/>
                <w:szCs w:val="21"/>
              </w:rPr>
              <w:t>1.1《中华人民共和国物权法》</w:t>
            </w:r>
          </w:p>
          <w:p>
            <w:pPr>
              <w:tabs>
                <w:tab w:val="left" w:pos="-108"/>
              </w:tabs>
              <w:spacing w:line="240" w:lineRule="exact"/>
              <w:jc w:val="left"/>
              <w:rPr>
                <w:rFonts w:eastAsia="仿宋_GB2312"/>
                <w:bCs/>
                <w:color w:val="000000"/>
                <w:sz w:val="20"/>
                <w:szCs w:val="21"/>
              </w:rPr>
            </w:pPr>
            <w:r>
              <w:rPr>
                <w:rFonts w:eastAsia="仿宋_GB2312"/>
                <w:bCs/>
                <w:color w:val="000000"/>
                <w:sz w:val="20"/>
                <w:szCs w:val="21"/>
              </w:rPr>
              <w:t>1.2《中华人民共和国土地管理法》</w:t>
            </w:r>
          </w:p>
          <w:p>
            <w:pPr>
              <w:tabs>
                <w:tab w:val="left" w:pos="-108"/>
              </w:tabs>
              <w:spacing w:line="240" w:lineRule="exact"/>
              <w:jc w:val="left"/>
              <w:rPr>
                <w:rFonts w:eastAsia="仿宋_GB2312"/>
                <w:bCs/>
                <w:color w:val="000000"/>
                <w:sz w:val="20"/>
                <w:szCs w:val="21"/>
              </w:rPr>
            </w:pPr>
            <w:r>
              <w:rPr>
                <w:rFonts w:eastAsia="仿宋_GB2312"/>
                <w:bCs/>
                <w:color w:val="000000"/>
                <w:sz w:val="20"/>
                <w:szCs w:val="21"/>
              </w:rPr>
              <w:t>1.3《中华人民共和国城市房地产管理法》</w:t>
            </w:r>
          </w:p>
          <w:p>
            <w:pPr>
              <w:tabs>
                <w:tab w:val="left" w:pos="-108"/>
              </w:tabs>
              <w:spacing w:line="240" w:lineRule="exact"/>
              <w:jc w:val="left"/>
              <w:rPr>
                <w:rFonts w:eastAsia="仿宋_GB2312"/>
                <w:bCs/>
                <w:color w:val="000000"/>
                <w:sz w:val="20"/>
                <w:szCs w:val="21"/>
              </w:rPr>
            </w:pPr>
            <w:r>
              <w:rPr>
                <w:rFonts w:eastAsia="仿宋_GB2312"/>
                <w:bCs/>
                <w:color w:val="000000"/>
                <w:sz w:val="20"/>
                <w:szCs w:val="21"/>
              </w:rPr>
              <w:t>1.4《中华人民共和国土地管理法实施条例》</w:t>
            </w:r>
          </w:p>
          <w:p>
            <w:pPr>
              <w:tabs>
                <w:tab w:val="left" w:pos="-108"/>
              </w:tabs>
              <w:spacing w:line="240" w:lineRule="exact"/>
              <w:jc w:val="left"/>
              <w:rPr>
                <w:rFonts w:eastAsia="仿宋_GB2312"/>
                <w:bCs/>
                <w:color w:val="000000"/>
                <w:sz w:val="20"/>
                <w:szCs w:val="21"/>
              </w:rPr>
            </w:pPr>
            <w:r>
              <w:rPr>
                <w:rFonts w:eastAsia="仿宋_GB2312"/>
                <w:bCs/>
                <w:color w:val="000000"/>
                <w:sz w:val="20"/>
                <w:szCs w:val="21"/>
              </w:rPr>
              <w:t>1.5《中华人民共和国城镇国有土地使用权出让和转让暂行条例》</w:t>
            </w:r>
          </w:p>
          <w:p>
            <w:pPr>
              <w:tabs>
                <w:tab w:val="left" w:pos="-108"/>
              </w:tabs>
              <w:spacing w:line="240" w:lineRule="exact"/>
              <w:jc w:val="left"/>
              <w:rPr>
                <w:rFonts w:eastAsia="仿宋_GB2312"/>
                <w:bCs/>
                <w:color w:val="000000"/>
                <w:sz w:val="20"/>
                <w:szCs w:val="21"/>
              </w:rPr>
            </w:pPr>
            <w:r>
              <w:rPr>
                <w:rFonts w:eastAsia="仿宋_GB2312"/>
                <w:bCs/>
                <w:color w:val="000000"/>
                <w:sz w:val="20"/>
                <w:szCs w:val="21"/>
              </w:rPr>
              <w:t>1.6《司法鉴定程序通则》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39" w:type="pct"/>
            <w:vAlign w:val="center"/>
          </w:tcPr>
          <w:p>
            <w:pPr>
              <w:tabs>
                <w:tab w:val="left" w:pos="980"/>
              </w:tabs>
              <w:spacing w:line="240" w:lineRule="exact"/>
              <w:jc w:val="center"/>
              <w:rPr>
                <w:rFonts w:eastAsia="仿宋_GB2312"/>
                <w:color w:val="000000"/>
                <w:sz w:val="20"/>
                <w:szCs w:val="21"/>
              </w:rPr>
            </w:pPr>
            <w:r>
              <w:rPr>
                <w:rFonts w:eastAsia="仿宋_GB2312"/>
                <w:color w:val="000000"/>
                <w:sz w:val="20"/>
                <w:szCs w:val="21"/>
              </w:rPr>
              <w:t>2</w:t>
            </w:r>
          </w:p>
        </w:tc>
        <w:tc>
          <w:tcPr>
            <w:tcW w:w="1014" w:type="pct"/>
            <w:vAlign w:val="center"/>
          </w:tcPr>
          <w:p>
            <w:pPr>
              <w:tabs>
                <w:tab w:val="left" w:pos="980"/>
              </w:tabs>
              <w:spacing w:line="240" w:lineRule="exact"/>
              <w:jc w:val="center"/>
              <w:rPr>
                <w:rFonts w:eastAsia="仿宋_GB2312"/>
                <w:color w:val="000000"/>
                <w:sz w:val="20"/>
                <w:szCs w:val="21"/>
              </w:rPr>
            </w:pPr>
            <w:r>
              <w:rPr>
                <w:rFonts w:eastAsia="仿宋_GB2312"/>
                <w:color w:val="000000"/>
                <w:sz w:val="20"/>
                <w:szCs w:val="21"/>
              </w:rPr>
              <w:t>技术标准</w:t>
            </w:r>
          </w:p>
        </w:tc>
        <w:tc>
          <w:tcPr>
            <w:tcW w:w="3647" w:type="pct"/>
            <w:vAlign w:val="center"/>
          </w:tcPr>
          <w:p>
            <w:pPr>
              <w:tabs>
                <w:tab w:val="left" w:pos="980"/>
              </w:tabs>
              <w:spacing w:line="240" w:lineRule="exact"/>
              <w:jc w:val="left"/>
              <w:rPr>
                <w:rFonts w:eastAsia="仿宋_GB2312"/>
                <w:bCs/>
                <w:color w:val="000000"/>
                <w:sz w:val="20"/>
                <w:szCs w:val="21"/>
              </w:rPr>
            </w:pPr>
            <w:r>
              <w:rPr>
                <w:rFonts w:eastAsia="仿宋_GB2312"/>
                <w:bCs/>
                <w:color w:val="000000"/>
                <w:sz w:val="20"/>
                <w:szCs w:val="21"/>
              </w:rPr>
              <w:t>2.1《房地产估价规范》【GB/T 50291-2015】</w:t>
            </w:r>
          </w:p>
          <w:p>
            <w:pPr>
              <w:tabs>
                <w:tab w:val="left" w:pos="980"/>
              </w:tabs>
              <w:spacing w:line="240" w:lineRule="exact"/>
              <w:jc w:val="left"/>
              <w:rPr>
                <w:rFonts w:eastAsia="仿宋_GB2312"/>
                <w:bCs/>
                <w:color w:val="000000"/>
                <w:sz w:val="20"/>
                <w:szCs w:val="21"/>
              </w:rPr>
            </w:pPr>
            <w:r>
              <w:rPr>
                <w:rFonts w:eastAsia="仿宋_GB2312"/>
                <w:bCs/>
                <w:color w:val="000000"/>
                <w:sz w:val="20"/>
                <w:szCs w:val="21"/>
              </w:rPr>
              <w:t>2.2《房地产估价基本术语标准》【GB/T 50899-2013】</w:t>
            </w:r>
          </w:p>
          <w:p>
            <w:pPr>
              <w:tabs>
                <w:tab w:val="left" w:pos="980"/>
              </w:tabs>
              <w:spacing w:line="240" w:lineRule="exact"/>
              <w:jc w:val="left"/>
              <w:rPr>
                <w:rFonts w:eastAsia="仿宋_GB2312"/>
                <w:bCs/>
                <w:color w:val="000000"/>
                <w:sz w:val="20"/>
                <w:szCs w:val="21"/>
              </w:rPr>
            </w:pPr>
            <w:r>
              <w:rPr>
                <w:rFonts w:eastAsia="仿宋_GB2312"/>
                <w:bCs/>
                <w:color w:val="000000"/>
                <w:sz w:val="20"/>
                <w:szCs w:val="21"/>
              </w:rPr>
              <w:t>2.3《房地产估价报告评审标准（试行）》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39" w:type="pct"/>
            <w:vAlign w:val="center"/>
          </w:tcPr>
          <w:p>
            <w:pPr>
              <w:tabs>
                <w:tab w:val="left" w:pos="980"/>
              </w:tabs>
              <w:spacing w:line="240" w:lineRule="exact"/>
              <w:jc w:val="center"/>
              <w:rPr>
                <w:rFonts w:eastAsia="仿宋_GB2312"/>
                <w:color w:val="000000"/>
                <w:sz w:val="20"/>
                <w:szCs w:val="21"/>
              </w:rPr>
            </w:pPr>
            <w:r>
              <w:rPr>
                <w:rFonts w:eastAsia="仿宋_GB2312"/>
                <w:color w:val="000000"/>
                <w:sz w:val="20"/>
                <w:szCs w:val="21"/>
              </w:rPr>
              <w:t>3</w:t>
            </w:r>
          </w:p>
        </w:tc>
        <w:tc>
          <w:tcPr>
            <w:tcW w:w="1014" w:type="pct"/>
            <w:vAlign w:val="center"/>
          </w:tcPr>
          <w:p>
            <w:pPr>
              <w:tabs>
                <w:tab w:val="left" w:pos="980"/>
              </w:tabs>
              <w:spacing w:line="240" w:lineRule="exact"/>
              <w:jc w:val="center"/>
              <w:rPr>
                <w:rFonts w:eastAsia="仿宋_GB2312"/>
                <w:color w:val="000000"/>
                <w:sz w:val="20"/>
                <w:szCs w:val="21"/>
              </w:rPr>
            </w:pPr>
            <w:r>
              <w:rPr>
                <w:rFonts w:eastAsia="仿宋_GB2312"/>
                <w:color w:val="000000"/>
                <w:sz w:val="20"/>
                <w:szCs w:val="21"/>
              </w:rPr>
              <w:t>估价委托人提供的有关资料</w:t>
            </w:r>
          </w:p>
        </w:tc>
        <w:tc>
          <w:tcPr>
            <w:tcW w:w="3647" w:type="pct"/>
            <w:vAlign w:val="center"/>
          </w:tcPr>
          <w:p>
            <w:pPr>
              <w:tabs>
                <w:tab w:val="left" w:pos="980"/>
              </w:tabs>
              <w:spacing w:line="240" w:lineRule="exact"/>
              <w:jc w:val="left"/>
              <w:rPr>
                <w:rFonts w:eastAsia="仿宋_GB2312"/>
                <w:bCs/>
                <w:color w:val="000000"/>
                <w:sz w:val="20"/>
                <w:szCs w:val="21"/>
              </w:rPr>
            </w:pPr>
            <w:r>
              <w:rPr>
                <w:rFonts w:eastAsia="仿宋_GB2312"/>
                <w:bCs/>
                <w:color w:val="000000"/>
                <w:sz w:val="20"/>
                <w:szCs w:val="21"/>
              </w:rPr>
              <w:t>3.1司法评估委托书</w:t>
            </w:r>
          </w:p>
          <w:p>
            <w:pPr>
              <w:tabs>
                <w:tab w:val="left" w:pos="980"/>
              </w:tabs>
              <w:spacing w:line="240" w:lineRule="exact"/>
              <w:jc w:val="left"/>
              <w:rPr>
                <w:rFonts w:eastAsia="仿宋_GB2312"/>
                <w:bCs/>
                <w:color w:val="000000"/>
                <w:sz w:val="20"/>
                <w:szCs w:val="21"/>
              </w:rPr>
            </w:pPr>
            <w:r>
              <w:rPr>
                <w:rFonts w:eastAsia="仿宋_GB2312"/>
                <w:bCs/>
                <w:color w:val="000000"/>
                <w:sz w:val="20"/>
                <w:szCs w:val="21"/>
              </w:rPr>
              <w:t>3.2“房屋所有权证”、“国有土地使用证”复印件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339" w:type="pct"/>
            <w:vAlign w:val="center"/>
          </w:tcPr>
          <w:p>
            <w:pPr>
              <w:tabs>
                <w:tab w:val="left" w:pos="980"/>
              </w:tabs>
              <w:spacing w:line="240" w:lineRule="exact"/>
              <w:jc w:val="center"/>
              <w:rPr>
                <w:rFonts w:eastAsia="仿宋_GB2312"/>
                <w:color w:val="000000"/>
                <w:sz w:val="20"/>
                <w:szCs w:val="21"/>
              </w:rPr>
            </w:pPr>
            <w:r>
              <w:rPr>
                <w:rFonts w:eastAsia="仿宋_GB2312"/>
                <w:color w:val="000000"/>
                <w:sz w:val="20"/>
                <w:szCs w:val="21"/>
              </w:rPr>
              <w:t>4</w:t>
            </w:r>
          </w:p>
        </w:tc>
        <w:tc>
          <w:tcPr>
            <w:tcW w:w="1014" w:type="pct"/>
            <w:vAlign w:val="center"/>
          </w:tcPr>
          <w:p>
            <w:pPr>
              <w:tabs>
                <w:tab w:val="left" w:pos="980"/>
              </w:tabs>
              <w:spacing w:line="240" w:lineRule="exact"/>
              <w:jc w:val="center"/>
              <w:rPr>
                <w:rFonts w:eastAsia="仿宋_GB2312"/>
                <w:color w:val="000000"/>
                <w:sz w:val="20"/>
                <w:szCs w:val="21"/>
              </w:rPr>
            </w:pPr>
            <w:r>
              <w:rPr>
                <w:rFonts w:eastAsia="仿宋_GB2312"/>
                <w:color w:val="000000"/>
                <w:sz w:val="20"/>
                <w:szCs w:val="21"/>
              </w:rPr>
              <w:t>房地产估价机构和注册房地产估价师掌握和搜集的资料</w:t>
            </w:r>
          </w:p>
        </w:tc>
        <w:tc>
          <w:tcPr>
            <w:tcW w:w="3647" w:type="pct"/>
            <w:vAlign w:val="center"/>
          </w:tcPr>
          <w:p>
            <w:pPr>
              <w:tabs>
                <w:tab w:val="left" w:pos="980"/>
              </w:tabs>
              <w:spacing w:line="240" w:lineRule="exact"/>
              <w:jc w:val="left"/>
              <w:rPr>
                <w:rFonts w:eastAsia="仿宋_GB2312"/>
                <w:bCs/>
                <w:color w:val="000000"/>
                <w:sz w:val="20"/>
                <w:szCs w:val="21"/>
              </w:rPr>
            </w:pPr>
            <w:r>
              <w:rPr>
                <w:rFonts w:eastAsia="仿宋_GB2312"/>
                <w:bCs/>
                <w:color w:val="000000"/>
                <w:sz w:val="20"/>
                <w:szCs w:val="21"/>
              </w:rPr>
              <w:t>4.1实地查勘资料</w:t>
            </w:r>
          </w:p>
          <w:p>
            <w:pPr>
              <w:tabs>
                <w:tab w:val="left" w:pos="980"/>
              </w:tabs>
              <w:spacing w:line="240" w:lineRule="exact"/>
              <w:jc w:val="left"/>
              <w:rPr>
                <w:rFonts w:eastAsia="仿宋_GB2312"/>
                <w:bCs/>
                <w:color w:val="000000"/>
                <w:sz w:val="20"/>
                <w:szCs w:val="21"/>
              </w:rPr>
            </w:pPr>
            <w:r>
              <w:rPr>
                <w:rFonts w:eastAsia="仿宋_GB2312"/>
                <w:bCs/>
                <w:color w:val="000000"/>
                <w:sz w:val="20"/>
                <w:szCs w:val="21"/>
              </w:rPr>
              <w:t>4.2估价作业期调查和搜集的资料</w:t>
            </w:r>
          </w:p>
          <w:p>
            <w:pPr>
              <w:tabs>
                <w:tab w:val="left" w:pos="980"/>
              </w:tabs>
              <w:spacing w:line="240" w:lineRule="exact"/>
              <w:jc w:val="left"/>
              <w:rPr>
                <w:rFonts w:eastAsia="仿宋_GB2312"/>
                <w:bCs/>
                <w:color w:val="000000"/>
                <w:sz w:val="20"/>
                <w:szCs w:val="21"/>
              </w:rPr>
            </w:pPr>
            <w:r>
              <w:rPr>
                <w:rFonts w:eastAsia="仿宋_GB2312"/>
                <w:bCs/>
                <w:color w:val="000000"/>
                <w:sz w:val="20"/>
                <w:szCs w:val="21"/>
              </w:rPr>
              <w:t>4.3房地产估价机构和注册房地产估价师平时积累和搜集的估价所需资料</w:t>
            </w:r>
          </w:p>
        </w:tc>
      </w:tr>
    </w:tbl>
    <w:p>
      <w:pPr>
        <w:pStyle w:val="3"/>
        <w:spacing w:before="0" w:after="0" w:line="480" w:lineRule="exact"/>
        <w:rPr>
          <w:rFonts w:ascii="Times New Roman" w:hAnsi="Times New Roman" w:eastAsia="仿宋_GB2312"/>
          <w:color w:val="000000"/>
          <w:sz w:val="28"/>
        </w:rPr>
      </w:pPr>
      <w:bookmarkStart w:id="44" w:name="_Toc36713645"/>
      <w:bookmarkStart w:id="45" w:name="_Toc36552792"/>
      <w:bookmarkStart w:id="46" w:name="_Toc23344717"/>
      <w:r>
        <w:rPr>
          <w:rFonts w:ascii="Times New Roman" w:hAnsi="Times New Roman" w:eastAsia="仿宋_GB2312"/>
          <w:color w:val="000000"/>
          <w:sz w:val="28"/>
        </w:rPr>
        <w:t>（八）估价原则</w:t>
      </w:r>
      <w:bookmarkEnd w:id="43"/>
      <w:bookmarkEnd w:id="44"/>
      <w:bookmarkEnd w:id="45"/>
      <w:bookmarkEnd w:id="46"/>
    </w:p>
    <w:p>
      <w:pPr>
        <w:tabs>
          <w:tab w:val="left" w:pos="4998"/>
        </w:tabs>
        <w:spacing w:line="480" w:lineRule="exact"/>
        <w:ind w:firstLine="560" w:firstLineChars="200"/>
        <w:rPr>
          <w:rFonts w:eastAsia="仿宋"/>
          <w:bCs/>
          <w:color w:val="000000"/>
          <w:sz w:val="28"/>
        </w:rPr>
      </w:pPr>
      <w:bookmarkStart w:id="47" w:name="_Toc427611558"/>
      <w:r>
        <w:rPr>
          <w:rFonts w:eastAsia="仿宋"/>
          <w:bCs/>
          <w:color w:val="000000"/>
          <w:sz w:val="28"/>
        </w:rPr>
        <w:t>房地产估价的基本原则是独立、客观、公正，在本次估价作业中，我们遵循的原则主要有下列五项：</w:t>
      </w:r>
    </w:p>
    <w:tbl>
      <w:tblPr>
        <w:tblStyle w:val="25"/>
        <w:tblW w:w="5000"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27"/>
        <w:gridCol w:w="1591"/>
        <w:gridCol w:w="702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339" w:type="pct"/>
            <w:vAlign w:val="center"/>
          </w:tcPr>
          <w:p>
            <w:pPr>
              <w:tabs>
                <w:tab w:val="left" w:pos="980"/>
              </w:tabs>
              <w:adjustRightInd w:val="0"/>
              <w:snapToGrid w:val="0"/>
              <w:jc w:val="center"/>
              <w:rPr>
                <w:rFonts w:eastAsia="仿宋_GB2312"/>
                <w:bCs/>
                <w:color w:val="000000"/>
                <w:sz w:val="20"/>
                <w:szCs w:val="21"/>
              </w:rPr>
            </w:pPr>
            <w:r>
              <w:rPr>
                <w:rFonts w:eastAsia="仿宋_GB2312"/>
                <w:color w:val="000000"/>
                <w:sz w:val="20"/>
                <w:szCs w:val="21"/>
              </w:rPr>
              <w:t>序号</w:t>
            </w:r>
          </w:p>
        </w:tc>
        <w:tc>
          <w:tcPr>
            <w:tcW w:w="861" w:type="pct"/>
            <w:vAlign w:val="center"/>
          </w:tcPr>
          <w:p>
            <w:pPr>
              <w:tabs>
                <w:tab w:val="left" w:pos="980"/>
              </w:tabs>
              <w:adjustRightInd w:val="0"/>
              <w:snapToGrid w:val="0"/>
              <w:jc w:val="center"/>
              <w:rPr>
                <w:rFonts w:eastAsia="仿宋_GB2312"/>
                <w:bCs/>
                <w:color w:val="000000"/>
                <w:sz w:val="20"/>
                <w:szCs w:val="21"/>
              </w:rPr>
            </w:pPr>
            <w:r>
              <w:rPr>
                <w:rFonts w:eastAsia="仿宋_GB2312"/>
                <w:color w:val="000000"/>
                <w:sz w:val="20"/>
                <w:szCs w:val="21"/>
              </w:rPr>
              <w:t>估价原则</w:t>
            </w:r>
          </w:p>
        </w:tc>
        <w:tc>
          <w:tcPr>
            <w:tcW w:w="3800" w:type="pct"/>
            <w:vAlign w:val="center"/>
          </w:tcPr>
          <w:p>
            <w:pPr>
              <w:tabs>
                <w:tab w:val="left" w:pos="980"/>
              </w:tabs>
              <w:adjustRightInd w:val="0"/>
              <w:snapToGrid w:val="0"/>
              <w:ind w:firstLine="570"/>
              <w:jc w:val="center"/>
              <w:rPr>
                <w:rFonts w:eastAsia="仿宋_GB2312"/>
                <w:bCs/>
                <w:color w:val="000000"/>
                <w:sz w:val="20"/>
                <w:szCs w:val="21"/>
              </w:rPr>
            </w:pPr>
            <w:r>
              <w:rPr>
                <w:rFonts w:eastAsia="仿宋_GB2312"/>
                <w:color w:val="000000"/>
                <w:sz w:val="20"/>
                <w:szCs w:val="21"/>
              </w:rPr>
              <w:t>具体内容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339" w:type="pct"/>
            <w:vAlign w:val="center"/>
          </w:tcPr>
          <w:p>
            <w:pPr>
              <w:tabs>
                <w:tab w:val="left" w:pos="980"/>
              </w:tabs>
              <w:adjustRightInd w:val="0"/>
              <w:snapToGrid w:val="0"/>
              <w:jc w:val="center"/>
              <w:rPr>
                <w:rFonts w:eastAsia="仿宋_GB2312"/>
                <w:color w:val="000000"/>
                <w:sz w:val="20"/>
                <w:szCs w:val="21"/>
              </w:rPr>
            </w:pPr>
            <w:r>
              <w:rPr>
                <w:rFonts w:eastAsia="仿宋_GB2312"/>
                <w:color w:val="000000"/>
                <w:sz w:val="20"/>
                <w:szCs w:val="21"/>
              </w:rPr>
              <w:t>1</w:t>
            </w:r>
          </w:p>
        </w:tc>
        <w:tc>
          <w:tcPr>
            <w:tcW w:w="861" w:type="pct"/>
            <w:vAlign w:val="center"/>
          </w:tcPr>
          <w:p>
            <w:pPr>
              <w:tabs>
                <w:tab w:val="left" w:pos="980"/>
              </w:tabs>
              <w:adjustRightInd w:val="0"/>
              <w:snapToGrid w:val="0"/>
              <w:jc w:val="center"/>
              <w:rPr>
                <w:rFonts w:eastAsia="仿宋_GB2312"/>
                <w:color w:val="000000"/>
                <w:sz w:val="20"/>
                <w:szCs w:val="21"/>
              </w:rPr>
            </w:pPr>
            <w:r>
              <w:rPr>
                <w:rFonts w:eastAsia="仿宋_GB2312"/>
                <w:bCs/>
                <w:color w:val="000000"/>
                <w:sz w:val="20"/>
                <w:szCs w:val="21"/>
              </w:rPr>
              <w:t>独立、客观、公正原则</w:t>
            </w:r>
          </w:p>
        </w:tc>
        <w:tc>
          <w:tcPr>
            <w:tcW w:w="3800" w:type="pct"/>
            <w:vAlign w:val="center"/>
          </w:tcPr>
          <w:p>
            <w:pPr>
              <w:tabs>
                <w:tab w:val="left" w:pos="-108"/>
              </w:tabs>
              <w:adjustRightInd w:val="0"/>
              <w:snapToGrid w:val="0"/>
              <w:jc w:val="left"/>
              <w:rPr>
                <w:rFonts w:eastAsia="仿宋_GB2312"/>
                <w:color w:val="000000"/>
                <w:sz w:val="20"/>
                <w:szCs w:val="21"/>
              </w:rPr>
            </w:pPr>
            <w:r>
              <w:rPr>
                <w:rFonts w:eastAsia="仿宋_GB2312"/>
                <w:bCs/>
                <w:color w:val="000000"/>
                <w:sz w:val="20"/>
                <w:szCs w:val="21"/>
              </w:rPr>
              <w:t>评估价值应为对各方估价利害关系人均是公平合理的价值或价格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339" w:type="pct"/>
            <w:vAlign w:val="center"/>
          </w:tcPr>
          <w:p>
            <w:pPr>
              <w:tabs>
                <w:tab w:val="left" w:pos="980"/>
              </w:tabs>
              <w:adjustRightInd w:val="0"/>
              <w:snapToGrid w:val="0"/>
              <w:jc w:val="center"/>
              <w:rPr>
                <w:rFonts w:eastAsia="仿宋_GB2312"/>
                <w:color w:val="000000"/>
                <w:sz w:val="20"/>
                <w:szCs w:val="21"/>
              </w:rPr>
            </w:pPr>
            <w:r>
              <w:rPr>
                <w:rFonts w:eastAsia="仿宋_GB2312"/>
                <w:color w:val="000000"/>
                <w:sz w:val="20"/>
                <w:szCs w:val="21"/>
              </w:rPr>
              <w:t>2</w:t>
            </w:r>
          </w:p>
        </w:tc>
        <w:tc>
          <w:tcPr>
            <w:tcW w:w="861" w:type="pct"/>
            <w:vAlign w:val="center"/>
          </w:tcPr>
          <w:p>
            <w:pPr>
              <w:tabs>
                <w:tab w:val="left" w:pos="980"/>
              </w:tabs>
              <w:adjustRightInd w:val="0"/>
              <w:snapToGrid w:val="0"/>
              <w:jc w:val="center"/>
              <w:rPr>
                <w:rFonts w:eastAsia="仿宋_GB2312"/>
                <w:color w:val="000000"/>
                <w:sz w:val="20"/>
                <w:szCs w:val="21"/>
              </w:rPr>
            </w:pPr>
            <w:r>
              <w:rPr>
                <w:rFonts w:eastAsia="仿宋_GB2312"/>
                <w:bCs/>
                <w:color w:val="000000"/>
                <w:sz w:val="20"/>
                <w:szCs w:val="21"/>
              </w:rPr>
              <w:t>合法原则</w:t>
            </w:r>
          </w:p>
        </w:tc>
        <w:tc>
          <w:tcPr>
            <w:tcW w:w="3800" w:type="pct"/>
            <w:vAlign w:val="center"/>
          </w:tcPr>
          <w:p>
            <w:pPr>
              <w:tabs>
                <w:tab w:val="left" w:pos="980"/>
              </w:tabs>
              <w:adjustRightInd w:val="0"/>
              <w:snapToGrid w:val="0"/>
              <w:jc w:val="left"/>
              <w:rPr>
                <w:rFonts w:eastAsia="仿宋_GB2312"/>
                <w:color w:val="000000"/>
                <w:sz w:val="20"/>
                <w:szCs w:val="21"/>
              </w:rPr>
            </w:pPr>
            <w:r>
              <w:rPr>
                <w:rFonts w:eastAsia="仿宋_GB2312"/>
                <w:bCs/>
                <w:color w:val="000000"/>
                <w:sz w:val="20"/>
                <w:szCs w:val="21"/>
              </w:rPr>
              <w:t>评估价值应为在依法判定的估价对象状况下的价值或价格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339" w:type="pct"/>
            <w:vAlign w:val="center"/>
          </w:tcPr>
          <w:p>
            <w:pPr>
              <w:tabs>
                <w:tab w:val="left" w:pos="980"/>
              </w:tabs>
              <w:adjustRightInd w:val="0"/>
              <w:snapToGrid w:val="0"/>
              <w:jc w:val="center"/>
              <w:rPr>
                <w:rFonts w:eastAsia="仿宋_GB2312"/>
                <w:color w:val="000000"/>
                <w:sz w:val="20"/>
                <w:szCs w:val="21"/>
              </w:rPr>
            </w:pPr>
            <w:r>
              <w:rPr>
                <w:rFonts w:eastAsia="仿宋_GB2312"/>
                <w:color w:val="000000"/>
                <w:sz w:val="20"/>
                <w:szCs w:val="21"/>
              </w:rPr>
              <w:t>3</w:t>
            </w:r>
          </w:p>
        </w:tc>
        <w:tc>
          <w:tcPr>
            <w:tcW w:w="861" w:type="pct"/>
            <w:vAlign w:val="center"/>
          </w:tcPr>
          <w:p>
            <w:pPr>
              <w:tabs>
                <w:tab w:val="left" w:pos="980"/>
              </w:tabs>
              <w:adjustRightInd w:val="0"/>
              <w:snapToGrid w:val="0"/>
              <w:jc w:val="center"/>
              <w:rPr>
                <w:rFonts w:eastAsia="仿宋_GB2312"/>
                <w:color w:val="000000"/>
                <w:sz w:val="20"/>
                <w:szCs w:val="21"/>
              </w:rPr>
            </w:pPr>
            <w:r>
              <w:rPr>
                <w:rFonts w:eastAsia="仿宋_GB2312"/>
                <w:bCs/>
                <w:color w:val="000000"/>
                <w:sz w:val="20"/>
                <w:szCs w:val="21"/>
              </w:rPr>
              <w:t>价值时点原则</w:t>
            </w:r>
          </w:p>
        </w:tc>
        <w:tc>
          <w:tcPr>
            <w:tcW w:w="3800" w:type="pct"/>
            <w:vAlign w:val="center"/>
          </w:tcPr>
          <w:p>
            <w:pPr>
              <w:tabs>
                <w:tab w:val="left" w:pos="980"/>
              </w:tabs>
              <w:adjustRightInd w:val="0"/>
              <w:snapToGrid w:val="0"/>
              <w:jc w:val="left"/>
              <w:rPr>
                <w:rFonts w:eastAsia="仿宋_GB2312"/>
                <w:color w:val="000000"/>
                <w:sz w:val="20"/>
                <w:szCs w:val="21"/>
              </w:rPr>
            </w:pPr>
            <w:r>
              <w:rPr>
                <w:rFonts w:eastAsia="仿宋_GB2312"/>
                <w:bCs/>
                <w:color w:val="000000"/>
                <w:sz w:val="20"/>
                <w:szCs w:val="21"/>
              </w:rPr>
              <w:t>评估价值应为在根据估价目的确定的某一特定时间的价值或价格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339" w:type="pct"/>
            <w:vAlign w:val="center"/>
          </w:tcPr>
          <w:p>
            <w:pPr>
              <w:tabs>
                <w:tab w:val="left" w:pos="980"/>
              </w:tabs>
              <w:adjustRightInd w:val="0"/>
              <w:snapToGrid w:val="0"/>
              <w:jc w:val="center"/>
              <w:rPr>
                <w:rFonts w:eastAsia="仿宋_GB2312"/>
                <w:color w:val="000000"/>
                <w:sz w:val="20"/>
                <w:szCs w:val="21"/>
              </w:rPr>
            </w:pPr>
            <w:r>
              <w:rPr>
                <w:rFonts w:eastAsia="仿宋_GB2312"/>
                <w:color w:val="000000"/>
                <w:sz w:val="20"/>
                <w:szCs w:val="21"/>
              </w:rPr>
              <w:t>4</w:t>
            </w:r>
          </w:p>
        </w:tc>
        <w:tc>
          <w:tcPr>
            <w:tcW w:w="861" w:type="pct"/>
            <w:vAlign w:val="center"/>
          </w:tcPr>
          <w:p>
            <w:pPr>
              <w:tabs>
                <w:tab w:val="left" w:pos="980"/>
              </w:tabs>
              <w:adjustRightInd w:val="0"/>
              <w:snapToGrid w:val="0"/>
              <w:jc w:val="center"/>
              <w:rPr>
                <w:rFonts w:eastAsia="仿宋_GB2312"/>
                <w:color w:val="000000"/>
                <w:sz w:val="20"/>
                <w:szCs w:val="21"/>
              </w:rPr>
            </w:pPr>
            <w:r>
              <w:rPr>
                <w:rFonts w:eastAsia="仿宋_GB2312"/>
                <w:bCs/>
                <w:color w:val="000000"/>
                <w:sz w:val="20"/>
                <w:szCs w:val="21"/>
              </w:rPr>
              <w:t>替代原则</w:t>
            </w:r>
          </w:p>
        </w:tc>
        <w:tc>
          <w:tcPr>
            <w:tcW w:w="3800" w:type="pct"/>
            <w:vAlign w:val="center"/>
          </w:tcPr>
          <w:p>
            <w:pPr>
              <w:tabs>
                <w:tab w:val="left" w:pos="980"/>
              </w:tabs>
              <w:adjustRightInd w:val="0"/>
              <w:snapToGrid w:val="0"/>
              <w:jc w:val="left"/>
              <w:rPr>
                <w:rFonts w:eastAsia="仿宋_GB2312"/>
                <w:color w:val="000000"/>
                <w:sz w:val="20"/>
                <w:szCs w:val="21"/>
              </w:rPr>
            </w:pPr>
            <w:r>
              <w:rPr>
                <w:rFonts w:eastAsia="仿宋_GB2312"/>
                <w:bCs/>
                <w:color w:val="000000"/>
                <w:sz w:val="20"/>
                <w:szCs w:val="21"/>
              </w:rPr>
              <w:t>遵循替代原则，评估价值与估价对象的类似房地产在同等条件下的价值或价格偏差应在合理范围内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27" w:hRule="atLeast"/>
          <w:jc w:val="center"/>
        </w:trPr>
        <w:tc>
          <w:tcPr>
            <w:tcW w:w="339" w:type="pct"/>
            <w:vAlign w:val="center"/>
          </w:tcPr>
          <w:p>
            <w:pPr>
              <w:tabs>
                <w:tab w:val="left" w:pos="980"/>
              </w:tabs>
              <w:adjustRightInd w:val="0"/>
              <w:snapToGrid w:val="0"/>
              <w:jc w:val="center"/>
              <w:rPr>
                <w:rFonts w:eastAsia="仿宋_GB2312"/>
                <w:color w:val="000000"/>
                <w:sz w:val="20"/>
                <w:szCs w:val="21"/>
              </w:rPr>
            </w:pPr>
            <w:r>
              <w:rPr>
                <w:rFonts w:eastAsia="仿宋_GB2312"/>
                <w:color w:val="000000"/>
                <w:sz w:val="20"/>
                <w:szCs w:val="21"/>
              </w:rPr>
              <w:t>5</w:t>
            </w:r>
          </w:p>
        </w:tc>
        <w:tc>
          <w:tcPr>
            <w:tcW w:w="861" w:type="pct"/>
            <w:vAlign w:val="center"/>
          </w:tcPr>
          <w:p>
            <w:pPr>
              <w:tabs>
                <w:tab w:val="left" w:pos="980"/>
              </w:tabs>
              <w:adjustRightInd w:val="0"/>
              <w:snapToGrid w:val="0"/>
              <w:jc w:val="center"/>
              <w:rPr>
                <w:rFonts w:eastAsia="仿宋_GB2312"/>
                <w:color w:val="000000"/>
                <w:sz w:val="20"/>
                <w:szCs w:val="21"/>
              </w:rPr>
            </w:pPr>
            <w:r>
              <w:rPr>
                <w:rFonts w:eastAsia="仿宋_GB2312"/>
                <w:bCs/>
                <w:color w:val="000000"/>
                <w:sz w:val="20"/>
                <w:szCs w:val="21"/>
              </w:rPr>
              <w:t>最高最佳利用原则</w:t>
            </w:r>
          </w:p>
        </w:tc>
        <w:tc>
          <w:tcPr>
            <w:tcW w:w="3800" w:type="pct"/>
            <w:vAlign w:val="center"/>
          </w:tcPr>
          <w:p>
            <w:pPr>
              <w:tabs>
                <w:tab w:val="left" w:pos="980"/>
              </w:tabs>
              <w:adjustRightInd w:val="0"/>
              <w:snapToGrid w:val="0"/>
              <w:jc w:val="left"/>
              <w:rPr>
                <w:rFonts w:eastAsia="仿宋_GB2312"/>
                <w:color w:val="000000"/>
                <w:sz w:val="20"/>
                <w:szCs w:val="21"/>
              </w:rPr>
            </w:pPr>
            <w:r>
              <w:rPr>
                <w:rFonts w:eastAsia="仿宋_GB2312"/>
                <w:bCs/>
                <w:color w:val="000000"/>
                <w:sz w:val="20"/>
                <w:szCs w:val="21"/>
              </w:rPr>
              <w:t>评估价值应为在估价对象最高最佳利用状况下的价值或价格。估价对象的最高最佳利用状况包括最佳的用途、规模和档次，应按法律上允许、技术上可能、财务上可行、价值最大化的次序进行分析、筛选或判断确定</w:t>
            </w:r>
          </w:p>
        </w:tc>
      </w:tr>
    </w:tbl>
    <w:p>
      <w:pPr>
        <w:pStyle w:val="19"/>
        <w:spacing w:line="460" w:lineRule="exact"/>
        <w:ind w:firstLine="0"/>
        <w:outlineLvl w:val="1"/>
        <w:rPr>
          <w:rFonts w:ascii="Times New Roman" w:eastAsia="仿宋_GB2312"/>
          <w:b/>
          <w:color w:val="000000"/>
          <w:sz w:val="28"/>
        </w:rPr>
      </w:pPr>
      <w:bookmarkStart w:id="48" w:name="_Toc23344718"/>
      <w:bookmarkStart w:id="49" w:name="_Toc36552793"/>
      <w:bookmarkStart w:id="50" w:name="_Toc36713646"/>
      <w:r>
        <w:rPr>
          <w:rFonts w:ascii="Times New Roman" w:eastAsia="仿宋_GB2312"/>
          <w:b/>
          <w:color w:val="000000"/>
          <w:sz w:val="28"/>
        </w:rPr>
        <w:t>（九）估价方法</w:t>
      </w:r>
      <w:bookmarkEnd w:id="47"/>
      <w:bookmarkEnd w:id="48"/>
      <w:bookmarkEnd w:id="49"/>
      <w:bookmarkEnd w:id="50"/>
    </w:p>
    <w:p>
      <w:pPr>
        <w:tabs>
          <w:tab w:val="left" w:pos="4998"/>
        </w:tabs>
        <w:spacing w:line="460" w:lineRule="exact"/>
        <w:ind w:firstLine="560" w:firstLineChars="200"/>
        <w:rPr>
          <w:rFonts w:eastAsia="仿宋_GB2312"/>
          <w:bCs/>
          <w:sz w:val="28"/>
        </w:rPr>
      </w:pPr>
      <w:r>
        <w:rPr>
          <w:rFonts w:eastAsia="仿宋_GB2312"/>
          <w:bCs/>
          <w:sz w:val="28"/>
        </w:rPr>
        <w:t>比较法、收益法</w:t>
      </w:r>
    </w:p>
    <w:p>
      <w:pPr>
        <w:pStyle w:val="19"/>
        <w:spacing w:line="460" w:lineRule="exact"/>
        <w:ind w:firstLine="0"/>
        <w:outlineLvl w:val="1"/>
        <w:rPr>
          <w:rFonts w:ascii="Times New Roman" w:eastAsia="仿宋_GB2312"/>
          <w:b/>
          <w:color w:val="000000"/>
          <w:sz w:val="28"/>
        </w:rPr>
      </w:pPr>
      <w:bookmarkStart w:id="51" w:name="_Toc427611559"/>
      <w:bookmarkStart w:id="52" w:name="_Toc23344719"/>
      <w:bookmarkStart w:id="53" w:name="_Toc36713647"/>
      <w:bookmarkStart w:id="54" w:name="_Toc36552794"/>
      <w:r>
        <w:rPr>
          <w:rFonts w:ascii="Times New Roman" w:eastAsia="仿宋_GB2312"/>
          <w:b/>
          <w:color w:val="000000"/>
          <w:sz w:val="28"/>
        </w:rPr>
        <w:t>（十）估价结果</w:t>
      </w:r>
      <w:bookmarkEnd w:id="51"/>
      <w:bookmarkEnd w:id="52"/>
      <w:bookmarkEnd w:id="53"/>
      <w:bookmarkEnd w:id="54"/>
    </w:p>
    <w:p>
      <w:pPr>
        <w:tabs>
          <w:tab w:val="left" w:pos="540"/>
        </w:tabs>
        <w:adjustRightInd w:val="0"/>
        <w:snapToGrid w:val="0"/>
        <w:spacing w:line="460" w:lineRule="exact"/>
        <w:ind w:firstLine="560" w:firstLineChars="200"/>
        <w:rPr>
          <w:rFonts w:eastAsia="仿宋_GB2312"/>
          <w:color w:val="000000"/>
          <w:sz w:val="28"/>
        </w:rPr>
      </w:pPr>
      <w:r>
        <w:rPr>
          <w:rFonts w:eastAsia="仿宋_GB2312"/>
          <w:color w:val="000000"/>
          <w:sz w:val="28"/>
        </w:rPr>
        <w:t>估价人员根据估价目的，遵循估价原则，按照估价程序，采用科学合理的估价方法，在认真分析现有资料的基础上，结合估价经验与对影响房地产市场价格因素的分析，对上栗县人民法院委托的位于萍乡市上栗县上栗镇贸易广场站前路共计456.53平方米商住房地</w:t>
      </w:r>
      <w:r>
        <w:rPr>
          <w:rFonts w:eastAsia="仿宋_GB2312"/>
          <w:sz w:val="28"/>
        </w:rPr>
        <w:t>产选用收益法、比较法进</w:t>
      </w:r>
      <w:r>
        <w:rPr>
          <w:rFonts w:eastAsia="仿宋_GB2312"/>
          <w:color w:val="000000"/>
          <w:sz w:val="28"/>
        </w:rPr>
        <w:t>行评定估算，确定估价对象在价值时点2020年03月16日，估价目的是为人民法院确定房地产处置参考价提供参考依据，</w:t>
      </w:r>
      <w:r>
        <w:rPr>
          <w:rFonts w:eastAsia="仿宋_GB2312"/>
          <w:sz w:val="28"/>
        </w:rPr>
        <w:t>在满足全部假设和限制条件下的估价结果为人民币</w:t>
      </w:r>
      <w:r>
        <w:rPr>
          <w:rFonts w:eastAsia="仿宋_GB2312"/>
          <w:b/>
          <w:sz w:val="28"/>
        </w:rPr>
        <w:t>￥156.64万元，人民币大写壹佰伍拾陆万陆仟肆佰元整</w:t>
      </w:r>
      <w:r>
        <w:rPr>
          <w:rFonts w:eastAsia="仿宋_GB2312"/>
          <w:sz w:val="28"/>
        </w:rPr>
        <w:t>。</w:t>
      </w:r>
    </w:p>
    <w:p>
      <w:pPr>
        <w:tabs>
          <w:tab w:val="left" w:pos="4998"/>
        </w:tabs>
        <w:adjustRightInd w:val="0"/>
        <w:snapToGrid w:val="0"/>
        <w:spacing w:line="460" w:lineRule="exact"/>
        <w:outlineLvl w:val="1"/>
        <w:rPr>
          <w:rFonts w:eastAsia="仿宋_GB2312"/>
          <w:b/>
          <w:bCs/>
          <w:color w:val="000000"/>
          <w:sz w:val="28"/>
          <w:szCs w:val="32"/>
        </w:rPr>
      </w:pPr>
      <w:bookmarkStart w:id="55" w:name="_Toc36552795"/>
      <w:bookmarkStart w:id="56" w:name="_Toc23344720"/>
      <w:bookmarkStart w:id="57" w:name="_Toc36713648"/>
      <w:r>
        <w:rPr>
          <w:rFonts w:eastAsia="仿宋_GB2312"/>
          <w:b/>
          <w:bCs/>
          <w:color w:val="000000"/>
          <w:sz w:val="28"/>
          <w:szCs w:val="32"/>
        </w:rPr>
        <w:t>（十一）估价人员</w:t>
      </w:r>
      <w:bookmarkEnd w:id="55"/>
      <w:bookmarkEnd w:id="56"/>
      <w:bookmarkEnd w:id="57"/>
    </w:p>
    <w:tbl>
      <w:tblPr>
        <w:tblStyle w:val="25"/>
        <w:tblW w:w="5000"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1"/>
        <w:gridCol w:w="2327"/>
        <w:gridCol w:w="2190"/>
        <w:gridCol w:w="270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3" w:type="pct"/>
            <w:tcBorders>
              <w:tl2br w:val="nil"/>
              <w:tr2bl w:val="nil"/>
            </w:tcBorders>
            <w:vAlign w:val="center"/>
          </w:tcPr>
          <w:p>
            <w:pPr>
              <w:spacing w:line="600" w:lineRule="exact"/>
              <w:jc w:val="center"/>
              <w:rPr>
                <w:rFonts w:eastAsia="仿宋_GB2312"/>
                <w:sz w:val="28"/>
                <w:szCs w:val="28"/>
              </w:rPr>
            </w:pPr>
            <w:r>
              <w:rPr>
                <w:rFonts w:eastAsia="仿宋_GB2312"/>
                <w:sz w:val="28"/>
                <w:szCs w:val="28"/>
              </w:rPr>
              <w:t>姓名</w:t>
            </w:r>
          </w:p>
        </w:tc>
        <w:tc>
          <w:tcPr>
            <w:tcW w:w="1259" w:type="pct"/>
            <w:tcBorders>
              <w:tl2br w:val="nil"/>
              <w:tr2bl w:val="nil"/>
            </w:tcBorders>
            <w:vAlign w:val="center"/>
          </w:tcPr>
          <w:p>
            <w:pPr>
              <w:spacing w:line="600" w:lineRule="exact"/>
              <w:jc w:val="center"/>
              <w:rPr>
                <w:rFonts w:eastAsia="仿宋_GB2312"/>
                <w:sz w:val="28"/>
                <w:szCs w:val="28"/>
              </w:rPr>
            </w:pPr>
            <w:r>
              <w:rPr>
                <w:rFonts w:eastAsia="仿宋_GB2312"/>
                <w:sz w:val="28"/>
                <w:szCs w:val="28"/>
              </w:rPr>
              <w:t>注册号</w:t>
            </w:r>
          </w:p>
        </w:tc>
        <w:tc>
          <w:tcPr>
            <w:tcW w:w="1185" w:type="pct"/>
            <w:tcBorders>
              <w:tl2br w:val="nil"/>
              <w:tr2bl w:val="nil"/>
            </w:tcBorders>
            <w:vAlign w:val="center"/>
          </w:tcPr>
          <w:p>
            <w:pPr>
              <w:spacing w:line="600" w:lineRule="exact"/>
              <w:jc w:val="center"/>
              <w:rPr>
                <w:rFonts w:eastAsia="仿宋_GB2312"/>
                <w:sz w:val="28"/>
                <w:szCs w:val="28"/>
              </w:rPr>
            </w:pPr>
            <w:r>
              <w:rPr>
                <w:rFonts w:eastAsia="仿宋_GB2312"/>
                <w:sz w:val="28"/>
                <w:szCs w:val="28"/>
              </w:rPr>
              <w:t>签字</w:t>
            </w:r>
          </w:p>
        </w:tc>
        <w:tc>
          <w:tcPr>
            <w:tcW w:w="1463" w:type="pct"/>
            <w:tcBorders>
              <w:tl2br w:val="nil"/>
              <w:tr2bl w:val="nil"/>
            </w:tcBorders>
            <w:vAlign w:val="center"/>
          </w:tcPr>
          <w:p>
            <w:pPr>
              <w:spacing w:line="600" w:lineRule="exact"/>
              <w:jc w:val="center"/>
              <w:rPr>
                <w:rFonts w:eastAsia="仿宋_GB2312"/>
                <w:sz w:val="28"/>
                <w:szCs w:val="28"/>
              </w:rPr>
            </w:pPr>
            <w:r>
              <w:rPr>
                <w:rFonts w:eastAsia="仿宋_GB2312"/>
                <w:sz w:val="28"/>
                <w:szCs w:val="28"/>
              </w:rPr>
              <w:t>日期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093" w:type="pct"/>
            <w:tcBorders>
              <w:tl2br w:val="nil"/>
              <w:tr2bl w:val="nil"/>
            </w:tcBorders>
            <w:vAlign w:val="center"/>
          </w:tcPr>
          <w:p>
            <w:pPr>
              <w:jc w:val="center"/>
              <w:rPr>
                <w:rFonts w:eastAsia="仿宋_GB2312"/>
                <w:sz w:val="28"/>
                <w:szCs w:val="28"/>
              </w:rPr>
            </w:pPr>
            <w:r>
              <w:rPr>
                <w:rFonts w:eastAsia="仿宋_GB2312"/>
                <w:sz w:val="28"/>
                <w:szCs w:val="28"/>
              </w:rPr>
              <w:t>高娜</w:t>
            </w:r>
          </w:p>
        </w:tc>
        <w:tc>
          <w:tcPr>
            <w:tcW w:w="1259" w:type="pct"/>
            <w:tcBorders>
              <w:tl2br w:val="nil"/>
              <w:tr2bl w:val="nil"/>
            </w:tcBorders>
            <w:vAlign w:val="center"/>
          </w:tcPr>
          <w:p>
            <w:pPr>
              <w:jc w:val="center"/>
              <w:rPr>
                <w:rFonts w:eastAsia="仿宋_GB2312"/>
                <w:sz w:val="28"/>
                <w:szCs w:val="28"/>
              </w:rPr>
            </w:pPr>
            <w:r>
              <w:rPr>
                <w:rFonts w:eastAsia="仿宋_GB2312"/>
                <w:sz w:val="28"/>
              </w:rPr>
              <w:t>3620180023</w:t>
            </w:r>
          </w:p>
        </w:tc>
        <w:tc>
          <w:tcPr>
            <w:tcW w:w="1185" w:type="pct"/>
            <w:tcBorders>
              <w:tl2br w:val="nil"/>
              <w:tr2bl w:val="nil"/>
            </w:tcBorders>
            <w:vAlign w:val="center"/>
          </w:tcPr>
          <w:p>
            <w:pPr>
              <w:spacing w:line="600" w:lineRule="exact"/>
              <w:jc w:val="center"/>
              <w:rPr>
                <w:rFonts w:eastAsia="仿宋_GB2312"/>
                <w:sz w:val="28"/>
                <w:szCs w:val="28"/>
              </w:rPr>
            </w:pPr>
          </w:p>
        </w:tc>
        <w:tc>
          <w:tcPr>
            <w:tcW w:w="1463" w:type="pct"/>
            <w:tcBorders>
              <w:tl2br w:val="nil"/>
              <w:tr2bl w:val="nil"/>
            </w:tcBorders>
            <w:vAlign w:val="center"/>
          </w:tcPr>
          <w:p>
            <w:pPr>
              <w:spacing w:line="600" w:lineRule="exact"/>
              <w:jc w:val="center"/>
              <w:rPr>
                <w:rFonts w:eastAsia="仿宋_GB2312"/>
                <w:sz w:val="28"/>
                <w:szCs w:val="28"/>
              </w:rPr>
            </w:pPr>
            <w:r>
              <w:rPr>
                <w:rFonts w:eastAsia="仿宋_GB2312"/>
                <w:sz w:val="28"/>
                <w:szCs w:val="28"/>
              </w:rPr>
              <w:t>2020年03月24日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1093" w:type="pct"/>
            <w:tcBorders>
              <w:tl2br w:val="nil"/>
              <w:tr2bl w:val="nil"/>
            </w:tcBorders>
            <w:vAlign w:val="center"/>
          </w:tcPr>
          <w:p>
            <w:pPr>
              <w:jc w:val="center"/>
              <w:rPr>
                <w:rFonts w:eastAsia="仿宋_GB2312"/>
                <w:sz w:val="28"/>
                <w:szCs w:val="28"/>
              </w:rPr>
            </w:pPr>
            <w:r>
              <w:rPr>
                <w:rFonts w:eastAsia="仿宋_GB2312"/>
                <w:sz w:val="28"/>
                <w:szCs w:val="28"/>
              </w:rPr>
              <w:t>曾国盛</w:t>
            </w:r>
          </w:p>
        </w:tc>
        <w:tc>
          <w:tcPr>
            <w:tcW w:w="1259" w:type="pct"/>
            <w:tcBorders>
              <w:tl2br w:val="nil"/>
              <w:tr2bl w:val="nil"/>
            </w:tcBorders>
            <w:vAlign w:val="center"/>
          </w:tcPr>
          <w:p>
            <w:pPr>
              <w:jc w:val="center"/>
              <w:rPr>
                <w:rFonts w:eastAsia="仿宋_GB2312"/>
                <w:sz w:val="28"/>
                <w:szCs w:val="28"/>
              </w:rPr>
            </w:pPr>
            <w:r>
              <w:rPr>
                <w:rFonts w:eastAsia="仿宋_GB2312"/>
                <w:sz w:val="28"/>
              </w:rPr>
              <w:t>3620140027</w:t>
            </w:r>
          </w:p>
        </w:tc>
        <w:tc>
          <w:tcPr>
            <w:tcW w:w="1185" w:type="pct"/>
            <w:tcBorders>
              <w:tl2br w:val="nil"/>
              <w:tr2bl w:val="nil"/>
            </w:tcBorders>
            <w:vAlign w:val="center"/>
          </w:tcPr>
          <w:p>
            <w:pPr>
              <w:spacing w:line="600" w:lineRule="exact"/>
              <w:jc w:val="center"/>
              <w:rPr>
                <w:rFonts w:eastAsia="仿宋_GB2312"/>
                <w:sz w:val="28"/>
                <w:szCs w:val="28"/>
              </w:rPr>
            </w:pPr>
          </w:p>
        </w:tc>
        <w:tc>
          <w:tcPr>
            <w:tcW w:w="1463" w:type="pct"/>
            <w:tcBorders>
              <w:tl2br w:val="nil"/>
              <w:tr2bl w:val="nil"/>
            </w:tcBorders>
            <w:vAlign w:val="center"/>
          </w:tcPr>
          <w:p>
            <w:pPr>
              <w:spacing w:line="600" w:lineRule="exact"/>
              <w:jc w:val="center"/>
              <w:rPr>
                <w:rFonts w:eastAsia="仿宋_GB2312"/>
                <w:sz w:val="28"/>
                <w:szCs w:val="28"/>
              </w:rPr>
            </w:pPr>
            <w:r>
              <w:rPr>
                <w:rFonts w:eastAsia="仿宋_GB2312"/>
                <w:sz w:val="28"/>
                <w:szCs w:val="28"/>
              </w:rPr>
              <w:t>2020年03月24日</w:t>
            </w:r>
          </w:p>
        </w:tc>
      </w:tr>
    </w:tbl>
    <w:p>
      <w:pPr>
        <w:tabs>
          <w:tab w:val="left" w:pos="4998"/>
        </w:tabs>
        <w:adjustRightInd w:val="0"/>
        <w:snapToGrid w:val="0"/>
        <w:spacing w:line="500" w:lineRule="exact"/>
        <w:outlineLvl w:val="1"/>
        <w:rPr>
          <w:rFonts w:eastAsia="仿宋_GB2312"/>
          <w:b/>
          <w:bCs/>
          <w:color w:val="000000"/>
          <w:sz w:val="28"/>
          <w:szCs w:val="32"/>
        </w:rPr>
      </w:pPr>
      <w:bookmarkStart w:id="58" w:name="_Toc36713649"/>
      <w:bookmarkStart w:id="59" w:name="_Toc23344721"/>
      <w:bookmarkStart w:id="60" w:name="_Toc36552796"/>
      <w:r>
        <w:rPr>
          <w:rFonts w:eastAsia="仿宋_GB2312"/>
          <w:b/>
          <w:bCs/>
          <w:color w:val="000000"/>
          <w:sz w:val="28"/>
          <w:szCs w:val="32"/>
        </w:rPr>
        <w:t>（十二）实地查勘期</w:t>
      </w:r>
      <w:bookmarkEnd w:id="58"/>
      <w:bookmarkEnd w:id="59"/>
      <w:bookmarkEnd w:id="60"/>
    </w:p>
    <w:p>
      <w:pPr>
        <w:tabs>
          <w:tab w:val="left" w:pos="4998"/>
        </w:tabs>
        <w:adjustRightInd w:val="0"/>
        <w:snapToGrid w:val="0"/>
        <w:spacing w:line="500" w:lineRule="exact"/>
        <w:ind w:firstLine="560" w:firstLineChars="200"/>
        <w:rPr>
          <w:rFonts w:eastAsia="仿宋_GB2312"/>
          <w:bCs/>
          <w:color w:val="000000"/>
          <w:sz w:val="28"/>
          <w:szCs w:val="32"/>
        </w:rPr>
      </w:pPr>
      <w:r>
        <w:rPr>
          <w:rFonts w:eastAsia="仿宋_GB2312"/>
          <w:bCs/>
          <w:color w:val="000000"/>
          <w:sz w:val="28"/>
          <w:szCs w:val="32"/>
        </w:rPr>
        <w:t>2020年03月16日</w:t>
      </w:r>
    </w:p>
    <w:p>
      <w:pPr>
        <w:tabs>
          <w:tab w:val="left" w:pos="4998"/>
        </w:tabs>
        <w:adjustRightInd w:val="0"/>
        <w:snapToGrid w:val="0"/>
        <w:spacing w:line="500" w:lineRule="exact"/>
        <w:outlineLvl w:val="1"/>
        <w:rPr>
          <w:rFonts w:eastAsia="仿宋_GB2312"/>
          <w:b/>
          <w:bCs/>
          <w:color w:val="000000"/>
          <w:sz w:val="28"/>
          <w:szCs w:val="32"/>
        </w:rPr>
      </w:pPr>
      <w:bookmarkStart w:id="61" w:name="_Toc23344722"/>
      <w:bookmarkStart w:id="62" w:name="_Toc36713650"/>
      <w:bookmarkStart w:id="63" w:name="_Toc36552797"/>
      <w:r>
        <w:rPr>
          <w:rFonts w:eastAsia="仿宋_GB2312"/>
          <w:b/>
          <w:bCs/>
          <w:color w:val="000000"/>
          <w:sz w:val="28"/>
          <w:szCs w:val="32"/>
        </w:rPr>
        <w:t>（十三）估价作业期</w:t>
      </w:r>
      <w:bookmarkEnd w:id="61"/>
      <w:bookmarkEnd w:id="62"/>
      <w:bookmarkEnd w:id="63"/>
    </w:p>
    <w:p>
      <w:pPr>
        <w:tabs>
          <w:tab w:val="left" w:pos="4998"/>
        </w:tabs>
        <w:adjustRightInd w:val="0"/>
        <w:snapToGrid w:val="0"/>
        <w:spacing w:line="500" w:lineRule="exact"/>
        <w:ind w:firstLine="560" w:firstLineChars="200"/>
        <w:rPr>
          <w:rFonts w:eastAsia="仿宋_GB2312"/>
          <w:bCs/>
          <w:color w:val="000000"/>
          <w:sz w:val="28"/>
          <w:szCs w:val="32"/>
        </w:rPr>
      </w:pPr>
      <w:r>
        <w:rPr>
          <w:rFonts w:eastAsia="仿宋_GB2312"/>
          <w:bCs/>
          <w:color w:val="000000"/>
          <w:sz w:val="28"/>
          <w:szCs w:val="32"/>
        </w:rPr>
        <w:t>2020年03月16日起至2020年03月24日</w:t>
      </w:r>
    </w:p>
    <w:p>
      <w:pPr>
        <w:pStyle w:val="2"/>
        <w:spacing w:line="560" w:lineRule="exact"/>
        <w:ind w:left="0" w:firstLine="0"/>
        <w:jc w:val="center"/>
        <w:rPr>
          <w:rFonts w:ascii="Times New Roman" w:eastAsia="仿宋_GB2312"/>
          <w:color w:val="000000"/>
          <w:sz w:val="28"/>
        </w:rPr>
      </w:pPr>
      <w:bookmarkStart w:id="64" w:name="_Toc427611316"/>
      <w:bookmarkStart w:id="65" w:name="_Toc36552803"/>
      <w:bookmarkStart w:id="66" w:name="_Toc36713651"/>
      <w:bookmarkStart w:id="67" w:name="_Toc23344729"/>
      <w:bookmarkStart w:id="68" w:name="_Toc427611564"/>
      <w:r>
        <w:rPr>
          <w:rFonts w:hint="eastAsia" w:ascii="Times New Roman" w:eastAsia="仿宋_GB2312"/>
          <w:color w:val="000000"/>
          <w:sz w:val="28"/>
        </w:rPr>
        <w:t>四</w:t>
      </w:r>
      <w:r>
        <w:rPr>
          <w:rFonts w:ascii="Times New Roman" w:eastAsia="仿宋_GB2312"/>
          <w:color w:val="000000"/>
          <w:sz w:val="28"/>
        </w:rPr>
        <w:t>、附件</w:t>
      </w:r>
      <w:bookmarkEnd w:id="64"/>
      <w:bookmarkEnd w:id="65"/>
      <w:bookmarkEnd w:id="66"/>
      <w:bookmarkEnd w:id="67"/>
      <w:bookmarkEnd w:id="68"/>
    </w:p>
    <w:p/>
    <w:p/>
    <w:p>
      <w:pPr>
        <w:spacing w:line="480" w:lineRule="auto"/>
        <w:ind w:firstLine="560" w:firstLineChars="200"/>
        <w:rPr>
          <w:rFonts w:eastAsia="仿宋_GB2312"/>
          <w:sz w:val="28"/>
          <w:szCs w:val="28"/>
        </w:rPr>
      </w:pPr>
      <w:r>
        <w:rPr>
          <w:rFonts w:eastAsia="仿宋_GB2312"/>
          <w:sz w:val="28"/>
          <w:szCs w:val="28"/>
        </w:rPr>
        <w:t>（一）估价对象照片</w:t>
      </w:r>
    </w:p>
    <w:p>
      <w:pPr>
        <w:spacing w:line="480" w:lineRule="auto"/>
        <w:ind w:firstLine="560" w:firstLineChars="200"/>
        <w:rPr>
          <w:rFonts w:eastAsia="仿宋_GB2312"/>
          <w:color w:val="000000"/>
          <w:sz w:val="28"/>
          <w:szCs w:val="28"/>
        </w:rPr>
      </w:pPr>
      <w:r>
        <w:rPr>
          <w:rFonts w:eastAsia="仿宋_GB2312"/>
          <w:sz w:val="28"/>
          <w:szCs w:val="28"/>
        </w:rPr>
        <w:t>（二）估价对象位置图</w:t>
      </w:r>
      <w:r>
        <w:rPr>
          <w:rFonts w:eastAsia="仿宋_GB2312"/>
          <w:sz w:val="28"/>
          <w:szCs w:val="28"/>
        </w:rPr>
        <w:tab/>
      </w:r>
    </w:p>
    <w:p>
      <w:pPr>
        <w:spacing w:line="480" w:lineRule="auto"/>
        <w:ind w:firstLine="560" w:firstLineChars="200"/>
        <w:rPr>
          <w:rFonts w:eastAsia="仿宋_GB2312"/>
          <w:color w:val="000000"/>
          <w:sz w:val="28"/>
          <w:szCs w:val="28"/>
        </w:rPr>
      </w:pPr>
      <w:r>
        <w:rPr>
          <w:rFonts w:eastAsia="仿宋_GB2312"/>
          <w:sz w:val="28"/>
          <w:szCs w:val="28"/>
        </w:rPr>
        <w:t>（三）司法评估委托书</w:t>
      </w:r>
    </w:p>
    <w:p>
      <w:pPr>
        <w:spacing w:line="480" w:lineRule="auto"/>
        <w:ind w:firstLine="560" w:firstLineChars="200"/>
        <w:rPr>
          <w:rFonts w:eastAsia="仿宋_GB2312"/>
          <w:sz w:val="28"/>
          <w:szCs w:val="28"/>
        </w:rPr>
      </w:pPr>
      <w:r>
        <w:rPr>
          <w:rFonts w:eastAsia="仿宋_GB2312"/>
          <w:sz w:val="28"/>
          <w:szCs w:val="28"/>
        </w:rPr>
        <w:t>（四）估价对象权属证明（复印件）</w:t>
      </w:r>
    </w:p>
    <w:p>
      <w:pPr>
        <w:spacing w:line="480" w:lineRule="auto"/>
        <w:ind w:firstLine="525" w:firstLineChars="250"/>
        <w:rPr>
          <w:rFonts w:eastAsia="仿宋_GB2312"/>
          <w:sz w:val="28"/>
          <w:szCs w:val="28"/>
        </w:rPr>
      </w:pPr>
      <w:r>
        <w:fldChar w:fldCharType="begin"/>
      </w:r>
      <w:r>
        <w:instrText xml:space="preserve"> HYPERLINK \l "_Toc364866425" </w:instrText>
      </w:r>
      <w:r>
        <w:fldChar w:fldCharType="separate"/>
      </w:r>
      <w:r>
        <w:rPr>
          <w:rFonts w:eastAsia="仿宋_GB2312"/>
          <w:sz w:val="28"/>
          <w:szCs w:val="28"/>
        </w:rPr>
        <w:t>（五）</w:t>
      </w:r>
      <w:r>
        <w:rPr>
          <w:rFonts w:eastAsia="仿宋_GB2312"/>
          <w:sz w:val="28"/>
          <w:szCs w:val="28"/>
        </w:rPr>
        <w:fldChar w:fldCharType="end"/>
      </w:r>
      <w:r>
        <w:rPr>
          <w:rFonts w:eastAsia="仿宋_GB2312"/>
          <w:sz w:val="28"/>
          <w:szCs w:val="28"/>
        </w:rPr>
        <w:t>注册房地产估价师注册证书（复印件）</w:t>
      </w:r>
    </w:p>
    <w:p>
      <w:pPr>
        <w:spacing w:line="480" w:lineRule="auto"/>
        <w:ind w:firstLine="525" w:firstLineChars="250"/>
        <w:rPr>
          <w:rFonts w:eastAsia="仿宋_GB2312"/>
          <w:sz w:val="28"/>
          <w:szCs w:val="28"/>
        </w:rPr>
      </w:pPr>
      <w:r>
        <w:fldChar w:fldCharType="begin"/>
      </w:r>
      <w:r>
        <w:instrText xml:space="preserve"> HYPERLINK \l "_Toc364866425" </w:instrText>
      </w:r>
      <w:r>
        <w:fldChar w:fldCharType="separate"/>
      </w:r>
      <w:r>
        <w:rPr>
          <w:rFonts w:eastAsia="仿宋_GB2312"/>
          <w:sz w:val="28"/>
          <w:szCs w:val="28"/>
        </w:rPr>
        <w:t>（六）</w:t>
      </w:r>
      <w:r>
        <w:rPr>
          <w:rFonts w:eastAsia="仿宋_GB2312"/>
          <w:sz w:val="28"/>
          <w:szCs w:val="28"/>
        </w:rPr>
        <w:fldChar w:fldCharType="end"/>
      </w:r>
      <w:r>
        <w:rPr>
          <w:rFonts w:eastAsia="仿宋_GB2312"/>
          <w:sz w:val="28"/>
          <w:szCs w:val="28"/>
        </w:rPr>
        <w:t>估价机构资质证书（复印件）</w:t>
      </w:r>
    </w:p>
    <w:p>
      <w:pPr>
        <w:spacing w:line="480" w:lineRule="auto"/>
        <w:ind w:firstLine="525" w:firstLineChars="250"/>
        <w:rPr>
          <w:rFonts w:eastAsia="仿宋_GB2312"/>
          <w:sz w:val="28"/>
          <w:szCs w:val="28"/>
        </w:rPr>
      </w:pPr>
      <w:r>
        <w:fldChar w:fldCharType="begin"/>
      </w:r>
      <w:r>
        <w:instrText xml:space="preserve"> HYPERLINK \l "_Toc364866426" </w:instrText>
      </w:r>
      <w:r>
        <w:fldChar w:fldCharType="separate"/>
      </w:r>
      <w:r>
        <w:rPr>
          <w:rFonts w:eastAsia="仿宋_GB2312"/>
          <w:sz w:val="28"/>
          <w:szCs w:val="28"/>
        </w:rPr>
        <w:t>（七）</w:t>
      </w:r>
      <w:r>
        <w:rPr>
          <w:rFonts w:eastAsia="仿宋_GB2312"/>
          <w:sz w:val="28"/>
          <w:szCs w:val="28"/>
        </w:rPr>
        <w:fldChar w:fldCharType="end"/>
      </w:r>
      <w:r>
        <w:rPr>
          <w:rFonts w:eastAsia="仿宋_GB2312"/>
          <w:sz w:val="28"/>
          <w:szCs w:val="28"/>
        </w:rPr>
        <w:t>估价机构营业执照（复印件）</w:t>
      </w:r>
    </w:p>
    <w:p>
      <w:pPr>
        <w:spacing w:line="500" w:lineRule="exact"/>
        <w:jc w:val="center"/>
        <w:rPr>
          <w:rFonts w:eastAsia="仿宋_GB2312"/>
          <w:b/>
          <w:bCs/>
          <w:sz w:val="28"/>
        </w:rPr>
        <w:sectPr>
          <w:footerReference r:id="rId3" w:type="default"/>
          <w:pgSz w:w="11906" w:h="16838"/>
          <w:pgMar w:top="1134" w:right="1440" w:bottom="1134" w:left="1440" w:header="851" w:footer="992" w:gutter="0"/>
          <w:cols w:space="720" w:num="1"/>
          <w:docGrid w:linePitch="312" w:charSpace="0"/>
        </w:sectPr>
      </w:pPr>
    </w:p>
    <w:p>
      <w:pPr>
        <w:tabs>
          <w:tab w:val="left" w:pos="4998"/>
        </w:tabs>
        <w:adjustRightInd w:val="0"/>
        <w:snapToGrid w:val="0"/>
        <w:spacing w:line="480" w:lineRule="auto"/>
        <w:jc w:val="center"/>
        <w:rPr>
          <w:rFonts w:eastAsia="仿宋_GB2312"/>
          <w:b/>
          <w:bCs/>
          <w:color w:val="000000"/>
          <w:sz w:val="28"/>
        </w:rPr>
      </w:pPr>
      <w:r>
        <w:rPr>
          <w:rFonts w:eastAsia="仿宋_GB2312"/>
          <w:b/>
          <w:bCs/>
          <w:color w:val="000000"/>
          <w:sz w:val="28"/>
        </w:rPr>
        <w:t>估价对象照片</w:t>
      </w:r>
    </w:p>
    <w:tbl>
      <w:tblPr>
        <w:tblStyle w:val="25"/>
        <w:tblW w:w="0" w:type="auto"/>
        <w:tblInd w:w="0" w:type="dxa"/>
        <w:tblLayout w:type="fixed"/>
        <w:tblCellMar>
          <w:top w:w="0" w:type="dxa"/>
          <w:left w:w="108" w:type="dxa"/>
          <w:bottom w:w="0" w:type="dxa"/>
          <w:right w:w="108" w:type="dxa"/>
        </w:tblCellMar>
      </w:tblPr>
      <w:tblGrid>
        <w:gridCol w:w="4621"/>
        <w:gridCol w:w="4621"/>
      </w:tblGrid>
      <w:tr>
        <w:tblPrEx>
          <w:tblCellMar>
            <w:top w:w="0" w:type="dxa"/>
            <w:left w:w="108" w:type="dxa"/>
            <w:bottom w:w="0" w:type="dxa"/>
            <w:right w:w="108" w:type="dxa"/>
          </w:tblCellMar>
        </w:tblPrEx>
        <w:trPr>
          <w:trHeight w:val="2895" w:hRule="atLeast"/>
        </w:trPr>
        <w:tc>
          <w:tcPr>
            <w:tcW w:w="4621" w:type="dxa"/>
            <w:vAlign w:val="center"/>
          </w:tcPr>
          <w:p>
            <w:pPr>
              <w:jc w:val="center"/>
              <w:rPr>
                <w:rFonts w:eastAsia="仿宋_GB2312"/>
                <w:b/>
                <w:bCs/>
                <w:color w:val="000000"/>
                <w:sz w:val="28"/>
              </w:rPr>
            </w:pPr>
            <w:r>
              <w:rPr>
                <w:rFonts w:eastAsia="仿宋_GB2312"/>
                <w:b/>
                <w:bCs/>
                <w:color w:val="000000"/>
                <w:sz w:val="28"/>
              </w:rPr>
              <w:br w:type="page"/>
            </w:r>
            <w:r>
              <w:rPr>
                <w:rFonts w:eastAsia="仿宋_GB2312"/>
                <w:b/>
                <w:bCs/>
                <w:color w:val="000000"/>
                <w:sz w:val="28"/>
              </w:rPr>
              <w:drawing>
                <wp:inline distT="0" distB="0" distL="0" distR="0">
                  <wp:extent cx="2797175" cy="3729355"/>
                  <wp:effectExtent l="0" t="0" r="3175"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cstate="screen"/>
                          <a:stretch>
                            <a:fillRect/>
                          </a:stretch>
                        </pic:blipFill>
                        <pic:spPr>
                          <a:xfrm>
                            <a:off x="0" y="0"/>
                            <a:ext cx="2797175" cy="3729355"/>
                          </a:xfrm>
                          <a:prstGeom prst="rect">
                            <a:avLst/>
                          </a:prstGeom>
                        </pic:spPr>
                      </pic:pic>
                    </a:graphicData>
                  </a:graphic>
                </wp:inline>
              </w:drawing>
            </w:r>
          </w:p>
        </w:tc>
        <w:tc>
          <w:tcPr>
            <w:tcW w:w="4621" w:type="dxa"/>
            <w:vAlign w:val="center"/>
          </w:tcPr>
          <w:p>
            <w:pPr>
              <w:jc w:val="center"/>
              <w:rPr>
                <w:rFonts w:eastAsia="仿宋_GB2312"/>
                <w:b/>
                <w:bCs/>
                <w:color w:val="000000"/>
                <w:sz w:val="28"/>
              </w:rPr>
            </w:pPr>
            <w:r>
              <w:rPr>
                <w:rFonts w:eastAsia="仿宋_GB2312"/>
                <w:b/>
                <w:bCs/>
                <w:color w:val="000000"/>
                <w:sz w:val="28"/>
              </w:rPr>
              <w:drawing>
                <wp:inline distT="0" distB="0" distL="0" distR="0">
                  <wp:extent cx="2794635" cy="3683000"/>
                  <wp:effectExtent l="0" t="0" r="571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9" cstate="screen"/>
                          <a:stretch>
                            <a:fillRect/>
                          </a:stretch>
                        </pic:blipFill>
                        <pic:spPr>
                          <a:xfrm>
                            <a:off x="0" y="0"/>
                            <a:ext cx="2797175" cy="3686678"/>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估价对象楼宇外观</w:t>
            </w:r>
          </w:p>
        </w:tc>
        <w:tc>
          <w:tcPr>
            <w:tcW w:w="4621" w:type="dxa"/>
            <w:vAlign w:val="center"/>
          </w:tcPr>
          <w:p>
            <w:pPr>
              <w:jc w:val="center"/>
              <w:rPr>
                <w:rFonts w:eastAsia="仿宋_GB2312"/>
                <w:bCs/>
                <w:color w:val="000000"/>
                <w:szCs w:val="21"/>
              </w:rPr>
            </w:pPr>
            <w:r>
              <w:rPr>
                <w:rFonts w:eastAsia="仿宋_GB2312"/>
                <w:bCs/>
                <w:color w:val="000000"/>
                <w:szCs w:val="21"/>
              </w:rPr>
              <w:t>估价对象一楼</w:t>
            </w:r>
            <w:r>
              <w:rPr>
                <w:rFonts w:hint="eastAsia" w:eastAsia="仿宋_GB2312"/>
                <w:bCs/>
                <w:color w:val="000000"/>
                <w:szCs w:val="21"/>
              </w:rPr>
              <w:t>外观</w:t>
            </w:r>
          </w:p>
        </w:tc>
      </w:tr>
      <w:tr>
        <w:tblPrEx>
          <w:tblCellMar>
            <w:top w:w="0" w:type="dxa"/>
            <w:left w:w="108" w:type="dxa"/>
            <w:bottom w:w="0" w:type="dxa"/>
            <w:right w:w="108" w:type="dxa"/>
          </w:tblCellMar>
        </w:tblPrEx>
        <w:trPr>
          <w:trHeight w:val="2986"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0"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cstate="screen"/>
                          <a:stretch>
                            <a:fillRect/>
                          </a:stretch>
                        </pic:blipFill>
                        <pic:spPr>
                          <a:xfrm>
                            <a:off x="0" y="0"/>
                            <a:ext cx="2797175" cy="209804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估价对象一楼现状</w:t>
            </w:r>
          </w:p>
        </w:tc>
        <w:tc>
          <w:tcPr>
            <w:tcW w:w="4621" w:type="dxa"/>
            <w:vAlign w:val="center"/>
          </w:tcPr>
          <w:p>
            <w:pPr>
              <w:jc w:val="center"/>
              <w:rPr>
                <w:rFonts w:eastAsia="仿宋_GB2312"/>
                <w:bCs/>
                <w:color w:val="000000"/>
                <w:szCs w:val="21"/>
              </w:rPr>
            </w:pPr>
            <w:r>
              <w:rPr>
                <w:rFonts w:eastAsia="仿宋_GB2312"/>
                <w:bCs/>
                <w:color w:val="000000"/>
                <w:szCs w:val="21"/>
              </w:rPr>
              <w:t>估价对象一楼现状</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3" cstate="screen"/>
                          <a:stretch>
                            <a:fillRect/>
                          </a:stretch>
                        </pic:blipFill>
                        <pic:spPr>
                          <a:xfrm>
                            <a:off x="0" y="0"/>
                            <a:ext cx="2797175" cy="209804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pPr>
            <w:r>
              <w:rPr>
                <w:rFonts w:eastAsia="仿宋_GB2312"/>
                <w:bCs/>
                <w:color w:val="000000"/>
                <w:szCs w:val="21"/>
              </w:rPr>
              <w:t>估价对象一楼现状</w:t>
            </w:r>
          </w:p>
        </w:tc>
        <w:tc>
          <w:tcPr>
            <w:tcW w:w="4621" w:type="dxa"/>
            <w:vAlign w:val="center"/>
          </w:tcPr>
          <w:p>
            <w:pPr>
              <w:jc w:val="center"/>
            </w:pPr>
            <w:r>
              <w:rPr>
                <w:rFonts w:eastAsia="仿宋_GB2312"/>
                <w:bCs/>
                <w:color w:val="000000"/>
                <w:szCs w:val="21"/>
              </w:rPr>
              <w:t>估价对象一楼现状</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3729355"/>
                  <wp:effectExtent l="0" t="0" r="3175" b="444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14" cstate="screen"/>
                          <a:stretch>
                            <a:fillRect/>
                          </a:stretch>
                        </pic:blipFill>
                        <pic:spPr>
                          <a:xfrm>
                            <a:off x="0" y="0"/>
                            <a:ext cx="2797175" cy="3729355"/>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4635" cy="3674745"/>
                  <wp:effectExtent l="0" t="0" r="5715" b="190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5" cstate="screen"/>
                          <a:stretch>
                            <a:fillRect/>
                          </a:stretch>
                        </pic:blipFill>
                        <pic:spPr>
                          <a:xfrm>
                            <a:off x="0" y="0"/>
                            <a:ext cx="2797175" cy="3678045"/>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pPr>
            <w:r>
              <w:rPr>
                <w:rFonts w:eastAsia="仿宋_GB2312"/>
                <w:bCs/>
                <w:color w:val="000000"/>
                <w:szCs w:val="21"/>
              </w:rPr>
              <w:t>估价对象一楼</w:t>
            </w:r>
            <w:r>
              <w:rPr>
                <w:rFonts w:hint="eastAsia" w:eastAsia="仿宋_GB2312"/>
                <w:bCs/>
                <w:color w:val="000000"/>
                <w:szCs w:val="21"/>
              </w:rPr>
              <w:t>临街</w:t>
            </w:r>
            <w:r>
              <w:rPr>
                <w:rFonts w:eastAsia="仿宋_GB2312"/>
                <w:bCs/>
                <w:color w:val="000000"/>
                <w:szCs w:val="21"/>
              </w:rPr>
              <w:t>状况</w:t>
            </w:r>
          </w:p>
        </w:tc>
        <w:tc>
          <w:tcPr>
            <w:tcW w:w="4621" w:type="dxa"/>
            <w:vAlign w:val="center"/>
          </w:tcPr>
          <w:p>
            <w:pPr>
              <w:jc w:val="center"/>
            </w:pPr>
            <w:r>
              <w:rPr>
                <w:rFonts w:eastAsia="仿宋_GB2312"/>
                <w:bCs/>
                <w:color w:val="000000"/>
                <w:szCs w:val="21"/>
              </w:rPr>
              <w:t>估价对象一楼</w:t>
            </w:r>
            <w:r>
              <w:rPr>
                <w:rFonts w:hint="eastAsia" w:eastAsia="仿宋_GB2312"/>
                <w:bCs/>
                <w:color w:val="000000"/>
                <w:szCs w:val="21"/>
              </w:rPr>
              <w:t>临街</w:t>
            </w:r>
            <w:r>
              <w:rPr>
                <w:rFonts w:eastAsia="仿宋_GB2312"/>
                <w:bCs/>
                <w:color w:val="000000"/>
                <w:szCs w:val="21"/>
              </w:rPr>
              <w:t>状况</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16"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7" cstate="screen"/>
                          <a:stretch>
                            <a:fillRect/>
                          </a:stretch>
                        </pic:blipFill>
                        <pic:spPr>
                          <a:xfrm>
                            <a:off x="0" y="0"/>
                            <a:ext cx="2797175" cy="209804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估价对象内部楼梯</w:t>
            </w:r>
          </w:p>
        </w:tc>
        <w:tc>
          <w:tcPr>
            <w:tcW w:w="4621" w:type="dxa"/>
            <w:vAlign w:val="center"/>
          </w:tcPr>
          <w:p>
            <w:pPr>
              <w:jc w:val="center"/>
              <w:rPr>
                <w:rFonts w:eastAsia="仿宋_GB2312"/>
                <w:bCs/>
                <w:color w:val="000000"/>
                <w:szCs w:val="21"/>
              </w:rPr>
            </w:pPr>
            <w:r>
              <w:rPr>
                <w:rFonts w:eastAsia="仿宋_GB2312"/>
                <w:bCs/>
                <w:color w:val="000000"/>
                <w:szCs w:val="21"/>
              </w:rPr>
              <w:t>估价对象二楼现状</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8"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19" cstate="screen"/>
                          <a:stretch>
                            <a:fillRect/>
                          </a:stretch>
                        </pic:blipFill>
                        <pic:spPr>
                          <a:xfrm>
                            <a:off x="0" y="0"/>
                            <a:ext cx="2797175" cy="209804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估价对象二楼现状</w:t>
            </w:r>
          </w:p>
        </w:tc>
        <w:tc>
          <w:tcPr>
            <w:tcW w:w="4621" w:type="dxa"/>
            <w:vAlign w:val="center"/>
          </w:tcPr>
          <w:p>
            <w:pPr>
              <w:jc w:val="center"/>
              <w:rPr>
                <w:rFonts w:eastAsia="仿宋_GB2312"/>
                <w:bCs/>
                <w:color w:val="000000"/>
                <w:szCs w:val="21"/>
              </w:rPr>
            </w:pPr>
            <w:r>
              <w:rPr>
                <w:rFonts w:eastAsia="仿宋_GB2312"/>
                <w:bCs/>
                <w:color w:val="000000"/>
                <w:szCs w:val="21"/>
              </w:rPr>
              <w:t>估价对象二楼现状</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20"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21" cstate="screen"/>
                          <a:stretch>
                            <a:fillRect/>
                          </a:stretch>
                        </pic:blipFill>
                        <pic:spPr>
                          <a:xfrm>
                            <a:off x="0" y="0"/>
                            <a:ext cx="2797175" cy="209804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估价对象二楼现状</w:t>
            </w:r>
          </w:p>
        </w:tc>
        <w:tc>
          <w:tcPr>
            <w:tcW w:w="4621" w:type="dxa"/>
            <w:vAlign w:val="center"/>
          </w:tcPr>
          <w:p>
            <w:pPr>
              <w:jc w:val="center"/>
              <w:rPr>
                <w:rFonts w:eastAsia="仿宋_GB2312"/>
                <w:bCs/>
                <w:color w:val="000000"/>
                <w:szCs w:val="21"/>
              </w:rPr>
            </w:pPr>
            <w:r>
              <w:rPr>
                <w:rFonts w:eastAsia="仿宋_GB2312"/>
                <w:bCs/>
                <w:color w:val="000000"/>
                <w:szCs w:val="21"/>
              </w:rPr>
              <w:t>估价对象二楼现状</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22"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pic:cNvPicPr>
                        </pic:nvPicPr>
                        <pic:blipFill>
                          <a:blip r:embed="rId23" cstate="screen"/>
                          <a:stretch>
                            <a:fillRect/>
                          </a:stretch>
                        </pic:blipFill>
                        <pic:spPr>
                          <a:xfrm>
                            <a:off x="0" y="0"/>
                            <a:ext cx="2797175" cy="209804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估价对象三楼现状</w:t>
            </w:r>
          </w:p>
        </w:tc>
        <w:tc>
          <w:tcPr>
            <w:tcW w:w="4621" w:type="dxa"/>
            <w:vAlign w:val="center"/>
          </w:tcPr>
          <w:p>
            <w:pPr>
              <w:jc w:val="center"/>
              <w:rPr>
                <w:rFonts w:eastAsia="仿宋_GB2312"/>
                <w:bCs/>
                <w:color w:val="000000"/>
                <w:szCs w:val="21"/>
              </w:rPr>
            </w:pPr>
            <w:r>
              <w:rPr>
                <w:rFonts w:eastAsia="仿宋_GB2312"/>
                <w:bCs/>
                <w:color w:val="000000"/>
                <w:szCs w:val="21"/>
              </w:rPr>
              <w:t>估价对象三楼现状</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24"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25" cstate="screen"/>
                          <a:stretch>
                            <a:fillRect/>
                          </a:stretch>
                        </pic:blipFill>
                        <pic:spPr>
                          <a:xfrm>
                            <a:off x="0" y="0"/>
                            <a:ext cx="2797175" cy="209804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估价对象三楼现状</w:t>
            </w:r>
          </w:p>
        </w:tc>
        <w:tc>
          <w:tcPr>
            <w:tcW w:w="4621" w:type="dxa"/>
            <w:vAlign w:val="center"/>
          </w:tcPr>
          <w:p>
            <w:pPr>
              <w:jc w:val="center"/>
              <w:rPr>
                <w:rFonts w:eastAsia="仿宋_GB2312"/>
                <w:bCs/>
                <w:color w:val="000000"/>
                <w:szCs w:val="21"/>
              </w:rPr>
            </w:pPr>
            <w:r>
              <w:rPr>
                <w:rFonts w:eastAsia="仿宋_GB2312"/>
                <w:bCs/>
                <w:color w:val="000000"/>
                <w:szCs w:val="21"/>
              </w:rPr>
              <w:t>估价对象三楼现状</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26"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27" cstate="screen"/>
                          <a:stretch>
                            <a:fillRect/>
                          </a:stretch>
                        </pic:blipFill>
                        <pic:spPr>
                          <a:xfrm>
                            <a:off x="0" y="0"/>
                            <a:ext cx="2797175" cy="209804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估价对象三楼现状</w:t>
            </w:r>
          </w:p>
        </w:tc>
        <w:tc>
          <w:tcPr>
            <w:tcW w:w="4621" w:type="dxa"/>
            <w:vAlign w:val="center"/>
          </w:tcPr>
          <w:p>
            <w:pPr>
              <w:jc w:val="center"/>
              <w:rPr>
                <w:rFonts w:eastAsia="仿宋_GB2312"/>
                <w:bCs/>
                <w:color w:val="000000"/>
                <w:szCs w:val="21"/>
              </w:rPr>
            </w:pPr>
            <w:r>
              <w:rPr>
                <w:rFonts w:eastAsia="仿宋_GB2312"/>
                <w:bCs/>
                <w:color w:val="000000"/>
                <w:szCs w:val="21"/>
              </w:rPr>
              <w:t>估价对象三楼卫生间</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28"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9" cstate="screen"/>
                          <a:stretch>
                            <a:fillRect/>
                          </a:stretch>
                        </pic:blipFill>
                        <pic:spPr>
                          <a:xfrm>
                            <a:off x="0" y="0"/>
                            <a:ext cx="2797175" cy="209804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估价对象四楼现状</w:t>
            </w:r>
          </w:p>
        </w:tc>
        <w:tc>
          <w:tcPr>
            <w:tcW w:w="4621" w:type="dxa"/>
            <w:vAlign w:val="center"/>
          </w:tcPr>
          <w:p>
            <w:pPr>
              <w:jc w:val="center"/>
              <w:rPr>
                <w:rFonts w:eastAsia="仿宋_GB2312"/>
                <w:bCs/>
                <w:color w:val="000000"/>
                <w:szCs w:val="21"/>
              </w:rPr>
            </w:pPr>
            <w:r>
              <w:rPr>
                <w:rFonts w:eastAsia="仿宋_GB2312"/>
                <w:bCs/>
                <w:color w:val="000000"/>
                <w:szCs w:val="21"/>
              </w:rPr>
              <w:t>估价对象四楼现状</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30"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pic:cNvPicPr>
                            <a:picLocks noChangeAspect="1"/>
                          </pic:cNvPicPr>
                        </pic:nvPicPr>
                        <pic:blipFill>
                          <a:blip r:embed="rId31" cstate="screen"/>
                          <a:stretch>
                            <a:fillRect/>
                          </a:stretch>
                        </pic:blipFill>
                        <pic:spPr>
                          <a:xfrm>
                            <a:off x="0" y="0"/>
                            <a:ext cx="2797175" cy="209804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估价对象四楼现状</w:t>
            </w:r>
          </w:p>
        </w:tc>
        <w:tc>
          <w:tcPr>
            <w:tcW w:w="4621" w:type="dxa"/>
            <w:vAlign w:val="center"/>
          </w:tcPr>
          <w:p>
            <w:pPr>
              <w:jc w:val="center"/>
              <w:rPr>
                <w:rFonts w:eastAsia="仿宋_GB2312"/>
                <w:bCs/>
                <w:color w:val="000000"/>
                <w:szCs w:val="21"/>
              </w:rPr>
            </w:pPr>
            <w:r>
              <w:rPr>
                <w:rFonts w:eastAsia="仿宋_GB2312"/>
                <w:bCs/>
                <w:color w:val="000000"/>
                <w:szCs w:val="21"/>
              </w:rPr>
              <w:t>估价对象四楼现状</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pic:cNvPicPr>
                        </pic:nvPicPr>
                        <pic:blipFill>
                          <a:blip r:embed="rId32"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pic:cNvPicPr>
                        </pic:nvPicPr>
                        <pic:blipFill>
                          <a:blip r:embed="rId33" cstate="screen"/>
                          <a:stretch>
                            <a:fillRect/>
                          </a:stretch>
                        </pic:blipFill>
                        <pic:spPr>
                          <a:xfrm>
                            <a:off x="0" y="0"/>
                            <a:ext cx="2797175" cy="209804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估价对象四楼现状</w:t>
            </w:r>
          </w:p>
        </w:tc>
        <w:tc>
          <w:tcPr>
            <w:tcW w:w="4621" w:type="dxa"/>
            <w:vAlign w:val="center"/>
          </w:tcPr>
          <w:p>
            <w:pPr>
              <w:jc w:val="center"/>
              <w:rPr>
                <w:rFonts w:eastAsia="仿宋_GB2312"/>
                <w:bCs/>
                <w:color w:val="000000"/>
                <w:szCs w:val="21"/>
              </w:rPr>
            </w:pPr>
            <w:r>
              <w:rPr>
                <w:rFonts w:eastAsia="仿宋_GB2312"/>
                <w:bCs/>
                <w:color w:val="000000"/>
                <w:szCs w:val="21"/>
              </w:rPr>
              <w:t>估价对象四楼现状</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pic:cNvPicPr>
                        </pic:nvPicPr>
                        <pic:blipFill>
                          <a:blip r:embed="rId34"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pic:cNvPicPr>
                        </pic:nvPicPr>
                        <pic:blipFill>
                          <a:blip r:embed="rId35" cstate="screen"/>
                          <a:stretch>
                            <a:fillRect/>
                          </a:stretch>
                        </pic:blipFill>
                        <pic:spPr>
                          <a:xfrm>
                            <a:off x="0" y="0"/>
                            <a:ext cx="2797175" cy="2098040"/>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估价对象四楼现状</w:t>
            </w:r>
          </w:p>
        </w:tc>
        <w:tc>
          <w:tcPr>
            <w:tcW w:w="4621" w:type="dxa"/>
            <w:vAlign w:val="center"/>
          </w:tcPr>
          <w:p>
            <w:pPr>
              <w:jc w:val="center"/>
              <w:rPr>
                <w:rFonts w:eastAsia="仿宋_GB2312"/>
                <w:bCs/>
                <w:color w:val="000000"/>
                <w:szCs w:val="21"/>
              </w:rPr>
            </w:pPr>
            <w:r>
              <w:rPr>
                <w:rFonts w:eastAsia="仿宋_GB2312"/>
                <w:bCs/>
                <w:color w:val="000000"/>
                <w:szCs w:val="21"/>
              </w:rPr>
              <w:t>估价对象四楼现状</w:t>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7175" cy="2098040"/>
                  <wp:effectExtent l="0" t="0" r="317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6" cstate="screen"/>
                          <a:stretch>
                            <a:fillRect/>
                          </a:stretch>
                        </pic:blipFill>
                        <pic:spPr>
                          <a:xfrm>
                            <a:off x="0" y="0"/>
                            <a:ext cx="2797175" cy="2098040"/>
                          </a:xfrm>
                          <a:prstGeom prst="rect">
                            <a:avLst/>
                          </a:prstGeom>
                        </pic:spPr>
                      </pic:pic>
                    </a:graphicData>
                  </a:graphic>
                </wp:inline>
              </w:drawing>
            </w:r>
          </w:p>
        </w:tc>
        <w:tc>
          <w:tcPr>
            <w:tcW w:w="4621" w:type="dxa"/>
            <w:vAlign w:val="center"/>
          </w:tcPr>
          <w:p>
            <w:pPr>
              <w:jc w:val="center"/>
              <w:rPr>
                <w:rFonts w:eastAsia="仿宋_GB2312"/>
                <w:bCs/>
                <w:color w:val="000000"/>
                <w:szCs w:val="21"/>
              </w:rPr>
            </w:pPr>
            <w:r>
              <w:rPr>
                <w:rFonts w:eastAsia="仿宋_GB2312"/>
                <w:bCs/>
                <w:color w:val="000000"/>
                <w:szCs w:val="21"/>
              </w:rPr>
              <w:drawing>
                <wp:inline distT="0" distB="0" distL="0" distR="0">
                  <wp:extent cx="2796540" cy="20542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7" cstate="screen"/>
                          <a:stretch>
                            <a:fillRect/>
                          </a:stretch>
                        </pic:blipFill>
                        <pic:spPr>
                          <a:xfrm>
                            <a:off x="0" y="0"/>
                            <a:ext cx="2797175" cy="2054849"/>
                          </a:xfrm>
                          <a:prstGeom prst="rect">
                            <a:avLst/>
                          </a:prstGeom>
                        </pic:spPr>
                      </pic:pic>
                    </a:graphicData>
                  </a:graphic>
                </wp:inline>
              </w:drawing>
            </w:r>
          </w:p>
        </w:tc>
      </w:tr>
      <w:tr>
        <w:tblPrEx>
          <w:tblCellMar>
            <w:top w:w="0" w:type="dxa"/>
            <w:left w:w="108" w:type="dxa"/>
            <w:bottom w:w="0" w:type="dxa"/>
            <w:right w:w="108" w:type="dxa"/>
          </w:tblCellMar>
        </w:tblPrEx>
        <w:trPr>
          <w:trHeight w:val="567" w:hRule="atLeast"/>
        </w:trPr>
        <w:tc>
          <w:tcPr>
            <w:tcW w:w="4621" w:type="dxa"/>
            <w:vAlign w:val="center"/>
          </w:tcPr>
          <w:p>
            <w:pPr>
              <w:jc w:val="center"/>
              <w:rPr>
                <w:rFonts w:eastAsia="仿宋_GB2312"/>
                <w:bCs/>
                <w:color w:val="000000"/>
                <w:szCs w:val="21"/>
              </w:rPr>
            </w:pPr>
            <w:r>
              <w:rPr>
                <w:rFonts w:eastAsia="仿宋_GB2312"/>
                <w:bCs/>
                <w:color w:val="000000"/>
                <w:szCs w:val="21"/>
              </w:rPr>
              <w:t>估价对象四楼现状</w:t>
            </w:r>
          </w:p>
        </w:tc>
        <w:tc>
          <w:tcPr>
            <w:tcW w:w="4621" w:type="dxa"/>
            <w:vAlign w:val="center"/>
          </w:tcPr>
          <w:p>
            <w:pPr>
              <w:jc w:val="center"/>
              <w:rPr>
                <w:rFonts w:eastAsia="仿宋_GB2312"/>
                <w:bCs/>
                <w:color w:val="000000"/>
                <w:szCs w:val="21"/>
              </w:rPr>
            </w:pPr>
            <w:r>
              <w:rPr>
                <w:rFonts w:eastAsia="仿宋_GB2312"/>
                <w:bCs/>
                <w:color w:val="000000"/>
                <w:szCs w:val="21"/>
              </w:rPr>
              <w:t>估价对象四楼现状</w:t>
            </w:r>
          </w:p>
        </w:tc>
      </w:tr>
    </w:tbl>
    <w:p>
      <w:pPr>
        <w:widowControl/>
        <w:jc w:val="left"/>
        <w:rPr>
          <w:rFonts w:eastAsia="仿宋_GB2312"/>
          <w:sz w:val="28"/>
          <w:szCs w:val="24"/>
        </w:rPr>
        <w:sectPr>
          <w:type w:val="nextColumn"/>
          <w:pgSz w:w="11906" w:h="16838"/>
          <w:pgMar w:top="1134" w:right="1440" w:bottom="1134" w:left="1440" w:header="851" w:footer="992" w:gutter="0"/>
          <w:cols w:space="720" w:num="1"/>
          <w:docGrid w:linePitch="312" w:charSpace="0"/>
        </w:sectPr>
      </w:pPr>
    </w:p>
    <w:p>
      <w:pPr>
        <w:spacing w:line="400" w:lineRule="exact"/>
        <w:jc w:val="center"/>
        <w:rPr>
          <w:rFonts w:eastAsia="仿宋_GB2312"/>
          <w:b/>
          <w:bCs/>
          <w:color w:val="000000"/>
          <w:sz w:val="28"/>
        </w:rPr>
      </w:pPr>
      <w:r>
        <w:rPr>
          <w:rFonts w:eastAsia="仿宋_GB2312"/>
          <w:b/>
          <w:bCs/>
          <w:color w:val="000000"/>
          <w:sz w:val="28"/>
        </w:rPr>
        <w:t>估价对象位置图</w:t>
      </w:r>
    </w:p>
    <w:p>
      <w:pPr>
        <w:tabs>
          <w:tab w:val="left" w:pos="5940"/>
        </w:tabs>
        <w:jc w:val="center"/>
        <w:rPr>
          <w:rFonts w:eastAsia="仿宋_GB2312"/>
          <w:sz w:val="28"/>
          <w:szCs w:val="24"/>
        </w:rPr>
      </w:pPr>
      <w:r>
        <mc:AlternateContent>
          <mc:Choice Requires="wps">
            <w:drawing>
              <wp:anchor distT="0" distB="0" distL="114300" distR="114300" simplePos="0" relativeHeight="251661312" behindDoc="0" locked="0" layoutInCell="1" allowOverlap="1">
                <wp:simplePos x="0" y="0"/>
                <wp:positionH relativeFrom="column">
                  <wp:posOffset>3583940</wp:posOffset>
                </wp:positionH>
                <wp:positionV relativeFrom="paragraph">
                  <wp:posOffset>1482725</wp:posOffset>
                </wp:positionV>
                <wp:extent cx="728345" cy="254000"/>
                <wp:effectExtent l="4445" t="5080" r="105410" b="541020"/>
                <wp:wrapNone/>
                <wp:docPr id="4" name="AutoShape 6"/>
                <wp:cNvGraphicFramePr/>
                <a:graphic xmlns:a="http://schemas.openxmlformats.org/drawingml/2006/main">
                  <a:graphicData uri="http://schemas.microsoft.com/office/word/2010/wordprocessingShape">
                    <wps:wsp>
                      <wps:cNvSpPr/>
                      <wps:spPr>
                        <a:xfrm>
                          <a:off x="0" y="0"/>
                          <a:ext cx="728345" cy="254000"/>
                        </a:xfrm>
                        <a:prstGeom prst="wedgeRectCallout">
                          <a:avLst>
                            <a:gd name="adj1" fmla="val 61097"/>
                            <a:gd name="adj2" fmla="val 249903"/>
                          </a:avLst>
                        </a:prstGeom>
                        <a:gradFill rotWithShape="0">
                          <a:gsLst>
                            <a:gs pos="0">
                              <a:srgbClr val="FFFFFF"/>
                            </a:gs>
                            <a:gs pos="100000">
                              <a:srgbClr val="FFFFFF"/>
                            </a:gs>
                          </a:gsLst>
                          <a:lin ang="0"/>
                          <a:tileRect/>
                        </a:gradFill>
                        <a:ln w="3175" cap="flat" cmpd="sng">
                          <a:solidFill>
                            <a:srgbClr val="000000"/>
                          </a:solidFill>
                          <a:prstDash val="solid"/>
                          <a:miter/>
                          <a:headEnd type="none" w="med" len="med"/>
                          <a:tailEnd type="none" w="med" len="med"/>
                        </a:ln>
                      </wps:spPr>
                      <wps:txbx>
                        <w:txbxContent>
                          <w:p>
                            <w:r>
                              <w:rPr>
                                <w:rFonts w:hint="eastAsia"/>
                              </w:rPr>
                              <w:t>估价对象</w:t>
                            </w:r>
                          </w:p>
                        </w:txbxContent>
                      </wps:txbx>
                      <wps:bodyPr wrap="square" anchor="t" upright="1"/>
                    </wps:wsp>
                  </a:graphicData>
                </a:graphic>
              </wp:anchor>
            </w:drawing>
          </mc:Choice>
          <mc:Fallback>
            <w:pict>
              <v:shape id="AutoShape 6" o:spid="_x0000_s1026" o:spt="61" type="#_x0000_t61" style="position:absolute;left:0pt;margin-left:282.2pt;margin-top:116.75pt;height:20pt;width:57.35pt;z-index:251661312;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" adj="23997,64779">
                <v:fill type="gradient" on="t" color2="#FFFFFF" angle="90" focus="100%" focussize="0f,0f" focusposition="0f,0f">
                  <o:fill type="gradientUnscaled" v:ext="backwardCompatible"/>
                </v:fill>
                <v:stroke weight="0.25pt" color="#000000" joinstyle="miter"/>
                <v:imagedata o:title=""/>
                <o:lock v:ext="edit" aspectratio="f"/>
                <v:textbox>
                  <w:txbxContent>
                    <w:p>
                      <w:r>
                        <w:rPr>
                          <w:rFonts w:hint="eastAsia"/>
                        </w:rPr>
                        <w:t>估价对象</w:t>
                      </w:r>
                    </w:p>
                  </w:txbxContent>
                </v:textbox>
              </v:shape>
            </w:pict>
          </mc:Fallback>
        </mc:AlternateContent>
      </w:r>
      <w:r>
        <w:drawing>
          <wp:inline distT="0" distB="0" distL="0" distR="0">
            <wp:extent cx="5758815" cy="500126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8"/>
                    <a:stretch>
                      <a:fillRect/>
                    </a:stretch>
                  </pic:blipFill>
                  <pic:spPr>
                    <a:xfrm>
                      <a:off x="0" y="0"/>
                      <a:ext cx="5762597" cy="5004255"/>
                    </a:xfrm>
                    <a:prstGeom prst="rect">
                      <a:avLst/>
                    </a:prstGeom>
                  </pic:spPr>
                </pic:pic>
              </a:graphicData>
            </a:graphic>
          </wp:inline>
        </w:drawing>
      </w:r>
    </w:p>
    <w:sectPr>
      <w:headerReference r:id="rId4" w:type="default"/>
      <w:footerReference r:id="rId5" w:type="default"/>
      <w:footerReference r:id="rId6" w:type="even"/>
      <w:pgSz w:w="16838" w:h="11906" w:orient="landscape"/>
      <w:pgMar w:top="1440" w:right="1134" w:bottom="1440"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7319064"/>
      <w:docPartObj>
        <w:docPartGallery w:val="AutoText"/>
      </w:docPartObj>
    </w:sdtPr>
    <w:sdtContent>
      <w:p>
        <w:pPr>
          <w:pStyle w:val="16"/>
          <w:jc w:val="center"/>
        </w:pPr>
        <w:r>
          <w:fldChar w:fldCharType="begin"/>
        </w:r>
        <w:r>
          <w:instrText xml:space="preserve">PAGE   \* MERGEFORMAT</w:instrText>
        </w:r>
        <w:r>
          <w:fldChar w:fldCharType="separate"/>
        </w:r>
        <w:r>
          <w:rPr>
            <w:lang w:val="zh-CN"/>
          </w:rPr>
          <w:t>18</w:t>
        </w:r>
        <w:r>
          <w:rPr>
            <w:lang w:val="zh-CN"/>
          </w:rP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19</w:t>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8"/>
      </w:rPr>
    </w:pPr>
    <w:r>
      <w:fldChar w:fldCharType="begin"/>
    </w:r>
    <w:r>
      <w:rPr>
        <w:rStyle w:val="28"/>
      </w:rPr>
      <w:instrText xml:space="preserve">PAGE  </w:instrText>
    </w:r>
    <w:r>
      <w:fldChar w:fldCharType="separate"/>
    </w:r>
    <w:r>
      <w:rPr>
        <w:rStyle w:val="28"/>
      </w:rPr>
      <w:t>7</w:t>
    </w:r>
    <w:r>
      <w:fldChar w:fldCharType="end"/>
    </w:r>
  </w:p>
  <w:p>
    <w:pPr>
      <w:pStyle w:val="1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4A41C89"/>
    <w:multiLevelType w:val="multilevel"/>
    <w:tmpl w:val="44A41C89"/>
    <w:lvl w:ilvl="0" w:tentative="0">
      <w:start w:val="1"/>
      <w:numFmt w:val="decimal"/>
      <w:lvlText w:val="%1、"/>
      <w:lvlJc w:val="left"/>
      <w:pPr>
        <w:ind w:left="1019" w:hanging="735"/>
      </w:pPr>
      <w:rPr>
        <w:rFonts w:ascii="Times New Roman" w:hAnsi="Times New Roman" w:eastAsia="仿宋_GB2312"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4"/>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34"/>
    <w:rsid w:val="00000163"/>
    <w:rsid w:val="00002500"/>
    <w:rsid w:val="000032AA"/>
    <w:rsid w:val="000032F4"/>
    <w:rsid w:val="000039B3"/>
    <w:rsid w:val="00005033"/>
    <w:rsid w:val="000056E5"/>
    <w:rsid w:val="00006342"/>
    <w:rsid w:val="000076B9"/>
    <w:rsid w:val="00010022"/>
    <w:rsid w:val="0001026B"/>
    <w:rsid w:val="00010FE6"/>
    <w:rsid w:val="0001278E"/>
    <w:rsid w:val="00012DD0"/>
    <w:rsid w:val="000146D5"/>
    <w:rsid w:val="00014ED2"/>
    <w:rsid w:val="000161F1"/>
    <w:rsid w:val="00016827"/>
    <w:rsid w:val="000169DE"/>
    <w:rsid w:val="00016BD7"/>
    <w:rsid w:val="00023067"/>
    <w:rsid w:val="00024593"/>
    <w:rsid w:val="000249BD"/>
    <w:rsid w:val="00024E3C"/>
    <w:rsid w:val="000268E3"/>
    <w:rsid w:val="000271C5"/>
    <w:rsid w:val="00027C1A"/>
    <w:rsid w:val="00030868"/>
    <w:rsid w:val="0003187C"/>
    <w:rsid w:val="00033293"/>
    <w:rsid w:val="000334D1"/>
    <w:rsid w:val="0003577E"/>
    <w:rsid w:val="000367EA"/>
    <w:rsid w:val="00040B84"/>
    <w:rsid w:val="0004487C"/>
    <w:rsid w:val="00045069"/>
    <w:rsid w:val="000451BC"/>
    <w:rsid w:val="0004556B"/>
    <w:rsid w:val="00045AF3"/>
    <w:rsid w:val="0004662D"/>
    <w:rsid w:val="00047E91"/>
    <w:rsid w:val="00052202"/>
    <w:rsid w:val="000522D1"/>
    <w:rsid w:val="00054955"/>
    <w:rsid w:val="00056644"/>
    <w:rsid w:val="000566C7"/>
    <w:rsid w:val="0005682E"/>
    <w:rsid w:val="000573BF"/>
    <w:rsid w:val="0005755E"/>
    <w:rsid w:val="00057BF6"/>
    <w:rsid w:val="000603F2"/>
    <w:rsid w:val="00060F80"/>
    <w:rsid w:val="0006105E"/>
    <w:rsid w:val="00062DD0"/>
    <w:rsid w:val="00062EE9"/>
    <w:rsid w:val="00064D2E"/>
    <w:rsid w:val="00070617"/>
    <w:rsid w:val="000716C1"/>
    <w:rsid w:val="00071F93"/>
    <w:rsid w:val="0007201A"/>
    <w:rsid w:val="000731D5"/>
    <w:rsid w:val="00073531"/>
    <w:rsid w:val="000736BA"/>
    <w:rsid w:val="00075681"/>
    <w:rsid w:val="00075841"/>
    <w:rsid w:val="0007591E"/>
    <w:rsid w:val="000803D9"/>
    <w:rsid w:val="000823CD"/>
    <w:rsid w:val="0008263D"/>
    <w:rsid w:val="00082A36"/>
    <w:rsid w:val="000830BB"/>
    <w:rsid w:val="00083A05"/>
    <w:rsid w:val="00096008"/>
    <w:rsid w:val="0009644B"/>
    <w:rsid w:val="000A1827"/>
    <w:rsid w:val="000A324C"/>
    <w:rsid w:val="000A3B62"/>
    <w:rsid w:val="000B02BD"/>
    <w:rsid w:val="000B355F"/>
    <w:rsid w:val="000B37DA"/>
    <w:rsid w:val="000B3B57"/>
    <w:rsid w:val="000B55D5"/>
    <w:rsid w:val="000B6EC2"/>
    <w:rsid w:val="000B799C"/>
    <w:rsid w:val="000B7B42"/>
    <w:rsid w:val="000C16C6"/>
    <w:rsid w:val="000C17D2"/>
    <w:rsid w:val="000C1D67"/>
    <w:rsid w:val="000C27DA"/>
    <w:rsid w:val="000C4500"/>
    <w:rsid w:val="000C4C65"/>
    <w:rsid w:val="000C56B1"/>
    <w:rsid w:val="000C5E20"/>
    <w:rsid w:val="000C67C2"/>
    <w:rsid w:val="000C7B6F"/>
    <w:rsid w:val="000D16A1"/>
    <w:rsid w:val="000D3449"/>
    <w:rsid w:val="000D3733"/>
    <w:rsid w:val="000D38AD"/>
    <w:rsid w:val="000E015A"/>
    <w:rsid w:val="000E0331"/>
    <w:rsid w:val="000E34D5"/>
    <w:rsid w:val="000E35C5"/>
    <w:rsid w:val="000E4374"/>
    <w:rsid w:val="000E5402"/>
    <w:rsid w:val="000E5E7B"/>
    <w:rsid w:val="000E5FD6"/>
    <w:rsid w:val="000E6DAE"/>
    <w:rsid w:val="000F043B"/>
    <w:rsid w:val="000F11CF"/>
    <w:rsid w:val="000F16FD"/>
    <w:rsid w:val="000F1CD9"/>
    <w:rsid w:val="000F24FB"/>
    <w:rsid w:val="000F253A"/>
    <w:rsid w:val="000F25D8"/>
    <w:rsid w:val="000F2B7E"/>
    <w:rsid w:val="000F3268"/>
    <w:rsid w:val="000F491C"/>
    <w:rsid w:val="000F6483"/>
    <w:rsid w:val="000F76F8"/>
    <w:rsid w:val="000F77BF"/>
    <w:rsid w:val="000F7E5D"/>
    <w:rsid w:val="000F7E7A"/>
    <w:rsid w:val="00100E21"/>
    <w:rsid w:val="0010194F"/>
    <w:rsid w:val="001031B9"/>
    <w:rsid w:val="0010502E"/>
    <w:rsid w:val="00106432"/>
    <w:rsid w:val="00107597"/>
    <w:rsid w:val="00107BE6"/>
    <w:rsid w:val="00110C99"/>
    <w:rsid w:val="00111E94"/>
    <w:rsid w:val="00111EB2"/>
    <w:rsid w:val="0011365A"/>
    <w:rsid w:val="00114981"/>
    <w:rsid w:val="0011555D"/>
    <w:rsid w:val="00115723"/>
    <w:rsid w:val="0011658C"/>
    <w:rsid w:val="0011762B"/>
    <w:rsid w:val="00117E33"/>
    <w:rsid w:val="00117F3A"/>
    <w:rsid w:val="00121E77"/>
    <w:rsid w:val="001222B1"/>
    <w:rsid w:val="00122E01"/>
    <w:rsid w:val="0012463B"/>
    <w:rsid w:val="001246B3"/>
    <w:rsid w:val="00130048"/>
    <w:rsid w:val="00131594"/>
    <w:rsid w:val="00131867"/>
    <w:rsid w:val="0013186E"/>
    <w:rsid w:val="001322C8"/>
    <w:rsid w:val="0013357F"/>
    <w:rsid w:val="001348DD"/>
    <w:rsid w:val="00140762"/>
    <w:rsid w:val="00141BBE"/>
    <w:rsid w:val="0014267B"/>
    <w:rsid w:val="00145020"/>
    <w:rsid w:val="00147CE9"/>
    <w:rsid w:val="00150581"/>
    <w:rsid w:val="00151220"/>
    <w:rsid w:val="001525FC"/>
    <w:rsid w:val="00152EC4"/>
    <w:rsid w:val="001537A2"/>
    <w:rsid w:val="00153A9A"/>
    <w:rsid w:val="00155376"/>
    <w:rsid w:val="00156347"/>
    <w:rsid w:val="00160797"/>
    <w:rsid w:val="00161FFF"/>
    <w:rsid w:val="00163C83"/>
    <w:rsid w:val="00164228"/>
    <w:rsid w:val="00165282"/>
    <w:rsid w:val="001674F5"/>
    <w:rsid w:val="00170D5A"/>
    <w:rsid w:val="001717DB"/>
    <w:rsid w:val="00172626"/>
    <w:rsid w:val="00173523"/>
    <w:rsid w:val="00173D25"/>
    <w:rsid w:val="00175162"/>
    <w:rsid w:val="00175250"/>
    <w:rsid w:val="00175B7A"/>
    <w:rsid w:val="00176429"/>
    <w:rsid w:val="00180871"/>
    <w:rsid w:val="00180B04"/>
    <w:rsid w:val="001832F4"/>
    <w:rsid w:val="00183635"/>
    <w:rsid w:val="00183B9E"/>
    <w:rsid w:val="00183BBF"/>
    <w:rsid w:val="00184482"/>
    <w:rsid w:val="00184ADB"/>
    <w:rsid w:val="00184DFC"/>
    <w:rsid w:val="00185E80"/>
    <w:rsid w:val="001871D6"/>
    <w:rsid w:val="00187C3A"/>
    <w:rsid w:val="00191E38"/>
    <w:rsid w:val="00193023"/>
    <w:rsid w:val="00194704"/>
    <w:rsid w:val="00194759"/>
    <w:rsid w:val="00194937"/>
    <w:rsid w:val="00194A96"/>
    <w:rsid w:val="00194FDD"/>
    <w:rsid w:val="00195A65"/>
    <w:rsid w:val="00197521"/>
    <w:rsid w:val="001A21AE"/>
    <w:rsid w:val="001A35D1"/>
    <w:rsid w:val="001A447E"/>
    <w:rsid w:val="001A455F"/>
    <w:rsid w:val="001A51CC"/>
    <w:rsid w:val="001A583E"/>
    <w:rsid w:val="001B0A10"/>
    <w:rsid w:val="001B1B4F"/>
    <w:rsid w:val="001B24F0"/>
    <w:rsid w:val="001B2652"/>
    <w:rsid w:val="001B2E4F"/>
    <w:rsid w:val="001B599B"/>
    <w:rsid w:val="001C0013"/>
    <w:rsid w:val="001C351E"/>
    <w:rsid w:val="001C4BC6"/>
    <w:rsid w:val="001C4E37"/>
    <w:rsid w:val="001C4F15"/>
    <w:rsid w:val="001C56F3"/>
    <w:rsid w:val="001C5CE7"/>
    <w:rsid w:val="001D1235"/>
    <w:rsid w:val="001D2915"/>
    <w:rsid w:val="001D3131"/>
    <w:rsid w:val="001D4C5B"/>
    <w:rsid w:val="001D6165"/>
    <w:rsid w:val="001D78F6"/>
    <w:rsid w:val="001D7D23"/>
    <w:rsid w:val="001E1552"/>
    <w:rsid w:val="001E15CA"/>
    <w:rsid w:val="001E1E63"/>
    <w:rsid w:val="001E2CAA"/>
    <w:rsid w:val="001E348C"/>
    <w:rsid w:val="001E39F6"/>
    <w:rsid w:val="001E4E5A"/>
    <w:rsid w:val="001E59AA"/>
    <w:rsid w:val="001E64AC"/>
    <w:rsid w:val="001E6F69"/>
    <w:rsid w:val="001E704F"/>
    <w:rsid w:val="001F02A3"/>
    <w:rsid w:val="001F053F"/>
    <w:rsid w:val="001F1EA3"/>
    <w:rsid w:val="001F398F"/>
    <w:rsid w:val="001F51E5"/>
    <w:rsid w:val="00202EF8"/>
    <w:rsid w:val="002039B6"/>
    <w:rsid w:val="002044A2"/>
    <w:rsid w:val="002050BF"/>
    <w:rsid w:val="00206399"/>
    <w:rsid w:val="002115A8"/>
    <w:rsid w:val="0021211E"/>
    <w:rsid w:val="002130EF"/>
    <w:rsid w:val="00215D2F"/>
    <w:rsid w:val="00216024"/>
    <w:rsid w:val="00217FE8"/>
    <w:rsid w:val="00222830"/>
    <w:rsid w:val="00223083"/>
    <w:rsid w:val="0022364F"/>
    <w:rsid w:val="00223889"/>
    <w:rsid w:val="00225351"/>
    <w:rsid w:val="0023006C"/>
    <w:rsid w:val="00230DCC"/>
    <w:rsid w:val="002311D9"/>
    <w:rsid w:val="00231F28"/>
    <w:rsid w:val="00234751"/>
    <w:rsid w:val="00234B44"/>
    <w:rsid w:val="0023579D"/>
    <w:rsid w:val="00235FFF"/>
    <w:rsid w:val="002361CA"/>
    <w:rsid w:val="002369C5"/>
    <w:rsid w:val="00236F87"/>
    <w:rsid w:val="00242E09"/>
    <w:rsid w:val="00243155"/>
    <w:rsid w:val="00246EA0"/>
    <w:rsid w:val="00247577"/>
    <w:rsid w:val="00247753"/>
    <w:rsid w:val="0025081F"/>
    <w:rsid w:val="00250C31"/>
    <w:rsid w:val="0025367F"/>
    <w:rsid w:val="00253861"/>
    <w:rsid w:val="00253DBA"/>
    <w:rsid w:val="00254024"/>
    <w:rsid w:val="002543DD"/>
    <w:rsid w:val="0025544D"/>
    <w:rsid w:val="002556B6"/>
    <w:rsid w:val="002566BF"/>
    <w:rsid w:val="002569E6"/>
    <w:rsid w:val="00260039"/>
    <w:rsid w:val="0026150B"/>
    <w:rsid w:val="0026226B"/>
    <w:rsid w:val="00262CD0"/>
    <w:rsid w:val="00262D71"/>
    <w:rsid w:val="00263716"/>
    <w:rsid w:val="002650CE"/>
    <w:rsid w:val="002660B5"/>
    <w:rsid w:val="00267FD6"/>
    <w:rsid w:val="00270CA1"/>
    <w:rsid w:val="0027161E"/>
    <w:rsid w:val="00271ED0"/>
    <w:rsid w:val="0027290D"/>
    <w:rsid w:val="002738FF"/>
    <w:rsid w:val="00274E7C"/>
    <w:rsid w:val="00276458"/>
    <w:rsid w:val="002765DE"/>
    <w:rsid w:val="002766E6"/>
    <w:rsid w:val="00277386"/>
    <w:rsid w:val="002778C8"/>
    <w:rsid w:val="00280D60"/>
    <w:rsid w:val="00280E45"/>
    <w:rsid w:val="0028163A"/>
    <w:rsid w:val="00282A00"/>
    <w:rsid w:val="00284FEC"/>
    <w:rsid w:val="00286A7E"/>
    <w:rsid w:val="00286ADF"/>
    <w:rsid w:val="00286E3E"/>
    <w:rsid w:val="002918FC"/>
    <w:rsid w:val="00292936"/>
    <w:rsid w:val="00294427"/>
    <w:rsid w:val="0029469A"/>
    <w:rsid w:val="00294C0C"/>
    <w:rsid w:val="0029517F"/>
    <w:rsid w:val="002962D5"/>
    <w:rsid w:val="002970FA"/>
    <w:rsid w:val="002A3A76"/>
    <w:rsid w:val="002A3E5C"/>
    <w:rsid w:val="002A46A6"/>
    <w:rsid w:val="002A598A"/>
    <w:rsid w:val="002A6C1F"/>
    <w:rsid w:val="002A6D3F"/>
    <w:rsid w:val="002A7324"/>
    <w:rsid w:val="002B0C6E"/>
    <w:rsid w:val="002B19A3"/>
    <w:rsid w:val="002B396D"/>
    <w:rsid w:val="002B4D59"/>
    <w:rsid w:val="002B5290"/>
    <w:rsid w:val="002B5962"/>
    <w:rsid w:val="002B77F1"/>
    <w:rsid w:val="002C07CA"/>
    <w:rsid w:val="002C13B8"/>
    <w:rsid w:val="002C235F"/>
    <w:rsid w:val="002C2470"/>
    <w:rsid w:val="002C283B"/>
    <w:rsid w:val="002C631D"/>
    <w:rsid w:val="002D20C4"/>
    <w:rsid w:val="002D40C2"/>
    <w:rsid w:val="002D460A"/>
    <w:rsid w:val="002D4BB9"/>
    <w:rsid w:val="002D5D31"/>
    <w:rsid w:val="002D6E3E"/>
    <w:rsid w:val="002E2311"/>
    <w:rsid w:val="002E350A"/>
    <w:rsid w:val="002E45DA"/>
    <w:rsid w:val="002E53A2"/>
    <w:rsid w:val="002E5B13"/>
    <w:rsid w:val="002E7380"/>
    <w:rsid w:val="002E77C8"/>
    <w:rsid w:val="002E78BD"/>
    <w:rsid w:val="002F1CEB"/>
    <w:rsid w:val="002F5958"/>
    <w:rsid w:val="00300096"/>
    <w:rsid w:val="003003F6"/>
    <w:rsid w:val="003003FE"/>
    <w:rsid w:val="00301509"/>
    <w:rsid w:val="0030172A"/>
    <w:rsid w:val="00302CA5"/>
    <w:rsid w:val="00303C70"/>
    <w:rsid w:val="00304318"/>
    <w:rsid w:val="003050CB"/>
    <w:rsid w:val="0030591F"/>
    <w:rsid w:val="00305BC9"/>
    <w:rsid w:val="003076EE"/>
    <w:rsid w:val="003104DD"/>
    <w:rsid w:val="00310F90"/>
    <w:rsid w:val="00311427"/>
    <w:rsid w:val="003118CF"/>
    <w:rsid w:val="00311B16"/>
    <w:rsid w:val="003122F6"/>
    <w:rsid w:val="00315ACA"/>
    <w:rsid w:val="00316D68"/>
    <w:rsid w:val="00320F3E"/>
    <w:rsid w:val="00321CDC"/>
    <w:rsid w:val="003251BE"/>
    <w:rsid w:val="00326CBC"/>
    <w:rsid w:val="00327D9C"/>
    <w:rsid w:val="003305AB"/>
    <w:rsid w:val="00331A35"/>
    <w:rsid w:val="00333138"/>
    <w:rsid w:val="0033359F"/>
    <w:rsid w:val="00334962"/>
    <w:rsid w:val="00337FD6"/>
    <w:rsid w:val="00340D4E"/>
    <w:rsid w:val="00343FCF"/>
    <w:rsid w:val="00350347"/>
    <w:rsid w:val="00353776"/>
    <w:rsid w:val="003549E4"/>
    <w:rsid w:val="003614E2"/>
    <w:rsid w:val="00361FED"/>
    <w:rsid w:val="00362072"/>
    <w:rsid w:val="0036379E"/>
    <w:rsid w:val="003649C4"/>
    <w:rsid w:val="0036642B"/>
    <w:rsid w:val="00366503"/>
    <w:rsid w:val="003679A6"/>
    <w:rsid w:val="00367B8E"/>
    <w:rsid w:val="003721D0"/>
    <w:rsid w:val="00375D4A"/>
    <w:rsid w:val="00376B3E"/>
    <w:rsid w:val="003772A5"/>
    <w:rsid w:val="00377BB9"/>
    <w:rsid w:val="00380C3D"/>
    <w:rsid w:val="00383C2F"/>
    <w:rsid w:val="00384030"/>
    <w:rsid w:val="00384C01"/>
    <w:rsid w:val="00385CE6"/>
    <w:rsid w:val="00386041"/>
    <w:rsid w:val="00386898"/>
    <w:rsid w:val="003905CF"/>
    <w:rsid w:val="00391982"/>
    <w:rsid w:val="00392316"/>
    <w:rsid w:val="003931D8"/>
    <w:rsid w:val="00393B5A"/>
    <w:rsid w:val="0039500F"/>
    <w:rsid w:val="003A024F"/>
    <w:rsid w:val="003A109C"/>
    <w:rsid w:val="003A229F"/>
    <w:rsid w:val="003A4AEA"/>
    <w:rsid w:val="003A5EBC"/>
    <w:rsid w:val="003A612B"/>
    <w:rsid w:val="003A7CFB"/>
    <w:rsid w:val="003B0357"/>
    <w:rsid w:val="003B219A"/>
    <w:rsid w:val="003B5307"/>
    <w:rsid w:val="003B655A"/>
    <w:rsid w:val="003C05AF"/>
    <w:rsid w:val="003C0787"/>
    <w:rsid w:val="003C1DE4"/>
    <w:rsid w:val="003C2E56"/>
    <w:rsid w:val="003C43E0"/>
    <w:rsid w:val="003D2301"/>
    <w:rsid w:val="003D2E31"/>
    <w:rsid w:val="003D3B84"/>
    <w:rsid w:val="003D3EC8"/>
    <w:rsid w:val="003D4285"/>
    <w:rsid w:val="003D4439"/>
    <w:rsid w:val="003D4FD1"/>
    <w:rsid w:val="003D50D0"/>
    <w:rsid w:val="003D56F0"/>
    <w:rsid w:val="003D5B5E"/>
    <w:rsid w:val="003D645C"/>
    <w:rsid w:val="003D6611"/>
    <w:rsid w:val="003D7C55"/>
    <w:rsid w:val="003D7D79"/>
    <w:rsid w:val="003E2192"/>
    <w:rsid w:val="003E2E59"/>
    <w:rsid w:val="003E3008"/>
    <w:rsid w:val="003E471A"/>
    <w:rsid w:val="003E55E1"/>
    <w:rsid w:val="003E604A"/>
    <w:rsid w:val="003E6774"/>
    <w:rsid w:val="003E730C"/>
    <w:rsid w:val="003E757A"/>
    <w:rsid w:val="003E7D38"/>
    <w:rsid w:val="003F0082"/>
    <w:rsid w:val="003F1747"/>
    <w:rsid w:val="003F267D"/>
    <w:rsid w:val="003F3F66"/>
    <w:rsid w:val="003F666D"/>
    <w:rsid w:val="003F6BD1"/>
    <w:rsid w:val="003F6FC4"/>
    <w:rsid w:val="004042E0"/>
    <w:rsid w:val="0040477A"/>
    <w:rsid w:val="00405341"/>
    <w:rsid w:val="0040638C"/>
    <w:rsid w:val="00406F26"/>
    <w:rsid w:val="00411000"/>
    <w:rsid w:val="004111AA"/>
    <w:rsid w:val="004127F3"/>
    <w:rsid w:val="004134F8"/>
    <w:rsid w:val="004155AB"/>
    <w:rsid w:val="00420BD9"/>
    <w:rsid w:val="00421A3A"/>
    <w:rsid w:val="0042201E"/>
    <w:rsid w:val="004227E6"/>
    <w:rsid w:val="004236E3"/>
    <w:rsid w:val="00424F31"/>
    <w:rsid w:val="004255AB"/>
    <w:rsid w:val="0042726A"/>
    <w:rsid w:val="00430F8B"/>
    <w:rsid w:val="004318D8"/>
    <w:rsid w:val="00431A50"/>
    <w:rsid w:val="0043234C"/>
    <w:rsid w:val="00432D96"/>
    <w:rsid w:val="004341B5"/>
    <w:rsid w:val="00434D06"/>
    <w:rsid w:val="004351C0"/>
    <w:rsid w:val="0043622D"/>
    <w:rsid w:val="00441CAA"/>
    <w:rsid w:val="00442404"/>
    <w:rsid w:val="004427EA"/>
    <w:rsid w:val="00442C74"/>
    <w:rsid w:val="00442EBE"/>
    <w:rsid w:val="00447773"/>
    <w:rsid w:val="00447882"/>
    <w:rsid w:val="00453777"/>
    <w:rsid w:val="004537C8"/>
    <w:rsid w:val="0045393A"/>
    <w:rsid w:val="0045479D"/>
    <w:rsid w:val="00454967"/>
    <w:rsid w:val="00454F69"/>
    <w:rsid w:val="00456E60"/>
    <w:rsid w:val="00457818"/>
    <w:rsid w:val="00460D58"/>
    <w:rsid w:val="004611F2"/>
    <w:rsid w:val="004614A6"/>
    <w:rsid w:val="00461565"/>
    <w:rsid w:val="00462381"/>
    <w:rsid w:val="00470BBC"/>
    <w:rsid w:val="00471015"/>
    <w:rsid w:val="00472944"/>
    <w:rsid w:val="00473975"/>
    <w:rsid w:val="0047499B"/>
    <w:rsid w:val="00474A24"/>
    <w:rsid w:val="004755A5"/>
    <w:rsid w:val="004762A2"/>
    <w:rsid w:val="00476B38"/>
    <w:rsid w:val="0048142D"/>
    <w:rsid w:val="00481EB8"/>
    <w:rsid w:val="00482370"/>
    <w:rsid w:val="00482D6D"/>
    <w:rsid w:val="00482FE0"/>
    <w:rsid w:val="00483353"/>
    <w:rsid w:val="004835A0"/>
    <w:rsid w:val="00484BAC"/>
    <w:rsid w:val="00486A66"/>
    <w:rsid w:val="00487F64"/>
    <w:rsid w:val="0049061B"/>
    <w:rsid w:val="00491CC4"/>
    <w:rsid w:val="00491E7A"/>
    <w:rsid w:val="004921C4"/>
    <w:rsid w:val="0049246D"/>
    <w:rsid w:val="004938DE"/>
    <w:rsid w:val="00493BBB"/>
    <w:rsid w:val="0049418A"/>
    <w:rsid w:val="00494564"/>
    <w:rsid w:val="00494FF1"/>
    <w:rsid w:val="00495A7E"/>
    <w:rsid w:val="00496EC4"/>
    <w:rsid w:val="004A2372"/>
    <w:rsid w:val="004A3197"/>
    <w:rsid w:val="004A48A2"/>
    <w:rsid w:val="004A5988"/>
    <w:rsid w:val="004A5A7B"/>
    <w:rsid w:val="004A68EF"/>
    <w:rsid w:val="004A6F17"/>
    <w:rsid w:val="004B001F"/>
    <w:rsid w:val="004B17EE"/>
    <w:rsid w:val="004B1A5F"/>
    <w:rsid w:val="004B1BBF"/>
    <w:rsid w:val="004B2C78"/>
    <w:rsid w:val="004B3BC0"/>
    <w:rsid w:val="004B40F6"/>
    <w:rsid w:val="004B4488"/>
    <w:rsid w:val="004B5430"/>
    <w:rsid w:val="004B5EC2"/>
    <w:rsid w:val="004B708A"/>
    <w:rsid w:val="004B7666"/>
    <w:rsid w:val="004C2FFA"/>
    <w:rsid w:val="004C3789"/>
    <w:rsid w:val="004C3B46"/>
    <w:rsid w:val="004C5AAC"/>
    <w:rsid w:val="004C64CA"/>
    <w:rsid w:val="004D36EC"/>
    <w:rsid w:val="004D3A7E"/>
    <w:rsid w:val="004D4586"/>
    <w:rsid w:val="004D4C8A"/>
    <w:rsid w:val="004E1A64"/>
    <w:rsid w:val="004E2025"/>
    <w:rsid w:val="004E2AC9"/>
    <w:rsid w:val="004E3105"/>
    <w:rsid w:val="004E347D"/>
    <w:rsid w:val="004E420F"/>
    <w:rsid w:val="004E545B"/>
    <w:rsid w:val="004E5BCD"/>
    <w:rsid w:val="004E69A0"/>
    <w:rsid w:val="004E71FB"/>
    <w:rsid w:val="004F0C62"/>
    <w:rsid w:val="004F0E0B"/>
    <w:rsid w:val="004F117E"/>
    <w:rsid w:val="004F1D7E"/>
    <w:rsid w:val="004F3BCC"/>
    <w:rsid w:val="004F4BB3"/>
    <w:rsid w:val="004F55E5"/>
    <w:rsid w:val="004F771F"/>
    <w:rsid w:val="005018F1"/>
    <w:rsid w:val="00502F58"/>
    <w:rsid w:val="00503B79"/>
    <w:rsid w:val="00503F44"/>
    <w:rsid w:val="00507791"/>
    <w:rsid w:val="0051194D"/>
    <w:rsid w:val="00512648"/>
    <w:rsid w:val="0051427A"/>
    <w:rsid w:val="00514551"/>
    <w:rsid w:val="00514C26"/>
    <w:rsid w:val="00515485"/>
    <w:rsid w:val="00515E2C"/>
    <w:rsid w:val="00517108"/>
    <w:rsid w:val="0051726B"/>
    <w:rsid w:val="005173FC"/>
    <w:rsid w:val="00517CF3"/>
    <w:rsid w:val="00520A58"/>
    <w:rsid w:val="005211C1"/>
    <w:rsid w:val="00521B44"/>
    <w:rsid w:val="00522117"/>
    <w:rsid w:val="00523A58"/>
    <w:rsid w:val="00524239"/>
    <w:rsid w:val="005249E8"/>
    <w:rsid w:val="00526C3A"/>
    <w:rsid w:val="00527FF9"/>
    <w:rsid w:val="005306A4"/>
    <w:rsid w:val="0053155F"/>
    <w:rsid w:val="005330DF"/>
    <w:rsid w:val="0053366C"/>
    <w:rsid w:val="00533A36"/>
    <w:rsid w:val="00535ABA"/>
    <w:rsid w:val="005362A1"/>
    <w:rsid w:val="00536684"/>
    <w:rsid w:val="005368CE"/>
    <w:rsid w:val="00537A2A"/>
    <w:rsid w:val="0054002A"/>
    <w:rsid w:val="00540707"/>
    <w:rsid w:val="0054113B"/>
    <w:rsid w:val="00542043"/>
    <w:rsid w:val="005457F5"/>
    <w:rsid w:val="00554D9E"/>
    <w:rsid w:val="005559D1"/>
    <w:rsid w:val="00560F31"/>
    <w:rsid w:val="00561948"/>
    <w:rsid w:val="00562B06"/>
    <w:rsid w:val="005634D2"/>
    <w:rsid w:val="00563D97"/>
    <w:rsid w:val="00564E6B"/>
    <w:rsid w:val="005656A6"/>
    <w:rsid w:val="00565806"/>
    <w:rsid w:val="005665B8"/>
    <w:rsid w:val="00566738"/>
    <w:rsid w:val="00567B00"/>
    <w:rsid w:val="0057002F"/>
    <w:rsid w:val="005704FB"/>
    <w:rsid w:val="00571DB6"/>
    <w:rsid w:val="005721AD"/>
    <w:rsid w:val="005723B5"/>
    <w:rsid w:val="00573416"/>
    <w:rsid w:val="00574892"/>
    <w:rsid w:val="005748B2"/>
    <w:rsid w:val="00574960"/>
    <w:rsid w:val="00575DE0"/>
    <w:rsid w:val="0057764A"/>
    <w:rsid w:val="0058009D"/>
    <w:rsid w:val="00580AC1"/>
    <w:rsid w:val="00582218"/>
    <w:rsid w:val="00582EC8"/>
    <w:rsid w:val="00584917"/>
    <w:rsid w:val="005851DB"/>
    <w:rsid w:val="00585369"/>
    <w:rsid w:val="00585489"/>
    <w:rsid w:val="00585BD5"/>
    <w:rsid w:val="00586143"/>
    <w:rsid w:val="00586378"/>
    <w:rsid w:val="00587E7F"/>
    <w:rsid w:val="00590D68"/>
    <w:rsid w:val="0059290E"/>
    <w:rsid w:val="00592C85"/>
    <w:rsid w:val="00594394"/>
    <w:rsid w:val="00597235"/>
    <w:rsid w:val="005A1607"/>
    <w:rsid w:val="005A5F83"/>
    <w:rsid w:val="005A6A23"/>
    <w:rsid w:val="005A7413"/>
    <w:rsid w:val="005B01A8"/>
    <w:rsid w:val="005B19B8"/>
    <w:rsid w:val="005B1B62"/>
    <w:rsid w:val="005B1D7B"/>
    <w:rsid w:val="005B1E3F"/>
    <w:rsid w:val="005B1E57"/>
    <w:rsid w:val="005B20CF"/>
    <w:rsid w:val="005B241A"/>
    <w:rsid w:val="005B2E04"/>
    <w:rsid w:val="005B3BC1"/>
    <w:rsid w:val="005B4641"/>
    <w:rsid w:val="005B4724"/>
    <w:rsid w:val="005B4F79"/>
    <w:rsid w:val="005B5534"/>
    <w:rsid w:val="005B5D62"/>
    <w:rsid w:val="005B7FC0"/>
    <w:rsid w:val="005C1C68"/>
    <w:rsid w:val="005C5BBA"/>
    <w:rsid w:val="005C6255"/>
    <w:rsid w:val="005C7661"/>
    <w:rsid w:val="005C7FD0"/>
    <w:rsid w:val="005D048B"/>
    <w:rsid w:val="005D0E01"/>
    <w:rsid w:val="005D3674"/>
    <w:rsid w:val="005D4051"/>
    <w:rsid w:val="005D4079"/>
    <w:rsid w:val="005D5EB6"/>
    <w:rsid w:val="005D6F29"/>
    <w:rsid w:val="005D6F63"/>
    <w:rsid w:val="005E074C"/>
    <w:rsid w:val="005E215C"/>
    <w:rsid w:val="005E25B8"/>
    <w:rsid w:val="005E3E39"/>
    <w:rsid w:val="005E440D"/>
    <w:rsid w:val="005E48CE"/>
    <w:rsid w:val="005E4D22"/>
    <w:rsid w:val="005E6369"/>
    <w:rsid w:val="005E6635"/>
    <w:rsid w:val="005F0E8B"/>
    <w:rsid w:val="005F1E72"/>
    <w:rsid w:val="005F36E7"/>
    <w:rsid w:val="005F4A1A"/>
    <w:rsid w:val="005F5BCB"/>
    <w:rsid w:val="005F6ADA"/>
    <w:rsid w:val="005F75A2"/>
    <w:rsid w:val="005F766A"/>
    <w:rsid w:val="0060002E"/>
    <w:rsid w:val="006009C2"/>
    <w:rsid w:val="00600E99"/>
    <w:rsid w:val="00602449"/>
    <w:rsid w:val="00602FA3"/>
    <w:rsid w:val="00606137"/>
    <w:rsid w:val="006072DB"/>
    <w:rsid w:val="006107CE"/>
    <w:rsid w:val="00612C4E"/>
    <w:rsid w:val="00613866"/>
    <w:rsid w:val="00615835"/>
    <w:rsid w:val="00616BA2"/>
    <w:rsid w:val="00620272"/>
    <w:rsid w:val="00620FAC"/>
    <w:rsid w:val="0062190C"/>
    <w:rsid w:val="00623282"/>
    <w:rsid w:val="0062456F"/>
    <w:rsid w:val="00625BC7"/>
    <w:rsid w:val="00626A7B"/>
    <w:rsid w:val="00632B16"/>
    <w:rsid w:val="00634A6E"/>
    <w:rsid w:val="00634B0D"/>
    <w:rsid w:val="00634E1F"/>
    <w:rsid w:val="00636BD3"/>
    <w:rsid w:val="006376EB"/>
    <w:rsid w:val="00637F0F"/>
    <w:rsid w:val="006411F9"/>
    <w:rsid w:val="006413FC"/>
    <w:rsid w:val="0064178C"/>
    <w:rsid w:val="00641B98"/>
    <w:rsid w:val="0064247F"/>
    <w:rsid w:val="00642A9F"/>
    <w:rsid w:val="00642DA3"/>
    <w:rsid w:val="00644B1E"/>
    <w:rsid w:val="00644CEE"/>
    <w:rsid w:val="00645050"/>
    <w:rsid w:val="00645101"/>
    <w:rsid w:val="00645C02"/>
    <w:rsid w:val="00647583"/>
    <w:rsid w:val="0065247E"/>
    <w:rsid w:val="00655D33"/>
    <w:rsid w:val="00656383"/>
    <w:rsid w:val="00657F7B"/>
    <w:rsid w:val="006603E9"/>
    <w:rsid w:val="00660DDB"/>
    <w:rsid w:val="00662722"/>
    <w:rsid w:val="00662F45"/>
    <w:rsid w:val="00663266"/>
    <w:rsid w:val="00663895"/>
    <w:rsid w:val="0066415C"/>
    <w:rsid w:val="0066467E"/>
    <w:rsid w:val="00664F2B"/>
    <w:rsid w:val="00665336"/>
    <w:rsid w:val="00665688"/>
    <w:rsid w:val="00665992"/>
    <w:rsid w:val="00666C79"/>
    <w:rsid w:val="006670C1"/>
    <w:rsid w:val="00667ABA"/>
    <w:rsid w:val="00670122"/>
    <w:rsid w:val="00672161"/>
    <w:rsid w:val="00672E58"/>
    <w:rsid w:val="0067431C"/>
    <w:rsid w:val="00675A85"/>
    <w:rsid w:val="0067666F"/>
    <w:rsid w:val="00676A70"/>
    <w:rsid w:val="00677877"/>
    <w:rsid w:val="0068007F"/>
    <w:rsid w:val="0068040C"/>
    <w:rsid w:val="006806CD"/>
    <w:rsid w:val="00682137"/>
    <w:rsid w:val="00682712"/>
    <w:rsid w:val="006847D8"/>
    <w:rsid w:val="00685C12"/>
    <w:rsid w:val="006876D3"/>
    <w:rsid w:val="006906A8"/>
    <w:rsid w:val="00690BB9"/>
    <w:rsid w:val="006934FB"/>
    <w:rsid w:val="00694369"/>
    <w:rsid w:val="006957B4"/>
    <w:rsid w:val="006963ED"/>
    <w:rsid w:val="00696D9E"/>
    <w:rsid w:val="0069745D"/>
    <w:rsid w:val="00697968"/>
    <w:rsid w:val="006A01D3"/>
    <w:rsid w:val="006A05B1"/>
    <w:rsid w:val="006A0761"/>
    <w:rsid w:val="006A0B22"/>
    <w:rsid w:val="006A0DF5"/>
    <w:rsid w:val="006A2029"/>
    <w:rsid w:val="006A2B2D"/>
    <w:rsid w:val="006A3715"/>
    <w:rsid w:val="006A4F56"/>
    <w:rsid w:val="006A61F1"/>
    <w:rsid w:val="006A6A6D"/>
    <w:rsid w:val="006A7A02"/>
    <w:rsid w:val="006B02CF"/>
    <w:rsid w:val="006B0A8A"/>
    <w:rsid w:val="006B0FF1"/>
    <w:rsid w:val="006B1F2A"/>
    <w:rsid w:val="006B24A1"/>
    <w:rsid w:val="006B6C72"/>
    <w:rsid w:val="006B717F"/>
    <w:rsid w:val="006B755F"/>
    <w:rsid w:val="006C0392"/>
    <w:rsid w:val="006C06AE"/>
    <w:rsid w:val="006C1CAD"/>
    <w:rsid w:val="006C382F"/>
    <w:rsid w:val="006C4475"/>
    <w:rsid w:val="006C76B0"/>
    <w:rsid w:val="006D2155"/>
    <w:rsid w:val="006D2379"/>
    <w:rsid w:val="006D32CF"/>
    <w:rsid w:val="006D41E6"/>
    <w:rsid w:val="006E0342"/>
    <w:rsid w:val="006E1233"/>
    <w:rsid w:val="006E168D"/>
    <w:rsid w:val="006E24BF"/>
    <w:rsid w:val="006E2BED"/>
    <w:rsid w:val="006E37E0"/>
    <w:rsid w:val="006E3D4A"/>
    <w:rsid w:val="006E5816"/>
    <w:rsid w:val="006E67B4"/>
    <w:rsid w:val="006E7C22"/>
    <w:rsid w:val="006F05FD"/>
    <w:rsid w:val="006F0CD6"/>
    <w:rsid w:val="006F191B"/>
    <w:rsid w:val="006F1AFB"/>
    <w:rsid w:val="006F436E"/>
    <w:rsid w:val="006F5061"/>
    <w:rsid w:val="006F5601"/>
    <w:rsid w:val="006F59D1"/>
    <w:rsid w:val="006F6D9E"/>
    <w:rsid w:val="006F7538"/>
    <w:rsid w:val="007007C4"/>
    <w:rsid w:val="0070182E"/>
    <w:rsid w:val="0070377C"/>
    <w:rsid w:val="007057E1"/>
    <w:rsid w:val="00706565"/>
    <w:rsid w:val="007100B1"/>
    <w:rsid w:val="00711883"/>
    <w:rsid w:val="007135CC"/>
    <w:rsid w:val="007137D8"/>
    <w:rsid w:val="00714841"/>
    <w:rsid w:val="00716214"/>
    <w:rsid w:val="007176C9"/>
    <w:rsid w:val="00720B02"/>
    <w:rsid w:val="00721ECD"/>
    <w:rsid w:val="00726B55"/>
    <w:rsid w:val="0072726A"/>
    <w:rsid w:val="0072772D"/>
    <w:rsid w:val="00727F93"/>
    <w:rsid w:val="00731085"/>
    <w:rsid w:val="00732CC1"/>
    <w:rsid w:val="00732DFB"/>
    <w:rsid w:val="007345A7"/>
    <w:rsid w:val="00734F4A"/>
    <w:rsid w:val="0073510E"/>
    <w:rsid w:val="00736E33"/>
    <w:rsid w:val="00737D9B"/>
    <w:rsid w:val="00740C31"/>
    <w:rsid w:val="00741124"/>
    <w:rsid w:val="00742447"/>
    <w:rsid w:val="0074292F"/>
    <w:rsid w:val="00742DEC"/>
    <w:rsid w:val="007432FC"/>
    <w:rsid w:val="0074375E"/>
    <w:rsid w:val="00743BEB"/>
    <w:rsid w:val="00745479"/>
    <w:rsid w:val="007465AD"/>
    <w:rsid w:val="0075341E"/>
    <w:rsid w:val="00753B03"/>
    <w:rsid w:val="007547E5"/>
    <w:rsid w:val="00757352"/>
    <w:rsid w:val="00760145"/>
    <w:rsid w:val="007649C2"/>
    <w:rsid w:val="00765E62"/>
    <w:rsid w:val="0076658F"/>
    <w:rsid w:val="007675F9"/>
    <w:rsid w:val="007704A9"/>
    <w:rsid w:val="00770586"/>
    <w:rsid w:val="00771CA5"/>
    <w:rsid w:val="007725CE"/>
    <w:rsid w:val="0077707A"/>
    <w:rsid w:val="0078074F"/>
    <w:rsid w:val="007808CC"/>
    <w:rsid w:val="007822C4"/>
    <w:rsid w:val="007831D5"/>
    <w:rsid w:val="00784510"/>
    <w:rsid w:val="007850F1"/>
    <w:rsid w:val="00785C47"/>
    <w:rsid w:val="00787021"/>
    <w:rsid w:val="007903AC"/>
    <w:rsid w:val="007903EC"/>
    <w:rsid w:val="00790838"/>
    <w:rsid w:val="00793479"/>
    <w:rsid w:val="00793AB8"/>
    <w:rsid w:val="007960E4"/>
    <w:rsid w:val="007A1A6E"/>
    <w:rsid w:val="007A1B54"/>
    <w:rsid w:val="007A7780"/>
    <w:rsid w:val="007B02FA"/>
    <w:rsid w:val="007B25DE"/>
    <w:rsid w:val="007B27F0"/>
    <w:rsid w:val="007B2B7B"/>
    <w:rsid w:val="007B422F"/>
    <w:rsid w:val="007B504D"/>
    <w:rsid w:val="007B6D23"/>
    <w:rsid w:val="007B6EDE"/>
    <w:rsid w:val="007B7772"/>
    <w:rsid w:val="007C0E67"/>
    <w:rsid w:val="007C119A"/>
    <w:rsid w:val="007C1E3F"/>
    <w:rsid w:val="007C3388"/>
    <w:rsid w:val="007C351D"/>
    <w:rsid w:val="007C4115"/>
    <w:rsid w:val="007C4150"/>
    <w:rsid w:val="007C6552"/>
    <w:rsid w:val="007C67C7"/>
    <w:rsid w:val="007C6975"/>
    <w:rsid w:val="007C6B6D"/>
    <w:rsid w:val="007C7234"/>
    <w:rsid w:val="007D1B43"/>
    <w:rsid w:val="007D2209"/>
    <w:rsid w:val="007D27A1"/>
    <w:rsid w:val="007D311D"/>
    <w:rsid w:val="007D3A76"/>
    <w:rsid w:val="007D3B8A"/>
    <w:rsid w:val="007D401A"/>
    <w:rsid w:val="007D4E67"/>
    <w:rsid w:val="007D542F"/>
    <w:rsid w:val="007D62CE"/>
    <w:rsid w:val="007D6F5B"/>
    <w:rsid w:val="007E4806"/>
    <w:rsid w:val="007E61DB"/>
    <w:rsid w:val="007E646F"/>
    <w:rsid w:val="007E6D99"/>
    <w:rsid w:val="007E796D"/>
    <w:rsid w:val="007F761D"/>
    <w:rsid w:val="008033D6"/>
    <w:rsid w:val="00803ED6"/>
    <w:rsid w:val="00804D50"/>
    <w:rsid w:val="00805601"/>
    <w:rsid w:val="00806565"/>
    <w:rsid w:val="00806BDF"/>
    <w:rsid w:val="008108B5"/>
    <w:rsid w:val="008109F0"/>
    <w:rsid w:val="00811765"/>
    <w:rsid w:val="008119CD"/>
    <w:rsid w:val="00811CC6"/>
    <w:rsid w:val="00812BDF"/>
    <w:rsid w:val="008144E1"/>
    <w:rsid w:val="008156AE"/>
    <w:rsid w:val="00815A40"/>
    <w:rsid w:val="00817B2C"/>
    <w:rsid w:val="00823502"/>
    <w:rsid w:val="00823AD1"/>
    <w:rsid w:val="00824DA8"/>
    <w:rsid w:val="008259F4"/>
    <w:rsid w:val="00827656"/>
    <w:rsid w:val="00830B34"/>
    <w:rsid w:val="00830B99"/>
    <w:rsid w:val="00832D70"/>
    <w:rsid w:val="00833078"/>
    <w:rsid w:val="00833C5F"/>
    <w:rsid w:val="0083759C"/>
    <w:rsid w:val="00840D9F"/>
    <w:rsid w:val="00843887"/>
    <w:rsid w:val="00844337"/>
    <w:rsid w:val="00845A2E"/>
    <w:rsid w:val="008466D3"/>
    <w:rsid w:val="008468E4"/>
    <w:rsid w:val="00852C2F"/>
    <w:rsid w:val="00855E22"/>
    <w:rsid w:val="008571C4"/>
    <w:rsid w:val="0086063A"/>
    <w:rsid w:val="00860704"/>
    <w:rsid w:val="00862AAC"/>
    <w:rsid w:val="00865DF0"/>
    <w:rsid w:val="00865F42"/>
    <w:rsid w:val="00866784"/>
    <w:rsid w:val="008668CE"/>
    <w:rsid w:val="00866BCB"/>
    <w:rsid w:val="00867577"/>
    <w:rsid w:val="008700BF"/>
    <w:rsid w:val="00870E10"/>
    <w:rsid w:val="00870FF5"/>
    <w:rsid w:val="00871986"/>
    <w:rsid w:val="00871AB0"/>
    <w:rsid w:val="00871F79"/>
    <w:rsid w:val="00876187"/>
    <w:rsid w:val="008768CF"/>
    <w:rsid w:val="00876C7B"/>
    <w:rsid w:val="00877BEB"/>
    <w:rsid w:val="00881BB8"/>
    <w:rsid w:val="008825D4"/>
    <w:rsid w:val="00882BDF"/>
    <w:rsid w:val="00890341"/>
    <w:rsid w:val="008910A6"/>
    <w:rsid w:val="00894E94"/>
    <w:rsid w:val="008963C3"/>
    <w:rsid w:val="00897B21"/>
    <w:rsid w:val="008A3734"/>
    <w:rsid w:val="008A3FF8"/>
    <w:rsid w:val="008A486C"/>
    <w:rsid w:val="008A5124"/>
    <w:rsid w:val="008A5773"/>
    <w:rsid w:val="008B0944"/>
    <w:rsid w:val="008B2C0D"/>
    <w:rsid w:val="008B3184"/>
    <w:rsid w:val="008B413F"/>
    <w:rsid w:val="008B4667"/>
    <w:rsid w:val="008B5237"/>
    <w:rsid w:val="008B554B"/>
    <w:rsid w:val="008B721C"/>
    <w:rsid w:val="008C0A6A"/>
    <w:rsid w:val="008C1E12"/>
    <w:rsid w:val="008C2091"/>
    <w:rsid w:val="008C3B72"/>
    <w:rsid w:val="008C4CDE"/>
    <w:rsid w:val="008C6F67"/>
    <w:rsid w:val="008D0758"/>
    <w:rsid w:val="008D0A91"/>
    <w:rsid w:val="008D10CA"/>
    <w:rsid w:val="008D20C3"/>
    <w:rsid w:val="008D2BDF"/>
    <w:rsid w:val="008D3742"/>
    <w:rsid w:val="008D4E5B"/>
    <w:rsid w:val="008D56F9"/>
    <w:rsid w:val="008D5F6B"/>
    <w:rsid w:val="008D7FD9"/>
    <w:rsid w:val="008E098C"/>
    <w:rsid w:val="008E1447"/>
    <w:rsid w:val="008E1711"/>
    <w:rsid w:val="008E1F13"/>
    <w:rsid w:val="008E280D"/>
    <w:rsid w:val="008F0E92"/>
    <w:rsid w:val="008F2720"/>
    <w:rsid w:val="008F2975"/>
    <w:rsid w:val="008F3AB5"/>
    <w:rsid w:val="008F3C34"/>
    <w:rsid w:val="008F539F"/>
    <w:rsid w:val="008F59EE"/>
    <w:rsid w:val="008F5B7D"/>
    <w:rsid w:val="008F62F1"/>
    <w:rsid w:val="008F6F3C"/>
    <w:rsid w:val="008F725F"/>
    <w:rsid w:val="00905BE1"/>
    <w:rsid w:val="00906590"/>
    <w:rsid w:val="00907472"/>
    <w:rsid w:val="00907D91"/>
    <w:rsid w:val="009127AD"/>
    <w:rsid w:val="00912B5E"/>
    <w:rsid w:val="00913332"/>
    <w:rsid w:val="00913422"/>
    <w:rsid w:val="00914C4D"/>
    <w:rsid w:val="009155B5"/>
    <w:rsid w:val="009172E3"/>
    <w:rsid w:val="00917884"/>
    <w:rsid w:val="009206E3"/>
    <w:rsid w:val="00924A93"/>
    <w:rsid w:val="00924BFD"/>
    <w:rsid w:val="00925813"/>
    <w:rsid w:val="0092651C"/>
    <w:rsid w:val="00926DCD"/>
    <w:rsid w:val="0093127B"/>
    <w:rsid w:val="00931300"/>
    <w:rsid w:val="009318F2"/>
    <w:rsid w:val="00932DA5"/>
    <w:rsid w:val="00932FE5"/>
    <w:rsid w:val="009333A5"/>
    <w:rsid w:val="009343EE"/>
    <w:rsid w:val="0093760B"/>
    <w:rsid w:val="00940E1D"/>
    <w:rsid w:val="00941446"/>
    <w:rsid w:val="00941CB6"/>
    <w:rsid w:val="00941E1B"/>
    <w:rsid w:val="009427A5"/>
    <w:rsid w:val="00942CB5"/>
    <w:rsid w:val="00942FA4"/>
    <w:rsid w:val="0094374A"/>
    <w:rsid w:val="00946840"/>
    <w:rsid w:val="0095022D"/>
    <w:rsid w:val="009508A7"/>
    <w:rsid w:val="009514AB"/>
    <w:rsid w:val="009514C3"/>
    <w:rsid w:val="00953469"/>
    <w:rsid w:val="00953AB6"/>
    <w:rsid w:val="009570F6"/>
    <w:rsid w:val="00960BEA"/>
    <w:rsid w:val="009610F2"/>
    <w:rsid w:val="0096475B"/>
    <w:rsid w:val="0096675F"/>
    <w:rsid w:val="0097192E"/>
    <w:rsid w:val="00973081"/>
    <w:rsid w:val="009751EB"/>
    <w:rsid w:val="00975F48"/>
    <w:rsid w:val="009763C3"/>
    <w:rsid w:val="00976F44"/>
    <w:rsid w:val="009770EC"/>
    <w:rsid w:val="00977418"/>
    <w:rsid w:val="009810CA"/>
    <w:rsid w:val="00983279"/>
    <w:rsid w:val="009853BA"/>
    <w:rsid w:val="009861E6"/>
    <w:rsid w:val="00990271"/>
    <w:rsid w:val="009906F9"/>
    <w:rsid w:val="00991441"/>
    <w:rsid w:val="00993021"/>
    <w:rsid w:val="00993C54"/>
    <w:rsid w:val="009949B8"/>
    <w:rsid w:val="00994C13"/>
    <w:rsid w:val="0099538C"/>
    <w:rsid w:val="00995624"/>
    <w:rsid w:val="0099590C"/>
    <w:rsid w:val="009973A0"/>
    <w:rsid w:val="00997518"/>
    <w:rsid w:val="00997D20"/>
    <w:rsid w:val="009A1082"/>
    <w:rsid w:val="009A2160"/>
    <w:rsid w:val="009A4B92"/>
    <w:rsid w:val="009A5710"/>
    <w:rsid w:val="009A5F33"/>
    <w:rsid w:val="009A73F6"/>
    <w:rsid w:val="009A748D"/>
    <w:rsid w:val="009B07E4"/>
    <w:rsid w:val="009B1B3C"/>
    <w:rsid w:val="009B253C"/>
    <w:rsid w:val="009B27A4"/>
    <w:rsid w:val="009B4460"/>
    <w:rsid w:val="009B4863"/>
    <w:rsid w:val="009B4B67"/>
    <w:rsid w:val="009B5CF8"/>
    <w:rsid w:val="009B624F"/>
    <w:rsid w:val="009B7ADC"/>
    <w:rsid w:val="009B7BEB"/>
    <w:rsid w:val="009C09A4"/>
    <w:rsid w:val="009C16CF"/>
    <w:rsid w:val="009C1BAB"/>
    <w:rsid w:val="009C3A7B"/>
    <w:rsid w:val="009C3D61"/>
    <w:rsid w:val="009C4D44"/>
    <w:rsid w:val="009C65BA"/>
    <w:rsid w:val="009C6A77"/>
    <w:rsid w:val="009C799D"/>
    <w:rsid w:val="009D013C"/>
    <w:rsid w:val="009D1C22"/>
    <w:rsid w:val="009D409B"/>
    <w:rsid w:val="009D5EF0"/>
    <w:rsid w:val="009D72FD"/>
    <w:rsid w:val="009D7426"/>
    <w:rsid w:val="009D78F9"/>
    <w:rsid w:val="009E2B78"/>
    <w:rsid w:val="009E4D3F"/>
    <w:rsid w:val="009E546E"/>
    <w:rsid w:val="009E5E20"/>
    <w:rsid w:val="009E6580"/>
    <w:rsid w:val="009E6F1B"/>
    <w:rsid w:val="009E7582"/>
    <w:rsid w:val="009E7BD3"/>
    <w:rsid w:val="009F0CD8"/>
    <w:rsid w:val="009F37B5"/>
    <w:rsid w:val="009F3E32"/>
    <w:rsid w:val="009F6062"/>
    <w:rsid w:val="00A0060A"/>
    <w:rsid w:val="00A012B0"/>
    <w:rsid w:val="00A037E1"/>
    <w:rsid w:val="00A03EB9"/>
    <w:rsid w:val="00A042D6"/>
    <w:rsid w:val="00A0497D"/>
    <w:rsid w:val="00A0531C"/>
    <w:rsid w:val="00A05C25"/>
    <w:rsid w:val="00A10BCE"/>
    <w:rsid w:val="00A12A0E"/>
    <w:rsid w:val="00A1699B"/>
    <w:rsid w:val="00A23BB0"/>
    <w:rsid w:val="00A23DC6"/>
    <w:rsid w:val="00A24754"/>
    <w:rsid w:val="00A24D20"/>
    <w:rsid w:val="00A25E12"/>
    <w:rsid w:val="00A2622D"/>
    <w:rsid w:val="00A2645C"/>
    <w:rsid w:val="00A27DCB"/>
    <w:rsid w:val="00A31942"/>
    <w:rsid w:val="00A32ED1"/>
    <w:rsid w:val="00A333DA"/>
    <w:rsid w:val="00A33660"/>
    <w:rsid w:val="00A33AF0"/>
    <w:rsid w:val="00A33BD5"/>
    <w:rsid w:val="00A33D80"/>
    <w:rsid w:val="00A34633"/>
    <w:rsid w:val="00A3607D"/>
    <w:rsid w:val="00A36476"/>
    <w:rsid w:val="00A3675E"/>
    <w:rsid w:val="00A407A4"/>
    <w:rsid w:val="00A40C53"/>
    <w:rsid w:val="00A41030"/>
    <w:rsid w:val="00A411B5"/>
    <w:rsid w:val="00A42405"/>
    <w:rsid w:val="00A4318E"/>
    <w:rsid w:val="00A440A5"/>
    <w:rsid w:val="00A441D4"/>
    <w:rsid w:val="00A44321"/>
    <w:rsid w:val="00A45EB4"/>
    <w:rsid w:val="00A46AE5"/>
    <w:rsid w:val="00A477F7"/>
    <w:rsid w:val="00A47B49"/>
    <w:rsid w:val="00A525D9"/>
    <w:rsid w:val="00A53298"/>
    <w:rsid w:val="00A53511"/>
    <w:rsid w:val="00A53580"/>
    <w:rsid w:val="00A5648A"/>
    <w:rsid w:val="00A56ECF"/>
    <w:rsid w:val="00A61AA1"/>
    <w:rsid w:val="00A63037"/>
    <w:rsid w:val="00A630E4"/>
    <w:rsid w:val="00A71129"/>
    <w:rsid w:val="00A729C1"/>
    <w:rsid w:val="00A73AAF"/>
    <w:rsid w:val="00A7408B"/>
    <w:rsid w:val="00A744CC"/>
    <w:rsid w:val="00A74881"/>
    <w:rsid w:val="00A757AD"/>
    <w:rsid w:val="00A774B0"/>
    <w:rsid w:val="00A80520"/>
    <w:rsid w:val="00A80D2C"/>
    <w:rsid w:val="00A80D50"/>
    <w:rsid w:val="00A8119C"/>
    <w:rsid w:val="00A8381F"/>
    <w:rsid w:val="00A854F3"/>
    <w:rsid w:val="00A863E0"/>
    <w:rsid w:val="00A91C43"/>
    <w:rsid w:val="00A937D2"/>
    <w:rsid w:val="00A94AA9"/>
    <w:rsid w:val="00A95240"/>
    <w:rsid w:val="00A956B5"/>
    <w:rsid w:val="00A960FA"/>
    <w:rsid w:val="00A9632E"/>
    <w:rsid w:val="00A968B7"/>
    <w:rsid w:val="00AA075E"/>
    <w:rsid w:val="00AA16E0"/>
    <w:rsid w:val="00AA1C2E"/>
    <w:rsid w:val="00AA261B"/>
    <w:rsid w:val="00AA671A"/>
    <w:rsid w:val="00AA71ED"/>
    <w:rsid w:val="00AB01B2"/>
    <w:rsid w:val="00AB23C5"/>
    <w:rsid w:val="00AB3032"/>
    <w:rsid w:val="00AB34F2"/>
    <w:rsid w:val="00AB48FC"/>
    <w:rsid w:val="00AB646A"/>
    <w:rsid w:val="00AC0205"/>
    <w:rsid w:val="00AC23F3"/>
    <w:rsid w:val="00AC2D71"/>
    <w:rsid w:val="00AC3CD0"/>
    <w:rsid w:val="00AC49E1"/>
    <w:rsid w:val="00AD0AFB"/>
    <w:rsid w:val="00AD34D7"/>
    <w:rsid w:val="00AD365E"/>
    <w:rsid w:val="00AD4590"/>
    <w:rsid w:val="00AD4FBA"/>
    <w:rsid w:val="00AD511F"/>
    <w:rsid w:val="00AD5139"/>
    <w:rsid w:val="00AD5DAC"/>
    <w:rsid w:val="00AD5E23"/>
    <w:rsid w:val="00AD7706"/>
    <w:rsid w:val="00AE0FDD"/>
    <w:rsid w:val="00AE4E6F"/>
    <w:rsid w:val="00AE57AA"/>
    <w:rsid w:val="00AE7937"/>
    <w:rsid w:val="00AF0E50"/>
    <w:rsid w:val="00AF16D3"/>
    <w:rsid w:val="00AF4EF9"/>
    <w:rsid w:val="00AF50B2"/>
    <w:rsid w:val="00AF5A0F"/>
    <w:rsid w:val="00AF668C"/>
    <w:rsid w:val="00AF6BDE"/>
    <w:rsid w:val="00AF733E"/>
    <w:rsid w:val="00AF78E1"/>
    <w:rsid w:val="00B02358"/>
    <w:rsid w:val="00B0255D"/>
    <w:rsid w:val="00B02C85"/>
    <w:rsid w:val="00B038B0"/>
    <w:rsid w:val="00B045A7"/>
    <w:rsid w:val="00B0666F"/>
    <w:rsid w:val="00B07A6C"/>
    <w:rsid w:val="00B104EA"/>
    <w:rsid w:val="00B108F0"/>
    <w:rsid w:val="00B13294"/>
    <w:rsid w:val="00B15399"/>
    <w:rsid w:val="00B168E7"/>
    <w:rsid w:val="00B17556"/>
    <w:rsid w:val="00B17A1E"/>
    <w:rsid w:val="00B17BD0"/>
    <w:rsid w:val="00B23560"/>
    <w:rsid w:val="00B242F1"/>
    <w:rsid w:val="00B248DD"/>
    <w:rsid w:val="00B24B39"/>
    <w:rsid w:val="00B26A3B"/>
    <w:rsid w:val="00B2719B"/>
    <w:rsid w:val="00B2755B"/>
    <w:rsid w:val="00B2798E"/>
    <w:rsid w:val="00B30027"/>
    <w:rsid w:val="00B32E97"/>
    <w:rsid w:val="00B335BB"/>
    <w:rsid w:val="00B33D8E"/>
    <w:rsid w:val="00B3654B"/>
    <w:rsid w:val="00B40CDF"/>
    <w:rsid w:val="00B40ED1"/>
    <w:rsid w:val="00B431D4"/>
    <w:rsid w:val="00B441DD"/>
    <w:rsid w:val="00B44C0D"/>
    <w:rsid w:val="00B452D2"/>
    <w:rsid w:val="00B45525"/>
    <w:rsid w:val="00B45E64"/>
    <w:rsid w:val="00B5624F"/>
    <w:rsid w:val="00B6043D"/>
    <w:rsid w:val="00B616A9"/>
    <w:rsid w:val="00B62A05"/>
    <w:rsid w:val="00B652E4"/>
    <w:rsid w:val="00B66042"/>
    <w:rsid w:val="00B66AA6"/>
    <w:rsid w:val="00B67390"/>
    <w:rsid w:val="00B7052F"/>
    <w:rsid w:val="00B71095"/>
    <w:rsid w:val="00B714B3"/>
    <w:rsid w:val="00B7176F"/>
    <w:rsid w:val="00B72339"/>
    <w:rsid w:val="00B72B2D"/>
    <w:rsid w:val="00B74F85"/>
    <w:rsid w:val="00B75F4A"/>
    <w:rsid w:val="00B766B5"/>
    <w:rsid w:val="00B77CDE"/>
    <w:rsid w:val="00B81273"/>
    <w:rsid w:val="00B829C2"/>
    <w:rsid w:val="00B8390B"/>
    <w:rsid w:val="00B83A65"/>
    <w:rsid w:val="00B84912"/>
    <w:rsid w:val="00B85784"/>
    <w:rsid w:val="00B85791"/>
    <w:rsid w:val="00B85E64"/>
    <w:rsid w:val="00B862FB"/>
    <w:rsid w:val="00B877B0"/>
    <w:rsid w:val="00B91CCF"/>
    <w:rsid w:val="00B93288"/>
    <w:rsid w:val="00B94291"/>
    <w:rsid w:val="00B9470F"/>
    <w:rsid w:val="00B947BA"/>
    <w:rsid w:val="00B94DB9"/>
    <w:rsid w:val="00B954CA"/>
    <w:rsid w:val="00B95F67"/>
    <w:rsid w:val="00B97222"/>
    <w:rsid w:val="00BA032D"/>
    <w:rsid w:val="00BA0879"/>
    <w:rsid w:val="00BA27C0"/>
    <w:rsid w:val="00BA308D"/>
    <w:rsid w:val="00BA429D"/>
    <w:rsid w:val="00BA46B3"/>
    <w:rsid w:val="00BA542D"/>
    <w:rsid w:val="00BA570F"/>
    <w:rsid w:val="00BA60CA"/>
    <w:rsid w:val="00BA6C66"/>
    <w:rsid w:val="00BB0977"/>
    <w:rsid w:val="00BB245C"/>
    <w:rsid w:val="00BB3B02"/>
    <w:rsid w:val="00BB5E8D"/>
    <w:rsid w:val="00BB65CB"/>
    <w:rsid w:val="00BB7415"/>
    <w:rsid w:val="00BC0D47"/>
    <w:rsid w:val="00BC1473"/>
    <w:rsid w:val="00BC1A2E"/>
    <w:rsid w:val="00BC1FD5"/>
    <w:rsid w:val="00BC3F6A"/>
    <w:rsid w:val="00BC40B8"/>
    <w:rsid w:val="00BC5CD3"/>
    <w:rsid w:val="00BC780E"/>
    <w:rsid w:val="00BD1C10"/>
    <w:rsid w:val="00BD2B9E"/>
    <w:rsid w:val="00BD3235"/>
    <w:rsid w:val="00BD3F42"/>
    <w:rsid w:val="00BD421C"/>
    <w:rsid w:val="00BD46F3"/>
    <w:rsid w:val="00BD4F9E"/>
    <w:rsid w:val="00BD5EC4"/>
    <w:rsid w:val="00BD7AAA"/>
    <w:rsid w:val="00BD7F4D"/>
    <w:rsid w:val="00BE05D6"/>
    <w:rsid w:val="00BE0BD2"/>
    <w:rsid w:val="00BE12F9"/>
    <w:rsid w:val="00BE13BD"/>
    <w:rsid w:val="00BE37C1"/>
    <w:rsid w:val="00BE547B"/>
    <w:rsid w:val="00BE591A"/>
    <w:rsid w:val="00BE7762"/>
    <w:rsid w:val="00BE79E6"/>
    <w:rsid w:val="00BE7DDE"/>
    <w:rsid w:val="00BF2245"/>
    <w:rsid w:val="00BF23C0"/>
    <w:rsid w:val="00BF306B"/>
    <w:rsid w:val="00BF3F40"/>
    <w:rsid w:val="00BF53A9"/>
    <w:rsid w:val="00C05128"/>
    <w:rsid w:val="00C0701D"/>
    <w:rsid w:val="00C07B70"/>
    <w:rsid w:val="00C10E58"/>
    <w:rsid w:val="00C111BE"/>
    <w:rsid w:val="00C11356"/>
    <w:rsid w:val="00C114C0"/>
    <w:rsid w:val="00C11840"/>
    <w:rsid w:val="00C1221E"/>
    <w:rsid w:val="00C12582"/>
    <w:rsid w:val="00C12689"/>
    <w:rsid w:val="00C12B17"/>
    <w:rsid w:val="00C13D52"/>
    <w:rsid w:val="00C13F13"/>
    <w:rsid w:val="00C14148"/>
    <w:rsid w:val="00C14211"/>
    <w:rsid w:val="00C148CF"/>
    <w:rsid w:val="00C15262"/>
    <w:rsid w:val="00C21C56"/>
    <w:rsid w:val="00C23235"/>
    <w:rsid w:val="00C23A69"/>
    <w:rsid w:val="00C23D38"/>
    <w:rsid w:val="00C26B78"/>
    <w:rsid w:val="00C27031"/>
    <w:rsid w:val="00C325F0"/>
    <w:rsid w:val="00C3302A"/>
    <w:rsid w:val="00C348DA"/>
    <w:rsid w:val="00C35569"/>
    <w:rsid w:val="00C369EA"/>
    <w:rsid w:val="00C37EF6"/>
    <w:rsid w:val="00C43E5A"/>
    <w:rsid w:val="00C4462D"/>
    <w:rsid w:val="00C4697D"/>
    <w:rsid w:val="00C470AA"/>
    <w:rsid w:val="00C479EC"/>
    <w:rsid w:val="00C509A5"/>
    <w:rsid w:val="00C50AE5"/>
    <w:rsid w:val="00C5217F"/>
    <w:rsid w:val="00C52559"/>
    <w:rsid w:val="00C538D1"/>
    <w:rsid w:val="00C557C4"/>
    <w:rsid w:val="00C55986"/>
    <w:rsid w:val="00C55B47"/>
    <w:rsid w:val="00C55D82"/>
    <w:rsid w:val="00C55E66"/>
    <w:rsid w:val="00C575B5"/>
    <w:rsid w:val="00C60542"/>
    <w:rsid w:val="00C6179A"/>
    <w:rsid w:val="00C6230F"/>
    <w:rsid w:val="00C64E08"/>
    <w:rsid w:val="00C6694C"/>
    <w:rsid w:val="00C701F6"/>
    <w:rsid w:val="00C703E7"/>
    <w:rsid w:val="00C72D03"/>
    <w:rsid w:val="00C731F1"/>
    <w:rsid w:val="00C733D1"/>
    <w:rsid w:val="00C74470"/>
    <w:rsid w:val="00C75BDF"/>
    <w:rsid w:val="00C76C5D"/>
    <w:rsid w:val="00C80EF9"/>
    <w:rsid w:val="00C825E7"/>
    <w:rsid w:val="00C85655"/>
    <w:rsid w:val="00C86F7E"/>
    <w:rsid w:val="00C87340"/>
    <w:rsid w:val="00C87F73"/>
    <w:rsid w:val="00C901ED"/>
    <w:rsid w:val="00C90C9A"/>
    <w:rsid w:val="00C917D6"/>
    <w:rsid w:val="00C91B9B"/>
    <w:rsid w:val="00C92809"/>
    <w:rsid w:val="00C933EA"/>
    <w:rsid w:val="00C95FF7"/>
    <w:rsid w:val="00C96151"/>
    <w:rsid w:val="00C96503"/>
    <w:rsid w:val="00C968B5"/>
    <w:rsid w:val="00C97C55"/>
    <w:rsid w:val="00CA1409"/>
    <w:rsid w:val="00CA39E8"/>
    <w:rsid w:val="00CA7CE6"/>
    <w:rsid w:val="00CB0176"/>
    <w:rsid w:val="00CB0584"/>
    <w:rsid w:val="00CB5730"/>
    <w:rsid w:val="00CB579D"/>
    <w:rsid w:val="00CB5AA1"/>
    <w:rsid w:val="00CB60F6"/>
    <w:rsid w:val="00CB6659"/>
    <w:rsid w:val="00CB7467"/>
    <w:rsid w:val="00CB7885"/>
    <w:rsid w:val="00CC0139"/>
    <w:rsid w:val="00CC0A05"/>
    <w:rsid w:val="00CC0BD2"/>
    <w:rsid w:val="00CC31DC"/>
    <w:rsid w:val="00CC39E3"/>
    <w:rsid w:val="00CC5FAA"/>
    <w:rsid w:val="00CC6D9C"/>
    <w:rsid w:val="00CC6EB1"/>
    <w:rsid w:val="00CD0090"/>
    <w:rsid w:val="00CD0C08"/>
    <w:rsid w:val="00CD1815"/>
    <w:rsid w:val="00CD4160"/>
    <w:rsid w:val="00CD4A03"/>
    <w:rsid w:val="00CD4DBA"/>
    <w:rsid w:val="00CD7E75"/>
    <w:rsid w:val="00CE04E8"/>
    <w:rsid w:val="00CE176B"/>
    <w:rsid w:val="00CE20BC"/>
    <w:rsid w:val="00CE284E"/>
    <w:rsid w:val="00CE499E"/>
    <w:rsid w:val="00CE5071"/>
    <w:rsid w:val="00CF087C"/>
    <w:rsid w:val="00CF0A5B"/>
    <w:rsid w:val="00CF28D5"/>
    <w:rsid w:val="00CF32E2"/>
    <w:rsid w:val="00CF596F"/>
    <w:rsid w:val="00CF5D91"/>
    <w:rsid w:val="00D00C44"/>
    <w:rsid w:val="00D022BB"/>
    <w:rsid w:val="00D03B9B"/>
    <w:rsid w:val="00D03F42"/>
    <w:rsid w:val="00D04553"/>
    <w:rsid w:val="00D04D01"/>
    <w:rsid w:val="00D04E48"/>
    <w:rsid w:val="00D10843"/>
    <w:rsid w:val="00D12D7D"/>
    <w:rsid w:val="00D13798"/>
    <w:rsid w:val="00D14385"/>
    <w:rsid w:val="00D145FA"/>
    <w:rsid w:val="00D14B21"/>
    <w:rsid w:val="00D14F37"/>
    <w:rsid w:val="00D15D39"/>
    <w:rsid w:val="00D16E78"/>
    <w:rsid w:val="00D16F6C"/>
    <w:rsid w:val="00D16FFF"/>
    <w:rsid w:val="00D20506"/>
    <w:rsid w:val="00D213CD"/>
    <w:rsid w:val="00D21637"/>
    <w:rsid w:val="00D2174C"/>
    <w:rsid w:val="00D24834"/>
    <w:rsid w:val="00D24843"/>
    <w:rsid w:val="00D24B60"/>
    <w:rsid w:val="00D24BF7"/>
    <w:rsid w:val="00D2692F"/>
    <w:rsid w:val="00D269DB"/>
    <w:rsid w:val="00D26AC4"/>
    <w:rsid w:val="00D30277"/>
    <w:rsid w:val="00D30A01"/>
    <w:rsid w:val="00D30A29"/>
    <w:rsid w:val="00D31003"/>
    <w:rsid w:val="00D31511"/>
    <w:rsid w:val="00D31C8F"/>
    <w:rsid w:val="00D3249A"/>
    <w:rsid w:val="00D33256"/>
    <w:rsid w:val="00D33AE2"/>
    <w:rsid w:val="00D34E3E"/>
    <w:rsid w:val="00D403E6"/>
    <w:rsid w:val="00D408E8"/>
    <w:rsid w:val="00D4140A"/>
    <w:rsid w:val="00D43DBB"/>
    <w:rsid w:val="00D43E7B"/>
    <w:rsid w:val="00D449A2"/>
    <w:rsid w:val="00D45D2C"/>
    <w:rsid w:val="00D46730"/>
    <w:rsid w:val="00D4771F"/>
    <w:rsid w:val="00D47B2C"/>
    <w:rsid w:val="00D47E43"/>
    <w:rsid w:val="00D50869"/>
    <w:rsid w:val="00D50F0E"/>
    <w:rsid w:val="00D51EEA"/>
    <w:rsid w:val="00D53753"/>
    <w:rsid w:val="00D53FC5"/>
    <w:rsid w:val="00D54E62"/>
    <w:rsid w:val="00D55D92"/>
    <w:rsid w:val="00D5681B"/>
    <w:rsid w:val="00D56B52"/>
    <w:rsid w:val="00D57DFB"/>
    <w:rsid w:val="00D61102"/>
    <w:rsid w:val="00D6143A"/>
    <w:rsid w:val="00D61C87"/>
    <w:rsid w:val="00D64A41"/>
    <w:rsid w:val="00D66FC1"/>
    <w:rsid w:val="00D67FB7"/>
    <w:rsid w:val="00D71F38"/>
    <w:rsid w:val="00D724B3"/>
    <w:rsid w:val="00D730A1"/>
    <w:rsid w:val="00D742A3"/>
    <w:rsid w:val="00D746B9"/>
    <w:rsid w:val="00D74BA6"/>
    <w:rsid w:val="00D74D93"/>
    <w:rsid w:val="00D75DC9"/>
    <w:rsid w:val="00D76671"/>
    <w:rsid w:val="00D76976"/>
    <w:rsid w:val="00D76F91"/>
    <w:rsid w:val="00D772A9"/>
    <w:rsid w:val="00D77608"/>
    <w:rsid w:val="00D8014F"/>
    <w:rsid w:val="00D803E9"/>
    <w:rsid w:val="00D80CC3"/>
    <w:rsid w:val="00D82878"/>
    <w:rsid w:val="00D82A9E"/>
    <w:rsid w:val="00D848DE"/>
    <w:rsid w:val="00D84B51"/>
    <w:rsid w:val="00D84B93"/>
    <w:rsid w:val="00D87706"/>
    <w:rsid w:val="00D902F5"/>
    <w:rsid w:val="00D90C44"/>
    <w:rsid w:val="00D92100"/>
    <w:rsid w:val="00D926D3"/>
    <w:rsid w:val="00D93CD5"/>
    <w:rsid w:val="00D95BCB"/>
    <w:rsid w:val="00D965ED"/>
    <w:rsid w:val="00D96A6A"/>
    <w:rsid w:val="00D96CF5"/>
    <w:rsid w:val="00D97B17"/>
    <w:rsid w:val="00DA41B6"/>
    <w:rsid w:val="00DA6157"/>
    <w:rsid w:val="00DA64F9"/>
    <w:rsid w:val="00DA71EB"/>
    <w:rsid w:val="00DA7251"/>
    <w:rsid w:val="00DA75B5"/>
    <w:rsid w:val="00DB05EB"/>
    <w:rsid w:val="00DB0912"/>
    <w:rsid w:val="00DB0B69"/>
    <w:rsid w:val="00DB0D2A"/>
    <w:rsid w:val="00DB1A8C"/>
    <w:rsid w:val="00DB1CC0"/>
    <w:rsid w:val="00DB1D9F"/>
    <w:rsid w:val="00DB36E6"/>
    <w:rsid w:val="00DB50B5"/>
    <w:rsid w:val="00DC0993"/>
    <w:rsid w:val="00DC31FD"/>
    <w:rsid w:val="00DC5F37"/>
    <w:rsid w:val="00DC64B2"/>
    <w:rsid w:val="00DC69C5"/>
    <w:rsid w:val="00DD0F62"/>
    <w:rsid w:val="00DD167A"/>
    <w:rsid w:val="00DD1BF4"/>
    <w:rsid w:val="00DD2FCC"/>
    <w:rsid w:val="00DD4BF9"/>
    <w:rsid w:val="00DD591D"/>
    <w:rsid w:val="00DD63B0"/>
    <w:rsid w:val="00DD6A19"/>
    <w:rsid w:val="00DD7BFC"/>
    <w:rsid w:val="00DE13D9"/>
    <w:rsid w:val="00DE795B"/>
    <w:rsid w:val="00DE7CA0"/>
    <w:rsid w:val="00DF20BE"/>
    <w:rsid w:val="00DF29C6"/>
    <w:rsid w:val="00DF2CB9"/>
    <w:rsid w:val="00DF42C2"/>
    <w:rsid w:val="00DF4669"/>
    <w:rsid w:val="00DF4E3D"/>
    <w:rsid w:val="00E01A09"/>
    <w:rsid w:val="00E01B8C"/>
    <w:rsid w:val="00E0309C"/>
    <w:rsid w:val="00E03769"/>
    <w:rsid w:val="00E03E2E"/>
    <w:rsid w:val="00E03E5A"/>
    <w:rsid w:val="00E0679C"/>
    <w:rsid w:val="00E069E7"/>
    <w:rsid w:val="00E10BB4"/>
    <w:rsid w:val="00E1144C"/>
    <w:rsid w:val="00E114A3"/>
    <w:rsid w:val="00E11AAA"/>
    <w:rsid w:val="00E11F02"/>
    <w:rsid w:val="00E11F4C"/>
    <w:rsid w:val="00E137EA"/>
    <w:rsid w:val="00E16FC3"/>
    <w:rsid w:val="00E2383A"/>
    <w:rsid w:val="00E242A8"/>
    <w:rsid w:val="00E257A6"/>
    <w:rsid w:val="00E27297"/>
    <w:rsid w:val="00E30817"/>
    <w:rsid w:val="00E31C4B"/>
    <w:rsid w:val="00E320F4"/>
    <w:rsid w:val="00E357F8"/>
    <w:rsid w:val="00E35CEC"/>
    <w:rsid w:val="00E3733F"/>
    <w:rsid w:val="00E375F4"/>
    <w:rsid w:val="00E40279"/>
    <w:rsid w:val="00E410D8"/>
    <w:rsid w:val="00E4183A"/>
    <w:rsid w:val="00E420BA"/>
    <w:rsid w:val="00E42B42"/>
    <w:rsid w:val="00E45F2E"/>
    <w:rsid w:val="00E47F3F"/>
    <w:rsid w:val="00E509A6"/>
    <w:rsid w:val="00E517C6"/>
    <w:rsid w:val="00E51A76"/>
    <w:rsid w:val="00E52468"/>
    <w:rsid w:val="00E53DC4"/>
    <w:rsid w:val="00E5501A"/>
    <w:rsid w:val="00E56353"/>
    <w:rsid w:val="00E57201"/>
    <w:rsid w:val="00E611DA"/>
    <w:rsid w:val="00E61CB8"/>
    <w:rsid w:val="00E6393F"/>
    <w:rsid w:val="00E70068"/>
    <w:rsid w:val="00E71144"/>
    <w:rsid w:val="00E71346"/>
    <w:rsid w:val="00E719A7"/>
    <w:rsid w:val="00E71C74"/>
    <w:rsid w:val="00E723CA"/>
    <w:rsid w:val="00E73429"/>
    <w:rsid w:val="00E73E3E"/>
    <w:rsid w:val="00E7497C"/>
    <w:rsid w:val="00E75254"/>
    <w:rsid w:val="00E76A8E"/>
    <w:rsid w:val="00E81D88"/>
    <w:rsid w:val="00E82D15"/>
    <w:rsid w:val="00E840E1"/>
    <w:rsid w:val="00E850D2"/>
    <w:rsid w:val="00E8522D"/>
    <w:rsid w:val="00E85CB9"/>
    <w:rsid w:val="00E86896"/>
    <w:rsid w:val="00E87CD9"/>
    <w:rsid w:val="00E9028D"/>
    <w:rsid w:val="00E94B43"/>
    <w:rsid w:val="00E95819"/>
    <w:rsid w:val="00EA3045"/>
    <w:rsid w:val="00EA44CB"/>
    <w:rsid w:val="00EA491E"/>
    <w:rsid w:val="00EA59DF"/>
    <w:rsid w:val="00EA7880"/>
    <w:rsid w:val="00EA7929"/>
    <w:rsid w:val="00EA7E96"/>
    <w:rsid w:val="00EB1645"/>
    <w:rsid w:val="00EB1B5B"/>
    <w:rsid w:val="00EB1DC9"/>
    <w:rsid w:val="00EB2EEB"/>
    <w:rsid w:val="00EB31AE"/>
    <w:rsid w:val="00EC4A01"/>
    <w:rsid w:val="00EC4C73"/>
    <w:rsid w:val="00EC5A3F"/>
    <w:rsid w:val="00ED2DCC"/>
    <w:rsid w:val="00ED5F44"/>
    <w:rsid w:val="00ED6772"/>
    <w:rsid w:val="00ED6978"/>
    <w:rsid w:val="00ED7DF6"/>
    <w:rsid w:val="00EE013B"/>
    <w:rsid w:val="00EE0FCC"/>
    <w:rsid w:val="00EE1FE5"/>
    <w:rsid w:val="00EE6E9A"/>
    <w:rsid w:val="00EE7205"/>
    <w:rsid w:val="00EE7593"/>
    <w:rsid w:val="00EF18E2"/>
    <w:rsid w:val="00EF2EE5"/>
    <w:rsid w:val="00EF57C4"/>
    <w:rsid w:val="00EF7F80"/>
    <w:rsid w:val="00F01FCC"/>
    <w:rsid w:val="00F02CDA"/>
    <w:rsid w:val="00F03E08"/>
    <w:rsid w:val="00F058A5"/>
    <w:rsid w:val="00F0646A"/>
    <w:rsid w:val="00F065EB"/>
    <w:rsid w:val="00F07802"/>
    <w:rsid w:val="00F12C47"/>
    <w:rsid w:val="00F1404B"/>
    <w:rsid w:val="00F14520"/>
    <w:rsid w:val="00F14837"/>
    <w:rsid w:val="00F14930"/>
    <w:rsid w:val="00F15397"/>
    <w:rsid w:val="00F169A8"/>
    <w:rsid w:val="00F22C04"/>
    <w:rsid w:val="00F22C98"/>
    <w:rsid w:val="00F2431D"/>
    <w:rsid w:val="00F2492D"/>
    <w:rsid w:val="00F24A1A"/>
    <w:rsid w:val="00F25EB6"/>
    <w:rsid w:val="00F30101"/>
    <w:rsid w:val="00F302E1"/>
    <w:rsid w:val="00F3169C"/>
    <w:rsid w:val="00F32AC4"/>
    <w:rsid w:val="00F334C4"/>
    <w:rsid w:val="00F345B6"/>
    <w:rsid w:val="00F3587D"/>
    <w:rsid w:val="00F35A17"/>
    <w:rsid w:val="00F412F8"/>
    <w:rsid w:val="00F41502"/>
    <w:rsid w:val="00F434D4"/>
    <w:rsid w:val="00F4423A"/>
    <w:rsid w:val="00F45334"/>
    <w:rsid w:val="00F461CA"/>
    <w:rsid w:val="00F469AF"/>
    <w:rsid w:val="00F5095F"/>
    <w:rsid w:val="00F50B2A"/>
    <w:rsid w:val="00F50B33"/>
    <w:rsid w:val="00F52538"/>
    <w:rsid w:val="00F543B5"/>
    <w:rsid w:val="00F55389"/>
    <w:rsid w:val="00F56A4D"/>
    <w:rsid w:val="00F571CF"/>
    <w:rsid w:val="00F602FD"/>
    <w:rsid w:val="00F61390"/>
    <w:rsid w:val="00F61B83"/>
    <w:rsid w:val="00F62065"/>
    <w:rsid w:val="00F6265F"/>
    <w:rsid w:val="00F64A89"/>
    <w:rsid w:val="00F658DA"/>
    <w:rsid w:val="00F668A4"/>
    <w:rsid w:val="00F676AD"/>
    <w:rsid w:val="00F71CD5"/>
    <w:rsid w:val="00F71D1C"/>
    <w:rsid w:val="00F72D2A"/>
    <w:rsid w:val="00F730A9"/>
    <w:rsid w:val="00F74666"/>
    <w:rsid w:val="00F74D5A"/>
    <w:rsid w:val="00F7505C"/>
    <w:rsid w:val="00F75B67"/>
    <w:rsid w:val="00F7728D"/>
    <w:rsid w:val="00F7778A"/>
    <w:rsid w:val="00F77F03"/>
    <w:rsid w:val="00F83073"/>
    <w:rsid w:val="00F83D4C"/>
    <w:rsid w:val="00F83EA0"/>
    <w:rsid w:val="00F842F3"/>
    <w:rsid w:val="00F847CA"/>
    <w:rsid w:val="00F9143B"/>
    <w:rsid w:val="00F93E84"/>
    <w:rsid w:val="00F95F0D"/>
    <w:rsid w:val="00F9630A"/>
    <w:rsid w:val="00FA00EB"/>
    <w:rsid w:val="00FA1AB0"/>
    <w:rsid w:val="00FA1DFD"/>
    <w:rsid w:val="00FA4E00"/>
    <w:rsid w:val="00FA4FC5"/>
    <w:rsid w:val="00FA5842"/>
    <w:rsid w:val="00FA7B54"/>
    <w:rsid w:val="00FB1F36"/>
    <w:rsid w:val="00FB3A58"/>
    <w:rsid w:val="00FB4AD9"/>
    <w:rsid w:val="00FB4C8E"/>
    <w:rsid w:val="00FB6B6A"/>
    <w:rsid w:val="00FB6CFC"/>
    <w:rsid w:val="00FB7FED"/>
    <w:rsid w:val="00FC0CC2"/>
    <w:rsid w:val="00FC2760"/>
    <w:rsid w:val="00FC3A3A"/>
    <w:rsid w:val="00FC4B28"/>
    <w:rsid w:val="00FC567F"/>
    <w:rsid w:val="00FC6712"/>
    <w:rsid w:val="00FC6909"/>
    <w:rsid w:val="00FD002D"/>
    <w:rsid w:val="00FD2979"/>
    <w:rsid w:val="00FD2F0D"/>
    <w:rsid w:val="00FD31E3"/>
    <w:rsid w:val="00FD4FB0"/>
    <w:rsid w:val="00FD79F3"/>
    <w:rsid w:val="00FE1323"/>
    <w:rsid w:val="00FE1F12"/>
    <w:rsid w:val="00FE3CF8"/>
    <w:rsid w:val="00FE5B90"/>
    <w:rsid w:val="00FE75EF"/>
    <w:rsid w:val="00FE7ED0"/>
    <w:rsid w:val="00FF153C"/>
    <w:rsid w:val="00FF1777"/>
    <w:rsid w:val="00FF1D62"/>
    <w:rsid w:val="00FF33F4"/>
    <w:rsid w:val="00FF6B19"/>
    <w:rsid w:val="044F4E1E"/>
    <w:rsid w:val="0BC364FB"/>
    <w:rsid w:val="0E3C2B9F"/>
    <w:rsid w:val="0F26736C"/>
    <w:rsid w:val="226D0C25"/>
    <w:rsid w:val="2622057E"/>
    <w:rsid w:val="30802422"/>
    <w:rsid w:val="327D75B8"/>
    <w:rsid w:val="32DE0E0C"/>
    <w:rsid w:val="34627CFD"/>
    <w:rsid w:val="35C25045"/>
    <w:rsid w:val="386E104C"/>
    <w:rsid w:val="3A620DD9"/>
    <w:rsid w:val="3C04373C"/>
    <w:rsid w:val="3FF94248"/>
    <w:rsid w:val="40F01597"/>
    <w:rsid w:val="45AC03A0"/>
    <w:rsid w:val="48523354"/>
    <w:rsid w:val="4B1864C4"/>
    <w:rsid w:val="52E6303D"/>
    <w:rsid w:val="55540A0D"/>
    <w:rsid w:val="63A97FA3"/>
    <w:rsid w:val="76091A58"/>
    <w:rsid w:val="7624231E"/>
    <w:rsid w:val="7A4A5B9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39" w:semiHidden="0" w:name="toc 2"/>
    <w:lsdException w:uiPriority="0" w:name="toc 3"/>
    <w:lsdException w:uiPriority="0" w:name="toc 4"/>
    <w:lsdException w:uiPriority="0" w:name="toc 5"/>
    <w:lsdException w:uiPriority="0" w:name="toc 6"/>
    <w:lsdException w:qFormat="1" w:unhideWhenUsed="0" w:uiPriority="0" w:semiHidden="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semiHidden="0" w:name="Document Map"/>
    <w:lsdException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semiHidden="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tabs>
        <w:tab w:val="left" w:pos="780"/>
      </w:tabs>
      <w:ind w:left="780" w:hanging="360"/>
      <w:outlineLvl w:val="0"/>
    </w:pPr>
    <w:rPr>
      <w:rFonts w:ascii="宋体"/>
      <w:b/>
      <w:sz w:val="24"/>
    </w:rPr>
  </w:style>
  <w:style w:type="paragraph" w:styleId="3">
    <w:name w:val="heading 2"/>
    <w:basedOn w:val="1"/>
    <w:next w:val="1"/>
    <w:link w:val="32"/>
    <w:qFormat/>
    <w:uiPriority w:val="0"/>
    <w:pPr>
      <w:keepNext/>
      <w:keepLines/>
      <w:spacing w:before="260" w:after="260" w:line="416" w:lineRule="auto"/>
      <w:outlineLvl w:val="1"/>
    </w:pPr>
    <w:rPr>
      <w:rFonts w:ascii="Cambria" w:hAnsi="Cambria"/>
      <w:b/>
      <w:bCs/>
      <w:sz w:val="32"/>
      <w:szCs w:val="32"/>
    </w:rPr>
  </w:style>
  <w:style w:type="paragraph" w:styleId="4">
    <w:name w:val="heading 4"/>
    <w:basedOn w:val="1"/>
    <w:next w:val="1"/>
    <w:link w:val="33"/>
    <w:semiHidden/>
    <w:unhideWhenUsed/>
    <w:qFormat/>
    <w:uiPriority w:val="0"/>
    <w:pPr>
      <w:keepNext/>
      <w:keepLines/>
      <w:spacing w:before="280" w:after="290" w:line="376" w:lineRule="auto"/>
      <w:outlineLvl w:val="3"/>
    </w:pPr>
    <w:rPr>
      <w:rFonts w:ascii="Cambria" w:hAnsi="Cambria"/>
      <w:b/>
      <w:bCs/>
      <w:sz w:val="28"/>
      <w:szCs w:val="28"/>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5">
    <w:name w:val="toc 7"/>
    <w:basedOn w:val="1"/>
    <w:next w:val="1"/>
    <w:qFormat/>
    <w:uiPriority w:val="0"/>
    <w:pPr>
      <w:ind w:left="1260"/>
      <w:jc w:val="left"/>
    </w:pPr>
    <w:rPr>
      <w:sz w:val="18"/>
      <w:szCs w:val="18"/>
    </w:rPr>
  </w:style>
  <w:style w:type="paragraph" w:styleId="6">
    <w:name w:val="caption"/>
    <w:basedOn w:val="1"/>
    <w:next w:val="1"/>
    <w:unhideWhenUsed/>
    <w:qFormat/>
    <w:uiPriority w:val="35"/>
    <w:pPr>
      <w:snapToGrid w:val="0"/>
      <w:spacing w:afterLines="50" w:line="360" w:lineRule="auto"/>
      <w:ind w:firstLine="560" w:firstLineChars="200"/>
    </w:pPr>
    <w:rPr>
      <w:rFonts w:ascii="Cambria" w:hAnsi="Cambria" w:eastAsia="黑体"/>
      <w:sz w:val="20"/>
    </w:rPr>
  </w:style>
  <w:style w:type="paragraph" w:styleId="7">
    <w:name w:val="Document Map"/>
    <w:basedOn w:val="1"/>
    <w:link w:val="53"/>
    <w:unhideWhenUsed/>
    <w:uiPriority w:val="99"/>
    <w:rPr>
      <w:rFonts w:ascii="宋体"/>
      <w:sz w:val="18"/>
      <w:szCs w:val="18"/>
    </w:rPr>
  </w:style>
  <w:style w:type="paragraph" w:styleId="8">
    <w:name w:val="annotation text"/>
    <w:basedOn w:val="1"/>
    <w:link w:val="45"/>
    <w:uiPriority w:val="0"/>
    <w:pPr>
      <w:jc w:val="left"/>
    </w:pPr>
  </w:style>
  <w:style w:type="paragraph" w:styleId="9">
    <w:name w:val="Body Text 3"/>
    <w:basedOn w:val="1"/>
    <w:uiPriority w:val="0"/>
    <w:pPr>
      <w:tabs>
        <w:tab w:val="left" w:pos="360"/>
        <w:tab w:val="left" w:pos="540"/>
      </w:tabs>
      <w:spacing w:line="480" w:lineRule="auto"/>
    </w:pPr>
    <w:rPr>
      <w:b/>
      <w:sz w:val="24"/>
    </w:rPr>
  </w:style>
  <w:style w:type="paragraph" w:styleId="10">
    <w:name w:val="Body Text"/>
    <w:basedOn w:val="1"/>
    <w:link w:val="39"/>
    <w:uiPriority w:val="0"/>
    <w:pPr>
      <w:spacing w:line="420" w:lineRule="auto"/>
    </w:pPr>
    <w:rPr>
      <w:sz w:val="24"/>
    </w:rPr>
  </w:style>
  <w:style w:type="paragraph" w:styleId="11">
    <w:name w:val="Body Text Indent"/>
    <w:basedOn w:val="1"/>
    <w:link w:val="38"/>
    <w:uiPriority w:val="0"/>
    <w:pPr>
      <w:spacing w:line="520" w:lineRule="atLeast"/>
      <w:ind w:firstLine="420"/>
    </w:pPr>
  </w:style>
  <w:style w:type="paragraph" w:styleId="12">
    <w:name w:val="Plain Text"/>
    <w:basedOn w:val="1"/>
    <w:uiPriority w:val="0"/>
    <w:rPr>
      <w:rFonts w:ascii="宋体" w:hAnsi="Courier New" w:cs="Courier New"/>
      <w:szCs w:val="21"/>
    </w:rPr>
  </w:style>
  <w:style w:type="paragraph" w:styleId="13">
    <w:name w:val="Date"/>
    <w:basedOn w:val="1"/>
    <w:next w:val="1"/>
    <w:link w:val="60"/>
    <w:uiPriority w:val="0"/>
    <w:pPr>
      <w:ind w:left="100" w:leftChars="2500"/>
    </w:pPr>
  </w:style>
  <w:style w:type="paragraph" w:styleId="14">
    <w:name w:val="Body Text Indent 2"/>
    <w:basedOn w:val="1"/>
    <w:uiPriority w:val="0"/>
    <w:pPr>
      <w:spacing w:line="420" w:lineRule="auto"/>
      <w:ind w:firstLine="720" w:firstLineChars="300"/>
    </w:pPr>
    <w:rPr>
      <w:bCs/>
      <w:sz w:val="24"/>
    </w:rPr>
  </w:style>
  <w:style w:type="paragraph" w:styleId="15">
    <w:name w:val="Balloon Text"/>
    <w:basedOn w:val="1"/>
    <w:link w:val="47"/>
    <w:uiPriority w:val="0"/>
    <w:rPr>
      <w:sz w:val="18"/>
      <w:szCs w:val="18"/>
    </w:rPr>
  </w:style>
  <w:style w:type="paragraph" w:styleId="16">
    <w:name w:val="footer"/>
    <w:basedOn w:val="1"/>
    <w:link w:val="37"/>
    <w:uiPriority w:val="99"/>
    <w:pPr>
      <w:tabs>
        <w:tab w:val="center" w:pos="4153"/>
        <w:tab w:val="right" w:pos="8306"/>
      </w:tabs>
      <w:snapToGrid w:val="0"/>
      <w:jc w:val="left"/>
    </w:pPr>
    <w:rPr>
      <w:sz w:val="18"/>
    </w:rPr>
  </w:style>
  <w:style w:type="paragraph" w:styleId="17">
    <w:name w:val="header"/>
    <w:basedOn w:val="1"/>
    <w:link w:val="40"/>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uiPriority w:val="39"/>
  </w:style>
  <w:style w:type="paragraph" w:styleId="19">
    <w:name w:val="Body Text Indent 3"/>
    <w:basedOn w:val="1"/>
    <w:link w:val="36"/>
    <w:uiPriority w:val="0"/>
    <w:pPr>
      <w:spacing w:line="520" w:lineRule="atLeast"/>
      <w:ind w:firstLine="480"/>
    </w:pPr>
    <w:rPr>
      <w:rFonts w:ascii="宋体"/>
      <w:sz w:val="24"/>
    </w:rPr>
  </w:style>
  <w:style w:type="paragraph" w:styleId="20">
    <w:name w:val="toc 2"/>
    <w:basedOn w:val="1"/>
    <w:next w:val="1"/>
    <w:uiPriority w:val="39"/>
    <w:pPr>
      <w:ind w:left="420" w:leftChars="200"/>
    </w:pPr>
  </w:style>
  <w:style w:type="paragraph" w:styleId="21">
    <w:name w:val="Body Text 2"/>
    <w:basedOn w:val="1"/>
    <w:uiPriority w:val="0"/>
    <w:pPr>
      <w:widowControl/>
      <w:jc w:val="center"/>
    </w:pPr>
    <w:rPr>
      <w:b/>
      <w:sz w:val="24"/>
    </w:rPr>
  </w:style>
  <w:style w:type="paragraph" w:styleId="22">
    <w:name w:val="HTML Preformatted"/>
    <w:basedOn w:val="1"/>
    <w:link w:val="5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styleId="24">
    <w:name w:val="annotation subject"/>
    <w:basedOn w:val="8"/>
    <w:next w:val="8"/>
    <w:link w:val="46"/>
    <w:uiPriority w:val="0"/>
    <w:rPr>
      <w:b/>
      <w:bCs/>
    </w:rPr>
  </w:style>
  <w:style w:type="table" w:styleId="26">
    <w:name w:val="Table Grid"/>
    <w:basedOn w:val="2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page number"/>
    <w:basedOn w:val="27"/>
    <w:uiPriority w:val="0"/>
  </w:style>
  <w:style w:type="character" w:styleId="29">
    <w:name w:val="FollowedHyperlink"/>
    <w:qFormat/>
    <w:uiPriority w:val="0"/>
    <w:rPr>
      <w:color w:val="800080"/>
      <w:u w:val="single"/>
    </w:rPr>
  </w:style>
  <w:style w:type="character" w:styleId="30">
    <w:name w:val="Hyperlink"/>
    <w:uiPriority w:val="99"/>
    <w:rPr>
      <w:color w:val="02144A"/>
      <w:u w:val="none"/>
    </w:rPr>
  </w:style>
  <w:style w:type="character" w:styleId="31">
    <w:name w:val="annotation reference"/>
    <w:uiPriority w:val="0"/>
    <w:rPr>
      <w:sz w:val="21"/>
      <w:szCs w:val="21"/>
    </w:rPr>
  </w:style>
  <w:style w:type="character" w:customStyle="1" w:styleId="32">
    <w:name w:val="标题 2 Char"/>
    <w:link w:val="3"/>
    <w:uiPriority w:val="0"/>
    <w:rPr>
      <w:rFonts w:ascii="Cambria" w:hAnsi="Cambria" w:eastAsia="宋体" w:cs="Times New Roman"/>
      <w:b/>
      <w:bCs/>
      <w:kern w:val="2"/>
      <w:sz w:val="32"/>
      <w:szCs w:val="32"/>
    </w:rPr>
  </w:style>
  <w:style w:type="character" w:customStyle="1" w:styleId="33">
    <w:name w:val="标题 4 Char"/>
    <w:link w:val="4"/>
    <w:semiHidden/>
    <w:uiPriority w:val="0"/>
    <w:rPr>
      <w:rFonts w:ascii="Cambria" w:hAnsi="Cambria" w:eastAsia="宋体" w:cs="Times New Roman"/>
      <w:b/>
      <w:bCs/>
      <w:kern w:val="2"/>
      <w:sz w:val="28"/>
      <w:szCs w:val="28"/>
    </w:rPr>
  </w:style>
  <w:style w:type="character" w:customStyle="1" w:styleId="34">
    <w:name w:val="小标题 Char"/>
    <w:link w:val="35"/>
    <w:uiPriority w:val="0"/>
    <w:rPr>
      <w:rFonts w:eastAsia="微软雅黑"/>
      <w:kern w:val="2"/>
      <w:sz w:val="28"/>
      <w:szCs w:val="28"/>
    </w:rPr>
  </w:style>
  <w:style w:type="paragraph" w:customStyle="1" w:styleId="35">
    <w:name w:val="小标题"/>
    <w:basedOn w:val="1"/>
    <w:next w:val="1"/>
    <w:link w:val="34"/>
    <w:qFormat/>
    <w:uiPriority w:val="0"/>
    <w:pPr>
      <w:keepNext/>
      <w:snapToGrid w:val="0"/>
      <w:spacing w:afterLines="50" w:line="360" w:lineRule="auto"/>
      <w:ind w:firstLine="560" w:firstLineChars="200"/>
      <w:outlineLvl w:val="2"/>
    </w:pPr>
    <w:rPr>
      <w:rFonts w:eastAsia="微软雅黑"/>
      <w:sz w:val="28"/>
      <w:szCs w:val="28"/>
    </w:rPr>
  </w:style>
  <w:style w:type="character" w:customStyle="1" w:styleId="36">
    <w:name w:val="正文文本缩进 3 Char"/>
    <w:link w:val="19"/>
    <w:uiPriority w:val="0"/>
    <w:rPr>
      <w:rFonts w:ascii="宋体"/>
      <w:kern w:val="2"/>
      <w:sz w:val="24"/>
    </w:rPr>
  </w:style>
  <w:style w:type="character" w:customStyle="1" w:styleId="37">
    <w:name w:val="页脚 Char"/>
    <w:link w:val="16"/>
    <w:uiPriority w:val="99"/>
    <w:rPr>
      <w:kern w:val="2"/>
      <w:sz w:val="18"/>
    </w:rPr>
  </w:style>
  <w:style w:type="character" w:customStyle="1" w:styleId="38">
    <w:name w:val="正文文本缩进 Char"/>
    <w:link w:val="11"/>
    <w:uiPriority w:val="0"/>
    <w:rPr>
      <w:kern w:val="2"/>
      <w:sz w:val="21"/>
    </w:rPr>
  </w:style>
  <w:style w:type="character" w:customStyle="1" w:styleId="39">
    <w:name w:val="正文文本 Char"/>
    <w:link w:val="10"/>
    <w:uiPriority w:val="0"/>
    <w:rPr>
      <w:kern w:val="2"/>
      <w:sz w:val="24"/>
    </w:rPr>
  </w:style>
  <w:style w:type="character" w:customStyle="1" w:styleId="40">
    <w:name w:val="页眉 Char"/>
    <w:link w:val="17"/>
    <w:uiPriority w:val="99"/>
    <w:rPr>
      <w:kern w:val="2"/>
      <w:sz w:val="18"/>
    </w:rPr>
  </w:style>
  <w:style w:type="paragraph" w:customStyle="1" w:styleId="41">
    <w:name w:val="模版-正文空两格"/>
    <w:basedOn w:val="1"/>
    <w:qFormat/>
    <w:uiPriority w:val="0"/>
    <w:pPr>
      <w:widowControl/>
      <w:adjustRightInd w:val="0"/>
      <w:snapToGrid w:val="0"/>
      <w:spacing w:line="300" w:lineRule="exact"/>
    </w:pPr>
    <w:rPr>
      <w:rFonts w:hAnsi="仿宋" w:eastAsia="仿宋"/>
      <w:color w:val="000000"/>
      <w:szCs w:val="21"/>
    </w:rPr>
  </w:style>
  <w:style w:type="paragraph" w:customStyle="1" w:styleId="42">
    <w:name w:val="TOC Heading"/>
    <w:basedOn w:val="2"/>
    <w:next w:val="1"/>
    <w:qFormat/>
    <w:uiPriority w:val="39"/>
    <w:pPr>
      <w:keepLines/>
      <w:widowControl/>
      <w:spacing w:before="480" w:line="276" w:lineRule="auto"/>
      <w:ind w:left="0" w:firstLine="0"/>
      <w:jc w:val="left"/>
      <w:outlineLvl w:val="9"/>
    </w:pPr>
    <w:rPr>
      <w:rFonts w:ascii="Cambria" w:hAnsi="Cambria"/>
      <w:bCs/>
      <w:color w:val="365F91"/>
      <w:kern w:val="0"/>
      <w:sz w:val="28"/>
      <w:szCs w:val="28"/>
    </w:rPr>
  </w:style>
  <w:style w:type="paragraph" w:customStyle="1" w:styleId="43">
    <w:name w:val="模版-二级标题"/>
    <w:qFormat/>
    <w:uiPriority w:val="0"/>
    <w:pPr>
      <w:spacing w:line="300" w:lineRule="exact"/>
      <w:outlineLvl w:val="1"/>
    </w:pPr>
    <w:rPr>
      <w:rFonts w:ascii="Times New Roman" w:hAnsi="Times New Roman" w:eastAsia="仿宋_GB2312" w:cs="Times New Roman"/>
      <w:b/>
      <w:bCs/>
      <w:color w:val="000000"/>
      <w:kern w:val="2"/>
      <w:sz w:val="24"/>
      <w:szCs w:val="21"/>
      <w:lang w:val="en-US" w:eastAsia="zh-CN" w:bidi="ar-SA"/>
    </w:rPr>
  </w:style>
  <w:style w:type="paragraph" w:customStyle="1" w:styleId="44">
    <w:name w:val="Char"/>
    <w:basedOn w:val="1"/>
    <w:uiPriority w:val="0"/>
    <w:pPr>
      <w:snapToGrid w:val="0"/>
      <w:spacing w:line="360" w:lineRule="auto"/>
      <w:ind w:firstLine="200" w:firstLineChars="200"/>
    </w:pPr>
  </w:style>
  <w:style w:type="character" w:customStyle="1" w:styleId="45">
    <w:name w:val="批注文字 Char"/>
    <w:link w:val="8"/>
    <w:uiPriority w:val="0"/>
    <w:rPr>
      <w:kern w:val="2"/>
      <w:sz w:val="21"/>
    </w:rPr>
  </w:style>
  <w:style w:type="character" w:customStyle="1" w:styleId="46">
    <w:name w:val="批注主题 Char"/>
    <w:link w:val="24"/>
    <w:uiPriority w:val="0"/>
    <w:rPr>
      <w:b/>
      <w:bCs/>
      <w:kern w:val="2"/>
      <w:sz w:val="21"/>
    </w:rPr>
  </w:style>
  <w:style w:type="character" w:customStyle="1" w:styleId="47">
    <w:name w:val="批注框文本 Char"/>
    <w:link w:val="15"/>
    <w:uiPriority w:val="0"/>
    <w:rPr>
      <w:kern w:val="2"/>
      <w:sz w:val="18"/>
      <w:szCs w:val="18"/>
    </w:rPr>
  </w:style>
  <w:style w:type="paragraph" w:customStyle="1" w:styleId="48">
    <w:name w:val="模版-正文居中"/>
    <w:basedOn w:val="1"/>
    <w:qFormat/>
    <w:uiPriority w:val="0"/>
    <w:pPr>
      <w:widowControl/>
      <w:adjustRightInd w:val="0"/>
      <w:snapToGrid w:val="0"/>
      <w:spacing w:line="300" w:lineRule="exact"/>
      <w:jc w:val="center"/>
    </w:pPr>
    <w:rPr>
      <w:rFonts w:eastAsia="华文细黑"/>
      <w:sz w:val="18"/>
      <w:szCs w:val="22"/>
    </w:rPr>
  </w:style>
  <w:style w:type="paragraph" w:styleId="49">
    <w:name w:val="List Paragraph"/>
    <w:basedOn w:val="1"/>
    <w:qFormat/>
    <w:uiPriority w:val="34"/>
    <w:pPr>
      <w:ind w:firstLine="420" w:firstLineChars="200"/>
    </w:pPr>
    <w:rPr>
      <w:szCs w:val="24"/>
    </w:rPr>
  </w:style>
  <w:style w:type="paragraph" w:customStyle="1" w:styleId="50">
    <w:name w:val="样式7"/>
    <w:basedOn w:val="1"/>
    <w:uiPriority w:val="0"/>
    <w:pPr>
      <w:spacing w:line="360" w:lineRule="auto"/>
      <w:ind w:firstLine="567"/>
    </w:pPr>
    <w:rPr>
      <w:rFonts w:ascii="仿宋_GB2312" w:eastAsia="仿宋_GB2312"/>
      <w:sz w:val="28"/>
    </w:rPr>
  </w:style>
  <w:style w:type="character" w:customStyle="1" w:styleId="51">
    <w:name w:val="HTML 预设格式 Char"/>
    <w:link w:val="22"/>
    <w:uiPriority w:val="99"/>
    <w:rPr>
      <w:rFonts w:ascii="宋体" w:hAnsi="宋体"/>
      <w:sz w:val="24"/>
      <w:szCs w:val="24"/>
    </w:rPr>
  </w:style>
  <w:style w:type="character" w:customStyle="1" w:styleId="52">
    <w:name w:val="apple-converted-space"/>
    <w:uiPriority w:val="0"/>
  </w:style>
  <w:style w:type="character" w:customStyle="1" w:styleId="53">
    <w:name w:val="文档结构图 Char"/>
    <w:link w:val="7"/>
    <w:uiPriority w:val="99"/>
    <w:rPr>
      <w:rFonts w:ascii="宋体"/>
      <w:kern w:val="2"/>
      <w:sz w:val="18"/>
      <w:szCs w:val="18"/>
    </w:rPr>
  </w:style>
  <w:style w:type="paragraph" w:customStyle="1" w:styleId="54">
    <w:name w:val="_Style 12"/>
    <w:basedOn w:val="1"/>
    <w:uiPriority w:val="0"/>
    <w:pPr>
      <w:snapToGrid w:val="0"/>
      <w:spacing w:line="360" w:lineRule="auto"/>
      <w:ind w:firstLine="200" w:firstLineChars="200"/>
    </w:pPr>
    <w:rPr>
      <w:szCs w:val="24"/>
    </w:rPr>
  </w:style>
  <w:style w:type="character" w:customStyle="1" w:styleId="55">
    <w:name w:val="font01"/>
    <w:uiPriority w:val="0"/>
    <w:rPr>
      <w:rFonts w:hint="default" w:ascii="Times New Roman" w:hAnsi="Times New Roman" w:cs="Times New Roman"/>
      <w:color w:val="000000"/>
      <w:sz w:val="20"/>
      <w:szCs w:val="20"/>
      <w:u w:val="none"/>
      <w:vertAlign w:val="superscript"/>
    </w:rPr>
  </w:style>
  <w:style w:type="character" w:customStyle="1" w:styleId="56">
    <w:name w:val="font21"/>
    <w:uiPriority w:val="0"/>
    <w:rPr>
      <w:rFonts w:hint="default" w:ascii="仿宋_GB2312" w:eastAsia="仿宋_GB2312" w:cs="仿宋_GB2312"/>
      <w:color w:val="000000"/>
      <w:sz w:val="20"/>
      <w:szCs w:val="20"/>
      <w:u w:val="none"/>
    </w:rPr>
  </w:style>
  <w:style w:type="character" w:customStyle="1" w:styleId="57">
    <w:name w:val="font11"/>
    <w:uiPriority w:val="0"/>
    <w:rPr>
      <w:rFonts w:hint="default" w:ascii="Times New Roman" w:hAnsi="Times New Roman" w:cs="Times New Roman"/>
      <w:color w:val="000000"/>
      <w:sz w:val="20"/>
      <w:szCs w:val="20"/>
      <w:u w:val="none"/>
    </w:rPr>
  </w:style>
  <w:style w:type="character" w:customStyle="1" w:styleId="58">
    <w:name w:val="font31"/>
    <w:uiPriority w:val="0"/>
    <w:rPr>
      <w:rFonts w:hint="default" w:ascii="仿宋_GB2312" w:eastAsia="仿宋_GB2312" w:cs="仿宋_GB2312"/>
      <w:color w:val="000000"/>
      <w:sz w:val="20"/>
      <w:szCs w:val="20"/>
      <w:u w:val="none"/>
    </w:rPr>
  </w:style>
  <w:style w:type="character" w:customStyle="1" w:styleId="59">
    <w:name w:val="font61"/>
    <w:uiPriority w:val="0"/>
    <w:rPr>
      <w:rFonts w:hint="default" w:ascii="Times New Roman" w:hAnsi="Times New Roman" w:cs="Times New Roman"/>
      <w:color w:val="000000"/>
      <w:sz w:val="20"/>
      <w:szCs w:val="20"/>
      <w:u w:val="none"/>
    </w:rPr>
  </w:style>
  <w:style w:type="character" w:customStyle="1" w:styleId="60">
    <w:name w:val="日期 Char"/>
    <w:basedOn w:val="27"/>
    <w:link w:val="13"/>
    <w:uiPriority w:val="0"/>
    <w:rPr>
      <w:kern w:val="2"/>
      <w:sz w:val="21"/>
    </w:rPr>
  </w:style>
  <w:style w:type="paragraph" w:customStyle="1" w:styleId="61">
    <w:name w:val="Char1"/>
    <w:basedOn w:val="1"/>
    <w:uiPriority w:val="0"/>
    <w:pPr>
      <w:snapToGrid w:val="0"/>
      <w:spacing w:line="360" w:lineRule="auto"/>
      <w:ind w:firstLine="200" w:firstLineChars="200"/>
    </w:pPr>
  </w:style>
  <w:style w:type="character" w:customStyle="1" w:styleId="62">
    <w:name w:val="bjh-strong"/>
    <w:basedOn w:val="27"/>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2" Type="http://schemas.openxmlformats.org/officeDocument/2006/relationships/fontTable" Target="fontTable.xml"/><Relationship Id="rId41" Type="http://schemas.openxmlformats.org/officeDocument/2006/relationships/customXml" Target="../customXml/item2.xml"/><Relationship Id="rId40" Type="http://schemas.openxmlformats.org/officeDocument/2006/relationships/numbering" Target="numbering.xml"/><Relationship Id="rId4" Type="http://schemas.openxmlformats.org/officeDocument/2006/relationships/header" Target="header1.xml"/><Relationship Id="rId39" Type="http://schemas.openxmlformats.org/officeDocument/2006/relationships/customXml" Target="../customXml/item1.xml"/><Relationship Id="rId38" Type="http://schemas.openxmlformats.org/officeDocument/2006/relationships/image" Target="media/image31.png"/><Relationship Id="rId37" Type="http://schemas.openxmlformats.org/officeDocument/2006/relationships/image" Target="media/image30.jpeg"/><Relationship Id="rId36" Type="http://schemas.openxmlformats.org/officeDocument/2006/relationships/image" Target="media/image29.jpeg"/><Relationship Id="rId35" Type="http://schemas.openxmlformats.org/officeDocument/2006/relationships/image" Target="media/image28.jpeg"/><Relationship Id="rId34" Type="http://schemas.openxmlformats.org/officeDocument/2006/relationships/image" Target="media/image27.jpeg"/><Relationship Id="rId33" Type="http://schemas.openxmlformats.org/officeDocument/2006/relationships/image" Target="media/image26.jpeg"/><Relationship Id="rId32" Type="http://schemas.openxmlformats.org/officeDocument/2006/relationships/image" Target="media/image25.jpeg"/><Relationship Id="rId31" Type="http://schemas.openxmlformats.org/officeDocument/2006/relationships/image" Target="media/image24.jpeg"/><Relationship Id="rId30" Type="http://schemas.openxmlformats.org/officeDocument/2006/relationships/image" Target="media/image23.jpeg"/><Relationship Id="rId3" Type="http://schemas.openxmlformats.org/officeDocument/2006/relationships/footer" Target="footer1.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8E4852-2FC6-4D13-BD3A-6F29396E7DE7}">
  <ds:schemaRefs/>
</ds:datastoreItem>
</file>

<file path=docProps/app.xml><?xml version="1.0" encoding="utf-8"?>
<Properties xmlns="http://schemas.openxmlformats.org/officeDocument/2006/extended-properties" xmlns:vt="http://schemas.openxmlformats.org/officeDocument/2006/docPropsVTypes">
  <Template>Normal.dotm</Template>
  <Company>开元评估</Company>
  <Pages>19</Pages>
  <Words>1268</Words>
  <Characters>7232</Characters>
  <Lines>60</Lines>
  <Paragraphs>16</Paragraphs>
  <TotalTime>1945</TotalTime>
  <ScaleCrop>false</ScaleCrop>
  <LinksUpToDate>false</LinksUpToDate>
  <CharactersWithSpaces>8484</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2019-10-30T09:38:00Z</dcterms:created>
  <dc:creator>j</dc:creator>
  <cp:lastModifiedBy>ws</cp:lastModifiedBy>
  <cp:lastPrinted>2020-04-02T07:37:00Z</cp:lastPrinted>
  <dcterms:modified xsi:type="dcterms:W3CDTF">2020-05-19T05:36:48Z</dcterms:modified>
  <dc:title>查 勘 表</dc:title>
  <cp:revision>581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