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szCs w:val="28"/>
        </w:rPr>
      </w:pPr>
      <w:r>
        <w:rPr>
          <w:rFonts w:hint="eastAsia" w:ascii="仿宋_GB2312" w:eastAsia="仿宋_GB2312"/>
          <w:b/>
          <w:bCs/>
          <w:sz w:val="28"/>
          <w:szCs w:val="28"/>
        </w:rPr>
        <w:t>河贵评（2020）</w:t>
      </w:r>
      <w:r>
        <w:rPr>
          <w:rFonts w:hint="eastAsia" w:ascii="仿宋_GB2312" w:eastAsia="仿宋_GB2312"/>
          <w:b/>
          <w:bCs/>
          <w:color w:val="000000" w:themeColor="text1"/>
          <w:sz w:val="28"/>
          <w:szCs w:val="28"/>
        </w:rPr>
        <w:t>1060</w:t>
      </w:r>
      <w:r>
        <w:rPr>
          <w:rFonts w:hint="eastAsia" w:ascii="仿宋_GB2312" w:eastAsia="仿宋_GB2312"/>
          <w:b/>
          <w:bCs/>
          <w:sz w:val="28"/>
          <w:szCs w:val="28"/>
        </w:rPr>
        <w:t>号</w:t>
      </w:r>
      <w:bookmarkStart w:id="0" w:name="_GoBack"/>
      <w:bookmarkEnd w:id="0"/>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河贵</w:t>
      </w:r>
      <w:r>
        <w:rPr>
          <w:rFonts w:hint="eastAsia" w:ascii="仿宋_GB2312" w:eastAsia="仿宋_GB2312"/>
          <w:bCs/>
          <w:sz w:val="32"/>
          <w:szCs w:val="32"/>
          <w:u w:val="single"/>
        </w:rPr>
        <w:t>评</w:t>
      </w:r>
      <w:r>
        <w:rPr>
          <w:rFonts w:hint="eastAsia" w:ascii="仿宋_GB2312" w:eastAsia="仿宋_GB2312"/>
          <w:sz w:val="32"/>
          <w:szCs w:val="32"/>
          <w:u w:val="single"/>
        </w:rPr>
        <w:t>（2020）</w:t>
      </w:r>
      <w:r>
        <w:rPr>
          <w:rFonts w:hint="eastAsia" w:ascii="仿宋_GB2312" w:eastAsia="仿宋_GB2312"/>
          <w:color w:val="000000" w:themeColor="text1"/>
          <w:sz w:val="32"/>
          <w:szCs w:val="32"/>
          <w:u w:val="single"/>
        </w:rPr>
        <w:t>1060</w:t>
      </w:r>
      <w:r>
        <w:rPr>
          <w:rFonts w:hint="eastAsia" w:ascii="仿宋_GB2312" w:eastAsia="仿宋_GB2312"/>
          <w:sz w:val="32"/>
          <w:szCs w:val="32"/>
          <w:u w:val="single"/>
        </w:rPr>
        <w:t xml:space="preserve">号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rPr>
        <w:t>滑县人民法院：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根据贵院的委托，我公司遵循合法、科学、客观、公正的原则，按照规定的标准、程序和方法，依法对关于</w:t>
      </w:r>
      <w:r>
        <w:rPr>
          <w:rFonts w:hint="eastAsia" w:ascii="宋体" w:hAnsi="宋体"/>
          <w:sz w:val="28"/>
          <w:szCs w:val="28"/>
          <w:lang w:eastAsia="zh-CN"/>
        </w:rPr>
        <w:t>武志民、董红彩、李彦申请执行秦乐义、王连连</w:t>
      </w:r>
      <w:r>
        <w:rPr>
          <w:rFonts w:hint="eastAsia" w:ascii="宋体" w:hAnsi="宋体"/>
          <w:color w:val="000000" w:themeColor="text1"/>
          <w:sz w:val="28"/>
          <w:szCs w:val="28"/>
        </w:rPr>
        <w:t>民间借贷纠纷一案的房产价格进行评估。现</w:t>
      </w:r>
      <w:r>
        <w:rPr>
          <w:rFonts w:hint="eastAsia" w:ascii="宋体" w:hAnsi="宋体"/>
          <w:sz w:val="28"/>
          <w:szCs w:val="28"/>
        </w:rPr>
        <w:t>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sz w:val="28"/>
          <w:szCs w:val="28"/>
        </w:rPr>
        <w:t>评估标的</w:t>
      </w:r>
      <w:r>
        <w:rPr>
          <w:rFonts w:hint="eastAsia" w:ascii="宋体" w:hAnsi="宋体"/>
          <w:color w:val="000000" w:themeColor="text1"/>
          <w:sz w:val="28"/>
          <w:szCs w:val="28"/>
        </w:rPr>
        <w:t>：华通世纪城A21幢1单元2层202号房产；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房产位置：滑县新区文明路南段东侧；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产权所有人：秦乐义；</w:t>
      </w:r>
    </w:p>
    <w:p>
      <w:pPr>
        <w:pStyle w:val="6"/>
        <w:spacing w:line="57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房产简介：该房产设计用途为住宅，属框架结构，层高为2.8M，房产建筑面积为</w:t>
      </w:r>
      <w:r>
        <w:rPr>
          <w:rFonts w:hint="eastAsia" w:ascii="宋体" w:hAnsi="宋体" w:cs="宋体"/>
          <w:color w:val="000000" w:themeColor="text1"/>
          <w:sz w:val="28"/>
          <w:szCs w:val="28"/>
        </w:rPr>
        <w:t>142.95平方米，朝向：南北，户型：三室两厅二卫，入室方式：电梯（一梯二户），</w:t>
      </w:r>
      <w:r>
        <w:rPr>
          <w:rFonts w:hint="eastAsia" w:ascii="宋体" w:hAnsi="宋体"/>
          <w:color w:val="000000" w:themeColor="text1"/>
          <w:sz w:val="28"/>
          <w:szCs w:val="28"/>
        </w:rPr>
        <w:t>建筑总层数为8层，地上7层，地下1层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2</w:t>
      </w:r>
      <w:r>
        <w:rPr>
          <w:rFonts w:hint="eastAsia" w:ascii="宋体" w:hAnsi="宋体" w:cs="宋体"/>
          <w:color w:val="000000" w:themeColor="text1"/>
          <w:sz w:val="28"/>
          <w:szCs w:val="28"/>
        </w:rPr>
        <w:t>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color w:val="000000" w:themeColor="text1"/>
          <w:sz w:val="28"/>
          <w:szCs w:val="28"/>
        </w:rPr>
      </w:pPr>
      <w:r>
        <w:rPr>
          <w:rFonts w:hint="eastAsia" w:ascii="宋体" w:hAnsi="宋体"/>
          <w:b/>
          <w:bCs/>
          <w:color w:val="000000" w:themeColor="text1"/>
          <w:sz w:val="28"/>
          <w:szCs w:val="28"/>
        </w:rPr>
        <w:t>价格评估目的</w:t>
      </w:r>
    </w:p>
    <w:p>
      <w:pPr>
        <w:pStyle w:val="6"/>
        <w:spacing w:line="570" w:lineRule="exact"/>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2020年4月</w:t>
      </w:r>
      <w:r>
        <w:rPr>
          <w:rFonts w:hint="eastAsia" w:ascii="宋体" w:hAnsi="宋体"/>
          <w:color w:val="000000" w:themeColor="text1"/>
          <w:sz w:val="28"/>
          <w:szCs w:val="28"/>
          <w:lang w:val="en-US" w:eastAsia="zh-CN"/>
        </w:rPr>
        <w:t>9</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sz w:val="28"/>
          <w:szCs w:val="28"/>
        </w:rPr>
      </w:pPr>
      <w:r>
        <w:rPr>
          <w:rFonts w:hint="eastAsia"/>
          <w:sz w:val="28"/>
          <w:szCs w:val="28"/>
        </w:rPr>
        <w:t>2、《国家计委价格认证管理办法》。</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pStyle w:val="6"/>
        <w:spacing w:line="570" w:lineRule="exact"/>
        <w:ind w:firstLine="560" w:firstLineChars="200"/>
        <w:rPr>
          <w:rFonts w:ascii="宋体" w:hAnsi="宋体"/>
          <w:color w:val="000000" w:themeColor="text1"/>
          <w:sz w:val="28"/>
          <w:szCs w:val="28"/>
        </w:rPr>
      </w:pPr>
      <w:r>
        <w:rPr>
          <w:rFonts w:hint="eastAsia" w:ascii="宋体" w:hAnsi="宋体" w:cs="宋体"/>
          <w:color w:val="000000" w:themeColor="text1"/>
          <w:sz w:val="28"/>
          <w:szCs w:val="28"/>
        </w:rPr>
        <w:t>评估标的为</w:t>
      </w:r>
      <w:r>
        <w:rPr>
          <w:rFonts w:hint="eastAsia" w:ascii="宋体" w:hAnsi="宋体"/>
          <w:color w:val="000000" w:themeColor="text1"/>
          <w:sz w:val="28"/>
          <w:szCs w:val="28"/>
        </w:rPr>
        <w:t>秦乐义名下</w:t>
      </w:r>
      <w:r>
        <w:rPr>
          <w:rFonts w:hint="eastAsia" w:ascii="宋体" w:hAnsi="宋体" w:cs="宋体"/>
          <w:color w:val="000000" w:themeColor="text1"/>
          <w:sz w:val="28"/>
          <w:szCs w:val="28"/>
        </w:rPr>
        <w:t>位于</w:t>
      </w:r>
      <w:r>
        <w:rPr>
          <w:rFonts w:hint="eastAsia" w:ascii="宋体" w:hAnsi="宋体"/>
          <w:color w:val="000000" w:themeColor="text1"/>
          <w:sz w:val="28"/>
          <w:szCs w:val="28"/>
        </w:rPr>
        <w:t>滑县新区文明路南段东侧华通世纪城A21幢1单元2层202号房产。该房产设计用途为住宅，属框架结构，层高为2.8M，房产建筑面积为</w:t>
      </w:r>
      <w:r>
        <w:rPr>
          <w:rFonts w:hint="eastAsia" w:ascii="宋体" w:hAnsi="宋体" w:cs="宋体"/>
          <w:color w:val="000000" w:themeColor="text1"/>
          <w:sz w:val="28"/>
          <w:szCs w:val="28"/>
        </w:rPr>
        <w:t>142.95平方米，朝向：南北，户型：三室两厅二卫，入室方式：电梯（一梯二户），</w:t>
      </w:r>
      <w:r>
        <w:rPr>
          <w:rFonts w:hint="eastAsia" w:ascii="宋体" w:hAnsi="宋体"/>
          <w:color w:val="000000" w:themeColor="text1"/>
          <w:sz w:val="28"/>
          <w:szCs w:val="28"/>
        </w:rPr>
        <w:t>建筑总层数为8层，地上7层，地下1层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2</w:t>
      </w:r>
      <w:r>
        <w:rPr>
          <w:rFonts w:hint="eastAsia" w:ascii="宋体" w:hAnsi="宋体" w:cs="宋体"/>
          <w:color w:val="000000" w:themeColor="text1"/>
          <w:sz w:val="28"/>
          <w:szCs w:val="28"/>
        </w:rPr>
        <w:t>层</w:t>
      </w:r>
      <w:r>
        <w:rPr>
          <w:rFonts w:hint="eastAsia" w:ascii="宋体" w:hAnsi="宋体"/>
          <w:color w:val="000000" w:themeColor="text1"/>
          <w:sz w:val="28"/>
          <w:szCs w:val="28"/>
        </w:rPr>
        <w:t>。</w:t>
      </w:r>
      <w:r>
        <w:rPr>
          <w:rFonts w:hint="eastAsia" w:ascii="宋体" w:hAnsi="宋体" w:cs="宋体"/>
          <w:color w:val="000000" w:themeColor="text1"/>
          <w:sz w:val="28"/>
          <w:szCs w:val="28"/>
        </w:rPr>
        <w:t>室内装修为：</w:t>
      </w:r>
      <w:r>
        <w:rPr>
          <w:rFonts w:hint="eastAsia" w:ascii="宋体" w:hAnsi="宋体" w:cs="宋体"/>
          <w:color w:val="000000" w:themeColor="text1"/>
          <w:sz w:val="28"/>
          <w:szCs w:val="28"/>
          <w:lang w:eastAsia="zh-CN"/>
        </w:rPr>
        <w:t>中等</w:t>
      </w:r>
      <w:r>
        <w:rPr>
          <w:rFonts w:hint="eastAsia" w:ascii="宋体" w:hAnsi="宋体" w:cs="宋体"/>
          <w:color w:val="000000" w:themeColor="text1"/>
          <w:sz w:val="28"/>
          <w:szCs w:val="28"/>
        </w:rPr>
        <w:t>装修。遵照我国相关法律、法规和制度，遵循估价原则，按照估价程序，采用合理的估价方法，在综合分析房地产价格因素的基础上，对该房</w:t>
      </w:r>
      <w:r>
        <w:rPr>
          <w:rFonts w:hint="eastAsia" w:ascii="宋体" w:hAnsi="宋体" w:cs="宋体"/>
          <w:sz w:val="28"/>
          <w:szCs w:val="28"/>
        </w:rPr>
        <w:t>产在估价时点（评估基准日）的客观合理价值进行了评定估算，最终确定委估房产在估价时点的客观合理价值</w:t>
      </w:r>
      <w:r>
        <w:rPr>
          <w:rFonts w:hint="eastAsia"/>
          <w:sz w:val="28"/>
          <w:szCs w:val="28"/>
        </w:rPr>
        <w:t>取整</w:t>
      </w:r>
      <w:r>
        <w:rPr>
          <w:rFonts w:hint="eastAsia" w:ascii="宋体" w:hAnsi="宋体" w:cs="宋体"/>
          <w:sz w:val="28"/>
          <w:szCs w:val="28"/>
        </w:rPr>
        <w:t>为</w:t>
      </w:r>
      <w:r>
        <w:rPr>
          <w:rFonts w:hint="eastAsia"/>
          <w:sz w:val="28"/>
          <w:szCs w:val="28"/>
        </w:rPr>
        <w:t>人民币</w:t>
      </w:r>
      <w:r>
        <w:rPr>
          <w:rFonts w:hint="eastAsia"/>
          <w:color w:val="000000" w:themeColor="text1"/>
          <w:sz w:val="28"/>
          <w:szCs w:val="28"/>
        </w:rPr>
        <w:t>：</w:t>
      </w:r>
      <w:r>
        <w:rPr>
          <w:rFonts w:hint="eastAsia"/>
          <w:color w:val="000000" w:themeColor="text1"/>
          <w:sz w:val="28"/>
          <w:szCs w:val="28"/>
          <w:lang w:eastAsia="zh-CN"/>
        </w:rPr>
        <w:t>柒拾伍万捌仟</w:t>
      </w:r>
      <w:r>
        <w:rPr>
          <w:rFonts w:hint="eastAsia"/>
          <w:color w:val="000000" w:themeColor="text1"/>
          <w:sz w:val="28"/>
          <w:szCs w:val="28"/>
        </w:rPr>
        <w:t>圆整（RMB：</w:t>
      </w:r>
      <w:r>
        <w:rPr>
          <w:rFonts w:hint="eastAsia"/>
          <w:color w:val="000000" w:themeColor="text1"/>
          <w:sz w:val="28"/>
          <w:szCs w:val="28"/>
          <w:lang w:val="en-US" w:eastAsia="zh-CN"/>
        </w:rPr>
        <w:t>758</w:t>
      </w:r>
      <w:r>
        <w:rPr>
          <w:rFonts w:hint="eastAsia"/>
          <w:color w:val="000000" w:themeColor="text1"/>
          <w:sz w:val="28"/>
          <w:szCs w:val="28"/>
        </w:rPr>
        <w:t>000.00元）。</w:t>
      </w:r>
    </w:p>
    <w:p>
      <w:pPr>
        <w:spacing w:line="570" w:lineRule="exact"/>
        <w:ind w:firstLine="562" w:firstLineChars="200"/>
        <w:rPr>
          <w:b/>
          <w:bCs/>
          <w:sz w:val="28"/>
          <w:szCs w:val="28"/>
        </w:rPr>
      </w:pPr>
      <w:r>
        <w:rPr>
          <w:rFonts w:hint="eastAsia"/>
          <w:b/>
          <w:bCs/>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柒拾伍万捌仟</w:t>
      </w:r>
      <w:r>
        <w:rPr>
          <w:rFonts w:hint="eastAsia"/>
          <w:color w:val="000000" w:themeColor="text1"/>
          <w:sz w:val="28"/>
          <w:szCs w:val="28"/>
        </w:rPr>
        <w:t>圆整（RMB：</w:t>
      </w:r>
      <w:r>
        <w:rPr>
          <w:rFonts w:hint="eastAsia"/>
          <w:color w:val="000000" w:themeColor="text1"/>
          <w:sz w:val="28"/>
          <w:szCs w:val="28"/>
          <w:lang w:val="en-US" w:eastAsia="zh-CN"/>
        </w:rPr>
        <w:t>758</w:t>
      </w:r>
      <w:r>
        <w:rPr>
          <w:rFonts w:hint="eastAsia"/>
          <w:color w:val="000000" w:themeColor="text1"/>
          <w:sz w:val="28"/>
          <w:szCs w:val="28"/>
        </w:rPr>
        <w:t>000.00元）；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陆拾捌万贰仟</w:t>
      </w:r>
      <w:r>
        <w:rPr>
          <w:rFonts w:hint="eastAsia"/>
          <w:color w:val="000000" w:themeColor="text1"/>
          <w:sz w:val="28"/>
          <w:szCs w:val="28"/>
        </w:rPr>
        <w:t>圆整（RMB：</w:t>
      </w:r>
      <w:r>
        <w:rPr>
          <w:rFonts w:hint="eastAsia"/>
          <w:color w:val="000000" w:themeColor="text1"/>
          <w:sz w:val="28"/>
          <w:szCs w:val="28"/>
          <w:lang w:val="en-US" w:eastAsia="zh-CN"/>
        </w:rPr>
        <w:t>682</w:t>
      </w:r>
      <w:r>
        <w:rPr>
          <w:rFonts w:hint="eastAsia"/>
          <w:color w:val="000000" w:themeColor="text1"/>
          <w:sz w:val="28"/>
          <w:szCs w:val="28"/>
        </w:rPr>
        <w:t>000.00元）。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sz w:val="28"/>
          <w:szCs w:val="28"/>
        </w:rPr>
        <w:t>（六）本鉴定评估意见书的有效期为一年，即从</w:t>
      </w:r>
      <w:r>
        <w:rPr>
          <w:rFonts w:hint="eastAsia"/>
          <w:color w:val="000000" w:themeColor="text1"/>
          <w:sz w:val="28"/>
          <w:szCs w:val="28"/>
        </w:rPr>
        <w:t>20</w:t>
      </w:r>
      <w:r>
        <w:rPr>
          <w:rFonts w:hint="eastAsia"/>
          <w:color w:val="000000" w:themeColor="text1"/>
          <w:sz w:val="28"/>
          <w:szCs w:val="28"/>
          <w:lang w:val="en-US" w:eastAsia="zh-CN"/>
        </w:rPr>
        <w:t>20</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19</w:t>
      </w:r>
      <w:r>
        <w:rPr>
          <w:rFonts w:hint="eastAsia"/>
          <w:color w:val="000000" w:themeColor="text1"/>
          <w:sz w:val="28"/>
          <w:szCs w:val="28"/>
        </w:rPr>
        <w:t>日至202</w:t>
      </w:r>
      <w:r>
        <w:rPr>
          <w:rFonts w:hint="eastAsia"/>
          <w:color w:val="000000" w:themeColor="text1"/>
          <w:sz w:val="28"/>
          <w:szCs w:val="28"/>
          <w:lang w:val="en-US" w:eastAsia="zh-CN"/>
        </w:rPr>
        <w:t>1</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18</w:t>
      </w:r>
      <w:r>
        <w:rPr>
          <w:rFonts w:hint="eastAsia"/>
          <w:color w:val="000000" w:themeColor="text1"/>
          <w:sz w:val="28"/>
          <w:szCs w:val="28"/>
        </w:rPr>
        <w:t>日止。如在有效期内当地政策调整或市场发生重</w:t>
      </w:r>
      <w:r>
        <w:rPr>
          <w:rFonts w:hint="eastAsia"/>
          <w:sz w:val="28"/>
          <w:szCs w:val="28"/>
        </w:rPr>
        <w:t>大变化对评估意见书产生重大影响时，应当重新确定评估基准日进行鉴定评估。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2</w:t>
      </w:r>
      <w:r>
        <w:rPr>
          <w:rFonts w:hint="eastAsia" w:ascii="宋体" w:hAnsi="宋体" w:cs="宋体"/>
          <w:color w:val="000000" w:themeColor="text1"/>
          <w:sz w:val="28"/>
          <w:szCs w:val="28"/>
        </w:rPr>
        <w:t>日至20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17</w:t>
      </w:r>
      <w:r>
        <w:rPr>
          <w:rFonts w:hint="eastAsia" w:ascii="宋体" w:hAnsi="宋体" w:cs="宋体"/>
          <w:color w:val="000000" w:themeColor="text1"/>
          <w:sz w:val="28"/>
          <w:szCs w:val="28"/>
        </w:rPr>
        <w:t>日</w:t>
      </w:r>
    </w:p>
    <w:p>
      <w:pPr>
        <w:spacing w:line="570" w:lineRule="exact"/>
        <w:ind w:firstLine="560"/>
        <w:rPr>
          <w:rFonts w:ascii="黑体" w:eastAsia="黑体"/>
          <w:color w:val="000000" w:themeColor="text1"/>
          <w:sz w:val="32"/>
          <w:szCs w:val="32"/>
        </w:rPr>
      </w:pPr>
      <w:r>
        <w:rPr>
          <w:rFonts w:hint="eastAsia" w:ascii="黑体" w:eastAsia="黑体"/>
          <w:color w:val="000000" w:themeColor="text1"/>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机构名称：河南省贵合资产鉴定评估有限公司</w:t>
      </w:r>
    </w:p>
    <w:p>
      <w:pPr>
        <w:spacing w:line="570" w:lineRule="exact"/>
        <w:ind w:firstLine="608" w:firstLineChars="190"/>
        <w:rPr>
          <w:rFonts w:ascii="仿宋" w:hAnsi="仿宋" w:eastAsia="仿宋" w:cs="仿宋"/>
          <w:sz w:val="32"/>
          <w:szCs w:val="32"/>
        </w:rPr>
      </w:pPr>
      <w:r>
        <w:rPr>
          <w:rFonts w:hint="eastAsia" w:ascii="仿宋" w:hAnsi="仿宋" w:eastAsia="仿宋" w:cs="仿宋"/>
          <w:sz w:val="32"/>
          <w:szCs w:val="32"/>
          <w:u w:val="thick"/>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sz w:val="28"/>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r>
        <w:rPr>
          <w:rFonts w:hint="eastAsia" w:ascii="仿宋" w:hAnsi="仿宋" w:eastAsia="仿宋" w:cs="仿宋"/>
          <w:sz w:val="32"/>
          <w:szCs w:val="32"/>
        </w:rPr>
        <w:t>河南省贵合资产鉴定评估有限公司</w:t>
      </w:r>
    </w:p>
    <w:p>
      <w:pPr>
        <w:spacing w:line="570" w:lineRule="exact"/>
        <w:ind w:firstLine="4160" w:firstLineChars="1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二0</w:t>
      </w:r>
      <w:r>
        <w:rPr>
          <w:rFonts w:hint="eastAsia" w:ascii="仿宋" w:hAnsi="仿宋" w:eastAsia="仿宋" w:cs="仿宋"/>
          <w:color w:val="000000" w:themeColor="text1"/>
          <w:sz w:val="32"/>
          <w:szCs w:val="32"/>
          <w:lang w:eastAsia="zh-CN"/>
        </w:rPr>
        <w:t>二</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四</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十九</w:t>
      </w:r>
      <w:r>
        <w:rPr>
          <w:rFonts w:hint="eastAsia" w:ascii="仿宋" w:hAnsi="仿宋" w:eastAsia="仿宋" w:cs="仿宋"/>
          <w:color w:val="000000" w:themeColor="text1"/>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0F5257"/>
    <w:rsid w:val="001C3B25"/>
    <w:rsid w:val="00215AA9"/>
    <w:rsid w:val="00246483"/>
    <w:rsid w:val="00255DB3"/>
    <w:rsid w:val="00340F9B"/>
    <w:rsid w:val="00410038"/>
    <w:rsid w:val="004513AC"/>
    <w:rsid w:val="00567B06"/>
    <w:rsid w:val="005B77AE"/>
    <w:rsid w:val="0062183B"/>
    <w:rsid w:val="006B12BF"/>
    <w:rsid w:val="008E322D"/>
    <w:rsid w:val="0091720A"/>
    <w:rsid w:val="009D6BE8"/>
    <w:rsid w:val="00A76119"/>
    <w:rsid w:val="00AA4EC7"/>
    <w:rsid w:val="00C10C8A"/>
    <w:rsid w:val="00C74577"/>
    <w:rsid w:val="00D05887"/>
    <w:rsid w:val="00D72B42"/>
    <w:rsid w:val="00D83E81"/>
    <w:rsid w:val="00E17705"/>
    <w:rsid w:val="00E71571"/>
    <w:rsid w:val="00E95A18"/>
    <w:rsid w:val="00F42EA1"/>
    <w:rsid w:val="00F86BA7"/>
    <w:rsid w:val="00FE2955"/>
    <w:rsid w:val="01315C01"/>
    <w:rsid w:val="019611DC"/>
    <w:rsid w:val="024E77A7"/>
    <w:rsid w:val="02633DEA"/>
    <w:rsid w:val="029B693F"/>
    <w:rsid w:val="03A64CAC"/>
    <w:rsid w:val="090C3CB3"/>
    <w:rsid w:val="09357C20"/>
    <w:rsid w:val="09877558"/>
    <w:rsid w:val="0A776592"/>
    <w:rsid w:val="0AAA2C68"/>
    <w:rsid w:val="0B520DA6"/>
    <w:rsid w:val="0CB911FB"/>
    <w:rsid w:val="0D3503A2"/>
    <w:rsid w:val="0E5424A7"/>
    <w:rsid w:val="0E9A4770"/>
    <w:rsid w:val="0F031CAD"/>
    <w:rsid w:val="0F9012B0"/>
    <w:rsid w:val="128B3CE2"/>
    <w:rsid w:val="12E14B7B"/>
    <w:rsid w:val="1302522E"/>
    <w:rsid w:val="135D1325"/>
    <w:rsid w:val="14DC377A"/>
    <w:rsid w:val="193D5954"/>
    <w:rsid w:val="1CEF5172"/>
    <w:rsid w:val="1D874EF2"/>
    <w:rsid w:val="1F230115"/>
    <w:rsid w:val="1F926C83"/>
    <w:rsid w:val="1FCB09BD"/>
    <w:rsid w:val="20524578"/>
    <w:rsid w:val="208F671D"/>
    <w:rsid w:val="20E4292B"/>
    <w:rsid w:val="216E4278"/>
    <w:rsid w:val="216F5094"/>
    <w:rsid w:val="22BE2632"/>
    <w:rsid w:val="22C540B1"/>
    <w:rsid w:val="22C91DF5"/>
    <w:rsid w:val="22CA2A38"/>
    <w:rsid w:val="22D9178F"/>
    <w:rsid w:val="22F2501D"/>
    <w:rsid w:val="230B491E"/>
    <w:rsid w:val="23AB0222"/>
    <w:rsid w:val="23C43BF7"/>
    <w:rsid w:val="263B700F"/>
    <w:rsid w:val="26766E13"/>
    <w:rsid w:val="295B2922"/>
    <w:rsid w:val="29D3760D"/>
    <w:rsid w:val="2AAC132D"/>
    <w:rsid w:val="2AAE323E"/>
    <w:rsid w:val="2D1048E7"/>
    <w:rsid w:val="2D3F3A3A"/>
    <w:rsid w:val="2DC519E4"/>
    <w:rsid w:val="2DF938C7"/>
    <w:rsid w:val="2EFD4AB4"/>
    <w:rsid w:val="2F2824D3"/>
    <w:rsid w:val="2F82261D"/>
    <w:rsid w:val="315B03AD"/>
    <w:rsid w:val="319D2E5E"/>
    <w:rsid w:val="3540209D"/>
    <w:rsid w:val="365F5791"/>
    <w:rsid w:val="36FC73F6"/>
    <w:rsid w:val="373E6886"/>
    <w:rsid w:val="38C606D9"/>
    <w:rsid w:val="3A1D2D40"/>
    <w:rsid w:val="3B813C18"/>
    <w:rsid w:val="3C1E26F7"/>
    <w:rsid w:val="3CB4263F"/>
    <w:rsid w:val="3E7A564E"/>
    <w:rsid w:val="3FEF2298"/>
    <w:rsid w:val="40DC7F60"/>
    <w:rsid w:val="42B96134"/>
    <w:rsid w:val="43491134"/>
    <w:rsid w:val="45BA0DAD"/>
    <w:rsid w:val="468A6A08"/>
    <w:rsid w:val="47046219"/>
    <w:rsid w:val="49C5625F"/>
    <w:rsid w:val="4CF10812"/>
    <w:rsid w:val="4DEE16CD"/>
    <w:rsid w:val="4EAA23D2"/>
    <w:rsid w:val="50A27AD6"/>
    <w:rsid w:val="50F412EA"/>
    <w:rsid w:val="52D67BB3"/>
    <w:rsid w:val="54F86FF7"/>
    <w:rsid w:val="55C41F81"/>
    <w:rsid w:val="56A04C37"/>
    <w:rsid w:val="57792B80"/>
    <w:rsid w:val="582F2B15"/>
    <w:rsid w:val="583B21A4"/>
    <w:rsid w:val="58F70F1F"/>
    <w:rsid w:val="591A1ADA"/>
    <w:rsid w:val="5D73328B"/>
    <w:rsid w:val="5DAB6CE7"/>
    <w:rsid w:val="5F240E35"/>
    <w:rsid w:val="61D2114E"/>
    <w:rsid w:val="61E27065"/>
    <w:rsid w:val="62B96CE5"/>
    <w:rsid w:val="634B3938"/>
    <w:rsid w:val="6391142F"/>
    <w:rsid w:val="65911249"/>
    <w:rsid w:val="669B3F9D"/>
    <w:rsid w:val="66EC5FF2"/>
    <w:rsid w:val="68AD5BE1"/>
    <w:rsid w:val="6A9F62E2"/>
    <w:rsid w:val="6BD859AD"/>
    <w:rsid w:val="6D035B2E"/>
    <w:rsid w:val="6D2228DA"/>
    <w:rsid w:val="6D535020"/>
    <w:rsid w:val="6D9D0FCB"/>
    <w:rsid w:val="6E3D1CB6"/>
    <w:rsid w:val="6F1F1FBA"/>
    <w:rsid w:val="6F5C2E93"/>
    <w:rsid w:val="72303B7C"/>
    <w:rsid w:val="745E15EA"/>
    <w:rsid w:val="746E0F07"/>
    <w:rsid w:val="75703DE2"/>
    <w:rsid w:val="75BD28E5"/>
    <w:rsid w:val="76414A68"/>
    <w:rsid w:val="771C38CD"/>
    <w:rsid w:val="7731314D"/>
    <w:rsid w:val="786E1753"/>
    <w:rsid w:val="787B17A4"/>
    <w:rsid w:val="7A685C7B"/>
    <w:rsid w:val="7A913942"/>
    <w:rsid w:val="7B2C6E78"/>
    <w:rsid w:val="7CEE3579"/>
    <w:rsid w:val="7EA35C48"/>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6</Pages>
  <Words>392</Words>
  <Characters>2241</Characters>
  <Lines>18</Lines>
  <Paragraphs>5</Paragraphs>
  <TotalTime>56</TotalTime>
  <ScaleCrop>false</ScaleCrop>
  <LinksUpToDate>false</LinksUpToDate>
  <CharactersWithSpaces>2628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2020-04-10T03:03:00Z</dcterms:created>
  <dc:creator>wangjunli</dc:creator>
  <cp:lastModifiedBy>stys</cp:lastModifiedBy>
  <cp:lastPrinted>2019-06-17T09:25:00Z</cp:lastPrinted>
  <dcterms:modified xsi:type="dcterms:W3CDTF">2020-04-18T01:29:48Z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