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69865" cy="7510145"/>
            <wp:effectExtent l="0" t="0" r="6985" b="14605"/>
            <wp:docPr id="1" name="图片 1" descr="山西_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山西_1903"/>
                    <pic:cNvPicPr>
                      <a:picLocks noChangeAspect="1"/>
                    </pic:cNvPicPr>
                  </pic:nvPicPr>
                  <pic:blipFill>
                    <a:blip r:embed="rId6"/>
                    <a:stretch>
                      <a:fillRect/>
                    </a:stretch>
                  </pic:blipFill>
                  <pic:spPr>
                    <a:xfrm>
                      <a:off x="0" y="0"/>
                      <a:ext cx="5269865" cy="7510145"/>
                    </a:xfrm>
                    <a:prstGeom prst="rect">
                      <a:avLst/>
                    </a:prstGeom>
                  </pic:spPr>
                </pic:pic>
              </a:graphicData>
            </a:graphic>
          </wp:inline>
        </w:drawing>
      </w:r>
      <w:r>
        <w:rPr>
          <w:rFonts w:hint="eastAsia" w:eastAsiaTheme="minorEastAsia"/>
          <w:lang w:eastAsia="zh-CN"/>
        </w:rPr>
        <w:drawing>
          <wp:inline distT="0" distB="0" distL="114300" distR="114300">
            <wp:extent cx="5267960" cy="7475855"/>
            <wp:effectExtent l="0" t="0" r="8890" b="10795"/>
            <wp:docPr id="2" name="图片 2" descr="山西_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山西_1904"/>
                    <pic:cNvPicPr>
                      <a:picLocks noChangeAspect="1"/>
                    </pic:cNvPicPr>
                  </pic:nvPicPr>
                  <pic:blipFill>
                    <a:blip r:embed="rId7"/>
                    <a:stretch>
                      <a:fillRect/>
                    </a:stretch>
                  </pic:blipFill>
                  <pic:spPr>
                    <a:xfrm>
                      <a:off x="0" y="0"/>
                      <a:ext cx="5267960" cy="747585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687695" cy="8134350"/>
            <wp:effectExtent l="0" t="0" r="8255" b="0"/>
            <wp:docPr id="6" name="图片 6" descr="山西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山西_2"/>
                    <pic:cNvPicPr>
                      <a:picLocks noChangeAspect="1"/>
                    </pic:cNvPicPr>
                  </pic:nvPicPr>
                  <pic:blipFill>
                    <a:blip r:embed="rId8"/>
                    <a:stretch>
                      <a:fillRect/>
                    </a:stretch>
                  </pic:blipFill>
                  <pic:spPr>
                    <a:xfrm>
                      <a:off x="0" y="0"/>
                      <a:ext cx="5687695" cy="8134350"/>
                    </a:xfrm>
                    <a:prstGeom prst="rect">
                      <a:avLst/>
                    </a:prstGeom>
                  </pic:spPr>
                </pic:pic>
              </a:graphicData>
            </a:graphic>
          </wp:inline>
        </w:drawing>
      </w:r>
      <w:r>
        <w:rPr>
          <w:rFonts w:hint="eastAsia" w:eastAsiaTheme="minorEastAsia"/>
          <w:lang w:eastAsia="zh-CN"/>
        </w:rPr>
        <w:drawing>
          <wp:inline distT="0" distB="0" distL="114300" distR="114300">
            <wp:extent cx="5683250" cy="8135620"/>
            <wp:effectExtent l="0" t="0" r="12700" b="17780"/>
            <wp:docPr id="7" name="图片 7" descr="山西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山西_3"/>
                    <pic:cNvPicPr>
                      <a:picLocks noChangeAspect="1"/>
                    </pic:cNvPicPr>
                  </pic:nvPicPr>
                  <pic:blipFill>
                    <a:blip r:embed="rId9"/>
                    <a:stretch>
                      <a:fillRect/>
                    </a:stretch>
                  </pic:blipFill>
                  <pic:spPr>
                    <a:xfrm>
                      <a:off x="0" y="0"/>
                      <a:ext cx="5683250" cy="8135620"/>
                    </a:xfrm>
                    <a:prstGeom prst="rect">
                      <a:avLst/>
                    </a:prstGeom>
                  </pic:spPr>
                </pic:pic>
              </a:graphicData>
            </a:graphic>
          </wp:inline>
        </w:drawing>
      </w:r>
      <w:r>
        <w:rPr>
          <w:rFonts w:hint="eastAsia" w:eastAsiaTheme="minorEastAsia"/>
          <w:lang w:eastAsia="zh-CN"/>
        </w:rPr>
        <w:drawing>
          <wp:inline distT="0" distB="0" distL="114300" distR="114300">
            <wp:extent cx="5685155" cy="8061960"/>
            <wp:effectExtent l="0" t="0" r="10795" b="15240"/>
            <wp:docPr id="8" name="图片 8" descr="山西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山西_5"/>
                    <pic:cNvPicPr>
                      <a:picLocks noChangeAspect="1"/>
                    </pic:cNvPicPr>
                  </pic:nvPicPr>
                  <pic:blipFill>
                    <a:blip r:embed="rId10"/>
                    <a:stretch>
                      <a:fillRect/>
                    </a:stretch>
                  </pic:blipFill>
                  <pic:spPr>
                    <a:xfrm>
                      <a:off x="0" y="0"/>
                      <a:ext cx="5685155" cy="8061960"/>
                    </a:xfrm>
                    <a:prstGeom prst="rect">
                      <a:avLst/>
                    </a:prstGeom>
                  </pic:spPr>
                </pic:pic>
              </a:graphicData>
            </a:graphic>
          </wp:inline>
        </w:drawing>
      </w:r>
      <w:r>
        <w:rPr>
          <w:rFonts w:hint="eastAsia" w:eastAsiaTheme="minorEastAsia"/>
          <w:lang w:eastAsia="zh-CN"/>
        </w:rPr>
        <w:drawing>
          <wp:inline distT="0" distB="0" distL="114300" distR="114300">
            <wp:extent cx="5684520" cy="7922260"/>
            <wp:effectExtent l="0" t="0" r="11430" b="2540"/>
            <wp:docPr id="9" name="图片 9" descr="山西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山西_6"/>
                    <pic:cNvPicPr>
                      <a:picLocks noChangeAspect="1"/>
                    </pic:cNvPicPr>
                  </pic:nvPicPr>
                  <pic:blipFill>
                    <a:blip r:embed="rId11"/>
                    <a:stretch>
                      <a:fillRect/>
                    </a:stretch>
                  </pic:blipFill>
                  <pic:spPr>
                    <a:xfrm>
                      <a:off x="0" y="0"/>
                      <a:ext cx="5684520" cy="792226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687060" cy="7825740"/>
            <wp:effectExtent l="0" t="0" r="8890" b="3810"/>
            <wp:docPr id="10" name="图片 10" descr="山西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山西_7"/>
                    <pic:cNvPicPr>
                      <a:picLocks noChangeAspect="1"/>
                    </pic:cNvPicPr>
                  </pic:nvPicPr>
                  <pic:blipFill>
                    <a:blip r:embed="rId12"/>
                    <a:stretch>
                      <a:fillRect/>
                    </a:stretch>
                  </pic:blipFill>
                  <pic:spPr>
                    <a:xfrm>
                      <a:off x="0" y="0"/>
                      <a:ext cx="5687060" cy="7825740"/>
                    </a:xfrm>
                    <a:prstGeom prst="rect">
                      <a:avLst/>
                    </a:prstGeom>
                  </pic:spPr>
                </pic:pic>
              </a:graphicData>
            </a:graphic>
          </wp:inline>
        </w:drawing>
      </w:r>
      <w:r>
        <w:rPr>
          <w:rFonts w:hint="eastAsia" w:eastAsiaTheme="minorEastAsia"/>
          <w:lang w:eastAsia="zh-CN"/>
        </w:rPr>
        <w:drawing>
          <wp:inline distT="0" distB="0" distL="114300" distR="114300">
            <wp:extent cx="5684520" cy="7842885"/>
            <wp:effectExtent l="0" t="0" r="11430" b="5715"/>
            <wp:docPr id="11" name="图片 11" descr="山西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山西_8"/>
                    <pic:cNvPicPr>
                      <a:picLocks noChangeAspect="1"/>
                    </pic:cNvPicPr>
                  </pic:nvPicPr>
                  <pic:blipFill>
                    <a:blip r:embed="rId13"/>
                    <a:stretch>
                      <a:fillRect/>
                    </a:stretch>
                  </pic:blipFill>
                  <pic:spPr>
                    <a:xfrm>
                      <a:off x="0" y="0"/>
                      <a:ext cx="5684520" cy="784288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685790" cy="7952105"/>
            <wp:effectExtent l="0" t="0" r="10160" b="10795"/>
            <wp:docPr id="12" name="图片 12" descr="山西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山西_9"/>
                    <pic:cNvPicPr>
                      <a:picLocks noChangeAspect="1"/>
                    </pic:cNvPicPr>
                  </pic:nvPicPr>
                  <pic:blipFill>
                    <a:blip r:embed="rId14"/>
                    <a:stretch>
                      <a:fillRect/>
                    </a:stretch>
                  </pic:blipFill>
                  <pic:spPr>
                    <a:xfrm>
                      <a:off x="0" y="0"/>
                      <a:ext cx="5685790" cy="7952105"/>
                    </a:xfrm>
                    <a:prstGeom prst="rect">
                      <a:avLst/>
                    </a:prstGeom>
                  </pic:spPr>
                </pic:pic>
              </a:graphicData>
            </a:graphic>
          </wp:inline>
        </w:drawing>
      </w:r>
      <w:r>
        <w:rPr>
          <w:rFonts w:hint="eastAsia" w:eastAsiaTheme="minorEastAsia"/>
          <w:lang w:eastAsia="zh-CN"/>
        </w:rPr>
        <w:drawing>
          <wp:inline distT="0" distB="0" distL="114300" distR="114300">
            <wp:extent cx="5685790" cy="7823200"/>
            <wp:effectExtent l="0" t="0" r="10160" b="6350"/>
            <wp:docPr id="13" name="图片 13" descr="山西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山西_10"/>
                    <pic:cNvPicPr>
                      <a:picLocks noChangeAspect="1"/>
                    </pic:cNvPicPr>
                  </pic:nvPicPr>
                  <pic:blipFill>
                    <a:blip r:embed="rId15"/>
                    <a:stretch>
                      <a:fillRect/>
                    </a:stretch>
                  </pic:blipFill>
                  <pic:spPr>
                    <a:xfrm>
                      <a:off x="0" y="0"/>
                      <a:ext cx="5685790" cy="7823200"/>
                    </a:xfrm>
                    <a:prstGeom prst="rect">
                      <a:avLst/>
                    </a:prstGeom>
                  </pic:spPr>
                </pic:pic>
              </a:graphicData>
            </a:graphic>
          </wp:inline>
        </w:drawing>
      </w:r>
      <w:r>
        <w:rPr>
          <w:rFonts w:hint="eastAsia" w:eastAsiaTheme="minorEastAsia"/>
          <w:lang w:eastAsia="zh-CN"/>
        </w:rPr>
        <w:drawing>
          <wp:inline distT="0" distB="0" distL="114300" distR="114300">
            <wp:extent cx="5687060" cy="8037830"/>
            <wp:effectExtent l="0" t="0" r="8890" b="1270"/>
            <wp:docPr id="14" name="图片 14" descr="山西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山西_11"/>
                    <pic:cNvPicPr>
                      <a:picLocks noChangeAspect="1"/>
                    </pic:cNvPicPr>
                  </pic:nvPicPr>
                  <pic:blipFill>
                    <a:blip r:embed="rId16"/>
                    <a:stretch>
                      <a:fillRect/>
                    </a:stretch>
                  </pic:blipFill>
                  <pic:spPr>
                    <a:xfrm>
                      <a:off x="0" y="0"/>
                      <a:ext cx="5687060" cy="8037830"/>
                    </a:xfrm>
                    <a:prstGeom prst="rect">
                      <a:avLst/>
                    </a:prstGeom>
                  </pic:spPr>
                </pic:pic>
              </a:graphicData>
            </a:graphic>
          </wp:inline>
        </w:drawing>
      </w:r>
    </w:p>
    <w:p>
      <w:pPr>
        <w:tabs>
          <w:tab w:val="left" w:pos="735"/>
          <w:tab w:val="left" w:pos="2625"/>
          <w:tab w:val="left" w:pos="4410"/>
          <w:tab w:val="left" w:pos="7140"/>
        </w:tabs>
        <w:spacing w:line="460" w:lineRule="exact"/>
        <w:ind w:left="554" w:leftChars="264"/>
        <w:jc w:val="center"/>
        <w:rPr>
          <w:rFonts w:ascii="仿宋" w:hAnsi="仿宋" w:eastAsia="仿宋"/>
          <w:b/>
          <w:color w:val="000000"/>
          <w:sz w:val="36"/>
          <w:szCs w:val="36"/>
        </w:rPr>
      </w:pPr>
      <w:r>
        <w:rPr>
          <w:rFonts w:hint="eastAsia" w:ascii="仿宋" w:hAnsi="仿宋" w:eastAsia="仿宋"/>
          <w:b/>
          <w:color w:val="000000"/>
          <w:sz w:val="36"/>
          <w:szCs w:val="36"/>
        </w:rPr>
        <w:t>致估价委托人函</w:t>
      </w:r>
    </w:p>
    <w:p>
      <w:pPr>
        <w:tabs>
          <w:tab w:val="left" w:pos="735"/>
          <w:tab w:val="left" w:pos="2625"/>
          <w:tab w:val="left" w:pos="4410"/>
          <w:tab w:val="left" w:pos="7140"/>
        </w:tabs>
        <w:spacing w:line="460" w:lineRule="exact"/>
        <w:ind w:left="554" w:leftChars="264"/>
        <w:jc w:val="center"/>
        <w:rPr>
          <w:rFonts w:ascii="仿宋" w:hAnsi="仿宋" w:eastAsia="仿宋"/>
          <w:b/>
          <w:color w:val="000000"/>
          <w:sz w:val="36"/>
          <w:szCs w:val="36"/>
        </w:rPr>
      </w:pPr>
    </w:p>
    <w:p>
      <w:pPr>
        <w:spacing w:line="360" w:lineRule="auto"/>
        <w:rPr>
          <w:rFonts w:ascii="仿宋" w:hAnsi="仿宋" w:eastAsia="仿宋"/>
          <w:color w:val="000000"/>
          <w:sz w:val="28"/>
          <w:szCs w:val="28"/>
        </w:rPr>
      </w:pPr>
      <w:r>
        <w:rPr>
          <w:rFonts w:hint="eastAsia" w:ascii="仿宋" w:hAnsi="仿宋" w:eastAsia="仿宋"/>
          <w:b/>
          <w:color w:val="000000"/>
          <w:sz w:val="28"/>
          <w:szCs w:val="28"/>
        </w:rPr>
        <w:t>杭州市西湖区人民法院</w:t>
      </w:r>
      <w:r>
        <w:rPr>
          <w:rFonts w:hint="eastAsia" w:ascii="仿宋" w:hAnsi="仿宋" w:eastAsia="仿宋"/>
          <w:color w:val="000000"/>
          <w:sz w:val="28"/>
          <w:szCs w:val="28"/>
        </w:rPr>
        <w:t>：</w:t>
      </w:r>
    </w:p>
    <w:p>
      <w:pPr>
        <w:spacing w:line="360" w:lineRule="auto"/>
        <w:ind w:firstLine="560" w:firstLineChars="200"/>
        <w:rPr>
          <w:rFonts w:eastAsia="仿宋"/>
          <w:color w:val="FF0000"/>
          <w:sz w:val="28"/>
          <w:szCs w:val="28"/>
        </w:rPr>
      </w:pPr>
      <w:r>
        <w:rPr>
          <w:rFonts w:hint="eastAsia" w:ascii="仿宋" w:hAnsi="仿宋" w:eastAsia="仿宋"/>
          <w:color w:val="000000"/>
          <w:sz w:val="28"/>
        </w:rPr>
        <w:t>受贵方委托</w:t>
      </w:r>
      <w:r>
        <w:rPr>
          <w:rFonts w:hint="eastAsia" w:eastAsia="仿宋"/>
          <w:color w:val="000000"/>
          <w:sz w:val="28"/>
        </w:rPr>
        <w:t>（委托函号为</w:t>
      </w:r>
      <w:r>
        <w:rPr>
          <w:rFonts w:eastAsia="仿宋"/>
          <w:color w:val="000000"/>
          <w:sz w:val="28"/>
        </w:rPr>
        <w:t>(201</w:t>
      </w:r>
      <w:r>
        <w:rPr>
          <w:rFonts w:hint="eastAsia" w:eastAsia="仿宋"/>
          <w:color w:val="000000"/>
          <w:sz w:val="28"/>
        </w:rPr>
        <w:t>9</w:t>
      </w:r>
      <w:r>
        <w:rPr>
          <w:rFonts w:eastAsia="仿宋"/>
          <w:color w:val="000000"/>
          <w:sz w:val="28"/>
        </w:rPr>
        <w:t>)</w:t>
      </w:r>
      <w:r>
        <w:rPr>
          <w:rFonts w:hint="eastAsia" w:eastAsia="仿宋"/>
          <w:color w:val="000000"/>
          <w:sz w:val="28"/>
        </w:rPr>
        <w:t>杭西法评委字第338号）</w:t>
      </w:r>
      <w:r>
        <w:rPr>
          <w:rFonts w:hint="eastAsia" w:ascii="仿宋" w:hAnsi="仿宋" w:eastAsia="仿宋"/>
          <w:color w:val="000000"/>
          <w:sz w:val="28"/>
        </w:rPr>
        <w:t>，我们对位于山西省太原市府东街东段68号10幢1-2层1001-1011号、11幢1-2层1001-1013号共24套商业房地产的市场价值进行了估价。估价对象总建筑面积6489.97平方米，土地使用权面积未分摊，房屋用途为商业，土地用途为商业，使用权类型为出让。</w:t>
      </w:r>
      <w:r>
        <w:rPr>
          <w:rFonts w:hint="eastAsia" w:eastAsia="仿宋"/>
          <w:color w:val="000000"/>
          <w:sz w:val="28"/>
        </w:rPr>
        <w:t>估价目的是为委托方执行司法裁决提供参考依据而评估房地产市场价值。</w:t>
      </w:r>
    </w:p>
    <w:p>
      <w:pPr>
        <w:spacing w:line="360" w:lineRule="auto"/>
        <w:ind w:firstLine="551" w:firstLineChars="197"/>
        <w:rPr>
          <w:rFonts w:hint="eastAsia" w:eastAsia="仿宋"/>
          <w:color w:val="000000"/>
          <w:spacing w:val="-6"/>
          <w:sz w:val="28"/>
        </w:rPr>
      </w:pPr>
      <w:r>
        <w:rPr>
          <w:rFonts w:hint="eastAsia" w:eastAsia="仿宋"/>
          <w:color w:val="000000"/>
          <w:sz w:val="28"/>
        </w:rPr>
        <w:t>注册房地产估价师根据估价目的，遵循估价原则，按照估价工作程序，采用了比较法和收益法进行了专业测算，在认真分析现有资料的基础上，并结合注册房地产估价师的经验，综合考虑了影响房地产的各项因素，得出了估价对象的市场价值，</w:t>
      </w:r>
      <w:r>
        <w:rPr>
          <w:rFonts w:hint="eastAsia" w:eastAsia="仿宋"/>
          <w:spacing w:val="-6"/>
          <w:sz w:val="28"/>
        </w:rPr>
        <w:t>则</w:t>
      </w:r>
      <w:r>
        <w:rPr>
          <w:rFonts w:hint="eastAsia" w:eastAsia="仿宋"/>
          <w:color w:val="000000"/>
          <w:sz w:val="28"/>
        </w:rPr>
        <w:t>估价对象在价值时点二</w:t>
      </w:r>
      <w:r>
        <w:rPr>
          <w:rFonts w:hint="eastAsia" w:ascii="宋体" w:hAnsi="宋体" w:eastAsia="仿宋" w:cs="宋体"/>
          <w:color w:val="000000"/>
          <w:sz w:val="28"/>
        </w:rPr>
        <w:t>〇</w:t>
      </w:r>
      <w:r>
        <w:rPr>
          <w:rFonts w:hint="eastAsia" w:eastAsia="仿宋"/>
          <w:color w:val="000000"/>
          <w:sz w:val="28"/>
        </w:rPr>
        <w:t>一九</w:t>
      </w:r>
      <w:r>
        <w:rPr>
          <w:rFonts w:hint="eastAsia" w:ascii="FangSong_GB2312" w:hAnsi="FangSong_GB2312" w:eastAsia="仿宋" w:cs="FangSong_GB2312"/>
          <w:color w:val="000000"/>
          <w:sz w:val="28"/>
        </w:rPr>
        <w:t>年十二月二十四日</w:t>
      </w:r>
      <w:r>
        <w:rPr>
          <w:rFonts w:hint="eastAsia" w:eastAsia="仿宋"/>
          <w:spacing w:val="-6"/>
          <w:sz w:val="28"/>
        </w:rPr>
        <w:t>，在假设和限定条件下的</w:t>
      </w:r>
      <w:r>
        <w:rPr>
          <w:rFonts w:hint="eastAsia" w:eastAsia="仿宋"/>
          <w:color w:val="000000"/>
          <w:spacing w:val="-6"/>
          <w:sz w:val="28"/>
        </w:rPr>
        <w:t>市场价值为：人民币</w:t>
      </w:r>
      <w:r>
        <w:rPr>
          <w:rFonts w:hint="eastAsia" w:eastAsia="仿宋"/>
          <w:b/>
          <w:color w:val="000000"/>
          <w:spacing w:val="-6"/>
          <w:sz w:val="28"/>
        </w:rPr>
        <w:t>壹亿壹仟零玖拾玖万</w:t>
      </w:r>
      <w:r>
        <w:rPr>
          <w:rFonts w:hint="eastAsia" w:eastAsia="仿宋"/>
          <w:color w:val="000000"/>
          <w:spacing w:val="-6"/>
          <w:sz w:val="28"/>
        </w:rPr>
        <w:t>元整（￥11099</w:t>
      </w:r>
      <w:r>
        <w:rPr>
          <w:rFonts w:eastAsia="仿宋"/>
          <w:color w:val="000000"/>
          <w:spacing w:val="-6"/>
          <w:sz w:val="28"/>
        </w:rPr>
        <w:t>0000</w:t>
      </w:r>
      <w:r>
        <w:rPr>
          <w:rFonts w:hint="eastAsia" w:eastAsia="仿宋"/>
          <w:color w:val="000000"/>
          <w:spacing w:val="-6"/>
          <w:sz w:val="28"/>
        </w:rPr>
        <w:t>元），各商业用房具体评估价值详见附表。</w:t>
      </w:r>
    </w:p>
    <w:p>
      <w:pPr>
        <w:spacing w:line="360" w:lineRule="auto"/>
        <w:ind w:firstLine="662" w:firstLineChars="246"/>
        <w:rPr>
          <w:rFonts w:eastAsia="仿宋"/>
          <w:b/>
          <w:i/>
          <w:kern w:val="32"/>
          <w:sz w:val="28"/>
          <w:szCs w:val="28"/>
        </w:rPr>
      </w:pPr>
      <w:r>
        <w:rPr>
          <w:rFonts w:hint="eastAsia" w:eastAsia="仿宋"/>
          <w:b/>
          <w:i/>
          <w:spacing w:val="-6"/>
          <w:sz w:val="28"/>
        </w:rPr>
        <w:t>特别说明：本估价报告的各部分为一有机整体，估价结果受估价的假</w:t>
      </w:r>
      <w:r>
        <w:rPr>
          <w:rFonts w:hint="eastAsia" w:eastAsia="仿宋"/>
          <w:b/>
          <w:i/>
          <w:sz w:val="28"/>
        </w:rPr>
        <w:t>设和限制条件制约。</w:t>
      </w:r>
      <w:r>
        <w:rPr>
          <w:rFonts w:hint="eastAsia" w:eastAsia="仿宋"/>
          <w:b/>
          <w:i/>
          <w:kern w:val="32"/>
          <w:sz w:val="28"/>
          <w:szCs w:val="28"/>
        </w:rPr>
        <w:t>请报告使用人认真阅读，参考使用。</w:t>
      </w:r>
    </w:p>
    <w:p>
      <w:pPr>
        <w:spacing w:line="600" w:lineRule="exact"/>
        <w:ind w:firstLine="560" w:firstLineChars="200"/>
        <w:rPr>
          <w:rFonts w:ascii="仿宋" w:hAnsi="仿宋" w:eastAsia="仿宋"/>
          <w:color w:val="000000"/>
          <w:sz w:val="28"/>
        </w:rPr>
      </w:pPr>
    </w:p>
    <w:p>
      <w:pPr>
        <w:spacing w:before="120" w:line="420" w:lineRule="exact"/>
        <w:ind w:firstLine="4760" w:firstLineChars="1700"/>
        <w:rPr>
          <w:rFonts w:ascii="仿宋" w:hAnsi="仿宋" w:eastAsia="仿宋"/>
          <w:color w:val="000000"/>
          <w:sz w:val="28"/>
          <w:szCs w:val="28"/>
        </w:rPr>
      </w:pPr>
      <w:r>
        <w:rPr>
          <w:rFonts w:hint="eastAsia" w:ascii="仿宋" w:hAnsi="仿宋" w:eastAsia="仿宋"/>
          <w:color w:val="000000"/>
          <w:sz w:val="28"/>
          <w:szCs w:val="28"/>
        </w:rPr>
        <w:t>杭州登鑫房地产估价有限公司</w:t>
      </w:r>
    </w:p>
    <w:p>
      <w:pPr>
        <w:tabs>
          <w:tab w:val="left" w:pos="3780"/>
        </w:tabs>
        <w:spacing w:before="120" w:line="420" w:lineRule="exact"/>
        <w:ind w:firstLine="4900" w:firstLineChars="1750"/>
        <w:rPr>
          <w:rFonts w:ascii="仿宋" w:hAnsi="仿宋" w:eastAsia="仿宋"/>
          <w:color w:val="000000"/>
          <w:sz w:val="28"/>
          <w:szCs w:val="28"/>
        </w:rPr>
      </w:pPr>
      <w:r>
        <w:rPr>
          <w:rFonts w:hint="eastAsia" w:ascii="仿宋" w:hAnsi="仿宋" w:eastAsia="仿宋"/>
          <w:color w:val="000000"/>
          <w:sz w:val="28"/>
          <w:szCs w:val="28"/>
        </w:rPr>
        <w:t>法定代表人：王 颖</w:t>
      </w:r>
    </w:p>
    <w:p>
      <w:pPr>
        <w:tabs>
          <w:tab w:val="left" w:pos="3780"/>
        </w:tabs>
        <w:spacing w:before="120" w:line="420" w:lineRule="exact"/>
        <w:ind w:firstLine="4900" w:firstLineChars="1750"/>
        <w:rPr>
          <w:rFonts w:ascii="仿宋" w:hAnsi="仿宋" w:eastAsia="仿宋"/>
          <w:color w:val="000000"/>
          <w:sz w:val="28"/>
          <w:szCs w:val="28"/>
        </w:rPr>
      </w:pPr>
      <w:r>
        <w:rPr>
          <w:rFonts w:hint="eastAsia" w:ascii="仿宋" w:hAnsi="仿宋" w:eastAsia="仿宋"/>
          <w:sz w:val="28"/>
          <w:szCs w:val="28"/>
        </w:rPr>
        <w:t>二</w:t>
      </w:r>
      <w:r>
        <w:rPr>
          <w:rFonts w:hint="eastAsia" w:ascii="仿宋" w:hAnsi="仿宋" w:eastAsia="仿宋" w:cs="宋体"/>
          <w:sz w:val="28"/>
          <w:szCs w:val="28"/>
        </w:rPr>
        <w:t>〇</w:t>
      </w:r>
      <w:r>
        <w:rPr>
          <w:rFonts w:hint="eastAsia" w:ascii="仿宋" w:hAnsi="仿宋" w:eastAsia="仿宋"/>
          <w:sz w:val="28"/>
          <w:szCs w:val="28"/>
        </w:rPr>
        <w:t>二</w:t>
      </w:r>
      <w:r>
        <w:rPr>
          <w:rFonts w:hint="eastAsia" w:ascii="仿宋" w:hAnsi="仿宋" w:eastAsia="仿宋" w:cs="宋体"/>
          <w:sz w:val="28"/>
          <w:szCs w:val="28"/>
        </w:rPr>
        <w:t>〇</w:t>
      </w:r>
      <w:r>
        <w:rPr>
          <w:rFonts w:hint="eastAsia" w:ascii="仿宋" w:hAnsi="仿宋" w:eastAsia="仿宋" w:cs="KaiTi_GB2312"/>
          <w:sz w:val="28"/>
          <w:szCs w:val="28"/>
        </w:rPr>
        <w:t>年三月二十六日</w:t>
      </w:r>
    </w:p>
    <w:p>
      <w:pPr>
        <w:spacing w:line="460" w:lineRule="exact"/>
        <w:jc w:val="center"/>
        <w:rPr>
          <w:rFonts w:hint="eastAsia" w:ascii="仿宋" w:hAnsi="仿宋" w:eastAsia="仿宋"/>
          <w:b/>
          <w:color w:val="000000"/>
          <w:sz w:val="32"/>
          <w:szCs w:val="32"/>
        </w:rPr>
      </w:pPr>
      <w:r>
        <w:rPr>
          <w:rFonts w:hint="eastAsia" w:ascii="仿宋" w:hAnsi="仿宋" w:eastAsia="仿宋"/>
          <w:b/>
          <w:color w:val="000000"/>
          <w:sz w:val="32"/>
          <w:szCs w:val="32"/>
        </w:rPr>
        <w:t>评估结果明细表</w:t>
      </w:r>
    </w:p>
    <w:tbl>
      <w:tblPr>
        <w:tblStyle w:val="7"/>
        <w:tblW w:w="94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3372"/>
        <w:gridCol w:w="900"/>
        <w:gridCol w:w="1440"/>
        <w:gridCol w:w="1440"/>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jc w:val="center"/>
        </w:trPr>
        <w:tc>
          <w:tcPr>
            <w:tcW w:w="457" w:type="dxa"/>
            <w:noWrap w:val="0"/>
            <w:vAlign w:val="center"/>
          </w:tcPr>
          <w:p>
            <w:pPr>
              <w:spacing w:line="320" w:lineRule="exact"/>
              <w:jc w:val="center"/>
              <w:rPr>
                <w:rFonts w:hint="eastAsia" w:ascii="仿宋" w:hAnsi="仿宋" w:eastAsia="仿宋"/>
                <w:b/>
                <w:color w:val="000000"/>
                <w:sz w:val="24"/>
                <w:szCs w:val="24"/>
              </w:rPr>
            </w:pPr>
            <w:r>
              <w:rPr>
                <w:rFonts w:hint="eastAsia" w:ascii="仿宋" w:hAnsi="仿宋" w:eastAsia="仿宋"/>
                <w:b/>
                <w:color w:val="000000"/>
                <w:sz w:val="24"/>
                <w:szCs w:val="24"/>
              </w:rPr>
              <w:t>序号</w:t>
            </w:r>
          </w:p>
        </w:tc>
        <w:tc>
          <w:tcPr>
            <w:tcW w:w="3372" w:type="dxa"/>
            <w:noWrap w:val="0"/>
            <w:vAlign w:val="center"/>
          </w:tcPr>
          <w:p>
            <w:pPr>
              <w:spacing w:line="460" w:lineRule="exact"/>
              <w:jc w:val="center"/>
              <w:rPr>
                <w:rFonts w:hint="eastAsia" w:ascii="仿宋" w:hAnsi="仿宋" w:eastAsia="仿宋"/>
                <w:b/>
                <w:color w:val="000000"/>
                <w:sz w:val="24"/>
                <w:szCs w:val="24"/>
              </w:rPr>
            </w:pPr>
            <w:r>
              <w:rPr>
                <w:rFonts w:hint="eastAsia" w:ascii="仿宋" w:hAnsi="仿宋" w:eastAsia="仿宋"/>
                <w:b/>
                <w:color w:val="000000"/>
                <w:sz w:val="24"/>
                <w:szCs w:val="24"/>
              </w:rPr>
              <w:t>估价对象坐落</w:t>
            </w:r>
          </w:p>
        </w:tc>
        <w:tc>
          <w:tcPr>
            <w:tcW w:w="900" w:type="dxa"/>
            <w:noWrap w:val="0"/>
            <w:vAlign w:val="center"/>
          </w:tcPr>
          <w:p>
            <w:pPr>
              <w:spacing w:line="320" w:lineRule="exact"/>
              <w:jc w:val="center"/>
              <w:rPr>
                <w:rFonts w:hint="eastAsia" w:ascii="仿宋" w:hAnsi="仿宋" w:eastAsia="仿宋"/>
                <w:b/>
                <w:color w:val="000000"/>
                <w:sz w:val="24"/>
                <w:szCs w:val="24"/>
              </w:rPr>
            </w:pPr>
            <w:r>
              <w:rPr>
                <w:rFonts w:hint="eastAsia" w:ascii="仿宋" w:hAnsi="仿宋" w:eastAsia="仿宋"/>
                <w:b/>
                <w:color w:val="000000"/>
                <w:sz w:val="24"/>
                <w:szCs w:val="24"/>
              </w:rPr>
              <w:t>所在</w:t>
            </w:r>
          </w:p>
          <w:p>
            <w:pPr>
              <w:spacing w:line="320" w:lineRule="exact"/>
              <w:jc w:val="center"/>
              <w:rPr>
                <w:rFonts w:hint="eastAsia" w:ascii="仿宋" w:hAnsi="仿宋" w:eastAsia="仿宋"/>
                <w:b/>
                <w:color w:val="000000"/>
                <w:sz w:val="24"/>
                <w:szCs w:val="24"/>
              </w:rPr>
            </w:pPr>
            <w:r>
              <w:rPr>
                <w:rFonts w:hint="eastAsia" w:ascii="仿宋" w:hAnsi="仿宋" w:eastAsia="仿宋"/>
                <w:b/>
                <w:color w:val="000000"/>
                <w:sz w:val="24"/>
                <w:szCs w:val="24"/>
              </w:rPr>
              <w:t>层数</w:t>
            </w:r>
          </w:p>
        </w:tc>
        <w:tc>
          <w:tcPr>
            <w:tcW w:w="1440" w:type="dxa"/>
            <w:noWrap w:val="0"/>
            <w:vAlign w:val="center"/>
          </w:tcPr>
          <w:p>
            <w:pPr>
              <w:spacing w:line="320" w:lineRule="exact"/>
              <w:jc w:val="center"/>
              <w:rPr>
                <w:rFonts w:hint="eastAsia" w:ascii="仿宋" w:hAnsi="仿宋" w:eastAsia="仿宋"/>
                <w:b/>
                <w:color w:val="000000"/>
                <w:sz w:val="24"/>
                <w:szCs w:val="24"/>
              </w:rPr>
            </w:pPr>
            <w:r>
              <w:rPr>
                <w:rFonts w:hint="eastAsia" w:ascii="仿宋" w:hAnsi="仿宋" w:eastAsia="仿宋"/>
                <w:b/>
                <w:color w:val="000000"/>
                <w:sz w:val="24"/>
                <w:szCs w:val="24"/>
              </w:rPr>
              <w:t>建筑面积</w:t>
            </w:r>
          </w:p>
          <w:p>
            <w:pPr>
              <w:spacing w:line="320" w:lineRule="exact"/>
              <w:jc w:val="center"/>
              <w:rPr>
                <w:rFonts w:hint="eastAsia" w:ascii="仿宋" w:hAnsi="仿宋" w:eastAsia="仿宋"/>
                <w:b/>
                <w:color w:val="000000"/>
                <w:sz w:val="24"/>
                <w:szCs w:val="24"/>
              </w:rPr>
            </w:pPr>
            <w:r>
              <w:rPr>
                <w:rFonts w:hint="eastAsia" w:ascii="仿宋" w:hAnsi="仿宋" w:eastAsia="仿宋"/>
                <w:b/>
                <w:color w:val="000000"/>
                <w:sz w:val="24"/>
                <w:szCs w:val="24"/>
              </w:rPr>
              <w:t>（㎡）</w:t>
            </w:r>
          </w:p>
        </w:tc>
        <w:tc>
          <w:tcPr>
            <w:tcW w:w="1440" w:type="dxa"/>
            <w:noWrap w:val="0"/>
            <w:vAlign w:val="center"/>
          </w:tcPr>
          <w:p>
            <w:pPr>
              <w:spacing w:line="320" w:lineRule="exact"/>
              <w:jc w:val="center"/>
              <w:rPr>
                <w:rFonts w:hint="eastAsia" w:ascii="仿宋" w:hAnsi="仿宋" w:eastAsia="仿宋"/>
                <w:b/>
                <w:color w:val="000000"/>
                <w:sz w:val="24"/>
                <w:szCs w:val="24"/>
              </w:rPr>
            </w:pPr>
            <w:r>
              <w:rPr>
                <w:rFonts w:hint="eastAsia" w:ascii="仿宋" w:hAnsi="仿宋" w:eastAsia="仿宋"/>
                <w:b/>
                <w:color w:val="000000"/>
                <w:sz w:val="24"/>
                <w:szCs w:val="24"/>
              </w:rPr>
              <w:t>评估单价</w:t>
            </w:r>
          </w:p>
          <w:p>
            <w:pPr>
              <w:spacing w:line="320" w:lineRule="exact"/>
              <w:jc w:val="center"/>
              <w:rPr>
                <w:rFonts w:hint="eastAsia" w:ascii="仿宋" w:hAnsi="仿宋" w:eastAsia="仿宋"/>
                <w:b/>
                <w:color w:val="000000"/>
                <w:sz w:val="24"/>
                <w:szCs w:val="24"/>
              </w:rPr>
            </w:pPr>
            <w:r>
              <w:rPr>
                <w:rFonts w:hint="eastAsia" w:ascii="仿宋" w:hAnsi="仿宋" w:eastAsia="仿宋"/>
                <w:b/>
                <w:color w:val="000000"/>
                <w:sz w:val="24"/>
                <w:szCs w:val="24"/>
              </w:rPr>
              <w:t>（</w:t>
            </w:r>
            <w:r>
              <w:rPr>
                <w:rFonts w:hint="eastAsia" w:ascii="仿宋" w:hAnsi="仿宋" w:eastAsia="仿宋"/>
                <w:b/>
                <w:color w:val="000000"/>
                <w:szCs w:val="21"/>
              </w:rPr>
              <w:t>元</w:t>
            </w:r>
            <w:r>
              <w:rPr>
                <w:rFonts w:hint="eastAsia" w:ascii="仿宋" w:hAnsi="仿宋" w:eastAsia="仿宋"/>
                <w:b/>
                <w:color w:val="000000"/>
                <w:sz w:val="24"/>
                <w:szCs w:val="24"/>
              </w:rPr>
              <w:t>/㎡）</w:t>
            </w:r>
          </w:p>
        </w:tc>
        <w:tc>
          <w:tcPr>
            <w:tcW w:w="1806" w:type="dxa"/>
            <w:noWrap w:val="0"/>
            <w:vAlign w:val="center"/>
          </w:tcPr>
          <w:p>
            <w:pPr>
              <w:spacing w:line="320" w:lineRule="exact"/>
              <w:jc w:val="center"/>
              <w:rPr>
                <w:rFonts w:hint="eastAsia" w:ascii="仿宋" w:hAnsi="仿宋" w:eastAsia="仿宋"/>
                <w:b/>
                <w:color w:val="000000"/>
                <w:sz w:val="24"/>
                <w:szCs w:val="24"/>
              </w:rPr>
            </w:pPr>
            <w:r>
              <w:rPr>
                <w:rFonts w:hint="eastAsia" w:ascii="仿宋" w:hAnsi="仿宋" w:eastAsia="仿宋"/>
                <w:b/>
                <w:color w:val="000000"/>
                <w:sz w:val="24"/>
                <w:szCs w:val="24"/>
              </w:rPr>
              <w:t>评估总价</w:t>
            </w:r>
          </w:p>
          <w:p>
            <w:pPr>
              <w:spacing w:line="320" w:lineRule="exact"/>
              <w:jc w:val="center"/>
              <w:rPr>
                <w:rFonts w:hint="eastAsia" w:ascii="仿宋" w:hAnsi="仿宋" w:eastAsia="仿宋"/>
                <w:b/>
                <w:color w:val="000000"/>
                <w:sz w:val="24"/>
                <w:szCs w:val="24"/>
              </w:rPr>
            </w:pPr>
            <w:r>
              <w:rPr>
                <w:rFonts w:hint="eastAsia" w:ascii="仿宋" w:hAnsi="仿宋" w:eastAsia="仿宋"/>
                <w:b/>
                <w:color w:val="000000"/>
                <w:sz w:val="24"/>
                <w:szCs w:val="24"/>
              </w:rPr>
              <w:t>（取整至万元）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府东街东段68号10幢1001号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237.31</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17866</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府东街东段68号10幢1002号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213.53</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17700</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府东街东段68号10幢1003号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314.49</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17013</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4</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府东街东段68号10幢1004号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326.67</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17693</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5</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府东街东段68号10幢1005号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213.53</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17877</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6</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府东街东段68号10幢1006号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314.02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17183</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7</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府东街东段68号10幢1007号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332.39</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17339</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8</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府东街东段68号10幢1008号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213.89</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18047</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9</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府东街东段68号10幢1009号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313.67</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17346</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10</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府东街东段68号10幢1010号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247.99</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17339</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11</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府东街东段68号10幢1011号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189.52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17509</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府东街东段68号11幢1001号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275.45</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16462</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13</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府东街东段68号11幢1002号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274.37</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16462</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14</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府东街东段68号11幢1003号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273.57</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16462</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15</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府东街东段68号11幢1004号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213.73</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16652</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府东街东段68号11幢1005号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314.91</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16005</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府东街东段68号11幢1006号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326.97</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16646</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18</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府东街东段68号11幢1007号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213.73</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16652</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19</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府东街东段68号11幢1008号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314.91</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16005</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20</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府东街东段68号11幢1009号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334.54</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16489</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21</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府东街东段68号11幢1010号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214.08</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16985</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22</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府东街东段68号11幢1011号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314.56</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17346</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23</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府东街东段68号11幢1012号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341.77</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18040</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57"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24</w:t>
            </w:r>
          </w:p>
        </w:tc>
        <w:tc>
          <w:tcPr>
            <w:tcW w:w="3372"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府东街东段68号11幢1013号</w:t>
            </w:r>
          </w:p>
        </w:tc>
        <w:tc>
          <w:tcPr>
            <w:tcW w:w="90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1-2</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160.37</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18581</w:t>
            </w: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729" w:type="dxa"/>
            <w:gridSpan w:val="3"/>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b/>
                <w:color w:val="000000"/>
                <w:sz w:val="24"/>
                <w:szCs w:val="24"/>
              </w:rPr>
              <w:t>合   计</w:t>
            </w:r>
          </w:p>
        </w:tc>
        <w:tc>
          <w:tcPr>
            <w:tcW w:w="1440"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6489.97</w:t>
            </w:r>
          </w:p>
        </w:tc>
        <w:tc>
          <w:tcPr>
            <w:tcW w:w="1440" w:type="dxa"/>
            <w:noWrap w:val="0"/>
            <w:vAlign w:val="center"/>
          </w:tcPr>
          <w:p>
            <w:pPr>
              <w:spacing w:line="460" w:lineRule="exact"/>
              <w:jc w:val="center"/>
              <w:rPr>
                <w:rFonts w:hint="eastAsia" w:ascii="仿宋" w:hAnsi="仿宋" w:eastAsia="仿宋"/>
                <w:color w:val="000000"/>
                <w:sz w:val="24"/>
                <w:szCs w:val="24"/>
              </w:rPr>
            </w:pPr>
          </w:p>
        </w:tc>
        <w:tc>
          <w:tcPr>
            <w:tcW w:w="1806" w:type="dxa"/>
            <w:noWrap w:val="0"/>
            <w:vAlign w:val="center"/>
          </w:tcPr>
          <w:p>
            <w:pPr>
              <w:spacing w:line="460" w:lineRule="exact"/>
              <w:jc w:val="center"/>
              <w:rPr>
                <w:rFonts w:hint="eastAsia" w:ascii="仿宋" w:hAnsi="仿宋" w:eastAsia="仿宋"/>
                <w:color w:val="000000"/>
                <w:sz w:val="24"/>
                <w:szCs w:val="24"/>
              </w:rPr>
            </w:pPr>
            <w:r>
              <w:rPr>
                <w:rFonts w:hint="eastAsia" w:ascii="仿宋" w:hAnsi="仿宋" w:eastAsia="仿宋"/>
                <w:color w:val="000000"/>
                <w:sz w:val="24"/>
                <w:szCs w:val="24"/>
              </w:rPr>
              <w:t>11099</w:t>
            </w:r>
          </w:p>
        </w:tc>
      </w:tr>
    </w:tbl>
    <w:p>
      <w:pPr>
        <w:pStyle w:val="2"/>
        <w:rPr>
          <w:rFonts w:hint="eastAsia"/>
        </w:rPr>
      </w:pPr>
    </w:p>
    <w:p>
      <w:pPr>
        <w:pStyle w:val="2"/>
      </w:pPr>
      <w:r>
        <w:rPr>
          <w:rFonts w:hint="eastAsia"/>
        </w:rPr>
        <w:t>估价假设和限制条件</w:t>
      </w:r>
    </w:p>
    <w:p/>
    <w:p>
      <w:pPr>
        <w:spacing w:line="360" w:lineRule="auto"/>
        <w:ind w:firstLine="562" w:firstLineChars="200"/>
        <w:rPr>
          <w:rFonts w:hint="eastAsia" w:ascii="仿宋" w:hAnsi="仿宋" w:eastAsia="仿宋"/>
          <w:b/>
          <w:sz w:val="28"/>
        </w:rPr>
      </w:pPr>
      <w:bookmarkStart w:id="0" w:name="_Toc267038891"/>
      <w:bookmarkStart w:id="1" w:name="_Toc262130450"/>
      <w:r>
        <w:rPr>
          <w:rFonts w:hint="eastAsia" w:ascii="仿宋" w:hAnsi="仿宋" w:eastAsia="仿宋"/>
          <w:b/>
          <w:sz w:val="28"/>
        </w:rPr>
        <w:t>一、一般假设</w:t>
      </w:r>
      <w:bookmarkEnd w:id="0"/>
      <w:bookmarkEnd w:id="1"/>
    </w:p>
    <w:p>
      <w:pPr>
        <w:spacing w:line="360" w:lineRule="auto"/>
        <w:ind w:firstLine="560" w:firstLineChars="200"/>
        <w:rPr>
          <w:rFonts w:ascii="仿宋" w:hAnsi="仿宋" w:eastAsia="仿宋"/>
          <w:sz w:val="28"/>
        </w:rPr>
      </w:pPr>
      <w:r>
        <w:rPr>
          <w:rFonts w:hint="eastAsia" w:ascii="仿宋" w:hAnsi="仿宋" w:eastAsia="仿宋"/>
          <w:sz w:val="28"/>
        </w:rPr>
        <w:t>一般假设是指估价项目通常有的、常见的估价假设，包括对估价所依据的估价委托人提供的估价对象的权属、面积、用途等资料进行了审慎检查，在无理由怀疑其合法性、真实性、准确性和完整性且未予以核实的情况下，对其合法、真实、准确和完整的合理假定；对房屋安全、环境污染等影响估价对象存在安全隐患且无响应的专业机构进行鉴定、检测的情况下，对其安全的合理假定。本估价报告一般假设如下：</w:t>
      </w:r>
    </w:p>
    <w:p>
      <w:pPr>
        <w:spacing w:line="360" w:lineRule="auto"/>
        <w:ind w:left="1" w:firstLine="560" w:firstLineChars="200"/>
        <w:rPr>
          <w:rFonts w:hint="eastAsia" w:ascii="仿宋" w:hAnsi="仿宋" w:eastAsia="仿宋"/>
          <w:sz w:val="28"/>
        </w:rPr>
      </w:pPr>
      <w:r>
        <w:rPr>
          <w:rFonts w:ascii="仿宋" w:hAnsi="仿宋" w:eastAsia="仿宋"/>
          <w:color w:val="000000"/>
          <w:sz w:val="28"/>
        </w:rPr>
        <w:t>1</w:t>
      </w:r>
      <w:r>
        <w:rPr>
          <w:rFonts w:hint="eastAsia" w:ascii="仿宋" w:hAnsi="仿宋" w:eastAsia="仿宋"/>
          <w:color w:val="000000"/>
          <w:sz w:val="28"/>
        </w:rPr>
        <w:t>、估价对象24套商业用房未办理</w:t>
      </w:r>
      <w:r>
        <w:rPr>
          <w:rFonts w:hint="eastAsia" w:ascii="仿宋" w:hAnsi="仿宋" w:eastAsia="仿宋"/>
          <w:sz w:val="28"/>
        </w:rPr>
        <w:t>《房屋所有权证》《国有土地使用证》，</w:t>
      </w:r>
      <w:r>
        <w:rPr>
          <w:rFonts w:hint="eastAsia" w:ascii="仿宋" w:hAnsi="仿宋" w:eastAsia="仿宋"/>
          <w:color w:val="000000"/>
          <w:sz w:val="28"/>
        </w:rPr>
        <w:t>委托人提供了</w:t>
      </w:r>
      <w:r>
        <w:rPr>
          <w:rFonts w:hint="eastAsia" w:ascii="仿宋" w:hAnsi="仿宋" w:eastAsia="仿宋"/>
          <w:sz w:val="28"/>
        </w:rPr>
        <w:t>《太原市商品房建筑面积预测报告书（预测成果）》、《商品房预售许可证》、《竣工验收证明书》等复印件，估价师向太原市档案馆调取了《国有建设用地使用权出让合同》,估价对象宗地《国有土地使用证》，应委托人的要求本次</w:t>
      </w:r>
      <w:r>
        <w:rPr>
          <w:rFonts w:ascii="仿宋" w:hAnsi="仿宋" w:eastAsia="仿宋"/>
          <w:sz w:val="28"/>
        </w:rPr>
        <w:t>估价报告中所采用的房屋</w:t>
      </w:r>
      <w:r>
        <w:rPr>
          <w:rFonts w:hint="eastAsia" w:ascii="仿宋" w:hAnsi="仿宋" w:eastAsia="仿宋"/>
          <w:sz w:val="28"/>
        </w:rPr>
        <w:t>面积数据以《太原市商品房建筑面积预测报告书（预测成果）》为准，</w:t>
      </w:r>
      <w:r>
        <w:rPr>
          <w:rFonts w:ascii="仿宋" w:hAnsi="仿宋" w:eastAsia="仿宋"/>
          <w:sz w:val="28"/>
        </w:rPr>
        <w:t>估价报告中所采用</w:t>
      </w:r>
      <w:r>
        <w:rPr>
          <w:rFonts w:hint="eastAsia" w:ascii="仿宋" w:hAnsi="仿宋" w:eastAsia="仿宋"/>
          <w:sz w:val="28"/>
        </w:rPr>
        <w:t>的</w:t>
      </w:r>
      <w:r>
        <w:rPr>
          <w:rFonts w:ascii="仿宋" w:hAnsi="仿宋" w:eastAsia="仿宋"/>
          <w:sz w:val="28"/>
        </w:rPr>
        <w:t>土地使用权的面积、性质、用途等权益状况</w:t>
      </w:r>
      <w:r>
        <w:rPr>
          <w:rFonts w:hint="eastAsia" w:ascii="仿宋" w:hAnsi="仿宋" w:eastAsia="仿宋"/>
          <w:sz w:val="28"/>
        </w:rPr>
        <w:t>以《国有建设用地使用权出让合同》《国有土地使用证》记载的信息为准。</w:t>
      </w:r>
    </w:p>
    <w:p>
      <w:pPr>
        <w:spacing w:line="360" w:lineRule="auto"/>
        <w:ind w:firstLine="560" w:firstLineChars="200"/>
        <w:rPr>
          <w:rFonts w:ascii="仿宋" w:hAnsi="仿宋" w:eastAsia="仿宋"/>
          <w:color w:val="000000"/>
          <w:sz w:val="28"/>
        </w:rPr>
      </w:pPr>
      <w:r>
        <w:rPr>
          <w:rFonts w:hint="eastAsia" w:ascii="仿宋" w:hAnsi="仿宋" w:eastAsia="仿宋"/>
          <w:color w:val="000000"/>
          <w:sz w:val="28"/>
        </w:rPr>
        <w:t>2、注册房地产估价师已对房屋安全、环境污染等影响估价对象价值的重大因素给予了关注，在无理由怀疑估价对象存在安全隐患且无相应的专业机构进行鉴定、检测的情况下，假定估价对象能正常安全使用。</w:t>
      </w:r>
    </w:p>
    <w:p>
      <w:pPr>
        <w:spacing w:line="360" w:lineRule="auto"/>
        <w:ind w:firstLine="560" w:firstLineChars="200"/>
        <w:rPr>
          <w:rFonts w:ascii="仿宋" w:hAnsi="仿宋" w:eastAsia="仿宋"/>
          <w:sz w:val="28"/>
        </w:rPr>
      </w:pPr>
      <w:r>
        <w:rPr>
          <w:rFonts w:hint="eastAsia" w:ascii="仿宋" w:hAnsi="仿宋" w:eastAsia="仿宋"/>
          <w:sz w:val="28"/>
        </w:rPr>
        <w:t>3、估价对象在合法前提下，按其现状用途使用能够产生最高最佳使用效益，并在未来能够得以持续。</w:t>
      </w:r>
    </w:p>
    <w:p>
      <w:pPr>
        <w:spacing w:line="360" w:lineRule="auto"/>
        <w:ind w:firstLine="560" w:firstLineChars="200"/>
        <w:rPr>
          <w:rFonts w:ascii="仿宋" w:hAnsi="仿宋" w:eastAsia="仿宋"/>
          <w:sz w:val="28"/>
        </w:rPr>
      </w:pPr>
      <w:r>
        <w:rPr>
          <w:rFonts w:hint="eastAsia" w:ascii="仿宋" w:hAnsi="仿宋" w:eastAsia="仿宋"/>
          <w:sz w:val="28"/>
        </w:rPr>
        <w:t>4、估价对象与其它生产要素相结合，能满足其法定剩余使用年限的正常使用要求，并得到有效合理使用。</w:t>
      </w:r>
    </w:p>
    <w:p>
      <w:pPr>
        <w:spacing w:line="360" w:lineRule="auto"/>
        <w:ind w:firstLine="560" w:firstLineChars="200"/>
        <w:rPr>
          <w:rFonts w:ascii="仿宋" w:hAnsi="仿宋" w:eastAsia="仿宋"/>
          <w:sz w:val="28"/>
        </w:rPr>
      </w:pPr>
      <w:r>
        <w:rPr>
          <w:rFonts w:hint="eastAsia" w:ascii="仿宋" w:hAnsi="仿宋" w:eastAsia="仿宋"/>
          <w:sz w:val="28"/>
        </w:rPr>
        <w:t>5、产权人拥有估价对象完全的产权权益，包括房屋所有权和国有土地使用权，但本报告披露的他项权利、规划限制和权利瑕疵等除外。</w:t>
      </w:r>
    </w:p>
    <w:p>
      <w:pPr>
        <w:spacing w:line="360" w:lineRule="auto"/>
        <w:ind w:firstLine="540"/>
        <w:rPr>
          <w:rFonts w:hint="eastAsia" w:ascii="仿宋" w:hAnsi="仿宋" w:eastAsia="仿宋"/>
          <w:b/>
          <w:sz w:val="28"/>
        </w:rPr>
      </w:pPr>
      <w:bookmarkStart w:id="2" w:name="_Toc262130451"/>
      <w:bookmarkStart w:id="3" w:name="_Toc267038892"/>
      <w:r>
        <w:rPr>
          <w:rFonts w:hint="eastAsia" w:ascii="仿宋" w:hAnsi="仿宋" w:eastAsia="仿宋"/>
          <w:b/>
          <w:sz w:val="28"/>
        </w:rPr>
        <w:t>二、</w:t>
      </w:r>
      <w:bookmarkEnd w:id="2"/>
      <w:bookmarkEnd w:id="3"/>
      <w:r>
        <w:rPr>
          <w:rFonts w:hint="eastAsia" w:ascii="仿宋" w:hAnsi="仿宋" w:eastAsia="仿宋"/>
          <w:b/>
          <w:sz w:val="28"/>
        </w:rPr>
        <w:t>未定事项假设</w:t>
      </w:r>
    </w:p>
    <w:p>
      <w:pPr>
        <w:spacing w:line="360" w:lineRule="auto"/>
        <w:ind w:firstLine="540"/>
        <w:rPr>
          <w:rFonts w:hint="eastAsia" w:ascii="仿宋" w:hAnsi="仿宋" w:eastAsia="仿宋"/>
          <w:sz w:val="28"/>
        </w:rPr>
      </w:pPr>
      <w:r>
        <w:rPr>
          <w:rFonts w:hint="eastAsia" w:ascii="仿宋" w:hAnsi="仿宋" w:eastAsia="仿宋"/>
          <w:sz w:val="28"/>
        </w:rPr>
        <w:t>未定事项假设是指对估价所必须的尚未明确或不够明确的土地用途、容积率等事项所做的合理的、最可能的假定。</w:t>
      </w:r>
    </w:p>
    <w:p>
      <w:pPr>
        <w:spacing w:line="360" w:lineRule="auto"/>
        <w:ind w:firstLine="540"/>
        <w:rPr>
          <w:rFonts w:hint="eastAsia" w:ascii="仿宋" w:hAnsi="仿宋" w:eastAsia="仿宋"/>
          <w:sz w:val="28"/>
        </w:rPr>
      </w:pPr>
      <w:r>
        <w:rPr>
          <w:rFonts w:hint="eastAsia" w:ascii="仿宋" w:hAnsi="仿宋" w:eastAsia="仿宋"/>
          <w:sz w:val="28"/>
        </w:rPr>
        <w:t>本次估价无未定事项假设。</w:t>
      </w:r>
    </w:p>
    <w:p>
      <w:pPr>
        <w:spacing w:line="360" w:lineRule="auto"/>
        <w:ind w:firstLine="540"/>
        <w:rPr>
          <w:rFonts w:hint="eastAsia" w:ascii="仿宋" w:hAnsi="仿宋" w:eastAsia="仿宋"/>
          <w:b/>
          <w:sz w:val="28"/>
        </w:rPr>
      </w:pPr>
      <w:r>
        <w:rPr>
          <w:rFonts w:hint="eastAsia" w:ascii="仿宋" w:hAnsi="仿宋" w:eastAsia="仿宋"/>
          <w:b/>
          <w:sz w:val="28"/>
        </w:rPr>
        <w:t>三、背离事实假设</w:t>
      </w:r>
    </w:p>
    <w:p>
      <w:pPr>
        <w:spacing w:line="360" w:lineRule="auto"/>
        <w:ind w:firstLine="540"/>
        <w:rPr>
          <w:rFonts w:hint="eastAsia" w:ascii="仿宋" w:hAnsi="仿宋" w:eastAsia="仿宋"/>
          <w:sz w:val="28"/>
        </w:rPr>
      </w:pPr>
      <w:r>
        <w:rPr>
          <w:rFonts w:hint="eastAsia" w:ascii="仿宋" w:hAnsi="仿宋" w:eastAsia="仿宋"/>
          <w:sz w:val="28"/>
        </w:rPr>
        <w:t>背离事实假设是指因估价目的的特殊需要、交易条件设定或约定，对估价对象状况所做的与估价对象在价值时点的状况不一致的合理假定。</w:t>
      </w:r>
    </w:p>
    <w:p>
      <w:pPr>
        <w:spacing w:line="360" w:lineRule="auto"/>
        <w:ind w:firstLine="540"/>
        <w:rPr>
          <w:rFonts w:ascii="仿宋" w:hAnsi="仿宋" w:eastAsia="仿宋"/>
          <w:color w:val="000000"/>
          <w:sz w:val="28"/>
        </w:rPr>
      </w:pPr>
      <w:r>
        <w:rPr>
          <w:rFonts w:hint="eastAsia" w:ascii="仿宋" w:hAnsi="仿宋" w:eastAsia="仿宋"/>
          <w:sz w:val="28"/>
        </w:rPr>
        <w:t>估价对象已处于查封状态，</w:t>
      </w:r>
      <w:r>
        <w:rPr>
          <w:rFonts w:hint="eastAsia" w:ascii="仿宋" w:hAnsi="仿宋" w:eastAsia="仿宋"/>
          <w:color w:val="000000"/>
          <w:sz w:val="28"/>
        </w:rPr>
        <w:t>由于本次评估</w:t>
      </w:r>
      <w:r>
        <w:rPr>
          <w:rFonts w:ascii="仿宋" w:hAnsi="仿宋" w:eastAsia="仿宋"/>
          <w:color w:val="000000"/>
          <w:sz w:val="28"/>
        </w:rPr>
        <w:t>估价目的</w:t>
      </w:r>
      <w:r>
        <w:rPr>
          <w:rFonts w:hint="eastAsia" w:ascii="仿宋" w:hAnsi="仿宋" w:eastAsia="仿宋"/>
          <w:color w:val="000000"/>
          <w:sz w:val="28"/>
        </w:rPr>
        <w:t>的特殊需要，本次估价是假设估价对象在未查封状态的前提下进行估价，未考虑查封对房地产价值的影响。</w:t>
      </w:r>
    </w:p>
    <w:p>
      <w:pPr>
        <w:spacing w:line="360" w:lineRule="auto"/>
        <w:ind w:firstLine="540"/>
        <w:rPr>
          <w:rFonts w:hint="eastAsia" w:ascii="仿宋" w:hAnsi="仿宋" w:eastAsia="仿宋"/>
          <w:b/>
          <w:sz w:val="28"/>
        </w:rPr>
      </w:pPr>
      <w:r>
        <w:rPr>
          <w:rFonts w:hint="eastAsia" w:ascii="仿宋" w:hAnsi="仿宋" w:eastAsia="仿宋"/>
          <w:b/>
          <w:sz w:val="28"/>
        </w:rPr>
        <w:t>四、不相一致假设</w:t>
      </w:r>
    </w:p>
    <w:p>
      <w:pPr>
        <w:spacing w:line="360" w:lineRule="auto"/>
        <w:ind w:firstLine="540"/>
        <w:rPr>
          <w:rFonts w:hint="eastAsia" w:ascii="仿宋" w:hAnsi="仿宋" w:eastAsia="仿宋"/>
          <w:sz w:val="28"/>
        </w:rPr>
      </w:pPr>
      <w:r>
        <w:rPr>
          <w:rFonts w:hint="eastAsia" w:ascii="仿宋" w:hAnsi="仿宋" w:eastAsia="仿宋"/>
          <w:sz w:val="28"/>
        </w:rPr>
        <w:t>不相一致假设是指在估价对象的实际用途、房屋登记用途、土地登记用途、规划用途之间不一致，或房屋权属证明、土地权属证明等权属证明上的权利人之间不一致，估价对象的名称不一致等情况下，对估价所依据的用途或权利人、名称等的合理假定。</w:t>
      </w:r>
    </w:p>
    <w:p>
      <w:pPr>
        <w:spacing w:line="360" w:lineRule="auto"/>
        <w:ind w:firstLine="540"/>
        <w:rPr>
          <w:rFonts w:hint="eastAsia" w:ascii="仿宋" w:hAnsi="仿宋" w:eastAsia="仿宋"/>
          <w:sz w:val="28"/>
        </w:rPr>
      </w:pPr>
      <w:r>
        <w:rPr>
          <w:rFonts w:hint="eastAsia" w:ascii="仿宋" w:hAnsi="仿宋" w:eastAsia="仿宋"/>
          <w:sz w:val="28"/>
        </w:rPr>
        <w:t>本次估价无不相一致假设。</w:t>
      </w:r>
    </w:p>
    <w:p>
      <w:pPr>
        <w:spacing w:line="360" w:lineRule="auto"/>
        <w:ind w:firstLine="540"/>
        <w:rPr>
          <w:rFonts w:hint="eastAsia" w:ascii="仿宋" w:hAnsi="仿宋" w:eastAsia="仿宋"/>
          <w:b/>
          <w:sz w:val="28"/>
        </w:rPr>
      </w:pPr>
      <w:r>
        <w:rPr>
          <w:rFonts w:hint="eastAsia" w:ascii="仿宋" w:hAnsi="仿宋" w:eastAsia="仿宋"/>
          <w:b/>
          <w:sz w:val="28"/>
        </w:rPr>
        <w:t>五、依据不足假设</w:t>
      </w:r>
    </w:p>
    <w:p>
      <w:pPr>
        <w:spacing w:line="360" w:lineRule="auto"/>
        <w:ind w:firstLine="540"/>
        <w:rPr>
          <w:rFonts w:hint="eastAsia" w:ascii="仿宋" w:hAnsi="仿宋" w:eastAsia="仿宋"/>
          <w:sz w:val="28"/>
        </w:rPr>
      </w:pPr>
      <w:r>
        <w:rPr>
          <w:rFonts w:hint="eastAsia" w:ascii="仿宋" w:hAnsi="仿宋" w:eastAsia="仿宋"/>
          <w:sz w:val="28"/>
        </w:rPr>
        <w:t>依据不足假设是指在估价委托人无法提供估价所必需的反映估价对象状况的资料以及注册房地产估价师进行了尽职调查仍然难以取得该资料的情况下，对缺少该资料的说明以及对相应的估价对象状况的合理假定。</w:t>
      </w:r>
    </w:p>
    <w:p>
      <w:pPr>
        <w:spacing w:line="360" w:lineRule="auto"/>
        <w:ind w:firstLine="540"/>
        <w:rPr>
          <w:rFonts w:hint="eastAsia" w:ascii="仿宋" w:hAnsi="仿宋" w:eastAsia="仿宋"/>
          <w:sz w:val="28"/>
        </w:rPr>
      </w:pPr>
      <w:r>
        <w:rPr>
          <w:rFonts w:hint="eastAsia" w:ascii="仿宋" w:hAnsi="仿宋" w:eastAsia="仿宋"/>
          <w:sz w:val="28"/>
        </w:rPr>
        <w:t>本次估价无依据不足假设。</w:t>
      </w:r>
    </w:p>
    <w:p>
      <w:pPr>
        <w:spacing w:line="360" w:lineRule="auto"/>
        <w:ind w:firstLine="540"/>
        <w:rPr>
          <w:rFonts w:hint="eastAsia" w:ascii="仿宋" w:hAnsi="仿宋" w:eastAsia="仿宋"/>
          <w:b/>
          <w:sz w:val="28"/>
        </w:rPr>
      </w:pPr>
      <w:r>
        <w:rPr>
          <w:rFonts w:hint="eastAsia" w:ascii="仿宋" w:hAnsi="仿宋" w:eastAsia="仿宋"/>
          <w:b/>
          <w:sz w:val="28"/>
        </w:rPr>
        <w:t>六、报告使用限制及特殊说明</w:t>
      </w:r>
    </w:p>
    <w:p>
      <w:pPr>
        <w:spacing w:line="360" w:lineRule="auto"/>
        <w:ind w:firstLine="540"/>
        <w:rPr>
          <w:rFonts w:hint="eastAsia" w:ascii="仿宋" w:hAnsi="仿宋" w:eastAsia="仿宋"/>
          <w:spacing w:val="-6"/>
          <w:sz w:val="28"/>
        </w:rPr>
      </w:pPr>
      <w:r>
        <w:rPr>
          <w:rFonts w:hint="eastAsia" w:ascii="仿宋" w:hAnsi="仿宋" w:eastAsia="仿宋"/>
          <w:sz w:val="28"/>
        </w:rPr>
        <w:t>（一）本估价报告使用期限自估价报告出具之日起为壹年。即自2020年3月26日至2021年3月25日止。若报告使用期限内，房地产市场或</w:t>
      </w:r>
      <w:r>
        <w:rPr>
          <w:rFonts w:hint="eastAsia" w:ascii="仿宋" w:hAnsi="仿宋" w:eastAsia="仿宋"/>
          <w:spacing w:val="-6"/>
          <w:sz w:val="28"/>
        </w:rPr>
        <w:t>估价对象状况发生重大变化，估价结果需做相应调整或委托估价机构重新估价。</w:t>
      </w:r>
    </w:p>
    <w:p>
      <w:pPr>
        <w:spacing w:line="360" w:lineRule="auto"/>
        <w:ind w:firstLine="560" w:firstLineChars="200"/>
        <w:rPr>
          <w:rFonts w:hint="eastAsia" w:ascii="仿宋" w:hAnsi="仿宋" w:eastAsia="仿宋"/>
          <w:sz w:val="28"/>
        </w:rPr>
      </w:pPr>
      <w:r>
        <w:rPr>
          <w:rFonts w:hint="eastAsia" w:ascii="仿宋" w:hAnsi="仿宋" w:eastAsia="仿宋"/>
          <w:sz w:val="28"/>
        </w:rPr>
        <w:t>（二）本次估价的价值时点至出具估价报告的时间较长，本次估价假设估价对象的房地产市场状况、房地产实物状况均没有发生变化。</w:t>
      </w:r>
    </w:p>
    <w:p>
      <w:pPr>
        <w:spacing w:line="360" w:lineRule="auto"/>
        <w:ind w:firstLine="560" w:firstLineChars="200"/>
        <w:rPr>
          <w:rFonts w:hint="eastAsia" w:eastAsia="仿宋"/>
          <w:sz w:val="28"/>
        </w:rPr>
      </w:pPr>
      <w:r>
        <w:rPr>
          <w:rFonts w:hint="eastAsia" w:ascii="仿宋" w:hAnsi="仿宋" w:eastAsia="仿宋"/>
          <w:sz w:val="28"/>
        </w:rPr>
        <w:t>（三）</w:t>
      </w:r>
      <w:r>
        <w:rPr>
          <w:rFonts w:hint="eastAsia" w:eastAsia="仿宋"/>
          <w:sz w:val="28"/>
        </w:rPr>
        <w:t>本次估价结果仅</w:t>
      </w:r>
      <w:r>
        <w:rPr>
          <w:rFonts w:hint="eastAsia" w:ascii="仿宋" w:hAnsi="仿宋" w:eastAsia="仿宋" w:cs="宋体"/>
          <w:sz w:val="28"/>
          <w:szCs w:val="28"/>
          <w:lang w:val="zh-CN"/>
        </w:rPr>
        <w:t>是为人民法院确定财产处置参考价提供参考依据。</w:t>
      </w:r>
      <w:r>
        <w:rPr>
          <w:rFonts w:hint="eastAsia" w:eastAsia="仿宋"/>
          <w:sz w:val="28"/>
        </w:rPr>
        <w:t>超出此范围无效，本评估机构不负法律责任。</w:t>
      </w:r>
    </w:p>
    <w:p>
      <w:pPr>
        <w:spacing w:line="360" w:lineRule="auto"/>
        <w:ind w:firstLine="560" w:firstLineChars="200"/>
        <w:rPr>
          <w:rFonts w:ascii="仿宋" w:hAnsi="仿宋" w:eastAsia="仿宋"/>
          <w:color w:val="000000"/>
          <w:sz w:val="28"/>
        </w:rPr>
      </w:pPr>
      <w:r>
        <w:rPr>
          <w:rFonts w:hint="eastAsia" w:ascii="仿宋" w:hAnsi="仿宋" w:eastAsia="仿宋"/>
          <w:sz w:val="28"/>
        </w:rPr>
        <w:t>（四）</w:t>
      </w:r>
      <w:r>
        <w:rPr>
          <w:rFonts w:hint="eastAsia" w:ascii="仿宋" w:hAnsi="仿宋" w:eastAsia="仿宋"/>
          <w:color w:val="000000"/>
          <w:sz w:val="28"/>
        </w:rPr>
        <w:t>估价报告需经本公司盖章及至少两名专职房地产估价师签字盖章后有效，报告只对盖章原件有效，复印件无法律效力。</w:t>
      </w:r>
    </w:p>
    <w:p>
      <w:pPr>
        <w:spacing w:line="360" w:lineRule="auto"/>
        <w:ind w:firstLine="560" w:firstLineChars="200"/>
        <w:rPr>
          <w:rFonts w:ascii="仿宋" w:hAnsi="仿宋" w:eastAsia="仿宋"/>
          <w:sz w:val="28"/>
        </w:rPr>
      </w:pPr>
      <w:r>
        <w:rPr>
          <w:rFonts w:hint="eastAsia" w:ascii="仿宋" w:hAnsi="仿宋" w:eastAsia="仿宋"/>
          <w:color w:val="000000"/>
          <w:sz w:val="28"/>
        </w:rPr>
        <w:t>（五）本房地产估价报告的内容及估价结论等事宜，由杭州登鑫房地产估价有限公司负责解释。未经杭州登鑫房地产估价有限公司同意，不得向委托方和按规定应报送的有关部门外的单位和个人提供，亦不得将全部或</w:t>
      </w:r>
      <w:r>
        <w:rPr>
          <w:rFonts w:hint="eastAsia" w:ascii="仿宋" w:hAnsi="仿宋" w:eastAsia="仿宋"/>
          <w:sz w:val="28"/>
        </w:rPr>
        <w:t>部分内容见诸于任何公开媒体。</w:t>
      </w:r>
    </w:p>
    <w:p>
      <w:pPr>
        <w:spacing w:line="360" w:lineRule="auto"/>
        <w:ind w:firstLine="560" w:firstLineChars="200"/>
        <w:rPr>
          <w:rFonts w:hint="eastAsia" w:ascii="仿宋" w:hAnsi="仿宋" w:eastAsia="仿宋"/>
          <w:color w:val="000000"/>
          <w:sz w:val="28"/>
        </w:rPr>
      </w:pPr>
      <w:r>
        <w:rPr>
          <w:rFonts w:hint="eastAsia" w:ascii="仿宋" w:hAnsi="仿宋" w:eastAsia="仿宋"/>
          <w:sz w:val="28"/>
        </w:rPr>
        <w:t>（六）报告中数据全部采用电算化连续计算得出，由于在报告中计算</w:t>
      </w:r>
      <w:r>
        <w:rPr>
          <w:rFonts w:hint="eastAsia" w:ascii="仿宋" w:hAnsi="仿宋" w:eastAsia="仿宋"/>
          <w:color w:val="000000"/>
          <w:sz w:val="28"/>
        </w:rPr>
        <w:t>的数据均按四舍五入取整，因此，可能出现个别等式左右不完全相等的情况，但不影响计算结果及最终评估结论的准确性。</w:t>
      </w:r>
    </w:p>
    <w:p>
      <w:pPr>
        <w:spacing w:line="360" w:lineRule="auto"/>
        <w:ind w:firstLine="560" w:firstLineChars="200"/>
        <w:rPr>
          <w:rFonts w:hint="eastAsia" w:ascii="仿宋" w:hAnsi="仿宋" w:eastAsia="仿宋"/>
          <w:sz w:val="28"/>
        </w:rPr>
      </w:pPr>
      <w:r>
        <w:rPr>
          <w:rFonts w:hint="eastAsia" w:ascii="仿宋" w:hAnsi="仿宋" w:eastAsia="仿宋"/>
          <w:sz w:val="28"/>
        </w:rPr>
        <w:t>(七)本次估价结果已考虑涉执房地产处置过程中交易税费负担方式对评估结果的影响。</w:t>
      </w:r>
    </w:p>
    <w:p>
      <w:pPr>
        <w:spacing w:line="360" w:lineRule="auto"/>
        <w:ind w:firstLine="560" w:firstLineChars="200"/>
        <w:rPr>
          <w:rFonts w:hint="eastAsia" w:ascii="仿宋" w:hAnsi="仿宋" w:eastAsia="仿宋"/>
          <w:sz w:val="28"/>
        </w:rPr>
      </w:pPr>
      <w:r>
        <w:rPr>
          <w:rFonts w:hint="eastAsia" w:ascii="仿宋" w:hAnsi="仿宋" w:eastAsia="仿宋"/>
          <w:sz w:val="28"/>
        </w:rPr>
        <w:t>（八）本次评估结果不等于评估对象处置可实现的成交价，不应被认为是对评估对象处置成交价的保证。</w:t>
      </w:r>
    </w:p>
    <w:p>
      <w:pPr>
        <w:spacing w:line="360" w:lineRule="auto"/>
        <w:ind w:firstLine="560" w:firstLineChars="200"/>
        <w:rPr>
          <w:rFonts w:hint="eastAsia" w:ascii="仿宋" w:hAnsi="仿宋" w:eastAsia="仿宋"/>
          <w:sz w:val="28"/>
        </w:rPr>
      </w:pPr>
      <w:r>
        <w:rPr>
          <w:rFonts w:hint="eastAsia" w:ascii="仿宋" w:hAnsi="仿宋" w:eastAsia="仿宋"/>
          <w:color w:val="000000"/>
          <w:sz w:val="28"/>
        </w:rPr>
        <w:t>（九）本评估报告中采用的房屋产权面积以</w:t>
      </w:r>
      <w:r>
        <w:rPr>
          <w:rFonts w:hint="eastAsia" w:ascii="仿宋" w:hAnsi="仿宋" w:eastAsia="仿宋"/>
          <w:sz w:val="28"/>
        </w:rPr>
        <w:t>《太原市商品房建筑面积预测报告书（预测成果）》为准，此（预测成果）仅为此评估报告计算使用，不作其他用途，如遇办理《房屋所有权证》等其他用途，以正式测绘报告面积为准，提请报告使用人注意。</w:t>
      </w:r>
    </w:p>
    <w:p>
      <w:pPr>
        <w:spacing w:line="360" w:lineRule="auto"/>
        <w:ind w:firstLine="560" w:firstLineChars="200"/>
        <w:rPr>
          <w:rFonts w:hint="eastAsia" w:ascii="仿宋" w:hAnsi="仿宋" w:eastAsia="仿宋"/>
          <w:sz w:val="28"/>
        </w:rPr>
      </w:pPr>
      <w:r>
        <w:rPr>
          <w:rFonts w:hint="eastAsia" w:ascii="仿宋" w:hAnsi="仿宋" w:eastAsia="仿宋"/>
          <w:sz w:val="28"/>
        </w:rPr>
        <w:t>（十）本次估价未考虑评估费、拍卖费、诉讼费、律师费等财产处置费用对评估结果的影响。</w:t>
      </w:r>
    </w:p>
    <w:p>
      <w:pPr>
        <w:spacing w:line="360" w:lineRule="auto"/>
        <w:ind w:firstLine="560" w:firstLineChars="200"/>
        <w:rPr>
          <w:rFonts w:hint="eastAsia" w:ascii="仿宋" w:hAnsi="仿宋" w:eastAsia="仿宋"/>
          <w:sz w:val="28"/>
        </w:rPr>
      </w:pPr>
      <w:r>
        <w:rPr>
          <w:rFonts w:hint="eastAsia" w:ascii="仿宋" w:hAnsi="仿宋" w:eastAsia="仿宋"/>
          <w:sz w:val="28"/>
        </w:rPr>
        <w:t>（十一）至价值时点，估价对象并未办理《房屋所有权证》，目前估价对象房屋所有权人为山西绿景房地产开发股份有限公司，各估价对象房地产是否能办理《房屋所有权证》，是否达到了办证条件，提请</w:t>
      </w:r>
      <w:r>
        <w:rPr>
          <w:rFonts w:ascii="仿宋" w:hAnsi="仿宋" w:eastAsia="仿宋"/>
          <w:sz w:val="28"/>
        </w:rPr>
        <w:t>竞买方</w:t>
      </w:r>
      <w:r>
        <w:rPr>
          <w:rFonts w:hint="eastAsia" w:ascii="仿宋" w:hAnsi="仿宋" w:eastAsia="仿宋"/>
          <w:sz w:val="28"/>
        </w:rPr>
        <w:t>去相关部门了解并及时</w:t>
      </w:r>
      <w:r>
        <w:rPr>
          <w:rFonts w:ascii="仿宋" w:hAnsi="仿宋" w:eastAsia="仿宋"/>
          <w:sz w:val="28"/>
        </w:rPr>
        <w:t>关注</w:t>
      </w:r>
      <w:r>
        <w:rPr>
          <w:rFonts w:hint="eastAsia" w:ascii="仿宋" w:hAnsi="仿宋" w:eastAsia="仿宋"/>
          <w:sz w:val="28"/>
        </w:rPr>
        <w:t>动态</w:t>
      </w:r>
      <w:r>
        <w:rPr>
          <w:rFonts w:ascii="仿宋" w:hAnsi="仿宋" w:eastAsia="仿宋"/>
          <w:sz w:val="28"/>
        </w:rPr>
        <w:t>。</w:t>
      </w:r>
    </w:p>
    <w:p>
      <w:pPr>
        <w:spacing w:line="360" w:lineRule="auto"/>
        <w:ind w:firstLine="560" w:firstLineChars="200"/>
        <w:rPr>
          <w:rFonts w:hint="eastAsia" w:ascii="仿宋" w:hAnsi="仿宋" w:eastAsia="仿宋"/>
          <w:sz w:val="28"/>
        </w:rPr>
      </w:pPr>
      <w:r>
        <w:rPr>
          <w:rFonts w:hint="eastAsia" w:ascii="仿宋" w:hAnsi="仿宋" w:eastAsia="仿宋"/>
          <w:sz w:val="28"/>
        </w:rPr>
        <w:t>（十二）处置税费。</w:t>
      </w:r>
      <w:r>
        <w:rPr>
          <w:rFonts w:ascii="仿宋" w:hAnsi="仿宋" w:eastAsia="仿宋"/>
          <w:sz w:val="28"/>
        </w:rPr>
        <w:t>本次评估价格不包括估价对象所有权人交易中应缴纳的各项税费，在拍卖成交后应缴纳的税费由买卖双方各自承担。估价对象交易过户涉及的税费主要为产权人需交纳增值税、城市维护建设税、教育费附加、地方教育费附加、土地增值税、印花税、企业所得税等，买受人需交纳契税。具体所缴数额以相关部门确认为准</w:t>
      </w:r>
      <w:r>
        <w:rPr>
          <w:rFonts w:hint="eastAsia" w:ascii="仿宋" w:hAnsi="仿宋" w:eastAsia="仿宋"/>
          <w:sz w:val="28"/>
        </w:rPr>
        <w:t>，</w:t>
      </w:r>
      <w:r>
        <w:rPr>
          <w:rFonts w:ascii="仿宋" w:hAnsi="仿宋" w:eastAsia="仿宋"/>
          <w:sz w:val="28"/>
        </w:rPr>
        <w:t>请委托方和竞买方予以关注。</w:t>
      </w:r>
    </w:p>
    <w:p>
      <w:pPr>
        <w:spacing w:line="120" w:lineRule="exact"/>
        <w:rPr>
          <w:rFonts w:hint="eastAsia" w:ascii="仿宋" w:hAnsi="仿宋" w:eastAsia="仿宋"/>
          <w:sz w:val="28"/>
        </w:rPr>
      </w:pPr>
    </w:p>
    <w:p>
      <w:pPr>
        <w:spacing w:line="360" w:lineRule="auto"/>
        <w:rPr>
          <w:rFonts w:hint="eastAsia" w:ascii="仿宋" w:hAnsi="仿宋" w:eastAsia="仿宋"/>
          <w:sz w:val="28"/>
        </w:rPr>
        <w:sectPr>
          <w:footerReference r:id="rId4" w:type="first"/>
          <w:footerReference r:id="rId3" w:type="default"/>
          <w:pgSz w:w="11906" w:h="16838"/>
          <w:pgMar w:top="1559" w:right="1247" w:bottom="1559" w:left="1701" w:header="851" w:footer="567" w:gutter="0"/>
          <w:pgNumType w:fmt="numberInDash"/>
          <w:cols w:space="720" w:num="1"/>
          <w:titlePg/>
          <w:docGrid w:type="lines" w:linePitch="312" w:charSpace="0"/>
        </w:sectPr>
      </w:pPr>
    </w:p>
    <w:p>
      <w:pPr>
        <w:pStyle w:val="3"/>
      </w:pPr>
      <w:bookmarkStart w:id="4" w:name="_Toc466537917"/>
      <w:r>
        <w:rPr>
          <w:rFonts w:hint="eastAsia"/>
        </w:rPr>
        <w:t>三、估价目的：</w:t>
      </w:r>
      <w:bookmarkEnd w:id="4"/>
    </w:p>
    <w:p>
      <w:pPr>
        <w:spacing w:line="360" w:lineRule="auto"/>
        <w:ind w:firstLine="528" w:firstLineChars="200"/>
        <w:rPr>
          <w:rFonts w:eastAsia="仿宋"/>
          <w:color w:val="FF0000"/>
          <w:spacing w:val="-8"/>
          <w:sz w:val="28"/>
          <w:szCs w:val="28"/>
        </w:rPr>
      </w:pPr>
      <w:bookmarkStart w:id="5" w:name="_Toc262130456"/>
      <w:bookmarkStart w:id="6" w:name="_Toc267038897"/>
      <w:r>
        <w:rPr>
          <w:rFonts w:hint="eastAsia" w:eastAsia="仿宋"/>
          <w:color w:val="000000"/>
          <w:spacing w:val="-8"/>
          <w:sz w:val="28"/>
        </w:rPr>
        <w:t>估价目的是为委托方执行司法裁决提供参考依据而评估房地产市场价值。</w:t>
      </w:r>
    </w:p>
    <w:p>
      <w:pPr>
        <w:pStyle w:val="3"/>
      </w:pPr>
      <w:bookmarkStart w:id="7" w:name="_Toc466537918"/>
      <w:r>
        <w:rPr>
          <w:rFonts w:hint="eastAsia"/>
        </w:rPr>
        <w:t>四、估价对象</w:t>
      </w:r>
      <w:bookmarkEnd w:id="5"/>
      <w:bookmarkEnd w:id="6"/>
      <w:r>
        <w:rPr>
          <w:rFonts w:hint="eastAsia"/>
        </w:rPr>
        <w:t>：</w:t>
      </w:r>
      <w:bookmarkEnd w:id="7"/>
    </w:p>
    <w:p>
      <w:pPr>
        <w:tabs>
          <w:tab w:val="left" w:pos="1080"/>
        </w:tabs>
        <w:spacing w:line="360" w:lineRule="auto"/>
        <w:ind w:firstLine="280" w:firstLineChars="100"/>
        <w:rPr>
          <w:rFonts w:hint="eastAsia" w:ascii="仿宋" w:hAnsi="仿宋" w:eastAsia="仿宋" w:cs="宋体"/>
          <w:sz w:val="28"/>
          <w:szCs w:val="28"/>
          <w:lang w:val="zh-CN"/>
        </w:rPr>
      </w:pPr>
      <w:r>
        <w:rPr>
          <w:rFonts w:hint="eastAsia" w:ascii="仿宋" w:hAnsi="仿宋" w:eastAsia="仿宋" w:cs="宋体"/>
          <w:sz w:val="28"/>
          <w:szCs w:val="28"/>
          <w:lang w:val="zh-CN"/>
        </w:rPr>
        <w:t>（一）范围界定</w:t>
      </w:r>
    </w:p>
    <w:p>
      <w:pPr>
        <w:tabs>
          <w:tab w:val="left" w:pos="1080"/>
        </w:tabs>
        <w:spacing w:line="360" w:lineRule="auto"/>
        <w:ind w:firstLine="280" w:firstLineChars="100"/>
        <w:rPr>
          <w:rFonts w:eastAsia="FangSong_GB2312"/>
          <w:color w:val="000000"/>
          <w:sz w:val="28"/>
          <w:szCs w:val="28"/>
          <w:lang w:val="zh-CN"/>
        </w:rPr>
      </w:pPr>
      <w:r>
        <w:rPr>
          <w:rFonts w:hint="eastAsia" w:ascii="仿宋" w:hAnsi="仿宋" w:eastAsia="仿宋" w:cs="宋体"/>
          <w:sz w:val="28"/>
          <w:szCs w:val="28"/>
          <w:lang w:val="zh-CN"/>
        </w:rPr>
        <w:t xml:space="preserve">   本次估价对象为</w:t>
      </w:r>
      <w:r>
        <w:rPr>
          <w:rFonts w:hint="eastAsia" w:ascii="仿宋" w:hAnsi="仿宋" w:eastAsia="仿宋"/>
          <w:color w:val="000000"/>
          <w:sz w:val="28"/>
        </w:rPr>
        <w:t>山西省太原市府东街东段68号10幢1-2层1001-1011号、11幢1-2层1001-1013号共24套商业房地产</w:t>
      </w:r>
      <w:r>
        <w:rPr>
          <w:rFonts w:hint="eastAsia" w:ascii="仿宋" w:hAnsi="仿宋" w:eastAsia="仿宋" w:cs="宋体"/>
          <w:sz w:val="28"/>
          <w:szCs w:val="28"/>
          <w:lang w:val="zh-CN"/>
        </w:rPr>
        <w:t>，总建筑面积为</w:t>
      </w:r>
      <w:r>
        <w:rPr>
          <w:rFonts w:hint="eastAsia" w:ascii="仿宋" w:hAnsi="仿宋" w:eastAsia="仿宋" w:cs="宋体"/>
          <w:sz w:val="28"/>
          <w:szCs w:val="28"/>
        </w:rPr>
        <w:t>6489.97</w:t>
      </w:r>
      <w:r>
        <w:rPr>
          <w:rFonts w:hint="eastAsia" w:ascii="仿宋" w:hAnsi="仿宋" w:eastAsia="仿宋" w:cs="宋体"/>
          <w:sz w:val="28"/>
          <w:szCs w:val="28"/>
          <w:lang w:val="zh-CN"/>
        </w:rPr>
        <w:t>平方米及其相应分摊的土地使用权面积，</w:t>
      </w:r>
      <w:r>
        <w:rPr>
          <w:rFonts w:eastAsia="FangSong_GB2312"/>
          <w:color w:val="000000"/>
          <w:sz w:val="28"/>
          <w:szCs w:val="28"/>
          <w:lang w:val="zh-CN"/>
        </w:rPr>
        <w:t>不含动产、债权债务等其他财产权益。</w:t>
      </w:r>
    </w:p>
    <w:p>
      <w:pPr>
        <w:tabs>
          <w:tab w:val="left" w:pos="1080"/>
        </w:tabs>
        <w:spacing w:line="360" w:lineRule="auto"/>
        <w:ind w:firstLine="280" w:firstLineChars="100"/>
        <w:rPr>
          <w:rFonts w:ascii="仿宋" w:hAnsi="仿宋" w:eastAsia="仿宋" w:cs="宋体"/>
          <w:sz w:val="28"/>
          <w:szCs w:val="28"/>
          <w:lang w:val="zh-CN"/>
        </w:rPr>
      </w:pPr>
      <w:r>
        <w:rPr>
          <w:rFonts w:hint="eastAsia" w:ascii="仿宋" w:hAnsi="仿宋" w:eastAsia="仿宋" w:cs="宋体"/>
          <w:sz w:val="28"/>
          <w:szCs w:val="28"/>
          <w:lang w:val="zh-CN"/>
        </w:rPr>
        <w:t>（二）实物状况</w:t>
      </w:r>
    </w:p>
    <w:p>
      <w:pPr>
        <w:spacing w:line="360" w:lineRule="auto"/>
        <w:ind w:left="481" w:leftChars="229" w:firstLine="140" w:firstLineChars="50"/>
        <w:rPr>
          <w:rFonts w:ascii="仿宋" w:hAnsi="仿宋" w:eastAsia="仿宋" w:cs="宋体"/>
          <w:sz w:val="28"/>
          <w:szCs w:val="28"/>
          <w:lang w:val="zh-CN"/>
        </w:rPr>
      </w:pPr>
      <w:r>
        <w:rPr>
          <w:rFonts w:ascii="仿宋" w:hAnsi="仿宋" w:eastAsia="仿宋" w:cs="宋体"/>
          <w:sz w:val="28"/>
          <w:szCs w:val="28"/>
          <w:lang w:val="zh-CN"/>
        </w:rPr>
        <w:t>1</w:t>
      </w:r>
      <w:r>
        <w:rPr>
          <w:rFonts w:hint="eastAsia" w:ascii="仿宋" w:hAnsi="仿宋" w:eastAsia="仿宋" w:cs="宋体"/>
          <w:sz w:val="28"/>
          <w:szCs w:val="28"/>
          <w:lang w:val="zh-CN"/>
        </w:rPr>
        <w:t>、宗地情况：</w:t>
      </w:r>
    </w:p>
    <w:p>
      <w:pPr>
        <w:spacing w:line="360" w:lineRule="auto"/>
        <w:ind w:firstLine="560" w:firstLineChars="200"/>
        <w:rPr>
          <w:rFonts w:ascii="仿宋" w:hAnsi="仿宋" w:eastAsia="仿宋" w:cs="宋体-18030"/>
          <w:sz w:val="28"/>
          <w:szCs w:val="28"/>
        </w:rPr>
      </w:pPr>
      <w:r>
        <w:rPr>
          <w:rFonts w:hint="eastAsia" w:ascii="仿宋" w:hAnsi="仿宋" w:eastAsia="仿宋" w:cs="宋体-18030"/>
          <w:sz w:val="28"/>
          <w:szCs w:val="28"/>
        </w:rPr>
        <w:t>根据委托方提供的资料和估价师现场勘查，</w:t>
      </w:r>
      <w:r>
        <w:rPr>
          <w:rFonts w:hint="eastAsia" w:ascii="仿宋" w:hAnsi="仿宋" w:eastAsia="仿宋"/>
          <w:color w:val="000000"/>
          <w:sz w:val="28"/>
          <w:szCs w:val="28"/>
        </w:rPr>
        <w:t>估价对象位于</w:t>
      </w:r>
      <w:r>
        <w:rPr>
          <w:rFonts w:hint="eastAsia" w:ascii="仿宋" w:hAnsi="仿宋" w:eastAsia="仿宋"/>
          <w:color w:val="000000"/>
          <w:sz w:val="28"/>
        </w:rPr>
        <w:t>山西省太原市府东街东段68号10幢1-2层1001-1011号、11幢1-2层1001-1013号</w:t>
      </w:r>
      <w:r>
        <w:rPr>
          <w:rFonts w:hint="eastAsia" w:ascii="仿宋" w:hAnsi="仿宋" w:eastAsia="仿宋"/>
          <w:color w:val="000000"/>
          <w:sz w:val="28"/>
          <w:szCs w:val="28"/>
        </w:rPr>
        <w:t>，地块四至</w:t>
      </w:r>
      <w:r>
        <w:rPr>
          <w:rFonts w:hint="eastAsia" w:ascii="仿宋" w:hAnsi="仿宋" w:eastAsia="仿宋" w:cs="宋体"/>
          <w:sz w:val="28"/>
          <w:szCs w:val="28"/>
          <w:lang w:val="zh-CN"/>
        </w:rPr>
        <w:t>：东至山水庭院，南至红沟中街，西至东中环路，北至府东街。该宗地形状较规则，呈矩形，地势不平坦，地质、水文状况较好，无特殊规划限制条件，利用状况较好。</w:t>
      </w:r>
      <w:r>
        <w:rPr>
          <w:rFonts w:hint="eastAsia" w:ascii="仿宋" w:hAnsi="仿宋" w:eastAsia="仿宋" w:cs="宋体-18030"/>
          <w:sz w:val="28"/>
          <w:szCs w:val="28"/>
        </w:rPr>
        <w:t>宗地所在区域基础设施完备，红线内外基础设施达到“七通一平”（通路、通给水、通排水、通电、通讯、通燃气、通暖气、土地平整）。</w:t>
      </w:r>
    </w:p>
    <w:p>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、房屋建筑物状况：</w:t>
      </w:r>
    </w:p>
    <w:p>
      <w:pPr>
        <w:pStyle w:val="4"/>
        <w:spacing w:line="360" w:lineRule="auto"/>
        <w:ind w:firstLine="560" w:firstLineChars="200"/>
        <w:rPr>
          <w:rFonts w:hint="eastAsia" w:ascii="仿宋" w:hAnsi="仿宋" w:eastAsia="仿宋"/>
          <w:color w:val="000000"/>
          <w:sz w:val="28"/>
          <w:szCs w:val="22"/>
        </w:rPr>
      </w:pPr>
      <w:r>
        <w:rPr>
          <w:rFonts w:hint="eastAsia" w:ascii="仿宋" w:hAnsi="仿宋" w:eastAsia="仿宋"/>
          <w:color w:val="000000"/>
          <w:sz w:val="28"/>
          <w:szCs w:val="22"/>
        </w:rPr>
        <w:t>根据注册房地产估价师实地勘察，山西省太原市府东街东段68号为绿景·未来城小区，由山西绿景房地产开发股份有限公司开发建设，整个小区占地面积85200平方米，建筑面积471746平方米，总户数2682户，绿化率35%，容积率4.33，由专业的物业公司负责管理。</w:t>
      </w:r>
    </w:p>
    <w:p>
      <w:pPr>
        <w:pStyle w:val="4"/>
        <w:spacing w:line="360" w:lineRule="auto"/>
        <w:ind w:firstLine="560" w:firstLineChars="200"/>
        <w:rPr>
          <w:rFonts w:hint="eastAsia" w:ascii="FangSong_GB2312" w:hAnsi="Times New Roman" w:eastAsia="FangSong_GB2312"/>
          <w:color w:val="000000"/>
          <w:sz w:val="28"/>
        </w:rPr>
      </w:pPr>
      <w:r>
        <w:rPr>
          <w:rFonts w:hint="eastAsia" w:eastAsia="仿宋"/>
          <w:sz w:val="28"/>
          <w:szCs w:val="28"/>
        </w:rPr>
        <w:t>估价对象山西省太原市府东街东段</w:t>
      </w:r>
      <w:r>
        <w:rPr>
          <w:rFonts w:hint="eastAsia" w:ascii="仿宋" w:hAnsi="仿宋" w:eastAsia="仿宋"/>
          <w:sz w:val="28"/>
          <w:szCs w:val="28"/>
        </w:rPr>
        <w:t>68</w:t>
      </w:r>
      <w:r>
        <w:rPr>
          <w:rFonts w:hint="eastAsia" w:eastAsia="仿宋"/>
          <w:sz w:val="28"/>
          <w:szCs w:val="28"/>
        </w:rPr>
        <w:t>号</w:t>
      </w:r>
      <w:r>
        <w:rPr>
          <w:rFonts w:hint="eastAsia" w:ascii="仿宋" w:hAnsi="仿宋" w:eastAsia="仿宋"/>
          <w:sz w:val="28"/>
          <w:szCs w:val="28"/>
        </w:rPr>
        <w:t>10</w:t>
      </w:r>
      <w:r>
        <w:rPr>
          <w:rFonts w:hint="eastAsia" w:ascii="仿宋" w:hAnsi="仿宋" w:eastAsia="仿宋" w:cs="宋体"/>
          <w:sz w:val="28"/>
          <w:szCs w:val="28"/>
          <w:lang w:val="zh-CN"/>
        </w:rPr>
        <w:t>幢1-2层1001-1011号、11幢1-2层1001-1013号24套商业房地产，为绿景</w:t>
      </w:r>
      <w:r>
        <w:rPr>
          <w:rFonts w:hint="eastAsia" w:ascii="仿宋" w:hAnsi="仿宋" w:eastAsia="仿宋"/>
          <w:color w:val="000000"/>
          <w:sz w:val="28"/>
          <w:szCs w:val="22"/>
        </w:rPr>
        <w:t>·未来城10幢、11幢的沿街商铺（沿红沟中街）</w:t>
      </w:r>
      <w:r>
        <w:rPr>
          <w:rFonts w:hint="eastAsia" w:ascii="仿宋" w:hAnsi="仿宋" w:eastAsia="仿宋"/>
          <w:color w:val="000000"/>
          <w:sz w:val="28"/>
          <w:szCs w:val="28"/>
        </w:rPr>
        <w:t>，至价值时点，商铺门前道路已铺设完毕，由于道路坡度原因，商铺一层门面的门头地面水平陆基与门前道路护坡呈现不同的高度差异，致使道路至商铺的通达度及一层采光有所不同。商铺为地上一至二层、南北朝向、钢筋混凝土结构、</w:t>
      </w:r>
      <w:r>
        <w:rPr>
          <w:rFonts w:hint="eastAsia" w:eastAsia="仿宋"/>
          <w:sz w:val="28"/>
          <w:szCs w:val="28"/>
        </w:rPr>
        <w:t>建成于</w:t>
      </w:r>
      <w:r>
        <w:rPr>
          <w:rFonts w:hint="eastAsia" w:ascii="仿宋" w:hAnsi="仿宋" w:eastAsia="仿宋"/>
          <w:sz w:val="28"/>
          <w:szCs w:val="28"/>
        </w:rPr>
        <w:t>2006</w:t>
      </w:r>
      <w:r>
        <w:rPr>
          <w:rFonts w:hint="eastAsia" w:eastAsia="仿宋"/>
          <w:sz w:val="28"/>
          <w:szCs w:val="28"/>
        </w:rPr>
        <w:t>年、</w:t>
      </w:r>
      <w:r>
        <w:rPr>
          <w:rFonts w:hint="eastAsia" w:ascii="仿宋" w:hAnsi="仿宋" w:eastAsia="仿宋"/>
          <w:color w:val="000000"/>
          <w:sz w:val="28"/>
          <w:szCs w:val="28"/>
        </w:rPr>
        <w:t>建筑物呈矩形、外墙大理石饰面、铝合金门窗，开间约5米-7米不等，</w:t>
      </w:r>
      <w:r>
        <w:rPr>
          <w:rFonts w:hint="eastAsia" w:ascii="仿宋" w:hAnsi="仿宋" w:eastAsia="仿宋" w:cs="宋体"/>
          <w:sz w:val="28"/>
          <w:szCs w:val="28"/>
          <w:lang w:val="zh-CN"/>
        </w:rPr>
        <w:t>进深约20米左右，层高3.6米-5.2米不等，估价对象内部分为前庭、后庭，前后两个入户门，格局略有不同，内部设有卫生间。至价值时点估价对象未装修，为毛坯房。估价对象水、电</w:t>
      </w:r>
      <w:r>
        <w:rPr>
          <w:rFonts w:hint="eastAsia" w:ascii="FangSong_GB2312" w:hAnsi="Times New Roman" w:eastAsia="FangSong_GB2312"/>
          <w:color w:val="000000"/>
          <w:sz w:val="28"/>
        </w:rPr>
        <w:t>设施设备齐全，能满足经营需要，于价值时点，估价对象处于空置状态。</w:t>
      </w:r>
    </w:p>
    <w:p>
      <w:pPr>
        <w:pStyle w:val="4"/>
        <w:spacing w:line="360" w:lineRule="auto"/>
        <w:ind w:firstLine="560" w:firstLineChars="200"/>
        <w:rPr>
          <w:rFonts w:hint="eastAsia" w:ascii="FangSong_GB2312" w:hAnsi="Times New Roman" w:eastAsia="FangSong_GB2312"/>
          <w:color w:val="000000"/>
          <w:sz w:val="28"/>
        </w:rPr>
      </w:pPr>
    </w:p>
    <w:p>
      <w:pPr>
        <w:pStyle w:val="4"/>
        <w:spacing w:line="360" w:lineRule="auto"/>
        <w:rPr>
          <w:rFonts w:hint="eastAsia" w:ascii="仿宋" w:hAnsi="仿宋" w:eastAsia="仿宋" w:cs="宋体"/>
          <w:sz w:val="28"/>
          <w:szCs w:val="28"/>
          <w:lang w:val="zh-CN"/>
        </w:rPr>
      </w:pPr>
      <w:r>
        <w:rPr>
          <w:rFonts w:hint="eastAsia" w:ascii="仿宋" w:hAnsi="仿宋" w:eastAsia="仿宋" w:cs="宋体"/>
          <w:sz w:val="28"/>
          <w:szCs w:val="28"/>
          <w:lang w:val="zh-CN"/>
        </w:rPr>
        <w:t>估价对象详情如下：</w:t>
      </w:r>
    </w:p>
    <w:tbl>
      <w:tblPr>
        <w:tblStyle w:val="6"/>
        <w:tblW w:w="9900" w:type="dxa"/>
        <w:tblInd w:w="-525" w:type="dxa"/>
        <w:tblLayout w:type="fixed"/>
        <w:tblCellMar>
          <w:top w:w="0" w:type="dxa"/>
          <w:left w:w="0" w:type="dxa"/>
          <w:bottom w:w="0" w:type="dxa"/>
          <w:right w:w="0" w:type="dxa"/>
        </w:tblCellMar>
      </w:tblPr>
      <w:tblGrid>
        <w:gridCol w:w="540"/>
        <w:gridCol w:w="3960"/>
        <w:gridCol w:w="1080"/>
        <w:gridCol w:w="1080"/>
        <w:gridCol w:w="1080"/>
        <w:gridCol w:w="1080"/>
        <w:gridCol w:w="1080"/>
      </w:tblGrid>
      <w:tr>
        <w:tblPrEx>
          <w:tblLayout w:type="fixed"/>
          <w:tblCellMar>
            <w:top w:w="0" w:type="dxa"/>
            <w:left w:w="0" w:type="dxa"/>
            <w:bottom w:w="0" w:type="dxa"/>
            <w:right w:w="0" w:type="dxa"/>
          </w:tblCellMar>
        </w:tblPrEx>
        <w:trPr>
          <w:trHeight w:val="620" w:hRule="atLeast"/>
        </w:trPr>
        <w:tc>
          <w:tcPr>
            <w:tcW w:w="540" w:type="dxa"/>
            <w:tcBorders>
              <w:top w:val="doub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序号</w:t>
            </w:r>
          </w:p>
        </w:tc>
        <w:tc>
          <w:tcPr>
            <w:tcW w:w="3960" w:type="dxa"/>
            <w:tcBorders>
              <w:top w:val="doub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坐   落</w:t>
            </w:r>
          </w:p>
        </w:tc>
        <w:tc>
          <w:tcPr>
            <w:tcW w:w="1080" w:type="dxa"/>
            <w:tcBorders>
              <w:top w:val="doub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建筑面积（M</w:t>
            </w:r>
            <w:r>
              <w:rPr>
                <w:rStyle w:val="10"/>
                <w:rFonts w:hint="default" w:ascii="仿宋" w:hAnsi="仿宋" w:eastAsia="仿宋"/>
                <w:lang w:bidi="ar"/>
              </w:rPr>
              <w:t>2</w:t>
            </w:r>
            <w:r>
              <w:rPr>
                <w:rStyle w:val="11"/>
                <w:rFonts w:hint="default" w:ascii="仿宋" w:hAnsi="仿宋" w:eastAsia="仿宋"/>
                <w:lang w:bidi="ar"/>
              </w:rPr>
              <w:t>）</w:t>
            </w:r>
          </w:p>
        </w:tc>
        <w:tc>
          <w:tcPr>
            <w:tcW w:w="1080" w:type="dxa"/>
            <w:tcBorders>
              <w:top w:val="doub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套内面积（M</w:t>
            </w:r>
            <w:r>
              <w:rPr>
                <w:rStyle w:val="10"/>
                <w:rFonts w:hint="default" w:ascii="仿宋" w:hAnsi="仿宋" w:eastAsia="仿宋"/>
                <w:lang w:bidi="ar"/>
              </w:rPr>
              <w:t>2</w:t>
            </w:r>
            <w:r>
              <w:rPr>
                <w:rStyle w:val="11"/>
                <w:rFonts w:hint="default" w:ascii="仿宋" w:hAnsi="仿宋" w:eastAsia="仿宋"/>
                <w:lang w:bidi="ar"/>
              </w:rPr>
              <w:t>）</w:t>
            </w:r>
          </w:p>
        </w:tc>
        <w:tc>
          <w:tcPr>
            <w:tcW w:w="1080" w:type="dxa"/>
            <w:tcBorders>
              <w:top w:val="doub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分摊面积（M</w:t>
            </w:r>
            <w:r>
              <w:rPr>
                <w:rStyle w:val="10"/>
                <w:rFonts w:hint="default" w:ascii="仿宋" w:hAnsi="仿宋" w:eastAsia="仿宋"/>
                <w:lang w:bidi="ar"/>
              </w:rPr>
              <w:t>2</w:t>
            </w:r>
            <w:r>
              <w:rPr>
                <w:rStyle w:val="11"/>
                <w:rFonts w:hint="default" w:ascii="仿宋" w:hAnsi="仿宋" w:eastAsia="仿宋"/>
                <w:lang w:bidi="ar"/>
              </w:rPr>
              <w:t>）</w:t>
            </w:r>
          </w:p>
        </w:tc>
        <w:tc>
          <w:tcPr>
            <w:tcW w:w="1080" w:type="dxa"/>
            <w:tcBorders>
              <w:top w:val="doub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所在层数/总层数</w:t>
            </w:r>
          </w:p>
        </w:tc>
        <w:tc>
          <w:tcPr>
            <w:tcW w:w="1080" w:type="dxa"/>
            <w:tcBorders>
              <w:top w:val="doub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宋体"/>
                <w:color w:val="000000"/>
                <w:sz w:val="24"/>
                <w:szCs w:val="24"/>
              </w:rPr>
            </w:pPr>
            <w:r>
              <w:rPr>
                <w:rFonts w:hint="eastAsia" w:ascii="仿宋" w:hAnsi="仿宋" w:eastAsia="仿宋" w:cs="宋体"/>
                <w:color w:val="000000"/>
                <w:sz w:val="24"/>
                <w:szCs w:val="24"/>
              </w:rPr>
              <w:t>层高</w:t>
            </w:r>
          </w:p>
          <w:p>
            <w:pPr>
              <w:widowControl/>
              <w:jc w:val="center"/>
              <w:textAlignment w:val="center"/>
              <w:rPr>
                <w:rFonts w:hint="eastAsia" w:ascii="仿宋" w:hAnsi="仿宋" w:eastAsia="仿宋" w:cs="宋体"/>
                <w:color w:val="000000"/>
                <w:sz w:val="24"/>
                <w:szCs w:val="24"/>
              </w:rPr>
            </w:pPr>
            <w:r>
              <w:rPr>
                <w:rFonts w:hint="eastAsia" w:ascii="仿宋" w:hAnsi="仿宋" w:eastAsia="仿宋" w:cs="宋体"/>
                <w:color w:val="000000"/>
                <w:sz w:val="24"/>
                <w:szCs w:val="24"/>
              </w:rPr>
              <w:t>（</w:t>
            </w:r>
            <w:r>
              <w:rPr>
                <w:rFonts w:hint="eastAsia" w:ascii="仿宋" w:hAnsi="仿宋" w:eastAsia="仿宋" w:cs="宋体"/>
                <w:color w:val="000000"/>
                <w:kern w:val="0"/>
                <w:sz w:val="24"/>
                <w:szCs w:val="24"/>
                <w:lang w:bidi="ar"/>
              </w:rPr>
              <w:t>M）</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府东街东段68号10幢1-2层1001号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237.31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226.62</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10.69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1-2/31</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府东街东段68号10幢1-2层1002号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213.53</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203.91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9.62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1-2/31</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府东街东段68号10幢1-2层1003号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314.49</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300.32</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14.17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1-2/31</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4</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府东街东段68号10幢1-2层1004号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326.67</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311.95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14.72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1-2/31</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5</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府东街东段68号10幢1-2层1005号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213.53</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203.91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9.62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1-2/31</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一层4.4</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6</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府东街东段68号10幢1-2层1006号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314.02</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299.87</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14.15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1-2/31</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一层4.4</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7</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府东街东段68号10幢1-2层1007号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332.39</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317.41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14.98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1-2/31</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一层3.7</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8</w:t>
            </w:r>
          </w:p>
        </w:tc>
        <w:tc>
          <w:tcPr>
            <w:tcW w:w="396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府东街东段68号10幢1-2层1008号</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213.89</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204.25</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9.64</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1-2/31</w:t>
            </w:r>
          </w:p>
        </w:tc>
        <w:tc>
          <w:tcPr>
            <w:tcW w:w="1080" w:type="dxa"/>
            <w:tcBorders>
              <w:top w:val="single" w:color="000000" w:sz="4" w:space="0"/>
              <w:left w:val="single" w:color="000000" w:sz="4" w:space="0"/>
              <w:bottom w:val="single" w:color="000000" w:sz="4" w:space="0"/>
              <w:right w:val="double" w:color="000000" w:sz="4" w:space="0"/>
            </w:tcBorders>
            <w:shd w:val="clear" w:color="auto" w:fill="FFFFFF"/>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一层5.2</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9</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府东街东段68号10幢1-2层1009号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313.67</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299.54</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14.13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1-2/31</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一层5.2</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10</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府东街东段68号10幢1-2层1010号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247.99</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236.82</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11.17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1-2/31</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一层5.2</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FF0000"/>
                <w:sz w:val="24"/>
                <w:szCs w:val="24"/>
              </w:rPr>
            </w:pPr>
            <w:r>
              <w:rPr>
                <w:rFonts w:hint="eastAsia" w:ascii="仿宋" w:hAnsi="仿宋" w:eastAsia="仿宋" w:cs="宋体"/>
                <w:color w:val="000000"/>
                <w:kern w:val="0"/>
                <w:sz w:val="24"/>
                <w:szCs w:val="24"/>
                <w:lang w:bidi="ar"/>
              </w:rPr>
              <w:t>11</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府东街东段68号10幢1-2层1011号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189.52</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180.98</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8.54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1-2/31</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一层5.2</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府东街东段68号11幢1-2层1001号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275.45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262.80</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12.65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13</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府东街东段68号11幢1-2层1002号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274.37</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261.77</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14</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府东街东段68号11幢1-2层1003号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273.57</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261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12.57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15</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府东街东段68号11幢1-2层1004号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213.73</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203.91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9.82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16</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府东街东段68号11幢1-2层1005号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314.91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300.45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14.46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17</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府东街东段68号11幢1-2层1006号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326.97</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311.95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15.02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18</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府东街东段68号11幢1-2层1007号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213.73</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203.91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9.82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19</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府东街东段68号11幢1-2层1008号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314.91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300.45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14.46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20</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府东街东段68号11幢1-2层1009号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334.54</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319.17</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15.37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21</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府东街东段68号11幢1-2层1010号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214.08</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204.25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9.83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22</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府东街东段68号11幢1-2层1011号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314.56</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300.11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14.45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23</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府东街东段68号11幢1-2层1012号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341.77</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326.07</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15.70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540" w:type="dxa"/>
            <w:tcBorders>
              <w:top w:val="single" w:color="000000" w:sz="4" w:space="0"/>
              <w:left w:val="doub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24</w:t>
            </w:r>
          </w:p>
        </w:tc>
        <w:tc>
          <w:tcPr>
            <w:tcW w:w="3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府东街东段68号11幢1-2层1013号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160.37</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153.00</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7.37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eastAsia"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1-2/24</w:t>
            </w:r>
          </w:p>
        </w:tc>
        <w:tc>
          <w:tcPr>
            <w:tcW w:w="1080" w:type="dxa"/>
            <w:tcBorders>
              <w:top w:val="single" w:color="000000" w:sz="4" w:space="0"/>
              <w:left w:val="single" w:color="000000" w:sz="4" w:space="0"/>
              <w:bottom w:val="single" w:color="000000" w:sz="4" w:space="0"/>
              <w:right w:val="double" w:color="000000" w:sz="4" w:space="0"/>
            </w:tcBorders>
            <w:noWrap w:val="0"/>
            <w:tcMar>
              <w:top w:w="15" w:type="dxa"/>
              <w:left w:w="15" w:type="dxa"/>
              <w:right w:w="15" w:type="dxa"/>
            </w:tcMar>
            <w:vAlign w:val="center"/>
          </w:tcPr>
          <w:p>
            <w:pPr>
              <w:widowControl/>
              <w:spacing w:line="240" w:lineRule="exact"/>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一层3.6</w:t>
            </w:r>
          </w:p>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sz w:val="24"/>
                <w:szCs w:val="24"/>
              </w:rPr>
              <w:t>二层3.78</w:t>
            </w:r>
          </w:p>
        </w:tc>
      </w:tr>
      <w:tr>
        <w:tblPrEx>
          <w:tblLayout w:type="fixed"/>
          <w:tblCellMar>
            <w:top w:w="0" w:type="dxa"/>
            <w:left w:w="0" w:type="dxa"/>
            <w:bottom w:w="0" w:type="dxa"/>
            <w:right w:w="0" w:type="dxa"/>
          </w:tblCellMar>
        </w:tblPrEx>
        <w:trPr>
          <w:trHeight w:val="556" w:hRule="atLeast"/>
        </w:trPr>
        <w:tc>
          <w:tcPr>
            <w:tcW w:w="4500" w:type="dxa"/>
            <w:gridSpan w:val="2"/>
            <w:tcBorders>
              <w:top w:val="single" w:color="000000" w:sz="4" w:space="0"/>
              <w:left w:val="double" w:color="000000" w:sz="4" w:space="0"/>
              <w:bottom w:val="doub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宋体"/>
                <w:color w:val="000000"/>
                <w:sz w:val="24"/>
                <w:szCs w:val="24"/>
              </w:rPr>
            </w:pPr>
            <w:r>
              <w:rPr>
                <w:rFonts w:hint="eastAsia" w:ascii="仿宋" w:hAnsi="仿宋" w:eastAsia="仿宋" w:cs="宋体"/>
                <w:color w:val="000000"/>
                <w:sz w:val="24"/>
                <w:szCs w:val="24"/>
              </w:rPr>
              <w:t>合计</w:t>
            </w:r>
          </w:p>
        </w:tc>
        <w:tc>
          <w:tcPr>
            <w:tcW w:w="1080" w:type="dxa"/>
            <w:tcBorders>
              <w:top w:val="single" w:color="000000" w:sz="4" w:space="0"/>
              <w:left w:val="single" w:color="000000" w:sz="4" w:space="0"/>
              <w:bottom w:val="double" w:color="000000" w:sz="4" w:space="0"/>
              <w:right w:val="single" w:color="000000" w:sz="4" w:space="0"/>
            </w:tcBorders>
            <w:noWrap w:val="0"/>
            <w:tcMar>
              <w:top w:w="15" w:type="dxa"/>
              <w:left w:w="15" w:type="dxa"/>
              <w:right w:w="15" w:type="dxa"/>
            </w:tcMar>
            <w:vAlign w:val="center"/>
          </w:tcPr>
          <w:p>
            <w:pPr>
              <w:widowControl/>
              <w:jc w:val="center"/>
              <w:textAlignment w:val="bottom"/>
              <w:rPr>
                <w:rFonts w:hint="eastAsia" w:ascii="仿宋" w:hAnsi="仿宋" w:eastAsia="仿宋" w:cs="宋体"/>
                <w:color w:val="000000"/>
                <w:sz w:val="24"/>
                <w:szCs w:val="24"/>
              </w:rPr>
            </w:pPr>
            <w:r>
              <w:rPr>
                <w:rFonts w:hint="eastAsia" w:ascii="仿宋" w:hAnsi="仿宋" w:eastAsia="仿宋" w:cs="宋体"/>
                <w:color w:val="000000"/>
                <w:kern w:val="0"/>
                <w:sz w:val="24"/>
                <w:szCs w:val="24"/>
                <w:lang w:bidi="ar"/>
              </w:rPr>
              <w:t>6489.97</w:t>
            </w:r>
          </w:p>
        </w:tc>
        <w:tc>
          <w:tcPr>
            <w:tcW w:w="1080" w:type="dxa"/>
            <w:tcBorders>
              <w:top w:val="single" w:color="000000" w:sz="4" w:space="0"/>
              <w:left w:val="single" w:color="000000" w:sz="4" w:space="0"/>
              <w:bottom w:val="doub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宋体"/>
                <w:color w:val="000000"/>
                <w:sz w:val="24"/>
                <w:szCs w:val="24"/>
              </w:rPr>
            </w:pPr>
          </w:p>
        </w:tc>
        <w:tc>
          <w:tcPr>
            <w:tcW w:w="1080" w:type="dxa"/>
            <w:tcBorders>
              <w:top w:val="single" w:color="000000" w:sz="4" w:space="0"/>
              <w:left w:val="single" w:color="000000" w:sz="4" w:space="0"/>
              <w:bottom w:val="doub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宋体"/>
                <w:color w:val="000000"/>
                <w:sz w:val="24"/>
                <w:szCs w:val="24"/>
              </w:rPr>
            </w:pPr>
          </w:p>
        </w:tc>
        <w:tc>
          <w:tcPr>
            <w:tcW w:w="1080" w:type="dxa"/>
            <w:tcBorders>
              <w:top w:val="single" w:color="000000" w:sz="4" w:space="0"/>
              <w:left w:val="single" w:color="000000" w:sz="4" w:space="0"/>
              <w:bottom w:val="double" w:color="000000" w:sz="4" w:space="0"/>
              <w:right w:val="single" w:color="000000" w:sz="4" w:space="0"/>
            </w:tcBorders>
            <w:noWrap w:val="0"/>
            <w:vAlign w:val="center"/>
          </w:tcPr>
          <w:p>
            <w:pPr>
              <w:jc w:val="center"/>
              <w:rPr>
                <w:rFonts w:hint="eastAsia" w:ascii="仿宋" w:hAnsi="仿宋" w:eastAsia="仿宋" w:cs="宋体"/>
                <w:color w:val="000000"/>
                <w:sz w:val="24"/>
                <w:szCs w:val="24"/>
              </w:rPr>
            </w:pPr>
          </w:p>
        </w:tc>
        <w:tc>
          <w:tcPr>
            <w:tcW w:w="1080" w:type="dxa"/>
            <w:tcBorders>
              <w:top w:val="single" w:color="000000" w:sz="4" w:space="0"/>
              <w:left w:val="single" w:color="000000" w:sz="4" w:space="0"/>
              <w:bottom w:val="double" w:color="000000" w:sz="4" w:space="0"/>
              <w:right w:val="double" w:color="000000" w:sz="4" w:space="0"/>
            </w:tcBorders>
            <w:noWrap w:val="0"/>
            <w:tcMar>
              <w:top w:w="15" w:type="dxa"/>
              <w:left w:w="15" w:type="dxa"/>
              <w:right w:w="15" w:type="dxa"/>
            </w:tcMar>
            <w:vAlign w:val="center"/>
          </w:tcPr>
          <w:p>
            <w:pPr>
              <w:jc w:val="center"/>
              <w:rPr>
                <w:rFonts w:hint="eastAsia" w:ascii="仿宋" w:hAnsi="仿宋" w:eastAsia="仿宋" w:cs="宋体"/>
                <w:color w:val="000000"/>
                <w:sz w:val="24"/>
                <w:szCs w:val="24"/>
              </w:rPr>
            </w:pPr>
          </w:p>
        </w:tc>
      </w:tr>
    </w:tbl>
    <w:p>
      <w:pPr>
        <w:spacing w:line="360" w:lineRule="auto"/>
        <w:ind w:firstLine="560" w:firstLineChars="200"/>
        <w:rPr>
          <w:rFonts w:hint="eastAsia" w:ascii="仿宋" w:hAnsi="仿宋" w:eastAsia="仿宋" w:cs="宋体"/>
          <w:sz w:val="28"/>
          <w:szCs w:val="28"/>
          <w:lang w:val="zh-CN"/>
        </w:rPr>
      </w:pPr>
      <w:r>
        <w:rPr>
          <w:rFonts w:hint="eastAsia" w:ascii="仿宋" w:hAnsi="仿宋" w:eastAsia="仿宋" w:cs="宋体"/>
          <w:sz w:val="28"/>
          <w:szCs w:val="28"/>
          <w:lang w:val="zh-CN"/>
        </w:rPr>
        <w:t>经现场勘察估价对象外观及墙面均完好无破损；相关配套设备及管线使用正常，无损坏渗漏，整体维护较好，用综合观察法及直线成新度法测算在价值时点房屋为完好房。</w:t>
      </w:r>
    </w:p>
    <w:p>
      <w:pPr>
        <w:numPr>
          <w:ilvl w:val="0"/>
          <w:numId w:val="1"/>
        </w:numPr>
        <w:tabs>
          <w:tab w:val="left" w:pos="1080"/>
        </w:tabs>
        <w:spacing w:line="360" w:lineRule="auto"/>
        <w:ind w:firstLine="560" w:firstLineChars="200"/>
        <w:rPr>
          <w:rFonts w:hint="eastAsia" w:ascii="仿宋" w:hAnsi="仿宋" w:eastAsia="仿宋" w:cs="宋体-18030"/>
          <w:sz w:val="28"/>
          <w:szCs w:val="28"/>
        </w:rPr>
      </w:pPr>
      <w:r>
        <w:rPr>
          <w:rFonts w:hint="eastAsia" w:ascii="仿宋" w:hAnsi="仿宋" w:eastAsia="仿宋" w:cs="宋体-18030"/>
          <w:sz w:val="28"/>
          <w:szCs w:val="28"/>
        </w:rPr>
        <w:t>权益状况</w:t>
      </w:r>
    </w:p>
    <w:p>
      <w:pPr>
        <w:spacing w:line="360" w:lineRule="auto"/>
        <w:ind w:firstLine="560" w:firstLineChars="200"/>
        <w:rPr>
          <w:rFonts w:hint="eastAsia" w:ascii="仿宋" w:hAnsi="仿宋" w:eastAsia="仿宋" w:cs="宋体"/>
          <w:sz w:val="28"/>
          <w:szCs w:val="28"/>
          <w:lang w:val="zh-CN"/>
        </w:rPr>
      </w:pPr>
      <w:r>
        <w:rPr>
          <w:rFonts w:hint="eastAsia" w:ascii="仿宋" w:hAnsi="仿宋" w:eastAsia="仿宋" w:cs="宋体"/>
          <w:sz w:val="28"/>
          <w:szCs w:val="28"/>
          <w:lang w:val="zh-CN"/>
        </w:rPr>
        <w:t>1、房屋权利状况</w:t>
      </w:r>
    </w:p>
    <w:p>
      <w:pPr>
        <w:tabs>
          <w:tab w:val="left" w:pos="1080"/>
        </w:tabs>
        <w:spacing w:line="360" w:lineRule="auto"/>
        <w:ind w:firstLine="560" w:firstLineChars="200"/>
        <w:rPr>
          <w:rFonts w:hint="eastAsia" w:ascii="仿宋" w:hAnsi="仿宋" w:eastAsia="仿宋"/>
          <w:sz w:val="28"/>
        </w:rPr>
      </w:pPr>
      <w:r>
        <w:rPr>
          <w:rFonts w:hint="eastAsia" w:ascii="仿宋" w:hAnsi="仿宋" w:eastAsia="仿宋"/>
          <w:color w:val="000000"/>
          <w:sz w:val="28"/>
        </w:rPr>
        <w:t>估价对象未办理</w:t>
      </w:r>
      <w:r>
        <w:rPr>
          <w:rFonts w:hint="eastAsia" w:ascii="仿宋" w:hAnsi="仿宋" w:eastAsia="仿宋"/>
          <w:sz w:val="28"/>
        </w:rPr>
        <w:t>《房屋所有权证》《国有土地使用证》，</w:t>
      </w:r>
      <w:r>
        <w:rPr>
          <w:rFonts w:hint="eastAsia" w:ascii="仿宋" w:hAnsi="仿宋" w:eastAsia="仿宋"/>
          <w:color w:val="000000"/>
          <w:sz w:val="28"/>
        </w:rPr>
        <w:t>委托人提供了</w:t>
      </w:r>
      <w:r>
        <w:rPr>
          <w:rFonts w:hint="eastAsia" w:ascii="仿宋" w:hAnsi="仿宋" w:eastAsia="仿宋"/>
          <w:sz w:val="28"/>
        </w:rPr>
        <w:t>《太原市商品房建筑面积预测报告书（预测成果）》、《商品房预售许可证》、《竣工验收证明书》等复印件，估价师向太原市档案馆调取了《国有建设用地使用权出让合同》。</w:t>
      </w:r>
    </w:p>
    <w:p>
      <w:pPr>
        <w:tabs>
          <w:tab w:val="left" w:pos="1080"/>
        </w:tabs>
        <w:spacing w:line="360" w:lineRule="auto"/>
        <w:ind w:firstLine="560" w:firstLineChars="200"/>
        <w:rPr>
          <w:rFonts w:ascii="仿宋" w:hAnsi="仿宋" w:eastAsia="仿宋"/>
          <w:sz w:val="28"/>
        </w:rPr>
      </w:pPr>
      <w:r>
        <w:rPr>
          <w:rFonts w:hint="eastAsia" w:ascii="仿宋" w:hAnsi="仿宋" w:eastAsia="仿宋"/>
          <w:sz w:val="28"/>
        </w:rPr>
        <w:t>根据以上资料显示，</w:t>
      </w:r>
      <w:r>
        <w:rPr>
          <w:rFonts w:hint="eastAsia" w:eastAsia="仿宋"/>
          <w:sz w:val="28"/>
          <w:szCs w:val="28"/>
        </w:rPr>
        <w:t>估价对象山西省太原市府东街东段</w:t>
      </w:r>
      <w:r>
        <w:rPr>
          <w:rFonts w:hint="eastAsia" w:ascii="仿宋" w:hAnsi="仿宋" w:eastAsia="仿宋"/>
          <w:sz w:val="28"/>
          <w:szCs w:val="28"/>
        </w:rPr>
        <w:t>68</w:t>
      </w:r>
      <w:r>
        <w:rPr>
          <w:rFonts w:hint="eastAsia" w:eastAsia="仿宋"/>
          <w:sz w:val="28"/>
          <w:szCs w:val="28"/>
        </w:rPr>
        <w:t>号</w:t>
      </w:r>
      <w:r>
        <w:rPr>
          <w:rFonts w:hint="eastAsia" w:ascii="仿宋" w:hAnsi="仿宋" w:eastAsia="仿宋"/>
          <w:sz w:val="28"/>
          <w:szCs w:val="28"/>
        </w:rPr>
        <w:t>10</w:t>
      </w:r>
      <w:r>
        <w:rPr>
          <w:rFonts w:hint="eastAsia" w:ascii="仿宋" w:hAnsi="仿宋" w:eastAsia="仿宋" w:cs="宋体"/>
          <w:sz w:val="28"/>
          <w:szCs w:val="28"/>
          <w:lang w:val="zh-CN"/>
        </w:rPr>
        <w:t>幢1-2层1001-1011号、11幢1-2层1001-1013号房屋所有权人为山西绿景房地产开发股份有限公司。</w:t>
      </w:r>
      <w:r>
        <w:rPr>
          <w:rFonts w:hint="eastAsia" w:ascii="仿宋" w:hAnsi="仿宋" w:eastAsia="仿宋"/>
          <w:sz w:val="28"/>
        </w:rPr>
        <w:t>估价对象已办理了《商品房预售许可证》，证号[（2015）并商房预售字第0019号]记载：估价对象绿景未来城1、2、3、10、11号楼用途为住宅、商业，开工/竣工日期为2014-6/2016-5，交付使用日期为2016-5-31。根据估价对象竣工验收证明书（施工许可证号：并民营施证2014101701）记载：绿景</w:t>
      </w:r>
      <w:r>
        <w:rPr>
          <w:rFonts w:hint="eastAsia" w:ascii="FangSong_GB2312" w:hAnsi="FangSong_GB2312" w:eastAsia="FangSong_GB2312" w:cs="FangSong_GB2312"/>
          <w:sz w:val="28"/>
        </w:rPr>
        <w:t>·</w:t>
      </w:r>
      <w:r>
        <w:rPr>
          <w:rFonts w:hint="eastAsia" w:ascii="仿宋" w:hAnsi="仿宋" w:eastAsia="仿宋"/>
          <w:sz w:val="28"/>
        </w:rPr>
        <w:t>未来城10号楼，建筑面积29531平方米，层数29层，验收日期为2016年5月20日。绿景</w:t>
      </w:r>
      <w:r>
        <w:rPr>
          <w:rFonts w:hint="eastAsia" w:ascii="FangSong_GB2312" w:hAnsi="FangSong_GB2312" w:eastAsia="FangSong_GB2312" w:cs="FangSong_GB2312"/>
          <w:sz w:val="28"/>
        </w:rPr>
        <w:t>·</w:t>
      </w:r>
      <w:r>
        <w:rPr>
          <w:rFonts w:hint="eastAsia" w:ascii="仿宋" w:hAnsi="仿宋" w:eastAsia="仿宋"/>
          <w:sz w:val="28"/>
        </w:rPr>
        <w:t>未来城11号楼，建筑面积23939平方米，层数22层，验收日期为2016年5月20日。</w:t>
      </w:r>
    </w:p>
    <w:p>
      <w:pPr>
        <w:numPr>
          <w:ilvl w:val="0"/>
          <w:numId w:val="2"/>
        </w:numPr>
        <w:spacing w:line="360" w:lineRule="auto"/>
        <w:ind w:firstLine="560" w:firstLineChars="200"/>
        <w:rPr>
          <w:rFonts w:hint="eastAsia" w:ascii="仿宋" w:hAnsi="仿宋" w:eastAsia="仿宋" w:cs="宋体"/>
          <w:sz w:val="28"/>
          <w:szCs w:val="28"/>
          <w:lang w:val="zh-CN"/>
        </w:rPr>
      </w:pPr>
      <w:r>
        <w:rPr>
          <w:rFonts w:hint="eastAsia" w:ascii="仿宋" w:hAnsi="仿宋" w:eastAsia="仿宋" w:cs="宋体"/>
          <w:sz w:val="28"/>
          <w:szCs w:val="28"/>
          <w:lang w:val="zh-CN"/>
        </w:rPr>
        <w:t>土地权利状况</w:t>
      </w:r>
    </w:p>
    <w:p>
      <w:pPr>
        <w:spacing w:line="360" w:lineRule="auto"/>
        <w:rPr>
          <w:rFonts w:ascii="仿宋" w:hAnsi="仿宋" w:eastAsia="仿宋" w:cs="宋体"/>
          <w:sz w:val="28"/>
          <w:szCs w:val="28"/>
        </w:rPr>
      </w:pPr>
      <w:r>
        <w:rPr>
          <w:rFonts w:hint="eastAsia" w:ascii="仿宋" w:hAnsi="仿宋" w:eastAsia="仿宋" w:cs="宋体"/>
          <w:sz w:val="28"/>
          <w:szCs w:val="28"/>
        </w:rPr>
        <w:t xml:space="preserve">    估价对象所在宗地已办理《国有土地使用证》，但是各估价对象并未做土地面积分摊，根据《国有建设用地使用权出让合同》（合同编号：并民开国让（合）[201303]号）记载，估价对象土地受让人为山西绿景房地产开发股份有限公司，出让宗地面积为79028.49平方米，整宗地分为两个地块（其中地块一净用地30226.06平方米，地块二净用地48802.43平方米，估价对象位于地块二），主体建筑物性质为居住建筑，附属建筑物性质为商业建筑，建筑总面积326391平方米，容积率2.5-4.34，建筑限高100米，建筑密度20%-25%，绿地率大于35%。</w:t>
      </w:r>
    </w:p>
    <w:p>
      <w:pPr>
        <w:spacing w:line="360" w:lineRule="auto"/>
        <w:ind w:firstLine="560" w:firstLineChars="200"/>
        <w:rPr>
          <w:rFonts w:hint="eastAsia" w:ascii="仿宋" w:hAnsi="仿宋" w:eastAsia="仿宋" w:cs="宋体"/>
          <w:sz w:val="28"/>
          <w:szCs w:val="28"/>
        </w:rPr>
      </w:pPr>
      <w:r>
        <w:rPr>
          <w:rFonts w:hint="eastAsia" w:ascii="仿宋" w:hAnsi="仿宋" w:eastAsia="仿宋" w:cs="宋体"/>
          <w:sz w:val="28"/>
          <w:szCs w:val="28"/>
          <w:lang w:val="zh-CN"/>
        </w:rPr>
        <w:t>估价对象所在宗地《国有土地使用证》证号为（</w:t>
      </w:r>
      <w:r>
        <w:rPr>
          <w:rFonts w:hint="eastAsia" w:ascii="仿宋" w:hAnsi="仿宋" w:eastAsia="仿宋" w:cs="宋体"/>
          <w:sz w:val="28"/>
          <w:szCs w:val="28"/>
        </w:rPr>
        <w:t>2014）00004号 （2014）00005号，土地使用权人为山西绿景房地产开发股份有限公司，地号为140106008001GB00003，图号为160-420-23，164-420-3，坐落大东门街以南，双明用地以西，宗地面积为48802.43平方米，用途为商住，权属性质为国有，使用权类型为出让，使用期限为商业40、住宅50年，终止日期为商业2053年03月27日，住宅2063年03月27日。</w:t>
      </w:r>
    </w:p>
    <w:p>
      <w:pPr>
        <w:spacing w:line="360" w:lineRule="auto"/>
        <w:ind w:firstLine="560" w:firstLineChars="200"/>
        <w:rPr>
          <w:rFonts w:hint="eastAsia" w:ascii="仿宋" w:hAnsi="仿宋" w:eastAsia="仿宋" w:cs="宋体"/>
          <w:sz w:val="28"/>
          <w:szCs w:val="28"/>
          <w:lang w:val="zh-CN"/>
        </w:rPr>
      </w:pPr>
      <w:r>
        <w:rPr>
          <w:rFonts w:hint="eastAsia" w:ascii="仿宋" w:hAnsi="仿宋" w:eastAsia="仿宋" w:cs="宋体"/>
          <w:sz w:val="28"/>
          <w:szCs w:val="28"/>
          <w:lang w:val="zh-CN"/>
        </w:rPr>
        <w:t>3、他项权利状况</w:t>
      </w:r>
    </w:p>
    <w:p>
      <w:pPr>
        <w:spacing w:line="360" w:lineRule="auto"/>
        <w:ind w:firstLine="560" w:firstLineChars="200"/>
        <w:rPr>
          <w:rFonts w:hint="eastAsia" w:ascii="仿宋" w:hAnsi="仿宋" w:eastAsia="仿宋" w:cs="宋体"/>
          <w:sz w:val="28"/>
          <w:szCs w:val="28"/>
          <w:lang w:val="zh-CN"/>
        </w:rPr>
      </w:pPr>
      <w:r>
        <w:rPr>
          <w:rFonts w:hint="eastAsia" w:ascii="仿宋" w:hAnsi="仿宋" w:eastAsia="仿宋" w:cs="宋体"/>
          <w:sz w:val="28"/>
          <w:szCs w:val="28"/>
          <w:lang w:val="zh-CN"/>
        </w:rPr>
        <w:t>估价对象房地产已查封，无租赁、无抵押等他项权利。</w:t>
      </w:r>
    </w:p>
    <w:p>
      <w:pPr>
        <w:numPr>
          <w:ilvl w:val="0"/>
          <w:numId w:val="3"/>
        </w:numPr>
        <w:tabs>
          <w:tab w:val="left" w:pos="1080"/>
        </w:tabs>
        <w:spacing w:line="360" w:lineRule="auto"/>
        <w:ind w:left="181" w:leftChars="86" w:firstLine="140" w:firstLineChars="50"/>
        <w:rPr>
          <w:rFonts w:hint="eastAsia" w:ascii="仿宋" w:hAnsi="仿宋" w:eastAsia="仿宋" w:cs="宋体-18030"/>
          <w:sz w:val="28"/>
          <w:szCs w:val="28"/>
        </w:rPr>
      </w:pPr>
      <w:r>
        <w:rPr>
          <w:rFonts w:hint="eastAsia" w:ascii="仿宋" w:hAnsi="仿宋" w:eastAsia="仿宋" w:cs="宋体-18030"/>
          <w:sz w:val="28"/>
          <w:szCs w:val="28"/>
        </w:rPr>
        <w:t>区位状况</w:t>
      </w:r>
      <w:bookmarkStart w:id="8" w:name="_Toc262130458"/>
      <w:bookmarkStart w:id="9" w:name="_Toc267038899"/>
      <w:bookmarkStart w:id="10" w:name="_Toc466537919"/>
    </w:p>
    <w:p>
      <w:pPr>
        <w:spacing w:line="360" w:lineRule="auto"/>
        <w:ind w:firstLine="560" w:firstLineChars="200"/>
        <w:rPr>
          <w:rFonts w:hint="eastAsia" w:ascii="仿宋" w:hAnsi="仿宋" w:eastAsia="仿宋" w:cs="宋体"/>
          <w:sz w:val="28"/>
          <w:szCs w:val="28"/>
        </w:rPr>
      </w:pPr>
      <w:r>
        <w:rPr>
          <w:rFonts w:hint="eastAsia" w:ascii="仿宋" w:hAnsi="仿宋" w:eastAsia="仿宋" w:cs="宋体"/>
          <w:sz w:val="28"/>
          <w:szCs w:val="28"/>
        </w:rPr>
        <w:t>太原市是山西省省会、太原都市圈核心城市，国务院批复确定的中国中部地区重要的中心城市。截至2018年，全市下辖6个区、3个县、代管1个县级市，总面积6909平方千米，建成区面积438平方千米。太原地处中国华北地区、山西中部、太原盆地北端，北接忻州市，东连阳泉市，西交吕梁市，南邻晋中市，是山西省政治、经济、文化中心。</w:t>
      </w:r>
      <w:r>
        <w:rPr>
          <w:rFonts w:hint="eastAsia" w:ascii="仿宋" w:hAnsi="仿宋" w:eastAsia="仿宋" w:cs="宋体"/>
          <w:sz w:val="28"/>
          <w:szCs w:val="28"/>
        </w:rPr>
        <w:br w:type="textWrapping"/>
      </w:r>
      <w:r>
        <w:rPr>
          <w:rFonts w:hint="eastAsia" w:ascii="仿宋" w:hAnsi="仿宋" w:eastAsia="仿宋" w:cs="宋体"/>
          <w:sz w:val="28"/>
          <w:szCs w:val="28"/>
        </w:rPr>
        <w:t xml:space="preserve">    估价对象为山西省太原市府东街东段68号10幢1-2层1001-1011号、11幢1-2层1001-1013号共24套商业房地产，山西省太原市府东街东段68号为绿景·未来城小区，所在小区临主干道-府东街，地块四至：东至山水庭院，南至红沟中街，西至东中环路，北至府东街。附近公交站点有府东街经园路口站、东中环府东街口站、经园路红沟中街口站等，有19路、904路、71路、202路、816支路等多路公交线路，公共交通便捷度尚可；该小区周边有爱丁堡国际幼儿园、新建路小学、山西大学大关东校区、香槟广场等配套设施，周边市政基础设施和生活、教育配套设施基本齐全，生活便利度较好。周边有山水庭院、五龙湾·府东天地、鑫西海花园、香槟小区等居住小区，人口密集度较好。估价对象所在小区商铺主要分布在府东街、小区东区与西区之间的次干道、红沟中街上，周边业态主要为超市、房产中介、餐饮、茶馆等、商业氛围一般。</w:t>
      </w:r>
    </w:p>
    <w:p>
      <w:pPr>
        <w:pStyle w:val="3"/>
      </w:pPr>
      <w:r>
        <w:rPr>
          <w:rFonts w:hint="eastAsia"/>
        </w:rPr>
        <w:t>五、价值时点</w:t>
      </w:r>
      <w:bookmarkEnd w:id="8"/>
      <w:bookmarkEnd w:id="9"/>
      <w:r>
        <w:rPr>
          <w:rFonts w:hint="eastAsia"/>
        </w:rPr>
        <w:t>：</w:t>
      </w:r>
      <w:bookmarkEnd w:id="10"/>
    </w:p>
    <w:p>
      <w:pPr>
        <w:spacing w:line="360" w:lineRule="auto"/>
        <w:ind w:firstLine="536" w:firstLineChars="200"/>
        <w:rPr>
          <w:rFonts w:hint="eastAsia" w:ascii="仿宋" w:hAnsi="仿宋" w:eastAsia="仿宋"/>
          <w:spacing w:val="-6"/>
          <w:kern w:val="0"/>
          <w:sz w:val="28"/>
          <w:szCs w:val="28"/>
        </w:rPr>
      </w:pPr>
      <w:r>
        <w:rPr>
          <w:rFonts w:hint="eastAsia" w:ascii="仿宋" w:hAnsi="仿宋" w:eastAsia="仿宋"/>
          <w:spacing w:val="-6"/>
          <w:kern w:val="0"/>
          <w:sz w:val="28"/>
          <w:szCs w:val="28"/>
        </w:rPr>
        <w:t>价值时点为房地产估价师现场实地查勘日：</w:t>
      </w:r>
      <w:r>
        <w:rPr>
          <w:rFonts w:hint="eastAsia" w:eastAsia="仿宋"/>
          <w:color w:val="000000"/>
          <w:spacing w:val="-6"/>
          <w:kern w:val="0"/>
          <w:sz w:val="28"/>
        </w:rPr>
        <w:t>二</w:t>
      </w:r>
      <w:r>
        <w:rPr>
          <w:rFonts w:hint="eastAsia" w:ascii="宋体" w:hAnsi="宋体" w:eastAsia="仿宋" w:cs="宋体"/>
          <w:color w:val="000000"/>
          <w:spacing w:val="-6"/>
          <w:kern w:val="0"/>
          <w:sz w:val="28"/>
        </w:rPr>
        <w:t>〇</w:t>
      </w:r>
      <w:r>
        <w:rPr>
          <w:rFonts w:hint="eastAsia" w:eastAsia="仿宋"/>
          <w:color w:val="000000"/>
          <w:spacing w:val="-6"/>
          <w:kern w:val="0"/>
          <w:sz w:val="28"/>
        </w:rPr>
        <w:t>一九</w:t>
      </w:r>
      <w:r>
        <w:rPr>
          <w:rFonts w:hint="eastAsia" w:ascii="FangSong_GB2312" w:hAnsi="FangSong_GB2312" w:eastAsia="仿宋" w:cs="FangSong_GB2312"/>
          <w:color w:val="000000"/>
          <w:spacing w:val="-6"/>
          <w:kern w:val="0"/>
          <w:sz w:val="28"/>
        </w:rPr>
        <w:t>年十二月二十四日</w:t>
      </w:r>
      <w:r>
        <w:rPr>
          <w:rFonts w:hint="eastAsia" w:ascii="仿宋" w:hAnsi="仿宋" w:eastAsia="仿宋"/>
          <w:spacing w:val="-6"/>
          <w:kern w:val="0"/>
          <w:sz w:val="28"/>
          <w:szCs w:val="28"/>
        </w:rPr>
        <w:t>。</w:t>
      </w:r>
    </w:p>
    <w:p>
      <w:pPr>
        <w:pStyle w:val="3"/>
      </w:pPr>
      <w:bookmarkStart w:id="11" w:name="_Toc466537920"/>
      <w:r>
        <w:rPr>
          <w:rFonts w:hint="eastAsia"/>
        </w:rPr>
        <w:t>六、价值类型：</w:t>
      </w:r>
      <w:bookmarkEnd w:id="11"/>
    </w:p>
    <w:p>
      <w:pPr>
        <w:ind w:firstLine="560" w:firstLineChars="200"/>
        <w:rPr>
          <w:rFonts w:ascii="仿宋" w:hAnsi="仿宋" w:eastAsia="仿宋"/>
          <w:sz w:val="28"/>
        </w:rPr>
      </w:pPr>
      <w:bookmarkStart w:id="12" w:name="_Toc262130460"/>
      <w:r>
        <w:rPr>
          <w:rFonts w:hint="eastAsia" w:ascii="仿宋" w:hAnsi="仿宋" w:eastAsia="仿宋"/>
          <w:sz w:val="28"/>
        </w:rPr>
        <w:t>本报告提供的价格是估价对象在现状合法利用下于估价时点的公开市场价值，即该项物业在下列假定情况下出售，在公开市场上可合理取得的价格。</w:t>
      </w:r>
    </w:p>
    <w:p>
      <w:pPr>
        <w:spacing w:line="600" w:lineRule="exact"/>
        <w:ind w:firstLine="560" w:firstLineChars="200"/>
        <w:rPr>
          <w:rFonts w:ascii="仿宋" w:hAnsi="仿宋" w:eastAsia="仿宋"/>
          <w:color w:val="000000"/>
          <w:sz w:val="28"/>
        </w:rPr>
      </w:pPr>
      <w:r>
        <w:rPr>
          <w:rFonts w:hint="eastAsia" w:ascii="仿宋" w:hAnsi="仿宋" w:eastAsia="仿宋"/>
          <w:color w:val="000000"/>
          <w:sz w:val="28"/>
        </w:rPr>
        <w:t>公开市场价值内涵：</w:t>
      </w:r>
    </w:p>
    <w:p>
      <w:pPr>
        <w:spacing w:line="600" w:lineRule="exact"/>
        <w:ind w:firstLine="560" w:firstLineChars="200"/>
        <w:rPr>
          <w:rFonts w:ascii="仿宋" w:hAnsi="仿宋" w:eastAsia="仿宋"/>
          <w:sz w:val="28"/>
        </w:rPr>
      </w:pPr>
      <w:r>
        <w:rPr>
          <w:rFonts w:ascii="仿宋" w:hAnsi="仿宋" w:eastAsia="仿宋"/>
          <w:sz w:val="28"/>
        </w:rPr>
        <w:t>1</w:t>
      </w:r>
      <w:r>
        <w:rPr>
          <w:rFonts w:hint="eastAsia" w:ascii="仿宋" w:hAnsi="仿宋" w:eastAsia="仿宋"/>
          <w:sz w:val="28"/>
        </w:rPr>
        <w:t>、交易双方是自愿地进行交易的；</w:t>
      </w:r>
    </w:p>
    <w:p>
      <w:pPr>
        <w:spacing w:line="600" w:lineRule="exact"/>
        <w:ind w:firstLine="560" w:firstLineChars="200"/>
        <w:rPr>
          <w:rFonts w:ascii="仿宋" w:hAnsi="仿宋" w:eastAsia="仿宋"/>
          <w:sz w:val="28"/>
        </w:rPr>
      </w:pPr>
      <w:r>
        <w:rPr>
          <w:rFonts w:ascii="仿宋" w:hAnsi="仿宋" w:eastAsia="仿宋"/>
          <w:sz w:val="28"/>
        </w:rPr>
        <w:t>2</w:t>
      </w:r>
      <w:r>
        <w:rPr>
          <w:rFonts w:hint="eastAsia" w:ascii="仿宋" w:hAnsi="仿宋" w:eastAsia="仿宋"/>
          <w:sz w:val="28"/>
        </w:rPr>
        <w:t>、交易双方进行交易的目的是追求各自利益的最大化；</w:t>
      </w:r>
    </w:p>
    <w:p>
      <w:pPr>
        <w:spacing w:line="600" w:lineRule="exact"/>
        <w:ind w:firstLine="560" w:firstLineChars="200"/>
        <w:rPr>
          <w:rFonts w:ascii="仿宋" w:hAnsi="仿宋" w:eastAsia="仿宋"/>
          <w:sz w:val="28"/>
        </w:rPr>
      </w:pPr>
      <w:r>
        <w:rPr>
          <w:rFonts w:ascii="仿宋" w:hAnsi="仿宋" w:eastAsia="仿宋"/>
          <w:sz w:val="28"/>
        </w:rPr>
        <w:t>3</w:t>
      </w:r>
      <w:r>
        <w:rPr>
          <w:rFonts w:hint="eastAsia" w:ascii="仿宋" w:hAnsi="仿宋" w:eastAsia="仿宋"/>
          <w:sz w:val="28"/>
        </w:rPr>
        <w:t>、交易双方具有必要的专业知识并了解估价对象；</w:t>
      </w:r>
    </w:p>
    <w:p>
      <w:pPr>
        <w:spacing w:line="600" w:lineRule="exact"/>
        <w:ind w:firstLine="560" w:firstLineChars="200"/>
        <w:rPr>
          <w:rFonts w:ascii="仿宋" w:hAnsi="仿宋" w:eastAsia="仿宋"/>
          <w:sz w:val="28"/>
        </w:rPr>
      </w:pPr>
      <w:r>
        <w:rPr>
          <w:rFonts w:ascii="仿宋" w:hAnsi="仿宋" w:eastAsia="仿宋"/>
          <w:sz w:val="28"/>
        </w:rPr>
        <w:t>4</w:t>
      </w:r>
      <w:r>
        <w:rPr>
          <w:rFonts w:hint="eastAsia" w:ascii="仿宋" w:hAnsi="仿宋" w:eastAsia="仿宋"/>
          <w:sz w:val="28"/>
        </w:rPr>
        <w:t>、交易双方掌握必要的市场信息；</w:t>
      </w:r>
    </w:p>
    <w:p>
      <w:pPr>
        <w:spacing w:line="600" w:lineRule="exact"/>
        <w:ind w:firstLine="560" w:firstLineChars="200"/>
        <w:rPr>
          <w:rFonts w:ascii="仿宋" w:hAnsi="仿宋" w:eastAsia="仿宋"/>
          <w:sz w:val="28"/>
        </w:rPr>
      </w:pPr>
      <w:r>
        <w:rPr>
          <w:rFonts w:ascii="仿宋" w:hAnsi="仿宋" w:eastAsia="仿宋"/>
          <w:sz w:val="28"/>
        </w:rPr>
        <w:t>5</w:t>
      </w:r>
      <w:r>
        <w:rPr>
          <w:rFonts w:hint="eastAsia" w:ascii="仿宋" w:hAnsi="仿宋" w:eastAsia="仿宋"/>
          <w:sz w:val="28"/>
        </w:rPr>
        <w:t>、交易双方有较充裕的时间进行交易；</w:t>
      </w:r>
    </w:p>
    <w:p>
      <w:pPr>
        <w:spacing w:line="600" w:lineRule="exact"/>
        <w:ind w:firstLine="560" w:firstLineChars="200"/>
        <w:rPr>
          <w:rFonts w:ascii="仿宋" w:hAnsi="仿宋" w:eastAsia="仿宋"/>
          <w:sz w:val="28"/>
        </w:rPr>
      </w:pPr>
      <w:r>
        <w:rPr>
          <w:rFonts w:ascii="仿宋" w:hAnsi="仿宋" w:eastAsia="仿宋"/>
          <w:sz w:val="28"/>
        </w:rPr>
        <w:t>6</w:t>
      </w:r>
      <w:r>
        <w:rPr>
          <w:rFonts w:hint="eastAsia" w:ascii="仿宋" w:hAnsi="仿宋" w:eastAsia="仿宋"/>
          <w:sz w:val="28"/>
        </w:rPr>
        <w:t>、不存在买者因特殊兴趣而给予附加出价。</w:t>
      </w:r>
    </w:p>
    <w:p>
      <w:pPr>
        <w:pStyle w:val="3"/>
      </w:pPr>
      <w:bookmarkStart w:id="13" w:name="_Toc466537921"/>
      <w:bookmarkStart w:id="14" w:name="_Toc433804487"/>
      <w:r>
        <w:rPr>
          <w:rFonts w:hint="eastAsia"/>
        </w:rPr>
        <w:t>七、估价原则：</w:t>
      </w:r>
      <w:bookmarkEnd w:id="13"/>
      <w:bookmarkEnd w:id="14"/>
    </w:p>
    <w:p>
      <w:pPr>
        <w:pStyle w:val="12"/>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我们按照《房地产估价规范》的规定，遵循估价行业公认的估价工作原则，并遵守国家保密规定。具体本次估价中我们应</w:t>
      </w:r>
      <w:r>
        <w:rPr>
          <w:rFonts w:hint="eastAsia" w:ascii="仿宋" w:hAnsi="仿宋" w:eastAsia="仿宋"/>
          <w:sz w:val="28"/>
          <w:szCs w:val="28"/>
          <w:lang w:val="zh-CN"/>
        </w:rPr>
        <w:t>遵循了以下原则</w:t>
      </w:r>
      <w:r>
        <w:rPr>
          <w:rFonts w:hint="eastAsia" w:ascii="仿宋" w:hAnsi="仿宋" w:eastAsia="仿宋"/>
          <w:sz w:val="28"/>
          <w:szCs w:val="28"/>
        </w:rPr>
        <w:t>：</w:t>
      </w:r>
    </w:p>
    <w:p>
      <w:pPr>
        <w:ind w:firstLine="410" w:firstLineChars="146"/>
        <w:rPr>
          <w:rFonts w:ascii="仿宋" w:hAnsi="仿宋" w:eastAsia="仿宋"/>
          <w:b/>
          <w:sz w:val="28"/>
          <w:szCs w:val="28"/>
        </w:rPr>
      </w:pPr>
      <w:r>
        <w:rPr>
          <w:rFonts w:hint="eastAsia" w:ascii="仿宋" w:hAnsi="仿宋" w:eastAsia="仿宋"/>
          <w:b/>
          <w:sz w:val="28"/>
          <w:szCs w:val="28"/>
        </w:rPr>
        <w:t>（一）独立、客观、公正原则</w:t>
      </w:r>
    </w:p>
    <w:p>
      <w:pPr>
        <w:spacing w:line="360" w:lineRule="auto"/>
        <w:ind w:firstLine="560" w:firstLineChars="200"/>
        <w:rPr>
          <w:rFonts w:ascii="仿宋" w:hAnsi="仿宋" w:eastAsia="仿宋" w:cs="宋体-18030"/>
          <w:sz w:val="28"/>
          <w:szCs w:val="28"/>
        </w:rPr>
      </w:pPr>
      <w:r>
        <w:rPr>
          <w:rFonts w:hint="eastAsia" w:ascii="仿宋" w:hAnsi="仿宋" w:eastAsia="仿宋" w:cs="宋体-18030"/>
          <w:sz w:val="28"/>
          <w:szCs w:val="28"/>
        </w:rPr>
        <w:t>房地产估价师要凭借自己的专业知识、经验和应有的职业道德进行估价，而不要受任何单位和个人的非法干预；要从客观实际出发，反映事物的本来面目进行估价，而不要带着自己的好恶、情感和偏见；要公平正直地进行估价，而不要偏袒相关当事人中的任何一方，应当坚持原则、公平正直地进行估价。独立、客观、公正原则要求房地产估价师站在中立的立场上，评估出对各方当事人来说均是公平合理的价值。</w:t>
      </w:r>
    </w:p>
    <w:p>
      <w:pPr>
        <w:ind w:firstLine="413" w:firstLineChars="147"/>
        <w:rPr>
          <w:rFonts w:ascii="仿宋" w:hAnsi="仿宋" w:eastAsia="仿宋"/>
          <w:b/>
          <w:sz w:val="28"/>
          <w:szCs w:val="28"/>
        </w:rPr>
      </w:pPr>
      <w:r>
        <w:rPr>
          <w:rFonts w:hint="eastAsia" w:ascii="仿宋" w:hAnsi="仿宋" w:eastAsia="仿宋"/>
          <w:b/>
          <w:sz w:val="28"/>
          <w:szCs w:val="28"/>
        </w:rPr>
        <w:t>（二）合法原则</w:t>
      </w:r>
      <w:r>
        <w:rPr>
          <w:rFonts w:ascii="仿宋" w:hAnsi="仿宋" w:eastAsia="仿宋"/>
          <w:b/>
          <w:sz w:val="28"/>
          <w:szCs w:val="28"/>
        </w:rPr>
        <w:t xml:space="preserve"> </w:t>
      </w:r>
    </w:p>
    <w:p>
      <w:pPr>
        <w:spacing w:line="360" w:lineRule="auto"/>
        <w:ind w:firstLine="560" w:firstLineChars="200"/>
        <w:rPr>
          <w:rFonts w:ascii="仿宋" w:hAnsi="仿宋" w:eastAsia="仿宋" w:cs="宋体-18030"/>
          <w:spacing w:val="-4"/>
          <w:sz w:val="28"/>
          <w:szCs w:val="28"/>
        </w:rPr>
      </w:pPr>
      <w:r>
        <w:rPr>
          <w:rFonts w:hint="eastAsia" w:ascii="仿宋" w:hAnsi="仿宋" w:eastAsia="仿宋" w:cs="宋体-18030"/>
          <w:sz w:val="28"/>
          <w:szCs w:val="28"/>
        </w:rPr>
        <w:t>房地产估价必须以估价对象的合法产权、合法使用、合法交易、合法处置为前提进行估价，估价对象在本次估价时其应当符合国家的法律、法规和有权机关的有关规定，用途、交易及处分方式，必须以房地产合法产</w:t>
      </w:r>
      <w:r>
        <w:rPr>
          <w:rFonts w:hint="eastAsia" w:ascii="仿宋" w:hAnsi="仿宋" w:eastAsia="仿宋" w:cs="宋体-18030"/>
          <w:spacing w:val="-4"/>
          <w:sz w:val="28"/>
          <w:szCs w:val="28"/>
        </w:rPr>
        <w:t>权为前提；本次评估以委托方提供的相关权属资料载明事项体现合法原则。</w:t>
      </w:r>
    </w:p>
    <w:p>
      <w:pPr>
        <w:ind w:firstLine="413" w:firstLineChars="147"/>
        <w:rPr>
          <w:rFonts w:ascii="仿宋" w:hAnsi="仿宋" w:eastAsia="仿宋"/>
          <w:b/>
          <w:sz w:val="28"/>
          <w:szCs w:val="28"/>
        </w:rPr>
      </w:pPr>
      <w:r>
        <w:rPr>
          <w:rFonts w:hint="eastAsia" w:ascii="仿宋" w:hAnsi="仿宋" w:eastAsia="仿宋"/>
          <w:b/>
          <w:sz w:val="28"/>
          <w:szCs w:val="28"/>
        </w:rPr>
        <w:t>（三）价值时点原则</w:t>
      </w:r>
      <w:r>
        <w:rPr>
          <w:rFonts w:ascii="仿宋" w:hAnsi="仿宋" w:eastAsia="仿宋"/>
          <w:b/>
          <w:sz w:val="28"/>
          <w:szCs w:val="28"/>
        </w:rPr>
        <w:t xml:space="preserve"> </w:t>
      </w:r>
    </w:p>
    <w:p>
      <w:pPr>
        <w:tabs>
          <w:tab w:val="left" w:pos="900"/>
          <w:tab w:val="left" w:pos="1080"/>
          <w:tab w:val="left" w:pos="1440"/>
        </w:tabs>
        <w:autoSpaceDE w:val="0"/>
        <w:autoSpaceDN w:val="0"/>
        <w:spacing w:line="360" w:lineRule="auto"/>
        <w:ind w:firstLine="560" w:firstLineChars="200"/>
        <w:rPr>
          <w:rFonts w:ascii="仿宋" w:hAnsi="仿宋" w:eastAsia="仿宋" w:cs="宋体-18030"/>
          <w:b/>
          <w:sz w:val="28"/>
          <w:szCs w:val="28"/>
        </w:rPr>
      </w:pPr>
      <w:r>
        <w:rPr>
          <w:rFonts w:hint="eastAsia" w:ascii="仿宋" w:hAnsi="仿宋" w:eastAsia="仿宋" w:cs="宋体"/>
          <w:sz w:val="28"/>
          <w:szCs w:val="28"/>
          <w:lang w:val="zh-CN"/>
        </w:rPr>
        <w:t>价值时点，是一个具体日期，通常用年、月、日表示，估价额是在该日期的价格。在房地产估价时统一规定：如果一些款项的发生时点与价值时点不一致，应当折算为价值时点的现值。要求估价结果应是估价对象在价值时点的客观、合理价格。</w:t>
      </w:r>
    </w:p>
    <w:p>
      <w:pPr>
        <w:ind w:firstLine="413" w:firstLineChars="147"/>
        <w:rPr>
          <w:rFonts w:ascii="仿宋" w:hAnsi="仿宋" w:eastAsia="仿宋"/>
          <w:b/>
          <w:sz w:val="28"/>
          <w:szCs w:val="28"/>
        </w:rPr>
      </w:pPr>
      <w:r>
        <w:rPr>
          <w:rFonts w:hint="eastAsia" w:ascii="仿宋" w:hAnsi="仿宋" w:eastAsia="仿宋"/>
          <w:b/>
          <w:sz w:val="28"/>
          <w:szCs w:val="28"/>
        </w:rPr>
        <w:t>（四）替代原则</w:t>
      </w:r>
      <w:r>
        <w:rPr>
          <w:rFonts w:ascii="仿宋" w:hAnsi="仿宋" w:eastAsia="仿宋"/>
          <w:b/>
          <w:sz w:val="28"/>
          <w:szCs w:val="28"/>
        </w:rPr>
        <w:t xml:space="preserve"> </w:t>
      </w:r>
    </w:p>
    <w:p>
      <w:pPr>
        <w:spacing w:line="360" w:lineRule="auto"/>
        <w:ind w:firstLine="560" w:firstLineChars="200"/>
        <w:rPr>
          <w:rFonts w:ascii="仿宋" w:hAnsi="仿宋" w:eastAsia="仿宋" w:cs="宋体"/>
          <w:sz w:val="28"/>
          <w:szCs w:val="28"/>
          <w:lang w:val="zh-CN"/>
        </w:rPr>
      </w:pPr>
      <w:r>
        <w:rPr>
          <w:rFonts w:hint="eastAsia" w:ascii="仿宋" w:hAnsi="仿宋" w:eastAsia="仿宋" w:cs="宋体"/>
          <w:sz w:val="28"/>
          <w:szCs w:val="28"/>
          <w:lang w:val="zh-CN"/>
        </w:rPr>
        <w:t>房地产价格遵循替代规律，某宗房地产的价格，受同类型具有替代可能的房地产价格所牵制。有相同使用价值、有替代可能的房地产之间会相互影响和竞争，使其价格相互牵制而趋于一致，要求估价结果不得明显偏离类似房地产在同等条件下的正常价格。估价结论同时具有很强的时效性，这主要是考虑到房地产市场价格的波动性，同一估价对象在不同时点会具有不同的市场价格。所以强调：估价结果是估价对象在价值时点的价格，不能将该估价结果作为估价对象在其它时点的价格</w:t>
      </w:r>
      <w:r>
        <w:rPr>
          <w:rFonts w:hint="eastAsia" w:ascii="仿宋" w:hAnsi="仿宋" w:eastAsia="仿宋"/>
          <w:sz w:val="28"/>
          <w:szCs w:val="28"/>
        </w:rPr>
        <w:t>。</w:t>
      </w:r>
    </w:p>
    <w:p>
      <w:pPr>
        <w:ind w:firstLine="413" w:firstLineChars="147"/>
        <w:rPr>
          <w:rFonts w:ascii="仿宋" w:hAnsi="仿宋" w:eastAsia="仿宋"/>
          <w:b/>
          <w:sz w:val="28"/>
          <w:szCs w:val="28"/>
        </w:rPr>
      </w:pPr>
      <w:r>
        <w:rPr>
          <w:rFonts w:hint="eastAsia" w:ascii="仿宋" w:hAnsi="仿宋" w:eastAsia="仿宋"/>
          <w:b/>
          <w:sz w:val="28"/>
          <w:szCs w:val="28"/>
        </w:rPr>
        <w:t>（五）最高最佳使用原则</w:t>
      </w:r>
      <w:r>
        <w:rPr>
          <w:rFonts w:ascii="仿宋" w:hAnsi="仿宋" w:eastAsia="仿宋"/>
          <w:b/>
          <w:sz w:val="28"/>
          <w:szCs w:val="28"/>
        </w:rPr>
        <w:t xml:space="preserve"> </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是指在法律上允许、技术上可能、经济上可行、经过充分合理的论证，能使估价对象产生最高使用的价值。由于房地产具有用途的多样性，不同的利用方式能为权利人带来不同的收益量，且房地产权利人都期望从其占有的房地产上获取更多的收益，并以能满足这一目的为确定房地产利用方式的依据。所以，房地产价格是以该房地产的效用做最有效发挥为前提的。根据估价对象所处的地理位置和规划要求，商业用途是该房地产最有效利用方式。</w:t>
      </w:r>
    </w:p>
    <w:p>
      <w:pPr>
        <w:pStyle w:val="3"/>
      </w:pPr>
      <w:bookmarkStart w:id="15" w:name="_Toc267038901"/>
      <w:bookmarkStart w:id="16" w:name="_Toc466537922"/>
      <w:r>
        <w:rPr>
          <w:rFonts w:hint="eastAsia"/>
        </w:rPr>
        <w:t>八、估价依据</w:t>
      </w:r>
      <w:bookmarkEnd w:id="12"/>
      <w:bookmarkEnd w:id="15"/>
      <w:r>
        <w:t>:</w:t>
      </w:r>
      <w:bookmarkEnd w:id="16"/>
    </w:p>
    <w:p>
      <w:pPr>
        <w:tabs>
          <w:tab w:val="left" w:pos="720"/>
        </w:tabs>
        <w:autoSpaceDE w:val="0"/>
        <w:autoSpaceDN w:val="0"/>
        <w:spacing w:line="580" w:lineRule="exact"/>
        <w:ind w:firstLine="280" w:firstLineChars="100"/>
        <w:rPr>
          <w:rFonts w:ascii="仿宋" w:hAnsi="仿宋" w:eastAsia="仿宋"/>
          <w:sz w:val="28"/>
          <w:szCs w:val="28"/>
        </w:rPr>
      </w:pPr>
      <w:bookmarkStart w:id="17" w:name="_Toc262130461"/>
      <w:bookmarkStart w:id="18" w:name="_Toc267038902"/>
      <w:r>
        <w:rPr>
          <w:rFonts w:ascii="仿宋" w:hAnsi="仿宋" w:eastAsia="仿宋"/>
          <w:sz w:val="28"/>
          <w:szCs w:val="28"/>
        </w:rPr>
        <w:t>1.</w:t>
      </w:r>
      <w:r>
        <w:rPr>
          <w:rFonts w:hint="eastAsia" w:ascii="仿宋" w:hAnsi="仿宋" w:eastAsia="仿宋"/>
          <w:sz w:val="28"/>
          <w:szCs w:val="28"/>
        </w:rPr>
        <w:t>有关政策法规和技术标准文件：</w:t>
      </w:r>
    </w:p>
    <w:p>
      <w:pPr>
        <w:numPr>
          <w:ilvl w:val="0"/>
          <w:numId w:val="4"/>
        </w:numPr>
        <w:tabs>
          <w:tab w:val="left" w:pos="525"/>
        </w:tabs>
        <w:autoSpaceDE w:val="0"/>
        <w:autoSpaceDN w:val="0"/>
        <w:spacing w:line="580" w:lineRule="exact"/>
        <w:ind w:left="0" w:firstLine="560" w:firstLineChars="200"/>
        <w:rPr>
          <w:rFonts w:ascii="仿宋" w:hAnsi="仿宋" w:eastAsia="仿宋"/>
          <w:sz w:val="28"/>
          <w:szCs w:val="28"/>
        </w:rPr>
      </w:pPr>
      <w:r>
        <w:rPr>
          <w:rFonts w:hint="eastAsia" w:ascii="仿宋" w:hAnsi="仿宋" w:eastAsia="仿宋"/>
          <w:sz w:val="28"/>
          <w:szCs w:val="28"/>
        </w:rPr>
        <w:t>《中华人民共和国城市房地产管理法》</w:t>
      </w:r>
    </w:p>
    <w:p>
      <w:pPr>
        <w:numPr>
          <w:ilvl w:val="0"/>
          <w:numId w:val="4"/>
        </w:numPr>
        <w:tabs>
          <w:tab w:val="left" w:pos="525"/>
        </w:tabs>
        <w:autoSpaceDE w:val="0"/>
        <w:autoSpaceDN w:val="0"/>
        <w:spacing w:line="580" w:lineRule="exact"/>
        <w:ind w:left="0" w:firstLine="560" w:firstLineChars="200"/>
        <w:rPr>
          <w:rFonts w:hint="eastAsia" w:ascii="仿宋" w:hAnsi="仿宋" w:eastAsia="仿宋"/>
          <w:sz w:val="28"/>
          <w:szCs w:val="28"/>
        </w:rPr>
      </w:pPr>
      <w:r>
        <w:rPr>
          <w:rFonts w:hint="eastAsia" w:ascii="仿宋" w:hAnsi="仿宋" w:eastAsia="仿宋"/>
          <w:sz w:val="28"/>
          <w:szCs w:val="28"/>
        </w:rPr>
        <w:t>《中华人民共和国物权法》</w:t>
      </w:r>
    </w:p>
    <w:p>
      <w:pPr>
        <w:numPr>
          <w:ilvl w:val="0"/>
          <w:numId w:val="4"/>
        </w:numPr>
        <w:tabs>
          <w:tab w:val="left" w:pos="525"/>
        </w:tabs>
        <w:autoSpaceDE w:val="0"/>
        <w:autoSpaceDN w:val="0"/>
        <w:spacing w:line="580" w:lineRule="exact"/>
        <w:ind w:left="0" w:firstLine="560" w:firstLineChars="200"/>
        <w:rPr>
          <w:rFonts w:ascii="仿宋" w:hAnsi="仿宋" w:eastAsia="仿宋"/>
          <w:sz w:val="28"/>
          <w:szCs w:val="28"/>
        </w:rPr>
      </w:pPr>
      <w:r>
        <w:rPr>
          <w:rFonts w:hint="eastAsia" w:ascii="仿宋" w:hAnsi="仿宋" w:eastAsia="仿宋"/>
          <w:sz w:val="28"/>
          <w:szCs w:val="28"/>
        </w:rPr>
        <w:t>《中华人民共和国资产评估法》</w:t>
      </w:r>
    </w:p>
    <w:p>
      <w:pPr>
        <w:numPr>
          <w:ilvl w:val="0"/>
          <w:numId w:val="4"/>
        </w:numPr>
        <w:tabs>
          <w:tab w:val="left" w:pos="525"/>
        </w:tabs>
        <w:autoSpaceDE w:val="0"/>
        <w:autoSpaceDN w:val="0"/>
        <w:spacing w:line="580" w:lineRule="exact"/>
        <w:ind w:left="0" w:firstLine="560" w:firstLineChars="200"/>
        <w:rPr>
          <w:rFonts w:ascii="仿宋" w:hAnsi="仿宋" w:eastAsia="仿宋"/>
          <w:sz w:val="28"/>
          <w:szCs w:val="28"/>
        </w:rPr>
      </w:pPr>
      <w:r>
        <w:rPr>
          <w:rFonts w:hint="eastAsia" w:ascii="仿宋" w:hAnsi="仿宋" w:eastAsia="仿宋"/>
          <w:sz w:val="28"/>
          <w:szCs w:val="28"/>
        </w:rPr>
        <w:t>《房地产估价规范》国家标准【</w:t>
      </w:r>
      <w:r>
        <w:rPr>
          <w:rFonts w:ascii="仿宋" w:hAnsi="仿宋" w:eastAsia="仿宋"/>
          <w:sz w:val="28"/>
          <w:szCs w:val="28"/>
        </w:rPr>
        <w:t>GB/T 50291-2015</w:t>
      </w:r>
      <w:r>
        <w:rPr>
          <w:rFonts w:hint="eastAsia" w:ascii="仿宋" w:hAnsi="仿宋" w:eastAsia="仿宋"/>
          <w:sz w:val="28"/>
          <w:szCs w:val="28"/>
        </w:rPr>
        <w:t>】</w:t>
      </w:r>
    </w:p>
    <w:p>
      <w:pPr>
        <w:numPr>
          <w:ilvl w:val="0"/>
          <w:numId w:val="4"/>
        </w:numPr>
        <w:tabs>
          <w:tab w:val="left" w:pos="525"/>
        </w:tabs>
        <w:autoSpaceDE w:val="0"/>
        <w:autoSpaceDN w:val="0"/>
        <w:spacing w:line="580" w:lineRule="exact"/>
        <w:ind w:left="0" w:firstLine="560" w:firstLineChars="200"/>
        <w:rPr>
          <w:rFonts w:ascii="仿宋" w:hAnsi="仿宋" w:eastAsia="仿宋"/>
          <w:sz w:val="28"/>
          <w:szCs w:val="28"/>
        </w:rPr>
      </w:pPr>
      <w:r>
        <w:rPr>
          <w:rFonts w:hint="eastAsia" w:ascii="仿宋" w:hAnsi="仿宋" w:eastAsia="仿宋"/>
          <w:sz w:val="28"/>
          <w:szCs w:val="28"/>
        </w:rPr>
        <w:t>《房地产估价基本术语标准》【</w:t>
      </w:r>
      <w:r>
        <w:rPr>
          <w:rFonts w:ascii="仿宋" w:hAnsi="仿宋" w:eastAsia="仿宋"/>
          <w:sz w:val="28"/>
          <w:szCs w:val="28"/>
        </w:rPr>
        <w:t>GB/T50899-2013</w:t>
      </w:r>
      <w:r>
        <w:rPr>
          <w:rFonts w:hint="eastAsia" w:ascii="仿宋" w:hAnsi="仿宋" w:eastAsia="仿宋"/>
          <w:sz w:val="28"/>
          <w:szCs w:val="28"/>
        </w:rPr>
        <w:t>】</w:t>
      </w:r>
    </w:p>
    <w:p>
      <w:pPr>
        <w:numPr>
          <w:ilvl w:val="0"/>
          <w:numId w:val="4"/>
        </w:numPr>
        <w:tabs>
          <w:tab w:val="left" w:pos="420"/>
          <w:tab w:val="left" w:pos="525"/>
          <w:tab w:val="clear" w:pos="988"/>
        </w:tabs>
        <w:spacing w:line="580" w:lineRule="exact"/>
        <w:ind w:left="0" w:firstLine="560" w:firstLineChars="200"/>
        <w:rPr>
          <w:rFonts w:ascii="仿宋" w:hAnsi="仿宋" w:eastAsia="仿宋"/>
          <w:sz w:val="28"/>
          <w:szCs w:val="28"/>
        </w:rPr>
      </w:pPr>
      <w:r>
        <w:rPr>
          <w:rFonts w:ascii="仿宋" w:hAnsi="仿宋" w:eastAsia="仿宋"/>
          <w:sz w:val="28"/>
          <w:szCs w:val="28"/>
        </w:rPr>
        <w:t xml:space="preserve"> </w:t>
      </w:r>
      <w:r>
        <w:rPr>
          <w:rFonts w:hint="eastAsia" w:eastAsia="仿宋"/>
          <w:sz w:val="28"/>
          <w:szCs w:val="28"/>
        </w:rPr>
        <w:t>《中华人民共和国民事诉讼法》</w:t>
      </w:r>
    </w:p>
    <w:p>
      <w:pPr>
        <w:numPr>
          <w:ilvl w:val="0"/>
          <w:numId w:val="4"/>
        </w:numPr>
        <w:tabs>
          <w:tab w:val="left" w:pos="420"/>
          <w:tab w:val="left" w:pos="525"/>
          <w:tab w:val="clear" w:pos="988"/>
        </w:tabs>
        <w:spacing w:line="580" w:lineRule="exact"/>
        <w:ind w:left="0" w:firstLine="560" w:firstLineChars="200"/>
        <w:rPr>
          <w:rFonts w:ascii="仿宋" w:hAnsi="仿宋" w:eastAsia="仿宋"/>
          <w:sz w:val="28"/>
          <w:szCs w:val="28"/>
        </w:rPr>
      </w:pPr>
      <w:r>
        <w:rPr>
          <w:rFonts w:eastAsia="仿宋"/>
          <w:sz w:val="28"/>
          <w:szCs w:val="28"/>
        </w:rPr>
        <w:t xml:space="preserve"> </w:t>
      </w:r>
      <w:r>
        <w:rPr>
          <w:rFonts w:hint="eastAsia" w:eastAsia="仿宋"/>
          <w:sz w:val="28"/>
          <w:szCs w:val="28"/>
        </w:rPr>
        <w:t>《房地产估价报告评审标准》（中房学试行）</w:t>
      </w:r>
    </w:p>
    <w:p>
      <w:pPr>
        <w:numPr>
          <w:ilvl w:val="0"/>
          <w:numId w:val="4"/>
        </w:numPr>
        <w:tabs>
          <w:tab w:val="left" w:pos="420"/>
          <w:tab w:val="left" w:pos="525"/>
          <w:tab w:val="clear" w:pos="988"/>
        </w:tabs>
        <w:spacing w:line="580" w:lineRule="exact"/>
        <w:ind w:left="0" w:firstLine="560" w:firstLineChars="200"/>
        <w:rPr>
          <w:rFonts w:hint="eastAsia" w:ascii="仿宋" w:hAnsi="仿宋" w:eastAsia="仿宋"/>
          <w:sz w:val="28"/>
          <w:szCs w:val="28"/>
        </w:rPr>
      </w:pPr>
      <w:r>
        <w:rPr>
          <w:rFonts w:eastAsia="仿宋"/>
          <w:sz w:val="28"/>
          <w:szCs w:val="28"/>
        </w:rPr>
        <w:t xml:space="preserve"> </w:t>
      </w:r>
      <w:r>
        <w:rPr>
          <w:rFonts w:hint="eastAsia" w:eastAsia="仿宋"/>
          <w:sz w:val="28"/>
          <w:szCs w:val="28"/>
        </w:rPr>
        <w:t>《司法鉴定程序通则》（司法部令第</w:t>
      </w:r>
      <w:r>
        <w:rPr>
          <w:rFonts w:eastAsia="仿宋"/>
          <w:sz w:val="28"/>
          <w:szCs w:val="28"/>
        </w:rPr>
        <w:t>107</w:t>
      </w:r>
      <w:r>
        <w:rPr>
          <w:rFonts w:hint="eastAsia" w:eastAsia="仿宋"/>
          <w:sz w:val="28"/>
          <w:szCs w:val="28"/>
        </w:rPr>
        <w:t>号）</w:t>
      </w:r>
    </w:p>
    <w:p>
      <w:pPr>
        <w:tabs>
          <w:tab w:val="left" w:pos="720"/>
        </w:tabs>
        <w:autoSpaceDE w:val="0"/>
        <w:autoSpaceDN w:val="0"/>
        <w:spacing w:line="580" w:lineRule="exact"/>
        <w:ind w:left="24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委托估价方提供的相关资料：</w:t>
      </w:r>
    </w:p>
    <w:p>
      <w:pPr>
        <w:numPr>
          <w:ilvl w:val="0"/>
          <w:numId w:val="4"/>
        </w:numPr>
        <w:tabs>
          <w:tab w:val="left" w:pos="525"/>
        </w:tabs>
        <w:autoSpaceDE w:val="0"/>
        <w:autoSpaceDN w:val="0"/>
        <w:spacing w:line="580" w:lineRule="exact"/>
        <w:ind w:left="0" w:firstLine="560" w:firstLineChars="200"/>
        <w:rPr>
          <w:rFonts w:hint="eastAsia" w:ascii="仿宋" w:hAnsi="仿宋" w:eastAsia="仿宋"/>
          <w:sz w:val="28"/>
          <w:szCs w:val="28"/>
        </w:rPr>
      </w:pPr>
      <w:r>
        <w:rPr>
          <w:rFonts w:hint="eastAsia" w:ascii="仿宋" w:hAnsi="仿宋" w:eastAsia="仿宋"/>
          <w:sz w:val="28"/>
        </w:rPr>
        <w:t>《太原市商品房建筑面积预测报告书（预测成果）》复印件</w:t>
      </w:r>
    </w:p>
    <w:p>
      <w:pPr>
        <w:numPr>
          <w:ilvl w:val="0"/>
          <w:numId w:val="4"/>
        </w:numPr>
        <w:tabs>
          <w:tab w:val="left" w:pos="525"/>
        </w:tabs>
        <w:autoSpaceDE w:val="0"/>
        <w:autoSpaceDN w:val="0"/>
        <w:spacing w:line="580" w:lineRule="exact"/>
        <w:ind w:left="0" w:firstLine="560" w:firstLineChars="200"/>
        <w:rPr>
          <w:rFonts w:hint="eastAsia" w:ascii="仿宋" w:hAnsi="仿宋" w:eastAsia="仿宋"/>
          <w:sz w:val="28"/>
          <w:szCs w:val="28"/>
        </w:rPr>
      </w:pPr>
      <w:r>
        <w:rPr>
          <w:rFonts w:hint="eastAsia" w:ascii="仿宋" w:hAnsi="仿宋" w:eastAsia="仿宋"/>
          <w:sz w:val="28"/>
        </w:rPr>
        <w:t>《商品房预售许可证》复印件</w:t>
      </w:r>
    </w:p>
    <w:p>
      <w:pPr>
        <w:numPr>
          <w:ilvl w:val="0"/>
          <w:numId w:val="4"/>
        </w:numPr>
        <w:tabs>
          <w:tab w:val="left" w:pos="525"/>
        </w:tabs>
        <w:autoSpaceDE w:val="0"/>
        <w:autoSpaceDN w:val="0"/>
        <w:spacing w:line="580" w:lineRule="exact"/>
        <w:ind w:left="0" w:firstLine="560" w:firstLineChars="200"/>
        <w:rPr>
          <w:rFonts w:hint="eastAsia" w:ascii="仿宋" w:hAnsi="仿宋" w:eastAsia="仿宋"/>
          <w:sz w:val="28"/>
          <w:szCs w:val="28"/>
        </w:rPr>
      </w:pPr>
      <w:r>
        <w:rPr>
          <w:rFonts w:hint="eastAsia" w:ascii="仿宋" w:hAnsi="仿宋" w:eastAsia="仿宋"/>
          <w:sz w:val="28"/>
        </w:rPr>
        <w:t>《竣工验收证明书》复印件</w:t>
      </w:r>
    </w:p>
    <w:p>
      <w:pPr>
        <w:numPr>
          <w:ilvl w:val="0"/>
          <w:numId w:val="4"/>
        </w:numPr>
        <w:tabs>
          <w:tab w:val="left" w:pos="525"/>
        </w:tabs>
        <w:autoSpaceDE w:val="0"/>
        <w:autoSpaceDN w:val="0"/>
        <w:spacing w:line="580" w:lineRule="exact"/>
        <w:ind w:left="0" w:firstLine="560" w:firstLineChars="200"/>
        <w:rPr>
          <w:rFonts w:hint="eastAsia" w:ascii="仿宋" w:hAnsi="仿宋" w:eastAsia="仿宋"/>
          <w:sz w:val="28"/>
          <w:szCs w:val="28"/>
        </w:rPr>
      </w:pPr>
      <w:r>
        <w:rPr>
          <w:rFonts w:hint="eastAsia" w:ascii="仿宋" w:hAnsi="仿宋" w:eastAsia="仿宋"/>
          <w:sz w:val="28"/>
        </w:rPr>
        <w:t>《国有建设用地使用权出让合同》复印件</w:t>
      </w:r>
    </w:p>
    <w:p>
      <w:pPr>
        <w:tabs>
          <w:tab w:val="left" w:pos="720"/>
        </w:tabs>
        <w:autoSpaceDE w:val="0"/>
        <w:autoSpaceDN w:val="0"/>
        <w:spacing w:line="580" w:lineRule="exact"/>
        <w:ind w:firstLine="420" w:firstLineChars="15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 xml:space="preserve"> </w:t>
      </w:r>
      <w:r>
        <w:rPr>
          <w:rFonts w:hint="eastAsia" w:ascii="仿宋" w:hAnsi="仿宋" w:eastAsia="仿宋"/>
          <w:sz w:val="28"/>
          <w:szCs w:val="28"/>
        </w:rPr>
        <w:t>注册房地产估价师掌握的有关资料以及实地勘查所获取的资料。</w:t>
      </w:r>
    </w:p>
    <w:bookmarkEnd w:id="17"/>
    <w:bookmarkEnd w:id="18"/>
    <w:p>
      <w:pPr>
        <w:pStyle w:val="3"/>
      </w:pPr>
      <w:bookmarkStart w:id="19" w:name="_Toc267038903"/>
      <w:bookmarkStart w:id="20" w:name="_Toc262130462"/>
      <w:bookmarkStart w:id="21" w:name="_Toc466537923"/>
      <w:r>
        <w:rPr>
          <w:rFonts w:hint="eastAsia"/>
        </w:rPr>
        <w:t>九、估价方法</w:t>
      </w:r>
      <w:bookmarkEnd w:id="19"/>
      <w:bookmarkEnd w:id="20"/>
      <w:r>
        <w:t>:</w:t>
      </w:r>
      <w:bookmarkEnd w:id="21"/>
    </w:p>
    <w:p>
      <w:pPr>
        <w:spacing w:line="360" w:lineRule="auto"/>
        <w:ind w:firstLine="560" w:firstLineChars="200"/>
        <w:rPr>
          <w:rFonts w:eastAsia="FangSong_GB2312"/>
          <w:color w:val="000000"/>
          <w:sz w:val="28"/>
          <w:szCs w:val="28"/>
          <w:lang w:val="zh-CN"/>
        </w:rPr>
      </w:pPr>
      <w:r>
        <w:rPr>
          <w:rFonts w:eastAsia="FangSong_GB2312"/>
          <w:color w:val="000000"/>
          <w:sz w:val="28"/>
          <w:szCs w:val="28"/>
          <w:lang w:val="zh-CN"/>
        </w:rPr>
        <w:t>1、估价技术思路及估价方法</w:t>
      </w:r>
      <w:r>
        <w:rPr>
          <w:rFonts w:hint="eastAsia" w:eastAsia="FangSong_GB2312"/>
          <w:color w:val="000000"/>
          <w:sz w:val="28"/>
          <w:szCs w:val="28"/>
          <w:lang w:val="zh-CN"/>
        </w:rPr>
        <w:t>选</w:t>
      </w:r>
      <w:r>
        <w:rPr>
          <w:rFonts w:eastAsia="FangSong_GB2312"/>
          <w:color w:val="000000"/>
          <w:sz w:val="28"/>
          <w:szCs w:val="28"/>
          <w:lang w:val="zh-CN"/>
        </w:rPr>
        <w:t>用</w:t>
      </w:r>
    </w:p>
    <w:p>
      <w:pPr>
        <w:spacing w:line="360" w:lineRule="auto"/>
        <w:ind w:firstLine="560" w:firstLineChars="200"/>
        <w:rPr>
          <w:rFonts w:eastAsia="FangSong_GB2312"/>
          <w:color w:val="000000"/>
          <w:sz w:val="28"/>
        </w:rPr>
      </w:pPr>
      <w:r>
        <w:rPr>
          <w:rFonts w:eastAsia="FangSong_GB2312"/>
          <w:color w:val="000000"/>
          <w:sz w:val="28"/>
        </w:rPr>
        <w:t>根据</w:t>
      </w:r>
      <w:r>
        <w:rPr>
          <w:rFonts w:eastAsia="FangSong_GB2312"/>
          <w:color w:val="000000"/>
          <w:sz w:val="28"/>
          <w:szCs w:val="28"/>
        </w:rPr>
        <w:t>国家标准GB/T50291-2015</w:t>
      </w:r>
      <w:r>
        <w:rPr>
          <w:rFonts w:eastAsia="FangSong_GB2312"/>
          <w:color w:val="000000"/>
          <w:sz w:val="28"/>
        </w:rPr>
        <w:t>《房地产估价规范》</w:t>
      </w:r>
      <w:r>
        <w:rPr>
          <w:rFonts w:eastAsia="FangSong_GB2312"/>
          <w:color w:val="000000"/>
          <w:sz w:val="28"/>
          <w:szCs w:val="28"/>
          <w:lang w:val="zh-CN"/>
        </w:rPr>
        <w:t>估价方法通常有比较法、收益法、成本法、假设开发法四种基本的估价方法。比较法选用于同类房地产交易案例较多的估价；收益法适用于有收益或有潜在收益的房地产估价；成本法适用于无市场依据或市场依据不</w:t>
      </w:r>
      <w:r>
        <w:rPr>
          <w:rFonts w:eastAsia="FangSong_GB2312"/>
          <w:color w:val="000000"/>
          <w:sz w:val="28"/>
        </w:rPr>
        <w:t>充分而不宜采用市场比较法、收益法、假设开发法进行估价的情况下的房地产估价；假设开发法适用于具有投资开发或再开发潜力的房地产的估价。</w:t>
      </w:r>
    </w:p>
    <w:p>
      <w:pPr>
        <w:spacing w:line="360" w:lineRule="auto"/>
        <w:ind w:firstLine="560" w:firstLineChars="200"/>
        <w:rPr>
          <w:rFonts w:eastAsia="FangSong_GB2312"/>
          <w:color w:val="000000"/>
          <w:sz w:val="28"/>
          <w:szCs w:val="28"/>
          <w:lang w:val="zh-CN"/>
        </w:rPr>
      </w:pPr>
      <w:r>
        <w:rPr>
          <w:rFonts w:eastAsia="FangSong_GB2312"/>
          <w:color w:val="000000"/>
          <w:sz w:val="28"/>
        </w:rPr>
        <w:t>注册房地产估价师细致地分析了评估项目的特点和实际状况，并研究了委托方提供及所掌握的资料，在实地勘察和调研的基础上认为，根据</w:t>
      </w:r>
      <w:r>
        <w:rPr>
          <w:rFonts w:eastAsia="FangSong_GB2312"/>
          <w:color w:val="000000"/>
          <w:sz w:val="28"/>
          <w:szCs w:val="28"/>
        </w:rPr>
        <w:t>国家标准GB/T50291-2015</w:t>
      </w:r>
      <w:r>
        <w:rPr>
          <w:rFonts w:eastAsia="FangSong_GB2312"/>
          <w:color w:val="000000"/>
          <w:sz w:val="28"/>
        </w:rPr>
        <w:t>《房地产估价规范》4.1.2当估价对象的同类房地产有较多交易的，应选用比较法。</w:t>
      </w:r>
      <w:r>
        <w:rPr>
          <w:rFonts w:eastAsia="FangSong_GB2312"/>
          <w:color w:val="000000"/>
          <w:sz w:val="28"/>
          <w:szCs w:val="28"/>
          <w:lang w:val="zh-CN"/>
        </w:rPr>
        <w:t>本次评估估价对象有类似物业交易案例，因此我们选用比较法评估估价对象的价值。</w:t>
      </w:r>
    </w:p>
    <w:p>
      <w:pPr>
        <w:spacing w:line="360" w:lineRule="auto"/>
        <w:ind w:firstLine="560" w:firstLineChars="200"/>
        <w:rPr>
          <w:rFonts w:hint="eastAsia" w:eastAsia="FangSong_GB2312"/>
          <w:color w:val="000000"/>
          <w:sz w:val="28"/>
        </w:rPr>
      </w:pPr>
      <w:r>
        <w:rPr>
          <w:rFonts w:eastAsia="FangSong_GB2312"/>
          <w:color w:val="000000"/>
          <w:sz w:val="28"/>
        </w:rPr>
        <w:t>根据</w:t>
      </w:r>
      <w:r>
        <w:rPr>
          <w:rFonts w:eastAsia="FangSong_GB2312"/>
          <w:color w:val="000000"/>
          <w:sz w:val="28"/>
          <w:szCs w:val="28"/>
        </w:rPr>
        <w:t>国家标准GB/T50291-2015</w:t>
      </w:r>
      <w:r>
        <w:rPr>
          <w:rFonts w:eastAsia="FangSong_GB2312"/>
          <w:color w:val="000000"/>
          <w:sz w:val="28"/>
        </w:rPr>
        <w:t>《房地产估价规范》4.3.1收益法适用于估价对象或其同类房地产通常有租金等经济收入的收益性房地产等。本次估价对象属于收益性房地产，</w:t>
      </w:r>
      <w:r>
        <w:rPr>
          <w:rFonts w:hint="eastAsia" w:eastAsia="FangSong_GB2312"/>
          <w:color w:val="000000"/>
          <w:sz w:val="28"/>
        </w:rPr>
        <w:t>能产生一定的租金收益，</w:t>
      </w:r>
      <w:r>
        <w:rPr>
          <w:rFonts w:eastAsia="FangSong_GB2312"/>
          <w:color w:val="000000"/>
          <w:sz w:val="28"/>
        </w:rPr>
        <w:t>故在充分收集评估所需资料基础上，还</w:t>
      </w:r>
      <w:r>
        <w:rPr>
          <w:rFonts w:hint="eastAsia" w:eastAsia="FangSong_GB2312"/>
          <w:color w:val="000000"/>
          <w:sz w:val="28"/>
        </w:rPr>
        <w:t>选</w:t>
      </w:r>
      <w:r>
        <w:rPr>
          <w:rFonts w:eastAsia="FangSong_GB2312"/>
          <w:color w:val="000000"/>
          <w:sz w:val="28"/>
        </w:rPr>
        <w:t>用收益法作为本次评估的方法之一。</w:t>
      </w:r>
    </w:p>
    <w:p>
      <w:pPr>
        <w:spacing w:line="360" w:lineRule="auto"/>
        <w:ind w:firstLine="560" w:firstLineChars="200"/>
        <w:rPr>
          <w:rFonts w:hint="eastAsia" w:eastAsia="FangSong_GB2312"/>
          <w:color w:val="000000"/>
          <w:sz w:val="28"/>
        </w:rPr>
      </w:pPr>
      <w:r>
        <w:rPr>
          <w:rFonts w:eastAsia="FangSong_GB2312"/>
          <w:color w:val="000000"/>
          <w:sz w:val="28"/>
        </w:rPr>
        <w:t>故经综合分析，本次评估</w:t>
      </w:r>
      <w:r>
        <w:rPr>
          <w:rFonts w:hint="eastAsia" w:eastAsia="FangSong_GB2312"/>
          <w:color w:val="000000"/>
          <w:sz w:val="28"/>
        </w:rPr>
        <w:t>选用</w:t>
      </w:r>
      <w:r>
        <w:rPr>
          <w:rFonts w:eastAsia="FangSong_GB2312"/>
          <w:color w:val="000000"/>
          <w:sz w:val="28"/>
        </w:rPr>
        <w:t>比较法</w:t>
      </w:r>
      <w:r>
        <w:rPr>
          <w:rFonts w:hint="eastAsia" w:eastAsia="FangSong_GB2312"/>
          <w:color w:val="000000"/>
          <w:sz w:val="28"/>
        </w:rPr>
        <w:t>和收益法两种方法进行评估。</w:t>
      </w:r>
    </w:p>
    <w:p>
      <w:pPr>
        <w:spacing w:line="360" w:lineRule="auto"/>
        <w:ind w:firstLine="560" w:firstLineChars="200"/>
        <w:rPr>
          <w:rFonts w:eastAsia="FangSong_GB2312"/>
          <w:color w:val="000000"/>
          <w:sz w:val="28"/>
          <w:szCs w:val="28"/>
          <w:lang w:val="zh-CN"/>
        </w:rPr>
      </w:pPr>
      <w:r>
        <w:rPr>
          <w:rFonts w:eastAsia="FangSong_GB2312"/>
          <w:color w:val="000000"/>
          <w:sz w:val="28"/>
          <w:szCs w:val="28"/>
          <w:lang w:val="zh-CN"/>
        </w:rPr>
        <w:t>2、估价方法</w:t>
      </w:r>
    </w:p>
    <w:p>
      <w:pPr>
        <w:spacing w:line="360" w:lineRule="auto"/>
        <w:ind w:firstLine="555"/>
        <w:rPr>
          <w:rFonts w:hint="eastAsia" w:eastAsia="FangSong_GB2312"/>
          <w:color w:val="000000"/>
          <w:sz w:val="28"/>
        </w:rPr>
      </w:pPr>
      <w:r>
        <w:rPr>
          <w:rFonts w:eastAsia="FangSong_GB2312"/>
          <w:color w:val="000000"/>
          <w:sz w:val="28"/>
        </w:rPr>
        <w:t>比较法是选取一定数量的可比实例，将它们与估价对象进行比较，根据其间的差异对可比实例成交价格进行处理后得到估价对象价值或价格的方法。</w:t>
      </w:r>
    </w:p>
    <w:p>
      <w:pPr>
        <w:spacing w:line="360" w:lineRule="auto"/>
        <w:ind w:firstLine="540"/>
        <w:rPr>
          <w:rFonts w:hint="eastAsia" w:eastAsia="FangSong_GB2312"/>
          <w:color w:val="000000"/>
          <w:sz w:val="28"/>
        </w:rPr>
      </w:pPr>
      <w:r>
        <w:rPr>
          <w:rFonts w:eastAsia="FangSong_GB2312"/>
          <w:color w:val="000000"/>
          <w:sz w:val="28"/>
        </w:rPr>
        <w:t>比较法公式：估价对象价格=可比实例价格×交易情况修正</w:t>
      </w:r>
      <w:r>
        <w:rPr>
          <w:rFonts w:hint="eastAsia" w:eastAsia="FangSong_GB2312"/>
          <w:color w:val="000000"/>
          <w:sz w:val="28"/>
        </w:rPr>
        <w:t>系数</w:t>
      </w:r>
      <w:r>
        <w:rPr>
          <w:rFonts w:eastAsia="FangSong_GB2312"/>
          <w:color w:val="000000"/>
          <w:sz w:val="28"/>
        </w:rPr>
        <w:t>×市场状况调整</w:t>
      </w:r>
      <w:r>
        <w:rPr>
          <w:rFonts w:hint="eastAsia" w:eastAsia="FangSong_GB2312"/>
          <w:color w:val="000000"/>
          <w:sz w:val="28"/>
        </w:rPr>
        <w:t>系数</w:t>
      </w:r>
      <w:r>
        <w:rPr>
          <w:rFonts w:eastAsia="FangSong_GB2312"/>
          <w:color w:val="000000"/>
          <w:sz w:val="28"/>
        </w:rPr>
        <w:t>×区位状况调整</w:t>
      </w:r>
      <w:r>
        <w:rPr>
          <w:rFonts w:hint="eastAsia" w:eastAsia="FangSong_GB2312"/>
          <w:color w:val="000000"/>
          <w:sz w:val="28"/>
        </w:rPr>
        <w:t>系数</w:t>
      </w:r>
      <w:r>
        <w:rPr>
          <w:rFonts w:eastAsia="FangSong_GB2312"/>
          <w:color w:val="000000"/>
          <w:sz w:val="28"/>
        </w:rPr>
        <w:t>×实物状况调整</w:t>
      </w:r>
      <w:r>
        <w:rPr>
          <w:rFonts w:hint="eastAsia" w:eastAsia="FangSong_GB2312"/>
          <w:color w:val="000000"/>
          <w:sz w:val="28"/>
        </w:rPr>
        <w:t>系数</w:t>
      </w:r>
      <w:r>
        <w:rPr>
          <w:rFonts w:eastAsia="FangSong_GB2312"/>
          <w:color w:val="000000"/>
          <w:sz w:val="28"/>
        </w:rPr>
        <w:t>×权益状况调整</w:t>
      </w:r>
      <w:r>
        <w:rPr>
          <w:rFonts w:hint="eastAsia" w:eastAsia="FangSong_GB2312"/>
          <w:color w:val="000000"/>
          <w:sz w:val="28"/>
        </w:rPr>
        <w:t>系数</w:t>
      </w:r>
    </w:p>
    <w:p>
      <w:pPr>
        <w:spacing w:line="360" w:lineRule="auto"/>
        <w:ind w:firstLine="555"/>
        <w:rPr>
          <w:rFonts w:hint="eastAsia" w:eastAsia="FangSong_GB2312"/>
          <w:color w:val="000000"/>
          <w:sz w:val="28"/>
        </w:rPr>
      </w:pPr>
      <w:r>
        <w:rPr>
          <w:rFonts w:eastAsia="FangSong_GB2312"/>
          <w:color w:val="000000"/>
          <w:kern w:val="0"/>
          <w:sz w:val="28"/>
          <w:szCs w:val="28"/>
        </w:rPr>
        <w:t>收益法是预测估价对象的未来收益，利用报酬率或资本化率、收益乘数将未来收益转化为价值得到估价对象价值或价格的方法</w:t>
      </w:r>
      <w:r>
        <w:rPr>
          <w:rFonts w:eastAsia="FangSong_GB2312"/>
          <w:color w:val="000000"/>
          <w:sz w:val="28"/>
        </w:rPr>
        <w:t>。</w:t>
      </w:r>
    </w:p>
    <w:p>
      <w:pPr>
        <w:widowControl/>
        <w:tabs>
          <w:tab w:val="left" w:pos="900"/>
        </w:tabs>
        <w:spacing w:line="360" w:lineRule="auto"/>
        <w:ind w:firstLine="560" w:firstLineChars="200"/>
        <w:jc w:val="left"/>
        <w:rPr>
          <w:rFonts w:eastAsia="FangSong_GB2312"/>
          <w:color w:val="000000"/>
          <w:sz w:val="28"/>
          <w:szCs w:val="28"/>
        </w:rPr>
      </w:pPr>
      <w:r>
        <w:rPr>
          <w:rFonts w:eastAsia="FangSong_GB2312"/>
          <w:color w:val="000000"/>
          <w:sz w:val="28"/>
        </w:rPr>
        <w:t>收益法的公式： V=[a/(r－g)]·[1-(1+g)</w:t>
      </w:r>
      <w:r>
        <w:rPr>
          <w:rFonts w:eastAsia="FangSong_GB2312"/>
          <w:color w:val="000000"/>
          <w:sz w:val="28"/>
          <w:szCs w:val="28"/>
          <w:vertAlign w:val="superscript"/>
        </w:rPr>
        <w:t>n</w:t>
      </w:r>
      <w:r>
        <w:rPr>
          <w:rFonts w:eastAsia="FangSong_GB2312"/>
          <w:color w:val="000000"/>
          <w:sz w:val="28"/>
        </w:rPr>
        <w:t>/(1+r)</w:t>
      </w:r>
      <w:r>
        <w:rPr>
          <w:rFonts w:eastAsia="FangSong_GB2312"/>
          <w:color w:val="000000"/>
          <w:sz w:val="28"/>
          <w:szCs w:val="28"/>
          <w:vertAlign w:val="superscript"/>
        </w:rPr>
        <w:t>n</w:t>
      </w:r>
      <w:r>
        <w:rPr>
          <w:rFonts w:eastAsia="FangSong_GB2312"/>
          <w:color w:val="000000"/>
          <w:sz w:val="28"/>
        </w:rPr>
        <w:t>]</w:t>
      </w:r>
      <w:r>
        <w:rPr>
          <w:rFonts w:eastAsia="FangSong_GB2312"/>
          <w:color w:val="000000"/>
          <w:sz w:val="28"/>
          <w:szCs w:val="28"/>
        </w:rPr>
        <w:t xml:space="preserve">   式中：</w:t>
      </w:r>
    </w:p>
    <w:p>
      <w:pPr>
        <w:adjustRightInd w:val="0"/>
        <w:snapToGrid w:val="0"/>
        <w:spacing w:line="360" w:lineRule="auto"/>
        <w:ind w:firstLine="560" w:firstLineChars="200"/>
        <w:rPr>
          <w:rFonts w:eastAsia="FangSong_GB2312"/>
          <w:color w:val="000000"/>
          <w:sz w:val="28"/>
        </w:rPr>
      </w:pPr>
      <w:r>
        <w:rPr>
          <w:rFonts w:eastAsia="FangSong_GB2312"/>
          <w:color w:val="000000"/>
          <w:sz w:val="28"/>
        </w:rPr>
        <w:t xml:space="preserve">V--表示估价对象在价值时点的收益价格，即现值 </w:t>
      </w:r>
    </w:p>
    <w:p>
      <w:pPr>
        <w:spacing w:line="360" w:lineRule="auto"/>
        <w:ind w:firstLine="560" w:firstLineChars="200"/>
        <w:rPr>
          <w:rFonts w:eastAsia="FangSong_GB2312"/>
          <w:color w:val="000000"/>
          <w:sz w:val="28"/>
          <w:szCs w:val="28"/>
        </w:rPr>
      </w:pPr>
      <w:r>
        <w:rPr>
          <w:rFonts w:eastAsia="FangSong_GB2312"/>
          <w:color w:val="000000"/>
          <w:sz w:val="28"/>
          <w:szCs w:val="28"/>
        </w:rPr>
        <w:t xml:space="preserve">a—年净收益； </w:t>
      </w:r>
    </w:p>
    <w:p>
      <w:pPr>
        <w:spacing w:line="360" w:lineRule="auto"/>
        <w:ind w:firstLine="560" w:firstLineChars="200"/>
        <w:rPr>
          <w:rFonts w:eastAsia="FangSong_GB2312"/>
          <w:color w:val="000000"/>
          <w:sz w:val="28"/>
          <w:szCs w:val="28"/>
        </w:rPr>
      </w:pPr>
      <w:r>
        <w:rPr>
          <w:rFonts w:eastAsia="FangSong_GB2312"/>
          <w:color w:val="000000"/>
          <w:sz w:val="28"/>
          <w:szCs w:val="28"/>
        </w:rPr>
        <w:t xml:space="preserve">r—资本化率； </w:t>
      </w:r>
    </w:p>
    <w:p>
      <w:pPr>
        <w:spacing w:line="360" w:lineRule="auto"/>
        <w:ind w:firstLine="560" w:firstLineChars="200"/>
        <w:rPr>
          <w:rFonts w:eastAsia="FangSong_GB2312"/>
          <w:color w:val="000000"/>
          <w:sz w:val="28"/>
          <w:szCs w:val="28"/>
        </w:rPr>
      </w:pPr>
      <w:r>
        <w:rPr>
          <w:rFonts w:eastAsia="FangSong_GB2312"/>
          <w:color w:val="000000"/>
          <w:sz w:val="28"/>
          <w:szCs w:val="28"/>
        </w:rPr>
        <w:t>n—</w:t>
      </w:r>
      <w:r>
        <w:rPr>
          <w:rFonts w:hint="eastAsia" w:eastAsia="FangSong_GB2312"/>
          <w:color w:val="000000"/>
          <w:sz w:val="28"/>
          <w:szCs w:val="28"/>
        </w:rPr>
        <w:t>剩余</w:t>
      </w:r>
      <w:r>
        <w:rPr>
          <w:rFonts w:eastAsia="FangSong_GB2312"/>
          <w:color w:val="000000"/>
          <w:sz w:val="28"/>
          <w:szCs w:val="28"/>
        </w:rPr>
        <w:t>收益</w:t>
      </w:r>
      <w:r>
        <w:rPr>
          <w:rFonts w:hint="eastAsia" w:eastAsia="FangSong_GB2312"/>
          <w:color w:val="000000"/>
          <w:sz w:val="28"/>
          <w:szCs w:val="28"/>
        </w:rPr>
        <w:t>期</w:t>
      </w:r>
      <w:r>
        <w:rPr>
          <w:rFonts w:eastAsia="FangSong_GB2312"/>
          <w:color w:val="000000"/>
          <w:sz w:val="28"/>
          <w:szCs w:val="28"/>
        </w:rPr>
        <w:t>；</w:t>
      </w:r>
    </w:p>
    <w:p>
      <w:pPr>
        <w:spacing w:line="360" w:lineRule="auto"/>
        <w:ind w:firstLine="540"/>
        <w:rPr>
          <w:rFonts w:hint="eastAsia" w:eastAsia="FangSong_GB2312"/>
          <w:color w:val="000000"/>
          <w:sz w:val="28"/>
        </w:rPr>
      </w:pPr>
      <w:r>
        <w:rPr>
          <w:rFonts w:eastAsia="FangSong_GB2312"/>
          <w:color w:val="000000"/>
          <w:sz w:val="28"/>
          <w:szCs w:val="28"/>
        </w:rPr>
        <w:t>g—净收益逐年递增的比率</w:t>
      </w:r>
    </w:p>
    <w:p>
      <w:pPr>
        <w:pStyle w:val="3"/>
      </w:pPr>
      <w:bookmarkStart w:id="22" w:name="_Toc262130463"/>
      <w:r>
        <w:t xml:space="preserve">  </w:t>
      </w:r>
      <w:bookmarkStart w:id="23" w:name="_Toc267038904"/>
      <w:bookmarkStart w:id="24" w:name="_Toc466537924"/>
      <w:r>
        <w:rPr>
          <w:rFonts w:hint="eastAsia"/>
        </w:rPr>
        <w:t>十、估价结果</w:t>
      </w:r>
      <w:bookmarkEnd w:id="22"/>
      <w:bookmarkEnd w:id="23"/>
      <w:r>
        <w:t>:</w:t>
      </w:r>
      <w:bookmarkEnd w:id="24"/>
    </w:p>
    <w:p>
      <w:pPr>
        <w:spacing w:line="360" w:lineRule="auto"/>
        <w:ind w:firstLine="551" w:firstLineChars="197"/>
        <w:rPr>
          <w:rFonts w:hint="eastAsia" w:eastAsia="仿宋"/>
          <w:color w:val="000000"/>
          <w:spacing w:val="-6"/>
          <w:sz w:val="28"/>
        </w:rPr>
      </w:pPr>
      <w:r>
        <w:rPr>
          <w:rFonts w:hint="eastAsia" w:eastAsia="仿宋"/>
          <w:color w:val="000000"/>
          <w:sz w:val="28"/>
        </w:rPr>
        <w:t>注册房地产估价师根据估价目的，遵循估价原则，按照估价工作程序，采用了比较法和收益法进行了专业测算，在认真分析现有资料的基础上，并结合房地产估价师的经验，综合考虑了影响房地产的各项因素，得出了估价对象的市场价值，</w:t>
      </w:r>
      <w:r>
        <w:rPr>
          <w:rFonts w:hint="eastAsia" w:eastAsia="仿宋"/>
          <w:spacing w:val="-6"/>
          <w:sz w:val="28"/>
        </w:rPr>
        <w:t>则</w:t>
      </w:r>
      <w:r>
        <w:rPr>
          <w:rFonts w:hint="eastAsia" w:eastAsia="仿宋"/>
          <w:color w:val="000000"/>
          <w:sz w:val="28"/>
        </w:rPr>
        <w:t>估价对象</w:t>
      </w:r>
      <w:r>
        <w:rPr>
          <w:rFonts w:hint="eastAsia" w:ascii="仿宋" w:hAnsi="仿宋" w:eastAsia="仿宋"/>
          <w:color w:val="000000"/>
          <w:sz w:val="28"/>
        </w:rPr>
        <w:t>山西省太原市府东街东段68号10幢1-2层1001-1011号、11幢1-2层1001-1013号共24套商业房地产</w:t>
      </w:r>
      <w:r>
        <w:rPr>
          <w:rFonts w:hint="eastAsia" w:eastAsia="仿宋"/>
          <w:color w:val="000000"/>
          <w:sz w:val="28"/>
        </w:rPr>
        <w:t>在价值时点二</w:t>
      </w:r>
      <w:r>
        <w:rPr>
          <w:rFonts w:hint="eastAsia" w:ascii="宋体" w:hAnsi="宋体" w:eastAsia="仿宋" w:cs="宋体"/>
          <w:color w:val="000000"/>
          <w:sz w:val="28"/>
        </w:rPr>
        <w:t>〇</w:t>
      </w:r>
      <w:r>
        <w:rPr>
          <w:rFonts w:hint="eastAsia" w:eastAsia="仿宋"/>
          <w:color w:val="000000"/>
          <w:sz w:val="28"/>
        </w:rPr>
        <w:t>一九</w:t>
      </w:r>
      <w:r>
        <w:rPr>
          <w:rFonts w:hint="eastAsia" w:ascii="FangSong_GB2312" w:hAnsi="FangSong_GB2312" w:eastAsia="仿宋" w:cs="FangSong_GB2312"/>
          <w:color w:val="000000"/>
          <w:sz w:val="28"/>
        </w:rPr>
        <w:t>年十二月二十四日</w:t>
      </w:r>
      <w:r>
        <w:rPr>
          <w:rFonts w:hint="eastAsia" w:eastAsia="仿宋"/>
          <w:color w:val="000000"/>
          <w:sz w:val="28"/>
        </w:rPr>
        <w:t>，在假设和限定条件下的市场价值为：</w:t>
      </w:r>
      <w:r>
        <w:rPr>
          <w:rFonts w:hint="eastAsia" w:eastAsia="仿宋"/>
          <w:color w:val="000000"/>
          <w:spacing w:val="-6"/>
          <w:sz w:val="28"/>
        </w:rPr>
        <w:t>人民币</w:t>
      </w:r>
      <w:r>
        <w:rPr>
          <w:rFonts w:hint="eastAsia" w:eastAsia="仿宋"/>
          <w:b/>
          <w:color w:val="000000"/>
          <w:spacing w:val="-6"/>
          <w:sz w:val="28"/>
        </w:rPr>
        <w:t>壹亿壹仟零玖拾玖万</w:t>
      </w:r>
      <w:r>
        <w:rPr>
          <w:rFonts w:hint="eastAsia" w:eastAsia="仿宋"/>
          <w:color w:val="000000"/>
          <w:spacing w:val="-6"/>
          <w:sz w:val="28"/>
        </w:rPr>
        <w:t>元整（￥11099</w:t>
      </w:r>
      <w:r>
        <w:rPr>
          <w:rFonts w:eastAsia="仿宋"/>
          <w:color w:val="000000"/>
          <w:spacing w:val="-6"/>
          <w:sz w:val="28"/>
        </w:rPr>
        <w:t>0000</w:t>
      </w:r>
      <w:r>
        <w:rPr>
          <w:rFonts w:hint="eastAsia" w:eastAsia="仿宋"/>
          <w:color w:val="000000"/>
          <w:spacing w:val="-6"/>
          <w:sz w:val="28"/>
        </w:rPr>
        <w:t>元）。</w:t>
      </w:r>
    </w:p>
    <w:p>
      <w:pPr>
        <w:spacing w:line="360" w:lineRule="auto"/>
        <w:ind w:firstLine="554" w:firstLineChars="197"/>
        <w:rPr>
          <w:rFonts w:hint="eastAsia" w:eastAsia="仿宋"/>
          <w:b/>
          <w:i/>
          <w:kern w:val="32"/>
          <w:sz w:val="28"/>
          <w:szCs w:val="28"/>
        </w:rPr>
      </w:pPr>
      <w:r>
        <w:rPr>
          <w:rFonts w:hint="eastAsia" w:eastAsia="仿宋"/>
          <w:b/>
          <w:i/>
          <w:kern w:val="32"/>
          <w:sz w:val="28"/>
          <w:szCs w:val="28"/>
        </w:rPr>
        <w:t>特别说明：本估价报告的各部分为一有机整体，</w:t>
      </w:r>
      <w:r>
        <w:rPr>
          <w:rFonts w:hint="eastAsia" w:eastAsia="仿宋"/>
          <w:b/>
          <w:i/>
          <w:sz w:val="28"/>
          <w:szCs w:val="28"/>
        </w:rPr>
        <w:t>估价结果受估价的假设和限制条件制约。</w:t>
      </w:r>
      <w:r>
        <w:rPr>
          <w:rFonts w:hint="eastAsia" w:eastAsia="仿宋"/>
          <w:b/>
          <w:i/>
          <w:kern w:val="32"/>
          <w:sz w:val="28"/>
          <w:szCs w:val="28"/>
        </w:rPr>
        <w:t>请报告使用人认真阅读，参考使用。</w:t>
      </w:r>
    </w:p>
    <w:p>
      <w:pPr>
        <w:spacing w:line="360" w:lineRule="auto"/>
        <w:rPr>
          <w:rFonts w:hint="eastAsia" w:ascii="仿宋" w:hAnsi="仿宋" w:eastAsia="仿宋"/>
          <w:spacing w:val="-6"/>
          <w:kern w:val="0"/>
          <w:sz w:val="28"/>
          <w:szCs w:val="28"/>
        </w:rPr>
      </w:pPr>
      <w:bookmarkStart w:id="25" w:name="_GoBack"/>
      <w:bookmarkEnd w:id="25"/>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FangSong_GB2312">
    <w:altName w:val="仿宋"/>
    <w:panose1 w:val="02010609060101010101"/>
    <w:charset w:val="86"/>
    <w:family w:val="modern"/>
    <w:pitch w:val="default"/>
    <w:sig w:usb0="00000000" w:usb1="00000000" w:usb2="00000016" w:usb3="00000000" w:csb0="00040001" w:csb1="00000000"/>
  </w:font>
  <w:font w:name="KaiTi_GB2312">
    <w:altName w:val="楷体"/>
    <w:panose1 w:val="02010609060101010101"/>
    <w:charset w:val="86"/>
    <w:family w:val="modern"/>
    <w:pitch w:val="default"/>
    <w:sig w:usb0="00000000" w:usb1="00000000" w:usb2="00000016" w:usb3="00000000" w:csb0="00040001" w:csb1="00000000"/>
  </w:font>
  <w:font w:name="宋体-18030">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w5O64BAABLAwAADgAAAGRycy9lMm9Eb2MueG1srVPNThsxEL5X4h0s&#10;34mXSFT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x/Dk7rgEAAEsD&#10;AAAOAAAAAAAAAAEAIAAAAB4BAABkcnMvZTJvRG9jLnhtbFBLBQYAAAAABgAGAFkBAAA+BQAAAAA=&#10;">
              <v:fill on="f" focussize="0,0"/>
              <v:stroke on="f"/>
              <v:imagedata o:title=""/>
              <o:lock v:ext="edit" aspectratio="f"/>
              <v:textbox inset="0mm,0mm,0mm,0mm" style="mso-fit-shape-to-text:t;">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enter" w:pos="4479"/>
        <w:tab w:val="clear" w:pos="4153"/>
      </w:tabs>
      <w:jc w:val="both"/>
      <w:rPr>
        <w:rStyle w:val="9"/>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- 2 -</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qKiq4BAABLAwAADgAAAGRycy9lMm9Eb2MueG1srVPNThsxEL5X4h0s&#10;34mXI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RqoqKrgEAAEsD&#10;AAAOAAAAAAAAAAEAIAAAAB4BAABkcnMvZTJvRG9jLnhtbFBLBQYAAAAABgAGAFkBAAA+BQAAAAA=&#10;">
              <v:fill on="f" focussize="0,0"/>
              <v:stroke on="f"/>
              <v:imagedata o:title=""/>
              <o:lock v:ext="edit" aspectratio="f"/>
              <v:textbox inset="0mm,0mm,0mm,0mm" style="mso-fit-shape-to-text:t;">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- 2 -</w:t>
                    </w:r>
                    <w:r>
                      <w:rPr>
                        <w:rFonts w:hint="eastAsia"/>
                      </w:rP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qODK4BAABLAwAADgAAAGRycy9lMm9Eb2MueG1srVPNThsxEL5X4h0s&#10;34mXC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mo4MrgEAAEsD&#10;AAAOAAAAAAAAAAEAIAAAAB4BAABkcnMvZTJvRG9jLnhtbFBLBQYAAAAABgAGAFkBAAA+BQAAAAA=&#10;">
              <v:fill on="f" focussize="0,0"/>
              <v:stroke on="f"/>
              <v:imagedata o:title=""/>
              <o:lock v:ext="edit" aspectratio="f"/>
              <v:textbox inset="0mm,0mm,0mm,0mm" style="mso-fit-shape-to-text:t;">
                <w:txbxContent>
                  <w:p>
                    <w:pPr>
                      <w:pStyle w:val="5"/>
                      <w:rPr>
                        <w:rFonts w:hint="eastAsia"/>
                      </w:rPr>
                    </w:pPr>
                  </w:p>
                </w:txbxContent>
              </v:textbox>
            </v:shape>
          </w:pict>
        </mc:Fallback>
      </mc:AlternateContent>
    </w:r>
  </w:p>
  <w:p>
    <w:pPr>
      <w:pStyle w:val="5"/>
      <w:rPr>
        <w:rStyle w:val="9"/>
      </w:rPr>
    </w:pP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799C9"/>
    <w:multiLevelType w:val="singleLevel"/>
    <w:tmpl w:val="358799C9"/>
    <w:lvl w:ilvl="0" w:tentative="0">
      <w:start w:val="2"/>
      <w:numFmt w:val="decimal"/>
      <w:suff w:val="nothing"/>
      <w:lvlText w:val="%1、"/>
      <w:lvlJc w:val="left"/>
    </w:lvl>
  </w:abstractNum>
  <w:abstractNum w:abstractNumId="1">
    <w:nsid w:val="46B2783E"/>
    <w:multiLevelType w:val="singleLevel"/>
    <w:tmpl w:val="46B2783E"/>
    <w:lvl w:ilvl="0" w:tentative="0">
      <w:start w:val="4"/>
      <w:numFmt w:val="chineseCounting"/>
      <w:suff w:val="nothing"/>
      <w:lvlText w:val="（%1）"/>
      <w:lvlJc w:val="left"/>
      <w:rPr>
        <w:rFonts w:hint="eastAsia"/>
      </w:rPr>
    </w:lvl>
  </w:abstractNum>
  <w:abstractNum w:abstractNumId="2">
    <w:nsid w:val="5EAF3942"/>
    <w:multiLevelType w:val="multilevel"/>
    <w:tmpl w:val="5EAF3942"/>
    <w:lvl w:ilvl="0" w:tentative="0">
      <w:start w:val="1"/>
      <w:numFmt w:val="bullet"/>
      <w:lvlText w:val=""/>
      <w:lvlJc w:val="left"/>
      <w:pPr>
        <w:tabs>
          <w:tab w:val="left" w:pos="988"/>
        </w:tabs>
        <w:ind w:left="988" w:hanging="420"/>
      </w:pPr>
      <w:rPr>
        <w:rFonts w:hint="default" w:ascii="Wingdings" w:hAnsi="Wingdings"/>
      </w:rPr>
    </w:lvl>
    <w:lvl w:ilvl="1" w:tentative="0">
      <w:start w:val="1"/>
      <w:numFmt w:val="decimal"/>
      <w:lvlText w:val="%2、"/>
      <w:lvlJc w:val="left"/>
      <w:pPr>
        <w:tabs>
          <w:tab w:val="left" w:pos="1140"/>
        </w:tabs>
        <w:ind w:left="1140" w:hanging="720"/>
      </w:pPr>
      <w:rPr>
        <w:rFonts w:hint="default"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6D8EB695"/>
    <w:multiLevelType w:val="singleLevel"/>
    <w:tmpl w:val="6D8EB695"/>
    <w:lvl w:ilvl="0" w:tentative="0">
      <w:start w:val="3"/>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EC520F"/>
    <w:rsid w:val="2F2B0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keepLines/>
      <w:spacing w:after="60" w:line="460" w:lineRule="exact"/>
      <w:jc w:val="center"/>
      <w:outlineLvl w:val="0"/>
    </w:pPr>
    <w:rPr>
      <w:rFonts w:ascii="仿宋" w:hAnsi="仿宋" w:eastAsia="仿宋"/>
      <w:b/>
      <w:kern w:val="44"/>
      <w:sz w:val="36"/>
      <w:szCs w:val="36"/>
    </w:rPr>
  </w:style>
  <w:style w:type="paragraph" w:styleId="3">
    <w:name w:val="heading 2"/>
    <w:basedOn w:val="1"/>
    <w:next w:val="1"/>
    <w:qFormat/>
    <w:uiPriority w:val="99"/>
    <w:pPr>
      <w:keepNext/>
      <w:keepLines/>
      <w:outlineLvl w:val="1"/>
    </w:pPr>
    <w:rPr>
      <w:rFonts w:ascii="仿宋" w:hAnsi="仿宋" w:eastAsia="仿宋"/>
      <w:b/>
      <w:bCs/>
      <w:sz w:val="28"/>
      <w:szCs w:val="28"/>
    </w:rPr>
  </w:style>
  <w:style w:type="character" w:default="1" w:styleId="8">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4">
    <w:name w:val="Plain Text"/>
    <w:basedOn w:val="1"/>
    <w:qFormat/>
    <w:uiPriority w:val="0"/>
    <w:pPr>
      <w:autoSpaceDE w:val="0"/>
      <w:autoSpaceDN w:val="0"/>
      <w:adjustRightInd w:val="0"/>
      <w:spacing w:line="312" w:lineRule="atLeast"/>
      <w:textAlignment w:val="baseline"/>
    </w:pPr>
    <w:rPr>
      <w:rFonts w:ascii="Courier New" w:hAnsi="Courier New"/>
      <w:kern w:val="0"/>
    </w:rPr>
  </w:style>
  <w:style w:type="paragraph" w:styleId="5">
    <w:name w:val="footer"/>
    <w:basedOn w:val="1"/>
    <w:qFormat/>
    <w:uiPriority w:val="99"/>
    <w:pPr>
      <w:tabs>
        <w:tab w:val="center" w:pos="4153"/>
        <w:tab w:val="right" w:pos="8306"/>
      </w:tabs>
      <w:snapToGrid w:val="0"/>
      <w:jc w:val="left"/>
    </w:pPr>
    <w:rPr>
      <w:sz w:val="18"/>
    </w:r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page number"/>
    <w:basedOn w:val="8"/>
    <w:qFormat/>
    <w:uiPriority w:val="99"/>
    <w:rPr>
      <w:rFonts w:cs="Times New Roman"/>
    </w:rPr>
  </w:style>
  <w:style w:type="character" w:customStyle="1" w:styleId="10">
    <w:name w:val="font01"/>
    <w:basedOn w:val="8"/>
    <w:qFormat/>
    <w:uiPriority w:val="0"/>
    <w:rPr>
      <w:rFonts w:hint="eastAsia" w:ascii="宋体" w:hAnsi="宋体" w:eastAsia="宋体" w:cs="宋体"/>
      <w:color w:val="000000"/>
      <w:sz w:val="24"/>
      <w:szCs w:val="24"/>
      <w:u w:val="none"/>
      <w:vertAlign w:val="superscript"/>
    </w:rPr>
  </w:style>
  <w:style w:type="character" w:customStyle="1" w:styleId="11">
    <w:name w:val="font21"/>
    <w:basedOn w:val="8"/>
    <w:uiPriority w:val="0"/>
    <w:rPr>
      <w:rFonts w:hint="eastAsia" w:ascii="宋体" w:hAnsi="宋体" w:eastAsia="宋体" w:cs="宋体"/>
      <w:color w:val="000000"/>
      <w:sz w:val="24"/>
      <w:szCs w:val="24"/>
      <w:u w:val="none"/>
    </w:rPr>
  </w:style>
  <w:style w:type="paragraph" w:customStyle="1" w:styleId="12">
    <w:name w:val="+ 宋体"/>
    <w:basedOn w:val="1"/>
    <w:uiPriority w:val="99"/>
    <w:pPr>
      <w:widowControl/>
      <w:spacing w:before="100" w:beforeAutospacing="1" w:after="100" w:afterAutospacing="1" w:line="390" w:lineRule="atLeast"/>
      <w:jc w:val="left"/>
    </w:pPr>
    <w:rPr>
      <w:rFonts w:ascii="宋体" w:hAnsi="宋体" w:cs="宋体"/>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2020-07-02T03:04:00Z</dcterms:created>
  <dc:creator>Administrator</dc:creator>
  <cp:lastModifiedBy>NTKO</cp:lastModifiedBy>
  <dcterms:modified xsi:type="dcterms:W3CDTF">2020-07-07T07:07:17Z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