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1770" cy="3530600"/>
            <wp:effectExtent l="0" t="0" r="5080" b="12700"/>
            <wp:docPr id="1" name="图片 1" descr="紫桂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紫桂_11"/>
                    <pic:cNvPicPr>
                      <a:picLocks noChangeAspect="1"/>
                    </pic:cNvPicPr>
                  </pic:nvPicPr>
                  <pic:blipFill>
                    <a:blip r:embed="rId4"/>
                    <a:stretch>
                      <a:fillRect/>
                    </a:stretch>
                  </pic:blipFill>
                  <pic:spPr>
                    <a:xfrm>
                      <a:off x="0" y="0"/>
                      <a:ext cx="5271770" cy="353060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Style w:val="2"/>
        <w:spacing w:before="0" w:beforeAutospacing="0" w:line="560" w:lineRule="exact"/>
        <w:jc w:val="center"/>
        <w:rPr>
          <w:rFonts w:hint="eastAsia" w:ascii="仿宋_GB2312" w:eastAsia="仿宋_GB2312"/>
          <w:bCs w:val="0"/>
          <w:sz w:val="32"/>
          <w:szCs w:val="32"/>
        </w:rPr>
      </w:pPr>
      <w:r>
        <w:rPr>
          <w:rFonts w:hint="eastAsia" w:ascii="仿宋_GB2312" w:eastAsia="仿宋_GB2312"/>
          <w:bCs w:val="0"/>
          <w:sz w:val="32"/>
          <w:szCs w:val="32"/>
        </w:rPr>
        <w:t>致估价委托人函</w:t>
      </w:r>
    </w:p>
    <w:p>
      <w:pPr>
        <w:snapToGrid w:val="0"/>
        <w:spacing w:before="312" w:beforeLines="100" w:after="312" w:afterLines="100" w:line="560" w:lineRule="exact"/>
        <w:rPr>
          <w:rFonts w:hint="eastAsia" w:ascii="仿宋_GB2312" w:eastAsia="仿宋_GB2312"/>
          <w:b/>
          <w:sz w:val="28"/>
        </w:rPr>
      </w:pPr>
      <w:r>
        <w:rPr>
          <w:rFonts w:hint="eastAsia" w:ascii="仿宋_GB2312" w:eastAsia="仿宋_GB2312"/>
          <w:b/>
          <w:sz w:val="28"/>
        </w:rPr>
        <w:t>杭州市西湖区人民法院：</w:t>
      </w:r>
    </w:p>
    <w:p>
      <w:pPr>
        <w:snapToGrid w:val="0"/>
        <w:spacing w:before="156" w:beforeLines="50" w:line="560" w:lineRule="exact"/>
        <w:ind w:firstLine="560" w:firstLineChars="200"/>
        <w:rPr>
          <w:rFonts w:hint="eastAsia" w:ascii="仿宋_GB2312" w:eastAsia="仿宋_GB2312"/>
          <w:sz w:val="28"/>
          <w:szCs w:val="28"/>
        </w:rPr>
      </w:pPr>
      <w:r>
        <w:rPr>
          <w:rFonts w:hint="eastAsia" w:ascii="仿宋_GB2312" w:eastAsia="仿宋_GB2312"/>
          <w:sz w:val="28"/>
          <w:szCs w:val="28"/>
        </w:rPr>
        <w:t>受贵方的估价委托要求，我公司依据国家相关的法律、法规及行业规范要求，开展了估价工作，并形成了相应的成果，现特将各项相关事宜致函如下：</w:t>
      </w:r>
    </w:p>
    <w:p>
      <w:pPr>
        <w:snapToGrid w:val="0"/>
        <w:spacing w:before="156" w:beforeLines="50" w:line="560" w:lineRule="exact"/>
        <w:ind w:firstLine="560" w:firstLineChars="200"/>
        <w:rPr>
          <w:rFonts w:hint="eastAsia" w:ascii="仿宋_GB2312" w:eastAsia="仿宋_GB2312"/>
          <w:sz w:val="28"/>
          <w:szCs w:val="28"/>
        </w:rPr>
      </w:pPr>
      <w:r>
        <w:rPr>
          <w:rFonts w:hint="eastAsia" w:ascii="仿宋_GB2312" w:eastAsia="仿宋_GB2312"/>
          <w:sz w:val="28"/>
          <w:szCs w:val="28"/>
        </w:rPr>
        <w:t>估价目的：</w:t>
      </w:r>
      <w:r>
        <w:rPr>
          <w:rFonts w:hint="eastAsia" w:ascii="仿宋_GB2312" w:hAnsi="宋体" w:eastAsia="仿宋_GB2312" w:cs="宋体"/>
          <w:sz w:val="28"/>
          <w:szCs w:val="28"/>
        </w:rPr>
        <w:t>为司法处置提供参考依据而评估房地产市场价值</w:t>
      </w:r>
      <w:r>
        <w:rPr>
          <w:rFonts w:hint="eastAsia" w:ascii="仿宋_GB2312" w:hAnsi="宋体" w:eastAsia="仿宋_GB2312" w:cs="宋体"/>
          <w:b/>
          <w:sz w:val="28"/>
          <w:szCs w:val="28"/>
        </w:rPr>
        <w:t>。</w:t>
      </w:r>
    </w:p>
    <w:p>
      <w:pPr>
        <w:spacing w:after="156" w:afterLines="50" w:line="560" w:lineRule="exact"/>
        <w:ind w:firstLine="560" w:firstLineChars="200"/>
        <w:rPr>
          <w:rFonts w:hint="eastAsia" w:ascii="仿宋_GB2312" w:eastAsia="仿宋_GB2312"/>
          <w:sz w:val="28"/>
        </w:rPr>
      </w:pPr>
      <w:r>
        <w:rPr>
          <w:rFonts w:hint="eastAsia" w:ascii="仿宋_GB2312" w:eastAsia="仿宋_GB2312"/>
          <w:sz w:val="28"/>
          <w:szCs w:val="28"/>
        </w:rPr>
        <w:t>估价对象：</w:t>
      </w:r>
      <w:r>
        <w:rPr>
          <w:rFonts w:hint="eastAsia" w:ascii="仿宋_GB2312" w:eastAsia="仿宋_GB2312"/>
          <w:sz w:val="28"/>
        </w:rPr>
        <w:t>杭州市余杭区星桥街道星桥紫桂公寓逸云苑3幢1单元701室，</w:t>
      </w:r>
      <w:r>
        <w:rPr>
          <w:rFonts w:hint="eastAsia" w:ascii="仿宋_GB2312" w:eastAsia="仿宋_GB2312"/>
          <w:sz w:val="28"/>
          <w:szCs w:val="28"/>
        </w:rPr>
        <w:t>建筑面积174.03平方米，土地使用权面积23.2平方米, 住宅用途，土地使用权类型为国有出让，土地使用权终止日期为2072年12月19日，</w:t>
      </w:r>
      <w:r>
        <w:rPr>
          <w:rFonts w:hint="eastAsia" w:ascii="仿宋_GB2312" w:eastAsia="仿宋_GB2312"/>
          <w:sz w:val="28"/>
        </w:rPr>
        <w:t>估价对象房地产权利人为秦庭明、江泽芝。</w:t>
      </w:r>
    </w:p>
    <w:p>
      <w:pPr>
        <w:spacing w:after="156" w:afterLines="50" w:line="560" w:lineRule="exact"/>
        <w:ind w:firstLine="560" w:firstLineChars="200"/>
        <w:rPr>
          <w:rFonts w:hint="eastAsia" w:ascii="仿宋_GB2312" w:hAnsi="仿宋_GB2312" w:eastAsia="仿宋_GB2312" w:cs="仿宋_GB2312"/>
          <w:sz w:val="28"/>
          <w:szCs w:val="28"/>
        </w:rPr>
      </w:pPr>
      <w:r>
        <w:rPr>
          <w:rFonts w:hint="eastAsia" w:ascii="仿宋_GB2312" w:eastAsia="仿宋_GB2312"/>
          <w:sz w:val="28"/>
          <w:szCs w:val="28"/>
        </w:rPr>
        <w:t>价值时点</w:t>
      </w:r>
      <w:r>
        <w:rPr>
          <w:rFonts w:hint="eastAsia" w:ascii="仿宋_GB2312" w:eastAsia="仿宋_GB2312"/>
          <w:sz w:val="28"/>
        </w:rPr>
        <w:t>：二</w:t>
      </w:r>
      <w:r>
        <w:rPr>
          <w:rFonts w:hint="eastAsia" w:ascii="宋体" w:hAnsi="宋体" w:cs="宋体"/>
          <w:sz w:val="28"/>
        </w:rPr>
        <w:t>〇</w:t>
      </w:r>
      <w:r>
        <w:rPr>
          <w:rFonts w:hint="eastAsia" w:ascii="仿宋_GB2312" w:hAnsi="仿宋_GB2312" w:eastAsia="仿宋_GB2312" w:cs="仿宋_GB2312"/>
          <w:sz w:val="28"/>
        </w:rPr>
        <w:t>二</w:t>
      </w:r>
      <w:r>
        <w:rPr>
          <w:rFonts w:hint="eastAsia" w:ascii="宋体" w:hAnsi="宋体" w:cs="宋体"/>
          <w:sz w:val="28"/>
        </w:rPr>
        <w:t>〇</w:t>
      </w:r>
      <w:r>
        <w:rPr>
          <w:rFonts w:hint="eastAsia" w:ascii="仿宋_GB2312" w:hAnsi="仿宋_GB2312" w:eastAsia="仿宋_GB2312" w:cs="仿宋_GB2312"/>
          <w:sz w:val="28"/>
        </w:rPr>
        <w:t>年五月二十九日</w:t>
      </w:r>
    </w:p>
    <w:p>
      <w:pPr>
        <w:snapToGrid w:val="0"/>
        <w:spacing w:before="156" w:beforeLines="50" w:line="560" w:lineRule="exact"/>
        <w:ind w:firstLine="560" w:firstLineChars="200"/>
        <w:rPr>
          <w:rFonts w:hint="eastAsia" w:ascii="仿宋_GB2312" w:eastAsia="仿宋_GB2312"/>
          <w:sz w:val="28"/>
        </w:rPr>
      </w:pPr>
      <w:r>
        <w:rPr>
          <w:rFonts w:hint="eastAsia" w:ascii="仿宋_GB2312" w:eastAsia="仿宋_GB2312"/>
          <w:sz w:val="28"/>
          <w:szCs w:val="28"/>
        </w:rPr>
        <w:t>价值类型：</w:t>
      </w:r>
      <w:r>
        <w:rPr>
          <w:rFonts w:hint="eastAsia" w:ascii="仿宋_GB2312" w:eastAsia="仿宋_GB2312"/>
          <w:sz w:val="28"/>
        </w:rPr>
        <w:t>房地产市场价值</w:t>
      </w:r>
    </w:p>
    <w:p>
      <w:pPr>
        <w:tabs>
          <w:tab w:val="right" w:pos="8306"/>
        </w:tabs>
        <w:snapToGrid w:val="0"/>
        <w:spacing w:before="156" w:beforeLines="50" w:line="560" w:lineRule="exact"/>
        <w:ind w:firstLine="560" w:firstLineChars="200"/>
        <w:rPr>
          <w:rFonts w:hint="eastAsia" w:ascii="仿宋_GB2312" w:eastAsia="仿宋_GB2312"/>
          <w:sz w:val="28"/>
        </w:rPr>
      </w:pPr>
      <w:r>
        <w:rPr>
          <w:rFonts w:hint="eastAsia" w:ascii="仿宋_GB2312" w:eastAsia="仿宋_GB2312"/>
          <w:sz w:val="28"/>
          <w:szCs w:val="28"/>
        </w:rPr>
        <w:t>估价方法：</w:t>
      </w:r>
      <w:r>
        <w:rPr>
          <w:rFonts w:hint="eastAsia" w:ascii="仿宋_GB2312" w:eastAsia="仿宋_GB2312"/>
          <w:sz w:val="28"/>
        </w:rPr>
        <w:t>比较法</w:t>
      </w:r>
      <w:r>
        <w:rPr>
          <w:rFonts w:ascii="仿宋_GB2312" w:eastAsia="仿宋_GB2312"/>
          <w:sz w:val="28"/>
        </w:rPr>
        <w:tab/>
      </w:r>
    </w:p>
    <w:p>
      <w:pPr>
        <w:snapToGrid w:val="0"/>
        <w:spacing w:before="156" w:beforeLines="50" w:line="560" w:lineRule="exact"/>
        <w:ind w:firstLine="560" w:firstLineChars="200"/>
        <w:rPr>
          <w:rFonts w:hint="eastAsia" w:ascii="仿宋_GB2312" w:eastAsia="仿宋_GB2312"/>
          <w:sz w:val="28"/>
          <w:szCs w:val="28"/>
        </w:rPr>
      </w:pPr>
      <w:r>
        <w:rPr>
          <w:rFonts w:hint="eastAsia" w:ascii="仿宋_GB2312" w:eastAsia="仿宋_GB2312"/>
          <w:sz w:val="28"/>
          <w:szCs w:val="28"/>
        </w:rPr>
        <w:t>估价结果：</w:t>
      </w:r>
    </w:p>
    <w:p>
      <w:pPr>
        <w:snapToGrid w:val="0"/>
        <w:spacing w:line="560" w:lineRule="exact"/>
        <w:ind w:firstLine="525"/>
        <w:rPr>
          <w:rFonts w:hint="eastAsia" w:ascii="仿宋_GB2312" w:eastAsia="仿宋_GB2312"/>
          <w:b/>
          <w:sz w:val="28"/>
          <w:u w:val="single"/>
        </w:rPr>
      </w:pPr>
      <w:r>
        <w:rPr>
          <w:rFonts w:hint="eastAsia" w:ascii="仿宋_GB2312" w:eastAsia="仿宋_GB2312"/>
          <w:sz w:val="28"/>
        </w:rPr>
        <w:t>估价对象在全部假设和限制条件下的市场价值</w:t>
      </w:r>
      <w:r>
        <w:rPr>
          <w:rFonts w:hint="eastAsia" w:ascii="仿宋_GB2312" w:eastAsia="仿宋_GB2312"/>
          <w:b/>
          <w:sz w:val="28"/>
          <w:u w:val="single"/>
        </w:rPr>
        <w:t>为人民币</w:t>
      </w:r>
      <w:r>
        <w:rPr>
          <w:rFonts w:ascii="仿宋_GB2312" w:eastAsia="仿宋_GB2312"/>
          <w:b/>
          <w:sz w:val="28"/>
          <w:u w:val="single"/>
        </w:rPr>
        <w:fldChar w:fldCharType="begin"/>
      </w:r>
      <w:r>
        <w:rPr>
          <w:rFonts w:ascii="仿宋_GB2312" w:eastAsia="仿宋_GB2312"/>
          <w:b/>
          <w:sz w:val="28"/>
          <w:u w:val="single"/>
        </w:rPr>
        <w:instrText xml:space="preserve"> </w:instrText>
      </w:r>
      <w:r>
        <w:rPr>
          <w:rFonts w:hint="eastAsia" w:ascii="仿宋_GB2312" w:eastAsia="仿宋_GB2312"/>
          <w:b/>
          <w:sz w:val="28"/>
          <w:u w:val="single"/>
        </w:rPr>
        <w:instrText xml:space="preserve">= 401 \* CHINESENUM2</w:instrText>
      </w:r>
      <w:r>
        <w:rPr>
          <w:rFonts w:ascii="仿宋_GB2312" w:eastAsia="仿宋_GB2312"/>
          <w:b/>
          <w:sz w:val="28"/>
          <w:u w:val="single"/>
        </w:rPr>
        <w:instrText xml:space="preserve"> </w:instrText>
      </w:r>
      <w:r>
        <w:rPr>
          <w:rFonts w:ascii="仿宋_GB2312" w:eastAsia="仿宋_GB2312"/>
          <w:b/>
          <w:sz w:val="28"/>
          <w:u w:val="single"/>
        </w:rPr>
        <w:fldChar w:fldCharType="separate"/>
      </w:r>
      <w:r>
        <w:rPr>
          <w:rFonts w:hint="eastAsia" w:ascii="仿宋_GB2312" w:eastAsia="仿宋_GB2312"/>
          <w:b/>
          <w:sz w:val="28"/>
          <w:u w:val="single"/>
        </w:rPr>
        <w:t>肆佰零壹</w:t>
      </w:r>
      <w:r>
        <w:rPr>
          <w:rFonts w:ascii="仿宋_GB2312" w:eastAsia="仿宋_GB2312"/>
          <w:b/>
          <w:sz w:val="28"/>
          <w:u w:val="single"/>
        </w:rPr>
        <w:fldChar w:fldCharType="end"/>
      </w:r>
      <w:r>
        <w:rPr>
          <w:rFonts w:hint="eastAsia" w:ascii="仿宋_GB2312" w:eastAsia="仿宋_GB2312"/>
          <w:b/>
          <w:sz w:val="28"/>
          <w:u w:val="single"/>
        </w:rPr>
        <w:t>万元整（RMB401</w:t>
      </w:r>
      <w:r>
        <w:rPr>
          <w:rFonts w:hint="eastAsia" w:ascii="仿宋_GB2312" w:eastAsia="仿宋_GB2312"/>
          <w:b/>
          <w:snapToGrid w:val="0"/>
          <w:sz w:val="28"/>
          <w:u w:val="single"/>
          <w:lang w:val="zh-CN"/>
        </w:rPr>
        <w:t>万元）</w:t>
      </w:r>
      <w:r>
        <w:rPr>
          <w:rFonts w:hint="eastAsia" w:ascii="仿宋_GB2312" w:eastAsia="仿宋_GB2312"/>
          <w:b/>
          <w:sz w:val="28"/>
          <w:u w:val="single"/>
        </w:rPr>
        <w:t>，折合建筑物面积单价23042元/平方米。</w:t>
      </w:r>
    </w:p>
    <w:p>
      <w:pPr>
        <w:snapToGrid w:val="0"/>
        <w:spacing w:line="560" w:lineRule="exact"/>
        <w:ind w:firstLine="525"/>
        <w:rPr>
          <w:rFonts w:hint="eastAsia" w:ascii="仿宋_GB2312" w:eastAsia="仿宋_GB2312"/>
          <w:sz w:val="28"/>
        </w:rPr>
      </w:pPr>
    </w:p>
    <w:p>
      <w:pPr>
        <w:snapToGrid w:val="0"/>
        <w:spacing w:line="360" w:lineRule="auto"/>
        <w:ind w:firstLine="4480" w:firstLineChars="1600"/>
        <w:rPr>
          <w:rFonts w:hint="eastAsia" w:ascii="仿宋_GB2312" w:eastAsia="仿宋_GB2312"/>
          <w:sz w:val="28"/>
        </w:rPr>
      </w:pPr>
      <w:r>
        <w:rPr>
          <w:rFonts w:hint="eastAsia" w:ascii="仿宋_GB2312" w:eastAsia="仿宋_GB2312"/>
          <w:sz w:val="28"/>
        </w:rPr>
        <w:t>上海信衡房地产估价有限公司</w:t>
      </w:r>
    </w:p>
    <w:p>
      <w:pPr>
        <w:snapToGrid w:val="0"/>
        <w:spacing w:line="360" w:lineRule="auto"/>
        <w:ind w:left="4320"/>
        <w:rPr>
          <w:rFonts w:ascii="仿宋_GB2312" w:eastAsia="仿宋_GB2312"/>
          <w:sz w:val="28"/>
        </w:rPr>
      </w:pPr>
      <w:r>
        <w:rPr>
          <w:rFonts w:hint="eastAsia" w:ascii="仿宋_GB2312" w:eastAsia="仿宋_GB2312"/>
          <w:sz w:val="28"/>
        </w:rPr>
        <w:t xml:space="preserve">     二</w:t>
      </w:r>
      <w:r>
        <w:rPr>
          <w:rFonts w:hint="eastAsia" w:ascii="宋体" w:hAnsi="宋体" w:cs="宋体"/>
          <w:sz w:val="28"/>
        </w:rPr>
        <w:t>〇</w:t>
      </w:r>
      <w:r>
        <w:rPr>
          <w:rFonts w:hint="eastAsia" w:ascii="仿宋_GB2312" w:hAnsi="仿宋_GB2312" w:eastAsia="仿宋_GB2312" w:cs="仿宋_GB2312"/>
          <w:sz w:val="28"/>
        </w:rPr>
        <w:t>二</w:t>
      </w:r>
      <w:r>
        <w:rPr>
          <w:rFonts w:hint="eastAsia" w:ascii="宋体" w:hAnsi="宋体" w:cs="宋体"/>
          <w:sz w:val="28"/>
        </w:rPr>
        <w:t>〇</w:t>
      </w:r>
      <w:r>
        <w:rPr>
          <w:rFonts w:hint="eastAsia" w:ascii="仿宋_GB2312" w:hAnsi="仿宋_GB2312" w:eastAsia="仿宋_GB2312" w:cs="仿宋_GB2312"/>
          <w:sz w:val="28"/>
        </w:rPr>
        <w:t>年六月三日</w:t>
      </w:r>
    </w:p>
    <w:p>
      <w:pPr>
        <w:snapToGrid w:val="0"/>
        <w:spacing w:line="360" w:lineRule="auto"/>
        <w:ind w:left="525"/>
        <w:jc w:val="center"/>
        <w:textAlignment w:val="auto"/>
        <w:rPr>
          <w:rFonts w:hint="eastAsia" w:ascii="仿宋_GB2312" w:eastAsia="仿宋_GB2312"/>
          <w:b/>
          <w:sz w:val="32"/>
          <w:szCs w:val="32"/>
        </w:rPr>
      </w:pPr>
      <w:r>
        <w:rPr>
          <w:rFonts w:hint="eastAsia" w:ascii="仿宋_GB2312" w:eastAsia="仿宋_GB2312"/>
          <w:b/>
          <w:sz w:val="32"/>
          <w:szCs w:val="32"/>
        </w:rPr>
        <w:t>估价假设和限制条件</w:t>
      </w:r>
    </w:p>
    <w:p>
      <w:pPr>
        <w:snapToGrid w:val="0"/>
        <w:spacing w:before="156" w:beforeLines="50" w:after="156" w:afterLines="50" w:line="360" w:lineRule="auto"/>
        <w:jc w:val="left"/>
        <w:rPr>
          <w:rFonts w:hint="eastAsia" w:ascii="仿宋_GB2312" w:eastAsia="仿宋_GB2312"/>
          <w:b/>
          <w:sz w:val="28"/>
          <w:szCs w:val="28"/>
        </w:rPr>
      </w:pPr>
      <w:r>
        <w:rPr>
          <w:rFonts w:hint="eastAsia" w:ascii="仿宋_GB2312" w:eastAsia="仿宋_GB2312"/>
          <w:b/>
          <w:sz w:val="28"/>
          <w:szCs w:val="28"/>
        </w:rPr>
        <w:t>一、一般假设</w:t>
      </w:r>
    </w:p>
    <w:p>
      <w:pPr>
        <w:snapToGrid w:val="0"/>
        <w:spacing w:before="156" w:beforeLines="50" w:after="156" w:afterLines="50" w:line="360" w:lineRule="auto"/>
        <w:ind w:firstLine="560" w:firstLineChars="200"/>
        <w:jc w:val="left"/>
        <w:rPr>
          <w:rFonts w:hint="eastAsia" w:ascii="仿宋_GB2312" w:eastAsia="仿宋_GB2312"/>
          <w:sz w:val="28"/>
          <w:szCs w:val="28"/>
        </w:rPr>
      </w:pPr>
      <w:r>
        <w:rPr>
          <w:rFonts w:hint="eastAsia" w:ascii="仿宋_GB2312" w:eastAsia="仿宋_GB2312"/>
          <w:sz w:val="28"/>
          <w:szCs w:val="28"/>
        </w:rPr>
        <w:t>1. 本次估价委托人提供了</w:t>
      </w:r>
      <w:r>
        <w:rPr>
          <w:rFonts w:hint="eastAsia" w:ascii="仿宋_GB2312" w:eastAsia="仿宋_GB2312"/>
          <w:sz w:val="28"/>
        </w:rPr>
        <w:t>《杭州市西湖区人民法院评估委托书》，</w:t>
      </w:r>
      <w:r>
        <w:rPr>
          <w:rFonts w:hint="eastAsia" w:ascii="仿宋_GB2312" w:eastAsia="仿宋_GB2312"/>
          <w:sz w:val="28"/>
          <w:szCs w:val="28"/>
        </w:rPr>
        <w:t>《杭州市不动产权属信息查询记录》等资料，我们对权属证书上记载的权属、面积、用途等资料进行了审慎检查，但未予以核实，在无理由怀疑其合法性、真实性、准确性和完整性的情况下，假定估价委托人提供的资料合法、真实、准确、完整。</w:t>
      </w:r>
    </w:p>
    <w:p>
      <w:pPr>
        <w:snapToGrid w:val="0"/>
        <w:spacing w:line="360" w:lineRule="auto"/>
        <w:ind w:firstLine="565" w:firstLineChars="202"/>
        <w:jc w:val="left"/>
        <w:rPr>
          <w:rFonts w:hint="eastAsia" w:ascii="仿宋_GB2312" w:eastAsia="仿宋_GB2312"/>
          <w:sz w:val="28"/>
          <w:szCs w:val="28"/>
        </w:rPr>
      </w:pPr>
      <w:r>
        <w:rPr>
          <w:rFonts w:hint="eastAsia" w:ascii="仿宋_GB2312" w:eastAsia="仿宋_GB2312"/>
          <w:sz w:val="28"/>
          <w:szCs w:val="28"/>
        </w:rPr>
        <w:t>2.注册房地产估价师已对估价对象进行了实地查勘，并对房屋安全、环境污染等影响估价对象价值的重大因素给予了关注，在无理由怀疑估价对象存在安全隐患且无相应的专业机构进行鉴定、检测的情况下，假定估价对象能正常安全使用。</w:t>
      </w:r>
    </w:p>
    <w:p>
      <w:pPr>
        <w:snapToGrid w:val="0"/>
        <w:spacing w:before="156" w:beforeLines="50" w:after="156" w:afterLines="50" w:line="360" w:lineRule="auto"/>
        <w:jc w:val="left"/>
        <w:rPr>
          <w:rFonts w:hint="eastAsia" w:ascii="仿宋_GB2312" w:eastAsia="仿宋_GB2312"/>
          <w:b/>
          <w:sz w:val="28"/>
          <w:szCs w:val="28"/>
        </w:rPr>
      </w:pPr>
      <w:r>
        <w:rPr>
          <w:rFonts w:hint="eastAsia" w:ascii="仿宋_GB2312" w:eastAsia="仿宋_GB2312"/>
          <w:b/>
          <w:sz w:val="28"/>
          <w:szCs w:val="28"/>
        </w:rPr>
        <w:t>二、未定事项假设</w:t>
      </w:r>
    </w:p>
    <w:p>
      <w:pPr>
        <w:snapToGrid w:val="0"/>
        <w:spacing w:before="156" w:beforeLines="50" w:line="360" w:lineRule="auto"/>
        <w:ind w:firstLine="565" w:firstLineChars="202"/>
        <w:jc w:val="left"/>
        <w:rPr>
          <w:rFonts w:hint="eastAsia" w:ascii="仿宋_GB2312" w:eastAsia="仿宋_GB2312"/>
          <w:sz w:val="28"/>
          <w:szCs w:val="28"/>
        </w:rPr>
      </w:pPr>
      <w:r>
        <w:rPr>
          <w:rFonts w:hint="eastAsia" w:ascii="仿宋_GB2312" w:eastAsia="仿宋_GB2312"/>
          <w:sz w:val="28"/>
          <w:szCs w:val="28"/>
        </w:rPr>
        <w:t>本次估价的估价对象不存在未确定事项，故本估价报告没有未定事项假设。</w:t>
      </w:r>
    </w:p>
    <w:p>
      <w:pPr>
        <w:snapToGrid w:val="0"/>
        <w:spacing w:before="156" w:beforeLines="50" w:after="156" w:afterLines="50" w:line="360" w:lineRule="auto"/>
        <w:jc w:val="left"/>
        <w:rPr>
          <w:rFonts w:hint="eastAsia" w:ascii="仿宋_GB2312" w:hAnsi="仿宋" w:eastAsia="仿宋_GB2312"/>
          <w:b/>
          <w:sz w:val="28"/>
          <w:szCs w:val="28"/>
        </w:rPr>
      </w:pPr>
      <w:r>
        <w:rPr>
          <w:rFonts w:hint="eastAsia" w:ascii="仿宋_GB2312" w:hAnsi="仿宋" w:eastAsia="仿宋_GB2312"/>
          <w:b/>
          <w:sz w:val="28"/>
          <w:szCs w:val="28"/>
        </w:rPr>
        <w:t>三、背离事实假设</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本次估价设定的估价对象状况与估价对象的实际状况无不一致，故本估价报告没有背离事实假设。</w:t>
      </w:r>
    </w:p>
    <w:p>
      <w:pPr>
        <w:snapToGrid w:val="0"/>
        <w:spacing w:before="156" w:beforeLines="50" w:after="156" w:afterLines="50" w:line="360" w:lineRule="auto"/>
        <w:jc w:val="left"/>
        <w:rPr>
          <w:rFonts w:hint="eastAsia" w:ascii="仿宋_GB2312" w:hAnsi="仿宋" w:eastAsia="仿宋_GB2312"/>
          <w:b/>
          <w:sz w:val="28"/>
          <w:szCs w:val="28"/>
        </w:rPr>
      </w:pPr>
      <w:r>
        <w:rPr>
          <w:rFonts w:hint="eastAsia" w:ascii="仿宋_GB2312" w:hAnsi="仿宋" w:eastAsia="仿宋_GB2312"/>
          <w:b/>
          <w:sz w:val="28"/>
          <w:szCs w:val="28"/>
        </w:rPr>
        <w:t>四、不相一致假设</w:t>
      </w:r>
    </w:p>
    <w:p>
      <w:pPr>
        <w:snapToGrid w:val="0"/>
        <w:spacing w:before="156" w:beforeLines="50" w:line="360" w:lineRule="auto"/>
        <w:ind w:firstLine="565" w:firstLineChars="202"/>
        <w:jc w:val="left"/>
        <w:rPr>
          <w:rFonts w:hint="eastAsia" w:ascii="仿宋_GB2312" w:hAnsi="仿宋" w:eastAsia="仿宋_GB2312"/>
          <w:sz w:val="28"/>
          <w:szCs w:val="28"/>
        </w:rPr>
      </w:pPr>
      <w:r>
        <w:rPr>
          <w:rFonts w:hint="eastAsia" w:ascii="仿宋_GB2312" w:hAnsi="仿宋" w:eastAsia="仿宋_GB2312"/>
          <w:sz w:val="28"/>
          <w:szCs w:val="28"/>
        </w:rPr>
        <w:t>本次估价的估价对象状况之间无不一致，故本估价报告没有不相一致假设。</w:t>
      </w:r>
    </w:p>
    <w:p>
      <w:pPr>
        <w:snapToGrid w:val="0"/>
        <w:spacing w:before="156" w:beforeLines="50" w:after="156" w:afterLines="50" w:line="360" w:lineRule="auto"/>
        <w:jc w:val="left"/>
        <w:rPr>
          <w:rFonts w:hint="eastAsia" w:ascii="仿宋_GB2312" w:hAnsi="仿宋" w:eastAsia="仿宋_GB2312"/>
          <w:b/>
          <w:sz w:val="28"/>
          <w:szCs w:val="28"/>
        </w:rPr>
      </w:pPr>
      <w:r>
        <w:rPr>
          <w:rFonts w:hint="eastAsia" w:ascii="仿宋_GB2312" w:hAnsi="仿宋" w:eastAsia="仿宋_GB2312"/>
          <w:b/>
          <w:sz w:val="28"/>
          <w:szCs w:val="28"/>
        </w:rPr>
        <w:t>五、依据不足假设</w:t>
      </w:r>
    </w:p>
    <w:p>
      <w:pPr>
        <w:snapToGrid w:val="0"/>
        <w:spacing w:before="156" w:beforeLines="50" w:line="360" w:lineRule="auto"/>
        <w:ind w:firstLine="565" w:firstLineChars="202"/>
        <w:jc w:val="left"/>
        <w:rPr>
          <w:rFonts w:hint="eastAsia" w:ascii="仿宋_GB2312" w:hAnsi="仿宋" w:eastAsia="仿宋_GB2312"/>
          <w:sz w:val="28"/>
          <w:szCs w:val="28"/>
        </w:rPr>
      </w:pPr>
      <w:r>
        <w:rPr>
          <w:rFonts w:hint="eastAsia" w:ascii="仿宋_GB2312" w:hAnsi="仿宋" w:eastAsia="仿宋_GB2312"/>
          <w:sz w:val="28"/>
          <w:szCs w:val="28"/>
        </w:rPr>
        <w:t>本次估价无依据不足假设。</w:t>
      </w:r>
    </w:p>
    <w:p>
      <w:pPr>
        <w:snapToGrid w:val="0"/>
        <w:spacing w:before="156" w:beforeLines="50" w:after="156" w:afterLines="50" w:line="360" w:lineRule="auto"/>
        <w:jc w:val="left"/>
        <w:rPr>
          <w:rFonts w:hint="eastAsia" w:ascii="仿宋_GB2312" w:hAnsi="仿宋" w:eastAsia="仿宋_GB2312"/>
          <w:b/>
          <w:sz w:val="28"/>
          <w:szCs w:val="28"/>
        </w:rPr>
      </w:pPr>
      <w:r>
        <w:rPr>
          <w:rFonts w:hint="eastAsia" w:ascii="仿宋_GB2312" w:hAnsi="仿宋" w:eastAsia="仿宋_GB2312"/>
          <w:b/>
          <w:sz w:val="28"/>
          <w:szCs w:val="28"/>
        </w:rPr>
        <w:t>六、估价报告使用限制</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1.本估价报告在注册房地产估价师签字并加盖本公司公章后方能生效，报告文本的复印件无效。</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2.本报告只能用于报告中载明的估价目的和报告使用者或应用方向，对任何第三者及其他目的用途不承担责任。</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3.估价报告使用期限为自估价报告出具之日起壹年内。若使用期限内房地产市场或估价对象状况发生重大变化，估价结果须做相应调整或委托估价机构重新估价。</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4.未经估价机构书面同意，本估价报告的全部或部分内容不可在公开的文件、通告或报告中引用，也不得以任何方式公开发表。</w:t>
      </w:r>
    </w:p>
    <w:p>
      <w:pPr>
        <w:snapToGrid w:val="0"/>
        <w:spacing w:line="360" w:lineRule="auto"/>
        <w:ind w:firstLine="565" w:firstLineChars="202"/>
        <w:rPr>
          <w:rFonts w:hint="eastAsia" w:ascii="仿宋_GB2312" w:hAnsi="仿宋" w:eastAsia="仿宋_GB2312"/>
          <w:sz w:val="28"/>
          <w:szCs w:val="28"/>
        </w:rPr>
      </w:pPr>
      <w:r>
        <w:rPr>
          <w:rFonts w:hint="eastAsia" w:ascii="仿宋_GB2312" w:hAnsi="仿宋" w:eastAsia="仿宋_GB2312"/>
          <w:sz w:val="28"/>
          <w:szCs w:val="28"/>
        </w:rPr>
        <w:t>5.本报告由上海信衡房地产估价有限公司负责解释。</w:t>
      </w:r>
    </w:p>
    <w:p>
      <w:pPr>
        <w:snapToGrid w:val="0"/>
        <w:spacing w:before="156" w:beforeLines="50" w:after="156" w:afterLines="50" w:line="360" w:lineRule="auto"/>
        <w:jc w:val="left"/>
        <w:rPr>
          <w:rFonts w:hint="eastAsia" w:ascii="仿宋_GB2312" w:hAnsi="仿宋" w:eastAsia="仿宋_GB2312"/>
          <w:b/>
          <w:sz w:val="28"/>
          <w:szCs w:val="28"/>
        </w:rPr>
      </w:pPr>
      <w:r>
        <w:rPr>
          <w:rFonts w:hint="eastAsia" w:ascii="仿宋_GB2312" w:hAnsi="仿宋" w:eastAsia="仿宋_GB2312"/>
          <w:b/>
          <w:sz w:val="28"/>
          <w:szCs w:val="28"/>
        </w:rPr>
        <w:t>七、其他需要说明的事项</w:t>
      </w:r>
    </w:p>
    <w:p>
      <w:pPr>
        <w:snapToGrid w:val="0"/>
        <w:spacing w:line="500" w:lineRule="exact"/>
        <w:ind w:firstLine="565" w:firstLineChars="202"/>
        <w:rPr>
          <w:rFonts w:hint="eastAsia" w:ascii="仿宋_GB2312" w:hAnsi="仿宋" w:eastAsia="仿宋_GB2312"/>
          <w:sz w:val="28"/>
          <w:szCs w:val="28"/>
        </w:rPr>
      </w:pPr>
      <w:r>
        <w:rPr>
          <w:rFonts w:hint="eastAsia" w:ascii="仿宋_GB2312" w:hAnsi="仿宋" w:eastAsia="仿宋_GB2312"/>
          <w:sz w:val="28"/>
          <w:szCs w:val="28"/>
        </w:rPr>
        <w:t>1.</w:t>
      </w:r>
      <w:r>
        <w:rPr>
          <w:rFonts w:hint="eastAsia" w:ascii="仿宋_GB2312" w:eastAsia="仿宋_GB2312"/>
          <w:sz w:val="28"/>
          <w:szCs w:val="28"/>
        </w:rPr>
        <w:t>本次估价我们未考虑抵押权等他项权利对估价结果的影响</w:t>
      </w:r>
      <w:r>
        <w:rPr>
          <w:rFonts w:hint="eastAsia" w:ascii="仿宋_GB2312" w:hAnsi="仿宋" w:eastAsia="仿宋_GB2312"/>
          <w:sz w:val="28"/>
          <w:szCs w:val="28"/>
        </w:rPr>
        <w:t>。</w:t>
      </w:r>
    </w:p>
    <w:p>
      <w:pPr>
        <w:snapToGrid w:val="0"/>
        <w:spacing w:line="500" w:lineRule="exact"/>
        <w:ind w:firstLine="565" w:firstLineChars="202"/>
        <w:rPr>
          <w:rFonts w:ascii="仿宋_GB2312" w:hAnsi="仿宋" w:eastAsia="仿宋_GB2312"/>
          <w:bCs/>
          <w:sz w:val="28"/>
          <w:szCs w:val="28"/>
        </w:rPr>
      </w:pPr>
      <w:r>
        <w:rPr>
          <w:rFonts w:hint="eastAsia" w:ascii="仿宋_GB2312" w:eastAsia="仿宋_GB2312"/>
          <w:sz w:val="28"/>
          <w:szCs w:val="28"/>
        </w:rPr>
        <w:t>2.</w:t>
      </w:r>
      <w:r>
        <w:rPr>
          <w:rFonts w:hint="eastAsia" w:ascii="仿宋_GB2312" w:hAnsi="仿宋" w:eastAsia="仿宋_GB2312"/>
          <w:bCs/>
          <w:sz w:val="28"/>
          <w:szCs w:val="28"/>
        </w:rPr>
        <w:t>本次估价过程中注册房地产估价师从相关税务部门了解到：根据最新的房地产交易税费政策，交易双方承担的税费计算方法如下表：</w:t>
      </w:r>
    </w:p>
    <w:tbl>
      <w:tblPr>
        <w:tblStyle w:val="4"/>
        <w:tblW w:w="8746" w:type="dxa"/>
        <w:tblInd w:w="98" w:type="dxa"/>
        <w:tblLayout w:type="fixed"/>
        <w:tblCellMar>
          <w:top w:w="0" w:type="dxa"/>
          <w:left w:w="108" w:type="dxa"/>
          <w:bottom w:w="0" w:type="dxa"/>
          <w:right w:w="108" w:type="dxa"/>
        </w:tblCellMar>
      </w:tblPr>
      <w:tblGrid>
        <w:gridCol w:w="2420"/>
        <w:gridCol w:w="5660"/>
        <w:gridCol w:w="666"/>
      </w:tblGrid>
      <w:tr>
        <w:tblPrEx>
          <w:tblLayout w:type="fixed"/>
          <w:tblCellMar>
            <w:top w:w="0" w:type="dxa"/>
            <w:left w:w="108" w:type="dxa"/>
            <w:bottom w:w="0" w:type="dxa"/>
            <w:right w:w="108" w:type="dxa"/>
          </w:tblCellMar>
        </w:tblPrEx>
        <w:trPr>
          <w:trHeight w:val="285" w:hRule="atLeast"/>
        </w:trPr>
        <w:tc>
          <w:tcPr>
            <w:tcW w:w="2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税种</w:t>
            </w:r>
          </w:p>
        </w:tc>
        <w:tc>
          <w:tcPr>
            <w:tcW w:w="63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税率</w:t>
            </w:r>
          </w:p>
        </w:tc>
      </w:tr>
      <w:tr>
        <w:tblPrEx>
          <w:tblLayout w:type="fixed"/>
          <w:tblCellMar>
            <w:top w:w="0" w:type="dxa"/>
            <w:left w:w="108" w:type="dxa"/>
            <w:bottom w:w="0" w:type="dxa"/>
            <w:right w:w="108" w:type="dxa"/>
          </w:tblCellMar>
        </w:tblPrEx>
        <w:trPr>
          <w:trHeight w:val="1440" w:hRule="atLeast"/>
        </w:trPr>
        <w:tc>
          <w:tcPr>
            <w:tcW w:w="2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契税（买方）</w:t>
            </w:r>
          </w:p>
        </w:tc>
        <w:tc>
          <w:tcPr>
            <w:tcW w:w="5660" w:type="dxa"/>
            <w:tcBorders>
              <w:top w:val="nil"/>
              <w:left w:val="nil"/>
              <w:bottom w:val="single" w:color="auto" w:sz="4" w:space="0"/>
              <w:right w:val="single" w:color="auto" w:sz="4" w:space="0"/>
            </w:tcBorders>
            <w:shd w:val="clear" w:color="auto" w:fill="auto"/>
            <w:noWrap w:val="0"/>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以下（含90m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）(家庭唯一住宅、二套住宅减按1%征收）</w:t>
            </w:r>
          </w:p>
        </w:tc>
        <w:tc>
          <w:tcPr>
            <w:tcW w:w="66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3%</w:t>
            </w:r>
          </w:p>
        </w:tc>
      </w:tr>
      <w:tr>
        <w:tblPrEx>
          <w:tblLayout w:type="fixed"/>
          <w:tblCellMar>
            <w:top w:w="0" w:type="dxa"/>
            <w:left w:w="108" w:type="dxa"/>
            <w:bottom w:w="0" w:type="dxa"/>
            <w:right w:w="108" w:type="dxa"/>
          </w:tblCellMar>
        </w:tblPrEx>
        <w:trPr>
          <w:trHeight w:val="900" w:hRule="atLeast"/>
        </w:trPr>
        <w:tc>
          <w:tcPr>
            <w:tcW w:w="2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spacing w:line="240" w:lineRule="auto"/>
              <w:jc w:val="left"/>
              <w:textAlignment w:val="auto"/>
              <w:rPr>
                <w:rFonts w:hint="eastAsia" w:ascii="仿宋_GB2312" w:hAnsi="宋体" w:eastAsia="仿宋_GB2312" w:cs="宋体"/>
                <w:sz w:val="18"/>
                <w:szCs w:val="18"/>
              </w:rPr>
            </w:pPr>
          </w:p>
        </w:tc>
        <w:tc>
          <w:tcPr>
            <w:tcW w:w="5660" w:type="dxa"/>
            <w:tcBorders>
              <w:top w:val="nil"/>
              <w:left w:val="nil"/>
              <w:bottom w:val="single" w:color="auto" w:sz="4" w:space="0"/>
              <w:right w:val="single" w:color="auto" w:sz="4" w:space="0"/>
            </w:tcBorders>
            <w:shd w:val="clear" w:color="auto" w:fill="auto"/>
            <w:noWrap w:val="0"/>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以上(家庭唯一住宅1.5%、二套住宅减按2%征收）</w:t>
            </w:r>
          </w:p>
        </w:tc>
        <w:tc>
          <w:tcPr>
            <w:tcW w:w="66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3%</w:t>
            </w:r>
          </w:p>
        </w:tc>
      </w:tr>
      <w:tr>
        <w:tblPrEx>
          <w:tblLayout w:type="fixed"/>
          <w:tblCellMar>
            <w:top w:w="0" w:type="dxa"/>
            <w:left w:w="108" w:type="dxa"/>
            <w:bottom w:w="0" w:type="dxa"/>
            <w:right w:w="108" w:type="dxa"/>
          </w:tblCellMar>
        </w:tblPrEx>
        <w:trPr>
          <w:trHeight w:val="285" w:hRule="atLeast"/>
        </w:trPr>
        <w:tc>
          <w:tcPr>
            <w:tcW w:w="242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left"/>
              <w:textAlignment w:val="auto"/>
              <w:rPr>
                <w:rFonts w:hint="eastAsia" w:ascii="仿宋_GB2312" w:hAnsi="宋体" w:eastAsia="仿宋_GB2312" w:cs="宋体"/>
                <w:sz w:val="18"/>
                <w:szCs w:val="18"/>
              </w:rPr>
            </w:pPr>
            <w:r>
              <w:rPr>
                <w:rFonts w:hint="eastAsia" w:ascii="仿宋_GB2312" w:hAnsi="宋体" w:eastAsia="仿宋_GB2312" w:cs="宋体"/>
                <w:sz w:val="18"/>
                <w:szCs w:val="18"/>
              </w:rPr>
              <w:t>个人所得税（卖方）</w:t>
            </w:r>
          </w:p>
        </w:tc>
        <w:tc>
          <w:tcPr>
            <w:tcW w:w="5660"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left"/>
              <w:textAlignment w:val="auto"/>
              <w:rPr>
                <w:rFonts w:hint="eastAsia" w:ascii="仿宋_GB2312" w:hAnsi="宋体" w:eastAsia="仿宋_GB2312" w:cs="宋体"/>
                <w:sz w:val="18"/>
                <w:szCs w:val="18"/>
              </w:rPr>
            </w:pPr>
            <w:r>
              <w:rPr>
                <w:rFonts w:hint="eastAsia" w:ascii="仿宋_GB2312" w:hAnsi="宋体" w:eastAsia="仿宋_GB2312" w:cs="宋体"/>
                <w:sz w:val="18"/>
                <w:szCs w:val="18"/>
              </w:rPr>
              <w:t>全额1%或按差价征收20%(五年以上家庭唯一住宅免税)</w:t>
            </w:r>
          </w:p>
        </w:tc>
        <w:tc>
          <w:tcPr>
            <w:tcW w:w="66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left"/>
              <w:textAlignment w:val="auto"/>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Layout w:type="fixed"/>
          <w:tblCellMar>
            <w:top w:w="0" w:type="dxa"/>
            <w:left w:w="108" w:type="dxa"/>
            <w:bottom w:w="0" w:type="dxa"/>
            <w:right w:w="108" w:type="dxa"/>
          </w:tblCellMar>
        </w:tblPrEx>
        <w:trPr>
          <w:trHeight w:val="1440" w:hRule="atLeast"/>
        </w:trPr>
        <w:tc>
          <w:tcPr>
            <w:tcW w:w="2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增值税及附加（卖方）</w:t>
            </w:r>
          </w:p>
        </w:tc>
        <w:tc>
          <w:tcPr>
            <w:tcW w:w="5660" w:type="dxa"/>
            <w:tcBorders>
              <w:top w:val="nil"/>
              <w:left w:val="nil"/>
              <w:bottom w:val="single" w:color="auto" w:sz="4" w:space="0"/>
              <w:right w:val="single" w:color="auto" w:sz="4" w:space="0"/>
            </w:tcBorders>
            <w:shd w:val="clear" w:color="auto" w:fill="auto"/>
            <w:noWrap w:val="0"/>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以下（含90m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）(契证办理时间超过2年免税）</w:t>
            </w:r>
          </w:p>
        </w:tc>
        <w:tc>
          <w:tcPr>
            <w:tcW w:w="66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5.60%</w:t>
            </w:r>
          </w:p>
        </w:tc>
      </w:tr>
      <w:tr>
        <w:tblPrEx>
          <w:tblLayout w:type="fixed"/>
          <w:tblCellMar>
            <w:top w:w="0" w:type="dxa"/>
            <w:left w:w="108" w:type="dxa"/>
            <w:bottom w:w="0" w:type="dxa"/>
            <w:right w:w="108" w:type="dxa"/>
          </w:tblCellMar>
        </w:tblPrEx>
        <w:trPr>
          <w:trHeight w:val="900" w:hRule="atLeast"/>
        </w:trPr>
        <w:tc>
          <w:tcPr>
            <w:tcW w:w="24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spacing w:line="240" w:lineRule="auto"/>
              <w:jc w:val="left"/>
              <w:textAlignment w:val="auto"/>
              <w:rPr>
                <w:rFonts w:hint="eastAsia" w:ascii="仿宋_GB2312" w:hAnsi="宋体" w:eastAsia="仿宋_GB2312" w:cs="宋体"/>
                <w:sz w:val="18"/>
                <w:szCs w:val="18"/>
              </w:rPr>
            </w:pPr>
          </w:p>
        </w:tc>
        <w:tc>
          <w:tcPr>
            <w:tcW w:w="5660" w:type="dxa"/>
            <w:tcBorders>
              <w:top w:val="nil"/>
              <w:left w:val="nil"/>
              <w:bottom w:val="single" w:color="auto" w:sz="4" w:space="0"/>
              <w:right w:val="single" w:color="auto" w:sz="4" w:space="0"/>
            </w:tcBorders>
            <w:shd w:val="clear" w:color="auto" w:fill="auto"/>
            <w:noWrap w:val="0"/>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90m</w:t>
            </w:r>
            <w:r>
              <w:rPr>
                <w:rFonts w:hint="eastAsia" w:ascii="仿宋_GB2312" w:hAnsi="宋体" w:eastAsia="仿宋_GB2312" w:cs="宋体"/>
                <w:sz w:val="18"/>
                <w:szCs w:val="18"/>
                <w:vertAlign w:val="superscript"/>
              </w:rPr>
              <w:t>2</w:t>
            </w:r>
            <w:r>
              <w:rPr>
                <w:rFonts w:hint="eastAsia" w:ascii="仿宋_GB2312" w:hAnsi="宋体" w:eastAsia="仿宋_GB2312" w:cs="宋体"/>
                <w:sz w:val="18"/>
                <w:szCs w:val="18"/>
              </w:rPr>
              <w:t>以上(契证办理时间超过2年免税）</w:t>
            </w:r>
          </w:p>
        </w:tc>
        <w:tc>
          <w:tcPr>
            <w:tcW w:w="66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仿宋_GB2312" w:hAnsi="宋体" w:eastAsia="仿宋_GB2312" w:cs="宋体"/>
                <w:sz w:val="18"/>
                <w:szCs w:val="18"/>
              </w:rPr>
            </w:pPr>
            <w:r>
              <w:rPr>
                <w:rFonts w:hint="eastAsia" w:ascii="仿宋_GB2312" w:hAnsi="宋体" w:eastAsia="仿宋_GB2312" w:cs="宋体"/>
                <w:sz w:val="18"/>
                <w:szCs w:val="18"/>
              </w:rPr>
              <w:t>5.60%</w:t>
            </w:r>
          </w:p>
        </w:tc>
      </w:tr>
    </w:tbl>
    <w:p>
      <w:pPr>
        <w:snapToGrid w:val="0"/>
        <w:spacing w:line="520" w:lineRule="exact"/>
        <w:ind w:firstLine="565" w:firstLineChars="202"/>
        <w:rPr>
          <w:rFonts w:hint="eastAsia" w:ascii="仿宋_GB2312" w:eastAsia="仿宋_GB2312"/>
          <w:sz w:val="28"/>
          <w:szCs w:val="28"/>
        </w:rPr>
      </w:pPr>
      <w:r>
        <w:rPr>
          <w:rFonts w:hint="eastAsia" w:ascii="仿宋_GB2312" w:eastAsia="仿宋_GB2312"/>
          <w:sz w:val="28"/>
          <w:szCs w:val="28"/>
        </w:rPr>
        <w:t>（评估对象所涉及的税费，以实际拍卖的成交价为基础,具体以当地税务部门征缴结果为准）。</w:t>
      </w:r>
    </w:p>
    <w:p>
      <w:pPr>
        <w:snapToGrid w:val="0"/>
        <w:spacing w:line="500" w:lineRule="exact"/>
        <w:ind w:firstLine="565" w:firstLineChars="202"/>
        <w:rPr>
          <w:rFonts w:hint="eastAsia" w:ascii="仿宋_GB2312" w:eastAsia="仿宋_GB2312"/>
          <w:sz w:val="28"/>
          <w:szCs w:val="28"/>
        </w:rPr>
      </w:pPr>
      <w:r>
        <w:rPr>
          <w:rFonts w:hint="eastAsia" w:ascii="仿宋_GB2312" w:eastAsia="仿宋_GB2312"/>
          <w:sz w:val="28"/>
          <w:szCs w:val="28"/>
        </w:rPr>
        <w:t>3.经注册房地产估价师现场勘查,估价对象室内为高档装修,本次评估价值包含不可移动的固定装修。</w:t>
      </w:r>
    </w:p>
    <w:p>
      <w:pPr>
        <w:pStyle w:val="6"/>
        <w:snapToGrid w:val="0"/>
        <w:spacing w:before="156" w:beforeLines="50" w:after="156" w:afterLines="50"/>
        <w:ind w:firstLine="0"/>
        <w:jc w:val="left"/>
        <w:outlineLvl w:val="1"/>
        <w:rPr>
          <w:rFonts w:hint="eastAsia" w:ascii="仿宋_GB2312" w:hAnsi="仿宋" w:eastAsia="仿宋_GB2312"/>
          <w:b/>
          <w:szCs w:val="28"/>
        </w:rPr>
      </w:pPr>
      <w:r>
        <w:rPr>
          <w:rFonts w:hint="eastAsia" w:ascii="仿宋_GB2312" w:hAnsi="仿宋" w:eastAsia="仿宋_GB2312"/>
          <w:b/>
          <w:szCs w:val="28"/>
        </w:rPr>
        <w:t>三、估价目的</w:t>
      </w:r>
    </w:p>
    <w:p>
      <w:pPr>
        <w:pStyle w:val="6"/>
        <w:snapToGrid w:val="0"/>
        <w:ind w:firstLine="601"/>
        <w:rPr>
          <w:rFonts w:hint="eastAsia" w:ascii="仿宋_GB2312" w:hAnsi="宋体" w:eastAsia="仿宋_GB2312" w:cs="宋体"/>
          <w:szCs w:val="28"/>
        </w:rPr>
      </w:pPr>
      <w:r>
        <w:rPr>
          <w:rFonts w:hint="eastAsia" w:ascii="仿宋_GB2312" w:eastAsia="仿宋_GB2312"/>
        </w:rPr>
        <w:t>本次估价设定的估价目的是</w:t>
      </w:r>
      <w:r>
        <w:rPr>
          <w:rFonts w:hint="eastAsia" w:ascii="仿宋_GB2312" w:hAnsi="宋体" w:eastAsia="仿宋_GB2312" w:cs="宋体"/>
          <w:szCs w:val="28"/>
        </w:rPr>
        <w:t>为司法处置提供参考依据而评估房地产市场价值</w:t>
      </w:r>
    </w:p>
    <w:p>
      <w:pPr>
        <w:pStyle w:val="6"/>
        <w:snapToGrid w:val="0"/>
        <w:ind w:firstLine="601"/>
        <w:rPr>
          <w:rFonts w:hint="eastAsia" w:ascii="仿宋_GB2312" w:hAnsi="仿宋" w:eastAsia="仿宋_GB2312"/>
          <w:b/>
          <w:szCs w:val="28"/>
        </w:rPr>
      </w:pPr>
      <w:r>
        <w:rPr>
          <w:rFonts w:hint="eastAsia" w:ascii="仿宋_GB2312" w:hAnsi="仿宋" w:eastAsia="仿宋_GB2312"/>
          <w:b/>
          <w:szCs w:val="28"/>
        </w:rPr>
        <w:t>四、估价对象</w:t>
      </w:r>
    </w:p>
    <w:p>
      <w:pPr>
        <w:pStyle w:val="6"/>
        <w:snapToGrid w:val="0"/>
        <w:jc w:val="left"/>
        <w:rPr>
          <w:rFonts w:hint="eastAsia" w:ascii="仿宋_GB2312" w:hAnsi="仿宋" w:eastAsia="仿宋_GB2312"/>
          <w:szCs w:val="28"/>
        </w:rPr>
      </w:pPr>
      <w:r>
        <w:rPr>
          <w:rFonts w:hint="eastAsia" w:ascii="仿宋_GB2312" w:hAnsi="仿宋" w:eastAsia="仿宋_GB2312"/>
          <w:szCs w:val="28"/>
        </w:rPr>
        <w:t>1.估价对象界定</w:t>
      </w:r>
    </w:p>
    <w:p>
      <w:pPr>
        <w:spacing w:after="156" w:afterLines="50" w:line="560" w:lineRule="exact"/>
        <w:ind w:firstLine="560" w:firstLineChars="200"/>
        <w:rPr>
          <w:rFonts w:hint="eastAsia" w:ascii="仿宋_GB2312" w:eastAsia="仿宋_GB2312"/>
        </w:rPr>
      </w:pPr>
      <w:r>
        <w:rPr>
          <w:rFonts w:hint="eastAsia" w:ascii="仿宋_GB2312" w:eastAsia="仿宋_GB2312"/>
          <w:sz w:val="28"/>
          <w:szCs w:val="28"/>
        </w:rPr>
        <w:t>本报告估价对象评估范围为杭州市余杭区星桥街道星桥紫桂公寓逸云苑3幢1单元701室。估价对象建筑面积174.03平方米，土地使用权面积23.2平方米，住宅用途，估价对象房地产权利人为秦庭明、江泽芝</w:t>
      </w:r>
      <w:r>
        <w:rPr>
          <w:rFonts w:hint="eastAsia" w:ascii="仿宋_GB2312" w:eastAsia="仿宋_GB2312"/>
        </w:rPr>
        <w:t>。</w:t>
      </w:r>
    </w:p>
    <w:p>
      <w:pPr>
        <w:pStyle w:val="6"/>
        <w:snapToGrid w:val="0"/>
        <w:jc w:val="left"/>
        <w:rPr>
          <w:rFonts w:hint="eastAsia" w:ascii="仿宋_GB2312" w:hAnsi="仿宋" w:eastAsia="仿宋_GB2312"/>
          <w:szCs w:val="28"/>
        </w:rPr>
      </w:pPr>
      <w:r>
        <w:rPr>
          <w:rFonts w:hint="eastAsia" w:ascii="仿宋_GB2312" w:hAnsi="仿宋" w:eastAsia="仿宋_GB2312"/>
          <w:szCs w:val="28"/>
        </w:rPr>
        <w:t>2.不动产权利状况</w:t>
      </w:r>
    </w:p>
    <w:p>
      <w:pPr>
        <w:widowControl/>
        <w:shd w:val="clear" w:color="auto" w:fill="FFFFFF"/>
        <w:adjustRightInd/>
        <w:spacing w:line="240" w:lineRule="auto"/>
        <w:ind w:firstLine="560" w:firstLineChars="200"/>
        <w:jc w:val="left"/>
        <w:textAlignment w:val="auto"/>
        <w:rPr>
          <w:rFonts w:hint="eastAsia" w:ascii="仿宋_GB2312" w:eastAsia="仿宋_GB2312"/>
          <w:sz w:val="28"/>
          <w:szCs w:val="28"/>
        </w:rPr>
      </w:pPr>
      <w:r>
        <w:rPr>
          <w:rFonts w:ascii="仿宋_GB2312" w:eastAsia="仿宋_GB2312"/>
          <w:sz w:val="28"/>
          <w:szCs w:val="28"/>
        </w:rPr>
        <w:t>根据《</w:t>
      </w:r>
      <w:r>
        <w:rPr>
          <w:rFonts w:hint="eastAsia" w:ascii="仿宋_GB2312" w:eastAsia="仿宋_GB2312"/>
          <w:sz w:val="28"/>
          <w:szCs w:val="28"/>
        </w:rPr>
        <w:t>杭州市不动产权属信息查询记录</w:t>
      </w:r>
      <w:r>
        <w:rPr>
          <w:rFonts w:ascii="仿宋_GB2312" w:eastAsia="仿宋_GB2312"/>
          <w:sz w:val="28"/>
          <w:szCs w:val="28"/>
        </w:rPr>
        <w:t>》，房屋登记情况如下：</w:t>
      </w:r>
    </w:p>
    <w:tbl>
      <w:tblPr>
        <w:tblStyle w:val="4"/>
        <w:tblW w:w="8159" w:type="dxa"/>
        <w:jc w:val="center"/>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347" w:type="dxa"/>
            <w:noWrap w:val="0"/>
            <w:vAlign w:val="center"/>
          </w:tcPr>
          <w:p>
            <w:pPr>
              <w:rPr>
                <w:rFonts w:hint="eastAsia" w:ascii="仿宋_GB2312" w:eastAsia="仿宋_GB2312"/>
              </w:rPr>
            </w:pPr>
            <w:r>
              <w:rPr>
                <w:rFonts w:hint="eastAsia" w:ascii="仿宋_GB2312" w:eastAsia="仿宋_GB2312"/>
              </w:rPr>
              <w:t>不动产坐落</w:t>
            </w:r>
          </w:p>
        </w:tc>
        <w:tc>
          <w:tcPr>
            <w:tcW w:w="5812" w:type="dxa"/>
            <w:noWrap w:val="0"/>
            <w:vAlign w:val="center"/>
          </w:tcPr>
          <w:p>
            <w:pPr>
              <w:rPr>
                <w:rFonts w:hint="eastAsia" w:ascii="仿宋_GB2312" w:eastAsia="仿宋_GB2312"/>
              </w:rPr>
            </w:pPr>
            <w:r>
              <w:rPr>
                <w:rFonts w:hint="eastAsia" w:ascii="仿宋_GB2312" w:eastAsia="仿宋_GB2312"/>
              </w:rPr>
              <w:t>杭州市余杭区星桥街道星桥紫桂公寓逸云苑3幢1单元701室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347" w:type="dxa"/>
            <w:noWrap w:val="0"/>
            <w:vAlign w:val="center"/>
          </w:tcPr>
          <w:p>
            <w:pPr>
              <w:rPr>
                <w:rFonts w:hint="eastAsia" w:ascii="仿宋_GB2312" w:eastAsia="仿宋_GB2312"/>
              </w:rPr>
            </w:pPr>
            <w:r>
              <w:rPr>
                <w:rFonts w:hint="eastAsia" w:ascii="仿宋_GB2312" w:eastAsia="仿宋_GB2312"/>
              </w:rPr>
              <w:t>权证号（证明号）</w:t>
            </w:r>
          </w:p>
        </w:tc>
        <w:tc>
          <w:tcPr>
            <w:tcW w:w="5812" w:type="dxa"/>
            <w:noWrap w:val="0"/>
            <w:vAlign w:val="center"/>
          </w:tcPr>
          <w:p>
            <w:pPr>
              <w:rPr>
                <w:rFonts w:hint="eastAsia" w:ascii="仿宋_GB2312" w:eastAsia="仿宋_GB2312"/>
              </w:rPr>
            </w:pPr>
            <w:r>
              <w:rPr>
                <w:rFonts w:hint="eastAsia" w:ascii="仿宋_GB2312" w:eastAsia="仿宋_GB2312"/>
              </w:rPr>
              <w:t>余房权证星移字第15454510、15454511号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347" w:type="dxa"/>
            <w:noWrap w:val="0"/>
            <w:vAlign w:val="center"/>
          </w:tcPr>
          <w:p>
            <w:pPr>
              <w:rPr>
                <w:rFonts w:hint="eastAsia" w:ascii="仿宋_GB2312" w:eastAsia="仿宋_GB2312"/>
              </w:rPr>
            </w:pPr>
            <w:r>
              <w:rPr>
                <w:rFonts w:hint="eastAsia" w:ascii="仿宋_GB2312" w:eastAsia="仿宋_GB2312"/>
              </w:rPr>
              <w:t>权利人</w:t>
            </w:r>
          </w:p>
        </w:tc>
        <w:tc>
          <w:tcPr>
            <w:tcW w:w="5812" w:type="dxa"/>
            <w:noWrap w:val="0"/>
            <w:vAlign w:val="center"/>
          </w:tcPr>
          <w:p>
            <w:pPr>
              <w:rPr>
                <w:rFonts w:hint="eastAsia" w:ascii="仿宋_GB2312" w:eastAsia="仿宋_GB2312"/>
              </w:rPr>
            </w:pPr>
            <w:r>
              <w:rPr>
                <w:rFonts w:hint="eastAsia" w:ascii="仿宋_GB2312" w:eastAsia="仿宋_GB2312"/>
              </w:rPr>
              <w:t>秦庭明、江泽芝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347" w:type="dxa"/>
            <w:noWrap w:val="0"/>
            <w:vAlign w:val="center"/>
          </w:tcPr>
          <w:p>
            <w:pPr>
              <w:rPr>
                <w:rFonts w:hint="eastAsia" w:ascii="仿宋_GB2312" w:eastAsia="仿宋_GB2312"/>
              </w:rPr>
            </w:pPr>
            <w:r>
              <w:rPr>
                <w:rFonts w:hint="eastAsia" w:ascii="仿宋_GB2312" w:eastAsia="仿宋_GB2312"/>
              </w:rPr>
              <w:t>权利类型</w:t>
            </w:r>
          </w:p>
        </w:tc>
        <w:tc>
          <w:tcPr>
            <w:tcW w:w="5812" w:type="dxa"/>
            <w:noWrap w:val="0"/>
            <w:vAlign w:val="center"/>
          </w:tcPr>
          <w:p>
            <w:pPr>
              <w:rPr>
                <w:rFonts w:hint="eastAsia" w:ascii="仿宋_GB2312" w:eastAsia="仿宋_GB2312"/>
              </w:rPr>
            </w:pPr>
            <w:r>
              <w:rPr>
                <w:rFonts w:hint="eastAsia" w:ascii="仿宋_GB2312" w:eastAsia="仿宋_GB2312"/>
              </w:rPr>
              <w:t>房屋（构筑物）所有权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347" w:type="dxa"/>
            <w:noWrap w:val="0"/>
            <w:vAlign w:val="center"/>
          </w:tcPr>
          <w:p>
            <w:pPr>
              <w:rPr>
                <w:rFonts w:hint="eastAsia" w:ascii="仿宋_GB2312" w:eastAsia="仿宋_GB2312"/>
              </w:rPr>
            </w:pPr>
            <w:r>
              <w:rPr>
                <w:rFonts w:hint="eastAsia" w:ascii="仿宋_GB2312" w:eastAsia="仿宋_GB2312"/>
              </w:rPr>
              <w:t>共有情况</w:t>
            </w:r>
          </w:p>
        </w:tc>
        <w:tc>
          <w:tcPr>
            <w:tcW w:w="5812" w:type="dxa"/>
            <w:noWrap w:val="0"/>
            <w:vAlign w:val="center"/>
          </w:tcPr>
          <w:p>
            <w:pPr>
              <w:rPr>
                <w:rFonts w:hint="eastAsia" w:ascii="仿宋_GB2312" w:eastAsia="仿宋_GB2312"/>
              </w:rPr>
            </w:pPr>
            <w:r>
              <w:rPr>
                <w:rFonts w:hint="eastAsia" w:ascii="仿宋_GB2312" w:eastAsia="仿宋_GB2312"/>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47" w:type="dxa"/>
            <w:noWrap w:val="0"/>
            <w:vAlign w:val="center"/>
          </w:tcPr>
          <w:p>
            <w:pPr>
              <w:rPr>
                <w:rFonts w:hint="eastAsia" w:ascii="仿宋_GB2312" w:eastAsia="仿宋_GB2312"/>
              </w:rPr>
            </w:pPr>
            <w:r>
              <w:rPr>
                <w:rFonts w:hint="eastAsia" w:ascii="仿宋_GB2312" w:eastAsia="仿宋_GB2312"/>
              </w:rPr>
              <w:t>权利性质</w:t>
            </w:r>
          </w:p>
        </w:tc>
        <w:tc>
          <w:tcPr>
            <w:tcW w:w="5812" w:type="dxa"/>
            <w:noWrap w:val="0"/>
            <w:vAlign w:val="center"/>
          </w:tcPr>
          <w:p>
            <w:pPr>
              <w:rPr>
                <w:rFonts w:hint="eastAsia" w:ascii="仿宋_GB2312" w:eastAsia="仿宋_GB2312"/>
              </w:rPr>
            </w:pPr>
            <w:r>
              <w:rPr>
                <w:rFonts w:hint="eastAsia" w:ascii="仿宋_GB2312" w:eastAsia="仿宋_GB2312"/>
              </w:rPr>
              <w:t>存量房产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47" w:type="dxa"/>
            <w:noWrap w:val="0"/>
            <w:vAlign w:val="center"/>
          </w:tcPr>
          <w:p>
            <w:pPr>
              <w:rPr>
                <w:rFonts w:hint="eastAsia" w:ascii="仿宋_GB2312" w:eastAsia="仿宋_GB2312"/>
              </w:rPr>
            </w:pPr>
            <w:r>
              <w:rPr>
                <w:rFonts w:hint="eastAsia" w:ascii="仿宋_GB2312" w:eastAsia="仿宋_GB2312"/>
              </w:rPr>
              <w:t>建筑面积（</w:t>
            </w:r>
            <w:r>
              <w:rPr>
                <w:rFonts w:hint="eastAsia" w:ascii="仿宋_GB2312"/>
              </w:rPr>
              <w:t>㎡</w:t>
            </w:r>
            <w:r>
              <w:rPr>
                <w:rFonts w:hint="eastAsia" w:ascii="仿宋_GB2312" w:eastAsia="仿宋_GB2312"/>
              </w:rPr>
              <w:t>）</w:t>
            </w:r>
          </w:p>
        </w:tc>
        <w:tc>
          <w:tcPr>
            <w:tcW w:w="5812" w:type="dxa"/>
            <w:noWrap w:val="0"/>
            <w:vAlign w:val="center"/>
          </w:tcPr>
          <w:p>
            <w:pPr>
              <w:rPr>
                <w:rFonts w:hint="eastAsia" w:ascii="仿宋_GB2312" w:eastAsia="仿宋_GB2312"/>
              </w:rPr>
            </w:pPr>
            <w:r>
              <w:rPr>
                <w:rFonts w:hint="eastAsia" w:ascii="仿宋_GB2312" w:eastAsia="仿宋_GB2312"/>
              </w:rPr>
              <w:t>174.03</w:t>
            </w:r>
            <w:r>
              <w:rPr>
                <w:rFonts w:hint="eastAsia" w:ascii="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347" w:type="dxa"/>
            <w:noWrap w:val="0"/>
            <w:vAlign w:val="center"/>
          </w:tcPr>
          <w:p>
            <w:pPr>
              <w:rPr>
                <w:rFonts w:hint="eastAsia" w:ascii="仿宋_GB2312" w:eastAsia="仿宋_GB2312"/>
              </w:rPr>
            </w:pPr>
            <w:r>
              <w:rPr>
                <w:rFonts w:hint="eastAsia" w:ascii="仿宋_GB2312" w:eastAsia="仿宋_GB2312"/>
              </w:rPr>
              <w:t>用途</w:t>
            </w:r>
          </w:p>
        </w:tc>
        <w:tc>
          <w:tcPr>
            <w:tcW w:w="5812" w:type="dxa"/>
            <w:noWrap w:val="0"/>
            <w:vAlign w:val="center"/>
          </w:tcPr>
          <w:p>
            <w:pPr>
              <w:rPr>
                <w:rFonts w:hint="eastAsia" w:ascii="仿宋_GB2312" w:eastAsia="仿宋_GB2312"/>
              </w:rPr>
            </w:pPr>
            <w:r>
              <w:rPr>
                <w:rFonts w:hint="eastAsia" w:ascii="仿宋_GB2312" w:eastAsia="仿宋_GB231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347" w:type="dxa"/>
            <w:noWrap w:val="0"/>
            <w:vAlign w:val="center"/>
          </w:tcPr>
          <w:p>
            <w:pPr>
              <w:rPr>
                <w:rFonts w:hint="eastAsia" w:ascii="仿宋_GB2312" w:eastAsia="仿宋_GB2312"/>
              </w:rPr>
            </w:pPr>
            <w:r>
              <w:rPr>
                <w:rFonts w:hint="eastAsia" w:ascii="仿宋_GB2312" w:eastAsia="仿宋_GB2312"/>
              </w:rPr>
              <w:t>土地使用权面积（</w:t>
            </w:r>
            <w:r>
              <w:rPr>
                <w:rFonts w:hint="eastAsia" w:ascii="仿宋_GB2312"/>
              </w:rPr>
              <w:t>㎡</w:t>
            </w:r>
            <w:r>
              <w:rPr>
                <w:rFonts w:hint="eastAsia" w:ascii="仿宋_GB2312" w:eastAsia="仿宋_GB2312"/>
              </w:rPr>
              <w:t>）</w:t>
            </w:r>
          </w:p>
        </w:tc>
        <w:tc>
          <w:tcPr>
            <w:tcW w:w="5812" w:type="dxa"/>
            <w:noWrap w:val="0"/>
            <w:vAlign w:val="center"/>
          </w:tcPr>
          <w:p>
            <w:pPr>
              <w:rPr>
                <w:rFonts w:hint="eastAsia" w:ascii="仿宋_GB2312" w:eastAsia="仿宋_GB2312"/>
              </w:rPr>
            </w:pPr>
            <w:r>
              <w:rPr>
                <w:rFonts w:hint="eastAsia" w:ascii="仿宋_GB2312"/>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347" w:type="dxa"/>
            <w:noWrap w:val="0"/>
            <w:vAlign w:val="center"/>
          </w:tcPr>
          <w:p>
            <w:pPr>
              <w:rPr>
                <w:rFonts w:hint="eastAsia" w:ascii="仿宋_GB2312" w:eastAsia="仿宋_GB2312"/>
              </w:rPr>
            </w:pPr>
            <w:r>
              <w:rPr>
                <w:rFonts w:hint="eastAsia" w:ascii="仿宋_GB2312" w:eastAsia="仿宋_GB2312"/>
              </w:rPr>
              <w:t>使用期限</w:t>
            </w:r>
          </w:p>
        </w:tc>
        <w:tc>
          <w:tcPr>
            <w:tcW w:w="5812" w:type="dxa"/>
            <w:noWrap w:val="0"/>
            <w:vAlign w:val="center"/>
          </w:tcPr>
          <w:p>
            <w:pPr>
              <w:rPr>
                <w:rFonts w:hint="eastAsia" w:ascii="仿宋_GB2312" w:eastAsia="仿宋_GB2312"/>
              </w:rPr>
            </w:pPr>
            <w:r>
              <w:rPr>
                <w:rFonts w:hint="eastAsia" w:ascii="宋体" w:hAnsi="宋体" w:cs="宋体"/>
              </w:rPr>
              <w:t>――</w:t>
            </w:r>
            <w:r>
              <w:rPr>
                <w:rFonts w:hint="eastAsia" w:ascii="仿宋_GB2312" w:eastAsia="仿宋_GB2312"/>
              </w:rPr>
              <w:t>至2072年12月19日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347" w:type="dxa"/>
            <w:noWrap w:val="0"/>
            <w:vAlign w:val="center"/>
          </w:tcPr>
          <w:p>
            <w:pPr>
              <w:rPr>
                <w:rFonts w:hint="eastAsia" w:ascii="仿宋_GB2312" w:eastAsia="仿宋_GB2312"/>
              </w:rPr>
            </w:pPr>
            <w:r>
              <w:rPr>
                <w:rFonts w:hint="eastAsia" w:ascii="仿宋_GB2312" w:eastAsia="仿宋_GB2312"/>
              </w:rPr>
              <w:t>所在层数/总层</w:t>
            </w:r>
          </w:p>
        </w:tc>
        <w:tc>
          <w:tcPr>
            <w:tcW w:w="5812" w:type="dxa"/>
            <w:noWrap w:val="0"/>
            <w:vAlign w:val="center"/>
          </w:tcPr>
          <w:p>
            <w:pPr>
              <w:rPr>
                <w:rFonts w:hint="eastAsia" w:ascii="仿宋_GB2312" w:eastAsia="仿宋_GB2312"/>
              </w:rPr>
            </w:pPr>
            <w:r>
              <w:rPr>
                <w:rFonts w:hint="eastAsia" w:ascii="仿宋_GB2312" w:eastAsia="仿宋_GB2312"/>
              </w:rPr>
              <w:t>7层/18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47" w:type="dxa"/>
            <w:noWrap w:val="0"/>
            <w:vAlign w:val="center"/>
          </w:tcPr>
          <w:p>
            <w:pPr>
              <w:rPr>
                <w:rFonts w:hint="eastAsia" w:ascii="仿宋_GB2312" w:eastAsia="仿宋_GB2312"/>
              </w:rPr>
            </w:pPr>
            <w:r>
              <w:rPr>
                <w:rFonts w:hint="eastAsia" w:ascii="仿宋_GB2312" w:eastAsia="仿宋_GB2312"/>
              </w:rPr>
              <w:t>建成年份</w:t>
            </w:r>
          </w:p>
        </w:tc>
        <w:tc>
          <w:tcPr>
            <w:tcW w:w="5812" w:type="dxa"/>
            <w:noWrap w:val="0"/>
            <w:vAlign w:val="center"/>
          </w:tcPr>
          <w:p>
            <w:pPr>
              <w:rPr>
                <w:rFonts w:hint="eastAsia" w:ascii="仿宋_GB2312" w:eastAsia="仿宋_GB2312"/>
              </w:rPr>
            </w:pPr>
            <w:r>
              <w:rPr>
                <w:rFonts w:hint="eastAsia" w:ascii="仿宋_GB2312" w:eastAsia="仿宋_GB2312"/>
              </w:rPr>
              <w:t>2012年</w:t>
            </w:r>
          </w:p>
        </w:tc>
      </w:tr>
    </w:tbl>
    <w:p>
      <w:pPr>
        <w:widowControl/>
        <w:shd w:val="clear" w:color="auto" w:fill="FFFFFF"/>
        <w:adjustRightInd/>
        <w:spacing w:line="240" w:lineRule="auto"/>
        <w:ind w:firstLine="560" w:firstLineChars="200"/>
        <w:jc w:val="left"/>
        <w:textAlignment w:val="auto"/>
        <w:rPr>
          <w:rFonts w:hint="eastAsia" w:ascii="仿宋_GB2312" w:eastAsia="仿宋_GB2312"/>
          <w:sz w:val="28"/>
        </w:rPr>
      </w:pPr>
      <w:r>
        <w:rPr>
          <w:rFonts w:hint="eastAsia" w:ascii="仿宋_GB2312" w:eastAsia="仿宋_GB2312"/>
          <w:sz w:val="28"/>
        </w:rPr>
        <w:t>截至价值时点，估价对象状况为产权人居住。</w:t>
      </w:r>
    </w:p>
    <w:p>
      <w:pPr>
        <w:widowControl/>
        <w:shd w:val="clear" w:color="auto" w:fill="FFFFFF"/>
        <w:adjustRightInd/>
        <w:spacing w:line="240" w:lineRule="auto"/>
        <w:ind w:firstLine="560"/>
        <w:jc w:val="left"/>
        <w:textAlignment w:val="auto"/>
        <w:rPr>
          <w:rFonts w:hint="eastAsia" w:ascii="仿宋_GB2312" w:eastAsia="仿宋_GB2312"/>
          <w:sz w:val="28"/>
        </w:rPr>
      </w:pPr>
      <w:r>
        <w:rPr>
          <w:rFonts w:hint="eastAsia" w:ascii="仿宋_GB2312" w:eastAsia="仿宋_GB2312"/>
          <w:sz w:val="28"/>
        </w:rPr>
        <w:t>截至价值时点，列入本次评估范围内的房产有查封，有抵押；宗地：有查封，有抵押。此外，未发现可能存在的其他他项权利和权利限制。</w:t>
      </w:r>
    </w:p>
    <w:p>
      <w:pPr>
        <w:snapToGrid w:val="0"/>
        <w:spacing w:line="360" w:lineRule="auto"/>
        <w:ind w:firstLine="537" w:firstLineChars="192"/>
        <w:rPr>
          <w:rFonts w:hint="eastAsia" w:ascii="仿宋_GB2312" w:eastAsia="仿宋_GB2312"/>
          <w:sz w:val="28"/>
        </w:rPr>
      </w:pPr>
      <w:r>
        <w:rPr>
          <w:rFonts w:hint="eastAsia" w:ascii="仿宋_GB2312" w:eastAsia="仿宋_GB2312"/>
          <w:sz w:val="28"/>
        </w:rPr>
        <w:t>3.土地基本状况描述与分析</w:t>
      </w:r>
    </w:p>
    <w:p>
      <w:pPr>
        <w:snapToGrid w:val="0"/>
        <w:spacing w:line="360" w:lineRule="auto"/>
        <w:ind w:firstLine="537" w:firstLineChars="192"/>
        <w:rPr>
          <w:rFonts w:hint="eastAsia" w:ascii="仿宋_GB2312" w:eastAsia="仿宋_GB2312"/>
          <w:sz w:val="28"/>
          <w:szCs w:val="28"/>
        </w:rPr>
      </w:pPr>
      <w:r>
        <w:rPr>
          <w:rFonts w:hint="eastAsia" w:ascii="仿宋_GB2312" w:eastAsia="仿宋_GB2312"/>
          <w:sz w:val="28"/>
          <w:szCs w:val="28"/>
        </w:rPr>
        <w:t>估价对象土地坐落：杭州市余杭区星桥街道星桥紫桂公寓逸云苑3幢1单元701室。</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土地用途：住宅用途。</w:t>
      </w:r>
    </w:p>
    <w:p>
      <w:pPr>
        <w:pStyle w:val="6"/>
        <w:snapToGrid w:val="0"/>
        <w:ind w:firstLine="601"/>
        <w:rPr>
          <w:rFonts w:hint="eastAsia" w:ascii="仿宋_GB2312" w:eastAsia="仿宋_GB2312"/>
        </w:rPr>
      </w:pPr>
      <w:r>
        <w:rPr>
          <w:rFonts w:hint="eastAsia" w:ascii="仿宋_GB2312" w:eastAsia="仿宋_GB2312"/>
          <w:szCs w:val="28"/>
        </w:rPr>
        <w:t>宗地四至：</w:t>
      </w:r>
      <w:r>
        <w:rPr>
          <w:rFonts w:hint="eastAsia" w:ascii="仿宋_GB2312" w:eastAsia="仿宋_GB2312"/>
        </w:rPr>
        <w:t>北近星灿街，南临星瀚路，西临星韵路，东临星桥北路。</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宗地形状、地势：形状较规整，地势较平坦。</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地质、水文：地质、水文条件无不利影响，满足建设要求。</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土壤、地基：没有迹象表明土壤受过污染。地基坚实，承载力适于建筑。</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基础设施完备程度：宗地基础设施完善，达到“五通一平”（即通给水、通排水、通电、通路、通讯及红线内平整）。</w:t>
      </w:r>
    </w:p>
    <w:p>
      <w:pPr>
        <w:pStyle w:val="3"/>
        <w:rPr>
          <w:rFonts w:hint="eastAsia" w:ascii="仿宋_GB2312" w:eastAsia="仿宋_GB2312"/>
          <w:sz w:val="28"/>
          <w:szCs w:val="28"/>
        </w:rPr>
      </w:pPr>
      <w:r>
        <w:rPr>
          <w:rFonts w:hint="eastAsia" w:ascii="仿宋_GB2312" w:eastAsia="仿宋_GB2312"/>
          <w:sz w:val="28"/>
          <w:szCs w:val="28"/>
        </w:rPr>
        <w:t>土地使用期限：至2072年12月19日</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4.建筑物基本状况：</w:t>
      </w:r>
    </w:p>
    <w:p>
      <w:pPr>
        <w:pStyle w:val="6"/>
        <w:snapToGrid w:val="0"/>
        <w:ind w:firstLine="601"/>
        <w:rPr>
          <w:rFonts w:hint="eastAsia" w:ascii="仿宋_GB2312" w:eastAsia="仿宋_GB2312"/>
          <w:szCs w:val="28"/>
        </w:rPr>
      </w:pPr>
      <w:bookmarkStart w:id="0" w:name="_Toc424827854"/>
      <w:r>
        <w:rPr>
          <w:rFonts w:hint="eastAsia" w:ascii="仿宋_GB2312" w:eastAsia="仿宋_GB2312"/>
          <w:szCs w:val="28"/>
        </w:rPr>
        <w:t>估价对象所在楼盘为“绿城星桥紫桂公寓”，设施设备配套较齐全。所在建筑物为逸云苑3幢，系钢混结构，建于2012年，工程质量较好，外立面时尚，安装有客梯二部，共18层，层高标准。</w:t>
      </w:r>
    </w:p>
    <w:p>
      <w:pPr>
        <w:pStyle w:val="6"/>
        <w:snapToGrid w:val="0"/>
        <w:ind w:firstLine="601"/>
        <w:rPr>
          <w:rFonts w:hint="eastAsia" w:ascii="仿宋_GB2312" w:eastAsia="仿宋_GB2312"/>
          <w:szCs w:val="28"/>
        </w:rPr>
      </w:pPr>
      <w:r>
        <w:rPr>
          <w:rFonts w:hint="eastAsia" w:ascii="仿宋_GB2312" w:eastAsia="仿宋_GB2312"/>
          <w:szCs w:val="28"/>
        </w:rPr>
        <w:t>估价对象位于第7层，四室二厅二卫，南北朝向东边套，通风及采光较好。进户防盗门，室内高档装修：客厅地面铺地砖，卧室地面铺木地板，部分内墙墙纸饰面，厨房及卫生间均铺设墙面砖和地面砖，厨房间配备整体橱柜，卫生间安装卫生洁具，装修保养、房屋保养较好，现场查看时</w:t>
      </w:r>
      <w:r>
        <w:rPr>
          <w:rFonts w:hint="eastAsia" w:ascii="仿宋_GB2312" w:eastAsia="仿宋_GB2312"/>
        </w:rPr>
        <w:t>估价对象使用状况为产权人居住</w:t>
      </w:r>
      <w:r>
        <w:rPr>
          <w:rFonts w:hint="eastAsia" w:ascii="仿宋_GB2312" w:eastAsia="仿宋_GB2312"/>
          <w:szCs w:val="28"/>
        </w:rPr>
        <w:t>。</w:t>
      </w:r>
    </w:p>
    <w:p>
      <w:pPr>
        <w:pStyle w:val="6"/>
        <w:snapToGrid w:val="0"/>
        <w:ind w:firstLine="601"/>
        <w:rPr>
          <w:rFonts w:hint="eastAsia" w:ascii="仿宋_GB2312" w:eastAsia="仿宋_GB2312"/>
        </w:rPr>
      </w:pPr>
      <w:r>
        <w:rPr>
          <w:rFonts w:hint="eastAsia" w:ascii="仿宋_GB2312" w:eastAsia="仿宋_GB2312"/>
        </w:rPr>
        <w:t>5.区位状况</w:t>
      </w:r>
    </w:p>
    <w:p>
      <w:pPr>
        <w:pStyle w:val="6"/>
        <w:snapToGrid w:val="0"/>
        <w:ind w:firstLine="601"/>
        <w:rPr>
          <w:rFonts w:hint="eastAsia" w:ascii="仿宋_GB2312" w:eastAsia="仿宋_GB2312"/>
          <w:szCs w:val="28"/>
        </w:rPr>
      </w:pPr>
      <w:r>
        <w:rPr>
          <w:rFonts w:hint="eastAsia" w:ascii="仿宋_GB2312" w:eastAsia="仿宋_GB2312"/>
          <w:szCs w:val="28"/>
        </w:rPr>
        <w:t>估价对象位于杭州市余杭区。</w:t>
      </w:r>
      <w:r>
        <w:rPr>
          <w:rFonts w:hint="eastAsia" w:ascii="仿宋_GB2312" w:eastAsia="仿宋_GB2312"/>
        </w:rPr>
        <w:t>北近星灿街，南临星瀚路，西临星韵路，东临星桥北路</w:t>
      </w:r>
      <w:r>
        <w:rPr>
          <w:rFonts w:hint="eastAsia" w:ascii="仿宋_GB2312" w:eastAsia="仿宋_GB2312"/>
          <w:szCs w:val="28"/>
        </w:rPr>
        <w:t>，地理位置较好。该区域内有292、359、762、767、355等公交经过；自然环境及景观一般；区域内分布有美耀湾、星桥桂花城、汤家锦绣公寓等住宅小区，是余杭区比较成熟的居住板块,整体居住氛围较好；</w:t>
      </w:r>
      <w:r>
        <w:rPr>
          <w:rFonts w:hint="eastAsia" w:ascii="仿宋_GB2312" w:eastAsia="仿宋_GB2312"/>
        </w:rPr>
        <w:t>附近有星桥中学、星桥农贸市场、超市、银行等，配套设施比较完善，</w:t>
      </w:r>
      <w:r>
        <w:rPr>
          <w:rFonts w:hint="eastAsia" w:ascii="仿宋_GB2312" w:eastAsia="仿宋_GB2312"/>
          <w:szCs w:val="28"/>
        </w:rPr>
        <w:t>周边市政基础设施、公共服务设施不够齐全，商业服务业繁华度一般、居民生活便利度一般。</w:t>
      </w:r>
    </w:p>
    <w:p>
      <w:pPr>
        <w:pStyle w:val="6"/>
        <w:snapToGrid w:val="0"/>
        <w:spacing w:before="156" w:beforeLines="50" w:after="156" w:afterLines="50"/>
        <w:ind w:firstLine="0"/>
        <w:jc w:val="left"/>
        <w:outlineLvl w:val="1"/>
        <w:rPr>
          <w:rFonts w:hint="eastAsia" w:ascii="仿宋_GB2312" w:hAnsi="仿宋" w:eastAsia="仿宋_GB2312"/>
          <w:b/>
          <w:szCs w:val="28"/>
        </w:rPr>
      </w:pPr>
      <w:r>
        <w:rPr>
          <w:rFonts w:hint="eastAsia" w:ascii="仿宋_GB2312" w:hAnsi="仿宋" w:eastAsia="仿宋_GB2312"/>
          <w:b/>
          <w:szCs w:val="28"/>
        </w:rPr>
        <w:t>五、价值时点</w:t>
      </w:r>
      <w:bookmarkEnd w:id="0"/>
    </w:p>
    <w:p>
      <w:pPr>
        <w:pStyle w:val="6"/>
        <w:snapToGrid w:val="0"/>
        <w:ind w:firstLine="601"/>
        <w:rPr>
          <w:rFonts w:hint="eastAsia" w:ascii="仿宋_GB2312" w:hAnsi="仿宋_GB2312" w:eastAsia="仿宋_GB2312" w:cs="仿宋_GB2312"/>
        </w:rPr>
      </w:pPr>
      <w:r>
        <w:rPr>
          <w:rFonts w:hint="eastAsia" w:ascii="仿宋_GB2312" w:eastAsia="仿宋_GB2312"/>
        </w:rPr>
        <w:t>二</w:t>
      </w:r>
      <w:r>
        <w:rPr>
          <w:rFonts w:hint="eastAsia" w:ascii="宋体" w:hAnsi="宋体" w:cs="宋体"/>
        </w:rPr>
        <w:t>〇</w:t>
      </w:r>
      <w:r>
        <w:rPr>
          <w:rFonts w:hint="eastAsia" w:ascii="仿宋_GB2312" w:hAnsi="仿宋_GB2312" w:eastAsia="仿宋_GB2312" w:cs="仿宋_GB2312"/>
        </w:rPr>
        <w:t>二</w:t>
      </w:r>
      <w:r>
        <w:rPr>
          <w:rFonts w:hint="eastAsia" w:ascii="宋体" w:hAnsi="宋体" w:cs="宋体"/>
        </w:rPr>
        <w:t>〇</w:t>
      </w:r>
      <w:r>
        <w:rPr>
          <w:rFonts w:hint="eastAsia" w:ascii="仿宋_GB2312" w:hAnsi="仿宋_GB2312" w:eastAsia="仿宋_GB2312" w:cs="仿宋_GB2312"/>
        </w:rPr>
        <w:t>年五月二十九日</w:t>
      </w:r>
    </w:p>
    <w:p>
      <w:pPr>
        <w:pStyle w:val="6"/>
        <w:snapToGrid w:val="0"/>
        <w:ind w:firstLine="601"/>
        <w:rPr>
          <w:rFonts w:hint="eastAsia" w:ascii="仿宋_GB2312" w:eastAsia="仿宋_GB2312"/>
        </w:rPr>
      </w:pPr>
      <w:r>
        <w:rPr>
          <w:rFonts w:hint="eastAsia" w:ascii="仿宋_GB2312" w:eastAsia="仿宋_GB2312"/>
        </w:rPr>
        <w:t>根据现场查勘之日及报告使用的实际需要，设定价值时点为二</w:t>
      </w:r>
      <w:r>
        <w:rPr>
          <w:rFonts w:hint="eastAsia" w:ascii="宋体" w:hAnsi="宋体" w:cs="宋体"/>
        </w:rPr>
        <w:t>〇</w:t>
      </w:r>
      <w:r>
        <w:rPr>
          <w:rFonts w:hint="eastAsia" w:ascii="仿宋_GB2312" w:hAnsi="仿宋_GB2312" w:eastAsia="仿宋_GB2312" w:cs="仿宋_GB2312"/>
        </w:rPr>
        <w:t>二</w:t>
      </w:r>
      <w:r>
        <w:rPr>
          <w:rFonts w:hint="eastAsia" w:ascii="宋体" w:hAnsi="宋体" w:cs="宋体"/>
        </w:rPr>
        <w:t>〇</w:t>
      </w:r>
      <w:r>
        <w:rPr>
          <w:rFonts w:hint="eastAsia" w:ascii="仿宋_GB2312" w:hAnsi="仿宋_GB2312" w:eastAsia="仿宋_GB2312" w:cs="仿宋_GB2312"/>
        </w:rPr>
        <w:t>年五月二十九日</w:t>
      </w:r>
      <w:r>
        <w:rPr>
          <w:rFonts w:hint="eastAsia" w:ascii="仿宋_GB2312" w:eastAsia="仿宋_GB2312"/>
        </w:rPr>
        <w:t>。</w:t>
      </w:r>
    </w:p>
    <w:p>
      <w:pPr>
        <w:rPr>
          <w:rFonts w:hint="eastAsia" w:eastAsiaTheme="minorEastAsia"/>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D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adjustRightInd/>
      <w:spacing w:before="100" w:beforeAutospacing="1" w:after="100" w:afterAutospacing="1" w:line="240" w:lineRule="auto"/>
      <w:jc w:val="left"/>
      <w:textAlignment w:val="auto"/>
      <w:outlineLvl w:val="0"/>
    </w:pPr>
    <w:rPr>
      <w:rFonts w:ascii="宋体" w:hAnsi="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Indent 2"/>
    <w:basedOn w:val="1"/>
    <w:uiPriority w:val="0"/>
    <w:pPr>
      <w:spacing w:after="120" w:line="480" w:lineRule="auto"/>
      <w:ind w:left="420" w:leftChars="200"/>
    </w:pPr>
  </w:style>
  <w:style w:type="paragraph" w:customStyle="1" w:styleId="6">
    <w:name w:val="1"/>
    <w:basedOn w:val="1"/>
    <w:next w:val="3"/>
    <w:uiPriority w:val="0"/>
    <w:pPr>
      <w:spacing w:line="360" w:lineRule="auto"/>
      <w:ind w:firstLine="6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2020-07-06T08:04:58Z</dcterms:created>
  <dc:creator>Administrator</dc:creator>
  <cp:lastModifiedBy>NTKO</cp:lastModifiedBy>
  <dcterms:modified xsi:type="dcterms:W3CDTF">2020-07-06T08:06:25Z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