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71770" cy="8046720"/>
            <wp:effectExtent l="0" t="0" r="5080" b="11430"/>
            <wp:docPr id="1" name="图片 1" descr="水印_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水印_1903"/>
                    <pic:cNvPicPr>
                      <a:picLocks noChangeAspect="1"/>
                    </pic:cNvPicPr>
                  </pic:nvPicPr>
                  <pic:blipFill>
                    <a:blip r:embed="rId4"/>
                    <a:stretch>
                      <a:fillRect/>
                    </a:stretch>
                  </pic:blipFill>
                  <pic:spPr>
                    <a:xfrm>
                      <a:off x="0" y="0"/>
                      <a:ext cx="5271770" cy="804672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tabs>
          <w:tab w:val="left" w:pos="8100"/>
        </w:tabs>
        <w:spacing w:line="520" w:lineRule="exact"/>
        <w:jc w:val="center"/>
        <w:rPr>
          <w:rFonts w:hint="eastAsia" w:ascii="仿宋" w:hAnsi="仿宋" w:eastAsia="仿宋"/>
          <w:b/>
          <w:bCs/>
          <w:color w:val="000000"/>
          <w:spacing w:val="0"/>
          <w:sz w:val="48"/>
          <w:szCs w:val="48"/>
        </w:rPr>
      </w:pPr>
      <w:r>
        <w:rPr>
          <w:rFonts w:hint="eastAsia" w:ascii="仿宋" w:hAnsi="仿宋" w:eastAsia="仿宋"/>
          <w:b/>
          <w:bCs/>
          <w:color w:val="000000"/>
          <w:spacing w:val="0"/>
          <w:sz w:val="48"/>
          <w:szCs w:val="48"/>
        </w:rPr>
        <w:t>致估价委托人函</w:t>
      </w:r>
    </w:p>
    <w:p>
      <w:pPr>
        <w:tabs>
          <w:tab w:val="left" w:pos="8100"/>
        </w:tabs>
        <w:spacing w:line="520" w:lineRule="exact"/>
        <w:jc w:val="center"/>
        <w:rPr>
          <w:rFonts w:hint="eastAsia" w:ascii="仿宋" w:hAnsi="仿宋" w:eastAsia="仿宋"/>
          <w:b/>
          <w:bCs/>
          <w:color w:val="000000"/>
          <w:spacing w:val="0"/>
          <w:sz w:val="48"/>
          <w:szCs w:val="48"/>
        </w:rPr>
      </w:pPr>
    </w:p>
    <w:p>
      <w:pPr>
        <w:pStyle w:val="5"/>
        <w:overflowPunct w:val="0"/>
        <w:topLinePunct/>
        <w:autoSpaceDE w:val="0"/>
        <w:rPr>
          <w:rFonts w:hint="eastAsia" w:ascii="仿宋" w:hAnsi="仿宋" w:eastAsia="仿宋"/>
          <w:color w:val="000000"/>
          <w:szCs w:val="24"/>
        </w:rPr>
      </w:pPr>
      <w:r>
        <w:rPr>
          <w:rFonts w:hint="eastAsia" w:ascii="仿宋_GB2312" w:hAnsi="仿宋_GB2312" w:eastAsia="仿宋_GB2312" w:cs="仿宋_GB2312"/>
          <w:bCs/>
          <w:sz w:val="28"/>
          <w:szCs w:val="28"/>
          <w:lang w:val="zh-CN"/>
        </w:rPr>
        <w:t>杭州市西湖区人民法院</w:t>
      </w:r>
      <w:r>
        <w:rPr>
          <w:rFonts w:hint="eastAsia" w:ascii="仿宋" w:hAnsi="仿宋" w:eastAsia="仿宋"/>
          <w:color w:val="000000"/>
          <w:szCs w:val="24"/>
        </w:rPr>
        <w:t>：</w:t>
      </w:r>
    </w:p>
    <w:p>
      <w:pPr>
        <w:tabs>
          <w:tab w:val="left" w:pos="8100"/>
        </w:tabs>
        <w:spacing w:line="560" w:lineRule="exact"/>
        <w:ind w:firstLine="560" w:firstLineChars="200"/>
        <w:rPr>
          <w:rFonts w:hint="eastAsia" w:ascii="仿宋_GB2312" w:hAnsi="仿宋_GB2312" w:eastAsia="仿宋_GB2312" w:cs="仿宋_GB2312"/>
          <w:bCs/>
          <w:color w:val="000000"/>
          <w:spacing w:val="0"/>
          <w:sz w:val="28"/>
        </w:rPr>
      </w:pPr>
      <w:r>
        <w:rPr>
          <w:rFonts w:hint="eastAsia" w:ascii="仿宋_GB2312" w:hAnsi="仿宋_GB2312" w:eastAsia="仿宋_GB2312" w:cs="仿宋_GB2312"/>
          <w:bCs/>
          <w:color w:val="000000"/>
          <w:spacing w:val="0"/>
          <w:sz w:val="28"/>
        </w:rPr>
        <w:t>受贵方委托，</w:t>
      </w:r>
      <w:r>
        <w:rPr>
          <w:rFonts w:hint="eastAsia" w:ascii="仿宋_GB2312" w:hAnsi="仿宋_GB2312" w:eastAsia="仿宋_GB2312" w:cs="仿宋_GB2312"/>
          <w:color w:val="000000"/>
          <w:spacing w:val="0"/>
          <w:sz w:val="28"/>
        </w:rPr>
        <w:t>本公司秉着独立、客观、公正、合法的原则，对</w:t>
      </w:r>
      <w:r>
        <w:rPr>
          <w:rFonts w:hint="eastAsia" w:ascii="仿宋_GB2312" w:hAnsi="仿宋_GB2312" w:eastAsia="仿宋_GB2312" w:cs="仿宋_GB2312"/>
          <w:bCs/>
          <w:color w:val="000000"/>
          <w:spacing w:val="0"/>
          <w:sz w:val="28"/>
        </w:rPr>
        <w:t>贵院所委托的</w:t>
      </w:r>
      <w:r>
        <w:rPr>
          <w:rFonts w:hint="eastAsia" w:ascii="仿宋_GB2312" w:hAnsi="仿宋_GB2312" w:eastAsia="仿宋_GB2312" w:cs="仿宋_GB2312"/>
          <w:color w:val="000000"/>
          <w:spacing w:val="0"/>
          <w:sz w:val="28"/>
          <w:szCs w:val="28"/>
        </w:rPr>
        <w:t>坐落于</w:t>
      </w:r>
      <w:r>
        <w:rPr>
          <w:rFonts w:hint="eastAsia" w:ascii="仿宋_GB2312" w:hAnsi="仿宋_GB2312" w:eastAsia="仿宋_GB2312" w:cs="仿宋_GB2312"/>
          <w:b/>
          <w:bCs/>
          <w:sz w:val="28"/>
          <w:szCs w:val="28"/>
          <w:lang w:eastAsia="zh-CN"/>
        </w:rPr>
        <w:t>杭州市下城区水印康庭公寓6幢1单元1102室住宅房地产</w:t>
      </w:r>
      <w:r>
        <w:rPr>
          <w:rFonts w:hint="eastAsia" w:ascii="仿宋_GB2312" w:hAnsi="仿宋_GB2312" w:eastAsia="仿宋_GB2312" w:cs="仿宋_GB2312"/>
          <w:bCs/>
          <w:color w:val="000000"/>
          <w:spacing w:val="0"/>
          <w:sz w:val="28"/>
        </w:rPr>
        <w:t>进行了价值评估。</w:t>
      </w:r>
      <w:r>
        <w:rPr>
          <w:rFonts w:hint="eastAsia" w:ascii="仿宋_GB2312" w:hAnsi="仿宋_GB2312" w:eastAsia="仿宋_GB2312" w:cs="仿宋_GB2312"/>
          <w:sz w:val="28"/>
          <w:szCs w:val="28"/>
        </w:rPr>
        <w:t>估价对象所有权人为</w:t>
      </w:r>
      <w:r>
        <w:rPr>
          <w:rFonts w:hint="eastAsia" w:ascii="仿宋_GB2312" w:hAnsi="仿宋_GB2312" w:eastAsia="仿宋_GB2312" w:cs="仿宋_GB2312"/>
          <w:sz w:val="28"/>
          <w:szCs w:val="28"/>
          <w:lang w:eastAsia="zh-CN"/>
        </w:rPr>
        <w:t>黄永华、章利华</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spacing w:val="0"/>
          <w:sz w:val="28"/>
          <w:szCs w:val="22"/>
          <w:lang w:val="en-US" w:eastAsia="zh-CN"/>
        </w:rPr>
        <w:t>不动产</w:t>
      </w:r>
      <w:r>
        <w:rPr>
          <w:rFonts w:hint="eastAsia" w:ascii="仿宋_GB2312" w:hAnsi="仿宋_GB2312" w:eastAsia="仿宋_GB2312" w:cs="仿宋_GB2312"/>
          <w:bCs/>
          <w:color w:val="000000"/>
          <w:spacing w:val="0"/>
          <w:sz w:val="28"/>
          <w:szCs w:val="22"/>
        </w:rPr>
        <w:t>权证为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bCs/>
          <w:sz w:val="28"/>
          <w:szCs w:val="28"/>
          <w:lang w:eastAsia="zh-CN"/>
        </w:rPr>
        <w:t>杭房权证下移字第09734729号，杭房权证下移字第09734730号</w:t>
      </w:r>
      <w:r>
        <w:rPr>
          <w:rFonts w:hint="eastAsia" w:ascii="仿宋_GB2312" w:hAnsi="仿宋_GB2312" w:eastAsia="仿宋_GB2312" w:cs="仿宋_GB2312"/>
          <w:sz w:val="28"/>
          <w:szCs w:val="28"/>
        </w:rPr>
        <w:t>，房屋建筑面积</w:t>
      </w:r>
      <w:r>
        <w:rPr>
          <w:rFonts w:hint="eastAsia" w:ascii="仿宋_GB2312" w:hAnsi="仿宋_GB2312" w:eastAsia="仿宋_GB2312" w:cs="仿宋_GB2312"/>
          <w:sz w:val="28"/>
          <w:szCs w:val="28"/>
          <w:lang w:val="en-US" w:eastAsia="zh-CN"/>
        </w:rPr>
        <w:t>为122.49平方米；</w:t>
      </w:r>
      <w:r>
        <w:rPr>
          <w:rFonts w:hint="eastAsia" w:ascii="仿宋_GB2312" w:hAnsi="仿宋_GB2312" w:eastAsia="仿宋_GB2312" w:cs="仿宋_GB2312"/>
          <w:sz w:val="28"/>
          <w:szCs w:val="28"/>
        </w:rPr>
        <w:t>价值时点为</w:t>
      </w:r>
      <w:r>
        <w:rPr>
          <w:rFonts w:hint="eastAsia" w:ascii="仿宋_GB2312" w:hAnsi="仿宋_GB2312" w:eastAsia="仿宋_GB2312" w:cs="仿宋_GB2312"/>
          <w:b/>
          <w:bCs/>
          <w:sz w:val="28"/>
          <w:szCs w:val="28"/>
          <w:lang w:eastAsia="zh-CN"/>
        </w:rPr>
        <w:t>2020年4月18日</w:t>
      </w:r>
      <w:r>
        <w:rPr>
          <w:rFonts w:hint="eastAsia" w:ascii="仿宋_GB2312" w:hAnsi="仿宋_GB2312" w:eastAsia="仿宋_GB2312" w:cs="仿宋_GB2312"/>
          <w:sz w:val="28"/>
          <w:szCs w:val="28"/>
        </w:rPr>
        <w:t>，估价目的是</w:t>
      </w:r>
      <w:r>
        <w:rPr>
          <w:rFonts w:hint="eastAsia" w:ascii="仿宋_GB2312" w:hAnsi="仿宋_GB2312" w:eastAsia="仿宋_GB2312" w:cs="仿宋_GB2312"/>
          <w:b/>
          <w:bCs/>
          <w:sz w:val="28"/>
          <w:szCs w:val="28"/>
        </w:rPr>
        <w:t>为贵院办理案件涉及的估价对象提供价值参考而评估房地产市场价值</w:t>
      </w:r>
      <w:r>
        <w:rPr>
          <w:rFonts w:hint="eastAsia" w:ascii="仿宋_GB2312" w:hAnsi="仿宋_GB2312" w:eastAsia="仿宋_GB2312" w:cs="仿宋_GB2312"/>
          <w:sz w:val="28"/>
          <w:szCs w:val="28"/>
        </w:rPr>
        <w:t>。</w:t>
      </w:r>
    </w:p>
    <w:p>
      <w:pPr>
        <w:tabs>
          <w:tab w:val="left" w:pos="8100"/>
        </w:tabs>
        <w:spacing w:line="560" w:lineRule="exact"/>
        <w:ind w:firstLine="560" w:firstLineChars="200"/>
        <w:rPr>
          <w:rFonts w:hint="eastAsia" w:ascii="仿宋" w:hAnsi="仿宋" w:eastAsia="仿宋" w:cs="仿宋"/>
          <w:color w:val="000000"/>
          <w:sz w:val="28"/>
          <w:szCs w:val="28"/>
          <w:lang w:val="en-US" w:eastAsia="zh-CN"/>
        </w:rPr>
      </w:pPr>
      <w:r>
        <w:rPr>
          <w:rFonts w:hint="eastAsia" w:ascii="仿宋_GB2312" w:hAnsi="仿宋_GB2312" w:eastAsia="仿宋_GB2312" w:cs="仿宋_GB2312"/>
          <w:bCs/>
          <w:color w:val="000000"/>
          <w:spacing w:val="0"/>
          <w:sz w:val="28"/>
        </w:rPr>
        <w:t>本公司估价人员根据估价目的，遵循估价原则，采用科学合理的估价方法，在认真分析现有资料的基础上，选用比较法测算，结合估价经验与对影响房地产价格因素进行分析，评定估算估价对象于价值时点完整权益下公开价值</w:t>
      </w:r>
      <w:r>
        <w:rPr>
          <w:rFonts w:hint="eastAsia" w:ascii="仿宋_GB2312" w:hAnsi="仿宋_GB2312" w:eastAsia="仿宋_GB2312" w:cs="仿宋_GB2312"/>
          <w:bCs/>
          <w:spacing w:val="0"/>
          <w:sz w:val="28"/>
        </w:rPr>
        <w:t>为人民币</w:t>
      </w:r>
      <w:r>
        <w:rPr>
          <w:rFonts w:hint="eastAsia" w:ascii="仿宋_GB2312" w:hAnsi="仿宋_GB2312" w:eastAsia="仿宋_GB2312" w:cs="仿宋_GB2312"/>
          <w:b/>
          <w:bCs/>
          <w:spacing w:val="0"/>
          <w:sz w:val="28"/>
          <w:szCs w:val="22"/>
        </w:rPr>
        <w:fldChar w:fldCharType="begin"/>
      </w:r>
      <w:r>
        <w:rPr>
          <w:rFonts w:hint="eastAsia" w:ascii="仿宋_GB2312" w:hAnsi="仿宋_GB2312" w:eastAsia="仿宋_GB2312" w:cs="仿宋_GB2312"/>
          <w:b/>
          <w:bCs/>
          <w:spacing w:val="0"/>
          <w:sz w:val="28"/>
          <w:szCs w:val="22"/>
        </w:rPr>
        <w:instrText xml:space="preserve"> = 4710000 \* CHINESENUM2 \* MERGEFORMAT </w:instrText>
      </w:r>
      <w:r>
        <w:rPr>
          <w:rFonts w:hint="eastAsia" w:ascii="仿宋_GB2312" w:hAnsi="仿宋_GB2312" w:eastAsia="仿宋_GB2312" w:cs="仿宋_GB2312"/>
          <w:b/>
          <w:bCs/>
          <w:spacing w:val="0"/>
          <w:sz w:val="28"/>
          <w:szCs w:val="22"/>
        </w:rPr>
        <w:fldChar w:fldCharType="separate"/>
      </w:r>
      <w:r>
        <w:rPr>
          <w:rFonts w:hint="eastAsia" w:ascii="仿宋_GB2312" w:hAnsi="仿宋_GB2312" w:eastAsia="仿宋_GB2312" w:cs="仿宋_GB2312"/>
          <w:b/>
          <w:bCs/>
          <w:spacing w:val="0"/>
          <w:sz w:val="28"/>
          <w:szCs w:val="22"/>
        </w:rPr>
        <w:t>肆佰柒拾壹万</w:t>
      </w:r>
      <w:r>
        <w:rPr>
          <w:rFonts w:hint="eastAsia" w:ascii="仿宋_GB2312" w:hAnsi="仿宋_GB2312" w:eastAsia="仿宋_GB2312" w:cs="仿宋_GB2312"/>
          <w:b/>
          <w:bCs/>
          <w:spacing w:val="0"/>
          <w:sz w:val="28"/>
          <w:szCs w:val="22"/>
        </w:rPr>
        <w:fldChar w:fldCharType="end"/>
      </w:r>
      <w:r>
        <w:rPr>
          <w:rFonts w:hint="eastAsia" w:ascii="仿宋_GB2312" w:hAnsi="仿宋_GB2312" w:eastAsia="仿宋_GB2312" w:cs="仿宋_GB2312"/>
          <w:b/>
          <w:bCs/>
          <w:spacing w:val="0"/>
          <w:sz w:val="28"/>
        </w:rPr>
        <w:t>元整</w:t>
      </w:r>
      <w:r>
        <w:rPr>
          <w:rFonts w:hint="eastAsia" w:ascii="仿宋_GB2312" w:hAnsi="仿宋_GB2312" w:eastAsia="仿宋_GB2312" w:cs="仿宋_GB2312"/>
          <w:b/>
          <w:spacing w:val="0"/>
          <w:sz w:val="28"/>
        </w:rPr>
        <w:t>（￥</w:t>
      </w:r>
      <w:r>
        <w:rPr>
          <w:rFonts w:hint="eastAsia" w:ascii="仿宋_GB2312" w:hAnsi="仿宋_GB2312" w:eastAsia="仿宋_GB2312" w:cs="仿宋_GB2312"/>
          <w:b/>
          <w:spacing w:val="0"/>
          <w:sz w:val="28"/>
          <w:lang w:val="en-US" w:eastAsia="zh-CN"/>
        </w:rPr>
        <w:t>4710000</w:t>
      </w:r>
      <w:r>
        <w:rPr>
          <w:rFonts w:hint="eastAsia" w:ascii="仿宋_GB2312" w:hAnsi="仿宋_GB2312" w:eastAsia="仿宋_GB2312" w:cs="仿宋_GB2312"/>
          <w:b/>
          <w:spacing w:val="0"/>
          <w:sz w:val="28"/>
        </w:rPr>
        <w:t>）</w:t>
      </w:r>
      <w:r>
        <w:rPr>
          <w:rFonts w:hint="eastAsia" w:ascii="仿宋_GB2312" w:hAnsi="仿宋_GB2312" w:eastAsia="仿宋_GB2312" w:cs="仿宋_GB2312"/>
          <w:b/>
          <w:spacing w:val="0"/>
          <w:sz w:val="28"/>
          <w:lang w:eastAsia="zh-CN"/>
        </w:rPr>
        <w:t>，</w:t>
      </w:r>
      <w:r>
        <w:rPr>
          <w:rFonts w:hint="eastAsia" w:ascii="仿宋_GB2312" w:hAnsi="仿宋_GB2312" w:eastAsia="仿宋_GB2312" w:cs="仿宋_GB2312"/>
          <w:b/>
          <w:spacing w:val="0"/>
          <w:sz w:val="28"/>
          <w:lang w:val="en-US" w:eastAsia="zh-CN"/>
        </w:rPr>
        <w:t>单价为</w:t>
      </w:r>
      <w:r>
        <w:rPr>
          <w:rFonts w:hint="eastAsia" w:ascii="仿宋_GB2312" w:hAnsi="仿宋_GB2312" w:eastAsia="仿宋_GB2312" w:cs="仿宋_GB2312"/>
          <w:b/>
          <w:bCs/>
          <w:spacing w:val="0"/>
          <w:sz w:val="28"/>
          <w:szCs w:val="22"/>
          <w:lang w:val="en-US" w:eastAsia="zh-CN"/>
        </w:rPr>
        <w:fldChar w:fldCharType="begin"/>
      </w:r>
      <w:r>
        <w:rPr>
          <w:rFonts w:hint="eastAsia" w:ascii="仿宋_GB2312" w:hAnsi="仿宋_GB2312" w:eastAsia="仿宋_GB2312" w:cs="仿宋_GB2312"/>
          <w:b/>
          <w:bCs/>
          <w:spacing w:val="0"/>
          <w:sz w:val="28"/>
          <w:szCs w:val="22"/>
          <w:lang w:val="en-US" w:eastAsia="zh-CN"/>
        </w:rPr>
        <w:instrText xml:space="preserve"> = 38450 \* CHINESENUM2 \* MERGEFORMAT </w:instrText>
      </w:r>
      <w:r>
        <w:rPr>
          <w:rFonts w:hint="eastAsia" w:ascii="仿宋_GB2312" w:hAnsi="仿宋_GB2312" w:eastAsia="仿宋_GB2312" w:cs="仿宋_GB2312"/>
          <w:b/>
          <w:bCs/>
          <w:spacing w:val="0"/>
          <w:sz w:val="28"/>
          <w:szCs w:val="22"/>
          <w:lang w:val="en-US" w:eastAsia="zh-CN"/>
        </w:rPr>
        <w:fldChar w:fldCharType="separate"/>
      </w:r>
      <w:r>
        <w:rPr>
          <w:rFonts w:hint="eastAsia" w:ascii="仿宋_GB2312" w:hAnsi="仿宋_GB2312" w:eastAsia="仿宋_GB2312" w:cs="仿宋_GB2312"/>
          <w:b/>
          <w:bCs/>
          <w:spacing w:val="0"/>
          <w:sz w:val="28"/>
          <w:szCs w:val="22"/>
        </w:rPr>
        <w:t>叁万捌仟肆佰伍拾</w:t>
      </w:r>
      <w:r>
        <w:rPr>
          <w:rFonts w:hint="eastAsia" w:ascii="仿宋_GB2312" w:hAnsi="仿宋_GB2312" w:eastAsia="仿宋_GB2312" w:cs="仿宋_GB2312"/>
          <w:b/>
          <w:bCs/>
          <w:spacing w:val="0"/>
          <w:sz w:val="28"/>
          <w:szCs w:val="22"/>
          <w:lang w:val="en-US" w:eastAsia="zh-CN"/>
        </w:rPr>
        <w:fldChar w:fldCharType="end"/>
      </w:r>
      <w:r>
        <w:rPr>
          <w:rFonts w:hint="eastAsia" w:ascii="仿宋_GB2312" w:hAnsi="仿宋_GB2312" w:eastAsia="仿宋_GB2312" w:cs="仿宋_GB2312"/>
          <w:b/>
          <w:bCs w:val="0"/>
          <w:color w:val="000000"/>
          <w:spacing w:val="0"/>
          <w:sz w:val="28"/>
          <w:szCs w:val="22"/>
          <w:lang w:val="en-US" w:eastAsia="zh-CN"/>
        </w:rPr>
        <w:t>元（</w:t>
      </w:r>
      <w:r>
        <w:rPr>
          <w:rFonts w:hint="eastAsia" w:ascii="仿宋_GB2312" w:hAnsi="仿宋_GB2312" w:eastAsia="仿宋_GB2312" w:cs="仿宋_GB2312"/>
          <w:b/>
          <w:spacing w:val="0"/>
          <w:sz w:val="28"/>
        </w:rPr>
        <w:t>￥</w:t>
      </w:r>
      <w:r>
        <w:rPr>
          <w:rFonts w:hint="eastAsia" w:ascii="仿宋_GB2312" w:hAnsi="仿宋_GB2312" w:eastAsia="仿宋_GB2312" w:cs="仿宋_GB2312"/>
          <w:b/>
          <w:spacing w:val="0"/>
          <w:sz w:val="28"/>
          <w:lang w:val="en-US" w:eastAsia="zh-CN"/>
        </w:rPr>
        <w:t>38450元）。</w:t>
      </w:r>
    </w:p>
    <w:p>
      <w:pPr>
        <w:pStyle w:val="4"/>
        <w:spacing w:line="560" w:lineRule="exact"/>
        <w:ind w:firstLine="560" w:firstLineChars="200"/>
        <w:rPr>
          <w:rFonts w:hint="eastAsia" w:ascii="仿宋_GB2312" w:hAnsi="仿宋_GB2312" w:eastAsia="仿宋_GB2312" w:cs="仿宋_GB2312"/>
          <w:bCs/>
          <w:sz w:val="28"/>
        </w:rPr>
      </w:pPr>
      <w:r>
        <w:rPr>
          <w:rFonts w:hint="eastAsia" w:ascii="仿宋_GB2312" w:hAnsi="仿宋_GB2312" w:eastAsia="仿宋_GB2312" w:cs="仿宋_GB2312"/>
          <w:bCs/>
          <w:sz w:val="28"/>
        </w:rPr>
        <w:t>特别提示：估价报告的全文为不可分割的整体，报告使用者请详细查阅报告的各组成部分，</w:t>
      </w:r>
      <w:r>
        <w:rPr>
          <w:rFonts w:ascii="仿宋_GB2312" w:hAnsi="仿宋_GB2312" w:eastAsia="仿宋_GB2312" w:cs="仿宋_GB2312"/>
          <w:bCs/>
          <w:sz w:val="28"/>
        </w:rPr>
        <w:t>仅有部分内容则不能成为有效的评估报告。</w:t>
      </w:r>
    </w:p>
    <w:p>
      <w:pPr>
        <w:pStyle w:val="4"/>
        <w:spacing w:before="120" w:after="120" w:line="520" w:lineRule="exact"/>
        <w:jc w:val="right"/>
        <w:rPr>
          <w:rFonts w:hint="eastAsia" w:ascii="仿宋_GB2312" w:hAnsi="仿宋_GB2312" w:eastAsia="仿宋_GB2312" w:cs="仿宋_GB2312"/>
          <w:bCs/>
          <w:sz w:val="28"/>
        </w:rPr>
      </w:pPr>
    </w:p>
    <w:p>
      <w:pPr>
        <w:pStyle w:val="4"/>
        <w:spacing w:before="120" w:after="120" w:line="520" w:lineRule="exact"/>
        <w:jc w:val="right"/>
        <w:rPr>
          <w:rFonts w:hint="eastAsia" w:ascii="仿宋_GB2312" w:hAnsi="仿宋_GB2312" w:eastAsia="仿宋_GB2312" w:cs="仿宋_GB2312"/>
          <w:bCs/>
          <w:sz w:val="28"/>
        </w:rPr>
      </w:pPr>
    </w:p>
    <w:p>
      <w:pPr>
        <w:pStyle w:val="4"/>
        <w:spacing w:before="120" w:after="120" w:line="520" w:lineRule="exact"/>
        <w:jc w:val="right"/>
        <w:rPr>
          <w:rFonts w:hint="eastAsia" w:ascii="仿宋_GB2312" w:hAnsi="仿宋_GB2312" w:eastAsia="仿宋_GB2312" w:cs="仿宋_GB2312"/>
          <w:bCs/>
          <w:sz w:val="28"/>
        </w:rPr>
      </w:pPr>
    </w:p>
    <w:p>
      <w:pPr>
        <w:pStyle w:val="4"/>
        <w:spacing w:before="120" w:after="120" w:line="520" w:lineRule="exact"/>
        <w:jc w:val="right"/>
        <w:rPr>
          <w:rFonts w:hint="eastAsia" w:ascii="仿宋_GB2312" w:hAnsi="仿宋_GB2312" w:eastAsia="仿宋_GB2312" w:cs="仿宋_GB2312"/>
          <w:bCs/>
          <w:sz w:val="28"/>
        </w:rPr>
      </w:pPr>
      <w:r>
        <w:rPr>
          <w:rFonts w:hint="eastAsia" w:ascii="仿宋_GB2312" w:hAnsi="仿宋_GB2312" w:eastAsia="仿宋_GB2312" w:cs="仿宋_GB2312"/>
          <w:bCs/>
          <w:sz w:val="28"/>
        </w:rPr>
        <w:t>江苏天元房地产土地与资产评估造价有限公司杭州分公司</w:t>
      </w:r>
    </w:p>
    <w:p>
      <w:pPr>
        <w:overflowPunct w:val="0"/>
        <w:topLinePunct/>
        <w:autoSpaceDE w:val="0"/>
        <w:jc w:val="center"/>
        <w:rPr>
          <w:rFonts w:hint="eastAsia" w:ascii="仿宋" w:hAnsi="仿宋" w:eastAsia="仿宋_GB2312"/>
          <w:b/>
          <w:color w:val="000000"/>
          <w:spacing w:val="0"/>
          <w:sz w:val="44"/>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2020年4月25日</w:t>
      </w:r>
    </w:p>
    <w:p>
      <w:pPr>
        <w:pStyle w:val="2"/>
        <w:spacing w:line="560" w:lineRule="exact"/>
        <w:rPr>
          <w:rFonts w:hint="eastAsia" w:ascii="仿宋" w:hAnsi="仿宋" w:eastAsia="仿宋"/>
          <w:b/>
          <w:color w:val="000000"/>
          <w:spacing w:val="0"/>
          <w:sz w:val="44"/>
          <w:szCs w:val="44"/>
        </w:rPr>
      </w:pPr>
      <w:bookmarkStart w:id="0" w:name="_Toc5097"/>
      <w:r>
        <w:rPr>
          <w:rFonts w:hint="eastAsia" w:ascii="仿宋" w:hAnsi="仿宋" w:eastAsia="仿宋"/>
          <w:b/>
          <w:color w:val="000000"/>
          <w:spacing w:val="0"/>
          <w:sz w:val="44"/>
          <w:szCs w:val="44"/>
        </w:rPr>
        <w:t>估价的假设和限制条件</w:t>
      </w:r>
      <w:bookmarkEnd w:id="0"/>
    </w:p>
    <w:p>
      <w:pPr>
        <w:pStyle w:val="3"/>
        <w:spacing w:before="0" w:after="0" w:line="560" w:lineRule="exact"/>
        <w:ind w:firstLine="636" w:firstLineChars="198"/>
        <w:rPr>
          <w:rFonts w:hint="eastAsia" w:ascii="仿宋" w:hAnsi="仿宋" w:eastAsia="仿宋"/>
          <w:color w:val="000000"/>
          <w:spacing w:val="0"/>
        </w:rPr>
      </w:pPr>
      <w:bookmarkStart w:id="1" w:name="_Toc18293"/>
      <w:r>
        <w:rPr>
          <w:rFonts w:hint="eastAsia" w:ascii="仿宋" w:hAnsi="仿宋" w:eastAsia="仿宋"/>
          <w:color w:val="000000"/>
          <w:spacing w:val="0"/>
        </w:rPr>
        <w:t>一、本次估价的假设条件</w:t>
      </w:r>
      <w:bookmarkEnd w:id="1"/>
    </w:p>
    <w:p>
      <w:pPr>
        <w:spacing w:line="560" w:lineRule="exact"/>
        <w:rPr>
          <w:rFonts w:hint="eastAsia" w:ascii="仿宋" w:hAnsi="仿宋" w:eastAsia="仿宋"/>
          <w:b/>
          <w:color w:val="000000"/>
          <w:sz w:val="28"/>
        </w:rPr>
      </w:pPr>
      <w:r>
        <w:rPr>
          <w:rFonts w:hint="eastAsia" w:ascii="仿宋" w:hAnsi="仿宋" w:eastAsia="仿宋"/>
        </w:rPr>
        <w:t xml:space="preserve">    </w:t>
      </w:r>
      <w:r>
        <w:rPr>
          <w:rFonts w:hint="eastAsia" w:ascii="仿宋" w:hAnsi="仿宋" w:eastAsia="仿宋"/>
          <w:b/>
          <w:color w:val="000000"/>
          <w:sz w:val="28"/>
        </w:rPr>
        <w:t xml:space="preserve"> </w:t>
      </w:r>
      <w:r>
        <w:rPr>
          <w:rFonts w:hint="eastAsia" w:ascii="仿宋" w:hAnsi="仿宋" w:eastAsia="仿宋"/>
          <w:b/>
          <w:spacing w:val="0"/>
          <w:sz w:val="28"/>
        </w:rPr>
        <w:t>(</w:t>
      </w:r>
      <w:r>
        <w:rPr>
          <w:rFonts w:hint="eastAsia" w:ascii="仿宋" w:hAnsi="仿宋" w:eastAsia="仿宋"/>
          <w:b/>
          <w:color w:val="000000"/>
          <w:sz w:val="28"/>
        </w:rPr>
        <w:t>一</w:t>
      </w:r>
      <w:r>
        <w:rPr>
          <w:rFonts w:hint="eastAsia" w:ascii="仿宋" w:hAnsi="仿宋" w:eastAsia="仿宋"/>
          <w:b/>
          <w:spacing w:val="0"/>
          <w:sz w:val="28"/>
        </w:rPr>
        <w:t>)</w:t>
      </w:r>
      <w:r>
        <w:rPr>
          <w:rFonts w:hint="eastAsia" w:ascii="仿宋" w:hAnsi="仿宋" w:eastAsia="仿宋"/>
          <w:b/>
          <w:color w:val="000000"/>
          <w:sz w:val="28"/>
        </w:rPr>
        <w:t>一般假设</w:t>
      </w:r>
    </w:p>
    <w:p>
      <w:pPr>
        <w:spacing w:line="560" w:lineRule="exact"/>
        <w:ind w:firstLine="700" w:firstLineChars="250"/>
        <w:rPr>
          <w:rFonts w:hint="eastAsia" w:ascii="仿宋" w:hAnsi="仿宋" w:eastAsia="仿宋"/>
          <w:b/>
          <w:color w:val="000000"/>
          <w:sz w:val="28"/>
        </w:rPr>
      </w:pPr>
      <w:r>
        <w:rPr>
          <w:rFonts w:hint="eastAsia" w:ascii="仿宋" w:hAnsi="仿宋" w:eastAsia="仿宋"/>
          <w:color w:val="000000"/>
          <w:sz w:val="28"/>
        </w:rPr>
        <w:t>1.本次</w:t>
      </w:r>
      <w:r>
        <w:rPr>
          <w:rFonts w:ascii="仿宋" w:hAnsi="仿宋" w:eastAsia="仿宋"/>
          <w:color w:val="000000"/>
          <w:sz w:val="28"/>
        </w:rPr>
        <w:t>估价</w:t>
      </w:r>
      <w:r>
        <w:rPr>
          <w:rFonts w:hint="eastAsia" w:ascii="仿宋" w:hAnsi="仿宋" w:eastAsia="仿宋"/>
          <w:color w:val="000000"/>
          <w:sz w:val="28"/>
        </w:rPr>
        <w:t>对象的权属、面积、用途等资料为估价人员从</w:t>
      </w:r>
      <w:r>
        <w:rPr>
          <w:rFonts w:hint="eastAsia" w:ascii="仿宋" w:hAnsi="仿宋" w:eastAsia="仿宋"/>
          <w:color w:val="000000"/>
          <w:sz w:val="28"/>
          <w:lang w:eastAsia="zh-CN"/>
        </w:rPr>
        <w:t>杭州市规划和自然资源局查询获取的《杭州市不动产登记信息查询记录》、《房地产平面图》等</w:t>
      </w:r>
      <w:r>
        <w:rPr>
          <w:rFonts w:hint="eastAsia" w:ascii="仿宋" w:hAnsi="仿宋" w:eastAsia="仿宋"/>
          <w:color w:val="000000"/>
          <w:sz w:val="28"/>
        </w:rPr>
        <w:t>复印件，在无理由怀疑其合法性、真实性、准确性和完整性的情况下，假定该资料合法、真实、准确、完整，估价对象合法、持续使用。</w:t>
      </w:r>
    </w:p>
    <w:p>
      <w:pPr>
        <w:spacing w:line="560" w:lineRule="exact"/>
        <w:ind w:firstLine="700" w:firstLineChars="250"/>
        <w:rPr>
          <w:rFonts w:hint="eastAsia" w:ascii="仿宋" w:hAnsi="仿宋" w:eastAsia="仿宋"/>
          <w:color w:val="000000"/>
          <w:sz w:val="28"/>
        </w:rPr>
      </w:pPr>
      <w:r>
        <w:rPr>
          <w:rFonts w:hint="eastAsia" w:ascii="仿宋" w:hAnsi="仿宋" w:eastAsia="仿宋"/>
          <w:color w:val="000000"/>
          <w:sz w:val="28"/>
        </w:rPr>
        <w:t>2.我们对估价对象安全、环境污染等影响估价对象价值或价格的重大因素给予了关注，在无理由怀疑估价对象存在安全隐患且无相应的专业机构进行鉴定、检测的情况下，假定估价对象是安全的。</w:t>
      </w:r>
    </w:p>
    <w:p>
      <w:pPr>
        <w:spacing w:line="560" w:lineRule="exact"/>
        <w:ind w:firstLine="700" w:firstLineChars="250"/>
        <w:rPr>
          <w:rFonts w:hint="eastAsia" w:ascii="仿宋" w:hAnsi="仿宋" w:eastAsia="仿宋"/>
          <w:color w:val="000000"/>
          <w:sz w:val="28"/>
        </w:rPr>
      </w:pPr>
      <w:r>
        <w:rPr>
          <w:rFonts w:hint="eastAsia" w:ascii="仿宋" w:hAnsi="仿宋" w:eastAsia="仿宋"/>
          <w:color w:val="000000"/>
          <w:sz w:val="28"/>
        </w:rPr>
        <w:t>3.估价对象在价值时点的房地产市场为公开、平等、自愿的交易市场。</w:t>
      </w:r>
    </w:p>
    <w:p>
      <w:pPr>
        <w:spacing w:line="560" w:lineRule="exact"/>
        <w:ind w:firstLine="700" w:firstLineChars="250"/>
        <w:rPr>
          <w:rFonts w:hint="eastAsia" w:ascii="仿宋" w:hAnsi="仿宋" w:eastAsia="仿宋"/>
          <w:color w:val="000000"/>
          <w:sz w:val="28"/>
        </w:rPr>
      </w:pPr>
      <w:r>
        <w:rPr>
          <w:rFonts w:hint="eastAsia" w:ascii="仿宋" w:hAnsi="仿宋" w:eastAsia="仿宋"/>
          <w:color w:val="000000"/>
          <w:sz w:val="28"/>
        </w:rPr>
        <w:t>4.</w:t>
      </w:r>
      <w:r>
        <w:rPr>
          <w:rFonts w:ascii="仿宋" w:hAnsi="仿宋" w:eastAsia="仿宋"/>
          <w:color w:val="000000"/>
          <w:sz w:val="28"/>
        </w:rPr>
        <w:t>本次估价</w:t>
      </w:r>
      <w:r>
        <w:rPr>
          <w:rFonts w:hint="eastAsia" w:ascii="仿宋" w:hAnsi="仿宋" w:eastAsia="仿宋"/>
          <w:color w:val="000000"/>
          <w:sz w:val="28"/>
        </w:rPr>
        <w:t>假设目前及未来的社会政治经济环境和房地产市场是正常稳定前提下进行估价，即估价中所涉及的房地产之价格、成本、税额等都是根据当前市场状况确定的，均不考虑未来的变动。</w:t>
      </w:r>
    </w:p>
    <w:p>
      <w:pPr>
        <w:spacing w:line="560" w:lineRule="exact"/>
        <w:ind w:firstLine="551" w:firstLineChars="196"/>
        <w:rPr>
          <w:rFonts w:hint="eastAsia" w:ascii="仿宋" w:hAnsi="仿宋" w:eastAsia="仿宋"/>
          <w:b/>
          <w:spacing w:val="0"/>
          <w:sz w:val="28"/>
        </w:rPr>
      </w:pPr>
      <w:r>
        <w:rPr>
          <w:rFonts w:hint="eastAsia" w:ascii="仿宋" w:hAnsi="仿宋" w:eastAsia="仿宋"/>
          <w:b/>
          <w:spacing w:val="0"/>
          <w:sz w:val="28"/>
        </w:rPr>
        <w:t>(二) 未定事项假设：</w:t>
      </w:r>
      <w:r>
        <w:rPr>
          <w:rFonts w:hint="eastAsia" w:ascii="仿宋" w:hAnsi="仿宋" w:eastAsia="仿宋"/>
          <w:bCs/>
          <w:spacing w:val="0"/>
          <w:sz w:val="28"/>
        </w:rPr>
        <w:t>无。</w:t>
      </w:r>
    </w:p>
    <w:p>
      <w:pPr>
        <w:spacing w:line="560" w:lineRule="exact"/>
        <w:ind w:firstLine="551" w:firstLineChars="196"/>
        <w:rPr>
          <w:rFonts w:hint="eastAsia" w:ascii="仿宋" w:hAnsi="仿宋" w:eastAsia="仿宋"/>
          <w:b/>
          <w:spacing w:val="0"/>
          <w:sz w:val="28"/>
        </w:rPr>
      </w:pPr>
      <w:r>
        <w:rPr>
          <w:rFonts w:hint="eastAsia" w:ascii="仿宋" w:hAnsi="仿宋" w:eastAsia="仿宋"/>
          <w:b/>
          <w:spacing w:val="0"/>
          <w:sz w:val="28"/>
        </w:rPr>
        <w:t>(三) 背离事实假设：</w:t>
      </w:r>
      <w:r>
        <w:rPr>
          <w:rFonts w:hint="eastAsia" w:ascii="仿宋" w:hAnsi="仿宋" w:eastAsia="仿宋"/>
          <w:color w:val="000000"/>
          <w:sz w:val="28"/>
        </w:rPr>
        <w:t>根据估价人员从</w:t>
      </w:r>
      <w:r>
        <w:rPr>
          <w:rFonts w:hint="eastAsia" w:ascii="仿宋" w:hAnsi="仿宋" w:eastAsia="仿宋"/>
          <w:color w:val="000000"/>
          <w:sz w:val="28"/>
          <w:lang w:eastAsia="zh-CN"/>
        </w:rPr>
        <w:t>杭州市规划和自然资源局查询得到的《杭州市不动产登记信息查询记录》</w:t>
      </w:r>
      <w:r>
        <w:rPr>
          <w:rFonts w:hint="eastAsia" w:ascii="仿宋" w:hAnsi="仿宋" w:eastAsia="仿宋"/>
          <w:color w:val="000000"/>
          <w:sz w:val="28"/>
        </w:rPr>
        <w:t>，至价值时点，估价对象已设定抵押，但本估价报告是为办理案件涉及的估价对象提供价值参考而评估房地产市场价值。故本次估价不考虑估价对象存在的抵押等他项权利限制对估价结论的影响。</w:t>
      </w:r>
    </w:p>
    <w:p>
      <w:pPr>
        <w:spacing w:line="560" w:lineRule="exact"/>
        <w:ind w:firstLine="413" w:firstLineChars="147"/>
        <w:rPr>
          <w:rFonts w:hint="eastAsia" w:ascii="仿宋" w:hAnsi="仿宋" w:eastAsia="仿宋"/>
          <w:b/>
          <w:spacing w:val="0"/>
          <w:sz w:val="28"/>
        </w:rPr>
      </w:pPr>
      <w:r>
        <w:rPr>
          <w:rFonts w:hint="eastAsia" w:ascii="仿宋" w:hAnsi="仿宋" w:eastAsia="仿宋"/>
          <w:b/>
          <w:spacing w:val="0"/>
          <w:sz w:val="28"/>
        </w:rPr>
        <w:t>（四）不相一致假设：</w:t>
      </w:r>
      <w:r>
        <w:rPr>
          <w:rFonts w:hint="eastAsia" w:ascii="仿宋" w:hAnsi="仿宋" w:eastAsia="仿宋"/>
          <w:color w:val="000000"/>
          <w:sz w:val="28"/>
        </w:rPr>
        <w:t>无。</w:t>
      </w:r>
    </w:p>
    <w:p>
      <w:pPr>
        <w:spacing w:line="560" w:lineRule="exact"/>
        <w:ind w:firstLine="413" w:firstLineChars="147"/>
        <w:rPr>
          <w:rFonts w:hint="eastAsia" w:ascii="仿宋" w:hAnsi="仿宋" w:eastAsia="仿宋"/>
          <w:b/>
          <w:spacing w:val="0"/>
          <w:sz w:val="28"/>
        </w:rPr>
      </w:pPr>
      <w:r>
        <w:rPr>
          <w:rFonts w:hint="eastAsia" w:ascii="仿宋" w:hAnsi="仿宋" w:eastAsia="仿宋"/>
          <w:b/>
          <w:spacing w:val="0"/>
          <w:sz w:val="28"/>
        </w:rPr>
        <w:t>（五）依据不足假设：</w:t>
      </w:r>
      <w:r>
        <w:rPr>
          <w:rFonts w:hint="eastAsia" w:ascii="仿宋" w:hAnsi="仿宋" w:eastAsia="仿宋"/>
          <w:color w:val="000000"/>
          <w:sz w:val="28"/>
        </w:rPr>
        <w:t>无。</w:t>
      </w:r>
    </w:p>
    <w:p>
      <w:pPr>
        <w:pStyle w:val="3"/>
        <w:spacing w:before="0" w:after="0" w:line="560" w:lineRule="exact"/>
        <w:ind w:firstLine="636" w:firstLineChars="198"/>
        <w:rPr>
          <w:rFonts w:hint="eastAsia" w:ascii="仿宋" w:hAnsi="仿宋" w:eastAsia="仿宋"/>
          <w:color w:val="000000"/>
          <w:spacing w:val="0"/>
        </w:rPr>
      </w:pPr>
      <w:bookmarkStart w:id="2" w:name="_Toc31097"/>
      <w:r>
        <w:rPr>
          <w:rFonts w:hint="eastAsia" w:ascii="仿宋" w:hAnsi="仿宋" w:eastAsia="仿宋"/>
          <w:color w:val="000000"/>
          <w:spacing w:val="0"/>
        </w:rPr>
        <w:t>二、估价限制条件</w:t>
      </w:r>
      <w:bookmarkEnd w:id="2"/>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rPr>
      </w:pPr>
      <w:r>
        <w:rPr>
          <w:rFonts w:hint="eastAsia" w:ascii="仿宋" w:hAnsi="仿宋" w:eastAsia="仿宋"/>
          <w:color w:val="000000"/>
          <w:sz w:val="28"/>
        </w:rPr>
        <w:t>1.本报告结论仅为估价委托人在估价目的下使用。</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rPr>
      </w:pPr>
      <w:r>
        <w:rPr>
          <w:rFonts w:hint="eastAsia" w:ascii="仿宋" w:hAnsi="仿宋" w:eastAsia="仿宋"/>
          <w:color w:val="000000"/>
          <w:sz w:val="28"/>
        </w:rPr>
        <w:t>2.本报告是对估价对象于价值时点的现状进行评估。</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rPr>
      </w:pPr>
      <w:r>
        <w:rPr>
          <w:rFonts w:hint="eastAsia" w:ascii="仿宋" w:hAnsi="仿宋" w:eastAsia="仿宋"/>
          <w:color w:val="000000"/>
          <w:sz w:val="28"/>
        </w:rPr>
        <w:t>3.本报告中评估单价保留至</w:t>
      </w:r>
      <w:r>
        <w:rPr>
          <w:rFonts w:hint="eastAsia" w:ascii="仿宋" w:hAnsi="仿宋" w:eastAsia="仿宋"/>
          <w:color w:val="000000"/>
          <w:sz w:val="28"/>
          <w:lang w:val="en-US" w:eastAsia="zh-CN"/>
        </w:rPr>
        <w:t>个</w:t>
      </w:r>
      <w:r>
        <w:rPr>
          <w:rFonts w:hint="eastAsia" w:ascii="仿宋" w:hAnsi="仿宋" w:eastAsia="仿宋"/>
          <w:color w:val="000000"/>
          <w:sz w:val="28"/>
        </w:rPr>
        <w:t>位、总价值保留至</w:t>
      </w:r>
      <w:r>
        <w:rPr>
          <w:rFonts w:hint="eastAsia" w:ascii="仿宋" w:hAnsi="仿宋" w:eastAsia="仿宋"/>
          <w:color w:val="000000"/>
          <w:sz w:val="28"/>
          <w:lang w:val="en-US" w:eastAsia="zh-CN"/>
        </w:rPr>
        <w:t>万</w:t>
      </w:r>
      <w:r>
        <w:rPr>
          <w:rFonts w:hint="eastAsia" w:ascii="仿宋" w:hAnsi="仿宋" w:eastAsia="仿宋"/>
          <w:color w:val="000000"/>
          <w:sz w:val="28"/>
        </w:rPr>
        <w:t>位。</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rPr>
      </w:pPr>
      <w:r>
        <w:rPr>
          <w:rFonts w:hint="eastAsia" w:ascii="仿宋" w:hAnsi="仿宋" w:eastAsia="仿宋"/>
          <w:color w:val="000000"/>
          <w:sz w:val="28"/>
        </w:rPr>
        <w:t>4.价值时点后，估价报告有效期内估价对象的质量及价格标准发生变化，并对估价对象价值产生明显影响时，不能直接使用本估价结论。</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rPr>
      </w:pPr>
      <w:r>
        <w:rPr>
          <w:rFonts w:hint="eastAsia" w:ascii="仿宋" w:hAnsi="仿宋" w:eastAsia="仿宋"/>
          <w:color w:val="000000"/>
          <w:sz w:val="28"/>
        </w:rPr>
        <w:t>5.本估价报告的有效期限为</w:t>
      </w:r>
      <w:r>
        <w:rPr>
          <w:rFonts w:hint="eastAsia" w:ascii="仿宋" w:hAnsi="仿宋" w:eastAsia="仿宋"/>
          <w:color w:val="000000"/>
          <w:sz w:val="28"/>
        </w:rPr>
        <w:fldChar w:fldCharType="begin"/>
      </w:r>
      <w:r>
        <w:rPr>
          <w:rFonts w:hint="eastAsia" w:ascii="仿宋" w:hAnsi="仿宋" w:eastAsia="仿宋"/>
          <w:color w:val="000000"/>
          <w:sz w:val="28"/>
        </w:rPr>
        <w:instrText xml:space="preserve"> = 1 \* CHINESENUM2 </w:instrText>
      </w:r>
      <w:r>
        <w:rPr>
          <w:rFonts w:hint="eastAsia" w:ascii="仿宋" w:hAnsi="仿宋" w:eastAsia="仿宋"/>
          <w:color w:val="000000"/>
          <w:sz w:val="28"/>
        </w:rPr>
        <w:fldChar w:fldCharType="separate"/>
      </w:r>
      <w:r>
        <w:rPr>
          <w:rFonts w:hint="eastAsia" w:ascii="仿宋" w:hAnsi="仿宋" w:eastAsia="仿宋"/>
          <w:color w:val="000000"/>
          <w:sz w:val="28"/>
        </w:rPr>
        <w:t>壹</w:t>
      </w:r>
      <w:r>
        <w:rPr>
          <w:rFonts w:hint="eastAsia" w:ascii="仿宋" w:hAnsi="仿宋" w:eastAsia="仿宋"/>
          <w:color w:val="000000"/>
          <w:sz w:val="28"/>
        </w:rPr>
        <w:fldChar w:fldCharType="end"/>
      </w:r>
      <w:r>
        <w:rPr>
          <w:rFonts w:hint="eastAsia" w:ascii="仿宋" w:hAnsi="仿宋" w:eastAsia="仿宋"/>
          <w:color w:val="000000"/>
          <w:sz w:val="28"/>
        </w:rPr>
        <w:t>年。如超过有效期或报告有效期之内估价对象或国家经济形势、城市规划、房地产税费政策等发生较大变动，对估价结果产生明显影响时，估价委托人应及时聘请房地产评估机构对估价结果作相应调整或重新估价。</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rPr>
      </w:pPr>
      <w:r>
        <w:rPr>
          <w:rFonts w:hint="eastAsia" w:ascii="仿宋" w:hAnsi="仿宋" w:eastAsia="仿宋"/>
          <w:color w:val="000000"/>
          <w:sz w:val="28"/>
        </w:rPr>
        <w:t>6．估价结果未考虑国家宏观经济政策等房地产价格影响因素发生重大变化以及遇有自然力和其他不可抗力对估价结论的影响。</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rPr>
      </w:pPr>
      <w:r>
        <w:rPr>
          <w:rFonts w:hint="eastAsia" w:ascii="仿宋" w:hAnsi="仿宋" w:eastAsia="仿宋"/>
          <w:color w:val="000000"/>
          <w:sz w:val="28"/>
        </w:rPr>
        <w:t>7．报告涉及的估价对象范围系由估价委托人会同当事人以及相关人共同确认，所提供的估价结果是处于价值时点的估价对象在公开市场假设条件下最可能成交的客观、合理价格，仅供为贵院办理案件而涉及估价对象提供价值参考。</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rPr>
      </w:pPr>
      <w:r>
        <w:rPr>
          <w:rFonts w:hint="eastAsia" w:ascii="仿宋" w:hAnsi="仿宋" w:eastAsia="仿宋"/>
          <w:color w:val="000000"/>
          <w:sz w:val="28"/>
        </w:rPr>
        <w:t>8．估价对象状况和房地产市场状况因时间变化对房地产价值可能产生影响，估价委托人和报告使用者须密切注意估价对象自身状况变化和所在房地产市场变化情况。</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rPr>
      </w:pPr>
      <w:r>
        <w:rPr>
          <w:rFonts w:hint="eastAsia" w:ascii="仿宋" w:hAnsi="仿宋" w:eastAsia="仿宋"/>
          <w:color w:val="000000"/>
          <w:sz w:val="28"/>
        </w:rPr>
        <w:t>9．评估的价值是估价对象在价值时点的公开市场价值，未考虑他项权利状况对估价对象的影响，估价委托人和报告使用者对于评估价值的使用应合理。</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rPr>
      </w:pPr>
      <w:r>
        <w:rPr>
          <w:rFonts w:hint="eastAsia" w:ascii="仿宋" w:hAnsi="仿宋" w:eastAsia="仿宋"/>
          <w:color w:val="000000"/>
          <w:sz w:val="28"/>
        </w:rPr>
        <w:t>10．</w:t>
      </w:r>
      <w:r>
        <w:rPr>
          <w:rFonts w:hint="eastAsia" w:ascii="仿宋" w:hAnsi="仿宋" w:eastAsia="仿宋"/>
          <w:b/>
          <w:color w:val="000000"/>
          <w:sz w:val="28"/>
        </w:rPr>
        <w:t>重要提示：</w:t>
      </w:r>
      <w:r>
        <w:rPr>
          <w:rFonts w:hint="eastAsia" w:ascii="仿宋" w:hAnsi="仿宋" w:eastAsia="仿宋"/>
          <w:color w:val="000000"/>
          <w:sz w:val="28"/>
          <w:szCs w:val="22"/>
          <w:lang w:val="en-US" w:eastAsia="zh-CN"/>
        </w:rPr>
        <w:t>估价人员从估价对象所在的物业管理公司查询</w:t>
      </w:r>
      <w:r>
        <w:rPr>
          <w:rFonts w:hint="eastAsia" w:ascii="仿宋" w:hAnsi="仿宋" w:eastAsia="仿宋" w:cs="仿宋"/>
          <w:b w:val="0"/>
          <w:bCs/>
          <w:color w:val="auto"/>
          <w:sz w:val="28"/>
          <w:lang w:eastAsia="zh-CN"/>
        </w:rPr>
        <w:t>知悉</w:t>
      </w:r>
      <w:r>
        <w:rPr>
          <w:rFonts w:hint="eastAsia" w:ascii="仿宋" w:hAnsi="仿宋" w:eastAsia="仿宋"/>
          <w:color w:val="000000"/>
          <w:sz w:val="28"/>
          <w:szCs w:val="22"/>
          <w:lang w:val="en-US" w:eastAsia="zh-CN"/>
        </w:rPr>
        <w:t>：至价值时点，估价对象物业服务费用已缴纳至2019年12月31日，估价对象的物业费用的缴纳标准为2.1元每平方米每月；水费已缴纳至2020年3月5日；</w:t>
      </w:r>
      <w:r>
        <w:rPr>
          <w:rFonts w:hint="eastAsia" w:ascii="仿宋" w:hAnsi="仿宋" w:eastAsia="仿宋"/>
          <w:color w:val="000000"/>
          <w:sz w:val="28"/>
          <w:szCs w:val="22"/>
        </w:rPr>
        <w:t>估价对象</w:t>
      </w:r>
      <w:r>
        <w:rPr>
          <w:rFonts w:hint="eastAsia" w:ascii="仿宋" w:hAnsi="仿宋" w:eastAsia="仿宋"/>
          <w:color w:val="000000"/>
          <w:sz w:val="28"/>
          <w:szCs w:val="22"/>
          <w:lang w:eastAsia="zh-CN"/>
        </w:rPr>
        <w:t>是否拖欠电、</w:t>
      </w:r>
      <w:r>
        <w:rPr>
          <w:rFonts w:hint="eastAsia" w:ascii="仿宋" w:hAnsi="仿宋" w:eastAsia="仿宋"/>
          <w:color w:val="000000"/>
          <w:sz w:val="28"/>
          <w:szCs w:val="22"/>
          <w:lang w:val="en-US" w:eastAsia="zh-CN"/>
        </w:rPr>
        <w:t>煤</w:t>
      </w:r>
      <w:r>
        <w:rPr>
          <w:rFonts w:hint="eastAsia" w:ascii="仿宋" w:hAnsi="仿宋" w:eastAsia="仿宋"/>
          <w:color w:val="000000"/>
          <w:sz w:val="28"/>
          <w:szCs w:val="22"/>
          <w:lang w:eastAsia="zh-CN"/>
        </w:rPr>
        <w:t>费等</w:t>
      </w:r>
      <w:r>
        <w:rPr>
          <w:rFonts w:hint="eastAsia" w:ascii="仿宋" w:hAnsi="仿宋" w:eastAsia="仿宋"/>
          <w:color w:val="000000"/>
          <w:sz w:val="28"/>
          <w:szCs w:val="22"/>
        </w:rPr>
        <w:t>，提请报告使用方关注及核实。</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rPr>
        <w:t>1</w:t>
      </w:r>
      <w:r>
        <w:rPr>
          <w:rFonts w:hint="eastAsia" w:ascii="仿宋" w:hAnsi="仿宋" w:eastAsia="仿宋"/>
          <w:color w:val="000000"/>
          <w:sz w:val="28"/>
          <w:lang w:val="en-US" w:eastAsia="zh-CN"/>
        </w:rPr>
        <w:t>1</w:t>
      </w:r>
      <w:r>
        <w:rPr>
          <w:rFonts w:hint="eastAsia" w:ascii="仿宋" w:hAnsi="仿宋" w:eastAsia="仿宋"/>
          <w:color w:val="000000"/>
          <w:sz w:val="28"/>
        </w:rPr>
        <w:t>.</w:t>
      </w:r>
      <w:r>
        <w:rPr>
          <w:rFonts w:hint="eastAsia" w:ascii="仿宋" w:hAnsi="仿宋" w:eastAsia="仿宋" w:cs="仿宋"/>
          <w:b/>
          <w:color w:val="000000"/>
          <w:sz w:val="28"/>
        </w:rPr>
        <w:t>重要提示：</w:t>
      </w:r>
      <w:r>
        <w:rPr>
          <w:rFonts w:hint="eastAsia" w:ascii="仿宋" w:hAnsi="仿宋" w:eastAsia="仿宋"/>
          <w:color w:val="000000"/>
          <w:sz w:val="28"/>
          <w:szCs w:val="22"/>
          <w:lang w:val="en-US" w:eastAsia="zh-CN"/>
        </w:rPr>
        <w:t>本评估价格不包含估价对象所有权人交易中应缴纳的各项税费。</w:t>
      </w:r>
    </w:p>
    <w:p>
      <w:pPr>
        <w:tabs>
          <w:tab w:val="left" w:pos="945"/>
          <w:tab w:val="left" w:pos="1350"/>
          <w:tab w:val="left" w:pos="1380"/>
        </w:tabs>
        <w:overflowPunct w:val="0"/>
        <w:topLinePunct/>
        <w:autoSpaceDE w:val="0"/>
        <w:spacing w:line="560" w:lineRule="exact"/>
        <w:ind w:firstLine="562" w:firstLineChars="200"/>
        <w:rPr>
          <w:rFonts w:hint="eastAsia" w:ascii="仿宋" w:hAnsi="仿宋" w:eastAsia="仿宋"/>
          <w:color w:val="000000"/>
          <w:sz w:val="28"/>
          <w:szCs w:val="22"/>
          <w:lang w:val="en-US" w:eastAsia="zh-CN"/>
        </w:rPr>
      </w:pPr>
      <w:r>
        <w:rPr>
          <w:rFonts w:hint="eastAsia" w:ascii="仿宋" w:hAnsi="仿宋" w:eastAsia="仿宋"/>
          <w:b/>
          <w:bCs/>
          <w:color w:val="000000"/>
          <w:sz w:val="28"/>
          <w:szCs w:val="22"/>
          <w:lang w:val="en-US" w:eastAsia="zh-CN"/>
        </w:rPr>
        <w:t>三、根据杭州市西湖区人民法院《补充委托事项函》的要求：</w:t>
      </w:r>
    </w:p>
    <w:p>
      <w:pPr>
        <w:tabs>
          <w:tab w:val="left" w:pos="945"/>
          <w:tab w:val="left" w:pos="1350"/>
          <w:tab w:val="left" w:pos="1380"/>
        </w:tabs>
        <w:overflowPunct w:val="0"/>
        <w:topLinePunct/>
        <w:autoSpaceDE w:val="0"/>
        <w:spacing w:line="560" w:lineRule="exact"/>
        <w:ind w:firstLine="562" w:firstLineChars="200"/>
        <w:rPr>
          <w:rFonts w:hint="eastAsia" w:ascii="仿宋" w:hAnsi="仿宋" w:eastAsia="仿宋"/>
          <w:b/>
          <w:bCs/>
          <w:color w:val="000000"/>
          <w:sz w:val="28"/>
          <w:szCs w:val="22"/>
          <w:lang w:val="en-US" w:eastAsia="zh-CN"/>
        </w:rPr>
      </w:pPr>
      <w:r>
        <w:rPr>
          <w:rFonts w:hint="eastAsia" w:ascii="仿宋" w:hAnsi="仿宋" w:eastAsia="仿宋"/>
          <w:b/>
          <w:bCs/>
          <w:color w:val="000000"/>
          <w:sz w:val="28"/>
          <w:szCs w:val="22"/>
          <w:lang w:val="en-US" w:eastAsia="zh-CN"/>
        </w:rPr>
        <w:t>1、被执行人的历史欠缴税费</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估价人员从杭州市规划和自然资源局查询到《杭州市不动产登记信息查询记录》、《平面图》,估价对象具有完整的产权信息;估价人员从国家税务总局杭州市税务局第二税务分局查询到契税缴纳赁证，估价对象具有完整的契税信息，</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根据上述资料及估价人员对当地税务窗口进行调查后得到的咨询信息，估价对象杭州市下城区水印康庭公寓6幢1单元1102室不存在着历史欠缴税费。</w:t>
      </w:r>
    </w:p>
    <w:p>
      <w:pPr>
        <w:tabs>
          <w:tab w:val="left" w:pos="945"/>
          <w:tab w:val="left" w:pos="1350"/>
          <w:tab w:val="left" w:pos="1380"/>
        </w:tabs>
        <w:overflowPunct w:val="0"/>
        <w:topLinePunct/>
        <w:autoSpaceDE w:val="0"/>
        <w:spacing w:line="560" w:lineRule="exact"/>
        <w:ind w:firstLine="562" w:firstLineChars="200"/>
        <w:rPr>
          <w:rFonts w:hint="eastAsia" w:ascii="仿宋" w:hAnsi="仿宋" w:eastAsia="仿宋"/>
          <w:b/>
          <w:bCs/>
          <w:color w:val="000000"/>
          <w:sz w:val="28"/>
          <w:szCs w:val="22"/>
          <w:lang w:val="en-US" w:eastAsia="zh-CN"/>
        </w:rPr>
      </w:pPr>
      <w:r>
        <w:rPr>
          <w:rFonts w:hint="eastAsia" w:ascii="仿宋" w:hAnsi="仿宋" w:eastAsia="仿宋"/>
          <w:b/>
          <w:bCs/>
          <w:color w:val="000000"/>
          <w:sz w:val="28"/>
          <w:szCs w:val="22"/>
          <w:lang w:val="en-US" w:eastAsia="zh-CN"/>
        </w:rPr>
        <w:t>2、被执行人本次变价应负担的增值税、城市维护建设税、教育费附加、地方教育费附加、土地增值税、印花税、个人所得税等计算方法以及其他实际状况：</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1）税收政策：估价人员从国家税务总局杭州市税务局第二税务分局查询得到以下信息，个人买卖住宅卖方应交税费：</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①增值税、城市维护建设税、教育费附加、地方教育费附加</w:t>
      </w:r>
    </w:p>
    <w:tbl>
      <w:tblPr>
        <w:tblStyle w:val="9"/>
        <w:tblW w:w="7551" w:type="dxa"/>
        <w:jc w:val="center"/>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2"/>
        <w:gridCol w:w="3310"/>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3202" w:type="dxa"/>
            <w:noWrap w:val="0"/>
            <w:vAlign w:val="center"/>
          </w:tcPr>
          <w:p>
            <w:pPr>
              <w:tabs>
                <w:tab w:val="left" w:pos="945"/>
                <w:tab w:val="left" w:pos="1350"/>
                <w:tab w:val="left" w:pos="1380"/>
              </w:tabs>
              <w:overflowPunct w:val="0"/>
              <w:topLinePunct/>
              <w:autoSpaceDE w:val="0"/>
              <w:spacing w:line="560" w:lineRule="exact"/>
              <w:ind w:firstLine="480" w:firstLineChars="200"/>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项目</w:t>
            </w:r>
          </w:p>
        </w:tc>
        <w:tc>
          <w:tcPr>
            <w:tcW w:w="3310" w:type="dxa"/>
            <w:noWrap w:val="0"/>
            <w:vAlign w:val="center"/>
          </w:tcPr>
          <w:p>
            <w:pPr>
              <w:tabs>
                <w:tab w:val="left" w:pos="945"/>
                <w:tab w:val="left" w:pos="1350"/>
                <w:tab w:val="left" w:pos="1380"/>
              </w:tabs>
              <w:overflowPunct w:val="0"/>
              <w:topLinePunct/>
              <w:autoSpaceDE w:val="0"/>
              <w:spacing w:line="560" w:lineRule="exact"/>
              <w:ind w:firstLine="480" w:firstLineChars="200"/>
              <w:jc w:val="lef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特点</w:t>
            </w:r>
          </w:p>
        </w:tc>
        <w:tc>
          <w:tcPr>
            <w:tcW w:w="1039" w:type="dxa"/>
            <w:noWrap w:val="0"/>
            <w:vAlign w:val="center"/>
          </w:tcPr>
          <w:p>
            <w:pPr>
              <w:tabs>
                <w:tab w:val="left" w:pos="945"/>
                <w:tab w:val="left" w:pos="1350"/>
                <w:tab w:val="left" w:pos="1380"/>
              </w:tabs>
              <w:overflowPunct w:val="0"/>
              <w:topLinePunct/>
              <w:autoSpaceDE w:val="0"/>
              <w:spacing w:line="560" w:lineRule="exact"/>
              <w:jc w:val="lef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3202" w:type="dxa"/>
            <w:vMerge w:val="restart"/>
            <w:noWrap w:val="0"/>
            <w:vAlign w:val="center"/>
          </w:tcPr>
          <w:p>
            <w:pPr>
              <w:tabs>
                <w:tab w:val="left" w:pos="945"/>
                <w:tab w:val="left" w:pos="1350"/>
                <w:tab w:val="left" w:pos="1380"/>
              </w:tabs>
              <w:overflowPunct w:val="0"/>
              <w:topLinePunct/>
              <w:autoSpaceDE w:val="0"/>
              <w:spacing w:line="560" w:lineRule="exact"/>
              <w:jc w:val="lef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增值税、城市维护建设税、教育费附加、地方教育费附加</w:t>
            </w:r>
          </w:p>
        </w:tc>
        <w:tc>
          <w:tcPr>
            <w:tcW w:w="3310" w:type="dxa"/>
            <w:noWrap w:val="0"/>
            <w:vAlign w:val="center"/>
          </w:tcPr>
          <w:p>
            <w:pPr>
              <w:tabs>
                <w:tab w:val="left" w:pos="945"/>
                <w:tab w:val="left" w:pos="1350"/>
                <w:tab w:val="left" w:pos="1380"/>
              </w:tabs>
              <w:overflowPunct w:val="0"/>
              <w:topLinePunct/>
              <w:autoSpaceDE w:val="0"/>
              <w:spacing w:line="560" w:lineRule="exact"/>
              <w:jc w:val="lef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销售购房合同未满五年或契税登记未满两年的住宅</w:t>
            </w:r>
          </w:p>
        </w:tc>
        <w:tc>
          <w:tcPr>
            <w:tcW w:w="1039" w:type="dxa"/>
            <w:noWrap w:val="0"/>
            <w:vAlign w:val="center"/>
          </w:tcPr>
          <w:p>
            <w:pPr>
              <w:tabs>
                <w:tab w:val="left" w:pos="945"/>
                <w:tab w:val="left" w:pos="1350"/>
                <w:tab w:val="left" w:pos="1380"/>
              </w:tabs>
              <w:overflowPunct w:val="0"/>
              <w:topLinePunct/>
              <w:autoSpaceDE w:val="0"/>
              <w:spacing w:line="560" w:lineRule="exact"/>
              <w:jc w:val="lef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3202" w:type="dxa"/>
            <w:vMerge w:val="continue"/>
            <w:noWrap w:val="0"/>
            <w:vAlign w:val="center"/>
          </w:tcPr>
          <w:p>
            <w:pPr>
              <w:tabs>
                <w:tab w:val="left" w:pos="945"/>
                <w:tab w:val="left" w:pos="1350"/>
                <w:tab w:val="left" w:pos="1380"/>
              </w:tabs>
              <w:overflowPunct w:val="0"/>
              <w:topLinePunct/>
              <w:autoSpaceDE w:val="0"/>
              <w:spacing w:line="560" w:lineRule="exact"/>
              <w:jc w:val="left"/>
              <w:rPr>
                <w:rFonts w:hint="eastAsia" w:ascii="仿宋" w:hAnsi="仿宋" w:eastAsia="仿宋"/>
                <w:color w:val="000000"/>
                <w:sz w:val="24"/>
                <w:szCs w:val="24"/>
                <w:lang w:val="en-US" w:eastAsia="zh-CN"/>
              </w:rPr>
            </w:pPr>
          </w:p>
        </w:tc>
        <w:tc>
          <w:tcPr>
            <w:tcW w:w="3310" w:type="dxa"/>
            <w:noWrap w:val="0"/>
            <w:vAlign w:val="center"/>
          </w:tcPr>
          <w:p>
            <w:pPr>
              <w:tabs>
                <w:tab w:val="left" w:pos="945"/>
                <w:tab w:val="left" w:pos="1350"/>
                <w:tab w:val="left" w:pos="1380"/>
              </w:tabs>
              <w:overflowPunct w:val="0"/>
              <w:topLinePunct/>
              <w:autoSpaceDE w:val="0"/>
              <w:spacing w:line="560" w:lineRule="exact"/>
              <w:jc w:val="lef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销售购房合同满五年或契税登记满两年的住宅</w:t>
            </w:r>
          </w:p>
        </w:tc>
        <w:tc>
          <w:tcPr>
            <w:tcW w:w="1039" w:type="dxa"/>
            <w:noWrap w:val="0"/>
            <w:vAlign w:val="center"/>
          </w:tcPr>
          <w:p>
            <w:pPr>
              <w:tabs>
                <w:tab w:val="left" w:pos="945"/>
                <w:tab w:val="left" w:pos="1350"/>
                <w:tab w:val="left" w:pos="1380"/>
              </w:tabs>
              <w:overflowPunct w:val="0"/>
              <w:topLinePunct/>
              <w:autoSpaceDE w:val="0"/>
              <w:spacing w:line="560" w:lineRule="exact"/>
              <w:jc w:val="lef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0</w:t>
            </w:r>
          </w:p>
        </w:tc>
      </w:tr>
    </w:tbl>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②土地增值税</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住宅免征</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③印花税</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住宅免征</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④个人所得税</w:t>
      </w:r>
    </w:p>
    <w:tbl>
      <w:tblPr>
        <w:tblStyle w:val="9"/>
        <w:tblW w:w="7566" w:type="dxa"/>
        <w:jc w:val="center"/>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7"/>
        <w:gridCol w:w="368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47" w:type="dxa"/>
            <w:noWrap w:val="0"/>
            <w:vAlign w:val="top"/>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项目</w:t>
            </w:r>
          </w:p>
        </w:tc>
        <w:tc>
          <w:tcPr>
            <w:tcW w:w="3687" w:type="dxa"/>
            <w:noWrap w:val="0"/>
            <w:vAlign w:val="top"/>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特点</w:t>
            </w:r>
          </w:p>
        </w:tc>
        <w:tc>
          <w:tcPr>
            <w:tcW w:w="1132" w:type="dxa"/>
            <w:noWrap w:val="0"/>
            <w:vAlign w:val="top"/>
          </w:tcPr>
          <w:p>
            <w:pPr>
              <w:tabs>
                <w:tab w:val="left" w:pos="945"/>
                <w:tab w:val="left" w:pos="1350"/>
                <w:tab w:val="left" w:pos="1380"/>
              </w:tabs>
              <w:overflowPunct w:val="0"/>
              <w:topLinePunct/>
              <w:autoSpaceDE w:val="0"/>
              <w:spacing w:line="56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47"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个人所得税</w:t>
            </w:r>
          </w:p>
        </w:tc>
        <w:tc>
          <w:tcPr>
            <w:tcW w:w="3687" w:type="dxa"/>
            <w:noWrap w:val="0"/>
            <w:vAlign w:val="top"/>
          </w:tcPr>
          <w:p>
            <w:pPr>
              <w:tabs>
                <w:tab w:val="left" w:pos="945"/>
                <w:tab w:val="left" w:pos="1350"/>
                <w:tab w:val="left" w:pos="1380"/>
              </w:tabs>
              <w:overflowPunct w:val="0"/>
              <w:topLinePunct/>
              <w:autoSpaceDE w:val="0"/>
              <w:spacing w:line="560" w:lineRule="exact"/>
              <w:jc w:val="both"/>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销售购房合同未满五年或契税登记未满两年的住宅</w:t>
            </w:r>
          </w:p>
        </w:tc>
        <w:tc>
          <w:tcPr>
            <w:tcW w:w="1132" w:type="dxa"/>
            <w:noWrap w:val="0"/>
            <w:vAlign w:val="center"/>
          </w:tcPr>
          <w:p>
            <w:pPr>
              <w:tabs>
                <w:tab w:val="left" w:pos="945"/>
                <w:tab w:val="left" w:pos="1350"/>
                <w:tab w:val="left" w:pos="1380"/>
              </w:tabs>
              <w:overflowPunct w:val="0"/>
              <w:topLinePunct/>
              <w:autoSpaceDE w:val="0"/>
              <w:spacing w:line="560" w:lineRule="exact"/>
              <w:ind w:firstLine="240" w:firstLineChars="100"/>
              <w:jc w:val="both"/>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47"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个人所得税</w:t>
            </w:r>
          </w:p>
        </w:tc>
        <w:tc>
          <w:tcPr>
            <w:tcW w:w="3687" w:type="dxa"/>
            <w:noWrap w:val="0"/>
            <w:vAlign w:val="center"/>
          </w:tcPr>
          <w:p>
            <w:pPr>
              <w:tabs>
                <w:tab w:val="left" w:pos="945"/>
                <w:tab w:val="left" w:pos="1350"/>
                <w:tab w:val="left" w:pos="1380"/>
              </w:tabs>
              <w:overflowPunct w:val="0"/>
              <w:topLinePunct/>
              <w:autoSpaceDE w:val="0"/>
              <w:spacing w:line="560" w:lineRule="exac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销售购房合同满五年或契税登记满两年的住宅</w:t>
            </w:r>
          </w:p>
        </w:tc>
        <w:tc>
          <w:tcPr>
            <w:tcW w:w="1132" w:type="dxa"/>
            <w:noWrap w:val="0"/>
            <w:vAlign w:val="center"/>
          </w:tcPr>
          <w:p>
            <w:pPr>
              <w:tabs>
                <w:tab w:val="left" w:pos="945"/>
                <w:tab w:val="left" w:pos="1350"/>
                <w:tab w:val="left" w:pos="1380"/>
              </w:tabs>
              <w:overflowPunct w:val="0"/>
              <w:topLinePunct/>
              <w:autoSpaceDE w:val="0"/>
              <w:spacing w:line="560" w:lineRule="exact"/>
              <w:ind w:firstLine="240" w:firstLineChars="1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47"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个人所得税</w:t>
            </w:r>
          </w:p>
        </w:tc>
        <w:tc>
          <w:tcPr>
            <w:tcW w:w="3687" w:type="dxa"/>
            <w:noWrap w:val="0"/>
            <w:vAlign w:val="center"/>
          </w:tcPr>
          <w:p>
            <w:pPr>
              <w:tabs>
                <w:tab w:val="left" w:pos="945"/>
                <w:tab w:val="left" w:pos="1350"/>
                <w:tab w:val="left" w:pos="1380"/>
              </w:tabs>
              <w:overflowPunct w:val="0"/>
              <w:topLinePunct/>
              <w:autoSpaceDE w:val="0"/>
              <w:spacing w:line="560" w:lineRule="exact"/>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销售购房合同满五年或契税登记满两年且唯一住宅</w:t>
            </w:r>
          </w:p>
        </w:tc>
        <w:tc>
          <w:tcPr>
            <w:tcW w:w="1132" w:type="dxa"/>
            <w:noWrap w:val="0"/>
            <w:vAlign w:val="center"/>
          </w:tcPr>
          <w:p>
            <w:pPr>
              <w:tabs>
                <w:tab w:val="left" w:pos="945"/>
                <w:tab w:val="left" w:pos="1350"/>
                <w:tab w:val="left" w:pos="1380"/>
              </w:tabs>
              <w:overflowPunct w:val="0"/>
              <w:topLinePunct/>
              <w:autoSpaceDE w:val="0"/>
              <w:spacing w:line="560" w:lineRule="exact"/>
              <w:ind w:firstLine="240" w:firstLineChars="1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0</w:t>
            </w:r>
          </w:p>
        </w:tc>
      </w:tr>
    </w:tbl>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2）被执行人本次变价应负担的税费</w:t>
      </w:r>
    </w:p>
    <w:p>
      <w:pPr>
        <w:keepNext w:val="0"/>
        <w:keepLines w:val="0"/>
        <w:pageBreakBefore w:val="0"/>
        <w:widowControl w:val="0"/>
        <w:tabs>
          <w:tab w:val="left" w:pos="945"/>
          <w:tab w:val="left" w:pos="1350"/>
          <w:tab w:val="left" w:pos="1380"/>
        </w:tabs>
        <w:kinsoku/>
        <w:wordWrap/>
        <w:overflowPunct w:val="0"/>
        <w:topLinePunct/>
        <w:autoSpaceDE w:val="0"/>
        <w:autoSpaceDN/>
        <w:bidi w:val="0"/>
        <w:adjustRightInd/>
        <w:snapToGrid/>
        <w:spacing w:line="560" w:lineRule="exact"/>
        <w:ind w:firstLine="560" w:firstLineChars="200"/>
        <w:textAlignment w:val="auto"/>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估价人员从杭州市规划和自然资源局查询到《杭州市不动产登记信息查询记录》登记日期2009年10月22日，估价人员从国家税务总局杭州市税务局第二税务分局查询到契证领证日期2009年11月2日</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估价对象杭州市下城区水印康庭公寓6幢1单元1102室相关税费如下：</w:t>
      </w:r>
    </w:p>
    <w:tbl>
      <w:tblPr>
        <w:tblStyle w:val="9"/>
        <w:tblW w:w="8133"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4"/>
        <w:gridCol w:w="287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3554" w:type="dxa"/>
            <w:noWrap w:val="0"/>
            <w:vAlign w:val="top"/>
          </w:tcPr>
          <w:p>
            <w:pPr>
              <w:tabs>
                <w:tab w:val="left" w:pos="945"/>
                <w:tab w:val="left" w:pos="1350"/>
                <w:tab w:val="left" w:pos="1380"/>
              </w:tabs>
              <w:overflowPunct w:val="0"/>
              <w:topLinePunct/>
              <w:autoSpaceDE w:val="0"/>
              <w:spacing w:line="560" w:lineRule="exact"/>
              <w:ind w:firstLine="480" w:firstLineChars="200"/>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项目</w:t>
            </w:r>
          </w:p>
        </w:tc>
        <w:tc>
          <w:tcPr>
            <w:tcW w:w="2878" w:type="dxa"/>
            <w:noWrap w:val="0"/>
            <w:vAlign w:val="top"/>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特点</w:t>
            </w:r>
          </w:p>
        </w:tc>
        <w:tc>
          <w:tcPr>
            <w:tcW w:w="1701" w:type="dxa"/>
            <w:noWrap w:val="0"/>
            <w:vAlign w:val="top"/>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554" w:type="dxa"/>
            <w:noWrap w:val="0"/>
            <w:vAlign w:val="center"/>
          </w:tcPr>
          <w:p>
            <w:pPr>
              <w:tabs>
                <w:tab w:val="left" w:pos="945"/>
                <w:tab w:val="left" w:pos="1350"/>
                <w:tab w:val="left" w:pos="1380"/>
              </w:tabs>
              <w:overflowPunct w:val="0"/>
              <w:topLinePunct/>
              <w:autoSpaceDE w:val="0"/>
              <w:spacing w:line="560" w:lineRule="exac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增值税、城市维护建设税、教育费附加、地方教育费附加</w:t>
            </w:r>
          </w:p>
        </w:tc>
        <w:tc>
          <w:tcPr>
            <w:tcW w:w="2878" w:type="dxa"/>
            <w:noWrap w:val="0"/>
            <w:vAlign w:val="center"/>
          </w:tcPr>
          <w:p>
            <w:pPr>
              <w:tabs>
                <w:tab w:val="left" w:pos="945"/>
                <w:tab w:val="left" w:pos="1350"/>
                <w:tab w:val="left" w:pos="1380"/>
              </w:tabs>
              <w:overflowPunct w:val="0"/>
              <w:topLinePunct/>
              <w:autoSpaceDE w:val="0"/>
              <w:spacing w:line="56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销售满两年的住宅</w:t>
            </w:r>
          </w:p>
        </w:tc>
        <w:tc>
          <w:tcPr>
            <w:tcW w:w="1701"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554"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土地增值税</w:t>
            </w:r>
          </w:p>
        </w:tc>
        <w:tc>
          <w:tcPr>
            <w:tcW w:w="2878"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住宅免征</w:t>
            </w:r>
          </w:p>
        </w:tc>
        <w:tc>
          <w:tcPr>
            <w:tcW w:w="1701"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3554"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印花税</w:t>
            </w:r>
          </w:p>
        </w:tc>
        <w:tc>
          <w:tcPr>
            <w:tcW w:w="2878"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住宅免征</w:t>
            </w:r>
          </w:p>
        </w:tc>
        <w:tc>
          <w:tcPr>
            <w:tcW w:w="1701"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4"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个人所得税</w:t>
            </w:r>
          </w:p>
        </w:tc>
        <w:tc>
          <w:tcPr>
            <w:tcW w:w="2878" w:type="dxa"/>
            <w:noWrap w:val="0"/>
            <w:vAlign w:val="center"/>
          </w:tcPr>
          <w:p>
            <w:pPr>
              <w:tabs>
                <w:tab w:val="left" w:pos="945"/>
                <w:tab w:val="left" w:pos="1350"/>
                <w:tab w:val="left" w:pos="1380"/>
              </w:tabs>
              <w:overflowPunct w:val="0"/>
              <w:topLinePunct/>
              <w:autoSpaceDE w:val="0"/>
              <w:spacing w:line="560" w:lineRule="exac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销售满两年的唯一住宅</w:t>
            </w:r>
          </w:p>
        </w:tc>
        <w:tc>
          <w:tcPr>
            <w:tcW w:w="1701"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0</w:t>
            </w:r>
          </w:p>
        </w:tc>
      </w:tr>
    </w:tbl>
    <w:p>
      <w:pPr>
        <w:tabs>
          <w:tab w:val="left" w:pos="945"/>
          <w:tab w:val="left" w:pos="1350"/>
          <w:tab w:val="left" w:pos="1380"/>
        </w:tabs>
        <w:overflowPunct w:val="0"/>
        <w:topLinePunct/>
        <w:autoSpaceDE w:val="0"/>
        <w:spacing w:line="560" w:lineRule="exact"/>
        <w:ind w:firstLine="562" w:firstLineChars="200"/>
        <w:rPr>
          <w:rFonts w:hint="eastAsia" w:ascii="仿宋" w:hAnsi="仿宋" w:eastAsia="仿宋"/>
          <w:color w:val="000000"/>
          <w:sz w:val="28"/>
          <w:szCs w:val="22"/>
          <w:lang w:val="en-US" w:eastAsia="zh-CN"/>
        </w:rPr>
      </w:pPr>
      <w:r>
        <w:rPr>
          <w:rFonts w:hint="eastAsia" w:ascii="仿宋" w:hAnsi="仿宋" w:eastAsia="仿宋"/>
          <w:b/>
          <w:bCs/>
          <w:color w:val="000000"/>
          <w:sz w:val="28"/>
          <w:szCs w:val="22"/>
          <w:lang w:val="en-US" w:eastAsia="zh-CN"/>
        </w:rPr>
        <w:t>3、买受人负担印花税、契税等计算方法以及其他实际状况</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1）税收政策：国家税务总局杭州市税务局第二税务分局，个人买卖住宅买方应交税：建筑面积大于90平方，买受人为首套住宅房，缴纳成交价1.5%契税、买受人为二套住宅房，缴纳成交价2%契税，买受人为三套住宅房，缴纳成交价3%契税。</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2）买受人负担税费</w:t>
      </w:r>
    </w:p>
    <w:tbl>
      <w:tblPr>
        <w:tblStyle w:val="9"/>
        <w:tblW w:w="7394"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2630"/>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noWrap w:val="0"/>
            <w:vAlign w:val="top"/>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项目</w:t>
            </w:r>
          </w:p>
        </w:tc>
        <w:tc>
          <w:tcPr>
            <w:tcW w:w="2630" w:type="dxa"/>
            <w:noWrap w:val="0"/>
            <w:vAlign w:val="top"/>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特点</w:t>
            </w:r>
          </w:p>
        </w:tc>
        <w:tc>
          <w:tcPr>
            <w:tcW w:w="2480" w:type="dxa"/>
            <w:noWrap w:val="0"/>
            <w:vAlign w:val="top"/>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印花税</w:t>
            </w:r>
          </w:p>
        </w:tc>
        <w:tc>
          <w:tcPr>
            <w:tcW w:w="2630"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住宅免征</w:t>
            </w:r>
          </w:p>
        </w:tc>
        <w:tc>
          <w:tcPr>
            <w:tcW w:w="2480"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noWrap w:val="0"/>
            <w:vAlign w:val="center"/>
          </w:tcPr>
          <w:p>
            <w:pPr>
              <w:tabs>
                <w:tab w:val="left" w:pos="945"/>
                <w:tab w:val="left" w:pos="1350"/>
                <w:tab w:val="left" w:pos="1380"/>
              </w:tabs>
              <w:overflowPunct w:val="0"/>
              <w:topLinePunct/>
              <w:autoSpaceDE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契税</w:t>
            </w:r>
          </w:p>
        </w:tc>
        <w:tc>
          <w:tcPr>
            <w:tcW w:w="2630" w:type="dxa"/>
            <w:noWrap w:val="0"/>
            <w:vAlign w:val="center"/>
          </w:tcPr>
          <w:p>
            <w:pPr>
              <w:tabs>
                <w:tab w:val="left" w:pos="945"/>
                <w:tab w:val="left" w:pos="1350"/>
                <w:tab w:val="left" w:pos="1380"/>
              </w:tabs>
              <w:overflowPunct w:val="0"/>
              <w:topLinePunct/>
              <w:autoSpaceDE w:val="0"/>
              <w:spacing w:line="560" w:lineRule="exac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建筑面积大于90平方</w:t>
            </w:r>
          </w:p>
        </w:tc>
        <w:tc>
          <w:tcPr>
            <w:tcW w:w="2480" w:type="dxa"/>
            <w:noWrap w:val="0"/>
            <w:vAlign w:val="center"/>
          </w:tcPr>
          <w:p>
            <w:pPr>
              <w:tabs>
                <w:tab w:val="left" w:pos="945"/>
                <w:tab w:val="left" w:pos="1350"/>
                <w:tab w:val="left" w:pos="1380"/>
              </w:tabs>
              <w:overflowPunct w:val="0"/>
              <w:topLinePunct/>
              <w:autoSpaceDE w:val="0"/>
              <w:spacing w:line="560" w:lineRule="exac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按买受人情况确定</w:t>
            </w:r>
          </w:p>
        </w:tc>
      </w:tr>
    </w:tbl>
    <w:p>
      <w:pPr>
        <w:tabs>
          <w:tab w:val="left" w:pos="945"/>
          <w:tab w:val="left" w:pos="1350"/>
          <w:tab w:val="left" w:pos="1380"/>
        </w:tabs>
        <w:overflowPunct w:val="0"/>
        <w:topLinePunct/>
        <w:autoSpaceDE w:val="0"/>
        <w:spacing w:line="560" w:lineRule="exact"/>
        <w:ind w:firstLine="562" w:firstLineChars="200"/>
        <w:rPr>
          <w:rFonts w:hint="eastAsia" w:ascii="仿宋" w:hAnsi="仿宋" w:eastAsia="仿宋"/>
          <w:color w:val="000000"/>
          <w:sz w:val="28"/>
          <w:szCs w:val="22"/>
          <w:lang w:val="en-US" w:eastAsia="zh-CN"/>
        </w:rPr>
      </w:pPr>
      <w:r>
        <w:rPr>
          <w:rFonts w:hint="eastAsia" w:ascii="仿宋" w:hAnsi="仿宋" w:eastAsia="仿宋"/>
          <w:b/>
          <w:bCs/>
          <w:color w:val="000000"/>
          <w:sz w:val="28"/>
          <w:szCs w:val="22"/>
          <w:lang w:val="en-US" w:eastAsia="zh-CN"/>
        </w:rPr>
        <w:t>4、补交的土地出让金等费用</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1）税收政策：划拨土地使用权转变为出让或土地终止日期到期时需补交土地出让金。按当地补交政策进行补交。</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2）买受人负担税费</w:t>
      </w:r>
    </w:p>
    <w:p>
      <w:pPr>
        <w:tabs>
          <w:tab w:val="left" w:pos="945"/>
          <w:tab w:val="left" w:pos="1350"/>
          <w:tab w:val="left" w:pos="1380"/>
        </w:tabs>
        <w:overflowPunct w:val="0"/>
        <w:topLinePunct/>
        <w:autoSpaceDE w:val="0"/>
        <w:spacing w:line="560" w:lineRule="exact"/>
        <w:ind w:firstLine="560" w:firstLineChars="200"/>
        <w:rPr>
          <w:rFonts w:hint="eastAsia" w:ascii="仿宋" w:hAnsi="仿宋" w:eastAsia="仿宋"/>
          <w:color w:val="000000"/>
          <w:sz w:val="28"/>
          <w:szCs w:val="22"/>
          <w:lang w:val="en-US" w:eastAsia="zh-CN"/>
        </w:rPr>
      </w:pPr>
      <w:r>
        <w:rPr>
          <w:rFonts w:hint="eastAsia" w:ascii="仿宋" w:hAnsi="仿宋" w:eastAsia="仿宋"/>
          <w:color w:val="000000"/>
          <w:sz w:val="28"/>
          <w:szCs w:val="22"/>
          <w:lang w:val="en-US" w:eastAsia="zh-CN"/>
        </w:rPr>
        <w:t>估价对象对应的土地为国有出让土地，土地用途为住宅用地，使用权期限至2073年12月11日止，估价对象在使用权期限内无需补交土地出让金。</w:t>
      </w:r>
    </w:p>
    <w:p>
      <w:pPr>
        <w:tabs>
          <w:tab w:val="left" w:pos="945"/>
          <w:tab w:val="left" w:pos="1350"/>
          <w:tab w:val="left" w:pos="1380"/>
        </w:tabs>
        <w:overflowPunct w:val="0"/>
        <w:topLinePunct/>
        <w:autoSpaceDE w:val="0"/>
        <w:spacing w:line="560" w:lineRule="exact"/>
        <w:ind w:firstLine="562" w:firstLineChars="200"/>
        <w:rPr>
          <w:rFonts w:hint="eastAsia" w:ascii="仿宋" w:hAnsi="仿宋" w:eastAsia="仿宋"/>
          <w:color w:val="000000"/>
          <w:sz w:val="28"/>
          <w:szCs w:val="22"/>
          <w:lang w:val="en-US" w:eastAsia="zh-CN"/>
        </w:rPr>
      </w:pPr>
      <w:r>
        <w:rPr>
          <w:rFonts w:hint="eastAsia" w:ascii="仿宋" w:hAnsi="仿宋" w:eastAsia="仿宋"/>
          <w:b/>
          <w:bCs/>
          <w:color w:val="000000"/>
          <w:sz w:val="28"/>
          <w:szCs w:val="22"/>
          <w:lang w:val="en-US" w:eastAsia="zh-CN"/>
        </w:rPr>
        <w:t>5、其他可能产生的税费:</w:t>
      </w:r>
      <w:r>
        <w:rPr>
          <w:rFonts w:hint="eastAsia" w:ascii="仿宋" w:hAnsi="仿宋" w:eastAsia="仿宋"/>
          <w:color w:val="000000"/>
          <w:sz w:val="28"/>
          <w:szCs w:val="22"/>
          <w:lang w:val="en-US" w:eastAsia="zh-CN"/>
        </w:rPr>
        <w:t>无。</w:t>
      </w:r>
    </w:p>
    <w:p>
      <w:pPr>
        <w:tabs>
          <w:tab w:val="left" w:pos="945"/>
          <w:tab w:val="left" w:pos="1350"/>
          <w:tab w:val="left" w:pos="1380"/>
        </w:tabs>
        <w:overflowPunct w:val="0"/>
        <w:topLinePunct/>
        <w:autoSpaceDE w:val="0"/>
        <w:spacing w:line="560" w:lineRule="exact"/>
        <w:ind w:firstLine="562" w:firstLineChars="200"/>
        <w:rPr>
          <w:rFonts w:hint="default" w:ascii="仿宋" w:hAnsi="仿宋" w:eastAsia="仿宋"/>
          <w:color w:val="000000"/>
          <w:sz w:val="28"/>
          <w:szCs w:val="22"/>
          <w:lang w:val="en-US" w:eastAsia="zh-CN"/>
        </w:rPr>
      </w:pPr>
      <w:r>
        <w:rPr>
          <w:rFonts w:hint="eastAsia" w:ascii="仿宋" w:hAnsi="仿宋" w:eastAsia="仿宋"/>
          <w:b/>
          <w:bCs/>
          <w:color w:val="000000"/>
          <w:sz w:val="28"/>
          <w:szCs w:val="22"/>
          <w:lang w:val="en-US" w:eastAsia="zh-CN"/>
        </w:rPr>
        <w:t>重要提示：</w:t>
      </w:r>
      <w:r>
        <w:rPr>
          <w:rFonts w:hint="eastAsia" w:ascii="仿宋" w:hAnsi="仿宋" w:eastAsia="仿宋"/>
          <w:color w:val="000000"/>
          <w:sz w:val="28"/>
          <w:szCs w:val="22"/>
          <w:lang w:val="en-US" w:eastAsia="zh-CN"/>
        </w:rPr>
        <w:t>根据当地税务部门相关政策及估价人员力所能及的调查结果，确定上述税收信息，估价对象最终所需交纳税费以当地税务部门实际征纳为准，提请报告使用方重点关注及核实。</w:t>
      </w:r>
    </w:p>
    <w:p>
      <w:pPr>
        <w:pStyle w:val="3"/>
        <w:spacing w:before="0" w:after="0" w:line="560" w:lineRule="atLeast"/>
        <w:ind w:firstLine="636" w:firstLineChars="198"/>
        <w:rPr>
          <w:rFonts w:hint="eastAsia" w:ascii="仿宋" w:hAnsi="仿宋" w:eastAsia="仿宋"/>
          <w:color w:val="000000"/>
          <w:spacing w:val="0"/>
        </w:rPr>
      </w:pPr>
      <w:bookmarkStart w:id="3" w:name="_Toc6657"/>
      <w:r>
        <w:rPr>
          <w:rFonts w:hint="eastAsia" w:ascii="仿宋" w:hAnsi="仿宋" w:eastAsia="仿宋"/>
          <w:color w:val="000000"/>
          <w:spacing w:val="0"/>
        </w:rPr>
        <w:t>三、估价目的</w:t>
      </w:r>
      <w:bookmarkEnd w:id="3"/>
    </w:p>
    <w:p>
      <w:pPr>
        <w:spacing w:line="560" w:lineRule="exact"/>
        <w:ind w:firstLine="560" w:firstLineChars="200"/>
        <w:rPr>
          <w:rFonts w:hint="eastAsia" w:ascii="仿宋" w:hAnsi="仿宋" w:eastAsia="仿宋"/>
          <w:bCs/>
          <w:spacing w:val="0"/>
          <w:sz w:val="28"/>
        </w:rPr>
      </w:pPr>
      <w:r>
        <w:rPr>
          <w:rFonts w:hint="eastAsia" w:ascii="仿宋" w:hAnsi="仿宋" w:eastAsia="仿宋"/>
          <w:bCs/>
          <w:color w:val="000000"/>
          <w:spacing w:val="0"/>
          <w:sz w:val="28"/>
        </w:rPr>
        <w:t>本次估价目的是为</w:t>
      </w:r>
      <w:r>
        <w:rPr>
          <w:rFonts w:hint="eastAsia" w:ascii="仿宋" w:hAnsi="仿宋" w:eastAsia="仿宋"/>
          <w:bCs/>
          <w:color w:val="000000"/>
          <w:spacing w:val="0"/>
          <w:sz w:val="28"/>
          <w:lang w:eastAsia="zh-CN"/>
        </w:rPr>
        <w:t>杭州市西湖区人民法院</w:t>
      </w:r>
      <w:r>
        <w:rPr>
          <w:rFonts w:hint="eastAsia" w:ascii="仿宋" w:hAnsi="仿宋" w:eastAsia="仿宋"/>
          <w:bCs/>
          <w:color w:val="000000"/>
          <w:spacing w:val="0"/>
          <w:sz w:val="28"/>
        </w:rPr>
        <w:t>办理案件而涉及的估价对象提供价值参考而评估房地产市场价值。</w:t>
      </w:r>
    </w:p>
    <w:p>
      <w:pPr>
        <w:pStyle w:val="3"/>
        <w:spacing w:before="0" w:after="0" w:line="560" w:lineRule="exact"/>
        <w:ind w:firstLine="636" w:firstLineChars="198"/>
        <w:rPr>
          <w:rFonts w:hint="eastAsia" w:ascii="仿宋" w:hAnsi="仿宋" w:eastAsia="仿宋"/>
          <w:color w:val="000000"/>
          <w:spacing w:val="0"/>
        </w:rPr>
      </w:pPr>
      <w:bookmarkStart w:id="4" w:name="_Toc4287"/>
      <w:r>
        <w:rPr>
          <w:rFonts w:hint="eastAsia" w:ascii="仿宋" w:hAnsi="仿宋" w:eastAsia="仿宋"/>
          <w:color w:val="000000"/>
          <w:spacing w:val="0"/>
        </w:rPr>
        <w:t>四、估价对象</w:t>
      </w:r>
      <w:bookmarkEnd w:id="4"/>
    </w:p>
    <w:p>
      <w:pPr>
        <w:pStyle w:val="5"/>
        <w:spacing w:line="560" w:lineRule="exact"/>
        <w:ind w:firstLine="562" w:firstLineChars="200"/>
        <w:rPr>
          <w:rFonts w:hint="eastAsia" w:ascii="仿宋" w:hAnsi="仿宋" w:eastAsia="仿宋"/>
          <w:color w:val="000000"/>
          <w:sz w:val="28"/>
        </w:rPr>
      </w:pPr>
      <w:r>
        <w:rPr>
          <w:rFonts w:hint="eastAsia" w:ascii="仿宋" w:hAnsi="仿宋" w:eastAsia="仿宋"/>
          <w:color w:val="000000"/>
          <w:sz w:val="28"/>
        </w:rPr>
        <w:t>（一）估价对象实物状况</w:t>
      </w:r>
    </w:p>
    <w:p>
      <w:pPr>
        <w:pStyle w:val="5"/>
        <w:spacing w:line="560" w:lineRule="exact"/>
        <w:ind w:firstLine="562" w:firstLineChars="200"/>
        <w:rPr>
          <w:rFonts w:hint="eastAsia" w:ascii="仿宋" w:hAnsi="仿宋" w:eastAsia="仿宋"/>
          <w:color w:val="000000"/>
          <w:sz w:val="28"/>
        </w:rPr>
      </w:pPr>
      <w:r>
        <w:rPr>
          <w:rFonts w:hint="eastAsia" w:ascii="仿宋" w:hAnsi="仿宋" w:eastAsia="仿宋"/>
          <w:color w:val="000000"/>
          <w:sz w:val="28"/>
        </w:rPr>
        <w:t>1.建筑物实物状况</w:t>
      </w:r>
    </w:p>
    <w:p>
      <w:pPr>
        <w:spacing w:line="560" w:lineRule="exact"/>
        <w:ind w:firstLine="555"/>
        <w:rPr>
          <w:rFonts w:hint="default" w:ascii="仿宋" w:hAnsi="仿宋" w:eastAsia="仿宋" w:cs="仿宋"/>
          <w:b w:val="0"/>
          <w:bCs w:val="0"/>
          <w:spacing w:val="0"/>
          <w:sz w:val="28"/>
          <w:szCs w:val="28"/>
          <w:lang w:val="en-US" w:eastAsia="zh-CN"/>
        </w:rPr>
      </w:pPr>
      <w:r>
        <w:rPr>
          <w:rFonts w:hint="eastAsia" w:ascii="仿宋" w:hAnsi="仿宋" w:eastAsia="仿宋" w:cs="仿宋"/>
          <w:spacing w:val="0"/>
          <w:sz w:val="28"/>
          <w:szCs w:val="28"/>
          <w:lang w:eastAsia="zh-CN"/>
        </w:rPr>
        <w:t>估价对象所在的</w:t>
      </w:r>
      <w:r>
        <w:rPr>
          <w:rFonts w:hint="eastAsia" w:ascii="仿宋" w:hAnsi="仿宋" w:eastAsia="仿宋" w:cs="仿宋"/>
          <w:spacing w:val="0"/>
          <w:sz w:val="28"/>
          <w:szCs w:val="28"/>
          <w:lang w:val="en-US" w:eastAsia="zh-CN"/>
        </w:rPr>
        <w:t>小区</w:t>
      </w:r>
      <w:r>
        <w:rPr>
          <w:rFonts w:hint="eastAsia" w:ascii="仿宋" w:hAnsi="仿宋" w:eastAsia="仿宋" w:cs="仿宋"/>
          <w:b w:val="0"/>
          <w:bCs w:val="0"/>
          <w:spacing w:val="0"/>
          <w:sz w:val="28"/>
          <w:szCs w:val="28"/>
          <w:lang w:val="en-US" w:eastAsia="zh-CN"/>
        </w:rPr>
        <w:t>位于杭州市城北，西文街与白石巷交叉口</w:t>
      </w:r>
      <w:r>
        <w:rPr>
          <w:rFonts w:ascii="仿宋_GB2312" w:hAnsi="宋体" w:eastAsia="仿宋_GB2312" w:cs="仿宋_GB2312"/>
          <w:color w:val="000000"/>
          <w:spacing w:val="10"/>
          <w:kern w:val="0"/>
          <w:sz w:val="28"/>
          <w:szCs w:val="28"/>
          <w:lang w:val="en-US" w:eastAsia="zh-CN" w:bidi="ar"/>
        </w:rPr>
        <w:t>，</w:t>
      </w:r>
      <w:r>
        <w:rPr>
          <w:rFonts w:hint="eastAsia" w:ascii="仿宋_GB2312" w:hAnsi="宋体" w:eastAsia="仿宋_GB2312" w:cs="仿宋_GB2312"/>
          <w:color w:val="000000"/>
          <w:spacing w:val="10"/>
          <w:kern w:val="0"/>
          <w:sz w:val="28"/>
          <w:szCs w:val="28"/>
          <w:lang w:val="en-US" w:eastAsia="zh-CN" w:bidi="ar"/>
        </w:rPr>
        <w:t>小区</w:t>
      </w:r>
      <w:r>
        <w:rPr>
          <w:rFonts w:hint="default" w:ascii="仿宋" w:hAnsi="仿宋" w:eastAsia="仿宋" w:cs="仿宋"/>
          <w:b w:val="0"/>
          <w:bCs w:val="0"/>
          <w:spacing w:val="0"/>
          <w:sz w:val="28"/>
          <w:szCs w:val="28"/>
          <w:lang w:val="en-US" w:eastAsia="zh-CN"/>
        </w:rPr>
        <w:t>东至</w:t>
      </w:r>
      <w:r>
        <w:rPr>
          <w:rFonts w:hint="eastAsia" w:ascii="仿宋" w:hAnsi="仿宋" w:eastAsia="仿宋" w:cs="仿宋"/>
          <w:b w:val="0"/>
          <w:bCs w:val="0"/>
          <w:spacing w:val="0"/>
          <w:sz w:val="28"/>
          <w:szCs w:val="28"/>
          <w:lang w:val="en-US" w:eastAsia="zh-CN"/>
        </w:rPr>
        <w:t>再行路</w:t>
      </w:r>
      <w:r>
        <w:rPr>
          <w:rFonts w:hint="default" w:ascii="仿宋" w:hAnsi="仿宋" w:eastAsia="仿宋" w:cs="仿宋"/>
          <w:b w:val="0"/>
          <w:bCs w:val="0"/>
          <w:spacing w:val="0"/>
          <w:sz w:val="28"/>
          <w:szCs w:val="28"/>
          <w:lang w:val="en-US" w:eastAsia="zh-CN"/>
        </w:rPr>
        <w:t>，南至</w:t>
      </w:r>
      <w:r>
        <w:rPr>
          <w:rFonts w:hint="eastAsia" w:ascii="仿宋" w:hAnsi="仿宋" w:eastAsia="仿宋" w:cs="仿宋"/>
          <w:b w:val="0"/>
          <w:bCs w:val="0"/>
          <w:spacing w:val="0"/>
          <w:sz w:val="28"/>
          <w:szCs w:val="28"/>
          <w:lang w:val="en-US" w:eastAsia="zh-CN"/>
        </w:rPr>
        <w:t>西文街</w:t>
      </w:r>
      <w:r>
        <w:rPr>
          <w:rFonts w:hint="default" w:ascii="仿宋" w:hAnsi="仿宋" w:eastAsia="仿宋" w:cs="仿宋"/>
          <w:b w:val="0"/>
          <w:bCs w:val="0"/>
          <w:spacing w:val="0"/>
          <w:sz w:val="28"/>
          <w:szCs w:val="28"/>
          <w:lang w:val="en-US" w:eastAsia="zh-CN"/>
        </w:rPr>
        <w:t>，西至</w:t>
      </w:r>
      <w:r>
        <w:rPr>
          <w:rFonts w:hint="eastAsia" w:ascii="仿宋" w:hAnsi="仿宋" w:eastAsia="仿宋" w:cs="仿宋"/>
          <w:b w:val="0"/>
          <w:bCs w:val="0"/>
          <w:spacing w:val="0"/>
          <w:sz w:val="28"/>
          <w:szCs w:val="28"/>
          <w:lang w:val="en-US" w:eastAsia="zh-CN"/>
        </w:rPr>
        <w:t>白石巷</w:t>
      </w:r>
      <w:r>
        <w:rPr>
          <w:rFonts w:hint="default" w:ascii="仿宋" w:hAnsi="仿宋" w:eastAsia="仿宋" w:cs="仿宋"/>
          <w:b w:val="0"/>
          <w:bCs w:val="0"/>
          <w:spacing w:val="0"/>
          <w:sz w:val="28"/>
          <w:szCs w:val="28"/>
          <w:lang w:val="en-US" w:eastAsia="zh-CN"/>
        </w:rPr>
        <w:t>，北至</w:t>
      </w:r>
      <w:r>
        <w:rPr>
          <w:rFonts w:hint="eastAsia" w:ascii="仿宋" w:hAnsi="仿宋" w:eastAsia="仿宋" w:cs="仿宋"/>
          <w:b w:val="0"/>
          <w:bCs w:val="0"/>
          <w:spacing w:val="0"/>
          <w:sz w:val="28"/>
          <w:szCs w:val="28"/>
          <w:lang w:val="en-US" w:eastAsia="zh-CN"/>
        </w:rPr>
        <w:t>河道</w:t>
      </w:r>
      <w:r>
        <w:rPr>
          <w:rFonts w:hint="default" w:ascii="仿宋" w:hAnsi="仿宋" w:eastAsia="仿宋" w:cs="仿宋"/>
          <w:b w:val="0"/>
          <w:bCs w:val="0"/>
          <w:spacing w:val="0"/>
          <w:sz w:val="28"/>
          <w:szCs w:val="28"/>
          <w:lang w:val="en-US" w:eastAsia="zh-CN"/>
        </w:rPr>
        <w:t>。</w:t>
      </w:r>
      <w:r>
        <w:rPr>
          <w:rFonts w:hint="eastAsia" w:ascii="仿宋" w:hAnsi="仿宋" w:eastAsia="仿宋" w:cs="仿宋"/>
          <w:b w:val="0"/>
          <w:bCs w:val="0"/>
          <w:spacing w:val="0"/>
          <w:sz w:val="28"/>
          <w:szCs w:val="28"/>
          <w:lang w:val="en-US" w:eastAsia="zh-CN"/>
        </w:rPr>
        <w:t>距离城北体育公园约800米，小区</w:t>
      </w:r>
      <w:r>
        <w:rPr>
          <w:rFonts w:hint="default" w:ascii="仿宋" w:hAnsi="仿宋" w:eastAsia="仿宋" w:cs="仿宋"/>
          <w:b w:val="0"/>
          <w:bCs w:val="0"/>
          <w:spacing w:val="0"/>
          <w:sz w:val="28"/>
          <w:szCs w:val="28"/>
          <w:lang w:val="en-US" w:eastAsia="zh-CN"/>
        </w:rPr>
        <w:t>周边有</w:t>
      </w:r>
      <w:r>
        <w:rPr>
          <w:rFonts w:hint="eastAsia" w:ascii="仿宋" w:hAnsi="仿宋" w:eastAsia="仿宋" w:cs="仿宋"/>
          <w:b w:val="0"/>
          <w:bCs w:val="0"/>
          <w:spacing w:val="0"/>
          <w:sz w:val="28"/>
          <w:szCs w:val="28"/>
          <w:lang w:val="en-US" w:eastAsia="zh-CN"/>
        </w:rPr>
        <w:t>中粮方圆府</w:t>
      </w:r>
      <w:r>
        <w:rPr>
          <w:rFonts w:hint="default" w:ascii="仿宋" w:hAnsi="仿宋" w:eastAsia="仿宋" w:cs="仿宋"/>
          <w:b w:val="0"/>
          <w:bCs w:val="0"/>
          <w:spacing w:val="0"/>
          <w:sz w:val="28"/>
          <w:szCs w:val="28"/>
          <w:lang w:val="en-US" w:eastAsia="zh-CN"/>
        </w:rPr>
        <w:t>、</w:t>
      </w:r>
      <w:r>
        <w:rPr>
          <w:rFonts w:hint="eastAsia" w:ascii="仿宋" w:hAnsi="仿宋" w:eastAsia="仿宋" w:cs="仿宋"/>
          <w:b w:val="0"/>
          <w:bCs w:val="0"/>
          <w:spacing w:val="0"/>
          <w:sz w:val="28"/>
          <w:szCs w:val="28"/>
          <w:lang w:val="en-US" w:eastAsia="zh-CN"/>
        </w:rPr>
        <w:t>灯塔公寓</w:t>
      </w:r>
      <w:r>
        <w:rPr>
          <w:rFonts w:hint="default" w:ascii="仿宋" w:hAnsi="仿宋" w:eastAsia="仿宋" w:cs="仿宋"/>
          <w:b w:val="0"/>
          <w:bCs w:val="0"/>
          <w:spacing w:val="0"/>
          <w:sz w:val="28"/>
          <w:szCs w:val="28"/>
          <w:lang w:val="en-US" w:eastAsia="zh-CN"/>
        </w:rPr>
        <w:t>、</w:t>
      </w:r>
      <w:r>
        <w:rPr>
          <w:rFonts w:hint="eastAsia" w:ascii="仿宋" w:hAnsi="仿宋" w:eastAsia="仿宋" w:cs="仿宋"/>
          <w:b w:val="0"/>
          <w:bCs w:val="0"/>
          <w:spacing w:val="0"/>
          <w:sz w:val="28"/>
          <w:szCs w:val="28"/>
          <w:lang w:val="en-US" w:eastAsia="zh-CN"/>
        </w:rPr>
        <w:t>万和玺园、三塘竹园、漾河公寓</w:t>
      </w:r>
      <w:r>
        <w:rPr>
          <w:rFonts w:hint="default" w:ascii="仿宋" w:hAnsi="仿宋" w:eastAsia="仿宋" w:cs="仿宋"/>
          <w:b w:val="0"/>
          <w:bCs w:val="0"/>
          <w:spacing w:val="0"/>
          <w:sz w:val="28"/>
          <w:szCs w:val="28"/>
          <w:lang w:val="en-US" w:eastAsia="zh-CN"/>
        </w:rPr>
        <w:t>等住宅小区，居住氛围较好</w:t>
      </w:r>
      <w:r>
        <w:rPr>
          <w:rFonts w:hint="eastAsia" w:ascii="仿宋" w:hAnsi="仿宋" w:eastAsia="仿宋" w:cs="仿宋"/>
          <w:b w:val="0"/>
          <w:bCs w:val="0"/>
          <w:spacing w:val="0"/>
          <w:sz w:val="28"/>
          <w:szCs w:val="28"/>
          <w:lang w:val="en-US" w:eastAsia="zh-CN"/>
        </w:rPr>
        <w:t>；</w:t>
      </w:r>
      <w:r>
        <w:rPr>
          <w:rFonts w:hint="default" w:ascii="仿宋" w:hAnsi="仿宋" w:eastAsia="仿宋" w:cs="仿宋"/>
          <w:b w:val="0"/>
          <w:bCs w:val="0"/>
          <w:spacing w:val="0"/>
          <w:sz w:val="28"/>
          <w:szCs w:val="28"/>
          <w:lang w:val="en-US" w:eastAsia="zh-CN"/>
        </w:rPr>
        <w:t>有</w:t>
      </w:r>
      <w:r>
        <w:rPr>
          <w:rFonts w:hint="eastAsia" w:ascii="仿宋" w:hAnsi="仿宋" w:eastAsia="仿宋" w:cs="仿宋"/>
          <w:b w:val="0"/>
          <w:bCs w:val="0"/>
          <w:spacing w:val="0"/>
          <w:sz w:val="28"/>
          <w:szCs w:val="28"/>
          <w:lang w:val="en-US" w:eastAsia="zh-CN"/>
        </w:rPr>
        <w:t>杭州市西园实验幼儿园、杭州长江实验小学、杭州市风帆中学等教育配套；有西联广场</w:t>
      </w:r>
      <w:r>
        <w:rPr>
          <w:rFonts w:hint="default" w:ascii="仿宋" w:hAnsi="仿宋" w:eastAsia="仿宋" w:cs="仿宋"/>
          <w:b w:val="0"/>
          <w:bCs w:val="0"/>
          <w:spacing w:val="0"/>
          <w:sz w:val="28"/>
          <w:szCs w:val="28"/>
          <w:lang w:val="en-US" w:eastAsia="zh-CN"/>
        </w:rPr>
        <w:t>、</w:t>
      </w:r>
      <w:r>
        <w:rPr>
          <w:rFonts w:hint="eastAsia" w:ascii="仿宋" w:hAnsi="仿宋" w:eastAsia="仿宋" w:cs="仿宋"/>
          <w:b w:val="0"/>
          <w:bCs w:val="0"/>
          <w:spacing w:val="0"/>
          <w:sz w:val="28"/>
          <w:szCs w:val="28"/>
          <w:lang w:val="en-US" w:eastAsia="zh-CN"/>
        </w:rPr>
        <w:t>物美</w:t>
      </w:r>
      <w:r>
        <w:rPr>
          <w:rFonts w:hint="default" w:ascii="仿宋" w:hAnsi="仿宋" w:eastAsia="仿宋" w:cs="仿宋"/>
          <w:b w:val="0"/>
          <w:bCs w:val="0"/>
          <w:spacing w:val="0"/>
          <w:sz w:val="28"/>
          <w:szCs w:val="28"/>
          <w:lang w:val="en-US" w:eastAsia="zh-CN"/>
        </w:rPr>
        <w:t>超市、</w:t>
      </w:r>
      <w:r>
        <w:rPr>
          <w:rFonts w:hint="eastAsia" w:ascii="仿宋" w:hAnsi="仿宋" w:eastAsia="仿宋" w:cs="仿宋"/>
          <w:b w:val="0"/>
          <w:bCs w:val="0"/>
          <w:spacing w:val="0"/>
          <w:sz w:val="28"/>
          <w:szCs w:val="28"/>
          <w:lang w:val="en-US" w:eastAsia="zh-CN"/>
        </w:rPr>
        <w:t>小区沿街底商</w:t>
      </w:r>
      <w:r>
        <w:rPr>
          <w:rFonts w:hint="default" w:ascii="仿宋" w:hAnsi="仿宋" w:eastAsia="仿宋" w:cs="仿宋"/>
          <w:b w:val="0"/>
          <w:bCs w:val="0"/>
          <w:spacing w:val="0"/>
          <w:sz w:val="28"/>
          <w:szCs w:val="28"/>
          <w:lang w:val="en-US" w:eastAsia="zh-CN"/>
        </w:rPr>
        <w:t>等</w:t>
      </w:r>
      <w:r>
        <w:rPr>
          <w:rFonts w:hint="eastAsia" w:ascii="仿宋" w:hAnsi="仿宋" w:eastAsia="仿宋" w:cs="仿宋"/>
          <w:b w:val="0"/>
          <w:bCs w:val="0"/>
          <w:spacing w:val="0"/>
          <w:sz w:val="28"/>
          <w:szCs w:val="28"/>
          <w:lang w:val="en-US" w:eastAsia="zh-CN"/>
        </w:rPr>
        <w:t>商业</w:t>
      </w:r>
      <w:r>
        <w:rPr>
          <w:rFonts w:hint="default" w:ascii="仿宋" w:hAnsi="仿宋" w:eastAsia="仿宋" w:cs="仿宋"/>
          <w:b w:val="0"/>
          <w:bCs w:val="0"/>
          <w:spacing w:val="0"/>
          <w:sz w:val="28"/>
          <w:szCs w:val="28"/>
          <w:lang w:val="en-US" w:eastAsia="zh-CN"/>
        </w:rPr>
        <w:t>配套设施，公共配套设施较完善。区域内有</w:t>
      </w:r>
      <w:r>
        <w:rPr>
          <w:rFonts w:hint="eastAsia" w:ascii="仿宋" w:hAnsi="仿宋" w:eastAsia="仿宋" w:cs="仿宋"/>
          <w:b w:val="0"/>
          <w:bCs w:val="0"/>
          <w:spacing w:val="0"/>
          <w:sz w:val="28"/>
          <w:szCs w:val="28"/>
          <w:lang w:val="en-US" w:eastAsia="zh-CN"/>
        </w:rPr>
        <w:t>东新路</w:t>
      </w:r>
      <w:r>
        <w:rPr>
          <w:rFonts w:hint="default" w:ascii="仿宋" w:hAnsi="仿宋" w:eastAsia="仿宋" w:cs="仿宋"/>
          <w:b w:val="0"/>
          <w:bCs w:val="0"/>
          <w:spacing w:val="0"/>
          <w:sz w:val="28"/>
          <w:szCs w:val="28"/>
          <w:lang w:val="en-US" w:eastAsia="zh-CN"/>
        </w:rPr>
        <w:t>、</w:t>
      </w:r>
      <w:r>
        <w:rPr>
          <w:rFonts w:hint="eastAsia" w:ascii="仿宋" w:hAnsi="仿宋" w:eastAsia="仿宋" w:cs="仿宋"/>
          <w:b w:val="0"/>
          <w:bCs w:val="0"/>
          <w:spacing w:val="0"/>
          <w:sz w:val="28"/>
          <w:szCs w:val="28"/>
          <w:lang w:val="en-US" w:eastAsia="zh-CN"/>
        </w:rPr>
        <w:t>沈半路、石祥路</w:t>
      </w:r>
      <w:r>
        <w:rPr>
          <w:rFonts w:hint="default" w:ascii="仿宋" w:hAnsi="仿宋" w:eastAsia="仿宋" w:cs="仿宋"/>
          <w:b w:val="0"/>
          <w:bCs w:val="0"/>
          <w:spacing w:val="0"/>
          <w:sz w:val="28"/>
          <w:szCs w:val="28"/>
          <w:lang w:val="en-US" w:eastAsia="zh-CN"/>
        </w:rPr>
        <w:t>等城市主次干道</w:t>
      </w:r>
      <w:r>
        <w:rPr>
          <w:rFonts w:hint="eastAsia" w:ascii="仿宋" w:hAnsi="仿宋" w:eastAsia="仿宋" w:cs="仿宋"/>
          <w:b w:val="0"/>
          <w:bCs w:val="0"/>
          <w:spacing w:val="0"/>
          <w:sz w:val="28"/>
          <w:szCs w:val="28"/>
          <w:lang w:val="en-US" w:eastAsia="zh-CN"/>
        </w:rPr>
        <w:t>；</w:t>
      </w:r>
      <w:r>
        <w:rPr>
          <w:rFonts w:hint="default" w:ascii="仿宋" w:hAnsi="仿宋" w:eastAsia="仿宋" w:cs="仿宋"/>
          <w:b w:val="0"/>
          <w:bCs w:val="0"/>
          <w:spacing w:val="0"/>
          <w:sz w:val="28"/>
          <w:szCs w:val="28"/>
          <w:lang w:val="en-US" w:eastAsia="zh-CN"/>
        </w:rPr>
        <w:t>附近设有</w:t>
      </w:r>
      <w:r>
        <w:rPr>
          <w:rFonts w:hint="eastAsia" w:ascii="仿宋" w:hAnsi="仿宋" w:eastAsia="仿宋" w:cs="仿宋"/>
          <w:b w:val="0"/>
          <w:bCs w:val="0"/>
          <w:spacing w:val="0"/>
          <w:sz w:val="28"/>
          <w:szCs w:val="28"/>
          <w:lang w:val="en-US" w:eastAsia="zh-CN"/>
        </w:rPr>
        <w:t>西文街公交站</w:t>
      </w:r>
      <w:r>
        <w:rPr>
          <w:rFonts w:hint="default" w:ascii="仿宋" w:hAnsi="仿宋" w:eastAsia="仿宋" w:cs="仿宋"/>
          <w:b w:val="0"/>
          <w:bCs w:val="0"/>
          <w:spacing w:val="0"/>
          <w:sz w:val="28"/>
          <w:szCs w:val="28"/>
          <w:lang w:val="en-US" w:eastAsia="zh-CN"/>
        </w:rPr>
        <w:t>、</w:t>
      </w:r>
      <w:r>
        <w:rPr>
          <w:rFonts w:hint="eastAsia" w:ascii="仿宋" w:hAnsi="仿宋" w:eastAsia="仿宋" w:cs="仿宋"/>
          <w:b w:val="0"/>
          <w:bCs w:val="0"/>
          <w:spacing w:val="0"/>
          <w:sz w:val="28"/>
          <w:szCs w:val="28"/>
          <w:lang w:val="en-US" w:eastAsia="zh-CN"/>
        </w:rPr>
        <w:t>西湖漾河桥站、颜家村站</w:t>
      </w:r>
      <w:r>
        <w:rPr>
          <w:rFonts w:hint="default" w:ascii="仿宋" w:hAnsi="仿宋" w:eastAsia="仿宋" w:cs="仿宋"/>
          <w:b w:val="0"/>
          <w:bCs w:val="0"/>
          <w:spacing w:val="0"/>
          <w:sz w:val="28"/>
          <w:szCs w:val="28"/>
          <w:lang w:val="en-US" w:eastAsia="zh-CN"/>
        </w:rPr>
        <w:t>等公交站，有</w:t>
      </w:r>
      <w:r>
        <w:rPr>
          <w:rFonts w:hint="eastAsia" w:ascii="仿宋" w:hAnsi="仿宋" w:eastAsia="仿宋" w:cs="仿宋"/>
          <w:b w:val="0"/>
          <w:bCs w:val="0"/>
          <w:spacing w:val="0"/>
          <w:sz w:val="28"/>
          <w:szCs w:val="28"/>
          <w:lang w:val="en-US" w:eastAsia="zh-CN"/>
        </w:rPr>
        <w:t>34、46、77、7292、41、75、85、187等多</w:t>
      </w:r>
      <w:r>
        <w:rPr>
          <w:rFonts w:hint="default" w:ascii="仿宋" w:hAnsi="仿宋" w:eastAsia="仿宋" w:cs="仿宋"/>
          <w:b w:val="0"/>
          <w:bCs w:val="0"/>
          <w:spacing w:val="0"/>
          <w:sz w:val="28"/>
          <w:szCs w:val="28"/>
          <w:lang w:val="en-US" w:eastAsia="zh-CN"/>
        </w:rPr>
        <w:t>路公交车停靠，地铁</w:t>
      </w:r>
      <w:r>
        <w:rPr>
          <w:rFonts w:hint="eastAsia" w:ascii="仿宋" w:hAnsi="仿宋" w:eastAsia="仿宋" w:cs="仿宋"/>
          <w:b w:val="0"/>
          <w:bCs w:val="0"/>
          <w:spacing w:val="0"/>
          <w:sz w:val="28"/>
          <w:szCs w:val="28"/>
          <w:lang w:val="en-US" w:eastAsia="zh-CN"/>
        </w:rPr>
        <w:t>5</w:t>
      </w:r>
      <w:r>
        <w:rPr>
          <w:rFonts w:hint="default" w:ascii="仿宋" w:hAnsi="仿宋" w:eastAsia="仿宋" w:cs="仿宋"/>
          <w:b w:val="0"/>
          <w:bCs w:val="0"/>
          <w:spacing w:val="0"/>
          <w:sz w:val="28"/>
          <w:szCs w:val="28"/>
          <w:lang w:val="en-US" w:eastAsia="zh-CN"/>
        </w:rPr>
        <w:t>号线</w:t>
      </w:r>
      <w:r>
        <w:rPr>
          <w:rFonts w:hint="eastAsia" w:ascii="仿宋" w:hAnsi="仿宋" w:eastAsia="仿宋" w:cs="仿宋"/>
          <w:b w:val="0"/>
          <w:bCs w:val="0"/>
          <w:spacing w:val="0"/>
          <w:sz w:val="28"/>
          <w:szCs w:val="28"/>
          <w:lang w:val="en-US" w:eastAsia="zh-CN"/>
        </w:rPr>
        <w:t>西文街</w:t>
      </w:r>
      <w:r>
        <w:rPr>
          <w:rFonts w:hint="default" w:ascii="仿宋" w:hAnsi="仿宋" w:eastAsia="仿宋" w:cs="仿宋"/>
          <w:b w:val="0"/>
          <w:bCs w:val="0"/>
          <w:spacing w:val="0"/>
          <w:sz w:val="28"/>
          <w:szCs w:val="28"/>
          <w:lang w:val="en-US" w:eastAsia="zh-CN"/>
        </w:rPr>
        <w:t>站</w:t>
      </w:r>
      <w:r>
        <w:rPr>
          <w:rFonts w:hint="eastAsia" w:ascii="仿宋" w:hAnsi="仿宋" w:eastAsia="仿宋" w:cs="仿宋"/>
          <w:b w:val="0"/>
          <w:bCs w:val="0"/>
          <w:spacing w:val="0"/>
          <w:sz w:val="28"/>
          <w:szCs w:val="28"/>
          <w:lang w:val="en-US" w:eastAsia="zh-CN"/>
        </w:rPr>
        <w:t>位于小区南门；</w:t>
      </w:r>
      <w:r>
        <w:rPr>
          <w:rFonts w:hint="default" w:ascii="仿宋" w:hAnsi="仿宋" w:eastAsia="仿宋" w:cs="仿宋"/>
          <w:b w:val="0"/>
          <w:bCs w:val="0"/>
          <w:spacing w:val="0"/>
          <w:sz w:val="28"/>
          <w:szCs w:val="28"/>
          <w:lang w:val="en-US" w:eastAsia="zh-CN"/>
        </w:rPr>
        <w:t>对外交通较便利。</w:t>
      </w:r>
    </w:p>
    <w:p>
      <w:pPr>
        <w:spacing w:line="560" w:lineRule="exact"/>
        <w:ind w:firstLine="555"/>
        <w:rPr>
          <w:rFonts w:hint="eastAsia" w:ascii="仿宋" w:hAnsi="仿宋" w:eastAsia="仿宋" w:cs="仿宋"/>
          <w:bCs/>
          <w:spacing w:val="0"/>
          <w:sz w:val="28"/>
          <w:lang w:val="en-US" w:eastAsia="zh-CN"/>
        </w:rPr>
      </w:pPr>
      <w:r>
        <w:rPr>
          <w:rFonts w:hint="eastAsia" w:ascii="仿宋" w:hAnsi="仿宋" w:eastAsia="仿宋" w:cs="仿宋"/>
          <w:spacing w:val="0"/>
          <w:sz w:val="28"/>
          <w:szCs w:val="28"/>
        </w:rPr>
        <w:t>估价对象</w:t>
      </w:r>
      <w:r>
        <w:rPr>
          <w:rFonts w:hint="eastAsia" w:ascii="仿宋" w:hAnsi="仿宋" w:eastAsia="仿宋" w:cs="仿宋"/>
          <w:b/>
          <w:bCs/>
          <w:spacing w:val="0"/>
          <w:sz w:val="28"/>
          <w:szCs w:val="28"/>
          <w:lang w:eastAsia="zh-CN"/>
        </w:rPr>
        <w:t>水印康庭公寓6幢1单元1102室</w:t>
      </w:r>
      <w:r>
        <w:rPr>
          <w:rFonts w:hint="eastAsia" w:ascii="仿宋" w:hAnsi="仿宋" w:eastAsia="仿宋" w:cs="仿宋"/>
          <w:b w:val="0"/>
          <w:bCs w:val="0"/>
          <w:spacing w:val="0"/>
          <w:sz w:val="28"/>
          <w:szCs w:val="28"/>
          <w:lang w:val="en-US" w:eastAsia="zh-CN"/>
        </w:rPr>
        <w:t>所在建筑物建成于2006年，钢筋混凝土结构，总层数为地上十一层，该建筑物共设两个单元，外墙贴面砖，估价对象所在单元的平面布局为一梯两户，配有一部电梯，估价对象</w:t>
      </w:r>
      <w:r>
        <w:rPr>
          <w:rFonts w:hint="eastAsia" w:ascii="仿宋" w:hAnsi="仿宋" w:eastAsia="仿宋" w:cs="仿宋"/>
          <w:spacing w:val="0"/>
          <w:sz w:val="28"/>
          <w:szCs w:val="28"/>
        </w:rPr>
        <w:t>位于该幢建筑物</w:t>
      </w:r>
      <w:r>
        <w:rPr>
          <w:rFonts w:hint="eastAsia" w:ascii="仿宋" w:hAnsi="仿宋" w:eastAsia="仿宋" w:cs="仿宋"/>
          <w:spacing w:val="0"/>
          <w:sz w:val="28"/>
          <w:szCs w:val="28"/>
          <w:lang w:val="en-US" w:eastAsia="zh-CN"/>
        </w:rPr>
        <w:t>顶层，</w:t>
      </w:r>
      <w:r>
        <w:rPr>
          <w:rFonts w:hint="eastAsia" w:ascii="仿宋" w:hAnsi="仿宋" w:eastAsia="仿宋" w:cs="仿宋"/>
          <w:b w:val="0"/>
          <w:bCs w:val="0"/>
          <w:spacing w:val="0"/>
          <w:sz w:val="28"/>
          <w:szCs w:val="28"/>
          <w:lang w:val="en-US" w:eastAsia="zh-CN"/>
        </w:rPr>
        <w:t>中间套</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lang w:val="en-US" w:eastAsia="zh-CN"/>
        </w:rPr>
        <w:t>室内格局为三室两厅一厨两卫，三卧室均朝南，厨房、客厅朝北；卧室、厅地面铺木地板；厨房地面铺地砖，墙面贴面砖，配有橱房上下柜、油烟机、嵌入式煤气灶等；卫生间地面铺地砖，墙面贴面砖，配有座便器、淋浴房、洗脸台</w:t>
      </w:r>
      <w:r>
        <w:rPr>
          <w:rFonts w:hint="eastAsia" w:ascii="仿宋" w:hAnsi="仿宋" w:eastAsia="仿宋" w:cs="仿宋"/>
          <w:bCs/>
          <w:spacing w:val="0"/>
          <w:sz w:val="28"/>
          <w:lang w:val="en-US" w:eastAsia="zh-CN"/>
        </w:rPr>
        <w:t>。</w:t>
      </w:r>
      <w:r>
        <w:rPr>
          <w:rFonts w:hint="eastAsia" w:ascii="仿宋" w:hAnsi="仿宋" w:eastAsia="仿宋" w:cs="仿宋"/>
          <w:bCs/>
          <w:spacing w:val="0"/>
          <w:sz w:val="28"/>
          <w:lang w:eastAsia="zh-CN"/>
        </w:rPr>
        <w:t>（</w:t>
      </w:r>
      <w:r>
        <w:rPr>
          <w:rFonts w:hint="eastAsia" w:ascii="仿宋" w:hAnsi="仿宋" w:eastAsia="仿宋" w:cs="仿宋"/>
          <w:bCs/>
          <w:spacing w:val="0"/>
          <w:sz w:val="28"/>
          <w:lang w:val="en-US" w:eastAsia="zh-CN"/>
        </w:rPr>
        <w:t>详见平面示意图）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drawing>
          <wp:inline distT="0" distB="0" distL="114300" distR="114300">
            <wp:extent cx="2381885" cy="2736215"/>
            <wp:effectExtent l="0" t="0" r="1841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rcRect l="31975" t="8549" r="38693" b="8549"/>
                    <a:stretch>
                      <a:fillRect/>
                    </a:stretch>
                  </pic:blipFill>
                  <pic:spPr>
                    <a:xfrm>
                      <a:off x="0" y="0"/>
                      <a:ext cx="2381885" cy="27362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lang w:val="en-US" w:eastAsia="zh-CN"/>
        </w:rPr>
        <w:t>估价对象室内平面示意图</w:t>
      </w:r>
    </w:p>
    <w:p>
      <w:pPr>
        <w:spacing w:line="560" w:lineRule="exact"/>
        <w:ind w:firstLine="555"/>
        <w:rPr>
          <w:rFonts w:hint="eastAsia" w:ascii="仿宋" w:hAnsi="仿宋" w:eastAsia="仿宋"/>
          <w:b/>
          <w:color w:val="000000"/>
          <w:spacing w:val="0"/>
          <w:sz w:val="28"/>
        </w:rPr>
      </w:pPr>
      <w:r>
        <w:rPr>
          <w:rFonts w:hint="eastAsia" w:ascii="仿宋" w:hAnsi="仿宋" w:eastAsia="仿宋"/>
          <w:b/>
          <w:color w:val="000000"/>
          <w:spacing w:val="0"/>
          <w:sz w:val="28"/>
        </w:rPr>
        <w:t>2.</w:t>
      </w:r>
      <w:r>
        <w:rPr>
          <w:rFonts w:hint="eastAsia" w:ascii="仿宋" w:hAnsi="仿宋" w:eastAsia="仿宋"/>
          <w:b/>
          <w:color w:val="000000"/>
          <w:spacing w:val="0"/>
          <w:sz w:val="28"/>
          <w:highlight w:val="none"/>
        </w:rPr>
        <w:t>土地实体状况</w:t>
      </w:r>
    </w:p>
    <w:p>
      <w:pPr>
        <w:pStyle w:val="5"/>
        <w:spacing w:line="560" w:lineRule="exact"/>
        <w:ind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rPr>
        <w:t>估价对象坐落于</w:t>
      </w:r>
      <w:r>
        <w:rPr>
          <w:rFonts w:hint="eastAsia" w:ascii="仿宋" w:hAnsi="仿宋" w:eastAsia="仿宋"/>
          <w:b w:val="0"/>
          <w:color w:val="000000"/>
          <w:sz w:val="28"/>
          <w:szCs w:val="28"/>
          <w:lang w:eastAsia="zh-CN"/>
        </w:rPr>
        <w:t>杭州市下城区水印康庭公寓6幢1单元1102室</w:t>
      </w:r>
      <w:r>
        <w:rPr>
          <w:rFonts w:hint="eastAsia" w:ascii="仿宋" w:hAnsi="仿宋" w:eastAsia="仿宋"/>
          <w:b w:val="0"/>
          <w:color w:val="000000"/>
          <w:sz w:val="28"/>
          <w:szCs w:val="28"/>
        </w:rPr>
        <w:t>，所在项目宗地</w:t>
      </w:r>
      <w:r>
        <w:rPr>
          <w:rFonts w:hint="default" w:ascii="仿宋" w:hAnsi="仿宋" w:eastAsia="仿宋" w:cs="仿宋"/>
          <w:b w:val="0"/>
          <w:bCs w:val="0"/>
          <w:spacing w:val="0"/>
          <w:sz w:val="28"/>
          <w:szCs w:val="28"/>
          <w:lang w:val="en-US" w:eastAsia="zh-CN"/>
        </w:rPr>
        <w:t>东至</w:t>
      </w:r>
      <w:r>
        <w:rPr>
          <w:rFonts w:hint="eastAsia" w:ascii="仿宋" w:hAnsi="仿宋" w:eastAsia="仿宋" w:cs="仿宋"/>
          <w:b w:val="0"/>
          <w:bCs w:val="0"/>
          <w:spacing w:val="0"/>
          <w:sz w:val="28"/>
          <w:szCs w:val="28"/>
          <w:lang w:val="en-US" w:eastAsia="zh-CN"/>
        </w:rPr>
        <w:t>再行路</w:t>
      </w:r>
      <w:r>
        <w:rPr>
          <w:rFonts w:hint="default" w:ascii="仿宋" w:hAnsi="仿宋" w:eastAsia="仿宋" w:cs="仿宋"/>
          <w:b w:val="0"/>
          <w:bCs w:val="0"/>
          <w:spacing w:val="0"/>
          <w:sz w:val="28"/>
          <w:szCs w:val="28"/>
          <w:lang w:val="en-US" w:eastAsia="zh-CN"/>
        </w:rPr>
        <w:t>，南至</w:t>
      </w:r>
      <w:r>
        <w:rPr>
          <w:rFonts w:hint="eastAsia" w:ascii="仿宋" w:hAnsi="仿宋" w:eastAsia="仿宋" w:cs="仿宋"/>
          <w:b w:val="0"/>
          <w:bCs w:val="0"/>
          <w:spacing w:val="0"/>
          <w:sz w:val="28"/>
          <w:szCs w:val="28"/>
          <w:lang w:val="en-US" w:eastAsia="zh-CN"/>
        </w:rPr>
        <w:t>西文街</w:t>
      </w:r>
      <w:r>
        <w:rPr>
          <w:rFonts w:hint="default" w:ascii="仿宋" w:hAnsi="仿宋" w:eastAsia="仿宋" w:cs="仿宋"/>
          <w:b w:val="0"/>
          <w:bCs w:val="0"/>
          <w:spacing w:val="0"/>
          <w:sz w:val="28"/>
          <w:szCs w:val="28"/>
          <w:lang w:val="en-US" w:eastAsia="zh-CN"/>
        </w:rPr>
        <w:t>，西至</w:t>
      </w:r>
      <w:r>
        <w:rPr>
          <w:rFonts w:hint="eastAsia" w:ascii="仿宋" w:hAnsi="仿宋" w:eastAsia="仿宋" w:cs="仿宋"/>
          <w:b w:val="0"/>
          <w:bCs w:val="0"/>
          <w:spacing w:val="0"/>
          <w:sz w:val="28"/>
          <w:szCs w:val="28"/>
          <w:lang w:val="en-US" w:eastAsia="zh-CN"/>
        </w:rPr>
        <w:t>白石巷</w:t>
      </w:r>
      <w:r>
        <w:rPr>
          <w:rFonts w:hint="default" w:ascii="仿宋" w:hAnsi="仿宋" w:eastAsia="仿宋" w:cs="仿宋"/>
          <w:b w:val="0"/>
          <w:bCs w:val="0"/>
          <w:spacing w:val="0"/>
          <w:sz w:val="28"/>
          <w:szCs w:val="28"/>
          <w:lang w:val="en-US" w:eastAsia="zh-CN"/>
        </w:rPr>
        <w:t>，北至</w:t>
      </w:r>
      <w:r>
        <w:rPr>
          <w:rFonts w:hint="eastAsia" w:ascii="仿宋" w:hAnsi="仿宋" w:eastAsia="仿宋" w:cs="仿宋"/>
          <w:b w:val="0"/>
          <w:bCs w:val="0"/>
          <w:spacing w:val="0"/>
          <w:sz w:val="28"/>
          <w:szCs w:val="28"/>
          <w:lang w:val="en-US" w:eastAsia="zh-CN"/>
        </w:rPr>
        <w:t>河道</w:t>
      </w:r>
      <w:r>
        <w:rPr>
          <w:rFonts w:hint="eastAsia" w:ascii="仿宋" w:hAnsi="仿宋" w:eastAsia="仿宋"/>
          <w:b w:val="0"/>
          <w:color w:val="000000"/>
          <w:sz w:val="28"/>
          <w:szCs w:val="28"/>
          <w:lang w:eastAsia="zh-CN"/>
        </w:rPr>
        <w:t>；</w:t>
      </w:r>
      <w:r>
        <w:rPr>
          <w:rFonts w:hint="eastAsia" w:ascii="仿宋" w:hAnsi="仿宋" w:eastAsia="仿宋"/>
          <w:b w:val="0"/>
          <w:color w:val="000000"/>
          <w:sz w:val="28"/>
          <w:szCs w:val="28"/>
          <w:lang w:val="en-US" w:eastAsia="zh-CN"/>
        </w:rPr>
        <w:t>土地使用权面积为12平方米，国有出让用地，</w:t>
      </w:r>
      <w:r>
        <w:rPr>
          <w:rFonts w:hint="eastAsia" w:ascii="仿宋" w:hAnsi="仿宋" w:eastAsia="仿宋"/>
          <w:b w:val="0"/>
          <w:color w:val="000000"/>
          <w:sz w:val="28"/>
          <w:szCs w:val="28"/>
        </w:rPr>
        <w:t>土地使用权终止日期为</w:t>
      </w:r>
      <w:r>
        <w:rPr>
          <w:rFonts w:hint="eastAsia" w:ascii="仿宋" w:hAnsi="仿宋" w:eastAsia="仿宋"/>
          <w:b w:val="0"/>
          <w:color w:val="000000"/>
          <w:sz w:val="28"/>
          <w:szCs w:val="28"/>
          <w:lang w:eastAsia="zh-CN"/>
        </w:rPr>
        <w:t>2073年12月11日</w:t>
      </w:r>
      <w:r>
        <w:rPr>
          <w:rFonts w:hint="eastAsia" w:ascii="仿宋" w:hAnsi="仿宋" w:eastAsia="仿宋"/>
          <w:b w:val="0"/>
          <w:color w:val="000000"/>
          <w:sz w:val="28"/>
          <w:szCs w:val="28"/>
        </w:rPr>
        <w:t>。地块形状较规则，地形地势较平坦，地质水文状况较好，基础设施完备程度较高。土地开发程度为“六通一平”（通路、通上水、通下水、通电、通讯、通气和场地平整）。</w:t>
      </w:r>
    </w:p>
    <w:p>
      <w:pPr>
        <w:pStyle w:val="5"/>
        <w:spacing w:line="560" w:lineRule="exact"/>
        <w:ind w:firstLine="562" w:firstLineChars="200"/>
        <w:rPr>
          <w:rFonts w:hint="eastAsia" w:ascii="仿宋" w:hAnsi="仿宋" w:eastAsia="仿宋"/>
          <w:color w:val="000000"/>
          <w:sz w:val="28"/>
        </w:rPr>
      </w:pPr>
      <w:r>
        <w:rPr>
          <w:rFonts w:hint="eastAsia" w:ascii="仿宋" w:hAnsi="仿宋" w:eastAsia="仿宋"/>
          <w:color w:val="000000"/>
          <w:sz w:val="28"/>
        </w:rPr>
        <w:t>（二）</w:t>
      </w:r>
      <w:r>
        <w:rPr>
          <w:rFonts w:hint="eastAsia" w:ascii="仿宋" w:hAnsi="仿宋" w:eastAsia="仿宋"/>
          <w:color w:val="000000"/>
          <w:sz w:val="28"/>
          <w:highlight w:val="none"/>
        </w:rPr>
        <w:t>估价对象权属概况</w:t>
      </w:r>
    </w:p>
    <w:p>
      <w:pPr>
        <w:spacing w:line="560" w:lineRule="exact"/>
        <w:ind w:firstLine="560" w:firstLineChars="200"/>
        <w:rPr>
          <w:rFonts w:hint="eastAsia" w:ascii="仿宋" w:hAnsi="仿宋" w:eastAsia="仿宋"/>
          <w:color w:val="000000"/>
          <w:spacing w:val="0"/>
          <w:sz w:val="28"/>
          <w:szCs w:val="28"/>
        </w:rPr>
      </w:pPr>
      <w:r>
        <w:rPr>
          <w:rFonts w:hint="eastAsia" w:ascii="仿宋" w:hAnsi="仿宋" w:eastAsia="仿宋"/>
          <w:color w:val="000000"/>
          <w:sz w:val="28"/>
        </w:rPr>
        <w:t>根据估价人员从</w:t>
      </w:r>
      <w:r>
        <w:rPr>
          <w:rFonts w:hint="eastAsia" w:ascii="仿宋" w:hAnsi="仿宋" w:eastAsia="仿宋"/>
          <w:color w:val="000000"/>
          <w:sz w:val="28"/>
          <w:lang w:eastAsia="zh-CN"/>
        </w:rPr>
        <w:t>杭州市规划和自然资源局查询获取的《杭州市不动产登记信息查询记录》、《房地产平面图》</w:t>
      </w:r>
      <w:r>
        <w:rPr>
          <w:rFonts w:hint="eastAsia" w:ascii="仿宋" w:hAnsi="仿宋" w:eastAsia="仿宋"/>
          <w:color w:val="000000"/>
          <w:spacing w:val="0"/>
          <w:sz w:val="28"/>
          <w:szCs w:val="28"/>
        </w:rPr>
        <w:t>得知：</w:t>
      </w:r>
    </w:p>
    <w:p>
      <w:pPr>
        <w:spacing w:line="560" w:lineRule="exact"/>
        <w:ind w:firstLine="560" w:firstLineChars="200"/>
        <w:rPr>
          <w:rFonts w:hint="eastAsia" w:ascii="仿宋" w:hAnsi="仿宋" w:eastAsia="仿宋"/>
          <w:b w:val="0"/>
          <w:bCs/>
          <w:color w:val="000000"/>
          <w:spacing w:val="0"/>
          <w:kern w:val="2"/>
          <w:sz w:val="28"/>
          <w:szCs w:val="28"/>
          <w:lang w:val="en-US" w:eastAsia="zh-CN" w:bidi="ar-SA"/>
        </w:rPr>
      </w:pPr>
      <w:r>
        <w:rPr>
          <w:rFonts w:hint="eastAsia" w:ascii="仿宋" w:hAnsi="仿宋" w:eastAsia="仿宋"/>
          <w:b w:val="0"/>
          <w:bCs/>
          <w:color w:val="000000"/>
          <w:spacing w:val="0"/>
          <w:kern w:val="2"/>
          <w:sz w:val="28"/>
          <w:szCs w:val="28"/>
          <w:lang w:val="en-US" w:eastAsia="zh-CN" w:bidi="ar-SA"/>
        </w:rPr>
        <w:t>不动产坐落：杭州市下城区水印康庭公寓6幢1单元1102室；用途：住宅；建筑面积：122.49㎡；土地使用权面积：12㎡；使用期限：——至2073年12月11日；限制信息：房产：有查封，有抵押，宗地：有查封，无抵押。权利人：黄永华、章利华；权证号(证明号)：杭房权证下移字第09734729号，杭房权证下移字第09734730号；权利类型：房屋（构筑物）所有权；权利性质：/存量房产；共有情况：共同共有；登记日期：2009年10月22日；权利状态：现状；</w:t>
      </w:r>
    </w:p>
    <w:p>
      <w:pPr>
        <w:pStyle w:val="5"/>
        <w:spacing w:line="560" w:lineRule="exact"/>
        <w:ind w:firstLine="560" w:firstLineChars="200"/>
        <w:rPr>
          <w:rFonts w:hint="eastAsia" w:ascii="仿宋" w:hAnsi="仿宋" w:eastAsia="仿宋"/>
          <w:b w:val="0"/>
          <w:color w:val="000000"/>
          <w:sz w:val="28"/>
          <w:szCs w:val="28"/>
        </w:rPr>
      </w:pPr>
      <w:r>
        <w:rPr>
          <w:rFonts w:hint="eastAsia" w:ascii="仿宋" w:hAnsi="仿宋" w:eastAsia="仿宋"/>
          <w:b w:val="0"/>
          <w:color w:val="000000"/>
          <w:sz w:val="28"/>
          <w:szCs w:val="28"/>
        </w:rPr>
        <w:t>本次估价范围包括估价对象</w:t>
      </w:r>
      <w:r>
        <w:rPr>
          <w:rFonts w:hint="eastAsia" w:ascii="仿宋" w:hAnsi="仿宋" w:eastAsia="仿宋"/>
          <w:b w:val="0"/>
          <w:bCs/>
          <w:color w:val="000000"/>
          <w:sz w:val="28"/>
          <w:szCs w:val="28"/>
        </w:rPr>
        <w:t>房屋所有权、土地剩余使用年期的使用权及</w:t>
      </w:r>
      <w:r>
        <w:rPr>
          <w:rFonts w:eastAsia="仿宋"/>
          <w:b w:val="0"/>
          <w:bCs/>
          <w:color w:val="000000"/>
          <w:sz w:val="28"/>
        </w:rPr>
        <w:t>与房地产不可</w:t>
      </w:r>
      <w:r>
        <w:rPr>
          <w:rFonts w:eastAsia="仿宋"/>
          <w:b w:val="0"/>
          <w:bCs/>
          <w:sz w:val="28"/>
        </w:rPr>
        <w:t>分割的水、电、</w:t>
      </w:r>
      <w:r>
        <w:rPr>
          <w:rFonts w:hint="eastAsia" w:eastAsia="仿宋"/>
          <w:b w:val="0"/>
          <w:bCs/>
          <w:sz w:val="28"/>
          <w:lang w:val="en-US" w:eastAsia="zh-CN"/>
        </w:rPr>
        <w:t>固定</w:t>
      </w:r>
      <w:r>
        <w:rPr>
          <w:rFonts w:eastAsia="仿宋"/>
          <w:b w:val="0"/>
          <w:bCs/>
          <w:sz w:val="28"/>
        </w:rPr>
        <w:t>装修以及</w:t>
      </w:r>
      <w:r>
        <w:rPr>
          <w:rFonts w:eastAsia="仿宋"/>
          <w:b w:val="0"/>
          <w:bCs/>
          <w:color w:val="000000"/>
          <w:sz w:val="28"/>
        </w:rPr>
        <w:t>配套的相关辅助设施</w:t>
      </w:r>
      <w:r>
        <w:rPr>
          <w:rFonts w:hint="eastAsia" w:ascii="仿宋" w:hAnsi="仿宋" w:eastAsia="仿宋"/>
          <w:b w:val="0"/>
          <w:color w:val="000000"/>
          <w:sz w:val="28"/>
          <w:szCs w:val="28"/>
        </w:rPr>
        <w:t>。</w:t>
      </w:r>
    </w:p>
    <w:p>
      <w:pPr>
        <w:spacing w:line="560" w:lineRule="exact"/>
        <w:ind w:firstLine="554" w:firstLineChars="197"/>
        <w:rPr>
          <w:rFonts w:hint="eastAsia" w:ascii="仿宋" w:hAnsi="仿宋" w:eastAsia="仿宋"/>
          <w:b/>
          <w:color w:val="000000"/>
          <w:spacing w:val="0"/>
          <w:sz w:val="28"/>
        </w:rPr>
      </w:pPr>
      <w:r>
        <w:rPr>
          <w:rFonts w:hint="eastAsia" w:ascii="仿宋" w:hAnsi="仿宋" w:eastAsia="仿宋"/>
          <w:b/>
          <w:color w:val="000000"/>
          <w:spacing w:val="0"/>
          <w:sz w:val="28"/>
        </w:rPr>
        <w:t>（三）估价对象所在区域概况</w:t>
      </w:r>
    </w:p>
    <w:p>
      <w:pPr>
        <w:pStyle w:val="5"/>
        <w:spacing w:line="560" w:lineRule="exact"/>
        <w:ind w:firstLine="560" w:firstLineChars="200"/>
        <w:rPr>
          <w:rFonts w:hint="eastAsia" w:ascii="仿宋" w:hAnsi="仿宋" w:eastAsia="仿宋"/>
          <w:b w:val="0"/>
          <w:sz w:val="28"/>
          <w:szCs w:val="28"/>
        </w:rPr>
      </w:pPr>
      <w:r>
        <w:rPr>
          <w:rFonts w:hint="eastAsia" w:ascii="仿宋" w:hAnsi="仿宋" w:eastAsia="仿宋"/>
          <w:b w:val="0"/>
          <w:sz w:val="28"/>
          <w:szCs w:val="28"/>
        </w:rPr>
        <w:t>1、位置：估价对象位于</w:t>
      </w:r>
      <w:r>
        <w:rPr>
          <w:rFonts w:hint="eastAsia" w:ascii="仿宋" w:hAnsi="仿宋" w:eastAsia="仿宋"/>
          <w:b w:val="0"/>
          <w:sz w:val="28"/>
          <w:szCs w:val="28"/>
          <w:lang w:eastAsia="zh-CN"/>
        </w:rPr>
        <w:t>杭州市下城区水印康庭公寓6幢1单元1102室</w:t>
      </w:r>
      <w:r>
        <w:rPr>
          <w:rFonts w:hint="eastAsia" w:ascii="仿宋" w:hAnsi="仿宋" w:eastAsia="仿宋"/>
          <w:b w:val="0"/>
          <w:sz w:val="28"/>
          <w:szCs w:val="28"/>
        </w:rPr>
        <w:t>，</w:t>
      </w:r>
      <w:r>
        <w:rPr>
          <w:rFonts w:hint="eastAsia" w:ascii="仿宋" w:hAnsi="仿宋" w:eastAsia="仿宋"/>
          <w:b w:val="0"/>
          <w:sz w:val="28"/>
          <w:szCs w:val="28"/>
          <w:lang w:val="en-US" w:eastAsia="zh-CN"/>
        </w:rPr>
        <w:t>小区</w:t>
      </w:r>
      <w:r>
        <w:rPr>
          <w:rFonts w:hint="default" w:ascii="仿宋" w:hAnsi="仿宋" w:eastAsia="仿宋" w:cs="仿宋"/>
          <w:b w:val="0"/>
          <w:bCs w:val="0"/>
          <w:spacing w:val="0"/>
          <w:sz w:val="28"/>
          <w:szCs w:val="28"/>
          <w:lang w:val="en-US" w:eastAsia="zh-CN"/>
        </w:rPr>
        <w:t>东至</w:t>
      </w:r>
      <w:r>
        <w:rPr>
          <w:rFonts w:hint="eastAsia" w:ascii="仿宋" w:hAnsi="仿宋" w:eastAsia="仿宋" w:cs="仿宋"/>
          <w:b w:val="0"/>
          <w:bCs w:val="0"/>
          <w:spacing w:val="0"/>
          <w:sz w:val="28"/>
          <w:szCs w:val="28"/>
          <w:lang w:val="en-US" w:eastAsia="zh-CN"/>
        </w:rPr>
        <w:t>再行路</w:t>
      </w:r>
      <w:r>
        <w:rPr>
          <w:rFonts w:hint="default" w:ascii="仿宋" w:hAnsi="仿宋" w:eastAsia="仿宋" w:cs="仿宋"/>
          <w:b w:val="0"/>
          <w:bCs w:val="0"/>
          <w:spacing w:val="0"/>
          <w:sz w:val="28"/>
          <w:szCs w:val="28"/>
          <w:lang w:val="en-US" w:eastAsia="zh-CN"/>
        </w:rPr>
        <w:t>，南至</w:t>
      </w:r>
      <w:r>
        <w:rPr>
          <w:rFonts w:hint="eastAsia" w:ascii="仿宋" w:hAnsi="仿宋" w:eastAsia="仿宋" w:cs="仿宋"/>
          <w:b w:val="0"/>
          <w:bCs w:val="0"/>
          <w:spacing w:val="0"/>
          <w:sz w:val="28"/>
          <w:szCs w:val="28"/>
          <w:lang w:val="en-US" w:eastAsia="zh-CN"/>
        </w:rPr>
        <w:t>西文街</w:t>
      </w:r>
      <w:r>
        <w:rPr>
          <w:rFonts w:hint="default" w:ascii="仿宋" w:hAnsi="仿宋" w:eastAsia="仿宋" w:cs="仿宋"/>
          <w:b w:val="0"/>
          <w:bCs w:val="0"/>
          <w:spacing w:val="0"/>
          <w:sz w:val="28"/>
          <w:szCs w:val="28"/>
          <w:lang w:val="en-US" w:eastAsia="zh-CN"/>
        </w:rPr>
        <w:t>，西至</w:t>
      </w:r>
      <w:r>
        <w:rPr>
          <w:rFonts w:hint="eastAsia" w:ascii="仿宋" w:hAnsi="仿宋" w:eastAsia="仿宋" w:cs="仿宋"/>
          <w:b w:val="0"/>
          <w:bCs w:val="0"/>
          <w:spacing w:val="0"/>
          <w:sz w:val="28"/>
          <w:szCs w:val="28"/>
          <w:lang w:val="en-US" w:eastAsia="zh-CN"/>
        </w:rPr>
        <w:t>白石巷</w:t>
      </w:r>
      <w:r>
        <w:rPr>
          <w:rFonts w:hint="default" w:ascii="仿宋" w:hAnsi="仿宋" w:eastAsia="仿宋" w:cs="仿宋"/>
          <w:b w:val="0"/>
          <w:bCs w:val="0"/>
          <w:spacing w:val="0"/>
          <w:sz w:val="28"/>
          <w:szCs w:val="28"/>
          <w:lang w:val="en-US" w:eastAsia="zh-CN"/>
        </w:rPr>
        <w:t>，北至</w:t>
      </w:r>
      <w:r>
        <w:rPr>
          <w:rFonts w:hint="eastAsia" w:ascii="仿宋" w:hAnsi="仿宋" w:eastAsia="仿宋" w:cs="仿宋"/>
          <w:b w:val="0"/>
          <w:bCs w:val="0"/>
          <w:spacing w:val="0"/>
          <w:sz w:val="28"/>
          <w:szCs w:val="28"/>
          <w:lang w:val="en-US" w:eastAsia="zh-CN"/>
        </w:rPr>
        <w:t>河道</w:t>
      </w:r>
      <w:r>
        <w:rPr>
          <w:rFonts w:hint="eastAsia" w:ascii="仿宋" w:hAnsi="仿宋" w:eastAsia="仿宋"/>
          <w:b w:val="0"/>
          <w:sz w:val="28"/>
          <w:szCs w:val="28"/>
        </w:rPr>
        <w:t>。</w:t>
      </w:r>
    </w:p>
    <w:p>
      <w:pPr>
        <w:pStyle w:val="5"/>
        <w:spacing w:line="560" w:lineRule="exact"/>
        <w:ind w:firstLine="560" w:firstLineChars="200"/>
        <w:rPr>
          <w:rFonts w:hint="eastAsia" w:ascii="仿宋" w:hAnsi="仿宋" w:eastAsia="仿宋"/>
          <w:b w:val="0"/>
          <w:sz w:val="28"/>
          <w:szCs w:val="28"/>
        </w:rPr>
      </w:pPr>
      <w:r>
        <w:rPr>
          <w:rFonts w:hint="eastAsia" w:ascii="仿宋" w:hAnsi="仿宋" w:eastAsia="仿宋"/>
          <w:b w:val="0"/>
          <w:sz w:val="28"/>
          <w:szCs w:val="28"/>
        </w:rPr>
        <w:t>2、道路通达度：区域内</w:t>
      </w:r>
      <w:r>
        <w:rPr>
          <w:rFonts w:hint="eastAsia" w:ascii="仿宋" w:hAnsi="仿宋" w:eastAsia="仿宋"/>
          <w:b w:val="0"/>
          <w:sz w:val="28"/>
          <w:szCs w:val="28"/>
          <w:lang w:val="en-US" w:eastAsia="zh-CN"/>
        </w:rPr>
        <w:t>东新路、沈半路、石祥路</w:t>
      </w:r>
      <w:r>
        <w:rPr>
          <w:rFonts w:hint="eastAsia" w:ascii="仿宋" w:hAnsi="仿宋" w:eastAsia="仿宋"/>
          <w:b w:val="0"/>
          <w:sz w:val="28"/>
          <w:szCs w:val="28"/>
        </w:rPr>
        <w:t>等交通主干道，道路较通达。</w:t>
      </w:r>
    </w:p>
    <w:p>
      <w:pPr>
        <w:pStyle w:val="5"/>
        <w:spacing w:line="560" w:lineRule="exact"/>
        <w:ind w:firstLine="560" w:firstLineChars="200"/>
        <w:rPr>
          <w:rFonts w:hint="eastAsia" w:ascii="仿宋" w:hAnsi="仿宋" w:eastAsia="仿宋"/>
          <w:b w:val="0"/>
          <w:sz w:val="28"/>
          <w:szCs w:val="28"/>
        </w:rPr>
      </w:pPr>
      <w:r>
        <w:rPr>
          <w:rFonts w:hint="eastAsia" w:ascii="仿宋" w:hAnsi="仿宋" w:eastAsia="仿宋"/>
          <w:b w:val="0"/>
          <w:sz w:val="28"/>
          <w:szCs w:val="28"/>
        </w:rPr>
        <w:t>3、估价对象所在</w:t>
      </w:r>
      <w:r>
        <w:rPr>
          <w:rFonts w:hint="eastAsia" w:ascii="仿宋" w:hAnsi="仿宋" w:eastAsia="仿宋"/>
          <w:b w:val="0"/>
          <w:sz w:val="28"/>
          <w:szCs w:val="28"/>
          <w:lang w:val="en-US" w:eastAsia="zh-CN"/>
        </w:rPr>
        <w:t>的小区配有地上、地下停车位，</w:t>
      </w:r>
      <w:r>
        <w:rPr>
          <w:rFonts w:hint="eastAsia" w:ascii="仿宋" w:hAnsi="仿宋" w:eastAsia="仿宋"/>
          <w:b w:val="0"/>
          <w:sz w:val="28"/>
          <w:szCs w:val="28"/>
        </w:rPr>
        <w:t>所在区域车流量较大，停车位</w:t>
      </w:r>
      <w:r>
        <w:rPr>
          <w:rFonts w:hint="eastAsia" w:ascii="仿宋" w:hAnsi="仿宋" w:eastAsia="仿宋"/>
          <w:b w:val="0"/>
          <w:sz w:val="28"/>
          <w:szCs w:val="28"/>
          <w:lang w:val="en-US" w:eastAsia="zh-CN"/>
        </w:rPr>
        <w:t>仍</w:t>
      </w:r>
      <w:r>
        <w:rPr>
          <w:rFonts w:hint="eastAsia" w:ascii="仿宋" w:hAnsi="仿宋" w:eastAsia="仿宋"/>
          <w:b w:val="0"/>
          <w:sz w:val="28"/>
          <w:szCs w:val="28"/>
        </w:rPr>
        <w:t>较紧张。</w:t>
      </w:r>
    </w:p>
    <w:p>
      <w:pPr>
        <w:pStyle w:val="5"/>
        <w:spacing w:line="560" w:lineRule="exact"/>
        <w:ind w:firstLine="560" w:firstLineChars="200"/>
        <w:rPr>
          <w:rFonts w:hint="eastAsia" w:ascii="仿宋" w:hAnsi="仿宋" w:eastAsia="仿宋"/>
          <w:b w:val="0"/>
          <w:sz w:val="28"/>
          <w:szCs w:val="28"/>
        </w:rPr>
      </w:pPr>
      <w:r>
        <w:rPr>
          <w:rFonts w:hint="eastAsia" w:ascii="仿宋" w:hAnsi="仿宋" w:eastAsia="仿宋"/>
          <w:b w:val="0"/>
          <w:sz w:val="28"/>
          <w:szCs w:val="28"/>
        </w:rPr>
        <w:t>4、自然环境及景观：估价对象所在区域地势较平坦，无空气和水等污染源，周边自然景观条件较好。</w:t>
      </w:r>
    </w:p>
    <w:p>
      <w:pPr>
        <w:pStyle w:val="5"/>
        <w:spacing w:line="560" w:lineRule="exact"/>
        <w:ind w:firstLine="560" w:firstLineChars="200"/>
        <w:rPr>
          <w:rFonts w:hint="eastAsia" w:ascii="仿宋" w:hAnsi="仿宋" w:eastAsia="仿宋"/>
          <w:b w:val="0"/>
          <w:sz w:val="28"/>
          <w:szCs w:val="28"/>
        </w:rPr>
      </w:pPr>
      <w:r>
        <w:rPr>
          <w:rFonts w:hint="eastAsia" w:ascii="仿宋" w:hAnsi="仿宋" w:eastAsia="仿宋"/>
          <w:b w:val="0"/>
          <w:sz w:val="28"/>
          <w:szCs w:val="28"/>
        </w:rPr>
        <w:t>5、居住氛围：估价对象周边</w:t>
      </w:r>
      <w:r>
        <w:rPr>
          <w:rFonts w:hint="eastAsia" w:ascii="仿宋" w:hAnsi="仿宋" w:eastAsia="仿宋" w:cs="仿宋"/>
          <w:b w:val="0"/>
          <w:bCs w:val="0"/>
          <w:spacing w:val="0"/>
          <w:sz w:val="28"/>
          <w:szCs w:val="28"/>
          <w:lang w:val="en-US" w:eastAsia="zh-CN"/>
        </w:rPr>
        <w:t>中粮方圆府</w:t>
      </w:r>
      <w:r>
        <w:rPr>
          <w:rFonts w:hint="default" w:ascii="仿宋" w:hAnsi="仿宋" w:eastAsia="仿宋" w:cs="仿宋"/>
          <w:b w:val="0"/>
          <w:bCs w:val="0"/>
          <w:spacing w:val="0"/>
          <w:sz w:val="28"/>
          <w:szCs w:val="28"/>
          <w:lang w:val="en-US" w:eastAsia="zh-CN"/>
        </w:rPr>
        <w:t>、</w:t>
      </w:r>
      <w:r>
        <w:rPr>
          <w:rFonts w:hint="eastAsia" w:ascii="仿宋" w:hAnsi="仿宋" w:eastAsia="仿宋" w:cs="仿宋"/>
          <w:b w:val="0"/>
          <w:bCs w:val="0"/>
          <w:spacing w:val="0"/>
          <w:sz w:val="28"/>
          <w:szCs w:val="28"/>
          <w:lang w:val="en-US" w:eastAsia="zh-CN"/>
        </w:rPr>
        <w:t>灯塔公寓</w:t>
      </w:r>
      <w:r>
        <w:rPr>
          <w:rFonts w:hint="default" w:ascii="仿宋" w:hAnsi="仿宋" w:eastAsia="仿宋" w:cs="仿宋"/>
          <w:b w:val="0"/>
          <w:bCs w:val="0"/>
          <w:spacing w:val="0"/>
          <w:sz w:val="28"/>
          <w:szCs w:val="28"/>
          <w:lang w:val="en-US" w:eastAsia="zh-CN"/>
        </w:rPr>
        <w:t>、</w:t>
      </w:r>
      <w:r>
        <w:rPr>
          <w:rFonts w:hint="eastAsia" w:ascii="仿宋" w:hAnsi="仿宋" w:eastAsia="仿宋" w:cs="仿宋"/>
          <w:b w:val="0"/>
          <w:bCs w:val="0"/>
          <w:spacing w:val="0"/>
          <w:sz w:val="28"/>
          <w:szCs w:val="28"/>
          <w:lang w:val="en-US" w:eastAsia="zh-CN"/>
        </w:rPr>
        <w:t>万和玺园、三塘竹园、漾河公寓</w:t>
      </w:r>
      <w:r>
        <w:rPr>
          <w:rFonts w:hint="default" w:ascii="仿宋" w:hAnsi="仿宋" w:eastAsia="仿宋" w:cs="仿宋"/>
          <w:b w:val="0"/>
          <w:bCs w:val="0"/>
          <w:spacing w:val="0"/>
          <w:sz w:val="28"/>
          <w:szCs w:val="28"/>
          <w:lang w:val="en-US" w:eastAsia="zh-CN"/>
        </w:rPr>
        <w:t>等</w:t>
      </w:r>
      <w:r>
        <w:rPr>
          <w:rFonts w:hint="eastAsia" w:ascii="仿宋" w:hAnsi="仿宋" w:eastAsia="仿宋"/>
          <w:b w:val="0"/>
          <w:sz w:val="28"/>
          <w:szCs w:val="28"/>
          <w:lang w:val="en-US" w:eastAsia="zh-CN"/>
        </w:rPr>
        <w:t>住宅小区</w:t>
      </w:r>
      <w:r>
        <w:rPr>
          <w:rFonts w:hint="eastAsia" w:ascii="仿宋" w:hAnsi="仿宋" w:eastAsia="仿宋"/>
          <w:b w:val="0"/>
          <w:sz w:val="28"/>
          <w:szCs w:val="28"/>
        </w:rPr>
        <w:t>。</w:t>
      </w:r>
    </w:p>
    <w:p>
      <w:pPr>
        <w:pStyle w:val="5"/>
        <w:spacing w:line="560" w:lineRule="exact"/>
        <w:ind w:firstLine="560" w:firstLineChars="200"/>
        <w:rPr>
          <w:rFonts w:hint="eastAsia" w:ascii="仿宋" w:hAnsi="仿宋" w:eastAsia="仿宋"/>
          <w:b w:val="0"/>
          <w:sz w:val="28"/>
          <w:szCs w:val="28"/>
        </w:rPr>
      </w:pPr>
      <w:r>
        <w:rPr>
          <w:rFonts w:hint="eastAsia" w:ascii="仿宋" w:hAnsi="仿宋" w:eastAsia="仿宋"/>
          <w:b w:val="0"/>
          <w:sz w:val="28"/>
          <w:szCs w:val="28"/>
        </w:rPr>
        <w:t>6、基础设施完善度：区域市政设施达到基本配置“六通一平”标准。</w:t>
      </w:r>
    </w:p>
    <w:p>
      <w:pPr>
        <w:pStyle w:val="5"/>
        <w:spacing w:line="560" w:lineRule="exact"/>
        <w:ind w:firstLine="560" w:firstLineChars="200"/>
        <w:rPr>
          <w:rFonts w:hint="eastAsia" w:ascii="仿宋" w:hAnsi="仿宋" w:eastAsia="仿宋"/>
          <w:b w:val="0"/>
          <w:color w:val="000000"/>
          <w:sz w:val="28"/>
          <w:szCs w:val="28"/>
          <w:lang w:val="en-US" w:eastAsia="zh-CN"/>
        </w:rPr>
      </w:pPr>
      <w:r>
        <w:rPr>
          <w:rFonts w:hint="eastAsia" w:ascii="仿宋" w:hAnsi="仿宋" w:eastAsia="仿宋"/>
          <w:b w:val="0"/>
          <w:color w:val="000000"/>
          <w:sz w:val="28"/>
          <w:szCs w:val="28"/>
        </w:rPr>
        <w:t>7、公共配套设施：</w:t>
      </w:r>
      <w:r>
        <w:rPr>
          <w:rFonts w:hint="default" w:ascii="仿宋" w:hAnsi="仿宋" w:eastAsia="仿宋" w:cs="仿宋"/>
          <w:b w:val="0"/>
          <w:bCs w:val="0"/>
          <w:spacing w:val="0"/>
          <w:sz w:val="28"/>
          <w:szCs w:val="28"/>
          <w:lang w:val="en-US" w:eastAsia="zh-CN"/>
        </w:rPr>
        <w:t>有</w:t>
      </w:r>
      <w:r>
        <w:rPr>
          <w:rFonts w:hint="eastAsia" w:ascii="仿宋" w:hAnsi="仿宋" w:eastAsia="仿宋" w:cs="仿宋"/>
          <w:b w:val="0"/>
          <w:bCs w:val="0"/>
          <w:spacing w:val="0"/>
          <w:sz w:val="28"/>
          <w:szCs w:val="28"/>
          <w:lang w:val="en-US" w:eastAsia="zh-CN"/>
        </w:rPr>
        <w:t>杭州市西园实验幼儿园、杭州长江实验小学、杭州市风帆中学、西联广场</w:t>
      </w:r>
      <w:r>
        <w:rPr>
          <w:rFonts w:hint="default" w:ascii="仿宋" w:hAnsi="仿宋" w:eastAsia="仿宋" w:cs="仿宋"/>
          <w:b w:val="0"/>
          <w:bCs w:val="0"/>
          <w:spacing w:val="0"/>
          <w:sz w:val="28"/>
          <w:szCs w:val="28"/>
          <w:lang w:val="en-US" w:eastAsia="zh-CN"/>
        </w:rPr>
        <w:t>、</w:t>
      </w:r>
      <w:r>
        <w:rPr>
          <w:rFonts w:hint="eastAsia" w:ascii="仿宋" w:hAnsi="仿宋" w:eastAsia="仿宋" w:cs="仿宋"/>
          <w:b w:val="0"/>
          <w:bCs w:val="0"/>
          <w:spacing w:val="0"/>
          <w:sz w:val="28"/>
          <w:szCs w:val="28"/>
          <w:lang w:val="en-US" w:eastAsia="zh-CN"/>
        </w:rPr>
        <w:t>物美</w:t>
      </w:r>
      <w:r>
        <w:rPr>
          <w:rFonts w:hint="default" w:ascii="仿宋" w:hAnsi="仿宋" w:eastAsia="仿宋" w:cs="仿宋"/>
          <w:b w:val="0"/>
          <w:bCs w:val="0"/>
          <w:spacing w:val="0"/>
          <w:sz w:val="28"/>
          <w:szCs w:val="28"/>
          <w:lang w:val="en-US" w:eastAsia="zh-CN"/>
        </w:rPr>
        <w:t>超市、</w:t>
      </w:r>
      <w:r>
        <w:rPr>
          <w:rFonts w:hint="eastAsia" w:ascii="仿宋" w:hAnsi="仿宋" w:eastAsia="仿宋" w:cs="仿宋"/>
          <w:b w:val="0"/>
          <w:bCs w:val="0"/>
          <w:spacing w:val="0"/>
          <w:sz w:val="28"/>
          <w:szCs w:val="28"/>
          <w:lang w:val="en-US" w:eastAsia="zh-CN"/>
        </w:rPr>
        <w:t>城北体育公园、西文公园等相关配套；</w:t>
      </w:r>
    </w:p>
    <w:p>
      <w:pPr>
        <w:pStyle w:val="5"/>
        <w:spacing w:line="560" w:lineRule="exact"/>
        <w:ind w:firstLine="560" w:firstLineChars="200"/>
        <w:rPr>
          <w:rFonts w:hint="default" w:ascii="仿宋" w:hAnsi="仿宋" w:eastAsia="仿宋"/>
          <w:color w:val="000000"/>
          <w:sz w:val="28"/>
          <w:szCs w:val="28"/>
          <w:lang w:val="en-US" w:eastAsia="zh-CN"/>
        </w:rPr>
      </w:pPr>
      <w:r>
        <w:rPr>
          <w:rFonts w:hint="eastAsia" w:ascii="仿宋" w:hAnsi="仿宋" w:eastAsia="仿宋"/>
          <w:b w:val="0"/>
          <w:bCs/>
          <w:color w:val="000000"/>
          <w:sz w:val="28"/>
          <w:szCs w:val="28"/>
          <w:lang w:val="en-US" w:eastAsia="zh-CN"/>
        </w:rPr>
        <w:t>8、公共交通：</w:t>
      </w:r>
      <w:r>
        <w:rPr>
          <w:rFonts w:hint="default" w:ascii="仿宋" w:hAnsi="仿宋" w:eastAsia="仿宋" w:cs="仿宋"/>
          <w:b w:val="0"/>
          <w:bCs w:val="0"/>
          <w:spacing w:val="0"/>
          <w:sz w:val="28"/>
          <w:szCs w:val="28"/>
          <w:lang w:val="en-US" w:eastAsia="zh-CN"/>
        </w:rPr>
        <w:t>附近设有</w:t>
      </w:r>
      <w:r>
        <w:rPr>
          <w:rFonts w:hint="eastAsia" w:ascii="仿宋" w:hAnsi="仿宋" w:eastAsia="仿宋" w:cs="仿宋"/>
          <w:b w:val="0"/>
          <w:bCs w:val="0"/>
          <w:spacing w:val="0"/>
          <w:sz w:val="28"/>
          <w:szCs w:val="28"/>
          <w:lang w:val="en-US" w:eastAsia="zh-CN"/>
        </w:rPr>
        <w:t>西文街公交站</w:t>
      </w:r>
      <w:r>
        <w:rPr>
          <w:rFonts w:hint="default" w:ascii="仿宋" w:hAnsi="仿宋" w:eastAsia="仿宋" w:cs="仿宋"/>
          <w:b w:val="0"/>
          <w:bCs w:val="0"/>
          <w:spacing w:val="0"/>
          <w:sz w:val="28"/>
          <w:szCs w:val="28"/>
          <w:lang w:val="en-US" w:eastAsia="zh-CN"/>
        </w:rPr>
        <w:t>、</w:t>
      </w:r>
      <w:r>
        <w:rPr>
          <w:rFonts w:hint="eastAsia" w:ascii="仿宋" w:hAnsi="仿宋" w:eastAsia="仿宋" w:cs="仿宋"/>
          <w:b w:val="0"/>
          <w:bCs w:val="0"/>
          <w:spacing w:val="0"/>
          <w:sz w:val="28"/>
          <w:szCs w:val="28"/>
          <w:lang w:val="en-US" w:eastAsia="zh-CN"/>
        </w:rPr>
        <w:t>西湖漾河桥站、颜家村站</w:t>
      </w:r>
      <w:r>
        <w:rPr>
          <w:rFonts w:hint="default" w:ascii="仿宋" w:hAnsi="仿宋" w:eastAsia="仿宋" w:cs="仿宋"/>
          <w:b w:val="0"/>
          <w:bCs w:val="0"/>
          <w:spacing w:val="0"/>
          <w:sz w:val="28"/>
          <w:szCs w:val="28"/>
          <w:lang w:val="en-US" w:eastAsia="zh-CN"/>
        </w:rPr>
        <w:t>等公交站，有</w:t>
      </w:r>
      <w:r>
        <w:rPr>
          <w:rFonts w:hint="eastAsia" w:ascii="仿宋" w:hAnsi="仿宋" w:eastAsia="仿宋" w:cs="仿宋"/>
          <w:b w:val="0"/>
          <w:bCs w:val="0"/>
          <w:spacing w:val="0"/>
          <w:sz w:val="28"/>
          <w:szCs w:val="28"/>
          <w:lang w:val="en-US" w:eastAsia="zh-CN"/>
        </w:rPr>
        <w:t>34、46、77、7292、41、75、85、187等多</w:t>
      </w:r>
      <w:r>
        <w:rPr>
          <w:rFonts w:hint="default" w:ascii="仿宋" w:hAnsi="仿宋" w:eastAsia="仿宋" w:cs="仿宋"/>
          <w:b w:val="0"/>
          <w:bCs w:val="0"/>
          <w:spacing w:val="0"/>
          <w:sz w:val="28"/>
          <w:szCs w:val="28"/>
          <w:lang w:val="en-US" w:eastAsia="zh-CN"/>
        </w:rPr>
        <w:t>路公交车停靠，地铁</w:t>
      </w:r>
      <w:r>
        <w:rPr>
          <w:rFonts w:hint="eastAsia" w:ascii="仿宋" w:hAnsi="仿宋" w:eastAsia="仿宋" w:cs="仿宋"/>
          <w:b w:val="0"/>
          <w:bCs w:val="0"/>
          <w:spacing w:val="0"/>
          <w:sz w:val="28"/>
          <w:szCs w:val="28"/>
          <w:lang w:val="en-US" w:eastAsia="zh-CN"/>
        </w:rPr>
        <w:t>5</w:t>
      </w:r>
      <w:r>
        <w:rPr>
          <w:rFonts w:hint="default" w:ascii="仿宋" w:hAnsi="仿宋" w:eastAsia="仿宋" w:cs="仿宋"/>
          <w:b w:val="0"/>
          <w:bCs w:val="0"/>
          <w:spacing w:val="0"/>
          <w:sz w:val="28"/>
          <w:szCs w:val="28"/>
          <w:lang w:val="en-US" w:eastAsia="zh-CN"/>
        </w:rPr>
        <w:t>号线</w:t>
      </w:r>
      <w:r>
        <w:rPr>
          <w:rFonts w:hint="eastAsia" w:ascii="仿宋" w:hAnsi="仿宋" w:eastAsia="仿宋" w:cs="仿宋"/>
          <w:b w:val="0"/>
          <w:bCs w:val="0"/>
          <w:spacing w:val="0"/>
          <w:sz w:val="28"/>
          <w:szCs w:val="28"/>
          <w:lang w:val="en-US" w:eastAsia="zh-CN"/>
        </w:rPr>
        <w:t>西文街</w:t>
      </w:r>
      <w:r>
        <w:rPr>
          <w:rFonts w:hint="default" w:ascii="仿宋" w:hAnsi="仿宋" w:eastAsia="仿宋" w:cs="仿宋"/>
          <w:b w:val="0"/>
          <w:bCs w:val="0"/>
          <w:spacing w:val="0"/>
          <w:sz w:val="28"/>
          <w:szCs w:val="28"/>
          <w:lang w:val="en-US" w:eastAsia="zh-CN"/>
        </w:rPr>
        <w:t>站</w:t>
      </w:r>
      <w:r>
        <w:rPr>
          <w:rFonts w:hint="eastAsia" w:ascii="仿宋" w:hAnsi="仿宋" w:eastAsia="仿宋" w:cs="仿宋"/>
          <w:b w:val="0"/>
          <w:bCs w:val="0"/>
          <w:spacing w:val="0"/>
          <w:sz w:val="28"/>
          <w:szCs w:val="28"/>
          <w:lang w:val="en-US" w:eastAsia="zh-CN"/>
        </w:rPr>
        <w:t>位于小区南门。</w:t>
      </w:r>
    </w:p>
    <w:p>
      <w:pPr>
        <w:spacing w:line="560" w:lineRule="exact"/>
        <w:ind w:left="420" w:leftChars="200"/>
        <w:rPr>
          <w:rFonts w:hint="eastAsia" w:ascii="仿宋" w:hAnsi="仿宋" w:eastAsia="仿宋"/>
          <w:color w:val="000000"/>
          <w:sz w:val="28"/>
          <w:szCs w:val="28"/>
        </w:rPr>
      </w:pPr>
      <w:r>
        <w:rPr>
          <w:rFonts w:hint="eastAsia" w:ascii="仿宋" w:hAnsi="仿宋" w:eastAsia="仿宋"/>
          <w:spacing w:val="0"/>
          <w:sz w:val="28"/>
          <w:szCs w:val="28"/>
        </w:rPr>
        <w:t>综上，估价对象区位状况较好。</w:t>
      </w:r>
    </w:p>
    <w:p>
      <w:pPr>
        <w:pStyle w:val="3"/>
        <w:spacing w:before="0" w:after="0" w:line="560" w:lineRule="exact"/>
        <w:ind w:firstLine="636" w:firstLineChars="198"/>
        <w:rPr>
          <w:rFonts w:hint="eastAsia" w:ascii="仿宋" w:hAnsi="仿宋" w:eastAsia="仿宋"/>
          <w:color w:val="000000"/>
          <w:spacing w:val="0"/>
        </w:rPr>
      </w:pPr>
      <w:bookmarkStart w:id="5" w:name="_Toc19907"/>
      <w:r>
        <w:rPr>
          <w:rFonts w:hint="eastAsia" w:ascii="仿宋" w:hAnsi="仿宋" w:eastAsia="仿宋"/>
          <w:color w:val="000000"/>
          <w:spacing w:val="0"/>
        </w:rPr>
        <w:t>五、价值时点</w:t>
      </w:r>
      <w:bookmarkEnd w:id="5"/>
    </w:p>
    <w:p>
      <w:pPr>
        <w:overflowPunct w:val="0"/>
        <w:topLinePunct/>
        <w:autoSpaceDE w:val="0"/>
        <w:spacing w:line="560" w:lineRule="exact"/>
        <w:ind w:firstLine="560"/>
        <w:rPr>
          <w:rFonts w:hint="eastAsia" w:ascii="仿宋" w:hAnsi="仿宋" w:eastAsia="仿宋"/>
          <w:color w:val="000000"/>
          <w:spacing w:val="0"/>
          <w:sz w:val="28"/>
        </w:rPr>
      </w:pPr>
      <w:r>
        <w:rPr>
          <w:rFonts w:hint="eastAsia" w:ascii="仿宋" w:hAnsi="仿宋" w:eastAsia="仿宋"/>
          <w:color w:val="000000"/>
          <w:spacing w:val="0"/>
          <w:sz w:val="28"/>
        </w:rPr>
        <w:t>本次价值时点：</w:t>
      </w:r>
      <w:r>
        <w:rPr>
          <w:rFonts w:hint="eastAsia" w:ascii="仿宋" w:hAnsi="仿宋" w:eastAsia="仿宋"/>
          <w:color w:val="000000"/>
          <w:spacing w:val="0"/>
          <w:sz w:val="28"/>
          <w:lang w:eastAsia="zh-CN"/>
        </w:rPr>
        <w:t>2020年4月18日</w:t>
      </w:r>
      <w:r>
        <w:rPr>
          <w:rFonts w:hint="eastAsia" w:ascii="仿宋" w:hAnsi="仿宋" w:eastAsia="仿宋"/>
          <w:color w:val="000000"/>
          <w:spacing w:val="0"/>
          <w:sz w:val="28"/>
        </w:rPr>
        <w:t>，此价值时点为估价对象实地查勘之日。</w:t>
      </w:r>
    </w:p>
    <w:p>
      <w:pPr>
        <w:rPr>
          <w:rFonts w:hint="eastAsia" w:eastAsiaTheme="minorEastAsia"/>
          <w:lang w:eastAsia="zh-CN"/>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425B0"/>
    <w:rsid w:val="1E64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ascii="宋体" w:hAnsi="宋体" w:eastAsia="宋体"/>
      <w:spacing w:val="5"/>
      <w:kern w:val="2"/>
      <w:sz w:val="28"/>
      <w:szCs w:val="24"/>
      <w:lang w:val="en-US" w:eastAsia="zh-CN" w:bidi="ar-SA"/>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Plain Text"/>
    <w:basedOn w:val="1"/>
    <w:uiPriority w:val="0"/>
    <w:pPr>
      <w:autoSpaceDE w:val="0"/>
      <w:autoSpaceDN w:val="0"/>
      <w:adjustRightInd w:val="0"/>
      <w:spacing w:line="312" w:lineRule="atLeast"/>
      <w:textAlignment w:val="baseline"/>
    </w:pPr>
    <w:rPr>
      <w:rFonts w:ascii="宋体" w:hAnsi="Courier New"/>
      <w:spacing w:val="0"/>
      <w:sz w:val="21"/>
    </w:rPr>
  </w:style>
  <w:style w:type="paragraph" w:styleId="5">
    <w:name w:val="Date"/>
    <w:basedOn w:val="1"/>
    <w:next w:val="1"/>
    <w:uiPriority w:val="0"/>
    <w:rPr>
      <w:b/>
      <w:spacing w:val="0"/>
      <w:sz w:val="32"/>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nhideWhenUsed/>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2020-07-01T09:31:00Z</dcterms:created>
  <dc:creator>NTKO</dc:creator>
  <cp:lastModifiedBy>NTKO</cp:lastModifiedBy>
  <dcterms:modified xsi:type="dcterms:W3CDTF">2020-07-01T09:33:35Z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