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宋体" w:hAnsi="宋体"/>
          <w:b/>
          <w:color w:val="auto"/>
          <w:spacing w:val="22"/>
          <w:sz w:val="32"/>
          <w:szCs w:val="32"/>
        </w:rPr>
      </w:pPr>
    </w:p>
    <w:p>
      <w:pPr>
        <w:snapToGrid w:val="0"/>
        <w:spacing w:line="360" w:lineRule="auto"/>
        <w:jc w:val="center"/>
        <w:rPr>
          <w:rFonts w:ascii="宋体" w:hAnsi="宋体"/>
          <w:b/>
          <w:color w:val="auto"/>
          <w:spacing w:val="22"/>
          <w:sz w:val="44"/>
          <w:szCs w:val="44"/>
        </w:rPr>
      </w:pPr>
    </w:p>
    <w:p>
      <w:pPr>
        <w:snapToGrid w:val="0"/>
        <w:spacing w:line="360" w:lineRule="auto"/>
        <w:jc w:val="center"/>
        <w:rPr>
          <w:rFonts w:ascii="宋体" w:hAnsi="宋体"/>
          <w:b/>
          <w:color w:val="auto"/>
          <w:spacing w:val="10"/>
          <w:sz w:val="44"/>
          <w:szCs w:val="44"/>
        </w:rPr>
      </w:pPr>
      <w:r>
        <w:rPr>
          <w:rFonts w:hint="eastAsia" w:ascii="宋体" w:hAnsi="宋体"/>
          <w:b/>
          <w:color w:val="auto"/>
          <w:spacing w:val="22"/>
          <w:sz w:val="44"/>
          <w:szCs w:val="44"/>
        </w:rPr>
        <w:t>房地产</w:t>
      </w:r>
      <w:r>
        <w:rPr>
          <w:rFonts w:hint="eastAsia" w:ascii="宋体" w:hAnsi="宋体"/>
          <w:b/>
          <w:color w:val="auto"/>
          <w:spacing w:val="10"/>
          <w:sz w:val="44"/>
          <w:szCs w:val="44"/>
        </w:rPr>
        <w:t>估价报告</w:t>
      </w:r>
    </w:p>
    <w:p>
      <w:pPr>
        <w:spacing w:line="360" w:lineRule="auto"/>
        <w:rPr>
          <w:rFonts w:ascii="宋体" w:hAnsi="宋体"/>
          <w:imprint/>
          <w:color w:val="auto"/>
          <w:sz w:val="32"/>
          <w:szCs w:val="32"/>
          <w:bdr w:val="single" w:color="auto" w:sz="4" w:space="0"/>
          <w:shd w:val="pct10" w:color="auto" w:fill="FFFFFF"/>
        </w:rPr>
      </w:pPr>
    </w:p>
    <w:p>
      <w:pPr>
        <w:spacing w:line="360" w:lineRule="auto"/>
        <w:rPr>
          <w:rFonts w:ascii="宋体" w:hAnsi="宋体"/>
          <w:imprint/>
          <w:color w:val="auto"/>
          <w:sz w:val="32"/>
          <w:szCs w:val="32"/>
          <w:bdr w:val="single" w:color="auto" w:sz="4" w:space="0"/>
          <w:shd w:val="pct10" w:color="auto" w:fill="FFFFFF"/>
        </w:rPr>
      </w:pPr>
    </w:p>
    <w:p>
      <w:pPr>
        <w:spacing w:line="360" w:lineRule="auto"/>
        <w:outlineLvl w:val="1"/>
        <w:rPr>
          <w:rFonts w:ascii="宋体" w:hAnsi="宋体"/>
          <w:imprint/>
          <w:color w:val="auto"/>
          <w:sz w:val="32"/>
          <w:szCs w:val="32"/>
          <w:bdr w:val="single" w:color="auto" w:sz="4" w:space="0"/>
          <w:shd w:val="pct10" w:color="auto" w:fill="FFFFFF"/>
        </w:rPr>
      </w:pPr>
    </w:p>
    <w:p>
      <w:pPr>
        <w:spacing w:line="360" w:lineRule="auto"/>
        <w:rPr>
          <w:rFonts w:ascii="宋体" w:hAnsi="宋体"/>
          <w:imprint/>
          <w:color w:val="auto"/>
          <w:sz w:val="32"/>
          <w:szCs w:val="32"/>
          <w:bdr w:val="single" w:color="auto" w:sz="4" w:space="0"/>
          <w:shd w:val="pct10" w:color="auto" w:fill="FFFFFF"/>
        </w:rPr>
      </w:pPr>
    </w:p>
    <w:p>
      <w:pPr>
        <w:spacing w:line="360" w:lineRule="auto"/>
        <w:rPr>
          <w:rFonts w:ascii="宋体" w:hAnsi="宋体"/>
          <w:imprint/>
          <w:color w:val="auto"/>
          <w:sz w:val="32"/>
          <w:szCs w:val="32"/>
          <w:bdr w:val="single" w:color="auto" w:sz="4" w:space="0"/>
          <w:shd w:val="pct10" w:color="auto" w:fill="FFFFFF"/>
        </w:rPr>
      </w:pPr>
    </w:p>
    <w:p>
      <w:pPr>
        <w:spacing w:line="360" w:lineRule="auto"/>
        <w:rPr>
          <w:rFonts w:ascii="宋体" w:hAnsi="宋体"/>
          <w:imprint/>
          <w:color w:val="auto"/>
          <w:sz w:val="32"/>
          <w:szCs w:val="32"/>
          <w:bdr w:val="single" w:color="auto" w:sz="4" w:space="0"/>
          <w:shd w:val="pct10" w:color="auto" w:fill="FFFFFF"/>
        </w:rPr>
      </w:pPr>
    </w:p>
    <w:p>
      <w:pPr>
        <w:spacing w:line="360" w:lineRule="auto"/>
        <w:rPr>
          <w:rFonts w:ascii="宋体" w:hAnsi="宋体"/>
          <w:imprint/>
          <w:color w:val="auto"/>
          <w:sz w:val="32"/>
          <w:szCs w:val="32"/>
          <w:bdr w:val="single" w:color="auto" w:sz="4" w:space="0"/>
          <w:shd w:val="pct10" w:color="auto" w:fill="FFFFFF"/>
        </w:rPr>
      </w:pPr>
    </w:p>
    <w:p>
      <w:pPr>
        <w:spacing w:line="360" w:lineRule="auto"/>
        <w:rPr>
          <w:rFonts w:ascii="宋体" w:hAnsi="宋体"/>
          <w:imprint/>
          <w:color w:val="auto"/>
          <w:sz w:val="32"/>
          <w:szCs w:val="32"/>
          <w:bdr w:val="single" w:color="auto" w:sz="4" w:space="0"/>
          <w:shd w:val="pct10" w:color="auto" w:fill="FFFFFF"/>
        </w:rPr>
      </w:pPr>
    </w:p>
    <w:p>
      <w:pPr>
        <w:spacing w:line="360" w:lineRule="auto"/>
        <w:rPr>
          <w:rFonts w:ascii="宋体" w:hAnsi="宋体"/>
          <w:imprint/>
          <w:color w:val="auto"/>
          <w:sz w:val="32"/>
          <w:szCs w:val="32"/>
          <w:bdr w:val="single" w:color="auto" w:sz="4" w:space="0"/>
          <w:shd w:val="pct10" w:color="auto" w:fill="FFFFFF"/>
        </w:rPr>
      </w:pPr>
    </w:p>
    <w:p>
      <w:pPr>
        <w:spacing w:line="360" w:lineRule="auto"/>
        <w:rPr>
          <w:rFonts w:ascii="宋体" w:hAnsi="宋体"/>
          <w:imprint/>
          <w:color w:val="auto"/>
          <w:sz w:val="32"/>
          <w:szCs w:val="32"/>
          <w:bdr w:val="single" w:color="auto" w:sz="4" w:space="0"/>
          <w:shd w:val="pct10" w:color="auto" w:fill="FFFFFF"/>
        </w:rPr>
      </w:pPr>
    </w:p>
    <w:p>
      <w:pPr>
        <w:spacing w:line="360" w:lineRule="auto"/>
        <w:rPr>
          <w:rFonts w:ascii="宋体" w:hAnsi="宋体"/>
          <w:imprint/>
          <w:color w:val="auto"/>
          <w:sz w:val="32"/>
          <w:szCs w:val="32"/>
          <w:bdr w:val="single" w:color="auto" w:sz="4" w:space="0"/>
          <w:shd w:val="pct10" w:color="auto" w:fill="FFFFFF"/>
        </w:rPr>
      </w:pPr>
    </w:p>
    <w:p>
      <w:pPr>
        <w:spacing w:line="360" w:lineRule="auto"/>
        <w:ind w:firstLine="570"/>
        <w:rPr>
          <w:rFonts w:ascii="宋体" w:hAnsi="宋体"/>
          <w:color w:val="auto"/>
          <w:sz w:val="28"/>
          <w:szCs w:val="28"/>
        </w:rPr>
      </w:pPr>
      <w:r>
        <w:rPr>
          <w:rFonts w:hint="eastAsia" w:ascii="宋体" w:hAnsi="宋体"/>
          <w:b/>
          <w:color w:val="auto"/>
          <w:sz w:val="28"/>
          <w:szCs w:val="28"/>
        </w:rPr>
        <w:t>估价报告编号：</w:t>
      </w:r>
      <w:r>
        <w:rPr>
          <w:rFonts w:hint="eastAsia" w:ascii="宋体" w:hAnsi="宋体"/>
          <w:color w:val="auto"/>
          <w:sz w:val="28"/>
          <w:szCs w:val="28"/>
        </w:rPr>
        <w:t>同心联谊[文]房估字【</w:t>
      </w:r>
      <w:r>
        <w:rPr>
          <w:rFonts w:hint="eastAsia" w:ascii="宋体" w:hAnsi="宋体"/>
          <w:color w:val="auto"/>
          <w:spacing w:val="22"/>
          <w:sz w:val="28"/>
          <w:szCs w:val="28"/>
        </w:rPr>
        <w:t>20</w:t>
      </w:r>
      <w:r>
        <w:rPr>
          <w:rFonts w:hint="eastAsia" w:ascii="宋体" w:hAnsi="宋体"/>
          <w:color w:val="auto"/>
          <w:spacing w:val="22"/>
          <w:sz w:val="28"/>
          <w:szCs w:val="28"/>
          <w:lang w:val="en-US" w:eastAsia="zh-CN"/>
        </w:rPr>
        <w:t>20</w:t>
      </w:r>
      <w:r>
        <w:rPr>
          <w:rFonts w:hint="eastAsia" w:ascii="宋体" w:hAnsi="宋体"/>
          <w:color w:val="auto"/>
          <w:sz w:val="28"/>
          <w:szCs w:val="28"/>
        </w:rPr>
        <w:t>】第</w:t>
      </w:r>
      <w:r>
        <w:rPr>
          <w:rFonts w:hint="eastAsia" w:ascii="宋体" w:hAnsi="宋体"/>
          <w:color w:val="auto"/>
          <w:sz w:val="28"/>
          <w:szCs w:val="28"/>
          <w:lang w:val="en-US" w:eastAsia="zh-CN"/>
        </w:rPr>
        <w:t>001</w:t>
      </w:r>
      <w:r>
        <w:rPr>
          <w:rFonts w:hint="eastAsia" w:ascii="宋体" w:hAnsi="宋体"/>
          <w:color w:val="auto"/>
          <w:sz w:val="28"/>
          <w:szCs w:val="28"/>
        </w:rPr>
        <w:t>号</w:t>
      </w:r>
    </w:p>
    <w:p>
      <w:pPr>
        <w:spacing w:line="360" w:lineRule="auto"/>
        <w:ind w:firstLine="570"/>
        <w:rPr>
          <w:rFonts w:ascii="宋体" w:hAnsi="宋体"/>
          <w:color w:val="auto"/>
          <w:sz w:val="28"/>
          <w:szCs w:val="28"/>
        </w:rPr>
      </w:pPr>
      <w:r>
        <w:rPr>
          <w:rFonts w:hint="eastAsia" w:ascii="宋体" w:hAnsi="宋体"/>
          <w:b/>
          <w:color w:val="auto"/>
          <w:sz w:val="28"/>
          <w:szCs w:val="28"/>
        </w:rPr>
        <w:t>估价项目名称：</w:t>
      </w:r>
      <w:r>
        <w:rPr>
          <w:rFonts w:hint="eastAsia" w:hAnsi="宋体"/>
          <w:color w:val="auto"/>
          <w:sz w:val="28"/>
          <w:szCs w:val="28"/>
          <w:lang w:eastAsia="zh-CN"/>
        </w:rPr>
        <w:t>丘北县锦屏镇石缸坝新城区（和谐景苑小区）</w:t>
      </w:r>
      <w:r>
        <w:rPr>
          <w:rFonts w:hint="eastAsia" w:hAnsi="宋体"/>
          <w:color w:val="auto"/>
          <w:sz w:val="28"/>
          <w:szCs w:val="28"/>
          <w:lang w:val="en-US" w:eastAsia="zh-CN"/>
        </w:rPr>
        <w:t>D幢3-602号</w:t>
      </w:r>
      <w:r>
        <w:rPr>
          <w:rFonts w:hint="eastAsia" w:ascii="宋体" w:hAnsi="宋体"/>
          <w:color w:val="auto"/>
          <w:sz w:val="28"/>
          <w:szCs w:val="28"/>
        </w:rPr>
        <w:t>房地产价值评估</w:t>
      </w:r>
    </w:p>
    <w:p>
      <w:pPr>
        <w:spacing w:line="360" w:lineRule="auto"/>
        <w:ind w:firstLine="570"/>
        <w:rPr>
          <w:color w:val="auto"/>
          <w:sz w:val="28"/>
          <w:szCs w:val="28"/>
        </w:rPr>
      </w:pPr>
      <w:r>
        <w:rPr>
          <w:rFonts w:hint="eastAsia" w:ascii="宋体" w:hAnsi="宋体"/>
          <w:b/>
          <w:color w:val="auto"/>
          <w:sz w:val="28"/>
          <w:szCs w:val="28"/>
        </w:rPr>
        <w:t>估价委托人：</w:t>
      </w:r>
      <w:r>
        <w:rPr>
          <w:rFonts w:hint="eastAsia"/>
          <w:color w:val="auto"/>
          <w:sz w:val="28"/>
          <w:szCs w:val="28"/>
          <w:lang w:eastAsia="zh-CN"/>
        </w:rPr>
        <w:t>云南省文山壮族苗族自治州中级人民法院</w:t>
      </w:r>
    </w:p>
    <w:p>
      <w:pPr>
        <w:spacing w:line="360" w:lineRule="auto"/>
        <w:ind w:firstLine="570"/>
        <w:rPr>
          <w:rFonts w:ascii="宋体" w:hAnsi="宋体"/>
          <w:color w:val="auto"/>
          <w:sz w:val="28"/>
          <w:szCs w:val="28"/>
        </w:rPr>
      </w:pPr>
      <w:r>
        <w:rPr>
          <w:rFonts w:hint="eastAsia" w:ascii="宋体" w:hAnsi="宋体"/>
          <w:b/>
          <w:color w:val="auto"/>
          <w:sz w:val="28"/>
          <w:szCs w:val="28"/>
        </w:rPr>
        <w:t>估价机构：</w:t>
      </w:r>
      <w:r>
        <w:rPr>
          <w:rFonts w:hint="eastAsia" w:ascii="宋体" w:hAnsi="宋体"/>
          <w:color w:val="auto"/>
          <w:sz w:val="28"/>
          <w:szCs w:val="28"/>
        </w:rPr>
        <w:t>文山同心联谊房地产评估有限公司</w:t>
      </w:r>
    </w:p>
    <w:p>
      <w:pPr>
        <w:spacing w:line="360" w:lineRule="auto"/>
        <w:ind w:firstLine="570"/>
        <w:rPr>
          <w:rFonts w:ascii="宋体" w:hAnsi="宋体"/>
          <w:color w:val="auto"/>
          <w:sz w:val="28"/>
          <w:szCs w:val="28"/>
        </w:rPr>
      </w:pPr>
      <w:r>
        <w:rPr>
          <w:rFonts w:hint="eastAsia" w:ascii="宋体" w:hAnsi="宋体"/>
          <w:b/>
          <w:color w:val="auto"/>
          <w:sz w:val="28"/>
          <w:szCs w:val="28"/>
        </w:rPr>
        <w:t>注册房地产估价师：</w:t>
      </w:r>
      <w:r>
        <w:rPr>
          <w:rFonts w:hint="eastAsia" w:ascii="宋体" w:hAnsi="宋体"/>
          <w:color w:val="auto"/>
          <w:sz w:val="28"/>
          <w:szCs w:val="28"/>
        </w:rPr>
        <w:t xml:space="preserve">刘芳芳（注册号：5320150025） </w:t>
      </w:r>
    </w:p>
    <w:p>
      <w:pPr>
        <w:spacing w:line="360" w:lineRule="auto"/>
        <w:ind w:firstLine="3080" w:firstLineChars="1100"/>
        <w:rPr>
          <w:rFonts w:ascii="宋体" w:hAnsi="宋体"/>
          <w:color w:val="auto"/>
          <w:sz w:val="28"/>
          <w:szCs w:val="28"/>
        </w:rPr>
      </w:pPr>
      <w:r>
        <w:rPr>
          <w:rFonts w:hint="eastAsia" w:ascii="宋体" w:hAnsi="宋体"/>
          <w:color w:val="auto"/>
          <w:sz w:val="28"/>
          <w:szCs w:val="28"/>
          <w:lang w:eastAsia="zh-CN"/>
        </w:rPr>
        <w:t>李选丽</w:t>
      </w:r>
      <w:r>
        <w:rPr>
          <w:rFonts w:hint="eastAsia" w:ascii="宋体" w:hAnsi="宋体"/>
          <w:color w:val="auto"/>
          <w:sz w:val="28"/>
          <w:szCs w:val="28"/>
        </w:rPr>
        <w:t>（注册号：53201</w:t>
      </w:r>
      <w:r>
        <w:rPr>
          <w:rFonts w:hint="eastAsia" w:ascii="宋体" w:hAnsi="宋体"/>
          <w:color w:val="auto"/>
          <w:sz w:val="28"/>
          <w:szCs w:val="28"/>
          <w:lang w:val="en-US" w:eastAsia="zh-CN"/>
        </w:rPr>
        <w:t>40028</w:t>
      </w:r>
      <w:r>
        <w:rPr>
          <w:rFonts w:hint="eastAsia" w:ascii="宋体" w:hAnsi="宋体"/>
          <w:color w:val="auto"/>
          <w:sz w:val="28"/>
          <w:szCs w:val="28"/>
        </w:rPr>
        <w:t>）</w:t>
      </w:r>
    </w:p>
    <w:p>
      <w:pPr>
        <w:spacing w:line="360" w:lineRule="auto"/>
        <w:ind w:firstLine="562" w:firstLineChars="200"/>
        <w:rPr>
          <w:rFonts w:ascii="宋体" w:hAnsi="宋体"/>
          <w:color w:val="auto"/>
          <w:sz w:val="28"/>
          <w:szCs w:val="28"/>
        </w:rPr>
      </w:pPr>
      <w:r>
        <w:rPr>
          <w:rFonts w:hint="eastAsia" w:ascii="宋体" w:hAnsi="宋体"/>
          <w:b/>
          <w:color w:val="auto"/>
          <w:sz w:val="28"/>
          <w:szCs w:val="28"/>
        </w:rPr>
        <w:t>估价报告出具日期：</w:t>
      </w:r>
      <w:r>
        <w:rPr>
          <w:rFonts w:hint="eastAsia" w:ascii="宋体" w:hAnsi="宋体"/>
          <w:color w:val="auto"/>
          <w:spacing w:val="22"/>
          <w:sz w:val="28"/>
          <w:szCs w:val="28"/>
        </w:rPr>
        <w:t>20</w:t>
      </w:r>
      <w:r>
        <w:rPr>
          <w:rFonts w:hint="eastAsia" w:ascii="宋体" w:hAnsi="宋体"/>
          <w:color w:val="auto"/>
          <w:spacing w:val="22"/>
          <w:sz w:val="28"/>
          <w:szCs w:val="28"/>
          <w:lang w:val="en-US" w:eastAsia="zh-CN"/>
        </w:rPr>
        <w:t>20</w:t>
      </w:r>
      <w:r>
        <w:rPr>
          <w:rFonts w:hint="eastAsia" w:ascii="宋体" w:hAnsi="宋体"/>
          <w:color w:val="auto"/>
          <w:spacing w:val="22"/>
          <w:sz w:val="28"/>
          <w:szCs w:val="28"/>
        </w:rPr>
        <w:t>年</w:t>
      </w:r>
      <w:r>
        <w:rPr>
          <w:rFonts w:hint="eastAsia" w:ascii="宋体" w:hAnsi="宋体"/>
          <w:color w:val="auto"/>
          <w:spacing w:val="22"/>
          <w:sz w:val="28"/>
          <w:szCs w:val="28"/>
          <w:lang w:val="en-US" w:eastAsia="zh-CN"/>
        </w:rPr>
        <w:t>3</w:t>
      </w:r>
      <w:r>
        <w:rPr>
          <w:rFonts w:hint="eastAsia" w:ascii="宋体" w:hAnsi="宋体"/>
          <w:color w:val="auto"/>
          <w:spacing w:val="22"/>
          <w:sz w:val="28"/>
          <w:szCs w:val="28"/>
        </w:rPr>
        <w:t>月</w:t>
      </w:r>
      <w:r>
        <w:rPr>
          <w:rFonts w:hint="eastAsia" w:ascii="宋体" w:hAnsi="宋体"/>
          <w:color w:val="auto"/>
          <w:spacing w:val="22"/>
          <w:sz w:val="28"/>
          <w:szCs w:val="28"/>
          <w:lang w:val="en-US" w:eastAsia="zh-CN"/>
        </w:rPr>
        <w:t>22</w:t>
      </w:r>
      <w:r>
        <w:rPr>
          <w:rFonts w:hint="eastAsia" w:ascii="宋体" w:hAnsi="宋体"/>
          <w:color w:val="auto"/>
          <w:spacing w:val="22"/>
          <w:sz w:val="28"/>
          <w:szCs w:val="28"/>
        </w:rPr>
        <w:t>日</w:t>
      </w:r>
    </w:p>
    <w:p>
      <w:pPr>
        <w:ind w:hanging="1502"/>
        <w:rPr>
          <w:rFonts w:ascii="宋体" w:hAnsi="宋体"/>
          <w:imprint/>
          <w:color w:val="auto"/>
          <w:sz w:val="32"/>
          <w:szCs w:val="32"/>
          <w:bdr w:val="single" w:color="auto" w:sz="4" w:space="0"/>
          <w:shd w:val="pct10" w:color="auto" w:fill="FFFFFF"/>
        </w:rPr>
      </w:pPr>
    </w:p>
    <w:p>
      <w:pPr>
        <w:rPr>
          <w:rFonts w:ascii="宋体" w:hAnsi="宋体"/>
          <w:b/>
          <w:color w:val="auto"/>
          <w:sz w:val="32"/>
          <w:szCs w:val="32"/>
        </w:rPr>
      </w:pPr>
    </w:p>
    <w:p>
      <w:pPr>
        <w:spacing w:line="276" w:lineRule="auto"/>
        <w:jc w:val="center"/>
        <w:rPr>
          <w:rFonts w:ascii="宋体" w:hAnsi="宋体"/>
          <w:b/>
          <w:color w:val="auto"/>
          <w:spacing w:val="10"/>
          <w:sz w:val="36"/>
          <w:szCs w:val="36"/>
        </w:rPr>
      </w:pPr>
      <w:r>
        <w:rPr>
          <w:rFonts w:hint="eastAsia" w:ascii="宋体" w:hAnsi="宋体"/>
          <w:b/>
          <w:color w:val="auto"/>
          <w:spacing w:val="10"/>
          <w:sz w:val="44"/>
          <w:szCs w:val="44"/>
          <w:lang w:val="en-US" w:eastAsia="zh-CN"/>
        </w:rPr>
        <w:t xml:space="preserve"> </w:t>
      </w:r>
    </w:p>
    <w:p>
      <w:pPr>
        <w:spacing w:line="276" w:lineRule="auto"/>
        <w:jc w:val="center"/>
        <w:rPr>
          <w:rFonts w:ascii="宋体" w:hAnsi="宋体"/>
          <w:b/>
          <w:color w:val="auto"/>
          <w:spacing w:val="10"/>
          <w:sz w:val="36"/>
          <w:szCs w:val="36"/>
        </w:rPr>
      </w:pPr>
      <w:r>
        <w:rPr>
          <w:rFonts w:hint="eastAsia" w:ascii="宋体" w:hAnsi="宋体"/>
          <w:b/>
          <w:color w:val="auto"/>
          <w:spacing w:val="10"/>
          <w:sz w:val="36"/>
          <w:szCs w:val="36"/>
        </w:rPr>
        <w:t>致估价委托人函</w:t>
      </w:r>
    </w:p>
    <w:p>
      <w:pPr>
        <w:spacing w:line="276" w:lineRule="auto"/>
        <w:jc w:val="center"/>
        <w:rPr>
          <w:rFonts w:ascii="宋体" w:hAnsi="宋体"/>
          <w:b/>
          <w:color w:val="auto"/>
          <w:spacing w:val="10"/>
          <w:sz w:val="36"/>
          <w:szCs w:val="36"/>
        </w:rPr>
      </w:pPr>
    </w:p>
    <w:p>
      <w:pPr>
        <w:spacing w:line="276" w:lineRule="auto"/>
        <w:jc w:val="center"/>
        <w:rPr>
          <w:b/>
          <w:color w:val="auto"/>
          <w:sz w:val="28"/>
          <w:szCs w:val="28"/>
        </w:rPr>
      </w:pPr>
    </w:p>
    <w:p>
      <w:pPr>
        <w:adjustRightInd w:val="0"/>
        <w:snapToGrid w:val="0"/>
        <w:spacing w:line="360" w:lineRule="auto"/>
        <w:rPr>
          <w:b/>
          <w:color w:val="auto"/>
          <w:sz w:val="28"/>
          <w:szCs w:val="28"/>
        </w:rPr>
      </w:pPr>
      <w:r>
        <w:rPr>
          <w:rFonts w:hint="eastAsia"/>
          <w:b/>
          <w:color w:val="auto"/>
          <w:sz w:val="28"/>
          <w:szCs w:val="28"/>
          <w:lang w:eastAsia="zh-CN"/>
        </w:rPr>
        <w:t>云南省文山壮族苗族自治州中级人民法院</w:t>
      </w:r>
      <w:r>
        <w:rPr>
          <w:rFonts w:hint="eastAsia"/>
          <w:b/>
          <w:color w:val="auto"/>
          <w:sz w:val="28"/>
          <w:szCs w:val="28"/>
        </w:rPr>
        <w:t>：</w:t>
      </w:r>
    </w:p>
    <w:p>
      <w:pPr>
        <w:spacing w:line="360" w:lineRule="auto"/>
        <w:ind w:firstLine="600"/>
        <w:rPr>
          <w:rFonts w:ascii="宋体" w:hAnsi="宋体"/>
          <w:color w:val="auto"/>
          <w:sz w:val="28"/>
          <w:szCs w:val="28"/>
        </w:rPr>
      </w:pPr>
      <w:r>
        <w:rPr>
          <w:rFonts w:hint="eastAsia" w:ascii="宋体" w:hAnsi="宋体"/>
          <w:color w:val="auto"/>
          <w:sz w:val="28"/>
          <w:szCs w:val="28"/>
        </w:rPr>
        <w:t>受贵单位委托，我公司本着客观、公正、科学、独立的原则，对</w:t>
      </w:r>
      <w:r>
        <w:rPr>
          <w:rFonts w:hint="eastAsia" w:hAnsi="宋体"/>
          <w:color w:val="auto"/>
          <w:sz w:val="28"/>
          <w:szCs w:val="28"/>
          <w:lang w:eastAsia="zh-CN"/>
        </w:rPr>
        <w:t>楚绪祥、陈永兰</w:t>
      </w:r>
      <w:r>
        <w:rPr>
          <w:rFonts w:hint="eastAsia" w:hAnsi="宋体"/>
          <w:color w:val="auto"/>
          <w:sz w:val="28"/>
          <w:szCs w:val="28"/>
        </w:rPr>
        <w:t>所有的位于</w:t>
      </w:r>
      <w:r>
        <w:rPr>
          <w:rFonts w:hint="eastAsia" w:ascii="宋体" w:hAnsi="宋体"/>
          <w:color w:val="auto"/>
          <w:sz w:val="28"/>
          <w:szCs w:val="28"/>
          <w:lang w:eastAsia="zh-CN"/>
        </w:rPr>
        <w:t>丘北县锦屏镇石缸坝新城区（和谐景苑小区）</w:t>
      </w:r>
      <w:r>
        <w:rPr>
          <w:rFonts w:hint="eastAsia" w:ascii="宋体" w:hAnsi="宋体"/>
          <w:color w:val="auto"/>
          <w:sz w:val="28"/>
          <w:szCs w:val="28"/>
          <w:lang w:val="en-US" w:eastAsia="zh-CN"/>
        </w:rPr>
        <w:t>D幢3-602号</w:t>
      </w:r>
      <w:r>
        <w:rPr>
          <w:rFonts w:hint="eastAsia" w:ascii="宋体" w:hAnsi="宋体"/>
          <w:color w:val="auto"/>
          <w:sz w:val="28"/>
          <w:szCs w:val="28"/>
        </w:rPr>
        <w:t>房地产进行了评估，有关内容如下。</w:t>
      </w:r>
    </w:p>
    <w:p>
      <w:pPr>
        <w:spacing w:line="360" w:lineRule="auto"/>
        <w:ind w:firstLine="600"/>
        <w:rPr>
          <w:rFonts w:ascii="宋体" w:hAnsi="宋体"/>
          <w:color w:val="auto"/>
          <w:sz w:val="28"/>
          <w:szCs w:val="28"/>
        </w:rPr>
      </w:pPr>
      <w:r>
        <w:rPr>
          <w:rFonts w:hint="eastAsia" w:ascii="宋体" w:hAnsi="宋体"/>
          <w:color w:val="auto"/>
          <w:sz w:val="28"/>
          <w:szCs w:val="28"/>
        </w:rPr>
        <w:t>价值时点：</w:t>
      </w:r>
      <w:r>
        <w:rPr>
          <w:rFonts w:hint="eastAsia" w:ascii="宋体" w:hAnsi="宋体"/>
          <w:color w:val="auto"/>
          <w:sz w:val="28"/>
          <w:szCs w:val="28"/>
          <w:lang w:eastAsia="zh-CN"/>
        </w:rPr>
        <w:t>2020年01月06日</w:t>
      </w:r>
      <w:r>
        <w:rPr>
          <w:rFonts w:hint="eastAsia" w:ascii="宋体" w:hAnsi="宋体"/>
          <w:color w:val="auto"/>
          <w:sz w:val="28"/>
          <w:szCs w:val="28"/>
        </w:rPr>
        <w:t>。</w:t>
      </w:r>
    </w:p>
    <w:p>
      <w:pPr>
        <w:spacing w:line="360" w:lineRule="auto"/>
        <w:ind w:firstLine="600"/>
        <w:rPr>
          <w:rFonts w:ascii="宋体" w:hAnsi="宋体"/>
          <w:color w:val="auto"/>
          <w:sz w:val="28"/>
          <w:szCs w:val="28"/>
        </w:rPr>
      </w:pPr>
      <w:r>
        <w:rPr>
          <w:rFonts w:hint="eastAsia" w:ascii="宋体" w:hAnsi="宋体"/>
          <w:color w:val="auto"/>
          <w:sz w:val="28"/>
          <w:szCs w:val="28"/>
        </w:rPr>
        <w:t>估价目的：为委托方处理案件提供</w:t>
      </w:r>
      <w:r>
        <w:rPr>
          <w:rFonts w:hint="eastAsia" w:ascii="宋体" w:hAnsi="宋体"/>
          <w:color w:val="auto"/>
          <w:sz w:val="28"/>
          <w:szCs w:val="28"/>
          <w:lang w:eastAsia="zh-CN"/>
        </w:rPr>
        <w:t>房地产价值</w:t>
      </w:r>
      <w:r>
        <w:rPr>
          <w:rFonts w:hint="eastAsia" w:ascii="宋体" w:hAnsi="宋体"/>
          <w:color w:val="auto"/>
          <w:sz w:val="28"/>
          <w:szCs w:val="28"/>
        </w:rPr>
        <w:t>参考依据而评估房地产市场价值。</w:t>
      </w:r>
    </w:p>
    <w:p>
      <w:pPr>
        <w:spacing w:line="360" w:lineRule="auto"/>
        <w:ind w:firstLine="600"/>
        <w:rPr>
          <w:rFonts w:hint="eastAsia" w:ascii="宋体" w:hAnsi="宋体"/>
          <w:color w:val="auto"/>
          <w:sz w:val="28"/>
          <w:szCs w:val="28"/>
        </w:rPr>
      </w:pPr>
      <w:r>
        <w:rPr>
          <w:rFonts w:hint="eastAsia" w:ascii="宋体" w:hAnsi="宋体"/>
          <w:color w:val="auto"/>
          <w:sz w:val="28"/>
          <w:szCs w:val="28"/>
        </w:rPr>
        <w:t>估价对象：</w:t>
      </w:r>
    </w:p>
    <w:p>
      <w:pPr>
        <w:spacing w:line="360" w:lineRule="auto"/>
        <w:ind w:firstLine="600"/>
        <w:rPr>
          <w:rFonts w:hint="eastAsia" w:ascii="宋体" w:hAnsi="宋体" w:eastAsia="宋体"/>
          <w:color w:val="auto"/>
          <w:sz w:val="28"/>
          <w:szCs w:val="28"/>
          <w:lang w:val="en-US" w:eastAsia="zh-CN"/>
        </w:rPr>
      </w:pPr>
      <w:r>
        <w:rPr>
          <w:rFonts w:hint="eastAsia" w:ascii="宋体" w:hAnsi="宋体"/>
          <w:color w:val="auto"/>
          <w:sz w:val="28"/>
          <w:szCs w:val="28"/>
          <w:lang w:eastAsia="zh-CN"/>
        </w:rPr>
        <w:t>丘北县锦屏镇石缸坝新城区（和谐景苑小区）</w:t>
      </w:r>
      <w:r>
        <w:rPr>
          <w:rFonts w:hint="eastAsia" w:ascii="宋体" w:hAnsi="宋体"/>
          <w:color w:val="auto"/>
          <w:sz w:val="28"/>
          <w:szCs w:val="28"/>
          <w:lang w:val="en-US" w:eastAsia="zh-CN"/>
        </w:rPr>
        <w:t>D幢3-602号</w:t>
      </w:r>
      <w:r>
        <w:rPr>
          <w:rFonts w:hint="eastAsia" w:ascii="宋体" w:hAnsi="宋体"/>
          <w:color w:val="auto"/>
          <w:sz w:val="28"/>
          <w:szCs w:val="28"/>
        </w:rPr>
        <w:t>房地产，建筑面积：</w:t>
      </w:r>
      <w:r>
        <w:rPr>
          <w:rFonts w:hint="eastAsia" w:ascii="宋体" w:hAnsi="宋体"/>
          <w:color w:val="auto"/>
          <w:sz w:val="28"/>
          <w:szCs w:val="28"/>
          <w:lang w:val="en-US" w:eastAsia="zh-CN"/>
        </w:rPr>
        <w:t>73.73</w:t>
      </w:r>
      <w:r>
        <w:rPr>
          <w:rFonts w:hint="eastAsia" w:ascii="宋体" w:hAnsi="宋体"/>
          <w:color w:val="auto"/>
          <w:sz w:val="28"/>
          <w:szCs w:val="28"/>
        </w:rPr>
        <w:t>㎡</w:t>
      </w:r>
      <w:r>
        <w:rPr>
          <w:rFonts w:hint="eastAsia" w:ascii="宋体" w:hAnsi="宋体"/>
          <w:color w:val="auto"/>
          <w:sz w:val="28"/>
          <w:szCs w:val="28"/>
          <w:lang w:eastAsia="zh-CN"/>
        </w:rPr>
        <w:t>，</w:t>
      </w:r>
      <w:r>
        <w:rPr>
          <w:rFonts w:hint="eastAsia" w:ascii="宋体" w:hAnsi="宋体"/>
          <w:color w:val="auto"/>
          <w:sz w:val="28"/>
          <w:szCs w:val="28"/>
        </w:rPr>
        <w:t>产权人为</w:t>
      </w:r>
      <w:r>
        <w:rPr>
          <w:rFonts w:hint="eastAsia" w:hAnsi="宋体"/>
          <w:color w:val="auto"/>
          <w:sz w:val="28"/>
          <w:szCs w:val="28"/>
          <w:lang w:eastAsia="zh-CN"/>
        </w:rPr>
        <w:t>楚绪祥、陈永兰</w:t>
      </w:r>
      <w:r>
        <w:rPr>
          <w:rFonts w:hint="eastAsia" w:ascii="宋体" w:hAnsi="宋体"/>
          <w:color w:val="auto"/>
          <w:sz w:val="28"/>
          <w:szCs w:val="28"/>
        </w:rPr>
        <w:t>；财产范围为土地使用权及建筑物所有权，不包括动产、债权债务、特许经营权等其他财产或权益。</w:t>
      </w:r>
    </w:p>
    <w:p>
      <w:pPr>
        <w:spacing w:line="360" w:lineRule="auto"/>
        <w:ind w:firstLine="600"/>
        <w:rPr>
          <w:rFonts w:ascii="宋体" w:hAnsi="宋体"/>
          <w:color w:val="auto"/>
          <w:sz w:val="28"/>
          <w:szCs w:val="28"/>
        </w:rPr>
      </w:pPr>
      <w:r>
        <w:rPr>
          <w:rFonts w:hint="eastAsia" w:ascii="宋体" w:hAnsi="宋体"/>
          <w:color w:val="auto"/>
          <w:sz w:val="28"/>
          <w:szCs w:val="28"/>
        </w:rPr>
        <w:t>价值类型：市场价值。</w:t>
      </w:r>
    </w:p>
    <w:p>
      <w:pPr>
        <w:spacing w:line="360" w:lineRule="auto"/>
        <w:ind w:firstLine="600"/>
        <w:rPr>
          <w:rFonts w:ascii="宋体" w:hAnsi="宋体"/>
          <w:color w:val="auto"/>
          <w:sz w:val="28"/>
          <w:szCs w:val="28"/>
        </w:rPr>
      </w:pPr>
      <w:r>
        <w:rPr>
          <w:rFonts w:hint="eastAsia" w:ascii="宋体" w:hAnsi="宋体"/>
          <w:color w:val="auto"/>
          <w:sz w:val="28"/>
          <w:szCs w:val="28"/>
        </w:rPr>
        <w:t>估价方法：比较法</w:t>
      </w:r>
      <w:r>
        <w:rPr>
          <w:rFonts w:hint="eastAsia" w:ascii="宋体" w:hAnsi="宋体"/>
          <w:color w:val="auto"/>
          <w:sz w:val="28"/>
          <w:szCs w:val="28"/>
          <w:lang w:eastAsia="zh-CN"/>
        </w:rPr>
        <w:t>和收益法</w:t>
      </w:r>
      <w:r>
        <w:rPr>
          <w:rFonts w:hint="eastAsia" w:ascii="宋体" w:hAnsi="宋体"/>
          <w:color w:val="auto"/>
          <w:sz w:val="28"/>
          <w:szCs w:val="28"/>
        </w:rPr>
        <w:t>。</w:t>
      </w:r>
    </w:p>
    <w:p>
      <w:pPr>
        <w:adjustRightInd w:val="0"/>
        <w:snapToGrid w:val="0"/>
        <w:spacing w:line="360" w:lineRule="auto"/>
        <w:ind w:firstLine="700" w:firstLineChars="250"/>
        <w:rPr>
          <w:rFonts w:hint="eastAsia" w:ascii="宋体" w:hAnsi="宋体"/>
          <w:color w:val="auto"/>
          <w:sz w:val="28"/>
          <w:szCs w:val="28"/>
        </w:rPr>
      </w:pPr>
      <w:r>
        <w:rPr>
          <w:rFonts w:hint="eastAsia" w:ascii="宋体" w:hAnsi="宋体"/>
          <w:color w:val="auto"/>
          <w:sz w:val="28"/>
          <w:szCs w:val="28"/>
        </w:rPr>
        <w:t>我公司于</w:t>
      </w:r>
      <w:r>
        <w:rPr>
          <w:rFonts w:hint="eastAsia" w:ascii="宋体" w:hAnsi="宋体"/>
          <w:color w:val="auto"/>
          <w:sz w:val="28"/>
          <w:szCs w:val="28"/>
          <w:lang w:eastAsia="zh-CN"/>
        </w:rPr>
        <w:t>2020年01月06日</w:t>
      </w:r>
      <w:r>
        <w:rPr>
          <w:rFonts w:hint="eastAsia" w:ascii="宋体" w:hAnsi="宋体"/>
          <w:color w:val="auto"/>
          <w:sz w:val="28"/>
          <w:szCs w:val="28"/>
        </w:rPr>
        <w:t>，派房地产评估专业技术人员到现场勘察、调查搜集资料，根据估价目的和估价对象特点，遵循估价原则，按照估价工作程序，在认真分析所搜集资料的基础上，经过周密细致的分析测算，并结合估价经验，利用科学的估价方法进行评估，综合考虑了影响房地产价格的各项因素，最终确定估价对象于价值时点</w:t>
      </w:r>
      <w:r>
        <w:rPr>
          <w:rFonts w:hint="eastAsia" w:ascii="宋体" w:hAnsi="宋体" w:cs="宋体"/>
          <w:color w:val="auto"/>
          <w:spacing w:val="22"/>
          <w:sz w:val="28"/>
          <w:szCs w:val="28"/>
          <w:lang w:eastAsia="zh-CN"/>
        </w:rPr>
        <w:t>2020年01月06日</w:t>
      </w:r>
      <w:r>
        <w:rPr>
          <w:rFonts w:hint="eastAsia" w:ascii="宋体" w:hAnsi="宋体" w:cs="宋体"/>
          <w:color w:val="auto"/>
          <w:sz w:val="28"/>
          <w:szCs w:val="28"/>
          <w:lang w:val="zh-CN"/>
        </w:rPr>
        <w:t>的市场价值为</w:t>
      </w:r>
      <w:r>
        <w:rPr>
          <w:rFonts w:hint="eastAsia" w:ascii="宋体" w:hAnsi="宋体" w:cs="宋体"/>
          <w:color w:val="auto"/>
          <w:sz w:val="28"/>
          <w:szCs w:val="28"/>
        </w:rPr>
        <w:t>人民币大写：</w:t>
      </w:r>
      <w:r>
        <w:rPr>
          <w:rFonts w:hint="eastAsia" w:ascii="宋体" w:hAnsi="宋体" w:cs="宋体"/>
          <w:color w:val="auto"/>
          <w:sz w:val="28"/>
          <w:szCs w:val="28"/>
          <w:lang w:eastAsia="zh-CN"/>
        </w:rPr>
        <w:t>贰拾贰万贰仟叁佰元整（￥：2</w:t>
      </w:r>
      <w:r>
        <w:rPr>
          <w:rFonts w:hint="eastAsia" w:ascii="宋体" w:hAnsi="宋体" w:cs="宋体"/>
          <w:color w:val="auto"/>
          <w:sz w:val="28"/>
          <w:szCs w:val="28"/>
          <w:lang w:val="en-US" w:eastAsia="zh-CN"/>
        </w:rPr>
        <w:t>223</w:t>
      </w:r>
      <w:r>
        <w:rPr>
          <w:rFonts w:hint="eastAsia" w:ascii="宋体" w:hAnsi="宋体" w:cs="宋体"/>
          <w:color w:val="auto"/>
          <w:sz w:val="28"/>
          <w:szCs w:val="28"/>
          <w:lang w:eastAsia="zh-CN"/>
        </w:rPr>
        <w:t>00.00元），市场单价为</w:t>
      </w:r>
      <w:r>
        <w:rPr>
          <w:rFonts w:hint="eastAsia" w:ascii="宋体" w:hAnsi="宋体" w:cs="宋体"/>
          <w:color w:val="auto"/>
          <w:sz w:val="28"/>
          <w:szCs w:val="28"/>
          <w:lang w:val="en-US" w:eastAsia="zh-CN"/>
        </w:rPr>
        <w:t>3015元/m</w:t>
      </w:r>
      <w:r>
        <w:rPr>
          <w:rFonts w:hint="eastAsia" w:ascii="宋体" w:hAnsi="宋体" w:cs="宋体"/>
          <w:color w:val="auto"/>
          <w:sz w:val="28"/>
          <w:szCs w:val="28"/>
          <w:vertAlign w:val="superscript"/>
          <w:lang w:val="en-US" w:eastAsia="zh-CN"/>
        </w:rPr>
        <w:t>2</w:t>
      </w:r>
      <w:r>
        <w:rPr>
          <w:rFonts w:hint="eastAsia" w:ascii="宋体" w:hAnsi="宋体"/>
          <w:color w:val="auto"/>
          <w:sz w:val="28"/>
          <w:szCs w:val="28"/>
        </w:rPr>
        <w:t>。</w:t>
      </w:r>
    </w:p>
    <w:p>
      <w:pPr>
        <w:adjustRightInd w:val="0"/>
        <w:snapToGrid w:val="0"/>
        <w:spacing w:line="360" w:lineRule="auto"/>
        <w:ind w:firstLine="700" w:firstLineChars="250"/>
        <w:rPr>
          <w:rFonts w:hint="eastAsia" w:ascii="宋体" w:hAnsi="宋体"/>
          <w:color w:val="auto"/>
          <w:sz w:val="28"/>
          <w:szCs w:val="28"/>
        </w:rPr>
      </w:pPr>
    </w:p>
    <w:p>
      <w:pPr>
        <w:spacing w:line="360" w:lineRule="auto"/>
        <w:ind w:firstLine="600"/>
        <w:rPr>
          <w:rFonts w:ascii="宋体" w:hAnsi="宋体"/>
          <w:color w:val="auto"/>
          <w:sz w:val="28"/>
          <w:szCs w:val="28"/>
        </w:rPr>
      </w:pPr>
      <w:r>
        <w:rPr>
          <w:rFonts w:hint="eastAsia" w:ascii="宋体" w:hAnsi="宋体"/>
          <w:color w:val="auto"/>
          <w:sz w:val="28"/>
          <w:szCs w:val="28"/>
        </w:rPr>
        <w:t>特别提示：</w:t>
      </w:r>
    </w:p>
    <w:p>
      <w:pPr>
        <w:spacing w:line="360" w:lineRule="auto"/>
        <w:ind w:firstLine="600"/>
        <w:rPr>
          <w:rFonts w:ascii="宋体" w:hAnsi="宋体"/>
          <w:color w:val="auto"/>
          <w:sz w:val="28"/>
          <w:szCs w:val="28"/>
        </w:rPr>
      </w:pPr>
      <w:r>
        <w:rPr>
          <w:rFonts w:hint="eastAsia" w:ascii="宋体" w:hAnsi="宋体"/>
          <w:color w:val="auto"/>
          <w:sz w:val="28"/>
          <w:szCs w:val="28"/>
        </w:rPr>
        <w:t>（1）报告人在使用本报告之前须对报告全文，特别是“估价的假设和限制条件”认真阅读，以免使用不当，造成损失！</w:t>
      </w:r>
    </w:p>
    <w:p>
      <w:pPr>
        <w:spacing w:line="360" w:lineRule="auto"/>
        <w:ind w:firstLine="600"/>
        <w:rPr>
          <w:rFonts w:ascii="宋体" w:hAnsi="宋体"/>
          <w:color w:val="auto"/>
          <w:sz w:val="28"/>
          <w:szCs w:val="28"/>
        </w:rPr>
      </w:pPr>
      <w:r>
        <w:rPr>
          <w:rFonts w:hint="eastAsia" w:ascii="宋体" w:hAnsi="宋体"/>
          <w:color w:val="auto"/>
          <w:sz w:val="28"/>
          <w:szCs w:val="28"/>
        </w:rPr>
        <w:t>（2）估价详细过程、结果及有关说明，详见《估价结果报告》和《估价技术报告》。</w:t>
      </w:r>
    </w:p>
    <w:p>
      <w:pPr>
        <w:spacing w:line="360" w:lineRule="auto"/>
        <w:ind w:firstLine="600"/>
        <w:rPr>
          <w:rFonts w:ascii="宋体" w:hAnsi="宋体"/>
          <w:color w:val="auto"/>
          <w:sz w:val="28"/>
          <w:szCs w:val="28"/>
        </w:rPr>
      </w:pPr>
      <w:r>
        <w:rPr>
          <w:rFonts w:hint="eastAsia" w:ascii="宋体" w:hAnsi="宋体"/>
          <w:color w:val="auto"/>
          <w:sz w:val="28"/>
          <w:szCs w:val="28"/>
        </w:rPr>
        <w:t>（3）本估价报告使用期限自本估价报告出具之日起不超过一年。</w:t>
      </w:r>
    </w:p>
    <w:p>
      <w:pPr>
        <w:spacing w:line="360" w:lineRule="auto"/>
        <w:ind w:firstLine="600"/>
        <w:rPr>
          <w:rFonts w:ascii="宋体" w:hAnsi="宋体"/>
          <w:color w:val="auto"/>
          <w:sz w:val="28"/>
          <w:szCs w:val="28"/>
        </w:rPr>
      </w:pPr>
    </w:p>
    <w:p>
      <w:pPr>
        <w:spacing w:line="360" w:lineRule="auto"/>
        <w:ind w:firstLine="600"/>
        <w:rPr>
          <w:rFonts w:ascii="宋体" w:hAnsi="宋体"/>
          <w:color w:val="auto"/>
          <w:sz w:val="28"/>
          <w:szCs w:val="28"/>
        </w:rPr>
      </w:pPr>
    </w:p>
    <w:p>
      <w:pPr>
        <w:spacing w:line="360" w:lineRule="auto"/>
        <w:ind w:firstLine="600"/>
        <w:rPr>
          <w:rFonts w:ascii="宋体" w:hAnsi="宋体"/>
          <w:color w:val="auto"/>
          <w:kern w:val="0"/>
          <w:sz w:val="28"/>
          <w:szCs w:val="28"/>
          <w:lang w:val="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r>
        <w:rPr>
          <w:rFonts w:hint="eastAsia" w:ascii="宋体" w:hAnsi="宋体"/>
          <w:color w:val="auto"/>
          <w:kern w:val="0"/>
          <w:sz w:val="28"/>
          <w:szCs w:val="28"/>
        </w:rPr>
        <w:t xml:space="preserve">                       </w:t>
      </w:r>
      <w:r>
        <w:rPr>
          <w:rFonts w:hint="eastAsia" w:ascii="宋体" w:hAnsi="宋体"/>
          <w:color w:val="auto"/>
          <w:kern w:val="0"/>
          <w:sz w:val="28"/>
          <w:szCs w:val="28"/>
          <w:lang w:val="en-US" w:eastAsia="zh-CN"/>
        </w:rPr>
        <w:t xml:space="preserve">       </w:t>
      </w: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560" w:firstLineChars="200"/>
        <w:rPr>
          <w:rFonts w:hint="eastAsia" w:ascii="宋体" w:hAnsi="宋体"/>
          <w:color w:val="auto"/>
          <w:kern w:val="0"/>
          <w:sz w:val="28"/>
          <w:szCs w:val="28"/>
          <w:lang w:val="en-US" w:eastAsia="zh-CN"/>
        </w:rPr>
      </w:pPr>
    </w:p>
    <w:p>
      <w:pPr>
        <w:adjustRightInd w:val="0"/>
        <w:snapToGrid w:val="0"/>
        <w:spacing w:line="360" w:lineRule="auto"/>
        <w:ind w:right="30" w:firstLine="4760" w:firstLineChars="1700"/>
        <w:rPr>
          <w:rFonts w:ascii="宋体" w:hAnsi="宋体"/>
          <w:color w:val="auto"/>
          <w:kern w:val="0"/>
          <w:sz w:val="28"/>
          <w:szCs w:val="28"/>
          <w:lang w:val="zh-CN"/>
        </w:rPr>
      </w:pPr>
      <w:r>
        <w:rPr>
          <w:rFonts w:hint="eastAsia" w:ascii="宋体" w:hAnsi="宋体"/>
          <w:color w:val="auto"/>
          <w:kern w:val="0"/>
          <w:sz w:val="28"/>
          <w:szCs w:val="28"/>
        </w:rPr>
        <w:drawing>
          <wp:anchor distT="0" distB="0" distL="114300" distR="114300" simplePos="0" relativeHeight="251654144" behindDoc="0" locked="0" layoutInCell="1" allowOverlap="1">
            <wp:simplePos x="0" y="0"/>
            <wp:positionH relativeFrom="column">
              <wp:posOffset>4137660</wp:posOffset>
            </wp:positionH>
            <wp:positionV relativeFrom="paragraph">
              <wp:posOffset>266065</wp:posOffset>
            </wp:positionV>
            <wp:extent cx="895350" cy="485775"/>
            <wp:effectExtent l="19050" t="0" r="0" b="0"/>
            <wp:wrapNone/>
            <wp:docPr id="25" name="图片 25" descr="李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李建"/>
                    <pic:cNvPicPr>
                      <a:picLocks noChangeAspect="1" noChangeArrowheads="1"/>
                    </pic:cNvPicPr>
                  </pic:nvPicPr>
                  <pic:blipFill>
                    <a:blip r:embed="rId14" cstate="print"/>
                    <a:srcRect/>
                    <a:stretch>
                      <a:fillRect/>
                    </a:stretch>
                  </pic:blipFill>
                  <pic:spPr>
                    <a:xfrm>
                      <a:off x="0" y="0"/>
                      <a:ext cx="895350" cy="485775"/>
                    </a:xfrm>
                    <a:prstGeom prst="rect">
                      <a:avLst/>
                    </a:prstGeom>
                    <a:noFill/>
                    <a:ln w="9525">
                      <a:noFill/>
                      <a:miter lim="800000"/>
                      <a:headEnd/>
                      <a:tailEnd/>
                    </a:ln>
                  </pic:spPr>
                </pic:pic>
              </a:graphicData>
            </a:graphic>
          </wp:anchor>
        </w:drawing>
      </w:r>
      <w:r>
        <w:rPr>
          <w:rFonts w:hint="eastAsia" w:ascii="宋体" w:hAnsi="宋体"/>
          <w:color w:val="auto"/>
          <w:kern w:val="0"/>
          <w:sz w:val="28"/>
          <w:szCs w:val="28"/>
        </w:rPr>
        <w:t>文山同心联谊房地产评估有限公司</w:t>
      </w:r>
    </w:p>
    <w:p>
      <w:pPr>
        <w:spacing w:line="480" w:lineRule="auto"/>
        <w:ind w:firstLine="4900" w:firstLineChars="1750"/>
        <w:rPr>
          <w:rFonts w:ascii="宋体" w:hAnsi="宋体"/>
          <w:color w:val="auto"/>
          <w:sz w:val="28"/>
          <w:szCs w:val="28"/>
        </w:rPr>
      </w:pPr>
      <w:r>
        <w:rPr>
          <w:rFonts w:hint="eastAsia" w:ascii="宋体" w:hAnsi="宋体"/>
          <w:color w:val="auto"/>
          <w:kern w:val="0"/>
          <w:sz w:val="28"/>
          <w:szCs w:val="28"/>
        </w:rPr>
        <w:t>法定代表人：</w:t>
      </w:r>
    </w:p>
    <w:p>
      <w:pPr>
        <w:spacing w:line="480" w:lineRule="auto"/>
        <w:ind w:firstLine="5040" w:firstLineChars="1800"/>
        <w:rPr>
          <w:rFonts w:ascii="宋体" w:hAnsi="宋体"/>
          <w:color w:val="auto"/>
          <w:sz w:val="28"/>
          <w:szCs w:val="28"/>
        </w:rPr>
      </w:pPr>
      <w:r>
        <w:rPr>
          <w:rFonts w:hint="eastAsia" w:ascii="宋体" w:hAnsi="宋体"/>
          <w:color w:val="auto"/>
          <w:sz w:val="28"/>
          <w:szCs w:val="28"/>
        </w:rPr>
        <w:t>二0</w:t>
      </w:r>
      <w:r>
        <w:rPr>
          <w:rFonts w:hint="eastAsia" w:ascii="宋体" w:hAnsi="宋体"/>
          <w:color w:val="auto"/>
          <w:sz w:val="28"/>
          <w:szCs w:val="28"/>
          <w:lang w:eastAsia="zh-CN"/>
        </w:rPr>
        <w:t>二</w:t>
      </w:r>
      <w:r>
        <w:rPr>
          <w:rFonts w:hint="eastAsia" w:ascii="宋体" w:hAnsi="宋体"/>
          <w:color w:val="auto"/>
          <w:sz w:val="28"/>
          <w:szCs w:val="28"/>
          <w:lang w:val="en-US" w:eastAsia="zh-CN"/>
        </w:rPr>
        <w:t>O</w:t>
      </w:r>
      <w:r>
        <w:rPr>
          <w:rFonts w:hint="eastAsia" w:ascii="宋体" w:hAnsi="宋体"/>
          <w:color w:val="auto"/>
          <w:sz w:val="28"/>
          <w:szCs w:val="28"/>
        </w:rPr>
        <w:t>年</w:t>
      </w:r>
      <w:r>
        <w:rPr>
          <w:rFonts w:hint="eastAsia" w:ascii="宋体" w:hAnsi="宋体"/>
          <w:color w:val="auto"/>
          <w:sz w:val="28"/>
          <w:szCs w:val="28"/>
          <w:lang w:eastAsia="zh-CN"/>
        </w:rPr>
        <w:t>三</w:t>
      </w:r>
      <w:r>
        <w:rPr>
          <w:rFonts w:hint="eastAsia" w:ascii="宋体" w:hAnsi="宋体"/>
          <w:color w:val="auto"/>
          <w:sz w:val="28"/>
          <w:szCs w:val="28"/>
        </w:rPr>
        <w:t>月</w:t>
      </w:r>
      <w:r>
        <w:rPr>
          <w:rFonts w:hint="eastAsia" w:ascii="宋体" w:hAnsi="宋体"/>
          <w:color w:val="auto"/>
          <w:sz w:val="28"/>
          <w:szCs w:val="28"/>
          <w:lang w:eastAsia="zh-CN"/>
        </w:rPr>
        <w:t>二十二</w:t>
      </w:r>
      <w:r>
        <w:rPr>
          <w:rFonts w:hint="eastAsia" w:ascii="宋体" w:hAnsi="宋体"/>
          <w:color w:val="auto"/>
          <w:sz w:val="28"/>
          <w:szCs w:val="28"/>
        </w:rPr>
        <w:t>日</w:t>
      </w:r>
    </w:p>
    <w:p>
      <w:pPr>
        <w:spacing w:line="276" w:lineRule="auto"/>
        <w:jc w:val="center"/>
        <w:rPr>
          <w:rFonts w:ascii="宋体" w:hAnsi="宋体"/>
          <w:b/>
          <w:color w:val="auto"/>
          <w:spacing w:val="10"/>
          <w:sz w:val="44"/>
          <w:szCs w:val="44"/>
        </w:rPr>
        <w:sectPr>
          <w:headerReference r:id="rId4" w:type="first"/>
          <w:footerReference r:id="rId6" w:type="first"/>
          <w:headerReference r:id="rId3" w:type="default"/>
          <w:footerReference r:id="rId5" w:type="default"/>
          <w:pgSz w:w="11906" w:h="16838"/>
          <w:pgMar w:top="1134" w:right="1304" w:bottom="1077" w:left="1361" w:header="851" w:footer="851" w:gutter="0"/>
          <w:pgNumType w:fmt="numberInDash"/>
          <w:cols w:space="720" w:num="1"/>
          <w:titlePg/>
          <w:docGrid w:linePitch="312" w:charSpace="0"/>
        </w:sectPr>
      </w:pPr>
    </w:p>
    <w:p>
      <w:pPr>
        <w:spacing w:line="360" w:lineRule="auto"/>
        <w:jc w:val="center"/>
        <w:rPr>
          <w:rFonts w:hint="eastAsia" w:ascii="宋体" w:hAnsi="宋体"/>
          <w:b/>
          <w:color w:val="auto"/>
          <w:spacing w:val="10"/>
          <w:sz w:val="36"/>
          <w:szCs w:val="36"/>
        </w:rPr>
      </w:pPr>
      <w:r>
        <w:rPr>
          <w:rFonts w:hint="eastAsia" w:ascii="宋体" w:hAnsi="宋体"/>
          <w:b/>
          <w:color w:val="auto"/>
          <w:spacing w:val="10"/>
          <w:sz w:val="36"/>
          <w:szCs w:val="36"/>
        </w:rPr>
        <w:t>目   录</w:t>
      </w:r>
    </w:p>
    <w:p>
      <w:pPr>
        <w:spacing w:line="360" w:lineRule="auto"/>
        <w:jc w:val="center"/>
        <w:rPr>
          <w:rFonts w:hint="eastAsia" w:ascii="宋体" w:hAnsi="宋体"/>
          <w:b/>
          <w:color w:val="auto"/>
          <w:spacing w:val="10"/>
          <w:sz w:val="36"/>
          <w:szCs w:val="36"/>
        </w:rPr>
      </w:pPr>
    </w:p>
    <w:p>
      <w:pPr>
        <w:pStyle w:val="14"/>
        <w:keepNext w:val="0"/>
        <w:keepLines w:val="0"/>
        <w:pageBreakBefore w:val="0"/>
        <w:widowControl w:val="0"/>
        <w:tabs>
          <w:tab w:val="right" w:leader="dot" w:pos="9241"/>
          <w:tab w:val="clear" w:pos="923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36"/>
          <w:szCs w:val="36"/>
        </w:rPr>
        <w:fldChar w:fldCharType="begin"/>
      </w:r>
      <w:r>
        <w:rPr>
          <w:rFonts w:ascii="宋体" w:hAnsi="宋体"/>
          <w:color w:val="auto"/>
          <w:sz w:val="36"/>
          <w:szCs w:val="36"/>
        </w:rPr>
        <w:instrText xml:space="preserve">TOC \o "1-3" \h \u </w:instrText>
      </w:r>
      <w:r>
        <w:rPr>
          <w:rFonts w:ascii="宋体" w:hAnsi="宋体"/>
          <w:color w:val="auto"/>
          <w:sz w:val="36"/>
          <w:szCs w:val="36"/>
        </w:rPr>
        <w:fldChar w:fldCharType="separate"/>
      </w:r>
      <w:r>
        <w:rPr>
          <w:rFonts w:ascii="宋体" w:hAnsi="宋体"/>
          <w:color w:val="auto"/>
          <w:sz w:val="28"/>
          <w:szCs w:val="28"/>
        </w:rPr>
        <w:fldChar w:fldCharType="begin"/>
      </w:r>
      <w:r>
        <w:rPr>
          <w:rFonts w:ascii="宋体" w:hAnsi="宋体"/>
          <w:sz w:val="28"/>
          <w:szCs w:val="28"/>
        </w:rPr>
        <w:instrText xml:space="preserve"> HYPERLINK \l _Toc6185 </w:instrText>
      </w:r>
      <w:r>
        <w:rPr>
          <w:rFonts w:ascii="宋体" w:hAnsi="宋体"/>
          <w:sz w:val="28"/>
          <w:szCs w:val="28"/>
        </w:rPr>
        <w:fldChar w:fldCharType="separate"/>
      </w:r>
      <w:r>
        <w:rPr>
          <w:rFonts w:hint="eastAsia" w:ascii="宋体" w:hAnsi="宋体"/>
          <w:sz w:val="28"/>
          <w:szCs w:val="28"/>
        </w:rPr>
        <w:t>估价师声明</w:t>
      </w:r>
      <w:r>
        <w:rPr>
          <w:sz w:val="28"/>
          <w:szCs w:val="28"/>
        </w:rPr>
        <w:tab/>
      </w:r>
      <w:r>
        <w:rPr>
          <w:sz w:val="28"/>
          <w:szCs w:val="28"/>
        </w:rPr>
        <w:fldChar w:fldCharType="begin"/>
      </w:r>
      <w:r>
        <w:rPr>
          <w:sz w:val="28"/>
          <w:szCs w:val="28"/>
        </w:rPr>
        <w:instrText xml:space="preserve"> PAGEREF _Toc6185 </w:instrText>
      </w:r>
      <w:r>
        <w:rPr>
          <w:sz w:val="28"/>
          <w:szCs w:val="28"/>
        </w:rPr>
        <w:fldChar w:fldCharType="separate"/>
      </w:r>
      <w:r>
        <w:rPr>
          <w:sz w:val="28"/>
          <w:szCs w:val="28"/>
        </w:rPr>
        <w:t>- 1 -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ind w:left="0" w:leftChars="0" w:firstLine="0" w:firstLineChars="0"/>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_Toc22829 </w:instrText>
      </w:r>
      <w:r>
        <w:rPr>
          <w:rFonts w:ascii="宋体" w:hAnsi="宋体"/>
          <w:sz w:val="28"/>
          <w:szCs w:val="28"/>
        </w:rPr>
        <w:fldChar w:fldCharType="separate"/>
      </w:r>
      <w:r>
        <w:rPr>
          <w:rFonts w:hint="eastAsia" w:ascii="宋体" w:hAnsi="宋体" w:eastAsia="宋体" w:cs="宋体"/>
          <w:sz w:val="28"/>
          <w:szCs w:val="28"/>
        </w:rPr>
        <w:t>估价假设和限制条件</w:t>
      </w:r>
      <w:r>
        <w:rPr>
          <w:sz w:val="28"/>
          <w:szCs w:val="28"/>
        </w:rPr>
        <w:tab/>
      </w:r>
      <w:r>
        <w:rPr>
          <w:sz w:val="28"/>
          <w:szCs w:val="28"/>
        </w:rPr>
        <w:fldChar w:fldCharType="begin"/>
      </w:r>
      <w:r>
        <w:rPr>
          <w:sz w:val="28"/>
          <w:szCs w:val="28"/>
        </w:rPr>
        <w:instrText xml:space="preserve"> PAGEREF _Toc22829 </w:instrText>
      </w:r>
      <w:r>
        <w:rPr>
          <w:sz w:val="28"/>
          <w:szCs w:val="28"/>
        </w:rPr>
        <w:fldChar w:fldCharType="separate"/>
      </w:r>
      <w:r>
        <w:rPr>
          <w:sz w:val="28"/>
          <w:szCs w:val="28"/>
        </w:rPr>
        <w:t>- 2 -</w:t>
      </w:r>
      <w:r>
        <w:rPr>
          <w:sz w:val="28"/>
          <w:szCs w:val="28"/>
        </w:rPr>
        <w:fldChar w:fldCharType="end"/>
      </w:r>
      <w:r>
        <w:rPr>
          <w:rFonts w:ascii="宋体" w:hAnsi="宋体"/>
          <w:color w:val="auto"/>
          <w:sz w:val="28"/>
          <w:szCs w:val="28"/>
        </w:rPr>
        <w:fldChar w:fldCharType="end"/>
      </w:r>
    </w:p>
    <w:p>
      <w:pPr>
        <w:pStyle w:val="14"/>
        <w:keepNext w:val="0"/>
        <w:keepLines w:val="0"/>
        <w:pageBreakBefore w:val="0"/>
        <w:widowControl w:val="0"/>
        <w:tabs>
          <w:tab w:val="right" w:leader="dot" w:pos="9241"/>
          <w:tab w:val="clear" w:pos="923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_Toc5973 </w:instrText>
      </w:r>
      <w:r>
        <w:rPr>
          <w:rFonts w:ascii="宋体" w:hAnsi="宋体"/>
          <w:sz w:val="28"/>
          <w:szCs w:val="28"/>
        </w:rPr>
        <w:fldChar w:fldCharType="separate"/>
      </w:r>
      <w:r>
        <w:rPr>
          <w:rFonts w:hint="eastAsia" w:ascii="宋体" w:hAnsi="宋体"/>
          <w:sz w:val="28"/>
          <w:szCs w:val="28"/>
        </w:rPr>
        <w:t>估价结果报告</w:t>
      </w:r>
      <w:r>
        <w:rPr>
          <w:sz w:val="28"/>
          <w:szCs w:val="28"/>
        </w:rPr>
        <w:tab/>
      </w:r>
      <w:r>
        <w:rPr>
          <w:sz w:val="28"/>
          <w:szCs w:val="28"/>
        </w:rPr>
        <w:fldChar w:fldCharType="begin"/>
      </w:r>
      <w:r>
        <w:rPr>
          <w:sz w:val="28"/>
          <w:szCs w:val="28"/>
        </w:rPr>
        <w:instrText xml:space="preserve"> PAGEREF _Toc5973 </w:instrText>
      </w:r>
      <w:r>
        <w:rPr>
          <w:sz w:val="28"/>
          <w:szCs w:val="28"/>
        </w:rPr>
        <w:fldChar w:fldCharType="separate"/>
      </w:r>
      <w:r>
        <w:rPr>
          <w:sz w:val="28"/>
          <w:szCs w:val="28"/>
        </w:rPr>
        <w:t>- 5 -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_Toc24623 </w:instrText>
      </w:r>
      <w:r>
        <w:rPr>
          <w:rFonts w:ascii="宋体" w:hAnsi="宋体"/>
          <w:sz w:val="28"/>
          <w:szCs w:val="28"/>
        </w:rPr>
        <w:fldChar w:fldCharType="separate"/>
      </w:r>
      <w:r>
        <w:rPr>
          <w:rFonts w:hint="eastAsia" w:ascii="宋体" w:hAnsi="宋体" w:eastAsia="宋体"/>
          <w:kern w:val="0"/>
          <w:sz w:val="28"/>
          <w:szCs w:val="28"/>
        </w:rPr>
        <w:t>一、</w:t>
      </w:r>
      <w:r>
        <w:rPr>
          <w:rFonts w:hint="eastAsia" w:ascii="宋体" w:hAnsi="宋体" w:eastAsia="宋体"/>
          <w:sz w:val="28"/>
          <w:szCs w:val="28"/>
        </w:rPr>
        <w:t>估价委托人</w:t>
      </w:r>
      <w:r>
        <w:rPr>
          <w:sz w:val="28"/>
          <w:szCs w:val="28"/>
        </w:rPr>
        <w:tab/>
      </w:r>
      <w:r>
        <w:rPr>
          <w:sz w:val="28"/>
          <w:szCs w:val="28"/>
        </w:rPr>
        <w:fldChar w:fldCharType="begin"/>
      </w:r>
      <w:r>
        <w:rPr>
          <w:sz w:val="28"/>
          <w:szCs w:val="28"/>
        </w:rPr>
        <w:instrText xml:space="preserve"> PAGEREF _Toc24623 </w:instrText>
      </w:r>
      <w:r>
        <w:rPr>
          <w:sz w:val="28"/>
          <w:szCs w:val="28"/>
        </w:rPr>
        <w:fldChar w:fldCharType="separate"/>
      </w:r>
      <w:r>
        <w:rPr>
          <w:sz w:val="28"/>
          <w:szCs w:val="28"/>
        </w:rPr>
        <w:t>- 5 -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_Toc9950 </w:instrText>
      </w:r>
      <w:r>
        <w:rPr>
          <w:rFonts w:ascii="宋体" w:hAnsi="宋体"/>
          <w:sz w:val="28"/>
          <w:szCs w:val="28"/>
        </w:rPr>
        <w:fldChar w:fldCharType="separate"/>
      </w:r>
      <w:r>
        <w:rPr>
          <w:rFonts w:hint="eastAsia" w:ascii="宋体" w:hAnsi="宋体" w:eastAsia="宋体"/>
          <w:kern w:val="0"/>
          <w:sz w:val="28"/>
          <w:szCs w:val="28"/>
        </w:rPr>
        <w:t>二、房地产估价机构</w:t>
      </w:r>
      <w:r>
        <w:rPr>
          <w:sz w:val="28"/>
          <w:szCs w:val="28"/>
        </w:rPr>
        <w:tab/>
      </w:r>
      <w:r>
        <w:rPr>
          <w:sz w:val="28"/>
          <w:szCs w:val="28"/>
        </w:rPr>
        <w:fldChar w:fldCharType="begin"/>
      </w:r>
      <w:r>
        <w:rPr>
          <w:sz w:val="28"/>
          <w:szCs w:val="28"/>
        </w:rPr>
        <w:instrText xml:space="preserve"> PAGEREF _Toc9950 </w:instrText>
      </w:r>
      <w:r>
        <w:rPr>
          <w:sz w:val="28"/>
          <w:szCs w:val="28"/>
        </w:rPr>
        <w:fldChar w:fldCharType="separate"/>
      </w:r>
      <w:r>
        <w:rPr>
          <w:sz w:val="28"/>
          <w:szCs w:val="28"/>
        </w:rPr>
        <w:t>- 5 -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_Toc11659 </w:instrText>
      </w:r>
      <w:r>
        <w:rPr>
          <w:rFonts w:ascii="宋体" w:hAnsi="宋体"/>
          <w:sz w:val="28"/>
          <w:szCs w:val="28"/>
        </w:rPr>
        <w:fldChar w:fldCharType="separate"/>
      </w:r>
      <w:r>
        <w:rPr>
          <w:rFonts w:hint="eastAsia" w:ascii="宋体" w:hAnsi="宋体" w:eastAsia="宋体"/>
          <w:kern w:val="0"/>
          <w:sz w:val="28"/>
          <w:szCs w:val="28"/>
        </w:rPr>
        <w:t>三、估价目的</w:t>
      </w:r>
      <w:r>
        <w:rPr>
          <w:sz w:val="28"/>
          <w:szCs w:val="28"/>
        </w:rPr>
        <w:tab/>
      </w:r>
      <w:r>
        <w:rPr>
          <w:sz w:val="28"/>
          <w:szCs w:val="28"/>
        </w:rPr>
        <w:fldChar w:fldCharType="begin"/>
      </w:r>
      <w:r>
        <w:rPr>
          <w:sz w:val="28"/>
          <w:szCs w:val="28"/>
        </w:rPr>
        <w:instrText xml:space="preserve"> PAGEREF _Toc11659 </w:instrText>
      </w:r>
      <w:r>
        <w:rPr>
          <w:sz w:val="28"/>
          <w:szCs w:val="28"/>
        </w:rPr>
        <w:fldChar w:fldCharType="separate"/>
      </w:r>
      <w:r>
        <w:rPr>
          <w:sz w:val="28"/>
          <w:szCs w:val="28"/>
        </w:rPr>
        <w:t>- 5 -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_Toc3591 </w:instrText>
      </w:r>
      <w:r>
        <w:rPr>
          <w:rFonts w:ascii="宋体" w:hAnsi="宋体"/>
          <w:sz w:val="28"/>
          <w:szCs w:val="28"/>
        </w:rPr>
        <w:fldChar w:fldCharType="separate"/>
      </w:r>
      <w:r>
        <w:rPr>
          <w:rFonts w:hint="eastAsia" w:ascii="宋体" w:hAnsi="宋体" w:eastAsia="宋体"/>
          <w:kern w:val="0"/>
          <w:sz w:val="28"/>
          <w:szCs w:val="28"/>
        </w:rPr>
        <w:t>四、估价对象</w:t>
      </w:r>
      <w:r>
        <w:rPr>
          <w:sz w:val="28"/>
          <w:szCs w:val="28"/>
        </w:rPr>
        <w:tab/>
      </w:r>
      <w:r>
        <w:rPr>
          <w:sz w:val="28"/>
          <w:szCs w:val="28"/>
        </w:rPr>
        <w:fldChar w:fldCharType="begin"/>
      </w:r>
      <w:r>
        <w:rPr>
          <w:sz w:val="28"/>
          <w:szCs w:val="28"/>
        </w:rPr>
        <w:instrText xml:space="preserve"> PAGEREF _Toc3591 </w:instrText>
      </w:r>
      <w:r>
        <w:rPr>
          <w:sz w:val="28"/>
          <w:szCs w:val="28"/>
        </w:rPr>
        <w:fldChar w:fldCharType="separate"/>
      </w:r>
      <w:r>
        <w:rPr>
          <w:sz w:val="28"/>
          <w:szCs w:val="28"/>
        </w:rPr>
        <w:t>- 5 -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_Toc16633 </w:instrText>
      </w:r>
      <w:r>
        <w:rPr>
          <w:rFonts w:ascii="宋体" w:hAnsi="宋体"/>
          <w:sz w:val="28"/>
          <w:szCs w:val="28"/>
        </w:rPr>
        <w:fldChar w:fldCharType="separate"/>
      </w:r>
      <w:r>
        <w:rPr>
          <w:rFonts w:hint="eastAsia" w:ascii="宋体" w:hAnsi="宋体" w:eastAsia="宋体"/>
          <w:kern w:val="0"/>
          <w:sz w:val="28"/>
          <w:szCs w:val="28"/>
          <w:highlight w:val="none"/>
        </w:rPr>
        <w:t>五、价值时点</w:t>
      </w:r>
      <w:r>
        <w:rPr>
          <w:sz w:val="28"/>
          <w:szCs w:val="28"/>
        </w:rPr>
        <w:tab/>
      </w:r>
      <w:r>
        <w:rPr>
          <w:sz w:val="28"/>
          <w:szCs w:val="28"/>
        </w:rPr>
        <w:fldChar w:fldCharType="begin"/>
      </w:r>
      <w:r>
        <w:rPr>
          <w:sz w:val="28"/>
          <w:szCs w:val="28"/>
        </w:rPr>
        <w:instrText xml:space="preserve"> PAGEREF _Toc16633 </w:instrText>
      </w:r>
      <w:r>
        <w:rPr>
          <w:sz w:val="28"/>
          <w:szCs w:val="28"/>
        </w:rPr>
        <w:fldChar w:fldCharType="separate"/>
      </w:r>
      <w:r>
        <w:rPr>
          <w:sz w:val="28"/>
          <w:szCs w:val="28"/>
        </w:rPr>
        <w:t>- 7 -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_Toc21795 </w:instrText>
      </w:r>
      <w:r>
        <w:rPr>
          <w:rFonts w:ascii="宋体" w:hAnsi="宋体"/>
          <w:sz w:val="28"/>
          <w:szCs w:val="28"/>
        </w:rPr>
        <w:fldChar w:fldCharType="separate"/>
      </w:r>
      <w:r>
        <w:rPr>
          <w:rFonts w:hint="eastAsia" w:ascii="宋体" w:hAnsi="宋体" w:eastAsia="宋体"/>
          <w:kern w:val="0"/>
          <w:sz w:val="28"/>
          <w:szCs w:val="28"/>
          <w:highlight w:val="none"/>
        </w:rPr>
        <w:t>六、价值类型</w:t>
      </w:r>
      <w:r>
        <w:rPr>
          <w:sz w:val="28"/>
          <w:szCs w:val="28"/>
        </w:rPr>
        <w:tab/>
      </w:r>
      <w:r>
        <w:rPr>
          <w:sz w:val="28"/>
          <w:szCs w:val="28"/>
        </w:rPr>
        <w:fldChar w:fldCharType="begin"/>
      </w:r>
      <w:r>
        <w:rPr>
          <w:sz w:val="28"/>
          <w:szCs w:val="28"/>
        </w:rPr>
        <w:instrText xml:space="preserve"> PAGEREF _Toc21795 </w:instrText>
      </w:r>
      <w:r>
        <w:rPr>
          <w:sz w:val="28"/>
          <w:szCs w:val="28"/>
        </w:rPr>
        <w:fldChar w:fldCharType="separate"/>
      </w:r>
      <w:r>
        <w:rPr>
          <w:sz w:val="28"/>
          <w:szCs w:val="28"/>
        </w:rPr>
        <w:t>- 7 -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_Toc21266 </w:instrText>
      </w:r>
      <w:r>
        <w:rPr>
          <w:rFonts w:ascii="宋体" w:hAnsi="宋体"/>
          <w:sz w:val="28"/>
          <w:szCs w:val="28"/>
        </w:rPr>
        <w:fldChar w:fldCharType="separate"/>
      </w:r>
      <w:r>
        <w:rPr>
          <w:rFonts w:hint="eastAsia" w:ascii="宋体" w:hAnsi="宋体" w:eastAsia="宋体"/>
          <w:kern w:val="0"/>
          <w:sz w:val="28"/>
          <w:szCs w:val="28"/>
          <w:highlight w:val="none"/>
        </w:rPr>
        <w:t>七、估价原则</w:t>
      </w:r>
      <w:r>
        <w:rPr>
          <w:sz w:val="28"/>
          <w:szCs w:val="28"/>
        </w:rPr>
        <w:tab/>
      </w:r>
      <w:r>
        <w:rPr>
          <w:sz w:val="28"/>
          <w:szCs w:val="28"/>
        </w:rPr>
        <w:fldChar w:fldCharType="begin"/>
      </w:r>
      <w:r>
        <w:rPr>
          <w:sz w:val="28"/>
          <w:szCs w:val="28"/>
        </w:rPr>
        <w:instrText xml:space="preserve"> PAGEREF _Toc21266 </w:instrText>
      </w:r>
      <w:r>
        <w:rPr>
          <w:sz w:val="28"/>
          <w:szCs w:val="28"/>
        </w:rPr>
        <w:fldChar w:fldCharType="separate"/>
      </w:r>
      <w:r>
        <w:rPr>
          <w:sz w:val="28"/>
          <w:szCs w:val="28"/>
        </w:rPr>
        <w:t>- 7 -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_Toc9651 </w:instrText>
      </w:r>
      <w:r>
        <w:rPr>
          <w:rFonts w:ascii="宋体" w:hAnsi="宋体"/>
          <w:sz w:val="28"/>
          <w:szCs w:val="28"/>
        </w:rPr>
        <w:fldChar w:fldCharType="separate"/>
      </w:r>
      <w:r>
        <w:rPr>
          <w:rFonts w:hint="eastAsia" w:ascii="宋体" w:hAnsi="宋体" w:eastAsia="宋体"/>
          <w:kern w:val="0"/>
          <w:sz w:val="28"/>
          <w:szCs w:val="28"/>
          <w:highlight w:val="none"/>
        </w:rPr>
        <w:t>八、估价依据</w:t>
      </w:r>
      <w:r>
        <w:rPr>
          <w:sz w:val="28"/>
          <w:szCs w:val="28"/>
        </w:rPr>
        <w:tab/>
      </w:r>
      <w:r>
        <w:rPr>
          <w:sz w:val="28"/>
          <w:szCs w:val="28"/>
        </w:rPr>
        <w:fldChar w:fldCharType="begin"/>
      </w:r>
      <w:r>
        <w:rPr>
          <w:sz w:val="28"/>
          <w:szCs w:val="28"/>
        </w:rPr>
        <w:instrText xml:space="preserve"> PAGEREF _Toc9651 </w:instrText>
      </w:r>
      <w:r>
        <w:rPr>
          <w:sz w:val="28"/>
          <w:szCs w:val="28"/>
        </w:rPr>
        <w:fldChar w:fldCharType="separate"/>
      </w:r>
      <w:r>
        <w:rPr>
          <w:sz w:val="28"/>
          <w:szCs w:val="28"/>
        </w:rPr>
        <w:t>- 8 -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_Toc5491 </w:instrText>
      </w:r>
      <w:r>
        <w:rPr>
          <w:rFonts w:ascii="宋体" w:hAnsi="宋体"/>
          <w:sz w:val="28"/>
          <w:szCs w:val="28"/>
        </w:rPr>
        <w:fldChar w:fldCharType="separate"/>
      </w:r>
      <w:r>
        <w:rPr>
          <w:rFonts w:hint="eastAsia" w:ascii="宋体" w:hAnsi="宋体" w:eastAsia="宋体"/>
          <w:kern w:val="0"/>
          <w:sz w:val="28"/>
          <w:szCs w:val="28"/>
          <w:highlight w:val="none"/>
        </w:rPr>
        <w:t>九、估价方法</w:t>
      </w:r>
      <w:r>
        <w:rPr>
          <w:sz w:val="28"/>
          <w:szCs w:val="28"/>
        </w:rPr>
        <w:tab/>
      </w:r>
      <w:r>
        <w:rPr>
          <w:sz w:val="28"/>
          <w:szCs w:val="28"/>
        </w:rPr>
        <w:fldChar w:fldCharType="begin"/>
      </w:r>
      <w:r>
        <w:rPr>
          <w:sz w:val="28"/>
          <w:szCs w:val="28"/>
        </w:rPr>
        <w:instrText xml:space="preserve"> PAGEREF _Toc5491 </w:instrText>
      </w:r>
      <w:r>
        <w:rPr>
          <w:sz w:val="28"/>
          <w:szCs w:val="28"/>
        </w:rPr>
        <w:fldChar w:fldCharType="separate"/>
      </w:r>
      <w:r>
        <w:rPr>
          <w:sz w:val="28"/>
          <w:szCs w:val="28"/>
        </w:rPr>
        <w:t>- 9 -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_Toc26743 </w:instrText>
      </w:r>
      <w:r>
        <w:rPr>
          <w:rFonts w:ascii="宋体" w:hAnsi="宋体"/>
          <w:sz w:val="28"/>
          <w:szCs w:val="28"/>
        </w:rPr>
        <w:fldChar w:fldCharType="separate"/>
      </w:r>
      <w:r>
        <w:rPr>
          <w:rFonts w:hint="eastAsia" w:ascii="宋体" w:hAnsi="宋体" w:eastAsia="宋体"/>
          <w:kern w:val="0"/>
          <w:sz w:val="28"/>
          <w:szCs w:val="28"/>
          <w:highlight w:val="none"/>
        </w:rPr>
        <w:t>十、估价结果</w:t>
      </w:r>
      <w:r>
        <w:rPr>
          <w:sz w:val="28"/>
          <w:szCs w:val="28"/>
        </w:rPr>
        <w:tab/>
      </w:r>
      <w:r>
        <w:rPr>
          <w:sz w:val="28"/>
          <w:szCs w:val="28"/>
        </w:rPr>
        <w:fldChar w:fldCharType="begin"/>
      </w:r>
      <w:r>
        <w:rPr>
          <w:sz w:val="28"/>
          <w:szCs w:val="28"/>
        </w:rPr>
        <w:instrText xml:space="preserve"> PAGEREF _Toc26743 </w:instrText>
      </w:r>
      <w:r>
        <w:rPr>
          <w:sz w:val="28"/>
          <w:szCs w:val="28"/>
        </w:rPr>
        <w:fldChar w:fldCharType="separate"/>
      </w:r>
      <w:r>
        <w:rPr>
          <w:sz w:val="28"/>
          <w:szCs w:val="28"/>
        </w:rPr>
        <w:t>- 10 -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_Toc15637 </w:instrText>
      </w:r>
      <w:r>
        <w:rPr>
          <w:rFonts w:ascii="宋体" w:hAnsi="宋体"/>
          <w:sz w:val="28"/>
          <w:szCs w:val="28"/>
        </w:rPr>
        <w:fldChar w:fldCharType="separate"/>
      </w:r>
      <w:r>
        <w:rPr>
          <w:rFonts w:hint="eastAsia" w:ascii="宋体" w:hAnsi="宋体" w:eastAsia="宋体"/>
          <w:kern w:val="0"/>
          <w:sz w:val="28"/>
          <w:szCs w:val="28"/>
        </w:rPr>
        <w:t xml:space="preserve">十一、 </w:t>
      </w:r>
      <w:r>
        <w:rPr>
          <w:rFonts w:hint="eastAsia" w:ascii="宋体" w:hAnsi="宋体" w:eastAsia="宋体"/>
          <w:kern w:val="0"/>
          <w:sz w:val="28"/>
          <w:szCs w:val="28"/>
          <w:highlight w:val="none"/>
        </w:rPr>
        <w:t>注册房地产估价师</w:t>
      </w:r>
      <w:r>
        <w:rPr>
          <w:sz w:val="28"/>
          <w:szCs w:val="28"/>
        </w:rPr>
        <w:tab/>
      </w:r>
      <w:r>
        <w:rPr>
          <w:sz w:val="28"/>
          <w:szCs w:val="28"/>
        </w:rPr>
        <w:fldChar w:fldCharType="begin"/>
      </w:r>
      <w:r>
        <w:rPr>
          <w:sz w:val="28"/>
          <w:szCs w:val="28"/>
        </w:rPr>
        <w:instrText xml:space="preserve"> PAGEREF _Toc15637 </w:instrText>
      </w:r>
      <w:r>
        <w:rPr>
          <w:sz w:val="28"/>
          <w:szCs w:val="28"/>
        </w:rPr>
        <w:fldChar w:fldCharType="separate"/>
      </w:r>
      <w:r>
        <w:rPr>
          <w:sz w:val="28"/>
          <w:szCs w:val="28"/>
        </w:rPr>
        <w:t>- 10 -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_Toc30960 </w:instrText>
      </w:r>
      <w:r>
        <w:rPr>
          <w:rFonts w:ascii="宋体" w:hAnsi="宋体"/>
          <w:sz w:val="28"/>
          <w:szCs w:val="28"/>
        </w:rPr>
        <w:fldChar w:fldCharType="separate"/>
      </w:r>
      <w:r>
        <w:rPr>
          <w:rFonts w:hint="eastAsia" w:ascii="宋体" w:hAnsi="宋体" w:eastAsia="宋体"/>
          <w:kern w:val="0"/>
          <w:sz w:val="28"/>
          <w:szCs w:val="28"/>
          <w:highlight w:val="none"/>
        </w:rPr>
        <w:t>十二、实地查勘期</w:t>
      </w:r>
      <w:r>
        <w:rPr>
          <w:sz w:val="28"/>
          <w:szCs w:val="28"/>
        </w:rPr>
        <w:tab/>
      </w:r>
      <w:r>
        <w:rPr>
          <w:sz w:val="28"/>
          <w:szCs w:val="28"/>
        </w:rPr>
        <w:fldChar w:fldCharType="begin"/>
      </w:r>
      <w:r>
        <w:rPr>
          <w:sz w:val="28"/>
          <w:szCs w:val="28"/>
        </w:rPr>
        <w:instrText xml:space="preserve"> PAGEREF _Toc30960 </w:instrText>
      </w:r>
      <w:r>
        <w:rPr>
          <w:sz w:val="28"/>
          <w:szCs w:val="28"/>
        </w:rPr>
        <w:fldChar w:fldCharType="separate"/>
      </w:r>
      <w:r>
        <w:rPr>
          <w:sz w:val="28"/>
          <w:szCs w:val="28"/>
        </w:rPr>
        <w:t>- 10 -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_Toc28719 </w:instrText>
      </w:r>
      <w:r>
        <w:rPr>
          <w:rFonts w:ascii="宋体" w:hAnsi="宋体"/>
          <w:sz w:val="28"/>
          <w:szCs w:val="28"/>
        </w:rPr>
        <w:fldChar w:fldCharType="separate"/>
      </w:r>
      <w:r>
        <w:rPr>
          <w:rFonts w:hint="eastAsia" w:ascii="宋体" w:hAnsi="宋体" w:eastAsia="宋体"/>
          <w:kern w:val="0"/>
          <w:sz w:val="28"/>
          <w:szCs w:val="28"/>
          <w:highlight w:val="none"/>
        </w:rPr>
        <w:t>十三、估价作业日期</w:t>
      </w:r>
      <w:r>
        <w:rPr>
          <w:sz w:val="28"/>
          <w:szCs w:val="28"/>
        </w:rPr>
        <w:tab/>
      </w:r>
      <w:r>
        <w:rPr>
          <w:sz w:val="28"/>
          <w:szCs w:val="28"/>
        </w:rPr>
        <w:fldChar w:fldCharType="begin"/>
      </w:r>
      <w:r>
        <w:rPr>
          <w:sz w:val="28"/>
          <w:szCs w:val="28"/>
        </w:rPr>
        <w:instrText xml:space="preserve"> PAGEREF _Toc28719 </w:instrText>
      </w:r>
      <w:r>
        <w:rPr>
          <w:sz w:val="28"/>
          <w:szCs w:val="28"/>
        </w:rPr>
        <w:fldChar w:fldCharType="separate"/>
      </w:r>
      <w:r>
        <w:rPr>
          <w:sz w:val="28"/>
          <w:szCs w:val="28"/>
        </w:rPr>
        <w:t>- 11 -</w:t>
      </w:r>
      <w:r>
        <w:rPr>
          <w:sz w:val="28"/>
          <w:szCs w:val="28"/>
        </w:rPr>
        <w:fldChar w:fldCharType="end"/>
      </w:r>
      <w:r>
        <w:rPr>
          <w:rFonts w:ascii="宋体" w:hAnsi="宋体"/>
          <w:color w:val="auto"/>
          <w:sz w:val="28"/>
          <w:szCs w:val="28"/>
        </w:rPr>
        <w:fldChar w:fldCharType="end"/>
      </w:r>
    </w:p>
    <w:p>
      <w:pPr>
        <w:pStyle w:val="14"/>
        <w:keepNext w:val="0"/>
        <w:keepLines w:val="0"/>
        <w:pageBreakBefore w:val="0"/>
        <w:widowControl w:val="0"/>
        <w:tabs>
          <w:tab w:val="right" w:leader="dot" w:pos="9241"/>
          <w:tab w:val="clear" w:pos="923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_Toc16944 </w:instrText>
      </w:r>
      <w:r>
        <w:rPr>
          <w:rFonts w:ascii="宋体" w:hAnsi="宋体"/>
          <w:sz w:val="28"/>
          <w:szCs w:val="28"/>
        </w:rPr>
        <w:fldChar w:fldCharType="separate"/>
      </w:r>
      <w:r>
        <w:rPr>
          <w:rFonts w:hint="eastAsia" w:ascii="宋体" w:hAnsi="宋体"/>
          <w:sz w:val="28"/>
          <w:szCs w:val="28"/>
          <w:highlight w:val="none"/>
        </w:rPr>
        <w:t>估价技术报告</w:t>
      </w:r>
      <w:r>
        <w:rPr>
          <w:sz w:val="28"/>
          <w:szCs w:val="28"/>
        </w:rPr>
        <w:tab/>
      </w:r>
      <w:r>
        <w:rPr>
          <w:sz w:val="28"/>
          <w:szCs w:val="28"/>
        </w:rPr>
        <w:fldChar w:fldCharType="begin"/>
      </w:r>
      <w:r>
        <w:rPr>
          <w:sz w:val="28"/>
          <w:szCs w:val="28"/>
        </w:rPr>
        <w:instrText xml:space="preserve"> PAGEREF _Toc16944 </w:instrText>
      </w:r>
      <w:r>
        <w:rPr>
          <w:sz w:val="28"/>
          <w:szCs w:val="28"/>
        </w:rPr>
        <w:fldChar w:fldCharType="separate"/>
      </w:r>
      <w:r>
        <w:rPr>
          <w:sz w:val="28"/>
          <w:szCs w:val="28"/>
        </w:rPr>
        <w:t>- 12 -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rFonts w:ascii="宋体" w:hAnsi="宋体"/>
          <w:color w:val="auto"/>
          <w:sz w:val="28"/>
          <w:szCs w:val="28"/>
        </w:rPr>
      </w:pPr>
      <w:r>
        <w:rPr>
          <w:rFonts w:ascii="宋体" w:hAnsi="宋体"/>
          <w:color w:val="auto"/>
          <w:sz w:val="28"/>
          <w:szCs w:val="28"/>
        </w:rPr>
        <w:fldChar w:fldCharType="begin"/>
      </w:r>
      <w:r>
        <w:rPr>
          <w:rFonts w:ascii="宋体" w:hAnsi="宋体"/>
          <w:sz w:val="28"/>
          <w:szCs w:val="28"/>
        </w:rPr>
        <w:instrText xml:space="preserve"> HYPERLINK \l _Toc15455 </w:instrText>
      </w:r>
      <w:r>
        <w:rPr>
          <w:rFonts w:ascii="宋体" w:hAnsi="宋体"/>
          <w:sz w:val="28"/>
          <w:szCs w:val="28"/>
        </w:rPr>
        <w:fldChar w:fldCharType="separate"/>
      </w:r>
      <w:r>
        <w:rPr>
          <w:rFonts w:hint="eastAsia" w:ascii="宋体" w:hAnsi="宋体"/>
          <w:sz w:val="28"/>
          <w:szCs w:val="28"/>
          <w:lang w:eastAsia="zh-CN"/>
        </w:rPr>
        <w:t>一</w:t>
      </w:r>
      <w:r>
        <w:rPr>
          <w:rFonts w:hint="eastAsia" w:ascii="宋体" w:hAnsi="宋体" w:eastAsia="宋体"/>
          <w:kern w:val="0"/>
          <w:sz w:val="28"/>
          <w:szCs w:val="28"/>
          <w:highlight w:val="none"/>
        </w:rPr>
        <w:t>、</w:t>
      </w:r>
      <w:r>
        <w:rPr>
          <w:rFonts w:hint="eastAsia" w:ascii="宋体" w:hAnsi="宋体"/>
          <w:kern w:val="0"/>
          <w:sz w:val="28"/>
          <w:szCs w:val="28"/>
          <w:highlight w:val="none"/>
          <w:lang w:eastAsia="zh-CN"/>
        </w:rPr>
        <w:t>估价对象</w:t>
      </w:r>
      <w:r>
        <w:rPr>
          <w:rFonts w:hint="eastAsia" w:ascii="宋体" w:hAnsi="宋体" w:eastAsia="宋体"/>
          <w:kern w:val="0"/>
          <w:sz w:val="28"/>
          <w:szCs w:val="28"/>
          <w:highlight w:val="none"/>
        </w:rPr>
        <w:t>描述与分析</w:t>
      </w:r>
      <w:r>
        <w:rPr>
          <w:sz w:val="28"/>
          <w:szCs w:val="28"/>
        </w:rPr>
        <w:tab/>
      </w:r>
      <w:r>
        <w:rPr>
          <w:sz w:val="28"/>
          <w:szCs w:val="28"/>
        </w:rPr>
        <w:fldChar w:fldCharType="begin"/>
      </w:r>
      <w:r>
        <w:rPr>
          <w:sz w:val="28"/>
          <w:szCs w:val="28"/>
        </w:rPr>
        <w:instrText xml:space="preserve"> PAGEREF _Toc15455 </w:instrText>
      </w:r>
      <w:r>
        <w:rPr>
          <w:sz w:val="28"/>
          <w:szCs w:val="28"/>
        </w:rPr>
        <w:fldChar w:fldCharType="separate"/>
      </w:r>
      <w:r>
        <w:rPr>
          <w:sz w:val="28"/>
          <w:szCs w:val="28"/>
        </w:rPr>
        <w:t>- 15 -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_Toc15455 </w:instrText>
      </w:r>
      <w:r>
        <w:rPr>
          <w:rFonts w:ascii="宋体" w:hAnsi="宋体"/>
          <w:sz w:val="28"/>
          <w:szCs w:val="28"/>
        </w:rPr>
        <w:fldChar w:fldCharType="separate"/>
      </w:r>
      <w:r>
        <w:rPr>
          <w:rFonts w:hint="eastAsia" w:ascii="宋体" w:hAnsi="宋体" w:eastAsia="宋体"/>
          <w:kern w:val="0"/>
          <w:sz w:val="28"/>
          <w:szCs w:val="28"/>
          <w:highlight w:val="none"/>
        </w:rPr>
        <w:t>二、市场背景描述与分析</w:t>
      </w:r>
      <w:r>
        <w:rPr>
          <w:sz w:val="28"/>
          <w:szCs w:val="28"/>
        </w:rPr>
        <w:tab/>
      </w:r>
      <w:r>
        <w:rPr>
          <w:sz w:val="28"/>
          <w:szCs w:val="28"/>
        </w:rPr>
        <w:fldChar w:fldCharType="begin"/>
      </w:r>
      <w:r>
        <w:rPr>
          <w:sz w:val="28"/>
          <w:szCs w:val="28"/>
        </w:rPr>
        <w:instrText xml:space="preserve"> PAGEREF _Toc15455 </w:instrText>
      </w:r>
      <w:r>
        <w:rPr>
          <w:sz w:val="28"/>
          <w:szCs w:val="28"/>
        </w:rPr>
        <w:fldChar w:fldCharType="separate"/>
      </w:r>
      <w:r>
        <w:rPr>
          <w:sz w:val="28"/>
          <w:szCs w:val="28"/>
        </w:rPr>
        <w:t>- 15 -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_Toc30442 </w:instrText>
      </w:r>
      <w:r>
        <w:rPr>
          <w:rFonts w:ascii="宋体" w:hAnsi="宋体"/>
          <w:sz w:val="28"/>
          <w:szCs w:val="28"/>
        </w:rPr>
        <w:fldChar w:fldCharType="separate"/>
      </w:r>
      <w:r>
        <w:rPr>
          <w:rFonts w:hint="eastAsia" w:ascii="宋体" w:hAnsi="宋体" w:eastAsia="宋体"/>
          <w:kern w:val="0"/>
          <w:sz w:val="28"/>
          <w:szCs w:val="28"/>
          <w:highlight w:val="none"/>
        </w:rPr>
        <w:t>三、估价对象最高最佳利用分析</w:t>
      </w:r>
      <w:r>
        <w:rPr>
          <w:sz w:val="28"/>
          <w:szCs w:val="28"/>
        </w:rPr>
        <w:tab/>
      </w:r>
      <w:r>
        <w:rPr>
          <w:sz w:val="28"/>
          <w:szCs w:val="28"/>
        </w:rPr>
        <w:fldChar w:fldCharType="begin"/>
      </w:r>
      <w:r>
        <w:rPr>
          <w:sz w:val="28"/>
          <w:szCs w:val="28"/>
        </w:rPr>
        <w:instrText xml:space="preserve"> PAGEREF _Toc30442 </w:instrText>
      </w:r>
      <w:r>
        <w:rPr>
          <w:sz w:val="28"/>
          <w:szCs w:val="28"/>
        </w:rPr>
        <w:fldChar w:fldCharType="separate"/>
      </w:r>
      <w:r>
        <w:rPr>
          <w:sz w:val="28"/>
          <w:szCs w:val="28"/>
        </w:rPr>
        <w:t>- 16 -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_Toc7922 </w:instrText>
      </w:r>
      <w:r>
        <w:rPr>
          <w:rFonts w:ascii="宋体" w:hAnsi="宋体"/>
          <w:sz w:val="28"/>
          <w:szCs w:val="28"/>
        </w:rPr>
        <w:fldChar w:fldCharType="separate"/>
      </w:r>
      <w:r>
        <w:rPr>
          <w:rFonts w:hint="eastAsia" w:ascii="宋体" w:hAnsi="宋体" w:eastAsia="宋体"/>
          <w:kern w:val="0"/>
          <w:sz w:val="28"/>
          <w:szCs w:val="28"/>
          <w:highlight w:val="none"/>
        </w:rPr>
        <w:t>四、估价方法适用性分析</w:t>
      </w:r>
      <w:r>
        <w:rPr>
          <w:sz w:val="28"/>
          <w:szCs w:val="28"/>
        </w:rPr>
        <w:tab/>
      </w:r>
      <w:r>
        <w:rPr>
          <w:sz w:val="28"/>
          <w:szCs w:val="28"/>
        </w:rPr>
        <w:fldChar w:fldCharType="begin"/>
      </w:r>
      <w:r>
        <w:rPr>
          <w:sz w:val="28"/>
          <w:szCs w:val="28"/>
        </w:rPr>
        <w:instrText xml:space="preserve"> PAGEREF _Toc7922 </w:instrText>
      </w:r>
      <w:r>
        <w:rPr>
          <w:sz w:val="28"/>
          <w:szCs w:val="28"/>
        </w:rPr>
        <w:fldChar w:fldCharType="separate"/>
      </w:r>
      <w:r>
        <w:rPr>
          <w:sz w:val="28"/>
          <w:szCs w:val="28"/>
        </w:rPr>
        <w:t>- 17 -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_Toc26387 </w:instrText>
      </w:r>
      <w:r>
        <w:rPr>
          <w:rFonts w:ascii="宋体" w:hAnsi="宋体"/>
          <w:sz w:val="28"/>
          <w:szCs w:val="28"/>
        </w:rPr>
        <w:fldChar w:fldCharType="separate"/>
      </w:r>
      <w:r>
        <w:rPr>
          <w:rFonts w:hint="eastAsia" w:ascii="宋体" w:hAnsi="宋体" w:eastAsia="宋体"/>
          <w:kern w:val="0"/>
          <w:sz w:val="28"/>
          <w:szCs w:val="28"/>
          <w:highlight w:val="none"/>
        </w:rPr>
        <w:t>五、估价测算过程</w:t>
      </w:r>
      <w:r>
        <w:rPr>
          <w:sz w:val="28"/>
          <w:szCs w:val="28"/>
        </w:rPr>
        <w:tab/>
      </w:r>
      <w:r>
        <w:rPr>
          <w:sz w:val="28"/>
          <w:szCs w:val="28"/>
        </w:rPr>
        <w:fldChar w:fldCharType="begin"/>
      </w:r>
      <w:r>
        <w:rPr>
          <w:sz w:val="28"/>
          <w:szCs w:val="28"/>
        </w:rPr>
        <w:instrText xml:space="preserve"> PAGEREF _Toc26387 </w:instrText>
      </w:r>
      <w:r>
        <w:rPr>
          <w:sz w:val="28"/>
          <w:szCs w:val="28"/>
        </w:rPr>
        <w:fldChar w:fldCharType="separate"/>
      </w:r>
      <w:r>
        <w:rPr>
          <w:sz w:val="28"/>
          <w:szCs w:val="28"/>
        </w:rPr>
        <w:t>- 17 -</w:t>
      </w:r>
      <w:r>
        <w:rPr>
          <w:sz w:val="28"/>
          <w:szCs w:val="28"/>
        </w:rPr>
        <w:fldChar w:fldCharType="end"/>
      </w:r>
      <w:r>
        <w:rPr>
          <w:rFonts w:ascii="宋体" w:hAnsi="宋体"/>
          <w:color w:val="auto"/>
          <w:sz w:val="28"/>
          <w:szCs w:val="28"/>
        </w:rPr>
        <w:fldChar w:fldCharType="end"/>
      </w:r>
    </w:p>
    <w:p>
      <w:pPr>
        <w:pStyle w:val="17"/>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_Toc19988 </w:instrText>
      </w:r>
      <w:r>
        <w:rPr>
          <w:rFonts w:ascii="宋体" w:hAnsi="宋体"/>
          <w:sz w:val="28"/>
          <w:szCs w:val="28"/>
        </w:rPr>
        <w:fldChar w:fldCharType="separate"/>
      </w:r>
      <w:r>
        <w:rPr>
          <w:rFonts w:hint="eastAsia" w:ascii="宋体" w:hAnsi="宋体" w:eastAsia="宋体"/>
          <w:kern w:val="0"/>
          <w:sz w:val="28"/>
          <w:szCs w:val="28"/>
        </w:rPr>
        <w:t>六、估价结果确定</w:t>
      </w:r>
      <w:r>
        <w:rPr>
          <w:sz w:val="28"/>
          <w:szCs w:val="28"/>
        </w:rPr>
        <w:tab/>
      </w:r>
      <w:r>
        <w:rPr>
          <w:sz w:val="28"/>
          <w:szCs w:val="28"/>
        </w:rPr>
        <w:fldChar w:fldCharType="begin"/>
      </w:r>
      <w:r>
        <w:rPr>
          <w:sz w:val="28"/>
          <w:szCs w:val="28"/>
        </w:rPr>
        <w:instrText xml:space="preserve"> PAGEREF _Toc19988 </w:instrText>
      </w:r>
      <w:r>
        <w:rPr>
          <w:sz w:val="28"/>
          <w:szCs w:val="28"/>
        </w:rPr>
        <w:fldChar w:fldCharType="separate"/>
      </w:r>
      <w:r>
        <w:rPr>
          <w:sz w:val="28"/>
          <w:szCs w:val="28"/>
        </w:rPr>
        <w:t>- 32 -</w:t>
      </w:r>
      <w:r>
        <w:rPr>
          <w:sz w:val="28"/>
          <w:szCs w:val="28"/>
        </w:rPr>
        <w:fldChar w:fldCharType="end"/>
      </w:r>
      <w:r>
        <w:rPr>
          <w:rFonts w:ascii="宋体" w:hAnsi="宋体"/>
          <w:color w:val="auto"/>
          <w:sz w:val="28"/>
          <w:szCs w:val="28"/>
        </w:rPr>
        <w:fldChar w:fldCharType="end"/>
      </w:r>
    </w:p>
    <w:p>
      <w:pPr>
        <w:pStyle w:val="14"/>
        <w:keepNext w:val="0"/>
        <w:keepLines w:val="0"/>
        <w:pageBreakBefore w:val="0"/>
        <w:widowControl w:val="0"/>
        <w:tabs>
          <w:tab w:val="right" w:leader="dot" w:pos="9241"/>
          <w:tab w:val="clear" w:pos="923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_Toc9506 </w:instrText>
      </w:r>
      <w:r>
        <w:rPr>
          <w:rFonts w:ascii="宋体" w:hAnsi="宋体"/>
          <w:sz w:val="28"/>
          <w:szCs w:val="28"/>
        </w:rPr>
        <w:fldChar w:fldCharType="separate"/>
      </w:r>
      <w:r>
        <w:rPr>
          <w:rFonts w:hint="eastAsia" w:ascii="宋体" w:hAnsi="宋体"/>
          <w:sz w:val="28"/>
          <w:szCs w:val="28"/>
        </w:rPr>
        <w:t>附  件</w:t>
      </w:r>
      <w:r>
        <w:rPr>
          <w:sz w:val="28"/>
          <w:szCs w:val="28"/>
        </w:rPr>
        <w:tab/>
      </w:r>
      <w:r>
        <w:rPr>
          <w:sz w:val="28"/>
          <w:szCs w:val="28"/>
        </w:rPr>
        <w:fldChar w:fldCharType="begin"/>
      </w:r>
      <w:r>
        <w:rPr>
          <w:sz w:val="28"/>
          <w:szCs w:val="28"/>
        </w:rPr>
        <w:instrText xml:space="preserve"> PAGEREF _Toc9506 </w:instrText>
      </w:r>
      <w:r>
        <w:rPr>
          <w:sz w:val="28"/>
          <w:szCs w:val="28"/>
        </w:rPr>
        <w:fldChar w:fldCharType="separate"/>
      </w:r>
      <w:r>
        <w:rPr>
          <w:sz w:val="28"/>
          <w:szCs w:val="28"/>
        </w:rPr>
        <w:t>- 33 -</w:t>
      </w:r>
      <w:r>
        <w:rPr>
          <w:sz w:val="28"/>
          <w:szCs w:val="28"/>
        </w:rPr>
        <w:fldChar w:fldCharType="end"/>
      </w:r>
      <w:r>
        <w:rPr>
          <w:rFonts w:ascii="宋体" w:hAnsi="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_Toc3620 </w:instrText>
      </w:r>
      <w:r>
        <w:rPr>
          <w:rFonts w:ascii="宋体" w:hAnsi="宋体"/>
          <w:sz w:val="28"/>
          <w:szCs w:val="28"/>
        </w:rPr>
        <w:fldChar w:fldCharType="separate"/>
      </w:r>
      <w:r>
        <w:rPr>
          <w:rFonts w:hint="eastAsia" w:ascii="宋体" w:hAnsi="宋体"/>
          <w:sz w:val="28"/>
          <w:szCs w:val="28"/>
        </w:rPr>
        <w:t>（一）</w:t>
      </w:r>
      <w:r>
        <w:rPr>
          <w:rFonts w:hint="eastAsia" w:ascii="宋体" w:hAnsi="宋体"/>
          <w:sz w:val="28"/>
          <w:szCs w:val="28"/>
          <w:lang w:eastAsia="zh-CN"/>
        </w:rPr>
        <w:t>《云南省文山壮族苗族自治州中级人民法院委托书》</w:t>
      </w:r>
      <w:r>
        <w:rPr>
          <w:sz w:val="28"/>
          <w:szCs w:val="28"/>
        </w:rPr>
        <w:tab/>
      </w:r>
      <w:r>
        <w:rPr>
          <w:rFonts w:ascii="宋体" w:hAnsi="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_Toc16463 </w:instrText>
      </w:r>
      <w:r>
        <w:rPr>
          <w:rFonts w:ascii="宋体" w:hAnsi="宋体"/>
          <w:sz w:val="28"/>
          <w:szCs w:val="28"/>
        </w:rPr>
        <w:fldChar w:fldCharType="separate"/>
      </w:r>
      <w:r>
        <w:rPr>
          <w:rFonts w:hint="eastAsia" w:ascii="宋体" w:hAnsi="宋体"/>
          <w:sz w:val="28"/>
          <w:szCs w:val="28"/>
        </w:rPr>
        <w:t>（二）估价对象区域位置图</w:t>
      </w:r>
      <w:r>
        <w:rPr>
          <w:sz w:val="28"/>
          <w:szCs w:val="28"/>
        </w:rPr>
        <w:tab/>
      </w:r>
      <w:r>
        <w:rPr>
          <w:rFonts w:ascii="宋体" w:hAnsi="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_Toc31530 </w:instrText>
      </w:r>
      <w:r>
        <w:rPr>
          <w:rFonts w:ascii="宋体" w:hAnsi="宋体"/>
          <w:sz w:val="28"/>
          <w:szCs w:val="28"/>
        </w:rPr>
        <w:fldChar w:fldCharType="separate"/>
      </w:r>
      <w:r>
        <w:rPr>
          <w:rFonts w:hint="eastAsia" w:ascii="宋体" w:hAnsi="宋体"/>
          <w:sz w:val="28"/>
          <w:szCs w:val="28"/>
        </w:rPr>
        <w:t>（三）估价对象实景照片</w:t>
      </w:r>
      <w:r>
        <w:rPr>
          <w:sz w:val="28"/>
          <w:szCs w:val="28"/>
        </w:rPr>
        <w:tab/>
      </w:r>
      <w:r>
        <w:rPr>
          <w:rFonts w:ascii="宋体" w:hAnsi="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_Toc19381 </w:instrText>
      </w:r>
      <w:r>
        <w:rPr>
          <w:rFonts w:ascii="宋体" w:hAnsi="宋体"/>
          <w:sz w:val="28"/>
          <w:szCs w:val="28"/>
        </w:rPr>
        <w:fldChar w:fldCharType="separate"/>
      </w:r>
      <w:r>
        <w:rPr>
          <w:rFonts w:hint="eastAsia" w:ascii="宋体" w:hAnsi="宋体"/>
          <w:sz w:val="28"/>
          <w:szCs w:val="28"/>
        </w:rPr>
        <w:t>（四）</w:t>
      </w:r>
      <w:r>
        <w:rPr>
          <w:rFonts w:hint="eastAsia" w:ascii="宋体" w:hAnsi="宋体"/>
          <w:sz w:val="28"/>
          <w:szCs w:val="28"/>
          <w:lang w:eastAsia="zh-CN"/>
        </w:rPr>
        <w:t>《房屋所有权证》</w:t>
      </w:r>
      <w:r>
        <w:rPr>
          <w:rFonts w:hint="eastAsia" w:ascii="宋体" w:hAnsi="宋体"/>
          <w:sz w:val="28"/>
          <w:szCs w:val="28"/>
        </w:rPr>
        <w:t>复印件</w:t>
      </w:r>
      <w:r>
        <w:rPr>
          <w:sz w:val="28"/>
          <w:szCs w:val="28"/>
        </w:rPr>
        <w:tab/>
      </w:r>
      <w:r>
        <w:rPr>
          <w:rFonts w:ascii="宋体" w:hAnsi="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_Toc14125 </w:instrText>
      </w:r>
      <w:r>
        <w:rPr>
          <w:rFonts w:ascii="宋体" w:hAnsi="宋体"/>
          <w:sz w:val="28"/>
          <w:szCs w:val="28"/>
        </w:rPr>
        <w:fldChar w:fldCharType="separate"/>
      </w:r>
      <w:r>
        <w:rPr>
          <w:rFonts w:hint="eastAsia" w:ascii="宋体" w:hAnsi="宋体"/>
          <w:sz w:val="28"/>
          <w:szCs w:val="28"/>
        </w:rPr>
        <w:t>（五）</w:t>
      </w:r>
      <w:r>
        <w:rPr>
          <w:rFonts w:hint="eastAsia" w:ascii="宋体" w:hAnsi="宋体"/>
          <w:sz w:val="28"/>
          <w:szCs w:val="28"/>
          <w:lang w:eastAsia="zh-CN"/>
        </w:rPr>
        <w:t>估价师到相关部门调查收集</w:t>
      </w:r>
      <w:r>
        <w:rPr>
          <w:rFonts w:hint="eastAsia" w:ascii="宋体" w:hAnsi="宋体"/>
          <w:sz w:val="28"/>
          <w:szCs w:val="28"/>
        </w:rPr>
        <w:t>的相关资料复印件</w:t>
      </w:r>
      <w:r>
        <w:rPr>
          <w:sz w:val="28"/>
          <w:szCs w:val="28"/>
        </w:rPr>
        <w:tab/>
      </w:r>
      <w:r>
        <w:rPr>
          <w:rFonts w:ascii="宋体" w:hAnsi="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_Toc31789 </w:instrText>
      </w:r>
      <w:r>
        <w:rPr>
          <w:rFonts w:ascii="宋体" w:hAnsi="宋体"/>
          <w:sz w:val="28"/>
          <w:szCs w:val="28"/>
        </w:rPr>
        <w:fldChar w:fldCharType="separate"/>
      </w:r>
      <w:r>
        <w:rPr>
          <w:rFonts w:hint="eastAsia" w:ascii="宋体" w:hAnsi="宋体"/>
          <w:sz w:val="28"/>
          <w:szCs w:val="28"/>
        </w:rPr>
        <w:t>（六）房地产估价机构营业执照复印件</w:t>
      </w:r>
      <w:r>
        <w:rPr>
          <w:sz w:val="28"/>
          <w:szCs w:val="28"/>
        </w:rPr>
        <w:tab/>
      </w:r>
      <w:r>
        <w:rPr>
          <w:rFonts w:ascii="宋体" w:hAnsi="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sz w:val="28"/>
          <w:szCs w:val="28"/>
        </w:rPr>
      </w:pPr>
      <w:r>
        <w:rPr>
          <w:rFonts w:ascii="宋体" w:hAnsi="宋体"/>
          <w:color w:val="auto"/>
          <w:sz w:val="28"/>
          <w:szCs w:val="28"/>
        </w:rPr>
        <w:fldChar w:fldCharType="begin"/>
      </w:r>
      <w:r>
        <w:rPr>
          <w:rFonts w:ascii="宋体" w:hAnsi="宋体"/>
          <w:sz w:val="28"/>
          <w:szCs w:val="28"/>
        </w:rPr>
        <w:instrText xml:space="preserve"> HYPERLINK \l _Toc31459 </w:instrText>
      </w:r>
      <w:r>
        <w:rPr>
          <w:rFonts w:ascii="宋体" w:hAnsi="宋体"/>
          <w:sz w:val="28"/>
          <w:szCs w:val="28"/>
        </w:rPr>
        <w:fldChar w:fldCharType="separate"/>
      </w:r>
      <w:r>
        <w:rPr>
          <w:rFonts w:hint="eastAsia" w:ascii="宋体" w:hAnsi="宋体"/>
          <w:sz w:val="28"/>
          <w:szCs w:val="28"/>
        </w:rPr>
        <w:t>（七）房地产估价机构备案证书复印件</w:t>
      </w:r>
      <w:r>
        <w:rPr>
          <w:sz w:val="28"/>
          <w:szCs w:val="28"/>
        </w:rPr>
        <w:tab/>
      </w:r>
      <w:r>
        <w:rPr>
          <w:rFonts w:ascii="宋体" w:hAnsi="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pPr>
      <w:r>
        <w:rPr>
          <w:rFonts w:ascii="宋体" w:hAnsi="宋体"/>
          <w:color w:val="auto"/>
          <w:sz w:val="28"/>
          <w:szCs w:val="28"/>
        </w:rPr>
        <w:fldChar w:fldCharType="begin"/>
      </w:r>
      <w:r>
        <w:rPr>
          <w:rFonts w:ascii="宋体" w:hAnsi="宋体"/>
          <w:sz w:val="28"/>
          <w:szCs w:val="28"/>
        </w:rPr>
        <w:instrText xml:space="preserve"> HYPERLINK \l _Toc10700 </w:instrText>
      </w:r>
      <w:r>
        <w:rPr>
          <w:rFonts w:ascii="宋体" w:hAnsi="宋体"/>
          <w:sz w:val="28"/>
          <w:szCs w:val="28"/>
        </w:rPr>
        <w:fldChar w:fldCharType="separate"/>
      </w:r>
      <w:r>
        <w:rPr>
          <w:rFonts w:hint="eastAsia" w:ascii="宋体" w:hAnsi="宋体"/>
          <w:sz w:val="28"/>
          <w:szCs w:val="28"/>
        </w:rPr>
        <w:t>（八）注册房地产估价师注册证书复印件</w:t>
      </w:r>
      <w:r>
        <w:rPr>
          <w:sz w:val="28"/>
          <w:szCs w:val="28"/>
        </w:rPr>
        <w:tab/>
      </w:r>
      <w:r>
        <w:rPr>
          <w:rFonts w:ascii="宋体" w:hAnsi="宋体"/>
          <w:color w:val="auto"/>
          <w:sz w:val="28"/>
          <w:szCs w:val="28"/>
        </w:rPr>
        <w:fldChar w:fldCharType="end"/>
      </w:r>
    </w:p>
    <w:p>
      <w:pPr>
        <w:spacing w:line="360" w:lineRule="auto"/>
        <w:jc w:val="center"/>
        <w:rPr>
          <w:rFonts w:ascii="宋体" w:hAnsi="宋体"/>
          <w:color w:val="auto"/>
          <w:sz w:val="36"/>
          <w:szCs w:val="36"/>
        </w:rPr>
      </w:pPr>
      <w:r>
        <w:rPr>
          <w:rFonts w:ascii="宋体" w:hAnsi="宋体"/>
          <w:color w:val="auto"/>
          <w:szCs w:val="36"/>
        </w:rPr>
        <w:fldChar w:fldCharType="end"/>
      </w:r>
    </w:p>
    <w:p>
      <w:pPr>
        <w:spacing w:line="360" w:lineRule="auto"/>
        <w:jc w:val="center"/>
        <w:rPr>
          <w:rFonts w:ascii="宋体" w:hAnsi="宋体"/>
          <w:color w:val="auto"/>
          <w:sz w:val="36"/>
          <w:szCs w:val="36"/>
        </w:rPr>
      </w:pPr>
    </w:p>
    <w:p>
      <w:pPr>
        <w:spacing w:line="360" w:lineRule="auto"/>
        <w:jc w:val="center"/>
        <w:rPr>
          <w:rFonts w:ascii="宋体" w:hAnsi="宋体"/>
          <w:color w:val="auto"/>
          <w:sz w:val="36"/>
          <w:szCs w:val="36"/>
        </w:rPr>
        <w:sectPr>
          <w:footerReference r:id="rId8" w:type="first"/>
          <w:footerReference r:id="rId7" w:type="default"/>
          <w:pgSz w:w="11906" w:h="16838"/>
          <w:pgMar w:top="1134" w:right="1304" w:bottom="1077" w:left="1361" w:header="851" w:footer="851" w:gutter="0"/>
          <w:pgNumType w:start="0"/>
          <w:cols w:space="720" w:num="1"/>
          <w:titlePg/>
          <w:docGrid w:linePitch="312" w:charSpace="0"/>
        </w:sectPr>
      </w:pPr>
    </w:p>
    <w:p>
      <w:pPr>
        <w:pStyle w:val="2"/>
        <w:jc w:val="center"/>
        <w:rPr>
          <w:rFonts w:ascii="宋体" w:hAnsi="宋体"/>
          <w:color w:val="auto"/>
          <w:sz w:val="36"/>
          <w:szCs w:val="36"/>
        </w:rPr>
      </w:pPr>
      <w:bookmarkStart w:id="0" w:name="_Toc6185"/>
      <w:bookmarkStart w:id="1" w:name="_Toc414265152"/>
      <w:bookmarkStart w:id="2" w:name="_Toc417220309"/>
      <w:bookmarkStart w:id="3" w:name="_Toc16189041"/>
      <w:bookmarkStart w:id="4" w:name="_Toc414265233"/>
      <w:bookmarkStart w:id="5" w:name="_Toc521944352"/>
      <w:bookmarkStart w:id="6" w:name="_Toc16665755"/>
      <w:bookmarkStart w:id="7" w:name="_Toc417282111"/>
      <w:bookmarkStart w:id="8" w:name="_Toc16189204"/>
      <w:bookmarkStart w:id="9" w:name="_Toc417214131"/>
      <w:bookmarkStart w:id="10" w:name="_Toc522873487"/>
      <w:r>
        <w:rPr>
          <w:rFonts w:hint="eastAsia" w:ascii="宋体" w:hAnsi="宋体"/>
          <w:color w:val="auto"/>
          <w:sz w:val="36"/>
          <w:szCs w:val="36"/>
        </w:rPr>
        <w:t>估价师声明</w:t>
      </w:r>
      <w:bookmarkEnd w:id="0"/>
      <w:bookmarkEnd w:id="1"/>
      <w:bookmarkEnd w:id="2"/>
      <w:bookmarkEnd w:id="3"/>
      <w:bookmarkEnd w:id="4"/>
      <w:bookmarkEnd w:id="5"/>
      <w:bookmarkEnd w:id="6"/>
      <w:bookmarkEnd w:id="7"/>
      <w:bookmarkEnd w:id="8"/>
      <w:bookmarkEnd w:id="9"/>
      <w:bookmarkEnd w:id="10"/>
    </w:p>
    <w:p>
      <w:pPr>
        <w:adjustRightInd w:val="0"/>
        <w:snapToGrid w:val="0"/>
        <w:spacing w:line="336" w:lineRule="auto"/>
        <w:ind w:firstLine="562"/>
        <w:rPr>
          <w:rFonts w:ascii="宋体" w:hAnsi="宋体"/>
          <w:b/>
          <w:color w:val="auto"/>
          <w:sz w:val="28"/>
          <w:szCs w:val="28"/>
        </w:rPr>
      </w:pPr>
      <w:r>
        <w:rPr>
          <w:rFonts w:hint="eastAsia" w:ascii="宋体" w:hAnsi="宋体"/>
          <w:b/>
          <w:color w:val="auto"/>
          <w:sz w:val="28"/>
          <w:szCs w:val="28"/>
        </w:rPr>
        <w:t>我们根据自己的专业知识和职业道德，在此郑重声明：</w:t>
      </w:r>
    </w:p>
    <w:p>
      <w:pPr>
        <w:adjustRightInd w:val="0"/>
        <w:snapToGrid w:val="0"/>
        <w:spacing w:line="336" w:lineRule="auto"/>
        <w:ind w:firstLine="560"/>
        <w:rPr>
          <w:rFonts w:ascii="宋体" w:hAnsi="宋体"/>
          <w:color w:val="auto"/>
          <w:sz w:val="28"/>
          <w:szCs w:val="28"/>
        </w:rPr>
      </w:pPr>
      <w:r>
        <w:rPr>
          <w:rFonts w:hint="eastAsia" w:ascii="宋体" w:hAnsi="宋体"/>
          <w:color w:val="auto"/>
          <w:sz w:val="28"/>
          <w:szCs w:val="28"/>
        </w:rPr>
        <w:t>1、我们在本评估报告中对事实的说明是真实的和准确的，没有虚假记载、误导性陈述和重大遗漏。</w:t>
      </w:r>
    </w:p>
    <w:p>
      <w:pPr>
        <w:adjustRightInd w:val="0"/>
        <w:snapToGrid w:val="0"/>
        <w:spacing w:line="336" w:lineRule="auto"/>
        <w:ind w:firstLine="560"/>
        <w:rPr>
          <w:rFonts w:ascii="宋体" w:hAnsi="宋体"/>
          <w:color w:val="auto"/>
          <w:sz w:val="28"/>
          <w:szCs w:val="28"/>
        </w:rPr>
      </w:pPr>
      <w:r>
        <w:rPr>
          <w:rFonts w:hint="eastAsia" w:ascii="宋体" w:hAnsi="宋体"/>
          <w:color w:val="auto"/>
          <w:sz w:val="28"/>
          <w:szCs w:val="28"/>
        </w:rPr>
        <w:t>2、本估价报告中的分析、意见和结论是我们独立、客观、公正的专业分析、意见和结论，但受到本估价报告中已经说明的估价假设和限制条件的限制。</w:t>
      </w:r>
    </w:p>
    <w:p>
      <w:pPr>
        <w:adjustRightInd w:val="0"/>
        <w:snapToGrid w:val="0"/>
        <w:spacing w:line="336" w:lineRule="auto"/>
        <w:ind w:firstLine="560"/>
        <w:rPr>
          <w:rFonts w:ascii="宋体" w:hAnsi="宋体"/>
          <w:color w:val="auto"/>
          <w:sz w:val="28"/>
          <w:szCs w:val="28"/>
        </w:rPr>
      </w:pPr>
      <w:r>
        <w:rPr>
          <w:rFonts w:hint="eastAsia" w:ascii="宋体" w:hAnsi="宋体"/>
          <w:color w:val="auto"/>
          <w:sz w:val="28"/>
          <w:szCs w:val="28"/>
        </w:rPr>
        <w:t>3、我们与本估价报告中的估价对象没有现实或潜在的利益，与估价委托人及估价利害关系人没有利害关系。</w:t>
      </w:r>
    </w:p>
    <w:p>
      <w:pPr>
        <w:adjustRightInd w:val="0"/>
        <w:snapToGrid w:val="0"/>
        <w:spacing w:line="336" w:lineRule="auto"/>
        <w:ind w:firstLine="560"/>
        <w:rPr>
          <w:rFonts w:ascii="宋体" w:hAnsi="宋体"/>
          <w:color w:val="auto"/>
          <w:sz w:val="28"/>
          <w:szCs w:val="28"/>
        </w:rPr>
      </w:pPr>
      <w:r>
        <w:rPr>
          <w:rFonts w:hint="eastAsia" w:ascii="宋体" w:hAnsi="宋体"/>
          <w:color w:val="auto"/>
          <w:sz w:val="28"/>
          <w:szCs w:val="28"/>
        </w:rPr>
        <w:t>4、我们对本估价报告中的估价对象、估价委托人及估价利害关系人没有偏见。</w:t>
      </w:r>
    </w:p>
    <w:p>
      <w:pPr>
        <w:adjustRightInd w:val="0"/>
        <w:snapToGrid w:val="0"/>
        <w:spacing w:line="336" w:lineRule="auto"/>
        <w:ind w:firstLine="560"/>
        <w:rPr>
          <w:rFonts w:ascii="宋体" w:hAnsi="宋体"/>
          <w:color w:val="auto"/>
          <w:sz w:val="28"/>
          <w:szCs w:val="28"/>
        </w:rPr>
      </w:pPr>
      <w:r>
        <w:rPr>
          <w:rFonts w:hint="eastAsia" w:ascii="宋体" w:hAnsi="宋体"/>
          <w:color w:val="auto"/>
          <w:sz w:val="28"/>
          <w:szCs w:val="28"/>
        </w:rPr>
        <w:t>5、我们依照中华人民共和国国家标准《房地产估价规范》（GB/T50291-2015）、《房地产估价基本术语标准》（</w:t>
      </w:r>
      <w:r>
        <w:rPr>
          <w:rFonts w:ascii="宋体" w:hAnsi="宋体"/>
          <w:color w:val="auto"/>
          <w:sz w:val="28"/>
          <w:szCs w:val="28"/>
        </w:rPr>
        <w:t>GB/T50899-2013</w:t>
      </w:r>
      <w:r>
        <w:rPr>
          <w:rFonts w:hint="eastAsia" w:ascii="宋体" w:hAnsi="宋体"/>
          <w:color w:val="auto"/>
          <w:sz w:val="28"/>
          <w:szCs w:val="28"/>
        </w:rPr>
        <w:t>）、《城镇土地估价规程》（GB/T18508-2014）进行分析，形成意见和结论，撰写估价报告。</w:t>
      </w:r>
    </w:p>
    <w:p>
      <w:pPr>
        <w:adjustRightInd w:val="0"/>
        <w:snapToGrid w:val="0"/>
        <w:spacing w:line="336" w:lineRule="auto"/>
        <w:ind w:firstLine="561"/>
        <w:rPr>
          <w:rFonts w:ascii="宋体" w:hAnsi="宋体"/>
          <w:color w:val="auto"/>
          <w:sz w:val="28"/>
          <w:szCs w:val="28"/>
        </w:rPr>
      </w:pPr>
      <w:r>
        <w:rPr>
          <w:rFonts w:hint="eastAsia" w:ascii="宋体" w:hAnsi="宋体"/>
          <w:color w:val="auto"/>
          <w:sz w:val="28"/>
          <w:szCs w:val="28"/>
        </w:rPr>
        <w:t>6、我公司注册房地产估价师刘芳芳、</w:t>
      </w:r>
      <w:r>
        <w:rPr>
          <w:rFonts w:hint="eastAsia" w:ascii="宋体" w:hAnsi="宋体"/>
          <w:color w:val="auto"/>
          <w:sz w:val="28"/>
          <w:szCs w:val="28"/>
          <w:lang w:eastAsia="zh-CN"/>
        </w:rPr>
        <w:t>李选丽</w:t>
      </w:r>
      <w:r>
        <w:rPr>
          <w:rFonts w:hint="eastAsia" w:ascii="宋体" w:hAnsi="宋体"/>
          <w:color w:val="auto"/>
          <w:sz w:val="28"/>
          <w:szCs w:val="28"/>
        </w:rPr>
        <w:t>于</w:t>
      </w:r>
      <w:r>
        <w:rPr>
          <w:rFonts w:hint="eastAsia" w:ascii="宋体" w:hAnsi="宋体"/>
          <w:color w:val="auto"/>
          <w:sz w:val="28"/>
          <w:szCs w:val="28"/>
          <w:lang w:eastAsia="zh-CN"/>
        </w:rPr>
        <w:t>2020年01月06日</w:t>
      </w:r>
      <w:r>
        <w:rPr>
          <w:rFonts w:hint="eastAsia" w:ascii="宋体" w:hAnsi="宋体"/>
          <w:color w:val="auto"/>
          <w:sz w:val="28"/>
          <w:szCs w:val="28"/>
        </w:rPr>
        <w:t>对本估价报告中的估价对象进行了实地查勘、现场拍照和市场行情进行了调查。</w:t>
      </w:r>
    </w:p>
    <w:p>
      <w:pPr>
        <w:adjustRightInd w:val="0"/>
        <w:snapToGrid w:val="0"/>
        <w:spacing w:line="336" w:lineRule="auto"/>
        <w:ind w:firstLine="560"/>
        <w:rPr>
          <w:rFonts w:ascii="宋体" w:hAnsi="宋体"/>
          <w:color w:val="auto"/>
          <w:sz w:val="28"/>
          <w:szCs w:val="28"/>
        </w:rPr>
      </w:pPr>
      <w:r>
        <w:rPr>
          <w:rFonts w:hint="eastAsia" w:ascii="宋体" w:hAnsi="宋体"/>
          <w:color w:val="auto"/>
          <w:sz w:val="28"/>
          <w:szCs w:val="28"/>
        </w:rPr>
        <w:t>7、没有人对本估价报告提供重要专业帮助。</w:t>
      </w:r>
    </w:p>
    <w:p>
      <w:pPr>
        <w:spacing w:line="360" w:lineRule="auto"/>
        <w:ind w:firstLine="480" w:firstLineChars="150"/>
        <w:jc w:val="center"/>
        <w:rPr>
          <w:rFonts w:ascii="宋体" w:hAnsi="宋体"/>
          <w:color w:val="auto"/>
          <w:sz w:val="32"/>
          <w:szCs w:val="32"/>
        </w:rPr>
      </w:pPr>
    </w:p>
    <w:p>
      <w:pPr>
        <w:spacing w:line="360" w:lineRule="auto"/>
        <w:ind w:firstLine="480" w:firstLineChars="150"/>
        <w:jc w:val="center"/>
        <w:rPr>
          <w:rFonts w:ascii="宋体" w:hAnsi="宋体"/>
          <w:color w:val="auto"/>
          <w:sz w:val="32"/>
          <w:szCs w:val="32"/>
        </w:rPr>
      </w:pPr>
    </w:p>
    <w:p>
      <w:pPr>
        <w:spacing w:line="360" w:lineRule="auto"/>
        <w:ind w:firstLine="482" w:firstLineChars="150"/>
        <w:jc w:val="center"/>
        <w:rPr>
          <w:rFonts w:ascii="宋体" w:hAnsi="宋体"/>
          <w:b/>
          <w:color w:val="auto"/>
          <w:sz w:val="32"/>
          <w:szCs w:val="32"/>
        </w:rPr>
      </w:pPr>
    </w:p>
    <w:p>
      <w:pPr>
        <w:adjustRightInd w:val="0"/>
        <w:snapToGrid w:val="0"/>
        <w:spacing w:line="396" w:lineRule="auto"/>
        <w:jc w:val="center"/>
        <w:rPr>
          <w:rFonts w:ascii="宋体" w:hAnsi="宋体"/>
          <w:b/>
          <w:color w:val="auto"/>
          <w:sz w:val="32"/>
          <w:szCs w:val="32"/>
        </w:rPr>
      </w:pPr>
    </w:p>
    <w:p>
      <w:pPr>
        <w:adjustRightInd w:val="0"/>
        <w:snapToGrid w:val="0"/>
        <w:spacing w:line="396" w:lineRule="auto"/>
        <w:jc w:val="center"/>
        <w:rPr>
          <w:rFonts w:ascii="宋体" w:hAnsi="宋体"/>
          <w:b/>
          <w:color w:val="auto"/>
          <w:sz w:val="32"/>
          <w:szCs w:val="32"/>
        </w:rPr>
      </w:pPr>
    </w:p>
    <w:p>
      <w:pPr>
        <w:pStyle w:val="2"/>
        <w:jc w:val="center"/>
        <w:rPr>
          <w:rFonts w:ascii="宋体" w:hAnsi="宋体"/>
          <w:color w:val="auto"/>
          <w:sz w:val="32"/>
          <w:szCs w:val="32"/>
        </w:rPr>
        <w:sectPr>
          <w:footerReference r:id="rId9" w:type="default"/>
          <w:pgSz w:w="11906" w:h="16838"/>
          <w:pgMar w:top="1134" w:right="1304" w:bottom="1077" w:left="1361" w:header="851" w:footer="851" w:gutter="0"/>
          <w:pgNumType w:fmt="numberInDash" w:start="1"/>
          <w:cols w:space="720" w:num="1"/>
          <w:docGrid w:linePitch="312" w:charSpace="0"/>
        </w:sectPr>
      </w:pPr>
    </w:p>
    <w:p>
      <w:pPr>
        <w:pStyle w:val="3"/>
        <w:bidi w:val="0"/>
        <w:jc w:val="center"/>
        <w:rPr>
          <w:rFonts w:hint="eastAsia" w:ascii="宋体" w:hAnsi="宋体" w:eastAsia="宋体" w:cs="宋体"/>
        </w:rPr>
      </w:pPr>
      <w:bookmarkStart w:id="11" w:name="_Toc22829"/>
      <w:bookmarkStart w:id="12" w:name="_Toc16189042"/>
      <w:bookmarkStart w:id="13" w:name="_Toc417220310"/>
      <w:bookmarkStart w:id="14" w:name="_Toc414265153"/>
      <w:bookmarkStart w:id="15" w:name="_Toc417214132"/>
      <w:bookmarkStart w:id="16" w:name="_Toc414265234"/>
      <w:bookmarkStart w:id="17" w:name="_Toc16189205"/>
      <w:bookmarkStart w:id="18" w:name="_Toc522873488"/>
      <w:bookmarkStart w:id="19" w:name="_Toc521944353"/>
      <w:bookmarkStart w:id="20" w:name="_Toc417282112"/>
      <w:bookmarkStart w:id="21" w:name="_Toc16665756"/>
      <w:r>
        <w:rPr>
          <w:rFonts w:hint="eastAsia" w:ascii="宋体" w:hAnsi="宋体" w:eastAsia="宋体" w:cs="宋体"/>
        </w:rPr>
        <w:t>估价假设和限制条件</w:t>
      </w:r>
      <w:bookmarkEnd w:id="11"/>
      <w:bookmarkEnd w:id="12"/>
      <w:bookmarkEnd w:id="13"/>
      <w:bookmarkEnd w:id="14"/>
      <w:bookmarkEnd w:id="15"/>
      <w:bookmarkEnd w:id="16"/>
      <w:bookmarkEnd w:id="17"/>
      <w:bookmarkEnd w:id="18"/>
      <w:bookmarkEnd w:id="19"/>
      <w:bookmarkEnd w:id="20"/>
      <w:bookmarkEnd w:id="21"/>
    </w:p>
    <w:p>
      <w:pPr>
        <w:adjustRightInd w:val="0"/>
        <w:snapToGrid w:val="0"/>
        <w:spacing w:line="360" w:lineRule="auto"/>
        <w:rPr>
          <w:rFonts w:ascii="宋体" w:hAnsi="宋体"/>
          <w:color w:val="auto"/>
          <w:sz w:val="28"/>
          <w:szCs w:val="28"/>
        </w:rPr>
      </w:pPr>
      <w:r>
        <w:rPr>
          <w:rFonts w:hint="eastAsia" w:ascii="宋体" w:hAnsi="宋体"/>
          <w:b/>
          <w:bCs/>
          <w:color w:val="auto"/>
          <w:sz w:val="28"/>
          <w:szCs w:val="28"/>
        </w:rPr>
        <w:t>一、一般假设</w:t>
      </w:r>
    </w:p>
    <w:p>
      <w:pPr>
        <w:adjustRightInd w:val="0"/>
        <w:snapToGrid w:val="0"/>
        <w:spacing w:line="360" w:lineRule="auto"/>
        <w:ind w:firstLine="560"/>
        <w:rPr>
          <w:rFonts w:ascii="宋体" w:hAnsi="宋体"/>
          <w:bCs/>
          <w:color w:val="auto"/>
          <w:sz w:val="28"/>
          <w:szCs w:val="28"/>
        </w:rPr>
      </w:pPr>
      <w:r>
        <w:rPr>
          <w:rFonts w:hint="eastAsia" w:ascii="宋体" w:hAnsi="宋体"/>
          <w:bCs/>
          <w:color w:val="auto"/>
          <w:sz w:val="28"/>
          <w:szCs w:val="28"/>
        </w:rPr>
        <w:t>1、估价对象产权明晰，手续齐全，可在公开市场上自由转让。</w:t>
      </w:r>
    </w:p>
    <w:p>
      <w:pPr>
        <w:adjustRightInd w:val="0"/>
        <w:snapToGrid w:val="0"/>
        <w:spacing w:line="360" w:lineRule="auto"/>
        <w:ind w:firstLine="560"/>
        <w:rPr>
          <w:rFonts w:ascii="宋体" w:hAnsi="宋体"/>
          <w:bCs/>
          <w:color w:val="auto"/>
          <w:sz w:val="28"/>
          <w:szCs w:val="28"/>
        </w:rPr>
      </w:pPr>
      <w:r>
        <w:rPr>
          <w:rFonts w:hint="eastAsia" w:ascii="宋体" w:hAnsi="宋体"/>
          <w:bCs/>
          <w:color w:val="auto"/>
          <w:sz w:val="28"/>
          <w:szCs w:val="28"/>
        </w:rPr>
        <w:t>2、买卖双方的交易目的都是追逐自身最大经济利益，在适当的期间完成谈判和交易，洽谈交易期间物业价值将保持稳定。</w:t>
      </w:r>
    </w:p>
    <w:p>
      <w:pPr>
        <w:adjustRightInd w:val="0"/>
        <w:snapToGrid w:val="0"/>
        <w:spacing w:line="360" w:lineRule="auto"/>
        <w:ind w:firstLine="560"/>
        <w:rPr>
          <w:rFonts w:ascii="宋体" w:hAnsi="宋体"/>
          <w:bCs/>
          <w:color w:val="auto"/>
          <w:sz w:val="28"/>
          <w:szCs w:val="28"/>
        </w:rPr>
      </w:pPr>
      <w:r>
        <w:rPr>
          <w:rFonts w:hint="eastAsia" w:ascii="宋体" w:hAnsi="宋体"/>
          <w:bCs/>
          <w:color w:val="auto"/>
          <w:sz w:val="28"/>
          <w:szCs w:val="28"/>
        </w:rPr>
        <w:t>3、市场供应关系、市场结构保持稳定、未发生重大变化或实质性改变。</w:t>
      </w:r>
    </w:p>
    <w:p>
      <w:pPr>
        <w:adjustRightInd w:val="0"/>
        <w:snapToGrid w:val="0"/>
        <w:spacing w:line="360" w:lineRule="auto"/>
        <w:ind w:firstLine="560"/>
        <w:rPr>
          <w:rFonts w:ascii="宋体" w:hAnsi="宋体"/>
          <w:bCs/>
          <w:color w:val="auto"/>
          <w:sz w:val="28"/>
          <w:szCs w:val="28"/>
        </w:rPr>
      </w:pPr>
      <w:r>
        <w:rPr>
          <w:rFonts w:hint="eastAsia" w:ascii="宋体" w:hAnsi="宋体"/>
          <w:bCs/>
          <w:color w:val="auto"/>
          <w:sz w:val="28"/>
          <w:szCs w:val="28"/>
        </w:rPr>
        <w:t>4、交易双方都具有完全市场信息，对具体对象具有必要的专业知识，不考虑特殊买家的附加出价。</w:t>
      </w:r>
    </w:p>
    <w:p>
      <w:pPr>
        <w:adjustRightInd w:val="0"/>
        <w:snapToGrid w:val="0"/>
        <w:spacing w:line="360" w:lineRule="auto"/>
        <w:ind w:firstLine="560"/>
        <w:rPr>
          <w:rFonts w:ascii="宋体" w:hAnsi="宋体"/>
          <w:bCs/>
          <w:color w:val="auto"/>
          <w:sz w:val="28"/>
          <w:szCs w:val="28"/>
        </w:rPr>
      </w:pPr>
      <w:r>
        <w:rPr>
          <w:rFonts w:hint="eastAsia" w:ascii="宋体" w:hAnsi="宋体"/>
          <w:bCs/>
          <w:color w:val="auto"/>
          <w:sz w:val="28"/>
          <w:szCs w:val="28"/>
        </w:rPr>
        <w:t>5、估价委托人提供的所有资料的真实、合法、完整、有效的。</w:t>
      </w:r>
    </w:p>
    <w:p>
      <w:pPr>
        <w:adjustRightInd w:val="0"/>
        <w:snapToGrid w:val="0"/>
        <w:spacing w:line="360" w:lineRule="auto"/>
        <w:ind w:firstLine="560"/>
        <w:rPr>
          <w:rFonts w:ascii="宋体" w:hAnsi="宋体"/>
          <w:bCs/>
          <w:color w:val="auto"/>
          <w:spacing w:val="-6"/>
          <w:sz w:val="28"/>
          <w:szCs w:val="28"/>
        </w:rPr>
      </w:pPr>
      <w:r>
        <w:rPr>
          <w:rFonts w:hint="eastAsia" w:ascii="宋体" w:hAnsi="宋体"/>
          <w:bCs/>
          <w:color w:val="auto"/>
          <w:sz w:val="28"/>
          <w:szCs w:val="28"/>
        </w:rPr>
        <w:t>6、</w:t>
      </w:r>
      <w:r>
        <w:rPr>
          <w:rFonts w:hint="eastAsia" w:ascii="宋体" w:hAnsi="宋体"/>
          <w:bCs/>
          <w:color w:val="auto"/>
          <w:spacing w:val="-6"/>
          <w:sz w:val="28"/>
          <w:szCs w:val="28"/>
        </w:rPr>
        <w:t>估价对象产权面积来源于估价委托人提供的相关产权依据复印件，若与实际不符，应据实调整评估价值。</w:t>
      </w:r>
    </w:p>
    <w:p>
      <w:pPr>
        <w:adjustRightInd w:val="0"/>
        <w:snapToGrid w:val="0"/>
        <w:spacing w:line="360" w:lineRule="auto"/>
        <w:ind w:firstLine="630"/>
        <w:rPr>
          <w:rFonts w:ascii="宋体" w:hAnsi="宋体"/>
          <w:bCs/>
          <w:color w:val="auto"/>
          <w:sz w:val="28"/>
          <w:szCs w:val="28"/>
        </w:rPr>
      </w:pPr>
      <w:r>
        <w:rPr>
          <w:rFonts w:hint="eastAsia" w:ascii="宋体" w:hAnsi="宋体"/>
          <w:bCs/>
          <w:color w:val="auto"/>
          <w:sz w:val="28"/>
          <w:szCs w:val="28"/>
        </w:rPr>
        <w:t>7、本次估价未对估价对象做建筑物基础和结构上的测量和实验，本次评估假设其无基础、结构等方面的重大质量问题。</w:t>
      </w:r>
    </w:p>
    <w:p>
      <w:pPr>
        <w:adjustRightInd w:val="0"/>
        <w:snapToGrid w:val="0"/>
        <w:spacing w:line="360" w:lineRule="auto"/>
        <w:ind w:firstLine="630"/>
        <w:rPr>
          <w:rFonts w:ascii="宋体" w:hAnsi="宋体"/>
          <w:bCs/>
          <w:color w:val="auto"/>
          <w:sz w:val="28"/>
          <w:szCs w:val="28"/>
        </w:rPr>
      </w:pPr>
      <w:r>
        <w:rPr>
          <w:rFonts w:hint="eastAsia" w:ascii="宋体" w:hAnsi="宋体"/>
          <w:bCs/>
          <w:color w:val="auto"/>
          <w:sz w:val="28"/>
          <w:szCs w:val="28"/>
        </w:rPr>
        <w:t>8、根据《</w:t>
      </w:r>
      <w:r>
        <w:rPr>
          <w:rFonts w:hint="eastAsia" w:ascii="宋体" w:hAnsi="宋体"/>
          <w:bCs/>
          <w:color w:val="auto"/>
          <w:sz w:val="28"/>
          <w:szCs w:val="28"/>
          <w:lang w:eastAsia="zh-CN"/>
        </w:rPr>
        <w:t>房屋所有权证》</w:t>
      </w:r>
      <w:r>
        <w:rPr>
          <w:rFonts w:hint="eastAsia" w:ascii="宋体" w:hAnsi="宋体"/>
          <w:bCs/>
          <w:color w:val="auto"/>
          <w:sz w:val="28"/>
          <w:szCs w:val="28"/>
        </w:rPr>
        <w:t>复印件，估价对象房屋用途为</w:t>
      </w:r>
      <w:r>
        <w:rPr>
          <w:rFonts w:hint="eastAsia" w:ascii="宋体" w:hAnsi="宋体"/>
          <w:bCs/>
          <w:color w:val="auto"/>
          <w:sz w:val="28"/>
          <w:szCs w:val="28"/>
          <w:lang w:eastAsia="zh-CN"/>
        </w:rPr>
        <w:t>住宅用房</w:t>
      </w:r>
      <w:r>
        <w:rPr>
          <w:rFonts w:hint="eastAsia" w:ascii="宋体" w:hAnsi="宋体"/>
          <w:bCs/>
          <w:color w:val="auto"/>
          <w:sz w:val="28"/>
          <w:szCs w:val="28"/>
        </w:rPr>
        <w:t>，</w:t>
      </w:r>
      <w:r>
        <w:rPr>
          <w:rFonts w:hint="eastAsia" w:ascii="宋体" w:hAnsi="宋体"/>
          <w:bCs/>
          <w:color w:val="auto"/>
          <w:sz w:val="28"/>
          <w:szCs w:val="28"/>
          <w:lang w:eastAsia="zh-CN"/>
        </w:rPr>
        <w:t>实际用途为住宅用房，</w:t>
      </w:r>
      <w:r>
        <w:rPr>
          <w:rFonts w:hint="eastAsia" w:ascii="宋体" w:hAnsi="宋体"/>
          <w:bCs/>
          <w:color w:val="auto"/>
          <w:sz w:val="28"/>
          <w:szCs w:val="28"/>
        </w:rPr>
        <w:t>估价对象现状作为</w:t>
      </w:r>
      <w:r>
        <w:rPr>
          <w:rFonts w:hint="eastAsia" w:ascii="宋体" w:hAnsi="宋体"/>
          <w:bCs/>
          <w:color w:val="auto"/>
          <w:sz w:val="28"/>
          <w:szCs w:val="28"/>
          <w:lang w:eastAsia="zh-CN"/>
        </w:rPr>
        <w:t>住宅用房</w:t>
      </w:r>
      <w:r>
        <w:rPr>
          <w:rFonts w:hint="eastAsia" w:ascii="宋体" w:hAnsi="宋体"/>
          <w:bCs/>
          <w:color w:val="auto"/>
          <w:sz w:val="28"/>
          <w:szCs w:val="28"/>
        </w:rPr>
        <w:t>使用，符合最高最佳使用原则，故本次评估假设估价对象按照证载用途持续使用的状态下进行。</w:t>
      </w:r>
    </w:p>
    <w:p>
      <w:pPr>
        <w:adjustRightInd w:val="0"/>
        <w:snapToGrid w:val="0"/>
        <w:spacing w:line="360" w:lineRule="auto"/>
        <w:ind w:firstLine="560"/>
        <w:rPr>
          <w:rFonts w:ascii="宋体" w:hAnsi="宋体"/>
          <w:bCs/>
          <w:color w:val="auto"/>
          <w:spacing w:val="-6"/>
          <w:sz w:val="28"/>
          <w:szCs w:val="28"/>
        </w:rPr>
      </w:pPr>
      <w:r>
        <w:rPr>
          <w:rFonts w:hint="eastAsia" w:ascii="宋体" w:hAnsi="宋体"/>
          <w:bCs/>
          <w:color w:val="auto"/>
          <w:sz w:val="28"/>
          <w:szCs w:val="28"/>
        </w:rPr>
        <w:t>9、本估价报告结果是在公开市场前提下得出的结论，不考虑强制处分、快速变现等特殊交易方式带来的影响。</w:t>
      </w:r>
    </w:p>
    <w:p>
      <w:pPr>
        <w:adjustRightInd w:val="0"/>
        <w:snapToGrid w:val="0"/>
        <w:spacing w:line="360" w:lineRule="auto"/>
        <w:rPr>
          <w:rFonts w:ascii="宋体" w:hAnsi="宋体"/>
          <w:b/>
          <w:bCs/>
          <w:color w:val="auto"/>
          <w:sz w:val="28"/>
          <w:szCs w:val="28"/>
        </w:rPr>
      </w:pPr>
      <w:r>
        <w:rPr>
          <w:rFonts w:hint="eastAsia" w:ascii="宋体" w:hAnsi="宋体"/>
          <w:b/>
          <w:bCs/>
          <w:color w:val="auto"/>
          <w:sz w:val="28"/>
          <w:szCs w:val="28"/>
        </w:rPr>
        <w:t>二、未定事项假设</w:t>
      </w:r>
    </w:p>
    <w:p>
      <w:pPr>
        <w:adjustRightInd w:val="0"/>
        <w:snapToGrid w:val="0"/>
        <w:spacing w:line="360" w:lineRule="auto"/>
        <w:ind w:firstLine="560"/>
        <w:rPr>
          <w:rFonts w:ascii="宋体" w:hAnsi="宋体"/>
          <w:bCs/>
          <w:color w:val="auto"/>
          <w:sz w:val="28"/>
          <w:szCs w:val="28"/>
        </w:rPr>
      </w:pPr>
      <w:r>
        <w:rPr>
          <w:rFonts w:hint="eastAsia" w:ascii="宋体" w:hAnsi="宋体"/>
          <w:bCs/>
          <w:color w:val="auto"/>
          <w:sz w:val="28"/>
          <w:szCs w:val="28"/>
          <w:lang w:eastAsia="zh-CN"/>
        </w:rPr>
        <w:t>委托方未提供《土地使用证》，土地用途根据使用现状设定，本次评估设定为住宅用地</w:t>
      </w:r>
      <w:r>
        <w:rPr>
          <w:rFonts w:hint="eastAsia" w:ascii="宋体" w:hAnsi="宋体"/>
          <w:bCs/>
          <w:color w:val="auto"/>
          <w:sz w:val="28"/>
          <w:szCs w:val="28"/>
        </w:rPr>
        <w:t>。</w:t>
      </w:r>
    </w:p>
    <w:p>
      <w:pPr>
        <w:adjustRightInd w:val="0"/>
        <w:snapToGrid w:val="0"/>
        <w:spacing w:line="360" w:lineRule="auto"/>
        <w:rPr>
          <w:rFonts w:ascii="宋体" w:hAnsi="宋体"/>
          <w:b/>
          <w:bCs/>
          <w:color w:val="auto"/>
          <w:sz w:val="28"/>
          <w:szCs w:val="28"/>
        </w:rPr>
      </w:pPr>
      <w:r>
        <w:rPr>
          <w:rFonts w:hint="eastAsia" w:ascii="宋体" w:hAnsi="宋体"/>
          <w:b/>
          <w:bCs/>
          <w:color w:val="auto"/>
          <w:sz w:val="28"/>
          <w:szCs w:val="28"/>
        </w:rPr>
        <w:t>三、背离实际情况假设</w:t>
      </w:r>
    </w:p>
    <w:p>
      <w:pPr>
        <w:pStyle w:val="10"/>
        <w:adjustRightInd w:val="0"/>
        <w:snapToGrid w:val="0"/>
        <w:spacing w:line="360" w:lineRule="auto"/>
        <w:ind w:firstLine="560" w:firstLineChars="200"/>
        <w:rPr>
          <w:rFonts w:hint="eastAsia" w:hAnsi="宋体"/>
          <w:bCs/>
          <w:color w:val="auto"/>
          <w:sz w:val="28"/>
          <w:szCs w:val="28"/>
          <w:highlight w:val="none"/>
        </w:rPr>
      </w:pPr>
      <w:r>
        <w:rPr>
          <w:rFonts w:hint="eastAsia" w:hAnsi="宋体"/>
          <w:bCs/>
          <w:color w:val="auto"/>
          <w:sz w:val="28"/>
          <w:szCs w:val="28"/>
          <w:highlight w:val="none"/>
          <w:lang w:val="en-US" w:eastAsia="zh-CN"/>
        </w:rPr>
        <w:t>1、</w:t>
      </w:r>
      <w:r>
        <w:rPr>
          <w:rFonts w:hint="eastAsia" w:hAnsi="宋体"/>
          <w:bCs/>
          <w:color w:val="auto"/>
          <w:sz w:val="28"/>
          <w:szCs w:val="28"/>
          <w:highlight w:val="none"/>
        </w:rPr>
        <w:t>本报告的估价结果为房地产市场价值，由熟悉情况的交易双方以公平交易方式在评估时点自愿进行交易的金额，不考虑房屋抵押、查封等因素对估价结果的影响。</w:t>
      </w:r>
    </w:p>
    <w:p>
      <w:pPr>
        <w:pStyle w:val="10"/>
        <w:adjustRightInd w:val="0"/>
        <w:snapToGrid w:val="0"/>
        <w:spacing w:line="360" w:lineRule="auto"/>
        <w:ind w:firstLine="560" w:firstLineChars="200"/>
        <w:rPr>
          <w:rFonts w:hint="eastAsia" w:hAnsi="宋体" w:eastAsia="宋体"/>
          <w:bCs/>
          <w:color w:val="auto"/>
          <w:sz w:val="28"/>
          <w:szCs w:val="28"/>
          <w:highlight w:val="none"/>
          <w:lang w:val="en-US" w:eastAsia="zh-CN"/>
        </w:rPr>
      </w:pPr>
      <w:r>
        <w:rPr>
          <w:rFonts w:hint="eastAsia" w:hAnsi="宋体"/>
          <w:bCs/>
          <w:color w:val="auto"/>
          <w:sz w:val="28"/>
          <w:szCs w:val="28"/>
          <w:highlight w:val="none"/>
          <w:lang w:val="en-US" w:eastAsia="zh-CN"/>
        </w:rPr>
        <w:t>2、</w:t>
      </w:r>
      <w:r>
        <w:rPr>
          <w:rFonts w:hint="eastAsia" w:hAnsi="宋体" w:cs="宋体"/>
          <w:sz w:val="28"/>
          <w:szCs w:val="28"/>
          <w:lang w:eastAsia="zh-CN"/>
        </w:rPr>
        <w:t>委托方未提供估价对象《土地使用证》，土地用途、使用权类型和使用期限等是估价师根据估价对象使用状况及《房屋所有权证》合理假设的，</w:t>
      </w:r>
      <w:r>
        <w:rPr>
          <w:rFonts w:ascii="宋体" w:hAnsi="宋体" w:eastAsia="宋体" w:cs="宋体"/>
          <w:sz w:val="28"/>
          <w:szCs w:val="28"/>
        </w:rPr>
        <w:t>故本报告出具的市场价格包含了按照现行土地相关法律法规应缴纳的各项费用。</w:t>
      </w:r>
    </w:p>
    <w:p>
      <w:pPr>
        <w:adjustRightInd w:val="0"/>
        <w:snapToGrid w:val="0"/>
        <w:spacing w:line="360" w:lineRule="auto"/>
        <w:rPr>
          <w:rFonts w:ascii="宋体" w:hAnsi="宋体"/>
          <w:b/>
          <w:bCs/>
          <w:color w:val="auto"/>
          <w:sz w:val="28"/>
          <w:szCs w:val="28"/>
        </w:rPr>
      </w:pPr>
      <w:r>
        <w:rPr>
          <w:rFonts w:hint="eastAsia" w:ascii="宋体" w:hAnsi="宋体"/>
          <w:b/>
          <w:bCs/>
          <w:color w:val="auto"/>
          <w:sz w:val="28"/>
          <w:szCs w:val="28"/>
        </w:rPr>
        <w:t>四、不相一致假设</w:t>
      </w:r>
    </w:p>
    <w:p>
      <w:pPr>
        <w:adjustRightInd w:val="0"/>
        <w:snapToGrid w:val="0"/>
        <w:spacing w:line="360" w:lineRule="auto"/>
        <w:ind w:firstLine="560"/>
        <w:rPr>
          <w:rFonts w:ascii="宋体" w:hAnsi="宋体"/>
          <w:bCs/>
          <w:color w:val="auto"/>
          <w:sz w:val="28"/>
          <w:szCs w:val="28"/>
        </w:rPr>
      </w:pPr>
      <w:r>
        <w:rPr>
          <w:rFonts w:hint="eastAsia" w:ascii="宋体" w:hAnsi="宋体"/>
          <w:bCs/>
          <w:color w:val="auto"/>
          <w:sz w:val="28"/>
          <w:szCs w:val="28"/>
          <w:lang w:eastAsia="zh-CN"/>
        </w:rPr>
        <w:t>无不相一致假设</w:t>
      </w:r>
      <w:r>
        <w:rPr>
          <w:rFonts w:hint="eastAsia" w:ascii="宋体" w:hAnsi="宋体"/>
          <w:bCs/>
          <w:color w:val="auto"/>
          <w:sz w:val="28"/>
          <w:szCs w:val="28"/>
        </w:rPr>
        <w:t>。</w:t>
      </w:r>
    </w:p>
    <w:p>
      <w:pPr>
        <w:adjustRightInd w:val="0"/>
        <w:snapToGrid w:val="0"/>
        <w:spacing w:line="360" w:lineRule="auto"/>
        <w:rPr>
          <w:rFonts w:ascii="宋体" w:hAnsi="宋体"/>
          <w:b/>
          <w:bCs/>
          <w:color w:val="auto"/>
          <w:sz w:val="28"/>
          <w:szCs w:val="28"/>
        </w:rPr>
      </w:pPr>
      <w:r>
        <w:rPr>
          <w:rFonts w:hint="eastAsia" w:ascii="宋体" w:hAnsi="宋体"/>
          <w:b/>
          <w:bCs/>
          <w:color w:val="auto"/>
          <w:sz w:val="28"/>
          <w:szCs w:val="28"/>
        </w:rPr>
        <w:t>五、依据不足假设</w:t>
      </w:r>
    </w:p>
    <w:p>
      <w:pPr>
        <w:adjustRightInd w:val="0"/>
        <w:snapToGrid w:val="0"/>
        <w:spacing w:line="360" w:lineRule="auto"/>
        <w:ind w:firstLine="560"/>
        <w:rPr>
          <w:rFonts w:hint="eastAsia" w:ascii="宋体" w:hAnsi="宋体" w:eastAsia="宋体"/>
          <w:color w:val="auto"/>
          <w:sz w:val="28"/>
          <w:szCs w:val="28"/>
          <w:lang w:eastAsia="zh-CN"/>
        </w:rPr>
      </w:pPr>
      <w:r>
        <w:rPr>
          <w:rFonts w:hint="eastAsia" w:ascii="宋体" w:hAnsi="宋体"/>
          <w:color w:val="auto"/>
          <w:sz w:val="28"/>
          <w:szCs w:val="28"/>
          <w:lang w:eastAsia="zh-CN"/>
        </w:rPr>
        <w:t>由于产权人未到现场，估价师未能入户进行调查，故估价对象室内装修在此设定为一般装修。</w:t>
      </w:r>
    </w:p>
    <w:p>
      <w:pPr>
        <w:adjustRightInd w:val="0"/>
        <w:snapToGrid w:val="0"/>
        <w:spacing w:line="360" w:lineRule="auto"/>
        <w:rPr>
          <w:rFonts w:ascii="宋体" w:hAnsi="宋体"/>
          <w:b/>
          <w:bCs/>
          <w:color w:val="auto"/>
          <w:sz w:val="28"/>
          <w:szCs w:val="28"/>
        </w:rPr>
      </w:pPr>
      <w:r>
        <w:rPr>
          <w:rFonts w:hint="eastAsia" w:ascii="宋体" w:hAnsi="宋体"/>
          <w:b/>
          <w:bCs/>
          <w:color w:val="auto"/>
          <w:sz w:val="28"/>
          <w:szCs w:val="28"/>
        </w:rPr>
        <w:t>六、估价报告使用的限制条件</w:t>
      </w:r>
    </w:p>
    <w:p>
      <w:pPr>
        <w:adjustRightInd w:val="0"/>
        <w:snapToGrid w:val="0"/>
        <w:spacing w:line="360" w:lineRule="auto"/>
        <w:ind w:firstLine="560"/>
        <w:rPr>
          <w:rFonts w:ascii="宋体" w:hAnsi="宋体"/>
          <w:color w:val="auto"/>
          <w:sz w:val="28"/>
          <w:szCs w:val="28"/>
        </w:rPr>
      </w:pPr>
      <w:r>
        <w:rPr>
          <w:rFonts w:hint="eastAsia" w:ascii="宋体" w:hAnsi="宋体"/>
          <w:bCs/>
          <w:color w:val="auto"/>
          <w:sz w:val="28"/>
          <w:szCs w:val="28"/>
        </w:rPr>
        <w:t>1、</w:t>
      </w:r>
      <w:r>
        <w:rPr>
          <w:rFonts w:hint="eastAsia" w:ascii="宋体" w:hAnsi="宋体"/>
          <w:color w:val="auto"/>
          <w:sz w:val="28"/>
          <w:szCs w:val="28"/>
        </w:rPr>
        <w:t>在满足上述全部假设和限制条件下，方可使用本报告估价结果。</w:t>
      </w:r>
    </w:p>
    <w:p>
      <w:pPr>
        <w:adjustRightInd w:val="0"/>
        <w:snapToGrid w:val="0"/>
        <w:spacing w:line="360" w:lineRule="auto"/>
        <w:ind w:firstLine="560"/>
        <w:rPr>
          <w:rFonts w:ascii="宋体" w:hAnsi="宋体"/>
          <w:bCs/>
          <w:color w:val="auto"/>
          <w:sz w:val="28"/>
          <w:szCs w:val="28"/>
        </w:rPr>
      </w:pPr>
      <w:r>
        <w:rPr>
          <w:rFonts w:hint="eastAsia" w:ascii="宋体" w:hAnsi="宋体"/>
          <w:bCs/>
          <w:color w:val="auto"/>
          <w:sz w:val="28"/>
          <w:szCs w:val="28"/>
        </w:rPr>
        <w:t>2、估价结果未考虑未来处置风险。</w:t>
      </w:r>
    </w:p>
    <w:p>
      <w:pPr>
        <w:adjustRightInd w:val="0"/>
        <w:snapToGrid w:val="0"/>
        <w:spacing w:line="360" w:lineRule="auto"/>
        <w:ind w:firstLine="560"/>
        <w:rPr>
          <w:rFonts w:ascii="宋体" w:hAnsi="宋体"/>
          <w:bCs/>
          <w:color w:val="auto"/>
          <w:sz w:val="28"/>
          <w:szCs w:val="28"/>
        </w:rPr>
      </w:pPr>
      <w:r>
        <w:rPr>
          <w:rFonts w:hint="eastAsia" w:ascii="宋体" w:hAnsi="宋体"/>
          <w:bCs/>
          <w:color w:val="auto"/>
          <w:sz w:val="28"/>
          <w:szCs w:val="28"/>
        </w:rPr>
        <w:t>3、估价结果未考虑估价对象及其所有权人已承担的债务、或有债务及经营决策失误或市场运作失当对其价值的影响。</w:t>
      </w:r>
    </w:p>
    <w:p>
      <w:pPr>
        <w:adjustRightInd w:val="0"/>
        <w:snapToGrid w:val="0"/>
        <w:spacing w:line="360" w:lineRule="auto"/>
        <w:ind w:firstLine="560"/>
        <w:rPr>
          <w:rFonts w:ascii="宋体" w:hAnsi="宋体"/>
          <w:color w:val="auto"/>
          <w:sz w:val="28"/>
          <w:szCs w:val="28"/>
        </w:rPr>
      </w:pPr>
      <w:r>
        <w:rPr>
          <w:rFonts w:hint="eastAsia" w:ascii="宋体" w:hAnsi="宋体"/>
          <w:bCs/>
          <w:color w:val="auto"/>
          <w:sz w:val="28"/>
          <w:szCs w:val="28"/>
        </w:rPr>
        <w:t>4、本估价报告结果是在公开市场前提下得出的结果结论，不考虑强制处分、快速变现等特殊交易方式带来的影响。</w:t>
      </w:r>
    </w:p>
    <w:p>
      <w:pPr>
        <w:adjustRightInd w:val="0"/>
        <w:snapToGrid w:val="0"/>
        <w:spacing w:line="360" w:lineRule="auto"/>
        <w:ind w:firstLine="560"/>
        <w:rPr>
          <w:rFonts w:ascii="宋体" w:hAnsi="宋体"/>
          <w:color w:val="auto"/>
          <w:sz w:val="28"/>
          <w:szCs w:val="28"/>
        </w:rPr>
      </w:pPr>
      <w:r>
        <w:rPr>
          <w:rFonts w:hint="eastAsia" w:ascii="宋体" w:hAnsi="宋体"/>
          <w:bCs/>
          <w:color w:val="auto"/>
          <w:sz w:val="28"/>
          <w:szCs w:val="28"/>
        </w:rPr>
        <w:t>5、</w:t>
      </w:r>
      <w:r>
        <w:rPr>
          <w:rFonts w:hint="eastAsia" w:ascii="宋体" w:hAnsi="宋体"/>
          <w:color w:val="auto"/>
          <w:sz w:val="28"/>
          <w:szCs w:val="28"/>
        </w:rPr>
        <w:t>本报告必须完整使用为有效，对仅使用本报告中部分内容所导致的可能损失，本公司不承担责任。</w:t>
      </w:r>
    </w:p>
    <w:p>
      <w:pPr>
        <w:adjustRightInd w:val="0"/>
        <w:snapToGrid w:val="0"/>
        <w:spacing w:line="360" w:lineRule="auto"/>
        <w:ind w:firstLine="560"/>
        <w:rPr>
          <w:rFonts w:ascii="宋体" w:hAnsi="宋体"/>
          <w:bCs/>
          <w:color w:val="auto"/>
          <w:sz w:val="28"/>
          <w:szCs w:val="28"/>
        </w:rPr>
      </w:pPr>
      <w:r>
        <w:rPr>
          <w:rFonts w:hint="eastAsia" w:ascii="宋体" w:hAnsi="宋体"/>
          <w:bCs/>
          <w:color w:val="auto"/>
          <w:sz w:val="28"/>
          <w:szCs w:val="28"/>
        </w:rPr>
        <w:t>6、</w:t>
      </w:r>
      <w:r>
        <w:rPr>
          <w:rFonts w:hint="eastAsia" w:ascii="宋体" w:hAnsi="宋体"/>
          <w:color w:val="auto"/>
          <w:sz w:val="28"/>
          <w:szCs w:val="28"/>
        </w:rPr>
        <w:t>委托方所提供的相关资料真实合法，在价值时点估价对象不存在他项权利限制。</w:t>
      </w:r>
    </w:p>
    <w:p>
      <w:pPr>
        <w:adjustRightInd w:val="0"/>
        <w:snapToGrid w:val="0"/>
        <w:spacing w:line="360" w:lineRule="auto"/>
        <w:ind w:firstLine="560"/>
        <w:rPr>
          <w:rFonts w:ascii="宋体" w:hAnsi="宋体"/>
          <w:color w:val="auto"/>
          <w:spacing w:val="-6"/>
          <w:sz w:val="28"/>
          <w:szCs w:val="28"/>
        </w:rPr>
      </w:pPr>
      <w:r>
        <w:rPr>
          <w:rFonts w:hint="eastAsia" w:ascii="宋体" w:hAnsi="宋体"/>
          <w:bCs/>
          <w:color w:val="auto"/>
          <w:spacing w:val="-6"/>
          <w:sz w:val="28"/>
          <w:szCs w:val="28"/>
        </w:rPr>
        <w:t>7、</w:t>
      </w:r>
      <w:r>
        <w:rPr>
          <w:rFonts w:hint="eastAsia" w:ascii="宋体" w:hAnsi="宋体"/>
          <w:color w:val="auto"/>
          <w:spacing w:val="-6"/>
          <w:sz w:val="28"/>
          <w:szCs w:val="28"/>
        </w:rPr>
        <w:t>本报告估价结果仅为委托方处理案件提供市场价值参考依据，不作它用。</w:t>
      </w:r>
    </w:p>
    <w:p>
      <w:pPr>
        <w:adjustRightInd w:val="0"/>
        <w:snapToGrid w:val="0"/>
        <w:spacing w:line="360" w:lineRule="auto"/>
        <w:ind w:firstLine="630"/>
        <w:rPr>
          <w:rFonts w:ascii="宋体" w:hAnsi="宋体"/>
          <w:color w:val="auto"/>
          <w:sz w:val="28"/>
          <w:szCs w:val="28"/>
        </w:rPr>
      </w:pPr>
      <w:r>
        <w:rPr>
          <w:rFonts w:hint="eastAsia" w:ascii="宋体" w:hAnsi="宋体"/>
          <w:color w:val="auto"/>
          <w:sz w:val="28"/>
          <w:szCs w:val="28"/>
        </w:rPr>
        <w:t>8、本报告是现状房地产利用条件下的房地产价值评估，一旦评估目的和报告设定的条件改变时，其房地产价格应重新评估或作相应调整。</w:t>
      </w:r>
    </w:p>
    <w:p>
      <w:pPr>
        <w:adjustRightInd w:val="0"/>
        <w:snapToGrid w:val="0"/>
        <w:spacing w:line="360" w:lineRule="auto"/>
        <w:ind w:firstLine="560"/>
        <w:rPr>
          <w:rFonts w:ascii="宋体" w:hAnsi="宋体"/>
          <w:color w:val="auto"/>
          <w:sz w:val="28"/>
          <w:szCs w:val="28"/>
        </w:rPr>
      </w:pPr>
      <w:r>
        <w:rPr>
          <w:rFonts w:hint="eastAsia" w:ascii="宋体" w:hAnsi="宋体"/>
          <w:bCs/>
          <w:color w:val="auto"/>
          <w:sz w:val="28"/>
          <w:szCs w:val="28"/>
        </w:rPr>
        <w:t>9、</w:t>
      </w:r>
      <w:r>
        <w:rPr>
          <w:rFonts w:hint="eastAsia" w:ascii="宋体" w:hAnsi="宋体"/>
          <w:color w:val="auto"/>
          <w:sz w:val="28"/>
          <w:szCs w:val="28"/>
        </w:rPr>
        <w:t>估价对象的使用和运作方式符合国家和云南省、文山州、</w:t>
      </w:r>
      <w:r>
        <w:rPr>
          <w:rFonts w:hint="eastAsia" w:ascii="宋体" w:hAnsi="宋体"/>
          <w:color w:val="auto"/>
          <w:sz w:val="28"/>
          <w:szCs w:val="28"/>
          <w:lang w:eastAsia="zh-CN"/>
        </w:rPr>
        <w:t>丘北县</w:t>
      </w:r>
      <w:r>
        <w:rPr>
          <w:rFonts w:hint="eastAsia" w:ascii="宋体" w:hAnsi="宋体"/>
          <w:color w:val="auto"/>
          <w:sz w:val="28"/>
          <w:szCs w:val="28"/>
        </w:rPr>
        <w:t>相关的法律、法规和政策规定。</w:t>
      </w:r>
    </w:p>
    <w:p>
      <w:pPr>
        <w:adjustRightInd w:val="0"/>
        <w:snapToGrid w:val="0"/>
        <w:spacing w:line="360" w:lineRule="auto"/>
        <w:ind w:firstLine="560"/>
        <w:rPr>
          <w:rFonts w:ascii="宋体" w:hAnsi="宋体"/>
          <w:color w:val="auto"/>
          <w:sz w:val="28"/>
          <w:szCs w:val="28"/>
        </w:rPr>
      </w:pPr>
      <w:r>
        <w:rPr>
          <w:rFonts w:hint="eastAsia" w:ascii="宋体" w:hAnsi="宋体"/>
          <w:color w:val="auto"/>
          <w:sz w:val="28"/>
          <w:szCs w:val="28"/>
          <w:lang w:val="en-US" w:eastAsia="zh-CN"/>
        </w:rPr>
        <w:t>10</w:t>
      </w:r>
      <w:r>
        <w:rPr>
          <w:rFonts w:hint="eastAsia" w:ascii="宋体" w:hAnsi="宋体"/>
          <w:color w:val="auto"/>
          <w:sz w:val="28"/>
          <w:szCs w:val="28"/>
        </w:rPr>
        <w:t>、</w:t>
      </w:r>
      <w:r>
        <w:rPr>
          <w:rFonts w:hint="eastAsia" w:hAnsi="宋体"/>
          <w:color w:val="auto"/>
          <w:kern w:val="0"/>
          <w:sz w:val="28"/>
          <w:szCs w:val="28"/>
        </w:rPr>
        <w:t>价值时点时</w:t>
      </w:r>
      <w:r>
        <w:rPr>
          <w:rFonts w:hint="eastAsia" w:ascii="宋体" w:hAnsi="宋体"/>
          <w:color w:val="auto"/>
          <w:sz w:val="28"/>
          <w:szCs w:val="28"/>
        </w:rPr>
        <w:t>的房地产市场为公正、公开和公平的交易市场。</w:t>
      </w:r>
    </w:p>
    <w:p>
      <w:pPr>
        <w:adjustRightInd w:val="0"/>
        <w:snapToGrid w:val="0"/>
        <w:spacing w:line="360" w:lineRule="auto"/>
        <w:ind w:firstLine="560"/>
        <w:rPr>
          <w:rFonts w:ascii="宋体" w:hAnsi="宋体"/>
          <w:color w:val="auto"/>
          <w:sz w:val="28"/>
          <w:szCs w:val="28"/>
        </w:rPr>
      </w:pPr>
      <w:r>
        <w:rPr>
          <w:rFonts w:hint="eastAsia" w:ascii="宋体" w:hAnsi="宋体"/>
          <w:color w:val="auto"/>
          <w:sz w:val="28"/>
          <w:szCs w:val="28"/>
        </w:rPr>
        <w:t>1</w:t>
      </w:r>
      <w:r>
        <w:rPr>
          <w:rFonts w:hint="eastAsia" w:ascii="宋体" w:hAnsi="宋体"/>
          <w:color w:val="auto"/>
          <w:sz w:val="28"/>
          <w:szCs w:val="28"/>
          <w:lang w:val="en-US" w:eastAsia="zh-CN"/>
        </w:rPr>
        <w:t>1</w:t>
      </w:r>
      <w:r>
        <w:rPr>
          <w:rFonts w:hint="eastAsia" w:ascii="宋体" w:hAnsi="宋体"/>
          <w:color w:val="auto"/>
          <w:sz w:val="28"/>
          <w:szCs w:val="28"/>
        </w:rPr>
        <w:t>、未经本公司同意，不得向委托方和估价报告审查部门之外的单位和个人提供本报告，报告的全部和部分内容未经许可不得发表于任何公开媒体上。</w:t>
      </w:r>
    </w:p>
    <w:p>
      <w:pPr>
        <w:adjustRightInd w:val="0"/>
        <w:snapToGrid w:val="0"/>
        <w:spacing w:line="360" w:lineRule="auto"/>
        <w:ind w:firstLine="560"/>
        <w:rPr>
          <w:rFonts w:ascii="宋体" w:hAnsi="宋体"/>
          <w:color w:val="auto"/>
          <w:sz w:val="28"/>
          <w:szCs w:val="28"/>
        </w:rPr>
      </w:pPr>
      <w:r>
        <w:rPr>
          <w:rFonts w:hint="eastAsia" w:ascii="宋体" w:hAnsi="宋体"/>
          <w:color w:val="auto"/>
          <w:sz w:val="28"/>
          <w:szCs w:val="28"/>
        </w:rPr>
        <w:t>1</w:t>
      </w:r>
      <w:r>
        <w:rPr>
          <w:rFonts w:hint="eastAsia" w:ascii="宋体" w:hAnsi="宋体"/>
          <w:color w:val="auto"/>
          <w:sz w:val="28"/>
          <w:szCs w:val="28"/>
          <w:lang w:val="en-US" w:eastAsia="zh-CN"/>
        </w:rPr>
        <w:t>2</w:t>
      </w:r>
      <w:r>
        <w:rPr>
          <w:rFonts w:hint="eastAsia" w:ascii="宋体" w:hAnsi="宋体"/>
          <w:color w:val="auto"/>
          <w:sz w:val="28"/>
          <w:szCs w:val="28"/>
        </w:rPr>
        <w:t>、本评估报告有效期为一年（自</w:t>
      </w:r>
      <w:r>
        <w:rPr>
          <w:rFonts w:hint="eastAsia" w:ascii="宋体" w:hAnsi="宋体"/>
          <w:bCs/>
          <w:color w:val="auto"/>
          <w:sz w:val="28"/>
          <w:szCs w:val="28"/>
        </w:rPr>
        <w:t>20</w:t>
      </w:r>
      <w:r>
        <w:rPr>
          <w:rFonts w:hint="eastAsia" w:ascii="宋体" w:hAnsi="宋体"/>
          <w:bCs/>
          <w:color w:val="auto"/>
          <w:sz w:val="28"/>
          <w:szCs w:val="28"/>
          <w:lang w:val="en-US" w:eastAsia="zh-CN"/>
        </w:rPr>
        <w:t>20</w:t>
      </w:r>
      <w:r>
        <w:rPr>
          <w:rFonts w:hint="eastAsia" w:ascii="宋体" w:hAnsi="宋体"/>
          <w:bCs/>
          <w:color w:val="auto"/>
          <w:sz w:val="28"/>
          <w:szCs w:val="28"/>
        </w:rPr>
        <w:t>年</w:t>
      </w:r>
      <w:r>
        <w:rPr>
          <w:rFonts w:hint="eastAsia" w:ascii="宋体" w:hAnsi="宋体"/>
          <w:bCs/>
          <w:color w:val="auto"/>
          <w:sz w:val="28"/>
          <w:szCs w:val="28"/>
          <w:lang w:val="en-US" w:eastAsia="zh-CN"/>
        </w:rPr>
        <w:t>3</w:t>
      </w:r>
      <w:r>
        <w:rPr>
          <w:rFonts w:hint="eastAsia" w:ascii="宋体" w:hAnsi="宋体"/>
          <w:bCs/>
          <w:color w:val="auto"/>
          <w:sz w:val="28"/>
          <w:szCs w:val="28"/>
        </w:rPr>
        <w:t>月</w:t>
      </w:r>
      <w:r>
        <w:rPr>
          <w:rFonts w:hint="eastAsia" w:ascii="宋体" w:hAnsi="宋体"/>
          <w:bCs/>
          <w:color w:val="auto"/>
          <w:sz w:val="28"/>
          <w:szCs w:val="28"/>
          <w:lang w:val="en-US" w:eastAsia="zh-CN"/>
        </w:rPr>
        <w:t>22</w:t>
      </w:r>
      <w:r>
        <w:rPr>
          <w:rFonts w:hint="eastAsia" w:ascii="宋体" w:hAnsi="宋体"/>
          <w:bCs/>
          <w:color w:val="auto"/>
          <w:sz w:val="28"/>
          <w:szCs w:val="28"/>
        </w:rPr>
        <w:t>日</w:t>
      </w:r>
      <w:r>
        <w:rPr>
          <w:rFonts w:hint="eastAsia" w:ascii="宋体" w:hAnsi="宋体"/>
          <w:color w:val="auto"/>
          <w:sz w:val="28"/>
          <w:szCs w:val="28"/>
        </w:rPr>
        <w:t>起至202</w:t>
      </w:r>
      <w:r>
        <w:rPr>
          <w:rFonts w:hint="eastAsia" w:ascii="宋体" w:hAnsi="宋体"/>
          <w:color w:val="auto"/>
          <w:sz w:val="28"/>
          <w:szCs w:val="28"/>
          <w:lang w:val="en-US" w:eastAsia="zh-CN"/>
        </w:rPr>
        <w:t>1</w:t>
      </w:r>
      <w:r>
        <w:rPr>
          <w:rFonts w:hint="eastAsia" w:ascii="宋体" w:hAnsi="宋体"/>
          <w:color w:val="auto"/>
          <w:sz w:val="28"/>
          <w:szCs w:val="28"/>
        </w:rPr>
        <w:t>年</w:t>
      </w:r>
      <w:r>
        <w:rPr>
          <w:rFonts w:hint="eastAsia" w:ascii="宋体" w:hAnsi="宋体"/>
          <w:color w:val="auto"/>
          <w:sz w:val="28"/>
          <w:szCs w:val="28"/>
          <w:lang w:val="en-US" w:eastAsia="zh-CN"/>
        </w:rPr>
        <w:t>3</w:t>
      </w:r>
      <w:r>
        <w:rPr>
          <w:rFonts w:hint="eastAsia" w:ascii="宋体" w:hAnsi="宋体"/>
          <w:color w:val="auto"/>
          <w:sz w:val="28"/>
          <w:szCs w:val="28"/>
        </w:rPr>
        <w:t>月</w:t>
      </w:r>
      <w:r>
        <w:rPr>
          <w:rFonts w:hint="eastAsia" w:ascii="宋体" w:hAnsi="宋体"/>
          <w:color w:val="auto"/>
          <w:sz w:val="28"/>
          <w:szCs w:val="28"/>
          <w:lang w:val="en-US" w:eastAsia="zh-CN"/>
        </w:rPr>
        <w:t>21</w:t>
      </w:r>
      <w:bookmarkStart w:id="307" w:name="_GoBack"/>
      <w:bookmarkEnd w:id="307"/>
      <w:r>
        <w:rPr>
          <w:rFonts w:hint="eastAsia" w:ascii="宋体" w:hAnsi="宋体"/>
          <w:color w:val="auto"/>
          <w:sz w:val="28"/>
          <w:szCs w:val="28"/>
        </w:rPr>
        <w:t>日止）。即估价目的在报告完成后的一年内实现，超过一年或市场变化较快对估价结果产生明显影响时，估价结果应作相应调整或重新估价。</w:t>
      </w:r>
    </w:p>
    <w:p>
      <w:pPr>
        <w:adjustRightInd w:val="0"/>
        <w:snapToGrid w:val="0"/>
        <w:spacing w:line="360" w:lineRule="auto"/>
        <w:ind w:firstLine="560"/>
        <w:rPr>
          <w:rFonts w:ascii="宋体" w:hAnsi="宋体"/>
          <w:color w:val="auto"/>
          <w:sz w:val="28"/>
          <w:szCs w:val="28"/>
        </w:rPr>
      </w:pPr>
      <w:r>
        <w:rPr>
          <w:rFonts w:hint="eastAsia" w:ascii="宋体" w:hAnsi="宋体"/>
          <w:color w:val="auto"/>
          <w:sz w:val="28"/>
          <w:szCs w:val="28"/>
        </w:rPr>
        <w:t>1</w:t>
      </w:r>
      <w:r>
        <w:rPr>
          <w:rFonts w:hint="eastAsia" w:ascii="宋体" w:hAnsi="宋体"/>
          <w:color w:val="auto"/>
          <w:sz w:val="28"/>
          <w:szCs w:val="28"/>
          <w:lang w:val="en-US" w:eastAsia="zh-CN"/>
        </w:rPr>
        <w:t>3</w:t>
      </w:r>
      <w:r>
        <w:rPr>
          <w:rFonts w:hint="eastAsia" w:ascii="宋体" w:hAnsi="宋体"/>
          <w:color w:val="auto"/>
          <w:sz w:val="28"/>
          <w:szCs w:val="28"/>
        </w:rPr>
        <w:t>、本报告一式</w:t>
      </w:r>
      <w:r>
        <w:rPr>
          <w:rFonts w:hint="eastAsia" w:ascii="宋体" w:hAnsi="宋体"/>
          <w:color w:val="auto"/>
          <w:sz w:val="28"/>
          <w:szCs w:val="28"/>
          <w:lang w:eastAsia="zh-CN"/>
        </w:rPr>
        <w:t>九</w:t>
      </w:r>
      <w:r>
        <w:rPr>
          <w:rFonts w:hint="eastAsia" w:ascii="宋体" w:hAnsi="宋体"/>
          <w:color w:val="auto"/>
          <w:sz w:val="28"/>
          <w:szCs w:val="28"/>
        </w:rPr>
        <w:t>份，</w:t>
      </w:r>
      <w:r>
        <w:rPr>
          <w:rFonts w:hint="eastAsia" w:ascii="宋体" w:hAnsi="宋体"/>
          <w:color w:val="auto"/>
          <w:sz w:val="28"/>
          <w:szCs w:val="28"/>
          <w:lang w:eastAsia="zh-CN"/>
        </w:rPr>
        <w:t>八</w:t>
      </w:r>
      <w:r>
        <w:rPr>
          <w:rFonts w:hint="eastAsia" w:ascii="宋体" w:hAnsi="宋体"/>
          <w:color w:val="auto"/>
          <w:sz w:val="28"/>
          <w:szCs w:val="28"/>
        </w:rPr>
        <w:t>份提交委托方，一份留存本公司。</w:t>
      </w:r>
    </w:p>
    <w:p>
      <w:pPr>
        <w:adjustRightInd w:val="0"/>
        <w:snapToGrid w:val="0"/>
        <w:spacing w:line="360" w:lineRule="auto"/>
        <w:ind w:firstLine="560"/>
        <w:rPr>
          <w:rFonts w:ascii="宋体" w:hAnsi="宋体"/>
          <w:color w:val="auto"/>
          <w:spacing w:val="10"/>
          <w:sz w:val="32"/>
          <w:szCs w:val="32"/>
        </w:rPr>
      </w:pPr>
      <w:r>
        <w:rPr>
          <w:rFonts w:hint="eastAsia" w:ascii="宋体" w:hAnsi="宋体"/>
          <w:color w:val="auto"/>
          <w:sz w:val="28"/>
          <w:szCs w:val="28"/>
        </w:rPr>
        <w:t>1</w:t>
      </w:r>
      <w:r>
        <w:rPr>
          <w:rFonts w:hint="eastAsia" w:ascii="宋体" w:hAnsi="宋体"/>
          <w:color w:val="auto"/>
          <w:sz w:val="28"/>
          <w:szCs w:val="28"/>
          <w:lang w:val="en-US" w:eastAsia="zh-CN"/>
        </w:rPr>
        <w:t>4</w:t>
      </w:r>
      <w:r>
        <w:rPr>
          <w:rFonts w:hint="eastAsia" w:ascii="宋体" w:hAnsi="宋体"/>
          <w:color w:val="auto"/>
          <w:sz w:val="28"/>
          <w:szCs w:val="28"/>
        </w:rPr>
        <w:t>、本报告由文山同心联谊房地产评估有限公司负责解释。</w:t>
      </w:r>
    </w:p>
    <w:p>
      <w:pPr>
        <w:pStyle w:val="2"/>
        <w:jc w:val="center"/>
        <w:rPr>
          <w:rFonts w:ascii="宋体" w:hAnsi="宋体"/>
          <w:color w:val="auto"/>
          <w:sz w:val="32"/>
          <w:szCs w:val="32"/>
        </w:rPr>
        <w:sectPr>
          <w:pgSz w:w="11906" w:h="16838"/>
          <w:pgMar w:top="1134" w:right="1304" w:bottom="1077" w:left="1361" w:header="851" w:footer="851" w:gutter="0"/>
          <w:pgNumType w:fmt="numberInDash"/>
          <w:cols w:space="720" w:num="1"/>
          <w:docGrid w:linePitch="312" w:charSpace="0"/>
        </w:sectPr>
      </w:pPr>
    </w:p>
    <w:p>
      <w:pPr>
        <w:pStyle w:val="2"/>
        <w:jc w:val="center"/>
        <w:rPr>
          <w:rFonts w:ascii="宋体" w:hAnsi="宋体"/>
          <w:color w:val="auto"/>
          <w:sz w:val="36"/>
          <w:szCs w:val="36"/>
        </w:rPr>
      </w:pPr>
      <w:bookmarkStart w:id="22" w:name="_Toc417214133"/>
      <w:bookmarkStart w:id="23" w:name="_Toc16189043"/>
      <w:bookmarkStart w:id="24" w:name="_Toc5973"/>
      <w:bookmarkStart w:id="25" w:name="_Toc521944354"/>
      <w:bookmarkStart w:id="26" w:name="_Toc522873489"/>
      <w:bookmarkStart w:id="27" w:name="_Toc414265154"/>
      <w:bookmarkStart w:id="28" w:name="_Toc16189206"/>
      <w:bookmarkStart w:id="29" w:name="_Toc414265235"/>
      <w:bookmarkStart w:id="30" w:name="_Toc417220311"/>
      <w:bookmarkStart w:id="31" w:name="_Toc16665757"/>
      <w:bookmarkStart w:id="32" w:name="_Toc417282113"/>
      <w:r>
        <w:rPr>
          <w:rFonts w:hint="eastAsia" w:ascii="宋体" w:hAnsi="宋体"/>
          <w:color w:val="auto"/>
          <w:sz w:val="36"/>
          <w:szCs w:val="36"/>
        </w:rPr>
        <w:t>估价结果报告</w:t>
      </w:r>
      <w:bookmarkEnd w:id="22"/>
      <w:bookmarkEnd w:id="23"/>
      <w:bookmarkEnd w:id="24"/>
      <w:bookmarkEnd w:id="25"/>
      <w:bookmarkEnd w:id="26"/>
      <w:bookmarkEnd w:id="27"/>
      <w:bookmarkEnd w:id="28"/>
      <w:bookmarkEnd w:id="29"/>
      <w:bookmarkEnd w:id="30"/>
      <w:bookmarkEnd w:id="31"/>
      <w:bookmarkEnd w:id="32"/>
    </w:p>
    <w:p>
      <w:pPr>
        <w:pStyle w:val="3"/>
        <w:rPr>
          <w:rFonts w:ascii="宋体" w:hAnsi="宋体" w:eastAsia="宋体"/>
          <w:color w:val="auto"/>
          <w:kern w:val="0"/>
          <w:sz w:val="28"/>
          <w:szCs w:val="28"/>
        </w:rPr>
      </w:pPr>
      <w:bookmarkStart w:id="33" w:name="_Toc16189044"/>
      <w:bookmarkStart w:id="34" w:name="_Toc522873490"/>
      <w:bookmarkStart w:id="35" w:name="_Toc417214134"/>
      <w:bookmarkStart w:id="36" w:name="_Toc521944355"/>
      <w:bookmarkStart w:id="37" w:name="_Toc417282114"/>
      <w:bookmarkStart w:id="38" w:name="_Toc16189207"/>
      <w:bookmarkStart w:id="39" w:name="_Toc414265236"/>
      <w:bookmarkStart w:id="40" w:name="_Toc16665758"/>
      <w:bookmarkStart w:id="41" w:name="_Toc24623"/>
      <w:bookmarkStart w:id="42" w:name="_Toc417220312"/>
      <w:bookmarkStart w:id="43" w:name="_Toc414265155"/>
      <w:r>
        <w:rPr>
          <w:rFonts w:hint="eastAsia" w:ascii="宋体" w:hAnsi="宋体" w:eastAsia="宋体"/>
          <w:color w:val="auto"/>
          <w:kern w:val="0"/>
          <w:sz w:val="28"/>
          <w:szCs w:val="28"/>
        </w:rPr>
        <w:t>一、</w:t>
      </w:r>
      <w:r>
        <w:rPr>
          <w:rFonts w:hint="eastAsia" w:ascii="宋体" w:hAnsi="宋体" w:eastAsia="宋体"/>
          <w:color w:val="auto"/>
          <w:sz w:val="28"/>
          <w:szCs w:val="28"/>
        </w:rPr>
        <w:t>估价委托人</w:t>
      </w:r>
      <w:bookmarkEnd w:id="33"/>
      <w:bookmarkEnd w:id="34"/>
      <w:bookmarkEnd w:id="35"/>
      <w:bookmarkEnd w:id="36"/>
      <w:bookmarkEnd w:id="37"/>
      <w:bookmarkEnd w:id="38"/>
      <w:bookmarkEnd w:id="39"/>
      <w:bookmarkEnd w:id="40"/>
      <w:bookmarkEnd w:id="41"/>
      <w:bookmarkEnd w:id="42"/>
      <w:bookmarkEnd w:id="43"/>
    </w:p>
    <w:p>
      <w:pPr>
        <w:adjustRightInd w:val="0"/>
        <w:snapToGrid w:val="0"/>
        <w:spacing w:line="360" w:lineRule="auto"/>
        <w:ind w:firstLine="560" w:firstLineChars="200"/>
        <w:rPr>
          <w:color w:val="auto"/>
          <w:sz w:val="28"/>
          <w:szCs w:val="28"/>
        </w:rPr>
      </w:pPr>
      <w:r>
        <w:rPr>
          <w:rFonts w:hint="eastAsia" w:ascii="宋体" w:hAnsi="宋体"/>
          <w:color w:val="auto"/>
          <w:kern w:val="0"/>
          <w:sz w:val="28"/>
          <w:szCs w:val="28"/>
        </w:rPr>
        <w:t>委托人：</w:t>
      </w:r>
      <w:r>
        <w:rPr>
          <w:rFonts w:hint="eastAsia"/>
          <w:color w:val="auto"/>
          <w:sz w:val="28"/>
          <w:szCs w:val="28"/>
          <w:lang w:eastAsia="zh-CN"/>
        </w:rPr>
        <w:t>云南省文山壮族苗族自治州中级人民法院</w:t>
      </w:r>
    </w:p>
    <w:p>
      <w:pPr>
        <w:adjustRightInd w:val="0"/>
        <w:snapToGrid w:val="0"/>
        <w:spacing w:line="360" w:lineRule="auto"/>
        <w:ind w:firstLine="560" w:firstLineChars="200"/>
        <w:rPr>
          <w:rFonts w:hint="default" w:eastAsia="宋体"/>
          <w:color w:val="auto"/>
          <w:sz w:val="28"/>
          <w:szCs w:val="28"/>
          <w:lang w:val="en-US" w:eastAsia="zh-CN"/>
        </w:rPr>
      </w:pPr>
      <w:r>
        <w:rPr>
          <w:rFonts w:hint="eastAsia"/>
          <w:color w:val="auto"/>
          <w:sz w:val="28"/>
          <w:szCs w:val="28"/>
        </w:rPr>
        <w:t>地址：</w:t>
      </w:r>
      <w:r>
        <w:rPr>
          <w:rFonts w:hint="eastAsia"/>
          <w:color w:val="auto"/>
          <w:sz w:val="28"/>
          <w:szCs w:val="28"/>
          <w:lang w:eastAsia="zh-CN"/>
        </w:rPr>
        <w:t>文山市凤凰路</w:t>
      </w:r>
      <w:r>
        <w:rPr>
          <w:rFonts w:hint="eastAsia"/>
          <w:color w:val="auto"/>
          <w:sz w:val="28"/>
          <w:szCs w:val="28"/>
          <w:lang w:val="en-US" w:eastAsia="zh-CN"/>
        </w:rPr>
        <w:t>55号</w:t>
      </w:r>
    </w:p>
    <w:p>
      <w:pPr>
        <w:pStyle w:val="3"/>
        <w:rPr>
          <w:rFonts w:ascii="宋体" w:hAnsi="宋体" w:eastAsia="宋体"/>
          <w:color w:val="auto"/>
          <w:kern w:val="0"/>
          <w:sz w:val="28"/>
          <w:szCs w:val="28"/>
        </w:rPr>
      </w:pPr>
      <w:bookmarkStart w:id="44" w:name="_Toc522873491"/>
      <w:bookmarkStart w:id="45" w:name="_Toc417220313"/>
      <w:bookmarkStart w:id="46" w:name="_Toc16665759"/>
      <w:bookmarkStart w:id="47" w:name="_Toc521944356"/>
      <w:bookmarkStart w:id="48" w:name="_Toc16189045"/>
      <w:bookmarkStart w:id="49" w:name="_Toc417282115"/>
      <w:bookmarkStart w:id="50" w:name="_Toc417214135"/>
      <w:bookmarkStart w:id="51" w:name="_Toc16189208"/>
      <w:bookmarkStart w:id="52" w:name="_Toc414265237"/>
      <w:bookmarkStart w:id="53" w:name="_Toc414265156"/>
      <w:bookmarkStart w:id="54" w:name="_Toc9950"/>
      <w:r>
        <w:rPr>
          <w:rFonts w:hint="eastAsia" w:ascii="宋体" w:hAnsi="宋体" w:eastAsia="宋体"/>
          <w:color w:val="auto"/>
          <w:kern w:val="0"/>
          <w:sz w:val="28"/>
          <w:szCs w:val="28"/>
        </w:rPr>
        <w:t>二、房地产估价机构</w:t>
      </w:r>
      <w:bookmarkEnd w:id="44"/>
      <w:bookmarkEnd w:id="45"/>
      <w:bookmarkEnd w:id="46"/>
      <w:bookmarkEnd w:id="47"/>
      <w:bookmarkEnd w:id="48"/>
      <w:bookmarkEnd w:id="49"/>
      <w:bookmarkEnd w:id="50"/>
      <w:bookmarkEnd w:id="51"/>
      <w:bookmarkEnd w:id="52"/>
      <w:bookmarkEnd w:id="53"/>
      <w:bookmarkEnd w:id="54"/>
    </w:p>
    <w:p>
      <w:pPr>
        <w:spacing w:line="336" w:lineRule="auto"/>
        <w:ind w:firstLine="560" w:firstLineChars="200"/>
        <w:rPr>
          <w:rFonts w:ascii="宋体" w:hAnsi="宋体"/>
          <w:color w:val="auto"/>
          <w:sz w:val="28"/>
          <w:szCs w:val="28"/>
        </w:rPr>
      </w:pPr>
      <w:r>
        <w:rPr>
          <w:rFonts w:hint="eastAsia" w:ascii="宋体" w:hAnsi="宋体"/>
          <w:color w:val="auto"/>
          <w:sz w:val="28"/>
          <w:szCs w:val="28"/>
        </w:rPr>
        <w:t>估价机构：文山同心联谊房地产评估有限公司</w:t>
      </w:r>
    </w:p>
    <w:p>
      <w:pPr>
        <w:spacing w:line="336" w:lineRule="auto"/>
        <w:ind w:firstLine="560" w:firstLineChars="200"/>
        <w:rPr>
          <w:rFonts w:ascii="宋体" w:hAnsi="宋体"/>
          <w:color w:val="auto"/>
          <w:sz w:val="28"/>
          <w:szCs w:val="28"/>
        </w:rPr>
      </w:pPr>
      <w:r>
        <w:rPr>
          <w:rFonts w:hint="eastAsia" w:ascii="宋体" w:hAnsi="宋体"/>
          <w:color w:val="auto"/>
          <w:sz w:val="28"/>
          <w:szCs w:val="28"/>
        </w:rPr>
        <w:t>法定代表人：李建</w:t>
      </w:r>
    </w:p>
    <w:p>
      <w:pPr>
        <w:spacing w:line="336" w:lineRule="auto"/>
        <w:ind w:firstLine="560" w:firstLineChars="200"/>
        <w:rPr>
          <w:rFonts w:ascii="宋体" w:hAnsi="宋体"/>
          <w:color w:val="auto"/>
          <w:sz w:val="28"/>
          <w:szCs w:val="28"/>
        </w:rPr>
      </w:pPr>
      <w:r>
        <w:rPr>
          <w:rFonts w:hint="eastAsia" w:ascii="宋体" w:hAnsi="宋体"/>
          <w:color w:val="auto"/>
          <w:sz w:val="28"/>
          <w:szCs w:val="28"/>
        </w:rPr>
        <w:t>备案等级：贰级</w:t>
      </w:r>
    </w:p>
    <w:p>
      <w:pPr>
        <w:spacing w:line="336" w:lineRule="auto"/>
        <w:ind w:firstLine="560" w:firstLineChars="200"/>
        <w:rPr>
          <w:rFonts w:ascii="宋体" w:hAnsi="宋体"/>
          <w:color w:val="auto"/>
          <w:sz w:val="28"/>
          <w:szCs w:val="28"/>
        </w:rPr>
      </w:pPr>
      <w:r>
        <w:rPr>
          <w:rFonts w:hint="eastAsia" w:ascii="宋体" w:hAnsi="宋体"/>
          <w:color w:val="auto"/>
          <w:sz w:val="28"/>
          <w:szCs w:val="28"/>
        </w:rPr>
        <w:t>备案证书编号：云建房证估字第51号</w:t>
      </w:r>
    </w:p>
    <w:p>
      <w:pPr>
        <w:spacing w:line="336" w:lineRule="auto"/>
        <w:ind w:firstLine="560" w:firstLineChars="200"/>
        <w:rPr>
          <w:rFonts w:ascii="宋体" w:hAnsi="宋体"/>
          <w:color w:val="auto"/>
          <w:sz w:val="28"/>
          <w:szCs w:val="28"/>
        </w:rPr>
      </w:pPr>
      <w:r>
        <w:rPr>
          <w:rFonts w:hint="eastAsia" w:ascii="宋体" w:hAnsi="宋体"/>
          <w:color w:val="auto"/>
          <w:sz w:val="28"/>
          <w:szCs w:val="28"/>
        </w:rPr>
        <w:t>地址：</w:t>
      </w:r>
      <w:r>
        <w:rPr>
          <w:rFonts w:hint="eastAsia" w:ascii="宋体" w:hAnsi="宋体"/>
          <w:color w:val="auto"/>
          <w:sz w:val="28"/>
          <w:szCs w:val="28"/>
          <w:lang w:eastAsia="zh-CN"/>
        </w:rPr>
        <w:t>文山市</w:t>
      </w:r>
      <w:r>
        <w:rPr>
          <w:rFonts w:hint="eastAsia" w:ascii="宋体" w:hAnsi="宋体"/>
          <w:color w:val="auto"/>
          <w:sz w:val="28"/>
          <w:szCs w:val="28"/>
        </w:rPr>
        <w:t>开化中路222号(大兴寺旁)</w:t>
      </w:r>
    </w:p>
    <w:p>
      <w:pPr>
        <w:spacing w:line="336" w:lineRule="auto"/>
        <w:ind w:firstLine="560" w:firstLineChars="200"/>
        <w:rPr>
          <w:rFonts w:ascii="宋体" w:hAnsi="宋体"/>
          <w:color w:val="auto"/>
          <w:sz w:val="28"/>
          <w:szCs w:val="28"/>
        </w:rPr>
      </w:pPr>
      <w:r>
        <w:rPr>
          <w:rFonts w:hint="eastAsia" w:ascii="宋体" w:hAnsi="宋体"/>
          <w:color w:val="auto"/>
          <w:sz w:val="28"/>
          <w:szCs w:val="28"/>
        </w:rPr>
        <w:t>联系电话：0876-2126555</w:t>
      </w:r>
    </w:p>
    <w:p>
      <w:pPr>
        <w:pStyle w:val="3"/>
        <w:rPr>
          <w:rFonts w:ascii="宋体" w:hAnsi="宋体" w:eastAsia="宋体"/>
          <w:color w:val="auto"/>
          <w:kern w:val="0"/>
          <w:sz w:val="28"/>
          <w:szCs w:val="28"/>
        </w:rPr>
      </w:pPr>
      <w:bookmarkStart w:id="55" w:name="_Toc16665760"/>
      <w:bookmarkStart w:id="56" w:name="_Toc414265239"/>
      <w:bookmarkStart w:id="57" w:name="_Toc417214137"/>
      <w:bookmarkStart w:id="58" w:name="_Toc522873492"/>
      <w:bookmarkStart w:id="59" w:name="_Toc414265158"/>
      <w:bookmarkStart w:id="60" w:name="_Toc521944357"/>
      <w:bookmarkStart w:id="61" w:name="_Toc16189046"/>
      <w:bookmarkStart w:id="62" w:name="_Toc16189209"/>
      <w:bookmarkStart w:id="63" w:name="_Toc417220315"/>
      <w:bookmarkStart w:id="64" w:name="_Toc417282117"/>
      <w:bookmarkStart w:id="65" w:name="_Toc11659"/>
      <w:r>
        <w:rPr>
          <w:rFonts w:hint="eastAsia" w:ascii="宋体" w:hAnsi="宋体" w:eastAsia="宋体"/>
          <w:color w:val="auto"/>
          <w:kern w:val="0"/>
          <w:sz w:val="28"/>
          <w:szCs w:val="28"/>
        </w:rPr>
        <w:t>三、估价目的</w:t>
      </w:r>
      <w:bookmarkEnd w:id="55"/>
      <w:bookmarkEnd w:id="56"/>
      <w:bookmarkEnd w:id="57"/>
      <w:bookmarkEnd w:id="58"/>
      <w:bookmarkEnd w:id="59"/>
      <w:bookmarkEnd w:id="60"/>
      <w:bookmarkEnd w:id="61"/>
      <w:bookmarkEnd w:id="62"/>
      <w:bookmarkEnd w:id="63"/>
      <w:bookmarkEnd w:id="64"/>
      <w:bookmarkEnd w:id="65"/>
    </w:p>
    <w:p>
      <w:pPr>
        <w:adjustRightInd w:val="0"/>
        <w:snapToGrid w:val="0"/>
        <w:spacing w:line="360" w:lineRule="auto"/>
        <w:ind w:firstLine="560" w:firstLineChars="200"/>
        <w:rPr>
          <w:rFonts w:ascii="宋体" w:hAnsi="宋体"/>
          <w:color w:val="auto"/>
          <w:sz w:val="28"/>
          <w:szCs w:val="28"/>
        </w:rPr>
      </w:pPr>
      <w:r>
        <w:rPr>
          <w:rFonts w:hint="eastAsia" w:ascii="宋体" w:hAnsi="宋体"/>
          <w:color w:val="auto"/>
          <w:sz w:val="28"/>
          <w:szCs w:val="28"/>
          <w:lang w:eastAsia="zh-CN"/>
        </w:rPr>
        <w:t>为委托方处理案件提供参考依据而评估房地产市场价值</w:t>
      </w:r>
      <w:r>
        <w:rPr>
          <w:rFonts w:hint="eastAsia" w:ascii="宋体" w:hAnsi="宋体"/>
          <w:color w:val="auto"/>
          <w:sz w:val="28"/>
          <w:szCs w:val="28"/>
        </w:rPr>
        <w:t>。</w:t>
      </w:r>
    </w:p>
    <w:p>
      <w:pPr>
        <w:pStyle w:val="3"/>
        <w:rPr>
          <w:rFonts w:ascii="宋体" w:hAnsi="宋体" w:eastAsia="宋体"/>
          <w:color w:val="auto"/>
          <w:kern w:val="0"/>
          <w:sz w:val="28"/>
          <w:szCs w:val="28"/>
        </w:rPr>
      </w:pPr>
      <w:bookmarkStart w:id="66" w:name="_Toc417214138"/>
      <w:bookmarkStart w:id="67" w:name="_Toc522873493"/>
      <w:bookmarkStart w:id="68" w:name="_Toc16189210"/>
      <w:bookmarkStart w:id="69" w:name="_Toc417220316"/>
      <w:bookmarkStart w:id="70" w:name="_Toc16665761"/>
      <w:bookmarkStart w:id="71" w:name="_Toc414265240"/>
      <w:bookmarkStart w:id="72" w:name="_Toc16189047"/>
      <w:bookmarkStart w:id="73" w:name="_Toc417282118"/>
      <w:bookmarkStart w:id="74" w:name="_Toc414265159"/>
      <w:bookmarkStart w:id="75" w:name="_Toc521944358"/>
      <w:bookmarkStart w:id="76" w:name="_Toc3591"/>
      <w:r>
        <w:rPr>
          <w:rFonts w:hint="eastAsia" w:ascii="宋体" w:hAnsi="宋体" w:eastAsia="宋体"/>
          <w:color w:val="auto"/>
          <w:kern w:val="0"/>
          <w:sz w:val="28"/>
          <w:szCs w:val="28"/>
        </w:rPr>
        <w:t>四、估价对象</w:t>
      </w:r>
      <w:bookmarkEnd w:id="66"/>
      <w:bookmarkEnd w:id="67"/>
      <w:bookmarkEnd w:id="68"/>
      <w:bookmarkEnd w:id="69"/>
      <w:bookmarkEnd w:id="70"/>
      <w:bookmarkEnd w:id="71"/>
      <w:bookmarkEnd w:id="72"/>
      <w:bookmarkEnd w:id="73"/>
      <w:bookmarkEnd w:id="74"/>
      <w:bookmarkEnd w:id="75"/>
      <w:bookmarkEnd w:id="76"/>
    </w:p>
    <w:p>
      <w:pPr>
        <w:adjustRightInd w:val="0"/>
        <w:snapToGrid w:val="0"/>
        <w:spacing w:line="360" w:lineRule="auto"/>
        <w:rPr>
          <w:rFonts w:ascii="宋体" w:hAnsi="宋体"/>
          <w:b/>
          <w:bCs/>
          <w:color w:val="auto"/>
          <w:sz w:val="28"/>
          <w:szCs w:val="28"/>
        </w:rPr>
      </w:pPr>
      <w:r>
        <w:rPr>
          <w:rFonts w:hint="eastAsia" w:ascii="宋体" w:hAnsi="宋体"/>
          <w:b/>
          <w:bCs/>
          <w:color w:val="auto"/>
          <w:sz w:val="28"/>
          <w:szCs w:val="28"/>
          <w:lang w:eastAsia="zh-CN"/>
        </w:rPr>
        <w:t>（一）</w:t>
      </w:r>
      <w:r>
        <w:rPr>
          <w:rFonts w:hint="eastAsia" w:ascii="宋体" w:hAnsi="宋体"/>
          <w:b/>
          <w:bCs/>
          <w:color w:val="auto"/>
          <w:sz w:val="28"/>
          <w:szCs w:val="28"/>
        </w:rPr>
        <w:t>估价对象财产范围</w:t>
      </w:r>
    </w:p>
    <w:p>
      <w:pPr>
        <w:adjustRightInd w:val="0"/>
        <w:snapToGrid w:val="0"/>
        <w:spacing w:line="360" w:lineRule="auto"/>
        <w:ind w:firstLine="560" w:firstLineChars="200"/>
        <w:rPr>
          <w:rFonts w:ascii="宋体" w:hAnsi="宋体"/>
          <w:color w:val="auto"/>
          <w:sz w:val="28"/>
          <w:szCs w:val="28"/>
        </w:rPr>
      </w:pPr>
      <w:r>
        <w:rPr>
          <w:rFonts w:hint="eastAsia" w:ascii="宋体" w:hAnsi="宋体"/>
          <w:color w:val="auto"/>
          <w:sz w:val="28"/>
          <w:szCs w:val="28"/>
        </w:rPr>
        <w:t>估价对象财产范围为</w:t>
      </w:r>
      <w:r>
        <w:rPr>
          <w:rFonts w:hint="eastAsia" w:ascii="宋体" w:hAnsi="宋体"/>
          <w:color w:val="auto"/>
          <w:sz w:val="28"/>
          <w:szCs w:val="28"/>
          <w:lang w:eastAsia="zh-CN"/>
        </w:rPr>
        <w:t>丘北县锦屏镇石缸坝新城区（和谐景苑小区）</w:t>
      </w:r>
      <w:r>
        <w:rPr>
          <w:rFonts w:hint="eastAsia" w:ascii="宋体" w:hAnsi="宋体"/>
          <w:color w:val="auto"/>
          <w:sz w:val="28"/>
          <w:szCs w:val="28"/>
          <w:lang w:val="en-US" w:eastAsia="zh-CN"/>
        </w:rPr>
        <w:t>D幢3-602号</w:t>
      </w:r>
      <w:r>
        <w:rPr>
          <w:rFonts w:hint="eastAsia" w:ascii="宋体" w:hAnsi="宋体"/>
          <w:color w:val="auto"/>
          <w:sz w:val="28"/>
          <w:szCs w:val="28"/>
        </w:rPr>
        <w:t>房地产，不包括动产、债权债务、特许经营权等其他财产或权益。</w:t>
      </w:r>
    </w:p>
    <w:p>
      <w:pPr>
        <w:adjustRightInd w:val="0"/>
        <w:snapToGrid w:val="0"/>
        <w:spacing w:line="360" w:lineRule="auto"/>
        <w:rPr>
          <w:rFonts w:ascii="宋体" w:hAnsi="宋体"/>
          <w:b/>
          <w:bCs/>
          <w:color w:val="auto"/>
          <w:sz w:val="28"/>
          <w:szCs w:val="28"/>
        </w:rPr>
      </w:pPr>
      <w:r>
        <w:rPr>
          <w:rFonts w:hint="eastAsia" w:ascii="宋体" w:hAnsi="宋体"/>
          <w:b/>
          <w:bCs/>
          <w:color w:val="auto"/>
          <w:sz w:val="28"/>
          <w:szCs w:val="28"/>
          <w:lang w:val="en-US" w:eastAsia="zh-CN"/>
        </w:rPr>
        <w:t>（二）</w:t>
      </w:r>
      <w:r>
        <w:rPr>
          <w:rFonts w:hint="eastAsia" w:ascii="宋体" w:hAnsi="宋体"/>
          <w:b/>
          <w:bCs/>
          <w:color w:val="auto"/>
          <w:sz w:val="28"/>
          <w:szCs w:val="28"/>
        </w:rPr>
        <w:t>估价对象基本状况</w:t>
      </w:r>
    </w:p>
    <w:p>
      <w:pPr>
        <w:adjustRightInd w:val="0"/>
        <w:snapToGrid w:val="0"/>
        <w:spacing w:line="360" w:lineRule="auto"/>
        <w:ind w:firstLine="281" w:firstLineChars="100"/>
        <w:rPr>
          <w:rFonts w:ascii="宋体" w:hAnsi="宋体"/>
          <w:b/>
          <w:bCs/>
          <w:color w:val="auto"/>
          <w:sz w:val="28"/>
          <w:szCs w:val="28"/>
          <w:highlight w:val="none"/>
        </w:rPr>
      </w:pPr>
      <w:bookmarkStart w:id="77" w:name="_Toc16189061"/>
      <w:bookmarkStart w:id="78" w:name="_Toc414265175"/>
      <w:bookmarkStart w:id="79" w:name="_Toc521944372"/>
      <w:bookmarkStart w:id="80" w:name="_Toc522873507"/>
      <w:bookmarkStart w:id="81" w:name="_Toc417220332"/>
      <w:bookmarkStart w:id="82" w:name="_Toc16665775"/>
      <w:bookmarkStart w:id="83" w:name="_Toc414265256"/>
      <w:bookmarkStart w:id="84" w:name="_Toc417282134"/>
      <w:bookmarkStart w:id="85" w:name="_Toc16189224"/>
      <w:bookmarkStart w:id="86" w:name="_Toc417214154"/>
      <w:bookmarkStart w:id="87" w:name="_Toc414265264"/>
      <w:bookmarkStart w:id="88" w:name="_Toc521944379"/>
      <w:bookmarkStart w:id="89" w:name="_Toc417282139"/>
      <w:bookmarkStart w:id="90" w:name="_Toc417214159"/>
      <w:bookmarkStart w:id="91" w:name="_Toc414265188"/>
      <w:bookmarkStart w:id="92" w:name="_Toc16665780"/>
      <w:bookmarkStart w:id="93" w:name="_Toc417220337"/>
      <w:bookmarkStart w:id="94" w:name="_Toc16189066"/>
      <w:bookmarkStart w:id="95" w:name="_Toc522873512"/>
      <w:bookmarkStart w:id="96" w:name="_Toc16189229"/>
      <w:r>
        <w:rPr>
          <w:rFonts w:hint="eastAsia" w:ascii="宋体" w:hAnsi="宋体"/>
          <w:b/>
          <w:bCs/>
          <w:color w:val="auto"/>
          <w:sz w:val="28"/>
          <w:szCs w:val="28"/>
          <w:highlight w:val="none"/>
        </w:rPr>
        <w:t>1、估价对象区位状况</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估价对象</w:t>
      </w:r>
      <w:r>
        <w:rPr>
          <w:rFonts w:hint="eastAsia" w:ascii="宋体" w:hAnsi="宋体"/>
          <w:color w:val="auto"/>
          <w:sz w:val="28"/>
          <w:szCs w:val="28"/>
          <w:highlight w:val="none"/>
          <w:lang w:eastAsia="zh-CN"/>
        </w:rPr>
        <w:t>整幢楼</w:t>
      </w:r>
      <w:r>
        <w:rPr>
          <w:rFonts w:hint="eastAsia" w:ascii="宋体" w:hAnsi="宋体"/>
          <w:color w:val="auto"/>
          <w:sz w:val="28"/>
          <w:szCs w:val="28"/>
          <w:highlight w:val="none"/>
        </w:rPr>
        <w:t>位于</w:t>
      </w:r>
      <w:r>
        <w:rPr>
          <w:rFonts w:hint="eastAsia" w:ascii="宋体" w:hAnsi="宋体"/>
          <w:color w:val="auto"/>
          <w:sz w:val="28"/>
          <w:szCs w:val="28"/>
          <w:lang w:eastAsia="zh-CN"/>
        </w:rPr>
        <w:t>丘北县锦屏镇石缸坝新城区（和谐景苑小区）</w:t>
      </w:r>
      <w:r>
        <w:rPr>
          <w:rFonts w:hint="eastAsia" w:ascii="宋体" w:hAnsi="宋体"/>
          <w:color w:val="auto"/>
          <w:sz w:val="28"/>
          <w:szCs w:val="28"/>
          <w:lang w:val="en-US" w:eastAsia="zh-CN"/>
        </w:rPr>
        <w:t>D幢3-602号</w:t>
      </w:r>
      <w:r>
        <w:rPr>
          <w:rFonts w:hint="eastAsia" w:ascii="宋体" w:hAnsi="宋体"/>
          <w:color w:val="auto"/>
          <w:sz w:val="28"/>
          <w:szCs w:val="28"/>
          <w:highlight w:val="none"/>
        </w:rPr>
        <w:t>，</w:t>
      </w:r>
      <w:r>
        <w:rPr>
          <w:rFonts w:hint="eastAsia" w:ascii="宋体" w:hAnsi="宋体"/>
          <w:color w:val="auto"/>
          <w:sz w:val="28"/>
          <w:szCs w:val="28"/>
          <w:highlight w:val="none"/>
          <w:lang w:eastAsia="zh-CN"/>
        </w:rPr>
        <w:t>绿化率较好</w:t>
      </w:r>
      <w:r>
        <w:rPr>
          <w:rFonts w:hint="eastAsia" w:ascii="宋体" w:hAnsi="宋体"/>
          <w:color w:val="auto"/>
          <w:sz w:val="28"/>
          <w:szCs w:val="28"/>
          <w:highlight w:val="none"/>
        </w:rPr>
        <w:t>，环境</w:t>
      </w:r>
      <w:r>
        <w:rPr>
          <w:rFonts w:hint="eastAsia" w:ascii="宋体" w:hAnsi="宋体"/>
          <w:color w:val="auto"/>
          <w:sz w:val="28"/>
          <w:szCs w:val="28"/>
          <w:highlight w:val="none"/>
          <w:lang w:eastAsia="zh-CN"/>
        </w:rPr>
        <w:t>较优，该小区位于新城区，交通较便捷，小区内设停车位，停车较方便，该区域内有多路</w:t>
      </w:r>
      <w:r>
        <w:rPr>
          <w:rFonts w:hint="eastAsia" w:ascii="宋体" w:hAnsi="宋体"/>
          <w:color w:val="auto"/>
          <w:spacing w:val="22"/>
          <w:sz w:val="28"/>
          <w:szCs w:val="28"/>
          <w:highlight w:val="none"/>
        </w:rPr>
        <w:t>公交车经过，</w:t>
      </w:r>
      <w:r>
        <w:rPr>
          <w:rFonts w:hint="eastAsia" w:ascii="宋体" w:hAnsi="宋体"/>
          <w:color w:val="auto"/>
          <w:sz w:val="28"/>
          <w:szCs w:val="28"/>
          <w:highlight w:val="none"/>
          <w:lang w:eastAsia="zh-CN"/>
        </w:rPr>
        <w:t>整幢楼为20</w:t>
      </w:r>
      <w:r>
        <w:rPr>
          <w:rFonts w:hint="eastAsia" w:ascii="宋体" w:hAnsi="宋体"/>
          <w:color w:val="auto"/>
          <w:sz w:val="28"/>
          <w:szCs w:val="28"/>
          <w:highlight w:val="none"/>
          <w:lang w:val="en-US" w:eastAsia="zh-CN"/>
        </w:rPr>
        <w:t>08</w:t>
      </w:r>
      <w:r>
        <w:rPr>
          <w:rFonts w:hint="eastAsia" w:ascii="宋体" w:hAnsi="宋体"/>
          <w:color w:val="auto"/>
          <w:sz w:val="28"/>
          <w:szCs w:val="28"/>
          <w:highlight w:val="none"/>
        </w:rPr>
        <w:t>年竣工完成，水、电、通信、网络等设施齐全，配套设施</w:t>
      </w:r>
      <w:r>
        <w:rPr>
          <w:rFonts w:hint="eastAsia" w:ascii="宋体" w:hAnsi="宋体"/>
          <w:color w:val="auto"/>
          <w:sz w:val="28"/>
          <w:szCs w:val="28"/>
          <w:highlight w:val="none"/>
          <w:lang w:eastAsia="zh-CN"/>
        </w:rPr>
        <w:t>较</w:t>
      </w:r>
      <w:r>
        <w:rPr>
          <w:rFonts w:hint="eastAsia" w:ascii="宋体" w:hAnsi="宋体"/>
          <w:color w:val="auto"/>
          <w:sz w:val="28"/>
          <w:szCs w:val="28"/>
          <w:highlight w:val="none"/>
        </w:rPr>
        <w:t>齐全，</w:t>
      </w:r>
      <w:r>
        <w:rPr>
          <w:rFonts w:hint="eastAsia" w:ascii="宋体" w:hAnsi="宋体"/>
          <w:color w:val="auto"/>
          <w:sz w:val="28"/>
          <w:szCs w:val="28"/>
          <w:highlight w:val="none"/>
          <w:lang w:eastAsia="zh-CN"/>
        </w:rPr>
        <w:t>地形微斜</w:t>
      </w:r>
      <w:r>
        <w:rPr>
          <w:rFonts w:hint="eastAsia" w:ascii="宋体" w:hAnsi="宋体"/>
          <w:color w:val="auto"/>
          <w:sz w:val="28"/>
          <w:szCs w:val="28"/>
          <w:highlight w:val="none"/>
        </w:rPr>
        <w:t>，距</w:t>
      </w:r>
      <w:r>
        <w:rPr>
          <w:rFonts w:hint="eastAsia" w:ascii="宋体" w:hAnsi="宋体"/>
          <w:color w:val="auto"/>
          <w:sz w:val="28"/>
          <w:szCs w:val="28"/>
          <w:highlight w:val="none"/>
          <w:lang w:eastAsia="zh-CN"/>
        </w:rPr>
        <w:t>丘北县人民政府</w:t>
      </w:r>
      <w:r>
        <w:rPr>
          <w:rFonts w:hint="eastAsia" w:ascii="宋体" w:hAnsi="宋体"/>
          <w:color w:val="auto"/>
          <w:sz w:val="28"/>
          <w:szCs w:val="28"/>
          <w:highlight w:val="none"/>
          <w:lang w:val="en-US" w:eastAsia="zh-CN"/>
        </w:rPr>
        <w:t>860米，</w:t>
      </w:r>
      <w:r>
        <w:rPr>
          <w:rFonts w:hint="eastAsia" w:ascii="宋体" w:hAnsi="宋体"/>
          <w:color w:val="auto"/>
          <w:sz w:val="28"/>
          <w:szCs w:val="28"/>
          <w:highlight w:val="none"/>
        </w:rPr>
        <w:t>距</w:t>
      </w:r>
      <w:r>
        <w:rPr>
          <w:rFonts w:hint="eastAsia" w:ascii="宋体" w:hAnsi="宋体"/>
          <w:color w:val="auto"/>
          <w:sz w:val="28"/>
          <w:szCs w:val="28"/>
          <w:highlight w:val="none"/>
          <w:lang w:eastAsia="zh-CN"/>
        </w:rPr>
        <w:t>丘北县椒莲广场</w:t>
      </w:r>
      <w:r>
        <w:rPr>
          <w:rFonts w:hint="eastAsia" w:ascii="宋体" w:hAnsi="宋体"/>
          <w:color w:val="auto"/>
          <w:sz w:val="28"/>
          <w:szCs w:val="28"/>
          <w:highlight w:val="none"/>
          <w:lang w:val="en-US" w:eastAsia="zh-CN"/>
        </w:rPr>
        <w:t>1.3公里</w:t>
      </w:r>
      <w:r>
        <w:rPr>
          <w:rFonts w:hint="eastAsia" w:ascii="宋体" w:hAnsi="宋体"/>
          <w:color w:val="auto"/>
          <w:sz w:val="28"/>
          <w:szCs w:val="28"/>
          <w:highlight w:val="none"/>
        </w:rPr>
        <w:t>，距</w:t>
      </w:r>
      <w:r>
        <w:rPr>
          <w:rFonts w:hint="eastAsia" w:ascii="宋体" w:hAnsi="宋体"/>
          <w:color w:val="auto"/>
          <w:sz w:val="28"/>
          <w:szCs w:val="28"/>
          <w:highlight w:val="none"/>
          <w:lang w:eastAsia="zh-CN"/>
        </w:rPr>
        <w:t>丘北县人民医院</w:t>
      </w:r>
      <w:r>
        <w:rPr>
          <w:rFonts w:hint="eastAsia" w:ascii="宋体" w:hAnsi="宋体"/>
          <w:color w:val="auto"/>
          <w:sz w:val="28"/>
          <w:szCs w:val="28"/>
          <w:highlight w:val="none"/>
          <w:lang w:val="en-US" w:eastAsia="zh-CN"/>
        </w:rPr>
        <w:t>1.5公里</w:t>
      </w:r>
      <w:r>
        <w:rPr>
          <w:rFonts w:hint="eastAsia" w:ascii="宋体" w:hAnsi="宋体"/>
          <w:color w:val="auto"/>
          <w:sz w:val="28"/>
          <w:szCs w:val="28"/>
          <w:highlight w:val="none"/>
        </w:rPr>
        <w:t>。周边有</w:t>
      </w:r>
      <w:r>
        <w:rPr>
          <w:rFonts w:hint="eastAsia" w:ascii="宋体" w:hAnsi="宋体"/>
          <w:color w:val="auto"/>
          <w:sz w:val="28"/>
          <w:szCs w:val="28"/>
          <w:highlight w:val="none"/>
          <w:lang w:eastAsia="zh-CN"/>
        </w:rPr>
        <w:t>锦丽家园</w:t>
      </w:r>
      <w:r>
        <w:rPr>
          <w:rFonts w:hint="eastAsia" w:ascii="宋体" w:hAnsi="宋体"/>
          <w:color w:val="auto"/>
          <w:sz w:val="28"/>
          <w:szCs w:val="28"/>
          <w:highlight w:val="none"/>
        </w:rPr>
        <w:t>、</w:t>
      </w:r>
      <w:r>
        <w:rPr>
          <w:rFonts w:hint="eastAsia" w:ascii="宋体" w:hAnsi="宋体"/>
          <w:color w:val="auto"/>
          <w:sz w:val="28"/>
          <w:szCs w:val="28"/>
          <w:highlight w:val="none"/>
          <w:lang w:eastAsia="zh-CN"/>
        </w:rPr>
        <w:t>欣星小区等住宅小区</w:t>
      </w:r>
      <w:r>
        <w:rPr>
          <w:rFonts w:hint="eastAsia" w:ascii="宋体" w:hAnsi="宋体"/>
          <w:color w:val="auto"/>
          <w:sz w:val="28"/>
          <w:szCs w:val="28"/>
          <w:highlight w:val="none"/>
        </w:rPr>
        <w:t>，居住聚集度</w:t>
      </w:r>
      <w:r>
        <w:rPr>
          <w:rFonts w:hint="eastAsia" w:ascii="宋体" w:hAnsi="宋体"/>
          <w:color w:val="auto"/>
          <w:sz w:val="28"/>
          <w:szCs w:val="28"/>
          <w:highlight w:val="none"/>
          <w:lang w:eastAsia="zh-CN"/>
        </w:rPr>
        <w:t>较</w:t>
      </w:r>
      <w:r>
        <w:rPr>
          <w:rFonts w:hint="eastAsia" w:ascii="宋体" w:hAnsi="宋体"/>
          <w:color w:val="auto"/>
          <w:sz w:val="28"/>
          <w:szCs w:val="28"/>
          <w:highlight w:val="none"/>
        </w:rPr>
        <w:t>高，有</w:t>
      </w:r>
      <w:r>
        <w:rPr>
          <w:rFonts w:hint="eastAsia" w:ascii="宋体" w:hAnsi="宋体"/>
          <w:color w:val="auto"/>
          <w:sz w:val="28"/>
          <w:szCs w:val="28"/>
          <w:highlight w:val="none"/>
          <w:lang w:eastAsia="zh-CN"/>
        </w:rPr>
        <w:t>百货超市、丘北县审计局、文山州住房公积金管理中心丘北县管理部、丘北县人力资源社会保障局等公共服务设施</w:t>
      </w:r>
      <w:r>
        <w:rPr>
          <w:rFonts w:hint="eastAsia" w:ascii="宋体" w:hAnsi="宋体"/>
          <w:color w:val="auto"/>
          <w:sz w:val="28"/>
          <w:szCs w:val="28"/>
          <w:highlight w:val="none"/>
        </w:rPr>
        <w:t>，</w:t>
      </w:r>
      <w:r>
        <w:rPr>
          <w:rFonts w:hint="eastAsia" w:ascii="宋体" w:hAnsi="宋体"/>
          <w:color w:val="auto"/>
          <w:sz w:val="28"/>
          <w:szCs w:val="28"/>
          <w:highlight w:val="none"/>
          <w:lang w:eastAsia="zh-CN"/>
        </w:rPr>
        <w:t>丘北县民生职业技术学校、文山州工商信息管理学校学前教育专业实习实训基地等教育设施</w:t>
      </w:r>
      <w:r>
        <w:rPr>
          <w:rFonts w:hint="eastAsia" w:ascii="宋体" w:hAnsi="宋体"/>
          <w:color w:val="auto"/>
          <w:sz w:val="28"/>
          <w:szCs w:val="28"/>
          <w:highlight w:val="none"/>
        </w:rPr>
        <w:t>，上学</w:t>
      </w:r>
      <w:r>
        <w:rPr>
          <w:rFonts w:hint="eastAsia" w:ascii="宋体" w:hAnsi="宋体"/>
          <w:color w:val="auto"/>
          <w:sz w:val="28"/>
          <w:szCs w:val="28"/>
          <w:highlight w:val="none"/>
          <w:lang w:eastAsia="zh-CN"/>
        </w:rPr>
        <w:t>较</w:t>
      </w:r>
      <w:r>
        <w:rPr>
          <w:rFonts w:hint="eastAsia" w:ascii="宋体" w:hAnsi="宋体"/>
          <w:color w:val="auto"/>
          <w:sz w:val="28"/>
          <w:szCs w:val="28"/>
          <w:highlight w:val="none"/>
        </w:rPr>
        <w:t>方便，生活</w:t>
      </w:r>
      <w:r>
        <w:rPr>
          <w:rFonts w:hint="eastAsia" w:ascii="宋体" w:hAnsi="宋体"/>
          <w:color w:val="auto"/>
          <w:sz w:val="28"/>
          <w:szCs w:val="28"/>
          <w:highlight w:val="none"/>
          <w:lang w:eastAsia="zh-CN"/>
        </w:rPr>
        <w:t>一般</w:t>
      </w:r>
      <w:r>
        <w:rPr>
          <w:rFonts w:hint="eastAsia" w:ascii="宋体" w:hAnsi="宋体"/>
          <w:color w:val="auto"/>
          <w:sz w:val="28"/>
          <w:szCs w:val="28"/>
          <w:highlight w:val="none"/>
        </w:rPr>
        <w:t>。</w:t>
      </w:r>
    </w:p>
    <w:p>
      <w:pPr>
        <w:adjustRightInd w:val="0"/>
        <w:snapToGrid w:val="0"/>
        <w:spacing w:line="360" w:lineRule="auto"/>
        <w:ind w:firstLine="281" w:firstLineChars="100"/>
        <w:rPr>
          <w:rFonts w:ascii="宋体" w:hAnsi="宋体"/>
          <w:b/>
          <w:bCs/>
          <w:color w:val="auto"/>
          <w:sz w:val="28"/>
          <w:szCs w:val="28"/>
          <w:highlight w:val="none"/>
        </w:rPr>
      </w:pPr>
      <w:r>
        <w:rPr>
          <w:rFonts w:hint="eastAsia" w:ascii="宋体" w:hAnsi="宋体"/>
          <w:b/>
          <w:bCs/>
          <w:color w:val="auto"/>
          <w:sz w:val="28"/>
          <w:szCs w:val="28"/>
          <w:highlight w:val="none"/>
        </w:rPr>
        <w:t>2、估价对象实物状况</w:t>
      </w:r>
    </w:p>
    <w:p>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(1)土地实物状况</w:t>
      </w:r>
    </w:p>
    <w:p>
      <w:pPr>
        <w:pStyle w:val="10"/>
        <w:spacing w:line="360" w:lineRule="auto"/>
        <w:ind w:firstLine="560"/>
        <w:contextualSpacing/>
        <w:rPr>
          <w:rFonts w:hAnsi="宋体"/>
          <w:color w:val="auto"/>
          <w:kern w:val="0"/>
          <w:sz w:val="28"/>
          <w:szCs w:val="28"/>
          <w:highlight w:val="none"/>
        </w:rPr>
      </w:pPr>
      <w:r>
        <w:rPr>
          <w:rFonts w:hint="eastAsia" w:hAnsi="宋体"/>
          <w:color w:val="auto"/>
          <w:sz w:val="28"/>
          <w:szCs w:val="28"/>
          <w:highlight w:val="none"/>
          <w:lang w:eastAsia="zh-CN"/>
        </w:rPr>
        <w:t>丘北县锦屏镇石缸坝新城区（和谐景苑小区）</w:t>
      </w:r>
      <w:r>
        <w:rPr>
          <w:rFonts w:hint="eastAsia" w:hAnsi="宋体"/>
          <w:color w:val="auto"/>
          <w:sz w:val="28"/>
          <w:szCs w:val="28"/>
          <w:highlight w:val="none"/>
          <w:lang w:val="en-US" w:eastAsia="zh-CN"/>
        </w:rPr>
        <w:t>D幢3-602号</w:t>
      </w:r>
      <w:r>
        <w:rPr>
          <w:rFonts w:hint="eastAsia" w:hAnsi="宋体"/>
          <w:color w:val="auto"/>
          <w:sz w:val="28"/>
          <w:szCs w:val="28"/>
          <w:highlight w:val="none"/>
          <w:lang w:eastAsia="zh-CN"/>
        </w:rPr>
        <w:t>国有</w:t>
      </w:r>
      <w:r>
        <w:rPr>
          <w:rFonts w:hint="eastAsia" w:hAnsi="宋体"/>
          <w:color w:val="auto"/>
          <w:sz w:val="28"/>
          <w:szCs w:val="28"/>
          <w:highlight w:val="none"/>
        </w:rPr>
        <w:t>建设用地使用权，用途：</w:t>
      </w:r>
      <w:r>
        <w:rPr>
          <w:rFonts w:hint="eastAsia" w:hAnsi="宋体"/>
          <w:color w:val="auto"/>
          <w:sz w:val="28"/>
          <w:szCs w:val="28"/>
          <w:highlight w:val="none"/>
          <w:lang w:eastAsia="zh-CN"/>
        </w:rPr>
        <w:t>住宅</w:t>
      </w:r>
      <w:r>
        <w:rPr>
          <w:rFonts w:hint="eastAsia" w:hAnsi="宋体"/>
          <w:color w:val="auto"/>
          <w:sz w:val="28"/>
          <w:szCs w:val="28"/>
          <w:highlight w:val="none"/>
        </w:rPr>
        <w:t>用地，</w:t>
      </w:r>
      <w:r>
        <w:rPr>
          <w:rFonts w:hint="eastAsia" w:hAnsi="宋体"/>
          <w:color w:val="auto"/>
          <w:sz w:val="28"/>
          <w:szCs w:val="28"/>
          <w:highlight w:val="none"/>
          <w:lang w:eastAsia="zh-CN"/>
        </w:rPr>
        <w:t>由于委托方未提供土地使用证，分摊面积不清。</w:t>
      </w:r>
      <w:r>
        <w:rPr>
          <w:rFonts w:hint="eastAsia" w:hAnsi="宋体"/>
          <w:color w:val="auto"/>
          <w:sz w:val="28"/>
          <w:szCs w:val="28"/>
          <w:highlight w:val="none"/>
        </w:rPr>
        <w:t>地势平整，开发程度为五通一平。</w:t>
      </w:r>
    </w:p>
    <w:p>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（2）建筑物实物状况</w:t>
      </w:r>
    </w:p>
    <w:p>
      <w:pPr>
        <w:adjustRightInd w:val="0"/>
        <w:snapToGrid w:val="0"/>
        <w:spacing w:line="360" w:lineRule="auto"/>
        <w:ind w:firstLine="560"/>
        <w:rPr>
          <w:rFonts w:ascii="宋体" w:hAnsi="宋体"/>
          <w:color w:val="auto"/>
          <w:sz w:val="28"/>
          <w:szCs w:val="28"/>
          <w:highlight w:val="none"/>
        </w:rPr>
      </w:pPr>
      <w:r>
        <w:rPr>
          <w:rFonts w:hint="eastAsia" w:ascii="宋体" w:hAnsi="宋体"/>
          <w:color w:val="auto"/>
          <w:sz w:val="28"/>
          <w:szCs w:val="28"/>
          <w:highlight w:val="none"/>
          <w:lang w:eastAsia="zh-CN"/>
        </w:rPr>
        <w:t>丘北县锦屏镇石缸坝新城区（和谐景苑小区）</w:t>
      </w:r>
      <w:r>
        <w:rPr>
          <w:rFonts w:hint="eastAsia" w:ascii="宋体" w:hAnsi="宋体"/>
          <w:color w:val="auto"/>
          <w:sz w:val="28"/>
          <w:szCs w:val="28"/>
          <w:highlight w:val="none"/>
          <w:lang w:val="en-US" w:eastAsia="zh-CN"/>
        </w:rPr>
        <w:t>D幢3-602号，</w:t>
      </w:r>
      <w:r>
        <w:rPr>
          <w:rFonts w:hint="eastAsia" w:ascii="宋体" w:hAnsi="宋体"/>
          <w:color w:val="auto"/>
          <w:sz w:val="28"/>
          <w:szCs w:val="28"/>
        </w:rPr>
        <w:t>建筑面积：</w:t>
      </w:r>
      <w:r>
        <w:rPr>
          <w:rFonts w:hint="eastAsia" w:ascii="宋体" w:hAnsi="宋体"/>
          <w:color w:val="auto"/>
          <w:sz w:val="28"/>
          <w:szCs w:val="28"/>
          <w:lang w:val="en-US" w:eastAsia="zh-CN"/>
        </w:rPr>
        <w:t>73.73</w:t>
      </w:r>
      <w:r>
        <w:rPr>
          <w:rFonts w:hint="eastAsia" w:ascii="宋体" w:hAnsi="宋体"/>
          <w:color w:val="auto"/>
          <w:sz w:val="28"/>
          <w:szCs w:val="28"/>
        </w:rPr>
        <w:t>㎡</w:t>
      </w:r>
      <w:r>
        <w:rPr>
          <w:rFonts w:hint="eastAsia" w:ascii="宋体" w:hAnsi="宋体"/>
          <w:color w:val="auto"/>
          <w:sz w:val="28"/>
          <w:szCs w:val="28"/>
          <w:lang w:eastAsia="zh-CN"/>
        </w:rPr>
        <w:t>，</w:t>
      </w:r>
      <w:r>
        <w:rPr>
          <w:rFonts w:hint="eastAsia" w:ascii="宋体" w:hAnsi="宋体"/>
          <w:color w:val="auto"/>
          <w:sz w:val="28"/>
          <w:szCs w:val="28"/>
          <w:highlight w:val="none"/>
        </w:rPr>
        <w:t>用途：</w:t>
      </w:r>
      <w:r>
        <w:rPr>
          <w:rFonts w:hint="eastAsia" w:ascii="宋体" w:hAnsi="宋体"/>
          <w:color w:val="auto"/>
          <w:sz w:val="28"/>
          <w:szCs w:val="28"/>
          <w:highlight w:val="none"/>
          <w:lang w:eastAsia="zh-CN"/>
        </w:rPr>
        <w:t>住宅；</w:t>
      </w:r>
      <w:r>
        <w:rPr>
          <w:rFonts w:hint="eastAsia" w:ascii="宋体" w:hAnsi="宋体"/>
          <w:color w:val="auto"/>
          <w:sz w:val="28"/>
          <w:szCs w:val="28"/>
          <w:highlight w:val="none"/>
        </w:rPr>
        <w:t>层数：</w:t>
      </w:r>
      <w:r>
        <w:rPr>
          <w:rFonts w:hint="eastAsia" w:ascii="宋体" w:hAnsi="宋体"/>
          <w:color w:val="auto"/>
          <w:sz w:val="28"/>
          <w:szCs w:val="28"/>
          <w:highlight w:val="none"/>
          <w:lang w:val="en-US" w:eastAsia="zh-CN"/>
        </w:rPr>
        <w:t>6</w:t>
      </w:r>
      <w:r>
        <w:rPr>
          <w:rFonts w:hint="eastAsia" w:ascii="宋体" w:hAnsi="宋体"/>
          <w:color w:val="auto"/>
          <w:sz w:val="28"/>
          <w:szCs w:val="28"/>
          <w:highlight w:val="none"/>
          <w:lang w:eastAsia="zh-CN"/>
        </w:rPr>
        <w:t>；</w:t>
      </w:r>
      <w:r>
        <w:rPr>
          <w:rFonts w:hint="eastAsia" w:ascii="宋体" w:hAnsi="宋体"/>
          <w:color w:val="auto"/>
          <w:sz w:val="28"/>
          <w:szCs w:val="28"/>
          <w:highlight w:val="none"/>
        </w:rPr>
        <w:t>所在层：</w:t>
      </w:r>
      <w:r>
        <w:rPr>
          <w:rFonts w:hint="eastAsia" w:ascii="宋体" w:hAnsi="宋体"/>
          <w:color w:val="auto"/>
          <w:sz w:val="28"/>
          <w:szCs w:val="28"/>
          <w:highlight w:val="none"/>
          <w:lang w:val="en-US" w:eastAsia="zh-CN"/>
        </w:rPr>
        <w:t>6</w:t>
      </w:r>
      <w:r>
        <w:rPr>
          <w:rFonts w:hint="eastAsia" w:ascii="宋体" w:hAnsi="宋体"/>
          <w:color w:val="auto"/>
          <w:sz w:val="28"/>
          <w:szCs w:val="28"/>
          <w:highlight w:val="none"/>
          <w:lang w:eastAsia="zh-CN"/>
        </w:rPr>
        <w:t>；</w:t>
      </w:r>
      <w:r>
        <w:rPr>
          <w:rFonts w:hint="eastAsia" w:ascii="宋体" w:hAnsi="宋体"/>
          <w:color w:val="auto"/>
          <w:sz w:val="28"/>
          <w:szCs w:val="28"/>
          <w:highlight w:val="none"/>
        </w:rPr>
        <w:t>朝向：</w:t>
      </w:r>
      <w:r>
        <w:rPr>
          <w:rFonts w:hint="eastAsia" w:ascii="宋体" w:hAnsi="宋体"/>
          <w:color w:val="auto"/>
          <w:sz w:val="28"/>
          <w:szCs w:val="28"/>
          <w:highlight w:val="none"/>
          <w:lang w:eastAsia="zh-CN"/>
        </w:rPr>
        <w:t>朝南；</w:t>
      </w:r>
      <w:r>
        <w:rPr>
          <w:rFonts w:hint="eastAsia" w:ascii="宋体" w:hAnsi="宋体"/>
          <w:color w:val="auto"/>
          <w:sz w:val="28"/>
          <w:szCs w:val="28"/>
          <w:highlight w:val="none"/>
        </w:rPr>
        <w:t>建筑结构：</w:t>
      </w:r>
      <w:r>
        <w:rPr>
          <w:rFonts w:hint="eastAsia" w:ascii="宋体" w:hAnsi="宋体"/>
          <w:color w:val="auto"/>
          <w:sz w:val="28"/>
          <w:szCs w:val="28"/>
          <w:highlight w:val="none"/>
          <w:lang w:eastAsia="zh-CN"/>
        </w:rPr>
        <w:t>砖混；</w:t>
      </w:r>
      <w:r>
        <w:rPr>
          <w:rFonts w:hint="eastAsia" w:ascii="宋体" w:hAnsi="宋体"/>
          <w:color w:val="auto"/>
          <w:sz w:val="28"/>
          <w:szCs w:val="28"/>
          <w:highlight w:val="none"/>
        </w:rPr>
        <w:t>设施设备：</w:t>
      </w:r>
      <w:r>
        <w:rPr>
          <w:rFonts w:hint="eastAsia" w:ascii="宋体" w:hAnsi="宋体"/>
          <w:color w:val="auto"/>
          <w:sz w:val="28"/>
          <w:szCs w:val="28"/>
          <w:highlight w:val="none"/>
          <w:lang w:eastAsia="zh-CN"/>
        </w:rPr>
        <w:t>水电、消防等设施齐全；</w:t>
      </w:r>
      <w:r>
        <w:rPr>
          <w:rFonts w:hint="eastAsia" w:ascii="宋体" w:hAnsi="宋体"/>
          <w:color w:val="auto"/>
          <w:sz w:val="28"/>
          <w:szCs w:val="28"/>
          <w:highlight w:val="none"/>
        </w:rPr>
        <w:t>装饰装修：</w:t>
      </w:r>
      <w:r>
        <w:rPr>
          <w:rFonts w:hint="eastAsia" w:ascii="宋体" w:hAnsi="宋体"/>
          <w:color w:val="auto"/>
          <w:sz w:val="28"/>
          <w:szCs w:val="28"/>
          <w:highlight w:val="none"/>
          <w:lang w:eastAsia="zh-CN"/>
        </w:rPr>
        <w:t>外墙刷涂料，由于产权人未到现场，估价师未入户，室内装修设定为一般装修，维护保养较差；</w:t>
      </w:r>
      <w:r>
        <w:rPr>
          <w:rFonts w:hint="eastAsia" w:ascii="宋体" w:hAnsi="宋体"/>
          <w:color w:val="auto"/>
          <w:sz w:val="28"/>
          <w:szCs w:val="28"/>
          <w:highlight w:val="none"/>
        </w:rPr>
        <w:t>完损状况：</w:t>
      </w:r>
      <w:r>
        <w:rPr>
          <w:rFonts w:hint="eastAsia" w:ascii="宋体" w:hAnsi="宋体"/>
          <w:color w:val="auto"/>
          <w:sz w:val="28"/>
          <w:szCs w:val="28"/>
          <w:highlight w:val="none"/>
          <w:lang w:eastAsia="zh-CN"/>
        </w:rPr>
        <w:t>基本完好</w:t>
      </w:r>
      <w:r>
        <w:rPr>
          <w:rFonts w:hint="eastAsia" w:ascii="宋体" w:hAnsi="宋体"/>
          <w:color w:val="auto"/>
          <w:sz w:val="28"/>
          <w:szCs w:val="28"/>
          <w:highlight w:val="none"/>
        </w:rPr>
        <w:t>。</w:t>
      </w:r>
    </w:p>
    <w:p>
      <w:pPr>
        <w:adjustRightInd w:val="0"/>
        <w:snapToGrid w:val="0"/>
        <w:spacing w:line="360" w:lineRule="auto"/>
        <w:ind w:firstLine="281" w:firstLineChars="100"/>
        <w:rPr>
          <w:rFonts w:ascii="宋体" w:hAnsi="宋体"/>
          <w:b/>
          <w:bCs/>
          <w:color w:val="auto"/>
          <w:sz w:val="28"/>
          <w:szCs w:val="28"/>
          <w:highlight w:val="none"/>
        </w:rPr>
      </w:pPr>
      <w:r>
        <w:rPr>
          <w:rFonts w:hint="eastAsia" w:ascii="宋体" w:hAnsi="宋体"/>
          <w:b/>
          <w:bCs/>
          <w:color w:val="auto"/>
          <w:sz w:val="28"/>
          <w:szCs w:val="28"/>
          <w:highlight w:val="none"/>
        </w:rPr>
        <w:t>3、估价对象权益状况</w:t>
      </w:r>
    </w:p>
    <w:p>
      <w:pPr>
        <w:adjustRightInd w:val="0"/>
        <w:snapToGrid w:val="0"/>
        <w:spacing w:line="360" w:lineRule="auto"/>
        <w:ind w:firstLine="562"/>
        <w:rPr>
          <w:rFonts w:hint="eastAsia" w:hAnsi="宋体"/>
          <w:color w:val="auto"/>
          <w:sz w:val="28"/>
          <w:szCs w:val="28"/>
          <w:highlight w:val="none"/>
          <w:lang w:eastAsia="zh-CN"/>
        </w:rPr>
      </w:pPr>
      <w:r>
        <w:rPr>
          <w:rFonts w:hint="eastAsia" w:hAnsi="宋体"/>
          <w:color w:val="auto"/>
          <w:sz w:val="28"/>
          <w:szCs w:val="28"/>
          <w:highlight w:val="none"/>
        </w:rPr>
        <w:t>（1）</w:t>
      </w:r>
      <w:r>
        <w:rPr>
          <w:rFonts w:hint="eastAsia" w:hAnsi="宋体"/>
          <w:color w:val="auto"/>
          <w:sz w:val="28"/>
          <w:szCs w:val="28"/>
          <w:highlight w:val="none"/>
          <w:lang w:eastAsia="zh-CN"/>
        </w:rPr>
        <w:t>土地权益状况</w:t>
      </w:r>
    </w:p>
    <w:p>
      <w:pPr>
        <w:pStyle w:val="10"/>
        <w:spacing w:line="360" w:lineRule="auto"/>
        <w:ind w:firstLine="560"/>
        <w:contextualSpacing/>
        <w:rPr>
          <w:rFonts w:hint="eastAsia" w:hAnsi="宋体"/>
          <w:color w:val="auto"/>
          <w:sz w:val="28"/>
          <w:szCs w:val="28"/>
          <w:highlight w:val="none"/>
          <w:lang w:eastAsia="zh-CN"/>
        </w:rPr>
      </w:pPr>
      <w:r>
        <w:rPr>
          <w:rFonts w:hint="eastAsia" w:hAnsi="宋体"/>
          <w:color w:val="auto"/>
          <w:sz w:val="28"/>
          <w:szCs w:val="28"/>
          <w:highlight w:val="none"/>
          <w:lang w:eastAsia="zh-CN"/>
        </w:rPr>
        <w:t>委托方未提供土地使用证</w:t>
      </w:r>
    </w:p>
    <w:p>
      <w:pPr>
        <w:pStyle w:val="10"/>
        <w:spacing w:line="360" w:lineRule="auto"/>
        <w:ind w:firstLine="560"/>
        <w:contextualSpacing/>
        <w:rPr>
          <w:rFonts w:hint="eastAsia" w:hAnsi="宋体" w:eastAsia="宋体"/>
          <w:color w:val="auto"/>
          <w:sz w:val="28"/>
          <w:szCs w:val="28"/>
          <w:highlight w:val="none"/>
          <w:lang w:eastAsia="zh-CN"/>
        </w:rPr>
      </w:pPr>
      <w:r>
        <w:rPr>
          <w:rFonts w:hint="eastAsia" w:hAnsi="宋体"/>
          <w:color w:val="auto"/>
          <w:sz w:val="28"/>
          <w:szCs w:val="28"/>
          <w:highlight w:val="none"/>
        </w:rPr>
        <w:t>（2）</w:t>
      </w:r>
      <w:r>
        <w:rPr>
          <w:rFonts w:hint="eastAsia" w:hAnsi="宋体"/>
          <w:color w:val="auto"/>
          <w:sz w:val="28"/>
          <w:szCs w:val="28"/>
          <w:highlight w:val="none"/>
          <w:lang w:eastAsia="zh-CN"/>
        </w:rPr>
        <w:t>建筑物权益状况</w:t>
      </w:r>
    </w:p>
    <w:p>
      <w:pPr>
        <w:pStyle w:val="10"/>
        <w:spacing w:line="360" w:lineRule="auto"/>
        <w:ind w:firstLine="560"/>
        <w:contextualSpacing/>
        <w:rPr>
          <w:rFonts w:hint="default" w:hAnsi="宋体"/>
          <w:color w:val="auto"/>
          <w:sz w:val="28"/>
          <w:szCs w:val="28"/>
          <w:highlight w:val="none"/>
          <w:lang w:val="en-US" w:eastAsia="zh-CN"/>
        </w:rPr>
      </w:pPr>
      <w:r>
        <w:rPr>
          <w:rFonts w:hint="eastAsia" w:hAnsi="宋体"/>
          <w:color w:val="auto"/>
          <w:sz w:val="28"/>
          <w:szCs w:val="28"/>
          <w:highlight w:val="none"/>
          <w:lang w:eastAsia="zh-CN"/>
        </w:rPr>
        <w:t>①房屋所有权证号：丘北房权证（</w:t>
      </w:r>
      <w:r>
        <w:rPr>
          <w:rFonts w:hint="eastAsia" w:hAnsi="宋体"/>
          <w:color w:val="auto"/>
          <w:sz w:val="28"/>
          <w:szCs w:val="28"/>
          <w:highlight w:val="none"/>
          <w:lang w:val="en-US" w:eastAsia="zh-CN"/>
        </w:rPr>
        <w:t>2012）字第00023130号</w:t>
      </w:r>
    </w:p>
    <w:p>
      <w:pPr>
        <w:adjustRightInd w:val="0"/>
        <w:snapToGrid w:val="0"/>
        <w:spacing w:line="360" w:lineRule="auto"/>
        <w:ind w:firstLine="562"/>
        <w:rPr>
          <w:rFonts w:hint="eastAsia" w:hAnsi="宋体"/>
          <w:color w:val="auto"/>
          <w:sz w:val="28"/>
          <w:szCs w:val="28"/>
          <w:highlight w:val="none"/>
          <w:lang w:eastAsia="zh-CN"/>
        </w:rPr>
      </w:pPr>
      <w:r>
        <w:rPr>
          <w:rFonts w:hint="eastAsia" w:hAnsi="宋体"/>
          <w:color w:val="auto"/>
          <w:sz w:val="28"/>
          <w:szCs w:val="28"/>
          <w:highlight w:val="none"/>
          <w:lang w:eastAsia="zh-CN"/>
        </w:rPr>
        <w:t>②房屋所有权人：楚绪祥、陈永兰</w:t>
      </w:r>
    </w:p>
    <w:p>
      <w:pPr>
        <w:adjustRightInd w:val="0"/>
        <w:snapToGrid w:val="0"/>
        <w:spacing w:line="360" w:lineRule="auto"/>
        <w:ind w:firstLine="562"/>
        <w:rPr>
          <w:rFonts w:hint="eastAsia" w:hAnsi="宋体"/>
          <w:color w:val="auto"/>
          <w:sz w:val="28"/>
          <w:szCs w:val="28"/>
          <w:highlight w:val="none"/>
          <w:lang w:eastAsia="zh-CN"/>
        </w:rPr>
      </w:pPr>
      <w:r>
        <w:rPr>
          <w:rFonts w:hint="eastAsia" w:hAnsi="宋体"/>
          <w:color w:val="auto"/>
          <w:sz w:val="28"/>
          <w:szCs w:val="28"/>
          <w:highlight w:val="none"/>
          <w:lang w:eastAsia="zh-CN"/>
        </w:rPr>
        <w:t>③房屋性质：私有</w:t>
      </w:r>
    </w:p>
    <w:p>
      <w:pPr>
        <w:adjustRightInd w:val="0"/>
        <w:snapToGrid w:val="0"/>
        <w:spacing w:line="360" w:lineRule="auto"/>
        <w:ind w:firstLine="562"/>
        <w:rPr>
          <w:rFonts w:hint="default" w:hAnsi="宋体"/>
          <w:color w:val="auto"/>
          <w:sz w:val="28"/>
          <w:szCs w:val="28"/>
          <w:highlight w:val="none"/>
          <w:lang w:val="en-US" w:eastAsia="zh-CN"/>
        </w:rPr>
      </w:pPr>
      <w:r>
        <w:rPr>
          <w:rFonts w:hint="eastAsia" w:hAnsi="宋体"/>
          <w:color w:val="auto"/>
          <w:sz w:val="28"/>
          <w:szCs w:val="28"/>
          <w:highlight w:val="none"/>
          <w:lang w:eastAsia="zh-CN"/>
        </w:rPr>
        <w:t>④规划用途：住宅</w:t>
      </w:r>
    </w:p>
    <w:p>
      <w:pPr>
        <w:adjustRightInd w:val="0"/>
        <w:snapToGrid w:val="0"/>
        <w:spacing w:line="360" w:lineRule="auto"/>
        <w:ind w:firstLine="562"/>
        <w:rPr>
          <w:rFonts w:hint="eastAsia" w:hAnsi="宋体"/>
          <w:color w:val="auto"/>
          <w:sz w:val="28"/>
          <w:szCs w:val="28"/>
          <w:highlight w:val="none"/>
          <w:lang w:eastAsia="zh-CN"/>
        </w:rPr>
      </w:pPr>
      <w:r>
        <w:rPr>
          <w:rFonts w:hint="eastAsia" w:hAnsi="宋体"/>
          <w:color w:val="auto"/>
          <w:sz w:val="28"/>
          <w:szCs w:val="28"/>
          <w:highlight w:val="none"/>
          <w:lang w:eastAsia="zh-CN"/>
        </w:rPr>
        <w:t>⑤结构：砖混结构</w:t>
      </w:r>
    </w:p>
    <w:p>
      <w:pPr>
        <w:adjustRightInd w:val="0"/>
        <w:snapToGrid w:val="0"/>
        <w:spacing w:line="360" w:lineRule="auto"/>
        <w:ind w:firstLine="562"/>
        <w:rPr>
          <w:rFonts w:hint="eastAsia" w:hAnsi="宋体"/>
          <w:color w:val="auto"/>
          <w:sz w:val="28"/>
          <w:szCs w:val="28"/>
          <w:highlight w:val="none"/>
          <w:lang w:val="en-US" w:eastAsia="zh-CN"/>
        </w:rPr>
      </w:pPr>
      <w:r>
        <w:rPr>
          <w:rFonts w:hint="eastAsia" w:hAnsi="宋体"/>
          <w:color w:val="auto"/>
          <w:sz w:val="28"/>
          <w:szCs w:val="28"/>
          <w:highlight w:val="none"/>
          <w:lang w:eastAsia="zh-CN"/>
        </w:rPr>
        <w:t>⑥房屋总层数：</w:t>
      </w:r>
      <w:r>
        <w:rPr>
          <w:rFonts w:hint="eastAsia" w:hAnsi="宋体"/>
          <w:color w:val="auto"/>
          <w:sz w:val="28"/>
          <w:szCs w:val="28"/>
          <w:highlight w:val="none"/>
          <w:lang w:val="en-US" w:eastAsia="zh-CN"/>
        </w:rPr>
        <w:t>6</w:t>
      </w:r>
    </w:p>
    <w:p>
      <w:pPr>
        <w:adjustRightInd w:val="0"/>
        <w:snapToGrid w:val="0"/>
        <w:spacing w:line="360" w:lineRule="auto"/>
        <w:ind w:firstLine="562"/>
        <w:rPr>
          <w:rFonts w:hint="default" w:hAnsi="宋体"/>
          <w:color w:val="auto"/>
          <w:sz w:val="28"/>
          <w:szCs w:val="28"/>
          <w:highlight w:val="none"/>
          <w:lang w:val="en-US" w:eastAsia="zh-CN"/>
        </w:rPr>
      </w:pPr>
      <w:r>
        <w:rPr>
          <w:rFonts w:hint="eastAsia" w:hAnsi="宋体"/>
          <w:color w:val="auto"/>
          <w:sz w:val="28"/>
          <w:szCs w:val="28"/>
          <w:highlight w:val="none"/>
          <w:lang w:eastAsia="zh-CN"/>
        </w:rPr>
        <w:t>⑦所在层数：</w:t>
      </w:r>
      <w:r>
        <w:rPr>
          <w:rFonts w:hint="eastAsia" w:hAnsi="宋体"/>
          <w:color w:val="auto"/>
          <w:sz w:val="28"/>
          <w:szCs w:val="28"/>
          <w:highlight w:val="none"/>
          <w:lang w:val="en-US" w:eastAsia="zh-CN"/>
        </w:rPr>
        <w:t>6</w:t>
      </w:r>
    </w:p>
    <w:p>
      <w:pPr>
        <w:adjustRightInd w:val="0"/>
        <w:snapToGrid w:val="0"/>
        <w:spacing w:line="360" w:lineRule="auto"/>
        <w:ind w:firstLine="562"/>
        <w:rPr>
          <w:rFonts w:hint="default" w:hAnsi="宋体" w:eastAsia="宋体"/>
          <w:color w:val="auto"/>
          <w:sz w:val="28"/>
          <w:szCs w:val="28"/>
          <w:highlight w:val="none"/>
          <w:vertAlign w:val="baseline"/>
          <w:lang w:val="en-US" w:eastAsia="zh-CN"/>
        </w:rPr>
      </w:pPr>
      <w:r>
        <w:rPr>
          <w:rFonts w:hint="eastAsia" w:hAnsi="宋体"/>
          <w:color w:val="auto"/>
          <w:sz w:val="28"/>
          <w:szCs w:val="28"/>
          <w:highlight w:val="none"/>
          <w:lang w:eastAsia="zh-CN"/>
        </w:rPr>
        <w:t>⑧建筑面积：</w:t>
      </w:r>
      <w:r>
        <w:rPr>
          <w:rFonts w:hint="eastAsia" w:hAnsi="宋体"/>
          <w:color w:val="auto"/>
          <w:sz w:val="28"/>
          <w:szCs w:val="28"/>
          <w:highlight w:val="none"/>
          <w:lang w:val="en-US" w:eastAsia="zh-CN"/>
        </w:rPr>
        <w:t>73.73m</w:t>
      </w:r>
      <w:r>
        <w:rPr>
          <w:rFonts w:hint="eastAsia" w:hAnsi="宋体"/>
          <w:color w:val="auto"/>
          <w:sz w:val="28"/>
          <w:szCs w:val="28"/>
          <w:highlight w:val="none"/>
          <w:vertAlign w:val="superscript"/>
          <w:lang w:val="en-US" w:eastAsia="zh-CN"/>
        </w:rPr>
        <w:t>2</w:t>
      </w:r>
      <w:r>
        <w:rPr>
          <w:rFonts w:hint="eastAsia" w:hAnsi="宋体"/>
          <w:color w:val="auto"/>
          <w:sz w:val="28"/>
          <w:szCs w:val="28"/>
          <w:highlight w:val="none"/>
          <w:vertAlign w:val="baseline"/>
          <w:lang w:val="en-US" w:eastAsia="zh-CN"/>
        </w:rPr>
        <w:t>（其中：套内建筑面积65.61m</w:t>
      </w:r>
      <w:r>
        <w:rPr>
          <w:rFonts w:hint="eastAsia" w:hAnsi="宋体"/>
          <w:color w:val="auto"/>
          <w:sz w:val="28"/>
          <w:szCs w:val="28"/>
          <w:highlight w:val="none"/>
          <w:vertAlign w:val="superscript"/>
          <w:lang w:val="en-US" w:eastAsia="zh-CN"/>
        </w:rPr>
        <w:t>2</w:t>
      </w:r>
      <w:r>
        <w:rPr>
          <w:rFonts w:hint="eastAsia" w:hAnsi="宋体"/>
          <w:color w:val="auto"/>
          <w:sz w:val="28"/>
          <w:szCs w:val="28"/>
          <w:highlight w:val="none"/>
          <w:vertAlign w:val="baseline"/>
          <w:lang w:val="en-US" w:eastAsia="zh-CN"/>
        </w:rPr>
        <w:t>，分摊面积8.12m</w:t>
      </w:r>
      <w:r>
        <w:rPr>
          <w:rFonts w:hint="eastAsia" w:hAnsi="宋体"/>
          <w:color w:val="auto"/>
          <w:sz w:val="28"/>
          <w:szCs w:val="28"/>
          <w:highlight w:val="none"/>
          <w:vertAlign w:val="superscript"/>
          <w:lang w:val="en-US" w:eastAsia="zh-CN"/>
        </w:rPr>
        <w:t>2</w:t>
      </w:r>
      <w:r>
        <w:rPr>
          <w:rFonts w:hint="eastAsia" w:hAnsi="宋体"/>
          <w:color w:val="auto"/>
          <w:sz w:val="28"/>
          <w:szCs w:val="28"/>
          <w:highlight w:val="none"/>
          <w:vertAlign w:val="baseline"/>
          <w:lang w:val="en-US" w:eastAsia="zh-CN"/>
        </w:rPr>
        <w:t>）</w:t>
      </w:r>
    </w:p>
    <w:p>
      <w:pPr>
        <w:pStyle w:val="10"/>
        <w:numPr>
          <w:ilvl w:val="0"/>
          <w:numId w:val="0"/>
        </w:numPr>
        <w:spacing w:line="360" w:lineRule="auto"/>
        <w:ind w:firstLine="560" w:firstLineChars="200"/>
        <w:contextualSpacing/>
        <w:rPr>
          <w:rFonts w:hAnsi="宋体"/>
          <w:color w:val="auto"/>
          <w:sz w:val="28"/>
          <w:szCs w:val="28"/>
          <w:highlight w:val="none"/>
        </w:rPr>
      </w:pPr>
      <w:r>
        <w:rPr>
          <w:rFonts w:hint="eastAsia" w:hAnsi="宋体"/>
          <w:color w:val="auto"/>
          <w:sz w:val="28"/>
          <w:szCs w:val="28"/>
          <w:highlight w:val="none"/>
          <w:lang w:eastAsia="zh-CN"/>
        </w:rPr>
        <w:t>（</w:t>
      </w:r>
      <w:r>
        <w:rPr>
          <w:rFonts w:hint="eastAsia" w:hAnsi="宋体"/>
          <w:color w:val="auto"/>
          <w:sz w:val="28"/>
          <w:szCs w:val="28"/>
          <w:highlight w:val="none"/>
          <w:lang w:val="en-US" w:eastAsia="zh-CN"/>
        </w:rPr>
        <w:t>3）</w:t>
      </w:r>
      <w:r>
        <w:rPr>
          <w:rFonts w:hint="eastAsia" w:hAnsi="宋体"/>
          <w:color w:val="auto"/>
          <w:sz w:val="28"/>
          <w:szCs w:val="28"/>
          <w:highlight w:val="none"/>
          <w:lang w:eastAsia="zh-CN"/>
        </w:rPr>
        <w:t>其他权利状况：无</w:t>
      </w:r>
      <w:r>
        <w:rPr>
          <w:rFonts w:hint="eastAsia" w:hAnsi="宋体"/>
          <w:color w:val="auto"/>
          <w:sz w:val="28"/>
          <w:szCs w:val="28"/>
          <w:highlight w:val="none"/>
        </w:rPr>
        <w:t xml:space="preserve"> </w:t>
      </w:r>
    </w:p>
    <w:p>
      <w:pPr>
        <w:pStyle w:val="10"/>
        <w:numPr>
          <w:ilvl w:val="0"/>
          <w:numId w:val="0"/>
        </w:numPr>
        <w:spacing w:line="360" w:lineRule="auto"/>
        <w:ind w:firstLine="560" w:firstLineChars="200"/>
        <w:contextualSpacing/>
        <w:rPr>
          <w:rFonts w:hAnsi="宋体"/>
          <w:color w:val="auto"/>
          <w:sz w:val="28"/>
          <w:szCs w:val="28"/>
          <w:highlight w:val="none"/>
        </w:rPr>
      </w:pPr>
      <w:r>
        <w:rPr>
          <w:rFonts w:hint="eastAsia" w:hAnsi="宋体"/>
          <w:color w:val="auto"/>
          <w:sz w:val="28"/>
          <w:szCs w:val="28"/>
          <w:highlight w:val="none"/>
          <w:lang w:eastAsia="zh-CN"/>
        </w:rPr>
        <w:t>（</w:t>
      </w:r>
      <w:r>
        <w:rPr>
          <w:rFonts w:hint="eastAsia" w:hAnsi="宋体"/>
          <w:color w:val="auto"/>
          <w:sz w:val="28"/>
          <w:szCs w:val="28"/>
          <w:highlight w:val="none"/>
          <w:lang w:val="en-US" w:eastAsia="zh-CN"/>
        </w:rPr>
        <w:t>4）</w:t>
      </w:r>
      <w:r>
        <w:rPr>
          <w:rFonts w:hint="eastAsia" w:hAnsi="宋体"/>
          <w:color w:val="auto"/>
          <w:sz w:val="28"/>
          <w:szCs w:val="28"/>
          <w:highlight w:val="none"/>
        </w:rPr>
        <w:t>使用状况：</w:t>
      </w:r>
      <w:r>
        <w:rPr>
          <w:rFonts w:hint="eastAsia" w:hAnsi="宋体"/>
          <w:color w:val="auto"/>
          <w:sz w:val="28"/>
          <w:szCs w:val="28"/>
          <w:highlight w:val="none"/>
          <w:lang w:eastAsia="zh-CN"/>
        </w:rPr>
        <w:t>自用</w:t>
      </w:r>
      <w:r>
        <w:rPr>
          <w:rFonts w:hint="eastAsia" w:hAnsi="宋体"/>
          <w:color w:val="auto"/>
          <w:sz w:val="28"/>
          <w:szCs w:val="28"/>
          <w:highlight w:val="none"/>
        </w:rPr>
        <w:t>；</w:t>
      </w:r>
    </w:p>
    <w:p>
      <w:pPr>
        <w:pStyle w:val="10"/>
        <w:numPr>
          <w:ilvl w:val="0"/>
          <w:numId w:val="0"/>
        </w:numPr>
        <w:spacing w:line="360" w:lineRule="auto"/>
        <w:ind w:firstLine="560" w:firstLineChars="200"/>
        <w:contextualSpacing/>
        <w:rPr>
          <w:rFonts w:hAnsi="宋体"/>
          <w:color w:val="auto"/>
          <w:sz w:val="28"/>
          <w:szCs w:val="28"/>
          <w:highlight w:val="none"/>
        </w:rPr>
      </w:pPr>
      <w:r>
        <w:rPr>
          <w:rFonts w:hint="eastAsia" w:hAnsi="宋体"/>
          <w:color w:val="auto"/>
          <w:sz w:val="28"/>
          <w:szCs w:val="28"/>
          <w:highlight w:val="none"/>
          <w:lang w:eastAsia="zh-CN"/>
        </w:rPr>
        <w:t>（</w:t>
      </w:r>
      <w:r>
        <w:rPr>
          <w:rFonts w:hint="eastAsia" w:hAnsi="宋体"/>
          <w:color w:val="auto"/>
          <w:sz w:val="28"/>
          <w:szCs w:val="28"/>
          <w:highlight w:val="none"/>
          <w:lang w:val="en-US" w:eastAsia="zh-CN"/>
        </w:rPr>
        <w:t>5）</w:t>
      </w:r>
      <w:r>
        <w:rPr>
          <w:rFonts w:hint="eastAsia" w:hAnsi="宋体"/>
          <w:color w:val="auto"/>
          <w:sz w:val="28"/>
          <w:szCs w:val="28"/>
          <w:highlight w:val="none"/>
        </w:rPr>
        <w:t>物业服务水平：有24小时</w:t>
      </w:r>
      <w:r>
        <w:rPr>
          <w:rFonts w:hint="eastAsia" w:hAnsi="宋体"/>
          <w:color w:val="auto"/>
          <w:sz w:val="28"/>
          <w:szCs w:val="28"/>
          <w:highlight w:val="none"/>
          <w:lang w:eastAsia="zh-CN"/>
        </w:rPr>
        <w:t>一般</w:t>
      </w:r>
      <w:r>
        <w:rPr>
          <w:rFonts w:hint="eastAsia" w:hAnsi="宋体"/>
          <w:color w:val="auto"/>
          <w:sz w:val="28"/>
          <w:szCs w:val="28"/>
          <w:highlight w:val="none"/>
        </w:rPr>
        <w:t>物业管理。</w:t>
      </w:r>
    </w:p>
    <w:p>
      <w:pPr>
        <w:pStyle w:val="3"/>
        <w:rPr>
          <w:rFonts w:ascii="宋体" w:hAnsi="宋体" w:eastAsia="宋体"/>
          <w:color w:val="auto"/>
          <w:kern w:val="0"/>
          <w:sz w:val="28"/>
          <w:szCs w:val="28"/>
          <w:highlight w:val="none"/>
        </w:rPr>
      </w:pPr>
      <w:bookmarkStart w:id="97" w:name="_Toc16665762"/>
      <w:bookmarkStart w:id="98" w:name="_Toc16189211"/>
      <w:bookmarkStart w:id="99" w:name="_Toc16189048"/>
      <w:bookmarkStart w:id="100" w:name="_Toc16633"/>
      <w:bookmarkStart w:id="101" w:name="_Toc414265160"/>
      <w:bookmarkStart w:id="102" w:name="_Toc417214139"/>
      <w:bookmarkStart w:id="103" w:name="_Toc417220317"/>
      <w:bookmarkStart w:id="104" w:name="_Toc522873494"/>
      <w:bookmarkStart w:id="105" w:name="_Toc417282119"/>
      <w:bookmarkStart w:id="106" w:name="_Toc521944359"/>
      <w:bookmarkStart w:id="107" w:name="_Toc414265241"/>
      <w:r>
        <w:rPr>
          <w:rFonts w:hint="eastAsia" w:ascii="宋体" w:hAnsi="宋体" w:eastAsia="宋体"/>
          <w:color w:val="auto"/>
          <w:kern w:val="0"/>
          <w:sz w:val="28"/>
          <w:szCs w:val="28"/>
          <w:highlight w:val="none"/>
        </w:rPr>
        <w:t>五、价值时点</w:t>
      </w:r>
      <w:bookmarkEnd w:id="97"/>
      <w:bookmarkEnd w:id="98"/>
      <w:bookmarkEnd w:id="99"/>
      <w:bookmarkEnd w:id="100"/>
      <w:bookmarkEnd w:id="101"/>
      <w:bookmarkEnd w:id="102"/>
      <w:bookmarkEnd w:id="103"/>
      <w:bookmarkEnd w:id="104"/>
      <w:bookmarkEnd w:id="105"/>
      <w:bookmarkEnd w:id="106"/>
      <w:bookmarkEnd w:id="107"/>
    </w:p>
    <w:p>
      <w:pPr>
        <w:adjustRightInd w:val="0"/>
        <w:snapToGrid w:val="0"/>
        <w:spacing w:line="360" w:lineRule="auto"/>
        <w:ind w:firstLine="555"/>
        <w:rPr>
          <w:rFonts w:ascii="宋体" w:hAnsi="宋体"/>
          <w:color w:val="auto"/>
          <w:kern w:val="0"/>
          <w:sz w:val="28"/>
          <w:szCs w:val="28"/>
          <w:highlight w:val="none"/>
        </w:rPr>
      </w:pPr>
      <w:r>
        <w:rPr>
          <w:rFonts w:hint="eastAsia" w:ascii="宋体" w:hAnsi="宋体"/>
          <w:color w:val="auto"/>
          <w:kern w:val="0"/>
          <w:sz w:val="28"/>
          <w:szCs w:val="28"/>
          <w:highlight w:val="none"/>
          <w:lang w:eastAsia="zh-CN"/>
        </w:rPr>
        <w:t>2020年01月06日</w:t>
      </w:r>
      <w:r>
        <w:rPr>
          <w:rFonts w:hint="eastAsia" w:ascii="宋体" w:hAnsi="宋体"/>
          <w:color w:val="auto"/>
          <w:kern w:val="0"/>
          <w:sz w:val="28"/>
          <w:szCs w:val="28"/>
          <w:highlight w:val="none"/>
        </w:rPr>
        <w:t>（现场勘察日）。</w:t>
      </w:r>
    </w:p>
    <w:p>
      <w:pPr>
        <w:pStyle w:val="3"/>
        <w:rPr>
          <w:rFonts w:ascii="宋体" w:hAnsi="宋体" w:eastAsia="宋体"/>
          <w:color w:val="auto"/>
          <w:kern w:val="0"/>
          <w:sz w:val="28"/>
          <w:szCs w:val="28"/>
          <w:highlight w:val="none"/>
        </w:rPr>
      </w:pPr>
      <w:bookmarkStart w:id="108" w:name="_Toc522873495"/>
      <w:bookmarkStart w:id="109" w:name="_Toc16189212"/>
      <w:bookmarkStart w:id="110" w:name="_Toc21795"/>
      <w:bookmarkStart w:id="111" w:name="_Toc417282120"/>
      <w:bookmarkStart w:id="112" w:name="_Toc414265161"/>
      <w:bookmarkStart w:id="113" w:name="_Toc417214140"/>
      <w:bookmarkStart w:id="114" w:name="_Toc16665763"/>
      <w:bookmarkStart w:id="115" w:name="_Toc414265242"/>
      <w:bookmarkStart w:id="116" w:name="_Toc521944360"/>
      <w:bookmarkStart w:id="117" w:name="_Toc417220318"/>
      <w:bookmarkStart w:id="118" w:name="_Toc16189049"/>
      <w:r>
        <w:rPr>
          <w:rFonts w:hint="eastAsia" w:ascii="宋体" w:hAnsi="宋体" w:eastAsia="宋体"/>
          <w:color w:val="auto"/>
          <w:kern w:val="0"/>
          <w:sz w:val="28"/>
          <w:szCs w:val="28"/>
          <w:highlight w:val="none"/>
        </w:rPr>
        <w:t>六、价值类型</w:t>
      </w:r>
      <w:bookmarkEnd w:id="108"/>
      <w:bookmarkEnd w:id="109"/>
      <w:bookmarkEnd w:id="110"/>
      <w:bookmarkEnd w:id="111"/>
      <w:bookmarkEnd w:id="112"/>
      <w:bookmarkEnd w:id="113"/>
      <w:bookmarkEnd w:id="114"/>
      <w:bookmarkEnd w:id="115"/>
      <w:bookmarkEnd w:id="116"/>
      <w:bookmarkEnd w:id="117"/>
      <w:bookmarkEnd w:id="118"/>
    </w:p>
    <w:p>
      <w:pPr>
        <w:adjustRightInd w:val="0"/>
        <w:snapToGrid w:val="0"/>
        <w:spacing w:line="360" w:lineRule="auto"/>
        <w:ind w:firstLine="548" w:firstLineChars="196"/>
        <w:rPr>
          <w:rFonts w:ascii="宋体" w:hAnsi="宋体"/>
          <w:color w:val="auto"/>
          <w:kern w:val="0"/>
          <w:sz w:val="28"/>
          <w:szCs w:val="28"/>
          <w:highlight w:val="none"/>
        </w:rPr>
      </w:pPr>
      <w:r>
        <w:rPr>
          <w:rFonts w:hint="eastAsia" w:ascii="宋体" w:hAnsi="宋体"/>
          <w:color w:val="auto"/>
          <w:kern w:val="0"/>
          <w:sz w:val="28"/>
          <w:szCs w:val="28"/>
          <w:highlight w:val="none"/>
        </w:rPr>
        <w:t>估价中采用公开市场价值标准，即评估出的客观合理价格应是在公开市场上最可能形成或成立的价格。</w:t>
      </w:r>
    </w:p>
    <w:p>
      <w:pPr>
        <w:pStyle w:val="3"/>
        <w:rPr>
          <w:rFonts w:ascii="宋体" w:hAnsi="宋体" w:eastAsia="宋体"/>
          <w:color w:val="auto"/>
          <w:kern w:val="0"/>
          <w:sz w:val="28"/>
          <w:szCs w:val="28"/>
          <w:highlight w:val="none"/>
        </w:rPr>
      </w:pPr>
      <w:bookmarkStart w:id="119" w:name="_Toc414265162"/>
      <w:bookmarkStart w:id="120" w:name="_Toc417282121"/>
      <w:bookmarkStart w:id="121" w:name="_Toc414265243"/>
      <w:bookmarkStart w:id="122" w:name="_Toc16189213"/>
      <w:bookmarkStart w:id="123" w:name="_Toc417214141"/>
      <w:bookmarkStart w:id="124" w:name="_Toc16189050"/>
      <w:bookmarkStart w:id="125" w:name="_Toc522873496"/>
      <w:bookmarkStart w:id="126" w:name="_Toc16665764"/>
      <w:bookmarkStart w:id="127" w:name="_Toc521944361"/>
      <w:bookmarkStart w:id="128" w:name="_Toc417220319"/>
      <w:bookmarkStart w:id="129" w:name="_Toc21266"/>
      <w:r>
        <w:rPr>
          <w:rFonts w:hint="eastAsia" w:ascii="宋体" w:hAnsi="宋体" w:eastAsia="宋体"/>
          <w:color w:val="auto"/>
          <w:kern w:val="0"/>
          <w:sz w:val="28"/>
          <w:szCs w:val="28"/>
          <w:highlight w:val="none"/>
        </w:rPr>
        <w:t>七、估价原则</w:t>
      </w:r>
      <w:bookmarkEnd w:id="119"/>
      <w:bookmarkEnd w:id="120"/>
      <w:bookmarkEnd w:id="121"/>
      <w:bookmarkEnd w:id="122"/>
      <w:bookmarkEnd w:id="123"/>
      <w:bookmarkEnd w:id="124"/>
      <w:bookmarkEnd w:id="125"/>
      <w:bookmarkEnd w:id="126"/>
      <w:bookmarkEnd w:id="127"/>
      <w:bookmarkEnd w:id="128"/>
      <w:bookmarkEnd w:id="129"/>
    </w:p>
    <w:p>
      <w:pPr>
        <w:pStyle w:val="10"/>
        <w:spacing w:line="360" w:lineRule="auto"/>
        <w:ind w:firstLine="560"/>
        <w:rPr>
          <w:rFonts w:hAnsi="宋体"/>
          <w:color w:val="auto"/>
          <w:kern w:val="0"/>
          <w:sz w:val="28"/>
          <w:szCs w:val="28"/>
          <w:highlight w:val="none"/>
        </w:rPr>
      </w:pPr>
      <w:r>
        <w:rPr>
          <w:rFonts w:hint="eastAsia" w:hAnsi="宋体"/>
          <w:color w:val="auto"/>
          <w:kern w:val="0"/>
          <w:sz w:val="28"/>
          <w:szCs w:val="28"/>
          <w:highlight w:val="none"/>
        </w:rPr>
        <w:t>本次估价遵循独立、客观、公正原则、合法原则、价值时点原则、替代原则、最高最佳使用原则等房地产估价原则。</w:t>
      </w:r>
    </w:p>
    <w:p>
      <w:pPr>
        <w:pStyle w:val="8"/>
        <w:spacing w:line="360" w:lineRule="auto"/>
        <w:ind w:firstLine="501"/>
        <w:rPr>
          <w:rFonts w:ascii="宋体" w:hAnsi="宋体" w:eastAsia="宋体"/>
          <w:color w:val="auto"/>
          <w:kern w:val="0"/>
          <w:sz w:val="28"/>
          <w:szCs w:val="28"/>
          <w:highlight w:val="none"/>
        </w:rPr>
      </w:pPr>
      <w:r>
        <w:rPr>
          <w:rFonts w:hint="eastAsia" w:hAnsi="宋体"/>
          <w:color w:val="auto"/>
          <w:kern w:val="0"/>
          <w:sz w:val="28"/>
          <w:szCs w:val="28"/>
          <w:highlight w:val="none"/>
        </w:rPr>
        <w:t>1、</w:t>
      </w:r>
      <w:r>
        <w:rPr>
          <w:rFonts w:hint="eastAsia" w:ascii="宋体" w:hAnsi="宋体" w:eastAsia="宋体"/>
          <w:color w:val="auto"/>
          <w:kern w:val="0"/>
          <w:sz w:val="28"/>
          <w:szCs w:val="28"/>
          <w:highlight w:val="none"/>
        </w:rPr>
        <w:t>独立、客观、公正原则</w:t>
      </w:r>
    </w:p>
    <w:p>
      <w:pPr>
        <w:pStyle w:val="10"/>
        <w:spacing w:line="360" w:lineRule="auto"/>
        <w:ind w:firstLine="560"/>
        <w:rPr>
          <w:rFonts w:hAnsi="宋体"/>
          <w:color w:val="auto"/>
          <w:kern w:val="0"/>
          <w:sz w:val="28"/>
          <w:szCs w:val="28"/>
          <w:highlight w:val="none"/>
        </w:rPr>
      </w:pPr>
      <w:r>
        <w:rPr>
          <w:rFonts w:hint="eastAsia" w:hAnsi="宋体"/>
          <w:color w:val="auto"/>
          <w:kern w:val="0"/>
          <w:sz w:val="28"/>
          <w:szCs w:val="28"/>
          <w:highlight w:val="none"/>
        </w:rPr>
        <w:t>独立、客观、公正原则要求房地产估价师站在中立的立场上，评估出对双方当事人来说均是公平合理的价格。</w:t>
      </w:r>
    </w:p>
    <w:p>
      <w:pPr>
        <w:pStyle w:val="10"/>
        <w:spacing w:line="360" w:lineRule="auto"/>
        <w:ind w:firstLine="560"/>
        <w:rPr>
          <w:rFonts w:hAnsi="宋体"/>
          <w:color w:val="auto"/>
          <w:kern w:val="0"/>
          <w:sz w:val="28"/>
          <w:szCs w:val="28"/>
          <w:highlight w:val="none"/>
        </w:rPr>
      </w:pPr>
      <w:r>
        <w:rPr>
          <w:rFonts w:hint="eastAsia" w:hAnsi="宋体"/>
          <w:color w:val="auto"/>
          <w:kern w:val="0"/>
          <w:sz w:val="28"/>
          <w:szCs w:val="28"/>
          <w:highlight w:val="none"/>
        </w:rPr>
        <w:t>2、合法原则</w:t>
      </w:r>
    </w:p>
    <w:p>
      <w:pPr>
        <w:pStyle w:val="10"/>
        <w:spacing w:line="360" w:lineRule="auto"/>
        <w:ind w:firstLine="560"/>
        <w:rPr>
          <w:rFonts w:hAnsi="宋体"/>
          <w:color w:val="auto"/>
          <w:kern w:val="0"/>
          <w:sz w:val="28"/>
          <w:szCs w:val="28"/>
          <w:highlight w:val="none"/>
        </w:rPr>
      </w:pPr>
      <w:r>
        <w:rPr>
          <w:rFonts w:hint="eastAsia" w:hAnsi="宋体"/>
          <w:color w:val="auto"/>
          <w:kern w:val="0"/>
          <w:sz w:val="28"/>
          <w:szCs w:val="28"/>
          <w:highlight w:val="none"/>
        </w:rPr>
        <w:t>合法原则要求房地产估价应以估价对象的合法权益为前提进行。合法权益包括合法产权、合法使用、合法处分等方面，应以房地产权属证书和有关证件为依据；在合法使用方面，应以城市规划、土地利用管制等为依据；在合法处分方面，应以法律、法规或合同（如土地使用人出让合同）等允许的处分方式为依据；在其他方面，如评估出的价格必须符合国家的价格政策。</w:t>
      </w:r>
    </w:p>
    <w:p>
      <w:pPr>
        <w:pStyle w:val="8"/>
        <w:spacing w:line="360" w:lineRule="auto"/>
        <w:ind w:firstLine="501"/>
        <w:rPr>
          <w:rFonts w:ascii="宋体" w:hAnsi="宋体" w:eastAsia="宋体"/>
          <w:color w:val="auto"/>
          <w:kern w:val="0"/>
          <w:sz w:val="28"/>
          <w:szCs w:val="28"/>
          <w:highlight w:val="none"/>
        </w:rPr>
      </w:pPr>
      <w:r>
        <w:rPr>
          <w:rFonts w:hint="eastAsia" w:ascii="宋体" w:hAnsi="宋体" w:eastAsia="宋体"/>
          <w:color w:val="auto"/>
          <w:kern w:val="0"/>
          <w:sz w:val="28"/>
          <w:szCs w:val="28"/>
          <w:highlight w:val="none"/>
        </w:rPr>
        <w:t>3、价值时点原则</w:t>
      </w:r>
    </w:p>
    <w:p>
      <w:pPr>
        <w:pStyle w:val="8"/>
        <w:spacing w:line="360" w:lineRule="auto"/>
        <w:ind w:firstLine="501"/>
        <w:rPr>
          <w:rFonts w:hAnsi="宋体"/>
          <w:color w:val="auto"/>
          <w:kern w:val="0"/>
          <w:sz w:val="28"/>
          <w:szCs w:val="28"/>
          <w:highlight w:val="none"/>
        </w:rPr>
      </w:pPr>
      <w:r>
        <w:rPr>
          <w:rFonts w:hint="eastAsia" w:ascii="宋体" w:hAnsi="宋体" w:eastAsia="宋体"/>
          <w:color w:val="auto"/>
          <w:kern w:val="0"/>
          <w:sz w:val="28"/>
          <w:szCs w:val="28"/>
          <w:highlight w:val="none"/>
        </w:rPr>
        <w:t>房地产市场是不断变化的，房地产价格具有很强的时间性，它是某一时点上的价格。在不同时点，同一宗房地产往往会有不同的价格。价值时点原则是指求取某一时点上的价格，所以在评估一宗房地产价格时，必须假定市场停止在价值时点上，同时估价对象房地产的状况通常也是以其在该时点时的状况为准。</w:t>
      </w:r>
    </w:p>
    <w:p>
      <w:pPr>
        <w:pStyle w:val="8"/>
        <w:spacing w:line="360" w:lineRule="auto"/>
        <w:ind w:firstLine="501"/>
        <w:rPr>
          <w:rFonts w:ascii="宋体" w:hAnsi="宋体" w:eastAsia="宋体"/>
          <w:color w:val="auto"/>
          <w:kern w:val="0"/>
          <w:sz w:val="28"/>
          <w:szCs w:val="28"/>
          <w:highlight w:val="none"/>
        </w:rPr>
      </w:pPr>
      <w:r>
        <w:rPr>
          <w:rFonts w:hint="eastAsia" w:ascii="宋体" w:hAnsi="宋体" w:eastAsia="宋体"/>
          <w:color w:val="auto"/>
          <w:kern w:val="0"/>
          <w:sz w:val="28"/>
          <w:szCs w:val="28"/>
          <w:highlight w:val="none"/>
        </w:rPr>
        <w:t>4、替代原则</w:t>
      </w:r>
    </w:p>
    <w:p>
      <w:pPr>
        <w:pStyle w:val="8"/>
        <w:spacing w:line="360" w:lineRule="auto"/>
        <w:ind w:firstLine="501"/>
        <w:rPr>
          <w:rFonts w:ascii="宋体" w:hAnsi="宋体" w:eastAsia="宋体"/>
          <w:color w:val="auto"/>
          <w:kern w:val="0"/>
          <w:sz w:val="28"/>
          <w:szCs w:val="28"/>
          <w:highlight w:val="none"/>
        </w:rPr>
      </w:pPr>
      <w:r>
        <w:rPr>
          <w:rFonts w:hint="eastAsia" w:ascii="宋体" w:hAnsi="宋体" w:eastAsia="宋体"/>
          <w:color w:val="auto"/>
          <w:kern w:val="0"/>
          <w:sz w:val="28"/>
          <w:szCs w:val="28"/>
          <w:highlight w:val="none"/>
        </w:rPr>
        <w:t>根据市场运行规律，在同一商品市场中，商品或提供服务的效用相同或大致相似时，价格低者吸引需求，即有两个以上互有替代性的商品或服务同时存在时，商品或服务的价格中经过相互影响与比较之后来决定的。</w:t>
      </w:r>
    </w:p>
    <w:p>
      <w:pPr>
        <w:adjustRightInd w:val="0"/>
        <w:snapToGrid w:val="0"/>
        <w:spacing w:line="360" w:lineRule="auto"/>
        <w:ind w:firstLine="548" w:firstLineChars="196"/>
        <w:rPr>
          <w:rFonts w:ascii="宋体" w:hAnsi="宋体"/>
          <w:color w:val="auto"/>
          <w:kern w:val="0"/>
          <w:sz w:val="28"/>
          <w:szCs w:val="28"/>
          <w:highlight w:val="none"/>
        </w:rPr>
      </w:pPr>
      <w:r>
        <w:rPr>
          <w:rFonts w:hint="eastAsia" w:ascii="宋体" w:hAnsi="宋体"/>
          <w:color w:val="auto"/>
          <w:kern w:val="0"/>
          <w:sz w:val="28"/>
          <w:szCs w:val="28"/>
          <w:highlight w:val="none"/>
        </w:rPr>
        <w:t>房地产价格也同样遵循替代规律，受其它具有相同使用价值的房地产，即同类型具有替代可能的房地产价格所牵制。换而言之，具有相同使用价值。替代可能的房地产之间，会相互影响和竞争，使价格相互牵制而趋于一致。</w:t>
      </w:r>
    </w:p>
    <w:p>
      <w:pPr>
        <w:pStyle w:val="10"/>
        <w:spacing w:line="360" w:lineRule="auto"/>
        <w:ind w:firstLine="560"/>
        <w:rPr>
          <w:rFonts w:hAnsi="宋体"/>
          <w:color w:val="auto"/>
          <w:kern w:val="0"/>
          <w:sz w:val="28"/>
          <w:szCs w:val="28"/>
          <w:highlight w:val="none"/>
        </w:rPr>
      </w:pPr>
      <w:r>
        <w:rPr>
          <w:rFonts w:hint="eastAsia" w:hAnsi="宋体"/>
          <w:color w:val="auto"/>
          <w:kern w:val="0"/>
          <w:sz w:val="28"/>
          <w:szCs w:val="28"/>
          <w:highlight w:val="none"/>
        </w:rPr>
        <w:t>5、最高最佳使用原则</w:t>
      </w:r>
    </w:p>
    <w:p>
      <w:pPr>
        <w:pStyle w:val="10"/>
        <w:spacing w:line="360" w:lineRule="auto"/>
        <w:ind w:firstLine="560"/>
        <w:rPr>
          <w:rFonts w:hAnsi="宋体"/>
          <w:color w:val="auto"/>
          <w:kern w:val="0"/>
          <w:sz w:val="28"/>
          <w:szCs w:val="28"/>
          <w:highlight w:val="none"/>
        </w:rPr>
      </w:pPr>
      <w:r>
        <w:rPr>
          <w:rFonts w:hint="eastAsia" w:hAnsi="宋体"/>
          <w:color w:val="auto"/>
          <w:kern w:val="0"/>
          <w:sz w:val="28"/>
          <w:szCs w:val="28"/>
          <w:highlight w:val="none"/>
        </w:rPr>
        <w:t>所谓的最高最佳使用时估价对象一种最可能的使用，这种最可能的使用时法律上的允许、技术上的可能、经济上的可行，经过充分合理的论证，并能给予估价对象带来最高价值的使用。它是一种具体表现，是以能使估价对象获利最多的用途和开发强度来衡量。这是因为在房地产市场中，每位房地产拥有者在主观上都试图充分发挥房地产的潜力，采用最高最佳利用方式，取得最大的收益。</w:t>
      </w:r>
    </w:p>
    <w:p>
      <w:pPr>
        <w:pStyle w:val="3"/>
        <w:spacing w:line="360" w:lineRule="auto"/>
        <w:rPr>
          <w:rFonts w:ascii="宋体" w:hAnsi="宋体" w:eastAsia="宋体"/>
          <w:color w:val="auto"/>
          <w:kern w:val="0"/>
          <w:sz w:val="28"/>
          <w:szCs w:val="28"/>
          <w:highlight w:val="none"/>
        </w:rPr>
      </w:pPr>
      <w:bookmarkStart w:id="130" w:name="_Toc417214142"/>
      <w:bookmarkStart w:id="131" w:name="_Toc521944362"/>
      <w:bookmarkStart w:id="132" w:name="_Toc16665765"/>
      <w:bookmarkStart w:id="133" w:name="_Toc414265163"/>
      <w:bookmarkStart w:id="134" w:name="_Toc414265244"/>
      <w:bookmarkStart w:id="135" w:name="_Toc16189051"/>
      <w:bookmarkStart w:id="136" w:name="_Toc16189214"/>
      <w:bookmarkStart w:id="137" w:name="_Toc9651"/>
      <w:bookmarkStart w:id="138" w:name="_Toc522873497"/>
      <w:bookmarkStart w:id="139" w:name="_Toc417220320"/>
      <w:bookmarkStart w:id="140" w:name="_Toc417282122"/>
      <w:r>
        <w:rPr>
          <w:rFonts w:hint="eastAsia" w:ascii="宋体" w:hAnsi="宋体" w:eastAsia="宋体"/>
          <w:color w:val="auto"/>
          <w:kern w:val="0"/>
          <w:sz w:val="28"/>
          <w:szCs w:val="28"/>
          <w:highlight w:val="none"/>
        </w:rPr>
        <w:t>八、估价依据</w:t>
      </w:r>
      <w:bookmarkEnd w:id="130"/>
      <w:bookmarkEnd w:id="131"/>
      <w:bookmarkEnd w:id="132"/>
      <w:bookmarkEnd w:id="133"/>
      <w:bookmarkEnd w:id="134"/>
      <w:bookmarkEnd w:id="135"/>
      <w:bookmarkEnd w:id="136"/>
      <w:bookmarkEnd w:id="137"/>
      <w:bookmarkEnd w:id="138"/>
      <w:bookmarkEnd w:id="139"/>
      <w:bookmarkEnd w:id="140"/>
    </w:p>
    <w:p>
      <w:pPr>
        <w:adjustRightInd w:val="0"/>
        <w:snapToGrid w:val="0"/>
        <w:spacing w:line="360" w:lineRule="auto"/>
        <w:ind w:firstLine="560"/>
        <w:rPr>
          <w:rFonts w:ascii="宋体" w:hAnsi="宋体"/>
          <w:color w:val="auto"/>
          <w:kern w:val="0"/>
          <w:sz w:val="28"/>
          <w:szCs w:val="28"/>
          <w:highlight w:val="none"/>
        </w:rPr>
      </w:pPr>
      <w:r>
        <w:rPr>
          <w:rFonts w:hint="eastAsia" w:ascii="宋体" w:hAnsi="宋体"/>
          <w:color w:val="auto"/>
          <w:kern w:val="0"/>
          <w:sz w:val="28"/>
          <w:szCs w:val="28"/>
          <w:highlight w:val="none"/>
        </w:rPr>
        <w:t>1、《中华人民共和国城市房地产管理法》；</w:t>
      </w:r>
    </w:p>
    <w:p>
      <w:pPr>
        <w:adjustRightInd w:val="0"/>
        <w:snapToGrid w:val="0"/>
        <w:spacing w:line="360" w:lineRule="auto"/>
        <w:ind w:firstLine="560"/>
        <w:rPr>
          <w:rFonts w:ascii="宋体" w:hAnsi="宋体"/>
          <w:color w:val="auto"/>
          <w:kern w:val="0"/>
          <w:sz w:val="28"/>
          <w:szCs w:val="28"/>
          <w:highlight w:val="none"/>
        </w:rPr>
      </w:pPr>
      <w:r>
        <w:rPr>
          <w:rFonts w:hint="eastAsia" w:ascii="宋体" w:hAnsi="宋体"/>
          <w:color w:val="auto"/>
          <w:kern w:val="0"/>
          <w:sz w:val="28"/>
          <w:szCs w:val="28"/>
          <w:highlight w:val="none"/>
        </w:rPr>
        <w:t>2、</w:t>
      </w:r>
      <w:r>
        <w:rPr>
          <w:rFonts w:hint="eastAsia" w:ascii="宋体" w:hAnsi="宋体"/>
          <w:color w:val="auto"/>
          <w:sz w:val="28"/>
          <w:szCs w:val="28"/>
          <w:highlight w:val="none"/>
        </w:rPr>
        <w:t>《中华人民共和国物权法》</w:t>
      </w:r>
      <w:r>
        <w:rPr>
          <w:rFonts w:hint="eastAsia" w:ascii="宋体" w:hAnsi="宋体"/>
          <w:color w:val="auto"/>
          <w:kern w:val="0"/>
          <w:sz w:val="28"/>
          <w:szCs w:val="28"/>
          <w:highlight w:val="none"/>
        </w:rPr>
        <w:t>；</w:t>
      </w:r>
    </w:p>
    <w:p>
      <w:pPr>
        <w:adjustRightInd w:val="0"/>
        <w:snapToGrid w:val="0"/>
        <w:spacing w:line="360" w:lineRule="auto"/>
        <w:ind w:firstLine="560"/>
        <w:rPr>
          <w:rFonts w:ascii="宋体" w:hAnsi="宋体"/>
          <w:color w:val="auto"/>
          <w:kern w:val="0"/>
          <w:sz w:val="28"/>
          <w:szCs w:val="28"/>
          <w:highlight w:val="none"/>
        </w:rPr>
      </w:pPr>
      <w:r>
        <w:rPr>
          <w:rFonts w:hint="eastAsia" w:ascii="宋体" w:hAnsi="宋体"/>
          <w:color w:val="auto"/>
          <w:kern w:val="0"/>
          <w:sz w:val="28"/>
          <w:szCs w:val="28"/>
          <w:highlight w:val="none"/>
        </w:rPr>
        <w:t>3、</w:t>
      </w:r>
      <w:r>
        <w:rPr>
          <w:rFonts w:hint="eastAsia" w:ascii="宋体" w:hAnsi="宋体"/>
          <w:color w:val="auto"/>
          <w:sz w:val="28"/>
          <w:szCs w:val="28"/>
          <w:highlight w:val="none"/>
        </w:rPr>
        <w:t>中华人民共和国国家标准</w:t>
      </w:r>
      <w:r>
        <w:rPr>
          <w:rFonts w:hint="eastAsia" w:ascii="宋体" w:hAnsi="宋体"/>
          <w:color w:val="auto"/>
          <w:kern w:val="0"/>
          <w:sz w:val="28"/>
          <w:szCs w:val="28"/>
          <w:highlight w:val="none"/>
        </w:rPr>
        <w:t>《房地产估价规范》（</w:t>
      </w:r>
      <w:r>
        <w:rPr>
          <w:rFonts w:hint="eastAsia" w:ascii="宋体" w:hAnsi="宋体"/>
          <w:color w:val="auto"/>
          <w:sz w:val="28"/>
          <w:szCs w:val="28"/>
          <w:highlight w:val="none"/>
        </w:rPr>
        <w:t>GB/T50291－2015</w:t>
      </w:r>
      <w:r>
        <w:rPr>
          <w:rFonts w:hint="eastAsia" w:ascii="宋体" w:hAnsi="宋体"/>
          <w:color w:val="auto"/>
          <w:kern w:val="0"/>
          <w:sz w:val="28"/>
          <w:szCs w:val="28"/>
          <w:highlight w:val="none"/>
        </w:rPr>
        <w:t>）；</w:t>
      </w:r>
    </w:p>
    <w:p>
      <w:pPr>
        <w:adjustRightInd w:val="0"/>
        <w:snapToGrid w:val="0"/>
        <w:spacing w:line="360" w:lineRule="auto"/>
        <w:ind w:firstLine="560"/>
        <w:rPr>
          <w:rFonts w:ascii="宋体" w:hAnsi="宋体"/>
          <w:color w:val="auto"/>
          <w:kern w:val="0"/>
          <w:sz w:val="28"/>
          <w:szCs w:val="28"/>
          <w:highlight w:val="none"/>
        </w:rPr>
      </w:pPr>
      <w:r>
        <w:rPr>
          <w:rFonts w:hint="eastAsia" w:ascii="宋体" w:hAnsi="宋体"/>
          <w:color w:val="auto"/>
          <w:kern w:val="0"/>
          <w:sz w:val="28"/>
          <w:szCs w:val="28"/>
          <w:highlight w:val="none"/>
        </w:rPr>
        <w:t>4、</w:t>
      </w:r>
      <w:r>
        <w:rPr>
          <w:rFonts w:hint="eastAsia" w:ascii="宋体" w:hAnsi="宋体"/>
          <w:color w:val="auto"/>
          <w:sz w:val="28"/>
          <w:szCs w:val="28"/>
          <w:highlight w:val="none"/>
        </w:rPr>
        <w:t>中华人民共和国国家标准</w:t>
      </w:r>
      <w:r>
        <w:rPr>
          <w:rFonts w:hint="eastAsia" w:ascii="宋体" w:hAnsi="宋体"/>
          <w:color w:val="auto"/>
          <w:kern w:val="0"/>
          <w:sz w:val="28"/>
          <w:szCs w:val="28"/>
          <w:highlight w:val="none"/>
        </w:rPr>
        <w:t>《房地产估价基本术语标准》（</w:t>
      </w:r>
      <w:r>
        <w:rPr>
          <w:rFonts w:hint="eastAsia" w:ascii="宋体" w:hAnsi="宋体"/>
          <w:color w:val="auto"/>
          <w:sz w:val="28"/>
          <w:szCs w:val="28"/>
          <w:highlight w:val="none"/>
        </w:rPr>
        <w:t>GB/T50899－2013</w:t>
      </w:r>
      <w:r>
        <w:rPr>
          <w:rFonts w:hint="eastAsia" w:ascii="宋体" w:hAnsi="宋体"/>
          <w:color w:val="auto"/>
          <w:kern w:val="0"/>
          <w:sz w:val="28"/>
          <w:szCs w:val="28"/>
          <w:highlight w:val="none"/>
        </w:rPr>
        <w:t>）；</w:t>
      </w:r>
    </w:p>
    <w:p>
      <w:pPr>
        <w:adjustRightInd w:val="0"/>
        <w:snapToGrid w:val="0"/>
        <w:spacing w:line="360" w:lineRule="auto"/>
        <w:ind w:firstLine="560"/>
        <w:rPr>
          <w:rFonts w:ascii="宋体" w:hAnsi="宋体"/>
          <w:color w:val="auto"/>
          <w:sz w:val="28"/>
          <w:szCs w:val="28"/>
          <w:highlight w:val="none"/>
        </w:rPr>
      </w:pPr>
      <w:r>
        <w:rPr>
          <w:rFonts w:hint="eastAsia" w:ascii="宋体" w:hAnsi="宋体"/>
          <w:color w:val="auto"/>
          <w:kern w:val="0"/>
          <w:sz w:val="28"/>
          <w:szCs w:val="28"/>
          <w:highlight w:val="none"/>
        </w:rPr>
        <w:t>5、</w:t>
      </w:r>
      <w:bookmarkStart w:id="141" w:name="OLE_LINK2"/>
      <w:r>
        <w:rPr>
          <w:rFonts w:hint="eastAsia" w:ascii="宋体" w:hAnsi="宋体"/>
          <w:color w:val="auto"/>
          <w:sz w:val="28"/>
          <w:szCs w:val="28"/>
          <w:highlight w:val="none"/>
        </w:rPr>
        <w:t>《人民法院委托评估工作规范》（法办〔2018〕273号），《最高人民法院关于人民法院确定财产处置参考价若干问题的规定》（法释〔2018〕15号）</w:t>
      </w:r>
      <w:bookmarkEnd w:id="141"/>
      <w:r>
        <w:rPr>
          <w:rFonts w:hint="eastAsia" w:ascii="宋体" w:hAnsi="宋体"/>
          <w:color w:val="auto"/>
          <w:sz w:val="28"/>
          <w:szCs w:val="28"/>
          <w:highlight w:val="none"/>
        </w:rPr>
        <w:t>；</w:t>
      </w:r>
    </w:p>
    <w:p>
      <w:pPr>
        <w:adjustRightInd w:val="0"/>
        <w:snapToGrid w:val="0"/>
        <w:spacing w:line="360" w:lineRule="auto"/>
        <w:ind w:firstLine="560"/>
        <w:rPr>
          <w:rFonts w:ascii="宋体" w:hAnsi="宋体"/>
          <w:color w:val="auto"/>
          <w:kern w:val="0"/>
          <w:sz w:val="28"/>
          <w:szCs w:val="28"/>
          <w:highlight w:val="none"/>
        </w:rPr>
      </w:pPr>
      <w:r>
        <w:rPr>
          <w:rFonts w:hint="eastAsia" w:ascii="宋体" w:hAnsi="宋体"/>
          <w:color w:val="auto"/>
          <w:sz w:val="28"/>
          <w:szCs w:val="28"/>
          <w:highlight w:val="none"/>
        </w:rPr>
        <w:t>6、云南省、文山州、</w:t>
      </w:r>
      <w:r>
        <w:rPr>
          <w:rFonts w:hint="eastAsia" w:ascii="宋体" w:hAnsi="宋体"/>
          <w:color w:val="auto"/>
          <w:sz w:val="28"/>
          <w:szCs w:val="28"/>
          <w:highlight w:val="none"/>
          <w:lang w:eastAsia="zh-CN"/>
        </w:rPr>
        <w:t>丘北县</w:t>
      </w:r>
      <w:r>
        <w:rPr>
          <w:rFonts w:hint="eastAsia" w:ascii="宋体" w:hAnsi="宋体"/>
          <w:color w:val="auto"/>
          <w:sz w:val="28"/>
          <w:szCs w:val="28"/>
          <w:highlight w:val="none"/>
        </w:rPr>
        <w:t>人民政府颁布的有关政策、规定、实施办法、通知等法规文件</w:t>
      </w:r>
      <w:r>
        <w:rPr>
          <w:rFonts w:hint="eastAsia" w:ascii="宋体" w:hAnsi="宋体"/>
          <w:color w:val="auto"/>
          <w:kern w:val="0"/>
          <w:sz w:val="28"/>
          <w:szCs w:val="28"/>
          <w:highlight w:val="none"/>
        </w:rPr>
        <w:t>；</w:t>
      </w:r>
    </w:p>
    <w:p>
      <w:pPr>
        <w:adjustRightInd w:val="0"/>
        <w:snapToGrid w:val="0"/>
        <w:spacing w:line="360" w:lineRule="auto"/>
        <w:ind w:firstLine="560"/>
        <w:rPr>
          <w:rFonts w:ascii="宋体" w:hAnsi="宋体"/>
          <w:color w:val="auto"/>
          <w:kern w:val="0"/>
          <w:sz w:val="28"/>
          <w:szCs w:val="28"/>
          <w:highlight w:val="none"/>
        </w:rPr>
      </w:pPr>
      <w:r>
        <w:rPr>
          <w:rFonts w:hint="eastAsia" w:ascii="宋体" w:hAnsi="宋体"/>
          <w:color w:val="auto"/>
          <w:kern w:val="0"/>
          <w:sz w:val="28"/>
          <w:szCs w:val="28"/>
          <w:highlight w:val="none"/>
        </w:rPr>
        <w:t>7、</w:t>
      </w:r>
      <w:r>
        <w:rPr>
          <w:rFonts w:hint="eastAsia" w:ascii="宋体" w:hAnsi="宋体"/>
          <w:color w:val="auto"/>
          <w:kern w:val="0"/>
          <w:sz w:val="28"/>
          <w:szCs w:val="28"/>
          <w:highlight w:val="none"/>
          <w:lang w:eastAsia="zh-CN"/>
        </w:rPr>
        <w:t>《</w:t>
      </w:r>
      <w:r>
        <w:rPr>
          <w:rFonts w:hint="eastAsia" w:ascii="宋体" w:hAnsi="宋体"/>
          <w:color w:val="auto"/>
          <w:sz w:val="28"/>
          <w:szCs w:val="28"/>
          <w:highlight w:val="none"/>
          <w:lang w:eastAsia="zh-CN"/>
        </w:rPr>
        <w:t>云南省文山壮族苗族自治州中级人民法院委托书》</w:t>
      </w:r>
      <w:r>
        <w:rPr>
          <w:rFonts w:hint="eastAsia" w:ascii="宋体" w:hAnsi="宋体"/>
          <w:color w:val="auto"/>
          <w:kern w:val="0"/>
          <w:sz w:val="28"/>
          <w:szCs w:val="28"/>
          <w:highlight w:val="none"/>
        </w:rPr>
        <w:t>；</w:t>
      </w:r>
    </w:p>
    <w:p>
      <w:pPr>
        <w:adjustRightInd w:val="0"/>
        <w:snapToGrid w:val="0"/>
        <w:spacing w:line="360" w:lineRule="auto"/>
        <w:ind w:firstLine="560"/>
        <w:rPr>
          <w:rFonts w:ascii="宋体" w:hAnsi="宋体"/>
          <w:color w:val="auto"/>
          <w:kern w:val="0"/>
          <w:sz w:val="28"/>
          <w:szCs w:val="28"/>
          <w:highlight w:val="none"/>
        </w:rPr>
      </w:pPr>
      <w:r>
        <w:rPr>
          <w:rFonts w:hint="eastAsia" w:ascii="宋体" w:hAnsi="宋体"/>
          <w:color w:val="auto"/>
          <w:sz w:val="28"/>
          <w:szCs w:val="28"/>
          <w:highlight w:val="none"/>
        </w:rPr>
        <w:t>8、</w:t>
      </w:r>
      <w:r>
        <w:rPr>
          <w:rFonts w:hint="eastAsia" w:ascii="宋体" w:hAnsi="宋体"/>
          <w:color w:val="auto"/>
          <w:kern w:val="0"/>
          <w:sz w:val="28"/>
          <w:szCs w:val="28"/>
          <w:highlight w:val="none"/>
        </w:rPr>
        <w:t>委托方提供的相关资料；</w:t>
      </w:r>
    </w:p>
    <w:p>
      <w:pPr>
        <w:adjustRightInd w:val="0"/>
        <w:snapToGrid w:val="0"/>
        <w:spacing w:line="360" w:lineRule="auto"/>
        <w:ind w:firstLine="560"/>
        <w:rPr>
          <w:rFonts w:ascii="宋体" w:hAnsi="宋体"/>
          <w:color w:val="auto"/>
          <w:kern w:val="0"/>
          <w:sz w:val="28"/>
          <w:szCs w:val="28"/>
          <w:highlight w:val="none"/>
        </w:rPr>
      </w:pPr>
      <w:r>
        <w:rPr>
          <w:rFonts w:hint="eastAsia" w:ascii="宋体" w:hAnsi="宋体"/>
          <w:color w:val="auto"/>
          <w:sz w:val="28"/>
          <w:szCs w:val="28"/>
          <w:highlight w:val="none"/>
        </w:rPr>
        <w:t>9、</w:t>
      </w:r>
      <w:r>
        <w:rPr>
          <w:rFonts w:hint="eastAsia" w:ascii="宋体" w:hAnsi="宋体"/>
          <w:color w:val="auto"/>
          <w:kern w:val="0"/>
          <w:sz w:val="28"/>
          <w:szCs w:val="28"/>
          <w:highlight w:val="none"/>
        </w:rPr>
        <w:t>估价人员到现场勘查、收集及向社会调查掌握的技术资料，估价对象所在区域的房地产市场状况、同类房地产市场交易等数据及资料。</w:t>
      </w:r>
    </w:p>
    <w:p>
      <w:pPr>
        <w:pStyle w:val="3"/>
        <w:rPr>
          <w:rFonts w:ascii="宋体" w:hAnsi="宋体" w:eastAsia="宋体"/>
          <w:color w:val="auto"/>
          <w:kern w:val="0"/>
          <w:sz w:val="28"/>
          <w:szCs w:val="28"/>
          <w:highlight w:val="none"/>
        </w:rPr>
      </w:pPr>
      <w:bookmarkStart w:id="142" w:name="_Toc522873498"/>
      <w:bookmarkStart w:id="143" w:name="_Toc521944363"/>
      <w:bookmarkStart w:id="144" w:name="_Toc16665766"/>
      <w:bookmarkStart w:id="145" w:name="_Toc417282123"/>
      <w:bookmarkStart w:id="146" w:name="_Toc417214143"/>
      <w:bookmarkStart w:id="147" w:name="_Toc414265164"/>
      <w:bookmarkStart w:id="148" w:name="_Toc16189215"/>
      <w:bookmarkStart w:id="149" w:name="_Toc414265245"/>
      <w:bookmarkStart w:id="150" w:name="_Toc16189052"/>
      <w:bookmarkStart w:id="151" w:name="_Toc417220321"/>
      <w:bookmarkStart w:id="152" w:name="_Toc5491"/>
      <w:r>
        <w:rPr>
          <w:rFonts w:hint="eastAsia" w:ascii="宋体" w:hAnsi="宋体" w:eastAsia="宋体"/>
          <w:color w:val="auto"/>
          <w:kern w:val="0"/>
          <w:sz w:val="28"/>
          <w:szCs w:val="28"/>
          <w:highlight w:val="none"/>
        </w:rPr>
        <w:t>九、估价方法</w:t>
      </w:r>
      <w:bookmarkEnd w:id="142"/>
      <w:bookmarkEnd w:id="143"/>
      <w:bookmarkEnd w:id="144"/>
      <w:bookmarkEnd w:id="145"/>
      <w:bookmarkEnd w:id="146"/>
      <w:bookmarkEnd w:id="147"/>
      <w:bookmarkEnd w:id="148"/>
      <w:bookmarkEnd w:id="149"/>
      <w:bookmarkEnd w:id="150"/>
      <w:bookmarkEnd w:id="151"/>
      <w:bookmarkEnd w:id="152"/>
    </w:p>
    <w:p>
      <w:pPr>
        <w:spacing w:line="360" w:lineRule="auto"/>
        <w:ind w:firstLine="560"/>
        <w:contextualSpacing/>
        <w:rPr>
          <w:rFonts w:ascii="宋体" w:hAnsi="宋体"/>
          <w:color w:val="auto"/>
          <w:sz w:val="28"/>
          <w:szCs w:val="28"/>
          <w:highlight w:val="none"/>
        </w:rPr>
      </w:pPr>
      <w:r>
        <w:rPr>
          <w:rFonts w:hint="eastAsia" w:ascii="宋体" w:hAnsi="宋体"/>
          <w:color w:val="auto"/>
          <w:kern w:val="0"/>
          <w:sz w:val="28"/>
          <w:szCs w:val="28"/>
          <w:highlight w:val="none"/>
        </w:rPr>
        <w:t>根据</w:t>
      </w:r>
      <w:r>
        <w:rPr>
          <w:rFonts w:hint="eastAsia" w:ascii="宋体" w:hAnsi="宋体"/>
          <w:color w:val="auto"/>
          <w:sz w:val="28"/>
          <w:szCs w:val="28"/>
          <w:highlight w:val="none"/>
        </w:rPr>
        <w:t>中华人民共和国国家标准</w:t>
      </w:r>
      <w:r>
        <w:rPr>
          <w:rFonts w:hint="eastAsia" w:ascii="宋体" w:hAnsi="宋体"/>
          <w:color w:val="auto"/>
          <w:kern w:val="0"/>
          <w:sz w:val="28"/>
          <w:szCs w:val="28"/>
          <w:highlight w:val="none"/>
        </w:rPr>
        <w:t>《房地产估价规范》</w:t>
      </w:r>
      <w:r>
        <w:rPr>
          <w:rFonts w:hint="eastAsia" w:ascii="宋体" w:hAnsi="宋体"/>
          <w:color w:val="auto"/>
          <w:kern w:val="0"/>
          <w:sz w:val="28"/>
          <w:szCs w:val="28"/>
          <w:highlight w:val="none"/>
          <w:lang w:eastAsia="zh-CN"/>
        </w:rPr>
        <w:t>的规定，</w:t>
      </w:r>
      <w:r>
        <w:rPr>
          <w:rFonts w:hint="eastAsia" w:ascii="宋体" w:hAnsi="宋体"/>
          <w:color w:val="auto"/>
          <w:kern w:val="0"/>
          <w:sz w:val="28"/>
          <w:szCs w:val="28"/>
          <w:highlight w:val="none"/>
        </w:rPr>
        <w:t>估价人员在实地查勘的基础上，对估价委托人提供的各种资料进行了认真分析，根据价值时点当地房地产市场状况以及估价对象用途、估价目的、资料状况等 ，由于估价对象位于</w:t>
      </w:r>
      <w:r>
        <w:rPr>
          <w:rFonts w:hint="eastAsia" w:ascii="宋体" w:hAnsi="宋体"/>
          <w:color w:val="auto"/>
          <w:sz w:val="28"/>
          <w:szCs w:val="28"/>
          <w:highlight w:val="none"/>
          <w:lang w:eastAsia="zh-CN"/>
        </w:rPr>
        <w:t>丘北县锦屏镇石缸坝新城区（和谐景苑小区）</w:t>
      </w:r>
      <w:r>
        <w:rPr>
          <w:rFonts w:hint="eastAsia" w:ascii="宋体" w:hAnsi="宋体"/>
          <w:color w:val="auto"/>
          <w:sz w:val="28"/>
          <w:szCs w:val="28"/>
          <w:highlight w:val="none"/>
        </w:rPr>
        <w:t>，同一供需圈内与待估房地产用途相同条件类似的交易实例较丰富；估价对象为住宅，同一区域范围与待估房地产</w:t>
      </w:r>
      <w:r>
        <w:rPr>
          <w:rFonts w:hint="eastAsia" w:ascii="宋体" w:hAnsi="宋体"/>
          <w:color w:val="auto"/>
          <w:kern w:val="0"/>
          <w:sz w:val="28"/>
          <w:szCs w:val="28"/>
          <w:highlight w:val="none"/>
        </w:rPr>
        <w:t>相类似的房地产租金较易获取，</w:t>
      </w:r>
      <w:r>
        <w:rPr>
          <w:rFonts w:hint="eastAsia" w:ascii="宋体" w:hAnsi="宋体"/>
          <w:color w:val="auto"/>
          <w:sz w:val="28"/>
          <w:szCs w:val="28"/>
          <w:highlight w:val="none"/>
        </w:rPr>
        <w:t>故采用比较法和收益法进行评估估价对象房地产价格。</w:t>
      </w:r>
    </w:p>
    <w:p>
      <w:pPr>
        <w:spacing w:line="360" w:lineRule="auto"/>
        <w:ind w:firstLine="552" w:firstLineChars="200"/>
        <w:rPr>
          <w:rFonts w:ascii="宋体" w:hAnsi="宋体"/>
          <w:color w:val="auto"/>
          <w:spacing w:val="-2"/>
          <w:sz w:val="28"/>
          <w:szCs w:val="28"/>
          <w:highlight w:val="none"/>
        </w:rPr>
      </w:pPr>
      <w:r>
        <w:rPr>
          <w:rFonts w:hint="eastAsia" w:ascii="宋体" w:hAnsi="宋体"/>
          <w:color w:val="auto"/>
          <w:spacing w:val="-2"/>
          <w:sz w:val="28"/>
          <w:szCs w:val="28"/>
          <w:highlight w:val="none"/>
        </w:rPr>
        <w:t xml:space="preserve">比较法：选取一定数量的可比实例，将它们与估价对象进行比较，根据其间的差异对可比实例成交价格进行处理后得到估价对象价值或价格的方法。  </w:t>
      </w:r>
    </w:p>
    <w:p>
      <w:pPr>
        <w:spacing w:line="360" w:lineRule="auto"/>
        <w:ind w:firstLine="560" w:firstLineChars="200"/>
        <w:rPr>
          <w:rFonts w:ascii="宋体" w:hAnsi="宋体" w:cs="宋体"/>
          <w:color w:val="auto"/>
          <w:sz w:val="28"/>
          <w:szCs w:val="28"/>
          <w:highlight w:val="none"/>
        </w:rPr>
      </w:pPr>
      <w:r>
        <w:rPr>
          <w:rFonts w:hint="eastAsia" w:ascii="宋体" w:hAnsi="宋体"/>
          <w:color w:val="auto"/>
          <w:kern w:val="0"/>
          <w:sz w:val="28"/>
          <w:szCs w:val="28"/>
          <w:highlight w:val="none"/>
        </w:rPr>
        <w:t>收益法：</w:t>
      </w:r>
      <w:r>
        <w:rPr>
          <w:rFonts w:hint="eastAsia" w:ascii="宋体" w:hAnsi="宋体" w:cs="宋体"/>
          <w:color w:val="auto"/>
          <w:sz w:val="28"/>
          <w:szCs w:val="28"/>
          <w:highlight w:val="none"/>
        </w:rPr>
        <w:t>收益法是预计估价对象未来的正常净收益，选用适当的报酬率将其折现到价值时点后累加，以此估算估价对象的客观合理价值的一种估价方法。</w:t>
      </w:r>
    </w:p>
    <w:p>
      <w:pPr>
        <w:pStyle w:val="3"/>
        <w:rPr>
          <w:rFonts w:ascii="宋体" w:hAnsi="宋体" w:eastAsia="宋体"/>
          <w:color w:val="auto"/>
          <w:kern w:val="0"/>
          <w:sz w:val="28"/>
          <w:szCs w:val="28"/>
          <w:highlight w:val="none"/>
        </w:rPr>
      </w:pPr>
      <w:bookmarkStart w:id="153" w:name="_Toc16189216"/>
      <w:bookmarkStart w:id="154" w:name="_Toc417214144"/>
      <w:bookmarkStart w:id="155" w:name="_Toc414265165"/>
      <w:bookmarkStart w:id="156" w:name="_Toc414265246"/>
      <w:bookmarkStart w:id="157" w:name="_Toc16665767"/>
      <w:bookmarkStart w:id="158" w:name="_Toc417282124"/>
      <w:bookmarkStart w:id="159" w:name="_Toc521944364"/>
      <w:bookmarkStart w:id="160" w:name="_Toc417220322"/>
      <w:bookmarkStart w:id="161" w:name="_Toc16189053"/>
      <w:bookmarkStart w:id="162" w:name="_Toc522873499"/>
      <w:bookmarkStart w:id="163" w:name="_Toc26743"/>
      <w:r>
        <w:rPr>
          <w:rFonts w:hint="eastAsia" w:ascii="宋体" w:hAnsi="宋体" w:eastAsia="宋体"/>
          <w:color w:val="auto"/>
          <w:kern w:val="0"/>
          <w:sz w:val="28"/>
          <w:szCs w:val="28"/>
          <w:highlight w:val="none"/>
        </w:rPr>
        <w:t>十、估价结果</w:t>
      </w:r>
      <w:bookmarkEnd w:id="153"/>
      <w:bookmarkEnd w:id="154"/>
      <w:bookmarkEnd w:id="155"/>
      <w:bookmarkEnd w:id="156"/>
      <w:bookmarkEnd w:id="157"/>
      <w:bookmarkEnd w:id="158"/>
      <w:bookmarkEnd w:id="159"/>
      <w:bookmarkEnd w:id="160"/>
      <w:bookmarkEnd w:id="161"/>
      <w:bookmarkEnd w:id="162"/>
      <w:bookmarkEnd w:id="163"/>
    </w:p>
    <w:p>
      <w:pPr>
        <w:adjustRightInd w:val="0"/>
        <w:snapToGrid w:val="0"/>
        <w:spacing w:line="360" w:lineRule="auto"/>
        <w:ind w:firstLine="700" w:firstLineChars="250"/>
        <w:rPr>
          <w:rFonts w:ascii="宋体" w:hAnsi="宋体"/>
          <w:color w:val="auto"/>
          <w:sz w:val="28"/>
          <w:szCs w:val="28"/>
          <w:highlight w:val="none"/>
        </w:rPr>
      </w:pPr>
      <w:r>
        <w:rPr>
          <w:rFonts w:hint="eastAsia" w:ascii="宋体" w:hAnsi="宋体"/>
          <w:color w:val="auto"/>
          <w:kern w:val="0"/>
          <w:sz w:val="28"/>
          <w:szCs w:val="28"/>
          <w:highlight w:val="none"/>
        </w:rPr>
        <w:t>本估价机构根据估价目的，遵循估价原则，运用科学的估价方法，按照规范的估价程序，依据中华人民共和国有关法律、法规以及《房地产估价规范》，在对估价对象进行了实地查看、广泛收集估价对象相关资料及有关市场资料的基础上，全面分析影响房地产市场价格因素，利用有关数学公式或数学模型和数据进行测算，根据测算结果以及市场行情并结合注册房地产估价师的专业经验，确定估价对象于价值时点满足估价设定条件下的价值为：</w:t>
      </w:r>
      <w:r>
        <w:rPr>
          <w:rFonts w:hint="eastAsia" w:hAnsi="宋体"/>
          <w:color w:val="auto"/>
          <w:sz w:val="28"/>
          <w:szCs w:val="28"/>
          <w:highlight w:val="none"/>
        </w:rPr>
        <w:t>位于</w:t>
      </w:r>
      <w:r>
        <w:rPr>
          <w:rFonts w:hint="eastAsia" w:ascii="宋体" w:hAnsi="宋体"/>
          <w:color w:val="auto"/>
          <w:sz w:val="28"/>
          <w:szCs w:val="28"/>
          <w:highlight w:val="none"/>
          <w:lang w:eastAsia="zh-CN"/>
        </w:rPr>
        <w:t>丘北县</w:t>
      </w:r>
      <w:r>
        <w:rPr>
          <w:rFonts w:hint="eastAsia" w:hAnsi="宋体"/>
          <w:color w:val="auto"/>
          <w:sz w:val="28"/>
          <w:szCs w:val="28"/>
          <w:lang w:eastAsia="zh-CN"/>
        </w:rPr>
        <w:t>锦屏镇石缸坝新城区（和谐景苑小区）</w:t>
      </w:r>
      <w:r>
        <w:rPr>
          <w:rFonts w:hint="eastAsia" w:hAnsi="宋体"/>
          <w:color w:val="auto"/>
          <w:sz w:val="28"/>
          <w:szCs w:val="28"/>
          <w:lang w:val="en-US" w:eastAsia="zh-CN"/>
        </w:rPr>
        <w:t>D幢3-602号房地产于</w:t>
      </w:r>
      <w:r>
        <w:rPr>
          <w:rFonts w:hint="eastAsia" w:ascii="宋体" w:hAnsi="宋体"/>
          <w:color w:val="auto"/>
          <w:kern w:val="0"/>
          <w:sz w:val="28"/>
          <w:szCs w:val="28"/>
          <w:highlight w:val="none"/>
        </w:rPr>
        <w:t>价值时点</w:t>
      </w:r>
      <w:r>
        <w:rPr>
          <w:rFonts w:hint="eastAsia" w:ascii="宋体" w:hAnsi="宋体"/>
          <w:color w:val="auto"/>
          <w:spacing w:val="22"/>
          <w:sz w:val="28"/>
          <w:szCs w:val="28"/>
          <w:highlight w:val="none"/>
          <w:lang w:eastAsia="zh-CN"/>
        </w:rPr>
        <w:t>2020年01月06日</w:t>
      </w:r>
      <w:r>
        <w:rPr>
          <w:rFonts w:hint="eastAsia" w:ascii="宋体" w:hAnsi="宋体"/>
          <w:color w:val="auto"/>
          <w:sz w:val="28"/>
          <w:szCs w:val="28"/>
          <w:highlight w:val="none"/>
          <w:lang w:val="zh-CN"/>
        </w:rPr>
        <w:t>的市场价值为</w:t>
      </w:r>
      <w:r>
        <w:rPr>
          <w:rFonts w:hint="eastAsia" w:ascii="宋体" w:hAnsi="宋体"/>
          <w:color w:val="auto"/>
          <w:sz w:val="28"/>
          <w:szCs w:val="28"/>
          <w:highlight w:val="none"/>
        </w:rPr>
        <w:t>人民币大写：</w:t>
      </w:r>
      <w:bookmarkStart w:id="164" w:name="_Toc522873500"/>
      <w:bookmarkStart w:id="165" w:name="_Toc16189217"/>
      <w:bookmarkStart w:id="166" w:name="_Toc16189054"/>
      <w:bookmarkStart w:id="167" w:name="_Toc16665768"/>
      <w:bookmarkStart w:id="168" w:name="_Toc521944365"/>
      <w:r>
        <w:rPr>
          <w:rFonts w:hint="eastAsia" w:ascii="宋体" w:hAnsi="宋体" w:cs="宋体"/>
          <w:color w:val="auto"/>
          <w:sz w:val="28"/>
          <w:szCs w:val="28"/>
          <w:lang w:eastAsia="zh-CN"/>
        </w:rPr>
        <w:t>贰拾贰万贰仟叁佰元整（￥：2</w:t>
      </w:r>
      <w:r>
        <w:rPr>
          <w:rFonts w:hint="eastAsia" w:ascii="宋体" w:hAnsi="宋体" w:cs="宋体"/>
          <w:color w:val="auto"/>
          <w:sz w:val="28"/>
          <w:szCs w:val="28"/>
          <w:lang w:val="en-US" w:eastAsia="zh-CN"/>
        </w:rPr>
        <w:t>223</w:t>
      </w:r>
      <w:r>
        <w:rPr>
          <w:rFonts w:hint="eastAsia" w:ascii="宋体" w:hAnsi="宋体" w:cs="宋体"/>
          <w:color w:val="auto"/>
          <w:sz w:val="28"/>
          <w:szCs w:val="28"/>
          <w:lang w:eastAsia="zh-CN"/>
        </w:rPr>
        <w:t>00.00元），市场单价为</w:t>
      </w:r>
      <w:r>
        <w:rPr>
          <w:rFonts w:hint="eastAsia" w:ascii="宋体" w:hAnsi="宋体" w:cs="宋体"/>
          <w:color w:val="auto"/>
          <w:sz w:val="28"/>
          <w:szCs w:val="28"/>
          <w:lang w:val="en-US" w:eastAsia="zh-CN"/>
        </w:rPr>
        <w:t>3015元/m</w:t>
      </w:r>
      <w:r>
        <w:rPr>
          <w:rFonts w:hint="eastAsia" w:ascii="宋体" w:hAnsi="宋体" w:cs="宋体"/>
          <w:color w:val="auto"/>
          <w:sz w:val="28"/>
          <w:szCs w:val="28"/>
          <w:vertAlign w:val="superscript"/>
          <w:lang w:val="en-US" w:eastAsia="zh-CN"/>
        </w:rPr>
        <w:t>2</w:t>
      </w:r>
      <w:r>
        <w:rPr>
          <w:rFonts w:hint="eastAsia" w:ascii="宋体" w:hAnsi="宋体" w:cs="宋体"/>
          <w:color w:val="auto"/>
          <w:sz w:val="28"/>
          <w:szCs w:val="28"/>
          <w:highlight w:val="none"/>
          <w:lang w:eastAsia="zh-CN"/>
        </w:rPr>
        <w:t>。</w:t>
      </w:r>
    </w:p>
    <w:p>
      <w:pPr>
        <w:pStyle w:val="3"/>
        <w:numPr>
          <w:ilvl w:val="0"/>
          <w:numId w:val="1"/>
        </w:numPr>
      </w:pPr>
      <w:bookmarkStart w:id="169" w:name="_Toc15637"/>
      <w:r>
        <w:rPr>
          <w:rFonts w:hint="eastAsia" w:ascii="宋体" w:hAnsi="宋体" w:eastAsia="宋体"/>
          <w:color w:val="auto"/>
          <w:kern w:val="0"/>
          <w:sz w:val="28"/>
          <w:szCs w:val="28"/>
          <w:highlight w:val="none"/>
        </w:rPr>
        <w:t>注册房地产估价师</w:t>
      </w:r>
      <w:bookmarkEnd w:id="164"/>
      <w:bookmarkEnd w:id="165"/>
      <w:bookmarkEnd w:id="166"/>
      <w:bookmarkEnd w:id="167"/>
      <w:bookmarkEnd w:id="168"/>
      <w:bookmarkEnd w:id="169"/>
    </w:p>
    <w:p>
      <w:pPr>
        <w:adjustRightInd w:val="0"/>
        <w:snapToGrid w:val="0"/>
        <w:spacing w:line="360" w:lineRule="auto"/>
        <w:ind w:firstLine="555"/>
        <w:jc w:val="center"/>
        <w:rPr>
          <w:rFonts w:ascii="宋体" w:hAnsi="宋体"/>
          <w:b/>
          <w:bCs/>
          <w:color w:val="auto"/>
          <w:sz w:val="28"/>
          <w:szCs w:val="28"/>
          <w:highlight w:val="none"/>
        </w:rPr>
      </w:pPr>
      <w:r>
        <w:rPr>
          <w:rFonts w:hint="eastAsia" w:ascii="宋体" w:hAnsi="宋体"/>
          <w:b/>
          <w:bCs/>
          <w:color w:val="auto"/>
          <w:sz w:val="28"/>
          <w:szCs w:val="28"/>
          <w:highlight w:val="none"/>
        </w:rPr>
        <w:t>注册房地产估价师（盖章</w:t>
      </w:r>
      <w:r>
        <w:rPr>
          <w:rFonts w:ascii="宋体" w:hAnsi="宋体"/>
          <w:b/>
          <w:bCs/>
          <w:color w:val="auto"/>
          <w:sz w:val="28"/>
          <w:szCs w:val="28"/>
          <w:highlight w:val="none"/>
        </w:rPr>
        <w:t>）</w:t>
      </w:r>
    </w:p>
    <w:tbl>
      <w:tblPr>
        <w:tblStyle w:val="19"/>
        <w:tblW w:w="9633"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1897"/>
        <w:gridCol w:w="2127"/>
        <w:gridCol w:w="2693"/>
        <w:gridCol w:w="2916"/>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134" w:hRule="atLeast"/>
          <w:jc w:val="center"/>
        </w:trPr>
        <w:tc>
          <w:tcPr>
            <w:tcW w:w="1897" w:type="dxa"/>
            <w:vAlign w:val="center"/>
          </w:tcPr>
          <w:p>
            <w:pPr>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姓名</w:t>
            </w:r>
          </w:p>
        </w:tc>
        <w:tc>
          <w:tcPr>
            <w:tcW w:w="2127" w:type="dxa"/>
            <w:vAlign w:val="center"/>
          </w:tcPr>
          <w:p>
            <w:pPr>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注册号</w:t>
            </w:r>
          </w:p>
        </w:tc>
        <w:tc>
          <w:tcPr>
            <w:tcW w:w="2693" w:type="dxa"/>
            <w:vAlign w:val="center"/>
          </w:tcPr>
          <w:p>
            <w:pPr>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签名</w:t>
            </w:r>
          </w:p>
        </w:tc>
        <w:tc>
          <w:tcPr>
            <w:tcW w:w="2916" w:type="dxa"/>
            <w:vAlign w:val="center"/>
          </w:tcPr>
          <w:p>
            <w:pPr>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签名日期</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340" w:hRule="atLeast"/>
          <w:jc w:val="center"/>
        </w:trPr>
        <w:tc>
          <w:tcPr>
            <w:tcW w:w="1897" w:type="dxa"/>
            <w:vAlign w:val="center"/>
          </w:tcPr>
          <w:p>
            <w:pPr>
              <w:adjustRightInd w:val="0"/>
              <w:snapToGrid w:val="0"/>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刘芳芳</w:t>
            </w:r>
          </w:p>
        </w:tc>
        <w:tc>
          <w:tcPr>
            <w:tcW w:w="2127" w:type="dxa"/>
            <w:vAlign w:val="center"/>
          </w:tcPr>
          <w:p>
            <w:pPr>
              <w:adjustRightInd w:val="0"/>
              <w:snapToGrid w:val="0"/>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5320150025</w:t>
            </w:r>
          </w:p>
        </w:tc>
        <w:tc>
          <w:tcPr>
            <w:tcW w:w="2693" w:type="dxa"/>
            <w:vAlign w:val="center"/>
          </w:tcPr>
          <w:p>
            <w:pPr>
              <w:adjustRightInd w:val="0"/>
              <w:snapToGrid w:val="0"/>
              <w:spacing w:line="360" w:lineRule="auto"/>
              <w:jc w:val="center"/>
              <w:rPr>
                <w:rFonts w:ascii="宋体" w:hAnsi="宋体"/>
                <w:bCs/>
                <w:color w:val="auto"/>
                <w:sz w:val="28"/>
                <w:szCs w:val="28"/>
                <w:highlight w:val="none"/>
              </w:rPr>
            </w:pPr>
            <w:r>
              <w:rPr>
                <w:color w:val="auto"/>
                <w:sz w:val="28"/>
                <w:szCs w:val="28"/>
                <w:highlight w:val="none"/>
              </w:rPr>
              <w:drawing>
                <wp:anchor distT="0" distB="0" distL="114300" distR="114300" simplePos="0" relativeHeight="252190720" behindDoc="0" locked="0" layoutInCell="1" allowOverlap="1">
                  <wp:simplePos x="0" y="0"/>
                  <wp:positionH relativeFrom="column">
                    <wp:posOffset>284480</wp:posOffset>
                  </wp:positionH>
                  <wp:positionV relativeFrom="paragraph">
                    <wp:posOffset>299720</wp:posOffset>
                  </wp:positionV>
                  <wp:extent cx="1024890" cy="381000"/>
                  <wp:effectExtent l="0" t="0" r="3810" b="0"/>
                  <wp:wrapNone/>
                  <wp:docPr id="5" name="图片 10" descr="刘芳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刘芳芳"/>
                          <pic:cNvPicPr>
                            <a:picLocks noChangeAspect="1" noChangeArrowheads="1"/>
                          </pic:cNvPicPr>
                        </pic:nvPicPr>
                        <pic:blipFill>
                          <a:blip r:embed="rId15" cstate="print"/>
                          <a:srcRect/>
                          <a:stretch>
                            <a:fillRect/>
                          </a:stretch>
                        </pic:blipFill>
                        <pic:spPr>
                          <a:xfrm>
                            <a:off x="0" y="0"/>
                            <a:ext cx="1024890" cy="381000"/>
                          </a:xfrm>
                          <a:prstGeom prst="rect">
                            <a:avLst/>
                          </a:prstGeom>
                          <a:noFill/>
                          <a:ln w="9525">
                            <a:noFill/>
                            <a:miter lim="800000"/>
                            <a:headEnd/>
                            <a:tailEnd/>
                          </a:ln>
                        </pic:spPr>
                      </pic:pic>
                    </a:graphicData>
                  </a:graphic>
                </wp:anchor>
              </w:drawing>
            </w:r>
          </w:p>
        </w:tc>
        <w:tc>
          <w:tcPr>
            <w:tcW w:w="2916" w:type="dxa"/>
            <w:vAlign w:val="center"/>
          </w:tcPr>
          <w:p>
            <w:pPr>
              <w:adjustRightInd w:val="0"/>
              <w:snapToGrid w:val="0"/>
              <w:spacing w:line="360" w:lineRule="auto"/>
              <w:jc w:val="center"/>
              <w:rPr>
                <w:rFonts w:ascii="宋体" w:hAnsi="宋体"/>
                <w:bCs/>
                <w:color w:val="auto"/>
                <w:sz w:val="28"/>
                <w:szCs w:val="28"/>
                <w:highlight w:val="none"/>
              </w:rPr>
            </w:pPr>
            <w:r>
              <w:rPr>
                <w:rFonts w:hint="eastAsia" w:ascii="宋体" w:hAnsi="宋体"/>
                <w:bCs/>
                <w:color w:val="auto"/>
                <w:sz w:val="28"/>
                <w:szCs w:val="28"/>
                <w:highlight w:val="none"/>
              </w:rPr>
              <w:t>20</w:t>
            </w:r>
            <w:r>
              <w:rPr>
                <w:rFonts w:hint="eastAsia" w:ascii="宋体" w:hAnsi="宋体"/>
                <w:bCs/>
                <w:color w:val="auto"/>
                <w:sz w:val="28"/>
                <w:szCs w:val="28"/>
                <w:highlight w:val="none"/>
                <w:lang w:val="en-US" w:eastAsia="zh-CN"/>
              </w:rPr>
              <w:t>20</w:t>
            </w:r>
            <w:r>
              <w:rPr>
                <w:rFonts w:hint="eastAsia" w:ascii="宋体" w:hAnsi="宋体"/>
                <w:bCs/>
                <w:color w:val="auto"/>
                <w:sz w:val="28"/>
                <w:szCs w:val="28"/>
                <w:highlight w:val="none"/>
              </w:rPr>
              <w:t>年</w:t>
            </w:r>
            <w:r>
              <w:rPr>
                <w:rFonts w:hint="eastAsia" w:ascii="宋体" w:hAnsi="宋体"/>
                <w:bCs/>
                <w:color w:val="auto"/>
                <w:sz w:val="28"/>
                <w:szCs w:val="28"/>
                <w:highlight w:val="none"/>
                <w:lang w:val="en-US" w:eastAsia="zh-CN"/>
              </w:rPr>
              <w:t>3</w:t>
            </w:r>
            <w:r>
              <w:rPr>
                <w:rFonts w:hint="eastAsia" w:ascii="宋体" w:hAnsi="宋体"/>
                <w:bCs/>
                <w:color w:val="auto"/>
                <w:sz w:val="28"/>
                <w:szCs w:val="28"/>
                <w:highlight w:val="none"/>
              </w:rPr>
              <w:t>月</w:t>
            </w:r>
            <w:r>
              <w:rPr>
                <w:rFonts w:hint="eastAsia" w:ascii="宋体" w:hAnsi="宋体"/>
                <w:bCs/>
                <w:color w:val="auto"/>
                <w:sz w:val="28"/>
                <w:szCs w:val="28"/>
                <w:highlight w:val="none"/>
                <w:lang w:val="en-US" w:eastAsia="zh-CN"/>
              </w:rPr>
              <w:t>22</w:t>
            </w:r>
            <w:r>
              <w:rPr>
                <w:rFonts w:hint="eastAsia" w:ascii="宋体" w:hAnsi="宋体"/>
                <w:bCs/>
                <w:color w:val="auto"/>
                <w:sz w:val="28"/>
                <w:szCs w:val="28"/>
                <w:highlight w:val="none"/>
              </w:rPr>
              <w:t>日</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308" w:hRule="atLeast"/>
          <w:jc w:val="center"/>
        </w:trPr>
        <w:tc>
          <w:tcPr>
            <w:tcW w:w="1897" w:type="dxa"/>
            <w:vAlign w:val="center"/>
          </w:tcPr>
          <w:p>
            <w:pPr>
              <w:adjustRightInd w:val="0"/>
              <w:snapToGrid w:val="0"/>
              <w:spacing w:line="360" w:lineRule="auto"/>
              <w:jc w:val="center"/>
              <w:rPr>
                <w:rFonts w:ascii="宋体" w:hAnsi="宋体"/>
                <w:bCs/>
                <w:color w:val="auto"/>
                <w:sz w:val="28"/>
                <w:szCs w:val="28"/>
                <w:highlight w:val="none"/>
              </w:rPr>
            </w:pPr>
            <w:r>
              <w:rPr>
                <w:rFonts w:hint="eastAsia" w:ascii="宋体" w:hAnsi="宋体"/>
                <w:color w:val="auto"/>
                <w:sz w:val="28"/>
                <w:szCs w:val="28"/>
                <w:highlight w:val="none"/>
              </w:rPr>
              <w:t>李选丽</w:t>
            </w:r>
          </w:p>
        </w:tc>
        <w:tc>
          <w:tcPr>
            <w:tcW w:w="2127" w:type="dxa"/>
            <w:vAlign w:val="center"/>
          </w:tcPr>
          <w:p>
            <w:pPr>
              <w:adjustRightInd w:val="0"/>
              <w:snapToGrid w:val="0"/>
              <w:spacing w:line="360" w:lineRule="auto"/>
              <w:jc w:val="center"/>
              <w:rPr>
                <w:rFonts w:ascii="宋体" w:hAnsi="宋体"/>
                <w:bCs/>
                <w:color w:val="auto"/>
                <w:sz w:val="28"/>
                <w:szCs w:val="28"/>
                <w:highlight w:val="none"/>
              </w:rPr>
            </w:pPr>
            <w:r>
              <w:rPr>
                <w:rFonts w:hint="eastAsia" w:ascii="宋体" w:hAnsi="宋体"/>
                <w:bCs/>
                <w:color w:val="auto"/>
                <w:sz w:val="28"/>
                <w:szCs w:val="28"/>
                <w:highlight w:val="none"/>
              </w:rPr>
              <w:t>5320140028</w:t>
            </w:r>
          </w:p>
        </w:tc>
        <w:tc>
          <w:tcPr>
            <w:tcW w:w="2693" w:type="dxa"/>
            <w:vAlign w:val="center"/>
          </w:tcPr>
          <w:p>
            <w:pPr>
              <w:adjustRightInd w:val="0"/>
              <w:snapToGrid w:val="0"/>
              <w:spacing w:line="360" w:lineRule="auto"/>
              <w:jc w:val="center"/>
              <w:rPr>
                <w:rFonts w:ascii="宋体" w:hAnsi="宋体"/>
                <w:bCs/>
                <w:color w:val="auto"/>
                <w:sz w:val="28"/>
                <w:szCs w:val="28"/>
                <w:highlight w:val="none"/>
              </w:rPr>
            </w:pPr>
            <w:r>
              <w:rPr>
                <w:color w:val="auto"/>
                <w:szCs w:val="22"/>
                <w:highlight w:val="none"/>
              </w:rPr>
              <w:drawing>
                <wp:inline distT="0" distB="0" distL="114300" distR="114300">
                  <wp:extent cx="1166495" cy="402590"/>
                  <wp:effectExtent l="0" t="0" r="14605" b="165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cstate="print"/>
                          <a:stretch>
                            <a:fillRect/>
                          </a:stretch>
                        </pic:blipFill>
                        <pic:spPr>
                          <a:xfrm>
                            <a:off x="0" y="0"/>
                            <a:ext cx="1166495" cy="402590"/>
                          </a:xfrm>
                          <a:prstGeom prst="rect">
                            <a:avLst/>
                          </a:prstGeom>
                          <a:noFill/>
                          <a:ln>
                            <a:noFill/>
                          </a:ln>
                        </pic:spPr>
                      </pic:pic>
                    </a:graphicData>
                  </a:graphic>
                </wp:inline>
              </w:drawing>
            </w:r>
          </w:p>
        </w:tc>
        <w:tc>
          <w:tcPr>
            <w:tcW w:w="2916" w:type="dxa"/>
            <w:vAlign w:val="center"/>
          </w:tcPr>
          <w:p>
            <w:pPr>
              <w:adjustRightInd w:val="0"/>
              <w:snapToGrid w:val="0"/>
              <w:spacing w:line="360" w:lineRule="auto"/>
              <w:jc w:val="center"/>
              <w:rPr>
                <w:rFonts w:ascii="宋体" w:hAnsi="宋体"/>
                <w:bCs/>
                <w:color w:val="auto"/>
                <w:sz w:val="28"/>
                <w:szCs w:val="28"/>
                <w:highlight w:val="none"/>
              </w:rPr>
            </w:pPr>
            <w:r>
              <w:rPr>
                <w:rFonts w:hint="eastAsia" w:ascii="宋体" w:hAnsi="宋体"/>
                <w:bCs/>
                <w:color w:val="auto"/>
                <w:sz w:val="28"/>
                <w:szCs w:val="28"/>
                <w:highlight w:val="none"/>
              </w:rPr>
              <w:t>20</w:t>
            </w:r>
            <w:r>
              <w:rPr>
                <w:rFonts w:hint="eastAsia" w:ascii="宋体" w:hAnsi="宋体"/>
                <w:bCs/>
                <w:color w:val="auto"/>
                <w:sz w:val="28"/>
                <w:szCs w:val="28"/>
                <w:highlight w:val="none"/>
                <w:lang w:val="en-US" w:eastAsia="zh-CN"/>
              </w:rPr>
              <w:t>20</w:t>
            </w:r>
            <w:r>
              <w:rPr>
                <w:rFonts w:hint="eastAsia" w:ascii="宋体" w:hAnsi="宋体"/>
                <w:bCs/>
                <w:color w:val="auto"/>
                <w:sz w:val="28"/>
                <w:szCs w:val="28"/>
                <w:highlight w:val="none"/>
              </w:rPr>
              <w:t>年</w:t>
            </w:r>
            <w:r>
              <w:rPr>
                <w:rFonts w:hint="eastAsia" w:ascii="宋体" w:hAnsi="宋体"/>
                <w:bCs/>
                <w:color w:val="auto"/>
                <w:sz w:val="28"/>
                <w:szCs w:val="28"/>
                <w:highlight w:val="none"/>
                <w:lang w:val="en-US" w:eastAsia="zh-CN"/>
              </w:rPr>
              <w:t>3</w:t>
            </w:r>
            <w:r>
              <w:rPr>
                <w:rFonts w:hint="eastAsia" w:ascii="宋体" w:hAnsi="宋体"/>
                <w:bCs/>
                <w:color w:val="auto"/>
                <w:sz w:val="28"/>
                <w:szCs w:val="28"/>
                <w:highlight w:val="none"/>
              </w:rPr>
              <w:t>月</w:t>
            </w:r>
            <w:r>
              <w:rPr>
                <w:rFonts w:hint="eastAsia" w:ascii="宋体" w:hAnsi="宋体"/>
                <w:bCs/>
                <w:color w:val="auto"/>
                <w:sz w:val="28"/>
                <w:szCs w:val="28"/>
                <w:highlight w:val="none"/>
                <w:lang w:val="en-US" w:eastAsia="zh-CN"/>
              </w:rPr>
              <w:t>22</w:t>
            </w:r>
            <w:r>
              <w:rPr>
                <w:rFonts w:hint="eastAsia" w:ascii="宋体" w:hAnsi="宋体"/>
                <w:bCs/>
                <w:color w:val="auto"/>
                <w:sz w:val="28"/>
                <w:szCs w:val="28"/>
                <w:highlight w:val="none"/>
              </w:rPr>
              <w:t>日</w:t>
            </w:r>
          </w:p>
        </w:tc>
      </w:tr>
    </w:tbl>
    <w:p>
      <w:pPr>
        <w:adjustRightInd w:val="0"/>
        <w:snapToGrid w:val="0"/>
        <w:spacing w:line="360" w:lineRule="auto"/>
        <w:ind w:firstLine="555"/>
        <w:jc w:val="center"/>
        <w:rPr>
          <w:rFonts w:ascii="宋体" w:hAnsi="宋体"/>
          <w:b/>
          <w:bCs/>
          <w:color w:val="auto"/>
          <w:sz w:val="28"/>
          <w:szCs w:val="28"/>
          <w:highlight w:val="none"/>
        </w:rPr>
      </w:pPr>
    </w:p>
    <w:p>
      <w:pPr>
        <w:pStyle w:val="3"/>
        <w:rPr>
          <w:rFonts w:ascii="宋体" w:hAnsi="宋体" w:eastAsia="宋体"/>
          <w:color w:val="auto"/>
          <w:kern w:val="0"/>
          <w:sz w:val="28"/>
          <w:szCs w:val="28"/>
          <w:highlight w:val="none"/>
        </w:rPr>
      </w:pPr>
      <w:bookmarkStart w:id="170" w:name="_Toc522873501"/>
      <w:bookmarkStart w:id="171" w:name="_Toc417220323"/>
      <w:bookmarkStart w:id="172" w:name="_Toc417214145"/>
      <w:bookmarkStart w:id="173" w:name="_Toc414265166"/>
      <w:bookmarkStart w:id="174" w:name="_Toc16189218"/>
      <w:bookmarkStart w:id="175" w:name="_Toc30960"/>
      <w:bookmarkStart w:id="176" w:name="_Toc521944366"/>
      <w:bookmarkStart w:id="177" w:name="_Toc417282125"/>
      <w:bookmarkStart w:id="178" w:name="_Toc414265247"/>
      <w:bookmarkStart w:id="179" w:name="_Toc16189055"/>
      <w:bookmarkStart w:id="180" w:name="_Toc16665769"/>
      <w:r>
        <w:rPr>
          <w:rFonts w:hint="eastAsia" w:ascii="宋体" w:hAnsi="宋体" w:eastAsia="宋体"/>
          <w:color w:val="auto"/>
          <w:kern w:val="0"/>
          <w:sz w:val="28"/>
          <w:szCs w:val="28"/>
          <w:highlight w:val="none"/>
        </w:rPr>
        <w:t>十二、实地查勘期</w:t>
      </w:r>
      <w:bookmarkEnd w:id="170"/>
      <w:bookmarkEnd w:id="171"/>
      <w:bookmarkEnd w:id="172"/>
      <w:bookmarkEnd w:id="173"/>
      <w:bookmarkEnd w:id="174"/>
      <w:bookmarkEnd w:id="175"/>
      <w:bookmarkEnd w:id="176"/>
      <w:bookmarkEnd w:id="177"/>
      <w:bookmarkEnd w:id="178"/>
      <w:bookmarkEnd w:id="179"/>
      <w:bookmarkEnd w:id="180"/>
    </w:p>
    <w:p>
      <w:pPr>
        <w:adjustRightInd w:val="0"/>
        <w:snapToGrid w:val="0"/>
        <w:spacing w:line="360" w:lineRule="auto"/>
        <w:ind w:firstLine="810" w:firstLineChars="250"/>
        <w:rPr>
          <w:rFonts w:hint="eastAsia" w:ascii="宋体" w:hAnsi="宋体" w:eastAsia="宋体"/>
          <w:color w:val="auto"/>
          <w:kern w:val="0"/>
          <w:sz w:val="28"/>
          <w:szCs w:val="28"/>
          <w:highlight w:val="none"/>
          <w:lang w:eastAsia="zh-CN"/>
        </w:rPr>
      </w:pPr>
      <w:r>
        <w:rPr>
          <w:rFonts w:hint="eastAsia" w:ascii="宋体" w:hAnsi="宋体"/>
          <w:color w:val="auto"/>
          <w:spacing w:val="22"/>
          <w:sz w:val="28"/>
          <w:szCs w:val="28"/>
          <w:highlight w:val="none"/>
          <w:lang w:eastAsia="zh-CN"/>
        </w:rPr>
        <w:t>2020年01月06日</w:t>
      </w:r>
    </w:p>
    <w:p>
      <w:pPr>
        <w:pStyle w:val="3"/>
        <w:rPr>
          <w:rFonts w:ascii="宋体" w:hAnsi="宋体" w:eastAsia="宋体"/>
          <w:color w:val="auto"/>
          <w:kern w:val="0"/>
          <w:sz w:val="28"/>
          <w:szCs w:val="28"/>
          <w:highlight w:val="none"/>
        </w:rPr>
      </w:pPr>
      <w:bookmarkStart w:id="181" w:name="_Toc414265248"/>
      <w:bookmarkStart w:id="182" w:name="_Toc414265167"/>
      <w:bookmarkStart w:id="183" w:name="_Toc417220324"/>
      <w:bookmarkStart w:id="184" w:name="_Toc16189056"/>
      <w:bookmarkStart w:id="185" w:name="_Toc417214146"/>
      <w:bookmarkStart w:id="186" w:name="_Toc521944367"/>
      <w:bookmarkStart w:id="187" w:name="_Toc417282126"/>
      <w:bookmarkStart w:id="188" w:name="_Toc16189219"/>
      <w:bookmarkStart w:id="189" w:name="_Toc522873502"/>
      <w:bookmarkStart w:id="190" w:name="_Toc16665770"/>
      <w:bookmarkStart w:id="191" w:name="_Toc28719"/>
      <w:r>
        <w:rPr>
          <w:rFonts w:hint="eastAsia" w:ascii="宋体" w:hAnsi="宋体" w:eastAsia="宋体"/>
          <w:color w:val="auto"/>
          <w:kern w:val="0"/>
          <w:sz w:val="28"/>
          <w:szCs w:val="28"/>
          <w:highlight w:val="none"/>
        </w:rPr>
        <w:t>十三、估价作业日期</w:t>
      </w:r>
      <w:bookmarkEnd w:id="181"/>
      <w:bookmarkEnd w:id="182"/>
      <w:bookmarkEnd w:id="183"/>
      <w:bookmarkEnd w:id="184"/>
      <w:bookmarkEnd w:id="185"/>
      <w:bookmarkEnd w:id="186"/>
      <w:bookmarkEnd w:id="187"/>
      <w:bookmarkEnd w:id="188"/>
      <w:bookmarkEnd w:id="189"/>
      <w:bookmarkEnd w:id="190"/>
      <w:bookmarkEnd w:id="191"/>
    </w:p>
    <w:p>
      <w:pPr>
        <w:adjustRightInd w:val="0"/>
        <w:snapToGrid w:val="0"/>
        <w:spacing w:line="360" w:lineRule="auto"/>
        <w:ind w:firstLine="810" w:firstLineChars="250"/>
        <w:rPr>
          <w:rFonts w:ascii="宋体" w:hAnsi="宋体"/>
          <w:color w:val="auto"/>
          <w:kern w:val="0"/>
          <w:sz w:val="28"/>
          <w:szCs w:val="28"/>
          <w:highlight w:val="none"/>
        </w:rPr>
      </w:pPr>
      <w:bookmarkStart w:id="192" w:name="_Toc414265249"/>
      <w:bookmarkStart w:id="193" w:name="_Toc414265168"/>
      <w:r>
        <w:rPr>
          <w:rFonts w:hint="eastAsia" w:ascii="宋体" w:hAnsi="宋体"/>
          <w:color w:val="auto"/>
          <w:spacing w:val="22"/>
          <w:sz w:val="28"/>
          <w:szCs w:val="28"/>
          <w:highlight w:val="none"/>
        </w:rPr>
        <w:t>2019年1</w:t>
      </w:r>
      <w:r>
        <w:rPr>
          <w:rFonts w:hint="eastAsia" w:ascii="宋体" w:hAnsi="宋体"/>
          <w:color w:val="auto"/>
          <w:spacing w:val="22"/>
          <w:sz w:val="28"/>
          <w:szCs w:val="28"/>
          <w:highlight w:val="none"/>
          <w:lang w:val="en-US" w:eastAsia="zh-CN"/>
        </w:rPr>
        <w:t>2</w:t>
      </w:r>
      <w:r>
        <w:rPr>
          <w:rFonts w:hint="eastAsia" w:ascii="宋体" w:hAnsi="宋体"/>
          <w:color w:val="auto"/>
          <w:spacing w:val="22"/>
          <w:sz w:val="28"/>
          <w:szCs w:val="28"/>
          <w:highlight w:val="none"/>
        </w:rPr>
        <w:t>月</w:t>
      </w:r>
      <w:r>
        <w:rPr>
          <w:rFonts w:hint="eastAsia" w:ascii="宋体" w:hAnsi="宋体"/>
          <w:color w:val="auto"/>
          <w:spacing w:val="22"/>
          <w:sz w:val="28"/>
          <w:szCs w:val="28"/>
          <w:highlight w:val="none"/>
          <w:lang w:val="en-US" w:eastAsia="zh-CN"/>
        </w:rPr>
        <w:t>25</w:t>
      </w:r>
      <w:r>
        <w:rPr>
          <w:rFonts w:hint="eastAsia" w:ascii="宋体" w:hAnsi="宋体"/>
          <w:color w:val="auto"/>
          <w:spacing w:val="22"/>
          <w:sz w:val="28"/>
          <w:szCs w:val="28"/>
          <w:highlight w:val="none"/>
        </w:rPr>
        <w:t>日—20</w:t>
      </w:r>
      <w:r>
        <w:rPr>
          <w:rFonts w:hint="eastAsia" w:ascii="宋体" w:hAnsi="宋体"/>
          <w:color w:val="auto"/>
          <w:spacing w:val="22"/>
          <w:sz w:val="28"/>
          <w:szCs w:val="28"/>
          <w:highlight w:val="none"/>
          <w:lang w:val="en-US" w:eastAsia="zh-CN"/>
        </w:rPr>
        <w:t>20</w:t>
      </w:r>
      <w:r>
        <w:rPr>
          <w:rFonts w:hint="eastAsia" w:ascii="宋体" w:hAnsi="宋体"/>
          <w:color w:val="auto"/>
          <w:spacing w:val="22"/>
          <w:sz w:val="28"/>
          <w:szCs w:val="28"/>
          <w:highlight w:val="none"/>
        </w:rPr>
        <w:t>年</w:t>
      </w:r>
      <w:r>
        <w:rPr>
          <w:rFonts w:hint="eastAsia" w:ascii="宋体" w:hAnsi="宋体"/>
          <w:color w:val="auto"/>
          <w:spacing w:val="22"/>
          <w:sz w:val="28"/>
          <w:szCs w:val="28"/>
          <w:highlight w:val="none"/>
          <w:lang w:val="en-US" w:eastAsia="zh-CN"/>
        </w:rPr>
        <w:t>3</w:t>
      </w:r>
      <w:r>
        <w:rPr>
          <w:rFonts w:hint="eastAsia" w:ascii="宋体" w:hAnsi="宋体"/>
          <w:color w:val="auto"/>
          <w:spacing w:val="22"/>
          <w:sz w:val="28"/>
          <w:szCs w:val="28"/>
          <w:highlight w:val="none"/>
        </w:rPr>
        <w:t>月</w:t>
      </w:r>
      <w:r>
        <w:rPr>
          <w:rFonts w:hint="eastAsia" w:ascii="宋体" w:hAnsi="宋体"/>
          <w:color w:val="auto"/>
          <w:spacing w:val="22"/>
          <w:sz w:val="28"/>
          <w:szCs w:val="28"/>
          <w:highlight w:val="none"/>
          <w:lang w:val="en-US" w:eastAsia="zh-CN"/>
        </w:rPr>
        <w:t>22</w:t>
      </w:r>
      <w:r>
        <w:rPr>
          <w:rFonts w:hint="eastAsia" w:ascii="宋体" w:hAnsi="宋体"/>
          <w:color w:val="auto"/>
          <w:spacing w:val="22"/>
          <w:sz w:val="28"/>
          <w:szCs w:val="28"/>
          <w:highlight w:val="none"/>
        </w:rPr>
        <w:t>日</w:t>
      </w:r>
    </w:p>
    <w:bookmarkEnd w:id="192"/>
    <w:bookmarkEnd w:id="193"/>
    <w:p>
      <w:pPr>
        <w:spacing w:line="480" w:lineRule="auto"/>
        <w:jc w:val="right"/>
        <w:rPr>
          <w:rFonts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hint="eastAsia" w:ascii="宋体" w:hAnsi="宋体"/>
          <w:color w:val="auto"/>
          <w:kern w:val="0"/>
          <w:sz w:val="28"/>
          <w:szCs w:val="28"/>
          <w:highlight w:val="none"/>
        </w:rPr>
      </w:pPr>
    </w:p>
    <w:p>
      <w:pPr>
        <w:spacing w:line="480" w:lineRule="auto"/>
        <w:jc w:val="right"/>
        <w:rPr>
          <w:rFonts w:ascii="宋体" w:hAnsi="宋体"/>
          <w:color w:val="auto"/>
          <w:kern w:val="0"/>
          <w:sz w:val="28"/>
          <w:szCs w:val="28"/>
          <w:highlight w:val="none"/>
        </w:rPr>
      </w:pPr>
      <w:r>
        <w:rPr>
          <w:rFonts w:hint="eastAsia" w:ascii="宋体" w:hAnsi="宋体"/>
          <w:color w:val="auto"/>
          <w:kern w:val="0"/>
          <w:sz w:val="28"/>
          <w:szCs w:val="28"/>
          <w:highlight w:val="none"/>
        </w:rPr>
        <w:t>文山同心联谊房地产评估有限公司</w:t>
      </w:r>
    </w:p>
    <w:p>
      <w:pPr>
        <w:spacing w:line="480" w:lineRule="auto"/>
        <w:ind w:firstLine="5740" w:firstLineChars="2050"/>
        <w:rPr>
          <w:rFonts w:ascii="宋体" w:hAnsi="宋体"/>
          <w:b/>
          <w:color w:val="auto"/>
          <w:sz w:val="28"/>
          <w:szCs w:val="28"/>
          <w:highlight w:val="none"/>
        </w:rPr>
      </w:pPr>
      <w:r>
        <w:rPr>
          <w:rFonts w:hint="eastAsia" w:ascii="宋体" w:hAnsi="宋体"/>
          <w:color w:val="auto"/>
          <w:sz w:val="28"/>
          <w:szCs w:val="28"/>
          <w:highlight w:val="none"/>
        </w:rPr>
        <w:t>二0</w:t>
      </w:r>
      <w:r>
        <w:rPr>
          <w:rFonts w:hint="eastAsia" w:ascii="宋体" w:hAnsi="宋体"/>
          <w:color w:val="auto"/>
          <w:sz w:val="28"/>
          <w:szCs w:val="28"/>
          <w:highlight w:val="none"/>
          <w:lang w:eastAsia="zh-CN"/>
        </w:rPr>
        <w:t>二</w:t>
      </w:r>
      <w:r>
        <w:rPr>
          <w:rFonts w:hint="eastAsia" w:ascii="宋体" w:hAnsi="宋体"/>
          <w:color w:val="auto"/>
          <w:sz w:val="28"/>
          <w:szCs w:val="28"/>
          <w:highlight w:val="none"/>
          <w:lang w:val="en-US" w:eastAsia="zh-CN"/>
        </w:rPr>
        <w:t>O</w:t>
      </w:r>
      <w:r>
        <w:rPr>
          <w:rFonts w:hint="eastAsia" w:ascii="宋体" w:hAnsi="宋体"/>
          <w:color w:val="auto"/>
          <w:sz w:val="28"/>
          <w:szCs w:val="28"/>
          <w:highlight w:val="none"/>
        </w:rPr>
        <w:t>年</w:t>
      </w:r>
      <w:r>
        <w:rPr>
          <w:rFonts w:hint="eastAsia" w:ascii="宋体" w:hAnsi="宋体"/>
          <w:color w:val="auto"/>
          <w:sz w:val="28"/>
          <w:szCs w:val="28"/>
          <w:highlight w:val="none"/>
          <w:lang w:eastAsia="zh-CN"/>
        </w:rPr>
        <w:t>三</w:t>
      </w:r>
      <w:r>
        <w:rPr>
          <w:rFonts w:hint="eastAsia" w:ascii="宋体" w:hAnsi="宋体"/>
          <w:color w:val="auto"/>
          <w:sz w:val="28"/>
          <w:szCs w:val="28"/>
          <w:highlight w:val="none"/>
        </w:rPr>
        <w:t>月</w:t>
      </w:r>
      <w:r>
        <w:rPr>
          <w:rFonts w:hint="eastAsia" w:ascii="宋体" w:hAnsi="宋体"/>
          <w:color w:val="auto"/>
          <w:sz w:val="28"/>
          <w:szCs w:val="28"/>
          <w:highlight w:val="none"/>
          <w:lang w:eastAsia="zh-CN"/>
        </w:rPr>
        <w:t>二</w:t>
      </w:r>
      <w:r>
        <w:rPr>
          <w:rFonts w:hint="eastAsia" w:ascii="宋体" w:hAnsi="宋体"/>
          <w:color w:val="auto"/>
          <w:sz w:val="28"/>
          <w:szCs w:val="28"/>
          <w:highlight w:val="none"/>
        </w:rPr>
        <w:t>十</w:t>
      </w:r>
      <w:r>
        <w:rPr>
          <w:rFonts w:hint="eastAsia" w:ascii="宋体" w:hAnsi="宋体"/>
          <w:color w:val="auto"/>
          <w:sz w:val="28"/>
          <w:szCs w:val="28"/>
          <w:highlight w:val="none"/>
          <w:lang w:eastAsia="zh-CN"/>
        </w:rPr>
        <w:t>二</w:t>
      </w:r>
      <w:r>
        <w:rPr>
          <w:rFonts w:hint="eastAsia" w:ascii="宋体" w:hAnsi="宋体"/>
          <w:color w:val="auto"/>
          <w:sz w:val="28"/>
          <w:szCs w:val="28"/>
          <w:highlight w:val="none"/>
        </w:rPr>
        <w:t>日</w:t>
      </w:r>
    </w:p>
    <w:p>
      <w:pPr>
        <w:pStyle w:val="2"/>
        <w:jc w:val="center"/>
        <w:rPr>
          <w:rFonts w:ascii="宋体" w:hAnsi="宋体"/>
          <w:color w:val="auto"/>
          <w:highlight w:val="none"/>
        </w:rPr>
        <w:sectPr>
          <w:footerReference r:id="rId10" w:type="default"/>
          <w:endnotePr>
            <w:numFmt w:val="decimal"/>
          </w:endnotePr>
          <w:pgSz w:w="11906" w:h="16838"/>
          <w:pgMar w:top="1077" w:right="1361" w:bottom="1134" w:left="1304" w:header="851" w:footer="851" w:gutter="0"/>
          <w:pgNumType w:fmt="numberInDash"/>
          <w:cols w:space="720" w:num="1"/>
          <w:docGrid w:linePitch="312" w:charSpace="0"/>
        </w:sectPr>
      </w:pPr>
    </w:p>
    <w:p>
      <w:pPr>
        <w:pStyle w:val="2"/>
        <w:jc w:val="center"/>
        <w:rPr>
          <w:rFonts w:ascii="宋体" w:hAnsi="宋体"/>
          <w:color w:val="auto"/>
          <w:sz w:val="36"/>
          <w:szCs w:val="36"/>
          <w:highlight w:val="none"/>
        </w:rPr>
      </w:pPr>
      <w:bookmarkStart w:id="194" w:name="_Toc521944368"/>
      <w:bookmarkStart w:id="195" w:name="_Toc16189220"/>
      <w:bookmarkStart w:id="196" w:name="_Toc417214150"/>
      <w:bookmarkStart w:id="197" w:name="_Toc16944"/>
      <w:bookmarkStart w:id="198" w:name="_Toc414265171"/>
      <w:bookmarkStart w:id="199" w:name="_Toc417220328"/>
      <w:bookmarkStart w:id="200" w:name="_Toc522873503"/>
      <w:bookmarkStart w:id="201" w:name="_Toc16665771"/>
      <w:bookmarkStart w:id="202" w:name="_Toc414265252"/>
      <w:bookmarkStart w:id="203" w:name="_Toc16189057"/>
      <w:bookmarkStart w:id="204" w:name="_Toc417282130"/>
      <w:r>
        <w:rPr>
          <w:rFonts w:hint="eastAsia" w:ascii="宋体" w:hAnsi="宋体"/>
          <w:color w:val="auto"/>
          <w:sz w:val="36"/>
          <w:szCs w:val="36"/>
          <w:highlight w:val="none"/>
        </w:rPr>
        <w:t>估价技术报告</w:t>
      </w:r>
      <w:bookmarkEnd w:id="194"/>
      <w:bookmarkEnd w:id="195"/>
      <w:bookmarkEnd w:id="196"/>
      <w:bookmarkEnd w:id="197"/>
      <w:bookmarkEnd w:id="198"/>
      <w:bookmarkEnd w:id="199"/>
      <w:bookmarkEnd w:id="200"/>
      <w:bookmarkEnd w:id="201"/>
      <w:bookmarkEnd w:id="202"/>
      <w:bookmarkEnd w:id="203"/>
      <w:bookmarkEnd w:id="204"/>
    </w:p>
    <w:p>
      <w:pPr>
        <w:tabs>
          <w:tab w:val="left" w:pos="360"/>
        </w:tabs>
        <w:spacing w:line="360" w:lineRule="auto"/>
        <w:ind w:right="57" w:firstLine="562" w:firstLineChars="200"/>
        <w:rPr>
          <w:rFonts w:hint="eastAsia" w:ascii="宋体" w:hAnsi="宋体" w:eastAsia="宋体"/>
          <w:b/>
          <w:bCs/>
          <w:color w:val="auto"/>
          <w:sz w:val="28"/>
          <w:szCs w:val="28"/>
          <w:highlight w:val="none"/>
          <w:lang w:eastAsia="zh-CN"/>
        </w:rPr>
      </w:pPr>
      <w:r>
        <w:rPr>
          <w:rFonts w:hint="eastAsia" w:ascii="宋体" w:hAnsi="宋体"/>
          <w:b/>
          <w:bCs/>
          <w:color w:val="auto"/>
          <w:sz w:val="28"/>
          <w:szCs w:val="28"/>
          <w:highlight w:val="none"/>
          <w:lang w:eastAsia="zh-CN"/>
        </w:rPr>
        <w:t>一、估价对象描述与分析</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1、位置状况描述</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（1）坐落：</w:t>
      </w:r>
      <w:r>
        <w:rPr>
          <w:rFonts w:hint="eastAsia" w:ascii="宋体" w:hAnsi="宋体"/>
          <w:color w:val="auto"/>
          <w:sz w:val="28"/>
          <w:szCs w:val="28"/>
          <w:highlight w:val="none"/>
          <w:lang w:eastAsia="zh-CN"/>
        </w:rPr>
        <w:t>丘北县锦屏镇石缸坝新城区（和谐景苑小区）</w:t>
      </w:r>
      <w:r>
        <w:rPr>
          <w:rFonts w:hint="eastAsia" w:ascii="宋体" w:hAnsi="宋体"/>
          <w:color w:val="auto"/>
          <w:sz w:val="28"/>
          <w:szCs w:val="28"/>
          <w:highlight w:val="none"/>
          <w:lang w:val="en-US" w:eastAsia="zh-CN"/>
        </w:rPr>
        <w:t>D幢3-602号</w:t>
      </w:r>
      <w:r>
        <w:rPr>
          <w:rFonts w:hint="eastAsia" w:ascii="宋体" w:hAnsi="宋体"/>
          <w:color w:val="auto"/>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（2）方位：</w:t>
      </w:r>
      <w:r>
        <w:rPr>
          <w:rFonts w:hint="eastAsia" w:hAnsi="宋体"/>
          <w:color w:val="auto"/>
          <w:sz w:val="28"/>
          <w:szCs w:val="28"/>
          <w:highlight w:val="none"/>
        </w:rPr>
        <w:t>东</w:t>
      </w:r>
      <w:r>
        <w:rPr>
          <w:rFonts w:hint="eastAsia" w:hAnsi="宋体"/>
          <w:color w:val="auto"/>
          <w:sz w:val="28"/>
          <w:szCs w:val="28"/>
          <w:highlight w:val="none"/>
          <w:lang w:eastAsia="zh-CN"/>
        </w:rPr>
        <w:t>邻共用楼梯</w:t>
      </w:r>
      <w:r>
        <w:rPr>
          <w:rFonts w:hint="eastAsia" w:hAnsi="宋体"/>
          <w:color w:val="auto"/>
          <w:sz w:val="28"/>
          <w:szCs w:val="28"/>
          <w:highlight w:val="none"/>
        </w:rPr>
        <w:t>，南</w:t>
      </w:r>
      <w:r>
        <w:rPr>
          <w:rFonts w:hint="eastAsia" w:hAnsi="宋体"/>
          <w:color w:val="auto"/>
          <w:sz w:val="28"/>
          <w:szCs w:val="28"/>
          <w:highlight w:val="none"/>
          <w:lang w:eastAsia="zh-CN"/>
        </w:rPr>
        <w:t>邻本户外墙皮止</w:t>
      </w:r>
      <w:r>
        <w:rPr>
          <w:rFonts w:hint="eastAsia" w:hAnsi="宋体"/>
          <w:color w:val="auto"/>
          <w:sz w:val="28"/>
          <w:szCs w:val="28"/>
          <w:highlight w:val="none"/>
        </w:rPr>
        <w:t>，西</w:t>
      </w:r>
      <w:r>
        <w:rPr>
          <w:rFonts w:hint="eastAsia" w:hAnsi="宋体"/>
          <w:color w:val="auto"/>
          <w:sz w:val="28"/>
          <w:szCs w:val="28"/>
          <w:highlight w:val="none"/>
          <w:lang w:eastAsia="zh-CN"/>
        </w:rPr>
        <w:t>邻</w:t>
      </w:r>
      <w:r>
        <w:rPr>
          <w:rFonts w:hint="eastAsia" w:hAnsi="宋体"/>
          <w:color w:val="auto"/>
          <w:sz w:val="28"/>
          <w:szCs w:val="28"/>
          <w:highlight w:val="none"/>
          <w:lang w:val="en-US" w:eastAsia="zh-CN"/>
        </w:rPr>
        <w:t>2-601</w:t>
      </w:r>
      <w:r>
        <w:rPr>
          <w:rFonts w:hint="eastAsia" w:hAnsi="宋体"/>
          <w:color w:val="auto"/>
          <w:sz w:val="28"/>
          <w:szCs w:val="28"/>
          <w:highlight w:val="none"/>
        </w:rPr>
        <w:t>，北</w:t>
      </w:r>
      <w:r>
        <w:rPr>
          <w:rFonts w:hint="eastAsia" w:hAnsi="宋体"/>
          <w:color w:val="auto"/>
          <w:sz w:val="28"/>
          <w:szCs w:val="28"/>
          <w:highlight w:val="none"/>
          <w:lang w:eastAsia="zh-CN"/>
        </w:rPr>
        <w:t>邻本户外墙皮止</w:t>
      </w:r>
      <w:r>
        <w:rPr>
          <w:rFonts w:hint="eastAsia" w:ascii="宋体" w:hAnsi="宋体"/>
          <w:color w:val="auto"/>
          <w:kern w:val="0"/>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（3）与重要场所距离：距</w:t>
      </w:r>
      <w:r>
        <w:rPr>
          <w:rFonts w:hint="eastAsia" w:ascii="宋体" w:hAnsi="宋体"/>
          <w:color w:val="auto"/>
          <w:sz w:val="28"/>
          <w:szCs w:val="28"/>
          <w:highlight w:val="none"/>
          <w:lang w:eastAsia="zh-CN"/>
        </w:rPr>
        <w:t>丘北县人民政府</w:t>
      </w:r>
      <w:r>
        <w:rPr>
          <w:rFonts w:hint="eastAsia" w:ascii="宋体" w:hAnsi="宋体"/>
          <w:color w:val="auto"/>
          <w:sz w:val="28"/>
          <w:szCs w:val="28"/>
          <w:highlight w:val="none"/>
          <w:lang w:val="en-US" w:eastAsia="zh-CN"/>
        </w:rPr>
        <w:t>860米，距丘北县椒莲广场1.3公里，距丘北县人民医院1.5公里</w:t>
      </w:r>
      <w:r>
        <w:rPr>
          <w:rFonts w:hint="eastAsia" w:ascii="宋体" w:hAnsi="宋体"/>
          <w:color w:val="auto"/>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（4）临路状况：</w:t>
      </w:r>
      <w:r>
        <w:rPr>
          <w:rFonts w:hint="eastAsia" w:ascii="宋体" w:hAnsi="宋体"/>
          <w:color w:val="auto"/>
          <w:sz w:val="28"/>
          <w:szCs w:val="28"/>
          <w:highlight w:val="none"/>
          <w:lang w:eastAsia="zh-CN"/>
        </w:rPr>
        <w:t>交通较便利，整个小区临一条巷道</w:t>
      </w:r>
      <w:r>
        <w:rPr>
          <w:rFonts w:hint="eastAsia" w:ascii="宋体" w:hAnsi="宋体"/>
          <w:color w:val="auto"/>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（5）朝向：</w:t>
      </w:r>
      <w:r>
        <w:rPr>
          <w:rFonts w:hint="eastAsia" w:ascii="宋体" w:hAnsi="宋体"/>
          <w:color w:val="auto"/>
          <w:sz w:val="28"/>
          <w:szCs w:val="28"/>
          <w:highlight w:val="none"/>
          <w:lang w:eastAsia="zh-CN"/>
        </w:rPr>
        <w:t>朝南</w:t>
      </w:r>
      <w:r>
        <w:rPr>
          <w:rFonts w:hint="eastAsia" w:ascii="宋体" w:hAnsi="宋体"/>
          <w:color w:val="auto"/>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（6）楼层：</w:t>
      </w:r>
      <w:r>
        <w:rPr>
          <w:rFonts w:hint="eastAsia" w:ascii="宋体" w:hAnsi="宋体"/>
          <w:color w:val="auto"/>
          <w:sz w:val="28"/>
          <w:szCs w:val="28"/>
          <w:highlight w:val="none"/>
          <w:lang w:val="en-US" w:eastAsia="zh-CN"/>
        </w:rPr>
        <w:t>6</w:t>
      </w:r>
      <w:r>
        <w:rPr>
          <w:rFonts w:hint="eastAsia" w:ascii="宋体" w:hAnsi="宋体"/>
          <w:color w:val="auto"/>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2、交通状况描述</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（1）道路状况：估价对象位于</w:t>
      </w:r>
      <w:r>
        <w:rPr>
          <w:rFonts w:hint="eastAsia" w:ascii="宋体" w:hAnsi="宋体"/>
          <w:color w:val="auto"/>
          <w:sz w:val="28"/>
          <w:szCs w:val="28"/>
          <w:highlight w:val="none"/>
          <w:lang w:eastAsia="zh-CN"/>
        </w:rPr>
        <w:t>一条巷道，道路较窄</w:t>
      </w:r>
      <w:r>
        <w:rPr>
          <w:rFonts w:hint="eastAsia" w:ascii="宋体" w:hAnsi="宋体"/>
          <w:color w:val="auto"/>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（2）出入可利用的交通工具：</w:t>
      </w:r>
      <w:r>
        <w:rPr>
          <w:rFonts w:hint="eastAsia" w:ascii="宋体" w:hAnsi="宋体"/>
          <w:color w:val="auto"/>
          <w:sz w:val="28"/>
          <w:szCs w:val="28"/>
          <w:highlight w:val="none"/>
          <w:lang w:eastAsia="zh-CN"/>
        </w:rPr>
        <w:t>该区域内有多路</w:t>
      </w:r>
      <w:r>
        <w:rPr>
          <w:rFonts w:hint="eastAsia" w:ascii="宋体" w:hAnsi="宋体"/>
          <w:color w:val="auto"/>
          <w:spacing w:val="22"/>
          <w:sz w:val="28"/>
          <w:szCs w:val="28"/>
          <w:highlight w:val="none"/>
        </w:rPr>
        <w:t>公交车经过</w:t>
      </w:r>
      <w:r>
        <w:rPr>
          <w:rFonts w:hint="eastAsia" w:ascii="宋体" w:hAnsi="宋体"/>
          <w:color w:val="auto"/>
          <w:sz w:val="28"/>
          <w:szCs w:val="28"/>
          <w:highlight w:val="none"/>
        </w:rPr>
        <w:t>；</w:t>
      </w:r>
    </w:p>
    <w:p>
      <w:pPr>
        <w:tabs>
          <w:tab w:val="left" w:pos="360"/>
        </w:tabs>
        <w:spacing w:line="360" w:lineRule="auto"/>
        <w:ind w:right="57" w:firstLine="560" w:firstLineChars="200"/>
        <w:rPr>
          <w:rFonts w:ascii="宋体" w:hAnsi="宋体"/>
          <w:color w:val="auto"/>
          <w:spacing w:val="22"/>
          <w:sz w:val="28"/>
          <w:szCs w:val="28"/>
          <w:highlight w:val="none"/>
        </w:rPr>
      </w:pPr>
      <w:r>
        <w:rPr>
          <w:rFonts w:hint="eastAsia" w:ascii="宋体" w:hAnsi="宋体"/>
          <w:color w:val="auto"/>
          <w:sz w:val="28"/>
          <w:szCs w:val="28"/>
          <w:highlight w:val="none"/>
        </w:rPr>
        <w:t>（3）交通管制情况：</w:t>
      </w:r>
      <w:r>
        <w:rPr>
          <w:rFonts w:hint="eastAsia" w:ascii="宋体" w:hAnsi="宋体"/>
          <w:color w:val="auto"/>
          <w:sz w:val="28"/>
          <w:szCs w:val="28"/>
          <w:highlight w:val="none"/>
          <w:lang w:eastAsia="zh-CN"/>
        </w:rPr>
        <w:t>一些支路和巷道</w:t>
      </w:r>
      <w:r>
        <w:rPr>
          <w:rFonts w:hint="eastAsia" w:ascii="宋体" w:hAnsi="宋体"/>
          <w:color w:val="auto"/>
          <w:sz w:val="28"/>
          <w:szCs w:val="28"/>
          <w:highlight w:val="none"/>
        </w:rPr>
        <w:t>等市政道路组成该区域的交通路网，交通受一定管制。</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（4）停车方便程度：</w:t>
      </w:r>
      <w:r>
        <w:rPr>
          <w:rFonts w:hint="eastAsia" w:ascii="宋体" w:hAnsi="宋体"/>
          <w:color w:val="auto"/>
          <w:sz w:val="28"/>
          <w:szCs w:val="28"/>
          <w:highlight w:val="none"/>
          <w:lang w:eastAsia="zh-CN"/>
        </w:rPr>
        <w:t>估价对象小区内设停车位，停车较方便</w:t>
      </w:r>
      <w:r>
        <w:rPr>
          <w:rFonts w:hint="eastAsia" w:ascii="宋体" w:hAnsi="宋体"/>
          <w:color w:val="auto"/>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3、周围环境状况描述</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（1）自然环境:</w:t>
      </w:r>
      <w:r>
        <w:rPr>
          <w:rFonts w:hint="eastAsia" w:ascii="宋体" w:hAnsi="宋体"/>
          <w:color w:val="auto"/>
          <w:sz w:val="28"/>
          <w:szCs w:val="28"/>
          <w:highlight w:val="none"/>
          <w:lang w:eastAsia="zh-CN"/>
        </w:rPr>
        <w:t>一般</w:t>
      </w:r>
      <w:r>
        <w:rPr>
          <w:rFonts w:hint="eastAsia" w:ascii="宋体" w:hAnsi="宋体"/>
          <w:color w:val="auto"/>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（2）人文环境：人文环境较优；</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（3）景观：环境</w:t>
      </w:r>
      <w:r>
        <w:rPr>
          <w:rFonts w:hint="eastAsia" w:ascii="宋体" w:hAnsi="宋体"/>
          <w:color w:val="auto"/>
          <w:sz w:val="28"/>
          <w:szCs w:val="28"/>
          <w:highlight w:val="none"/>
          <w:lang w:eastAsia="zh-CN"/>
        </w:rPr>
        <w:t>景观较优</w:t>
      </w:r>
      <w:r>
        <w:rPr>
          <w:rFonts w:hint="eastAsia" w:ascii="宋体" w:hAnsi="宋体"/>
          <w:color w:val="auto"/>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4、外部配套设施状况描述</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（1）基础设施：五通一平；</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（2）公共服务设施：</w:t>
      </w:r>
      <w:r>
        <w:rPr>
          <w:rFonts w:hint="eastAsia" w:ascii="宋体" w:hAnsi="宋体"/>
          <w:color w:val="auto"/>
          <w:sz w:val="28"/>
          <w:szCs w:val="28"/>
          <w:highlight w:val="none"/>
          <w:lang w:eastAsia="zh-CN"/>
        </w:rPr>
        <w:t>有百货超市、丘北县审计局、文山州住房公积金管理中心丘北县管理局、丘北县人力资源社会保障局等公共服务设施，丘北县民生职业技术学校、文山州工商信息管理学校学前教育专业实习实训基地等教育设施</w:t>
      </w:r>
      <w:r>
        <w:rPr>
          <w:rFonts w:hint="eastAsia" w:ascii="宋体" w:hAnsi="宋体"/>
          <w:color w:val="auto"/>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5、区位状况分析</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s="仿宋"/>
          <w:color w:val="auto"/>
          <w:sz w:val="28"/>
          <w:szCs w:val="28"/>
          <w:highlight w:val="none"/>
        </w:rPr>
        <w:t>综上所述，估价对象位于</w:t>
      </w:r>
      <w:r>
        <w:rPr>
          <w:rFonts w:hint="eastAsia" w:ascii="宋体" w:hAnsi="宋体"/>
          <w:color w:val="auto"/>
          <w:sz w:val="28"/>
          <w:szCs w:val="28"/>
          <w:highlight w:val="none"/>
          <w:lang w:eastAsia="zh-CN"/>
        </w:rPr>
        <w:t>丘北县锦屏镇石缸坝新城区</w:t>
      </w:r>
      <w:r>
        <w:rPr>
          <w:rFonts w:hint="eastAsia" w:ascii="宋体" w:hAnsi="宋体" w:cs="仿宋"/>
          <w:color w:val="auto"/>
          <w:spacing w:val="20"/>
          <w:sz w:val="28"/>
          <w:szCs w:val="28"/>
          <w:highlight w:val="none"/>
        </w:rPr>
        <w:t>，周边公共</w:t>
      </w:r>
      <w:r>
        <w:rPr>
          <w:rFonts w:hint="eastAsia" w:ascii="宋体" w:hAnsi="宋体" w:cs="仿宋"/>
          <w:color w:val="auto"/>
          <w:spacing w:val="20"/>
          <w:sz w:val="28"/>
          <w:szCs w:val="28"/>
          <w:highlight w:val="none"/>
          <w:lang w:eastAsia="zh-CN"/>
        </w:rPr>
        <w:t>服务设施完善，</w:t>
      </w:r>
      <w:r>
        <w:rPr>
          <w:rFonts w:hint="eastAsia" w:ascii="宋体" w:hAnsi="宋体" w:cs="仿宋"/>
          <w:color w:val="auto"/>
          <w:spacing w:val="20"/>
          <w:sz w:val="28"/>
          <w:szCs w:val="28"/>
          <w:highlight w:val="none"/>
        </w:rPr>
        <w:t>基础设施配套完善，交通</w:t>
      </w:r>
      <w:r>
        <w:rPr>
          <w:rFonts w:hint="eastAsia" w:ascii="宋体" w:hAnsi="宋体" w:cs="仿宋"/>
          <w:color w:val="auto"/>
          <w:spacing w:val="20"/>
          <w:sz w:val="28"/>
          <w:szCs w:val="28"/>
          <w:highlight w:val="none"/>
          <w:lang w:eastAsia="zh-CN"/>
        </w:rPr>
        <w:t>较</w:t>
      </w:r>
      <w:r>
        <w:rPr>
          <w:rFonts w:hint="eastAsia" w:ascii="宋体" w:hAnsi="宋体" w:cs="仿宋"/>
          <w:color w:val="auto"/>
          <w:spacing w:val="20"/>
          <w:sz w:val="28"/>
          <w:szCs w:val="28"/>
          <w:highlight w:val="none"/>
        </w:rPr>
        <w:t>便捷，</w:t>
      </w:r>
      <w:r>
        <w:rPr>
          <w:rFonts w:hint="eastAsia" w:ascii="宋体" w:hAnsi="宋体"/>
          <w:color w:val="auto"/>
          <w:sz w:val="28"/>
          <w:szCs w:val="28"/>
          <w:highlight w:val="none"/>
        </w:rPr>
        <w:t>居住聚集度</w:t>
      </w:r>
      <w:r>
        <w:rPr>
          <w:rFonts w:hint="eastAsia" w:ascii="宋体" w:hAnsi="宋体"/>
          <w:color w:val="auto"/>
          <w:sz w:val="28"/>
          <w:szCs w:val="28"/>
          <w:highlight w:val="none"/>
          <w:lang w:eastAsia="zh-CN"/>
        </w:rPr>
        <w:t>较</w:t>
      </w:r>
      <w:r>
        <w:rPr>
          <w:rFonts w:hint="eastAsia" w:ascii="宋体" w:hAnsi="宋体"/>
          <w:color w:val="auto"/>
          <w:sz w:val="28"/>
          <w:szCs w:val="28"/>
          <w:highlight w:val="none"/>
        </w:rPr>
        <w:t>高</w:t>
      </w:r>
      <w:r>
        <w:rPr>
          <w:rFonts w:hint="eastAsia" w:ascii="宋体" w:hAnsi="宋体" w:cs="仿宋"/>
          <w:color w:val="auto"/>
          <w:spacing w:val="20"/>
          <w:sz w:val="28"/>
          <w:szCs w:val="28"/>
          <w:highlight w:val="none"/>
        </w:rPr>
        <w:t>，</w:t>
      </w:r>
      <w:r>
        <w:rPr>
          <w:rFonts w:hint="eastAsia" w:ascii="宋体" w:hAnsi="宋体" w:cs="仿宋"/>
          <w:color w:val="auto"/>
          <w:spacing w:val="20"/>
          <w:sz w:val="28"/>
          <w:szCs w:val="28"/>
          <w:highlight w:val="none"/>
          <w:lang w:eastAsia="zh-CN"/>
        </w:rPr>
        <w:t>上学较方便，生活一般</w:t>
      </w:r>
      <w:r>
        <w:rPr>
          <w:rFonts w:hint="eastAsia" w:ascii="宋体" w:hAnsi="宋体" w:cs="仿宋"/>
          <w:color w:val="auto"/>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 xml:space="preserve">（二）实物状况描述与分析 </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1、土地实物状况描述</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（1）名称及坐落：</w:t>
      </w:r>
      <w:r>
        <w:rPr>
          <w:rFonts w:hint="eastAsia" w:ascii="宋体" w:hAnsi="宋体"/>
          <w:color w:val="auto"/>
          <w:sz w:val="28"/>
          <w:szCs w:val="28"/>
          <w:highlight w:val="none"/>
          <w:lang w:eastAsia="zh-CN"/>
        </w:rPr>
        <w:t>丘北县锦屏镇石缸坝新城区（和谐景苑小区）</w:t>
      </w:r>
      <w:r>
        <w:rPr>
          <w:rFonts w:hint="eastAsia" w:ascii="宋体" w:hAnsi="宋体"/>
          <w:color w:val="auto"/>
          <w:sz w:val="28"/>
          <w:szCs w:val="28"/>
          <w:highlight w:val="none"/>
          <w:lang w:val="en-US" w:eastAsia="zh-CN"/>
        </w:rPr>
        <w:t>D幢3-602号</w:t>
      </w:r>
      <w:r>
        <w:rPr>
          <w:rFonts w:hint="eastAsia" w:ascii="宋体" w:hAnsi="宋体"/>
          <w:color w:val="auto"/>
          <w:sz w:val="28"/>
          <w:szCs w:val="28"/>
          <w:highlight w:val="none"/>
        </w:rPr>
        <w:t>；</w:t>
      </w:r>
    </w:p>
    <w:p>
      <w:pPr>
        <w:tabs>
          <w:tab w:val="left" w:pos="360"/>
        </w:tabs>
        <w:spacing w:line="360" w:lineRule="auto"/>
        <w:ind w:right="57" w:firstLine="560" w:firstLineChars="200"/>
        <w:rPr>
          <w:rFonts w:hint="eastAsia" w:ascii="宋体" w:hAnsi="宋体" w:eastAsia="宋体"/>
          <w:color w:val="auto"/>
          <w:sz w:val="28"/>
          <w:szCs w:val="28"/>
          <w:highlight w:val="none"/>
          <w:lang w:eastAsia="zh-CN"/>
        </w:rPr>
      </w:pPr>
      <w:r>
        <w:rPr>
          <w:rFonts w:hint="eastAsia" w:ascii="宋体" w:hAnsi="宋体"/>
          <w:color w:val="auto"/>
          <w:sz w:val="28"/>
          <w:szCs w:val="28"/>
          <w:highlight w:val="none"/>
        </w:rPr>
        <w:t>（2）四至：</w:t>
      </w:r>
      <w:r>
        <w:rPr>
          <w:rFonts w:hint="eastAsia" w:hAnsi="宋体"/>
          <w:color w:val="auto"/>
          <w:sz w:val="28"/>
          <w:szCs w:val="28"/>
          <w:highlight w:val="none"/>
        </w:rPr>
        <w:t>东</w:t>
      </w:r>
      <w:r>
        <w:rPr>
          <w:rFonts w:hint="eastAsia" w:hAnsi="宋体"/>
          <w:color w:val="auto"/>
          <w:sz w:val="28"/>
          <w:szCs w:val="28"/>
          <w:highlight w:val="none"/>
          <w:lang w:eastAsia="zh-CN"/>
        </w:rPr>
        <w:t>邻共用楼梯</w:t>
      </w:r>
      <w:r>
        <w:rPr>
          <w:rFonts w:hint="eastAsia" w:hAnsi="宋体"/>
          <w:color w:val="auto"/>
          <w:sz w:val="28"/>
          <w:szCs w:val="28"/>
          <w:highlight w:val="none"/>
        </w:rPr>
        <w:t>，南</w:t>
      </w:r>
      <w:r>
        <w:rPr>
          <w:rFonts w:hint="eastAsia" w:hAnsi="宋体"/>
          <w:color w:val="auto"/>
          <w:sz w:val="28"/>
          <w:szCs w:val="28"/>
          <w:highlight w:val="none"/>
          <w:lang w:eastAsia="zh-CN"/>
        </w:rPr>
        <w:t>邻本户外墙皮止</w:t>
      </w:r>
      <w:r>
        <w:rPr>
          <w:rFonts w:hint="eastAsia" w:hAnsi="宋体"/>
          <w:color w:val="auto"/>
          <w:sz w:val="28"/>
          <w:szCs w:val="28"/>
          <w:highlight w:val="none"/>
        </w:rPr>
        <w:t>，西</w:t>
      </w:r>
      <w:r>
        <w:rPr>
          <w:rFonts w:hint="eastAsia" w:hAnsi="宋体"/>
          <w:color w:val="auto"/>
          <w:sz w:val="28"/>
          <w:szCs w:val="28"/>
          <w:highlight w:val="none"/>
          <w:lang w:eastAsia="zh-CN"/>
        </w:rPr>
        <w:t>邻</w:t>
      </w:r>
      <w:r>
        <w:rPr>
          <w:rFonts w:hint="eastAsia" w:hAnsi="宋体"/>
          <w:color w:val="auto"/>
          <w:sz w:val="28"/>
          <w:szCs w:val="28"/>
          <w:highlight w:val="none"/>
          <w:lang w:val="en-US" w:eastAsia="zh-CN"/>
        </w:rPr>
        <w:t>2-601</w:t>
      </w:r>
      <w:r>
        <w:rPr>
          <w:rFonts w:hint="eastAsia" w:hAnsi="宋体"/>
          <w:color w:val="auto"/>
          <w:sz w:val="28"/>
          <w:szCs w:val="28"/>
          <w:highlight w:val="none"/>
        </w:rPr>
        <w:t>，北</w:t>
      </w:r>
      <w:r>
        <w:rPr>
          <w:rFonts w:hint="eastAsia" w:hAnsi="宋体"/>
          <w:color w:val="auto"/>
          <w:sz w:val="28"/>
          <w:szCs w:val="28"/>
          <w:highlight w:val="none"/>
          <w:lang w:eastAsia="zh-CN"/>
        </w:rPr>
        <w:t>邻本户外墙皮止；</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（3）</w:t>
      </w:r>
      <w:r>
        <w:rPr>
          <w:rFonts w:hint="eastAsia" w:ascii="宋体" w:hAnsi="宋体"/>
          <w:color w:val="auto"/>
          <w:sz w:val="28"/>
          <w:szCs w:val="28"/>
          <w:highlight w:val="none"/>
          <w:lang w:eastAsia="zh-CN"/>
        </w:rPr>
        <w:t>土地使用权</w:t>
      </w:r>
      <w:r>
        <w:rPr>
          <w:rFonts w:hint="eastAsia" w:ascii="宋体" w:hAnsi="宋体"/>
          <w:color w:val="auto"/>
          <w:sz w:val="28"/>
          <w:szCs w:val="28"/>
          <w:highlight w:val="none"/>
        </w:rPr>
        <w:t>面积：</w:t>
      </w:r>
      <w:r>
        <w:rPr>
          <w:rFonts w:hint="eastAsia" w:ascii="宋体" w:hAnsi="宋体"/>
          <w:color w:val="auto"/>
          <w:sz w:val="28"/>
          <w:szCs w:val="28"/>
          <w:highlight w:val="none"/>
          <w:lang w:val="en-US" w:eastAsia="zh-CN"/>
        </w:rPr>
        <w:t>不清</w:t>
      </w:r>
      <w:r>
        <w:rPr>
          <w:rFonts w:hint="eastAsia" w:ascii="宋体" w:hAnsi="宋体"/>
          <w:color w:val="auto"/>
          <w:sz w:val="28"/>
          <w:szCs w:val="28"/>
          <w:highlight w:val="none"/>
        </w:rPr>
        <w:t>；</w:t>
      </w:r>
    </w:p>
    <w:p>
      <w:pPr>
        <w:pStyle w:val="10"/>
        <w:spacing w:line="360" w:lineRule="auto"/>
        <w:ind w:firstLine="560"/>
        <w:contextualSpacing/>
        <w:rPr>
          <w:rFonts w:hAnsi="宋体"/>
          <w:bCs/>
          <w:color w:val="auto"/>
          <w:sz w:val="28"/>
          <w:szCs w:val="28"/>
          <w:highlight w:val="none"/>
        </w:rPr>
      </w:pPr>
      <w:r>
        <w:rPr>
          <w:rFonts w:hint="eastAsia" w:hAnsi="宋体"/>
          <w:color w:val="auto"/>
          <w:sz w:val="28"/>
          <w:szCs w:val="28"/>
          <w:highlight w:val="none"/>
        </w:rPr>
        <w:t>（4）用途：</w:t>
      </w:r>
      <w:r>
        <w:rPr>
          <w:rFonts w:hint="eastAsia" w:hAnsi="宋体"/>
          <w:color w:val="auto"/>
          <w:sz w:val="28"/>
          <w:szCs w:val="28"/>
          <w:highlight w:val="none"/>
          <w:lang w:eastAsia="zh-CN"/>
        </w:rPr>
        <w:t>不清</w:t>
      </w:r>
      <w:r>
        <w:rPr>
          <w:rFonts w:hint="eastAsia" w:hAnsi="宋体"/>
          <w:bCs/>
          <w:color w:val="auto"/>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（3）形状：</w:t>
      </w:r>
      <w:r>
        <w:rPr>
          <w:rFonts w:hint="eastAsia" w:ascii="宋体" w:hAnsi="宋体"/>
          <w:color w:val="auto"/>
          <w:kern w:val="0"/>
          <w:sz w:val="28"/>
          <w:szCs w:val="28"/>
          <w:highlight w:val="none"/>
        </w:rPr>
        <w:t>较规则</w:t>
      </w:r>
      <w:r>
        <w:rPr>
          <w:rFonts w:hint="eastAsia" w:ascii="宋体" w:hAnsi="宋体"/>
          <w:color w:val="auto"/>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（6）地形地势：</w:t>
      </w:r>
      <w:r>
        <w:rPr>
          <w:rFonts w:hint="eastAsia" w:ascii="宋体" w:hAnsi="宋体"/>
          <w:color w:val="auto"/>
          <w:sz w:val="28"/>
          <w:szCs w:val="28"/>
          <w:highlight w:val="none"/>
          <w:lang w:eastAsia="zh-CN"/>
        </w:rPr>
        <w:t>地形微斜，地势</w:t>
      </w:r>
      <w:r>
        <w:rPr>
          <w:rFonts w:hint="eastAsia" w:ascii="宋体" w:hAnsi="宋体"/>
          <w:color w:val="auto"/>
          <w:kern w:val="0"/>
          <w:sz w:val="28"/>
          <w:szCs w:val="28"/>
          <w:highlight w:val="none"/>
        </w:rPr>
        <w:t>平坦</w:t>
      </w:r>
      <w:r>
        <w:rPr>
          <w:rFonts w:hint="eastAsia" w:ascii="宋体" w:hAnsi="宋体"/>
          <w:color w:val="auto"/>
          <w:sz w:val="28"/>
          <w:szCs w:val="28"/>
          <w:highlight w:val="none"/>
        </w:rPr>
        <w:t>；</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（7）开发程度：即宗地红线内五通一平（通供水、通排水、通路、通电、通讯，宗地内场地平整）；</w:t>
      </w:r>
    </w:p>
    <w:p>
      <w:pPr>
        <w:pStyle w:val="10"/>
        <w:spacing w:line="360" w:lineRule="auto"/>
        <w:ind w:firstLine="560"/>
        <w:contextualSpacing/>
        <w:rPr>
          <w:rFonts w:hAnsi="宋体"/>
          <w:color w:val="auto"/>
          <w:kern w:val="0"/>
          <w:sz w:val="28"/>
          <w:szCs w:val="28"/>
          <w:highlight w:val="none"/>
        </w:rPr>
      </w:pPr>
      <w:r>
        <w:rPr>
          <w:rFonts w:hint="eastAsia" w:hAnsi="宋体"/>
          <w:color w:val="auto"/>
          <w:sz w:val="28"/>
          <w:szCs w:val="28"/>
          <w:highlight w:val="none"/>
        </w:rPr>
        <w:t>（8）土地利用状况：该宗土地涉及</w:t>
      </w:r>
      <w:r>
        <w:rPr>
          <w:rFonts w:hint="eastAsia" w:hAnsi="宋体"/>
          <w:color w:val="auto"/>
          <w:sz w:val="28"/>
          <w:szCs w:val="28"/>
          <w:highlight w:val="none"/>
          <w:lang w:val="en-US" w:eastAsia="zh-CN"/>
        </w:rPr>
        <w:t>1</w:t>
      </w:r>
      <w:r>
        <w:rPr>
          <w:rFonts w:hint="eastAsia" w:hAnsi="宋体"/>
          <w:color w:val="auto"/>
          <w:sz w:val="28"/>
          <w:szCs w:val="28"/>
          <w:highlight w:val="none"/>
          <w:lang w:eastAsia="zh-CN"/>
        </w:rPr>
        <w:t>幢房屋</w:t>
      </w:r>
      <w:r>
        <w:rPr>
          <w:rFonts w:hint="eastAsia" w:hAnsi="宋体"/>
          <w:color w:val="auto"/>
          <w:sz w:val="28"/>
          <w:szCs w:val="28"/>
          <w:highlight w:val="none"/>
        </w:rPr>
        <w:t>，</w:t>
      </w:r>
      <w:r>
        <w:rPr>
          <w:rFonts w:hint="eastAsia" w:hAnsi="宋体"/>
          <w:color w:val="auto"/>
          <w:sz w:val="28"/>
          <w:szCs w:val="28"/>
          <w:highlight w:val="none"/>
          <w:lang w:eastAsia="zh-CN"/>
        </w:rPr>
        <w:t>目前为自用</w:t>
      </w:r>
      <w:r>
        <w:rPr>
          <w:rFonts w:hint="eastAsia" w:hAnsi="宋体"/>
          <w:color w:val="auto"/>
          <w:kern w:val="0"/>
          <w:sz w:val="28"/>
          <w:szCs w:val="28"/>
          <w:highlight w:val="none"/>
        </w:rPr>
        <w:t>。</w:t>
      </w:r>
    </w:p>
    <w:p>
      <w:pPr>
        <w:pStyle w:val="10"/>
        <w:spacing w:line="360" w:lineRule="auto"/>
        <w:ind w:firstLine="560"/>
        <w:contextualSpacing/>
        <w:rPr>
          <w:rFonts w:hAnsi="宋体"/>
          <w:color w:val="auto"/>
          <w:kern w:val="0"/>
          <w:sz w:val="28"/>
          <w:szCs w:val="28"/>
          <w:highlight w:val="none"/>
        </w:rPr>
      </w:pPr>
      <w:r>
        <w:rPr>
          <w:rFonts w:hint="eastAsia" w:hAnsi="宋体"/>
          <w:color w:val="auto"/>
          <w:kern w:val="0"/>
          <w:sz w:val="28"/>
          <w:szCs w:val="28"/>
          <w:highlight w:val="none"/>
        </w:rPr>
        <w:t>2、建筑物实物状况描述</w:t>
      </w:r>
    </w:p>
    <w:p>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w:t>
      </w:r>
      <w:r>
        <w:rPr>
          <w:rFonts w:hint="eastAsia" w:hAnsi="宋体"/>
          <w:color w:val="auto"/>
          <w:sz w:val="28"/>
          <w:szCs w:val="28"/>
          <w:highlight w:val="none"/>
          <w:lang w:eastAsia="zh-CN"/>
        </w:rPr>
        <w:t>建筑面积：</w:t>
      </w:r>
      <w:r>
        <w:rPr>
          <w:rFonts w:hint="eastAsia" w:hAnsi="宋体"/>
          <w:color w:val="auto"/>
          <w:sz w:val="28"/>
          <w:szCs w:val="28"/>
          <w:highlight w:val="none"/>
          <w:lang w:val="en-US" w:eastAsia="zh-CN"/>
        </w:rPr>
        <w:t>73.73m</w:t>
      </w:r>
      <w:r>
        <w:rPr>
          <w:rFonts w:hint="eastAsia" w:hAnsi="宋体"/>
          <w:color w:val="auto"/>
          <w:sz w:val="28"/>
          <w:szCs w:val="28"/>
          <w:highlight w:val="none"/>
          <w:vertAlign w:val="superscript"/>
          <w:lang w:val="en-US" w:eastAsia="zh-CN"/>
        </w:rPr>
        <w:t>2</w:t>
      </w:r>
      <w:r>
        <w:rPr>
          <w:rFonts w:hint="eastAsia" w:hAnsi="宋体"/>
          <w:color w:val="auto"/>
          <w:sz w:val="28"/>
          <w:szCs w:val="28"/>
          <w:highlight w:val="none"/>
          <w:vertAlign w:val="baseline"/>
          <w:lang w:val="en-US" w:eastAsia="zh-CN"/>
        </w:rPr>
        <w:t>（其中：套内建筑面积65.61m</w:t>
      </w:r>
      <w:r>
        <w:rPr>
          <w:rFonts w:hint="eastAsia" w:hAnsi="宋体"/>
          <w:color w:val="auto"/>
          <w:sz w:val="28"/>
          <w:szCs w:val="28"/>
          <w:highlight w:val="none"/>
          <w:vertAlign w:val="superscript"/>
          <w:lang w:val="en-US" w:eastAsia="zh-CN"/>
        </w:rPr>
        <w:t>2</w:t>
      </w:r>
      <w:r>
        <w:rPr>
          <w:rFonts w:hint="eastAsia" w:hAnsi="宋体"/>
          <w:color w:val="auto"/>
          <w:sz w:val="28"/>
          <w:szCs w:val="28"/>
          <w:highlight w:val="none"/>
          <w:vertAlign w:val="baseline"/>
          <w:lang w:val="en-US" w:eastAsia="zh-CN"/>
        </w:rPr>
        <w:t>，分摊面积8.12m</w:t>
      </w:r>
      <w:r>
        <w:rPr>
          <w:rFonts w:hint="eastAsia" w:hAnsi="宋体"/>
          <w:color w:val="auto"/>
          <w:sz w:val="28"/>
          <w:szCs w:val="28"/>
          <w:highlight w:val="none"/>
          <w:vertAlign w:val="superscript"/>
          <w:lang w:val="en-US" w:eastAsia="zh-CN"/>
        </w:rPr>
        <w:t>2</w:t>
      </w:r>
      <w:r>
        <w:rPr>
          <w:rFonts w:hint="eastAsia" w:hAnsi="宋体"/>
          <w:color w:val="auto"/>
          <w:sz w:val="28"/>
          <w:szCs w:val="28"/>
          <w:highlight w:val="none"/>
          <w:vertAlign w:val="baseline"/>
          <w:lang w:val="en-US" w:eastAsia="zh-CN"/>
        </w:rPr>
        <w:t>）</w:t>
      </w:r>
    </w:p>
    <w:p>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（2）用途：</w:t>
      </w:r>
      <w:r>
        <w:rPr>
          <w:rFonts w:hint="eastAsia" w:ascii="宋体" w:hAnsi="宋体"/>
          <w:color w:val="auto"/>
          <w:sz w:val="28"/>
          <w:szCs w:val="28"/>
          <w:highlight w:val="none"/>
          <w:lang w:eastAsia="zh-CN"/>
        </w:rPr>
        <w:t>住宅</w:t>
      </w:r>
      <w:r>
        <w:rPr>
          <w:rFonts w:hint="eastAsia" w:ascii="宋体" w:hAnsi="宋体"/>
          <w:color w:val="auto"/>
          <w:sz w:val="28"/>
          <w:szCs w:val="28"/>
          <w:highlight w:val="none"/>
        </w:rPr>
        <w:t>；</w:t>
      </w:r>
    </w:p>
    <w:p>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（3）层数:总层数为</w:t>
      </w:r>
      <w:r>
        <w:rPr>
          <w:rFonts w:hint="eastAsia" w:ascii="宋体" w:hAnsi="宋体"/>
          <w:color w:val="auto"/>
          <w:sz w:val="28"/>
          <w:szCs w:val="28"/>
          <w:highlight w:val="none"/>
          <w:lang w:val="en-US" w:eastAsia="zh-CN"/>
        </w:rPr>
        <w:t>6</w:t>
      </w:r>
      <w:r>
        <w:rPr>
          <w:rFonts w:hint="eastAsia" w:ascii="宋体" w:hAnsi="宋体"/>
          <w:color w:val="auto"/>
          <w:sz w:val="28"/>
          <w:szCs w:val="28"/>
          <w:highlight w:val="none"/>
        </w:rPr>
        <w:t>层，所在层为</w:t>
      </w:r>
      <w:r>
        <w:rPr>
          <w:rFonts w:hint="eastAsia" w:ascii="宋体" w:hAnsi="宋体"/>
          <w:color w:val="auto"/>
          <w:sz w:val="28"/>
          <w:szCs w:val="28"/>
          <w:highlight w:val="none"/>
          <w:lang w:val="en-US" w:eastAsia="zh-CN"/>
        </w:rPr>
        <w:t>6</w:t>
      </w:r>
      <w:r>
        <w:rPr>
          <w:rFonts w:hint="eastAsia" w:ascii="宋体" w:hAnsi="宋体"/>
          <w:color w:val="auto"/>
          <w:sz w:val="28"/>
          <w:szCs w:val="28"/>
          <w:highlight w:val="none"/>
        </w:rPr>
        <w:t>层；</w:t>
      </w:r>
    </w:p>
    <w:p>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（4）朝向：</w:t>
      </w:r>
      <w:r>
        <w:rPr>
          <w:rFonts w:hint="eastAsia" w:ascii="宋体" w:hAnsi="宋体"/>
          <w:color w:val="auto"/>
          <w:sz w:val="28"/>
          <w:szCs w:val="28"/>
          <w:highlight w:val="none"/>
          <w:lang w:eastAsia="zh-CN"/>
        </w:rPr>
        <w:t>朝南</w:t>
      </w:r>
      <w:r>
        <w:rPr>
          <w:rFonts w:hint="eastAsia" w:ascii="宋体" w:hAnsi="宋体"/>
          <w:color w:val="auto"/>
          <w:sz w:val="28"/>
          <w:szCs w:val="28"/>
          <w:highlight w:val="none"/>
        </w:rPr>
        <w:t>；</w:t>
      </w:r>
    </w:p>
    <w:p>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（5）建筑结构：</w:t>
      </w:r>
      <w:r>
        <w:rPr>
          <w:rFonts w:hint="eastAsia" w:ascii="宋体" w:hAnsi="宋体"/>
          <w:color w:val="auto"/>
          <w:sz w:val="28"/>
          <w:szCs w:val="28"/>
          <w:highlight w:val="none"/>
          <w:lang w:eastAsia="zh-CN"/>
        </w:rPr>
        <w:t>砖混</w:t>
      </w:r>
      <w:r>
        <w:rPr>
          <w:rFonts w:hint="eastAsia" w:ascii="宋体" w:hAnsi="宋体"/>
          <w:color w:val="auto"/>
          <w:sz w:val="28"/>
          <w:szCs w:val="28"/>
          <w:highlight w:val="none"/>
        </w:rPr>
        <w:t>结构；</w:t>
      </w:r>
    </w:p>
    <w:p>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（6）设施设备：水电、消防等设施齐全；</w:t>
      </w:r>
    </w:p>
    <w:p>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w:t>
      </w:r>
      <w:r>
        <w:rPr>
          <w:rFonts w:hint="eastAsia" w:ascii="宋体" w:hAnsi="宋体"/>
          <w:color w:val="auto"/>
          <w:sz w:val="28"/>
          <w:szCs w:val="28"/>
          <w:highlight w:val="none"/>
          <w:lang w:val="en-US" w:eastAsia="zh-CN"/>
        </w:rPr>
        <w:t>7</w:t>
      </w:r>
      <w:r>
        <w:rPr>
          <w:rFonts w:hint="eastAsia" w:ascii="宋体" w:hAnsi="宋体"/>
          <w:color w:val="auto"/>
          <w:sz w:val="28"/>
          <w:szCs w:val="28"/>
          <w:highlight w:val="none"/>
        </w:rPr>
        <w:t>）层高：</w:t>
      </w:r>
      <w:r>
        <w:rPr>
          <w:rFonts w:hint="eastAsia" w:ascii="宋体" w:hAnsi="宋体"/>
          <w:color w:val="auto"/>
          <w:sz w:val="28"/>
          <w:szCs w:val="28"/>
          <w:highlight w:val="none"/>
          <w:lang w:eastAsia="zh-CN"/>
        </w:rPr>
        <w:t>约</w:t>
      </w:r>
      <w:r>
        <w:rPr>
          <w:rFonts w:hint="eastAsia" w:ascii="宋体" w:hAnsi="宋体"/>
          <w:color w:val="auto"/>
          <w:sz w:val="28"/>
          <w:szCs w:val="28"/>
          <w:highlight w:val="none"/>
          <w:lang w:val="en-US" w:eastAsia="zh-CN"/>
        </w:rPr>
        <w:t>3.2米</w:t>
      </w:r>
      <w:r>
        <w:rPr>
          <w:rFonts w:hint="eastAsia" w:ascii="宋体" w:hAnsi="宋体"/>
          <w:color w:val="auto"/>
          <w:sz w:val="28"/>
          <w:szCs w:val="28"/>
          <w:highlight w:val="none"/>
        </w:rPr>
        <w:t>；</w:t>
      </w:r>
    </w:p>
    <w:p>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w:t>
      </w:r>
      <w:r>
        <w:rPr>
          <w:rFonts w:hint="eastAsia" w:ascii="宋体" w:hAnsi="宋体"/>
          <w:color w:val="auto"/>
          <w:sz w:val="28"/>
          <w:szCs w:val="28"/>
          <w:highlight w:val="none"/>
          <w:lang w:val="en-US" w:eastAsia="zh-CN"/>
        </w:rPr>
        <w:t>8</w:t>
      </w:r>
      <w:r>
        <w:rPr>
          <w:rFonts w:hint="eastAsia" w:ascii="宋体" w:hAnsi="宋体"/>
          <w:color w:val="auto"/>
          <w:sz w:val="28"/>
          <w:szCs w:val="28"/>
          <w:highlight w:val="none"/>
        </w:rPr>
        <w:t>）建成时间：</w:t>
      </w:r>
      <w:r>
        <w:rPr>
          <w:rFonts w:hint="eastAsia" w:ascii="宋体" w:hAnsi="宋体"/>
          <w:color w:val="auto"/>
          <w:sz w:val="28"/>
          <w:szCs w:val="28"/>
          <w:highlight w:val="none"/>
          <w:lang w:eastAsia="zh-CN"/>
        </w:rPr>
        <w:t>20</w:t>
      </w:r>
      <w:r>
        <w:rPr>
          <w:rFonts w:hint="eastAsia" w:ascii="宋体" w:hAnsi="宋体"/>
          <w:color w:val="auto"/>
          <w:sz w:val="28"/>
          <w:szCs w:val="28"/>
          <w:highlight w:val="none"/>
          <w:lang w:val="en-US" w:eastAsia="zh-CN"/>
        </w:rPr>
        <w:t>08</w:t>
      </w:r>
      <w:r>
        <w:rPr>
          <w:rFonts w:hint="eastAsia" w:ascii="宋体" w:hAnsi="宋体"/>
          <w:color w:val="auto"/>
          <w:sz w:val="28"/>
          <w:szCs w:val="28"/>
          <w:highlight w:val="none"/>
        </w:rPr>
        <w:t>年；</w:t>
      </w:r>
    </w:p>
    <w:p>
      <w:pPr>
        <w:adjustRightInd w:val="0"/>
        <w:snapToGrid w:val="0"/>
        <w:spacing w:line="360" w:lineRule="auto"/>
        <w:ind w:firstLine="560" w:firstLineChars="200"/>
        <w:rPr>
          <w:rFonts w:hint="eastAsia" w:ascii="宋体" w:hAnsi="宋体"/>
          <w:color w:val="auto"/>
          <w:sz w:val="28"/>
          <w:szCs w:val="28"/>
          <w:highlight w:val="none"/>
          <w:lang w:val="en-US" w:eastAsia="zh-CN"/>
        </w:rPr>
      </w:pPr>
      <w:r>
        <w:rPr>
          <w:rFonts w:hint="eastAsia" w:ascii="宋体" w:hAnsi="宋体"/>
          <w:color w:val="auto"/>
          <w:sz w:val="28"/>
          <w:szCs w:val="28"/>
          <w:highlight w:val="none"/>
        </w:rPr>
        <w:t>（</w:t>
      </w:r>
      <w:r>
        <w:rPr>
          <w:rFonts w:hint="eastAsia" w:ascii="宋体" w:hAnsi="宋体"/>
          <w:color w:val="auto"/>
          <w:sz w:val="28"/>
          <w:szCs w:val="28"/>
          <w:highlight w:val="none"/>
          <w:lang w:val="en-US" w:eastAsia="zh-CN"/>
        </w:rPr>
        <w:t>9</w:t>
      </w:r>
      <w:r>
        <w:rPr>
          <w:rFonts w:hint="eastAsia" w:ascii="宋体" w:hAnsi="宋体"/>
          <w:color w:val="auto"/>
          <w:sz w:val="28"/>
          <w:szCs w:val="28"/>
          <w:highlight w:val="none"/>
        </w:rPr>
        <w:t>）装饰装修：</w:t>
      </w:r>
      <w:r>
        <w:rPr>
          <w:rFonts w:hint="eastAsia" w:ascii="宋体" w:hAnsi="宋体"/>
          <w:color w:val="auto"/>
          <w:sz w:val="28"/>
          <w:szCs w:val="28"/>
          <w:highlight w:val="none"/>
          <w:lang w:eastAsia="zh-CN"/>
        </w:rPr>
        <w:t>外墙刷涂料，由于产权人未到现场，估价师未能入户，室内装修设定为一般</w:t>
      </w:r>
      <w:r>
        <w:rPr>
          <w:rFonts w:hint="eastAsia" w:ascii="宋体" w:hAnsi="宋体"/>
          <w:color w:val="auto"/>
          <w:sz w:val="28"/>
          <w:szCs w:val="28"/>
          <w:highlight w:val="none"/>
          <w:lang w:val="en-US" w:eastAsia="zh-CN"/>
        </w:rPr>
        <w:t>装修；</w:t>
      </w:r>
    </w:p>
    <w:p>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w:t>
      </w:r>
      <w:r>
        <w:rPr>
          <w:rFonts w:hint="eastAsia" w:ascii="宋体" w:hAnsi="宋体"/>
          <w:color w:val="auto"/>
          <w:sz w:val="28"/>
          <w:szCs w:val="28"/>
          <w:highlight w:val="none"/>
          <w:lang w:val="en-US" w:eastAsia="zh-CN"/>
        </w:rPr>
        <w:t>0</w:t>
      </w:r>
      <w:r>
        <w:rPr>
          <w:rFonts w:hint="eastAsia" w:ascii="宋体" w:hAnsi="宋体"/>
          <w:color w:val="auto"/>
          <w:sz w:val="28"/>
          <w:szCs w:val="28"/>
          <w:highlight w:val="none"/>
        </w:rPr>
        <w:t>）使用及维护状况、完损状况：</w:t>
      </w:r>
      <w:r>
        <w:rPr>
          <w:rFonts w:hint="eastAsia" w:ascii="宋体" w:hAnsi="宋体"/>
          <w:color w:val="auto"/>
          <w:sz w:val="28"/>
          <w:szCs w:val="28"/>
          <w:highlight w:val="none"/>
          <w:lang w:eastAsia="zh-CN"/>
        </w:rPr>
        <w:t>维护保养较差；完损状况：基本完好</w:t>
      </w:r>
      <w:r>
        <w:rPr>
          <w:rFonts w:hint="eastAsia" w:ascii="宋体" w:hAnsi="宋体"/>
          <w:color w:val="auto"/>
          <w:sz w:val="28"/>
          <w:szCs w:val="28"/>
          <w:highlight w:val="none"/>
        </w:rPr>
        <w:t>。</w:t>
      </w:r>
    </w:p>
    <w:p>
      <w:pPr>
        <w:adjustRightInd w:val="0"/>
        <w:snapToGrid w:val="0"/>
        <w:spacing w:line="360" w:lineRule="auto"/>
        <w:ind w:left="420"/>
        <w:rPr>
          <w:rFonts w:ascii="宋体" w:hAnsi="宋体"/>
          <w:color w:val="auto"/>
          <w:sz w:val="28"/>
          <w:szCs w:val="28"/>
          <w:highlight w:val="none"/>
        </w:rPr>
      </w:pPr>
      <w:r>
        <w:rPr>
          <w:rFonts w:hint="eastAsia" w:ascii="宋体" w:hAnsi="宋体"/>
          <w:color w:val="auto"/>
          <w:sz w:val="28"/>
          <w:szCs w:val="28"/>
          <w:highlight w:val="none"/>
        </w:rPr>
        <w:t>3、实物状况分析</w:t>
      </w:r>
    </w:p>
    <w:p>
      <w:pPr>
        <w:adjustRightInd w:val="0"/>
        <w:snapToGrid w:val="0"/>
        <w:spacing w:line="360" w:lineRule="auto"/>
        <w:ind w:firstLine="560"/>
        <w:rPr>
          <w:rFonts w:ascii="宋体" w:hAnsi="宋体"/>
          <w:color w:val="auto"/>
          <w:sz w:val="28"/>
          <w:szCs w:val="28"/>
          <w:highlight w:val="none"/>
        </w:rPr>
      </w:pPr>
      <w:r>
        <w:rPr>
          <w:rFonts w:hint="eastAsia" w:ascii="宋体" w:hAnsi="宋体" w:cs="宋体"/>
          <w:color w:val="auto"/>
          <w:sz w:val="28"/>
          <w:szCs w:val="28"/>
          <w:highlight w:val="none"/>
        </w:rPr>
        <w:t>综上所述，该宗地形状较规则，地势平坦，利用状况较好；房屋建于</w:t>
      </w:r>
      <w:r>
        <w:rPr>
          <w:rFonts w:hint="eastAsia" w:ascii="宋体" w:hAnsi="宋体" w:cs="宋体"/>
          <w:color w:val="auto"/>
          <w:sz w:val="28"/>
          <w:szCs w:val="28"/>
          <w:highlight w:val="none"/>
          <w:lang w:eastAsia="zh-CN"/>
        </w:rPr>
        <w:t>20</w:t>
      </w:r>
      <w:r>
        <w:rPr>
          <w:rFonts w:hint="eastAsia" w:ascii="宋体" w:hAnsi="宋体" w:cs="宋体"/>
          <w:color w:val="auto"/>
          <w:sz w:val="28"/>
          <w:szCs w:val="28"/>
          <w:highlight w:val="none"/>
          <w:lang w:val="en-US" w:eastAsia="zh-CN"/>
        </w:rPr>
        <w:t>08</w:t>
      </w:r>
      <w:r>
        <w:rPr>
          <w:rFonts w:hint="eastAsia" w:ascii="宋体" w:hAnsi="宋体" w:cs="宋体"/>
          <w:color w:val="auto"/>
          <w:sz w:val="28"/>
          <w:szCs w:val="28"/>
          <w:highlight w:val="none"/>
        </w:rPr>
        <w:t>年，维护保养</w:t>
      </w:r>
      <w:r>
        <w:rPr>
          <w:rFonts w:hint="eastAsia" w:ascii="宋体" w:hAnsi="宋体" w:cs="宋体"/>
          <w:color w:val="auto"/>
          <w:sz w:val="28"/>
          <w:szCs w:val="28"/>
          <w:highlight w:val="none"/>
          <w:lang w:eastAsia="zh-CN"/>
        </w:rPr>
        <w:t>为较较差</w:t>
      </w:r>
      <w:r>
        <w:rPr>
          <w:rFonts w:hint="eastAsia" w:ascii="宋体" w:hAnsi="宋体" w:cs="宋体"/>
          <w:color w:val="auto"/>
          <w:sz w:val="28"/>
          <w:szCs w:val="28"/>
          <w:highlight w:val="none"/>
        </w:rPr>
        <w:t>，房屋空间布局较合理，作为</w:t>
      </w:r>
      <w:r>
        <w:rPr>
          <w:rFonts w:hint="eastAsia" w:ascii="宋体" w:hAnsi="宋体" w:cs="宋体"/>
          <w:color w:val="auto"/>
          <w:sz w:val="28"/>
          <w:szCs w:val="28"/>
          <w:highlight w:val="none"/>
          <w:lang w:val="en-US" w:eastAsia="zh-CN"/>
        </w:rPr>
        <w:t>住宅用房基础</w:t>
      </w:r>
      <w:r>
        <w:rPr>
          <w:rFonts w:hint="eastAsia" w:ascii="宋体" w:hAnsi="宋体" w:cs="宋体"/>
          <w:color w:val="auto"/>
          <w:sz w:val="28"/>
          <w:szCs w:val="28"/>
          <w:highlight w:val="none"/>
        </w:rPr>
        <w:t>配套设施完善。</w:t>
      </w:r>
    </w:p>
    <w:p>
      <w:pPr>
        <w:tabs>
          <w:tab w:val="left" w:pos="360"/>
        </w:tabs>
        <w:spacing w:line="360" w:lineRule="auto"/>
        <w:ind w:right="57" w:firstLine="560" w:firstLineChars="200"/>
        <w:rPr>
          <w:rFonts w:ascii="宋体" w:hAnsi="宋体"/>
          <w:color w:val="auto"/>
          <w:sz w:val="28"/>
          <w:szCs w:val="28"/>
          <w:highlight w:val="none"/>
        </w:rPr>
      </w:pPr>
      <w:r>
        <w:rPr>
          <w:rFonts w:hint="eastAsia" w:ascii="宋体" w:hAnsi="宋体"/>
          <w:color w:val="auto"/>
          <w:sz w:val="28"/>
          <w:szCs w:val="28"/>
          <w:highlight w:val="none"/>
        </w:rPr>
        <w:t>（三）权益状况描述与分析</w:t>
      </w:r>
    </w:p>
    <w:p>
      <w:pPr>
        <w:adjustRightInd w:val="0"/>
        <w:snapToGrid w:val="0"/>
        <w:spacing w:line="360" w:lineRule="auto"/>
        <w:ind w:firstLine="560" w:firstLineChars="200"/>
        <w:rPr>
          <w:rFonts w:hint="eastAsia" w:hAnsi="宋体" w:eastAsia="宋体"/>
          <w:color w:val="auto"/>
          <w:sz w:val="28"/>
          <w:szCs w:val="28"/>
          <w:highlight w:val="none"/>
          <w:lang w:eastAsia="zh-CN"/>
        </w:rPr>
      </w:pPr>
      <w:r>
        <w:rPr>
          <w:rFonts w:hint="eastAsia" w:hAnsi="宋体"/>
          <w:color w:val="auto"/>
          <w:sz w:val="28"/>
          <w:szCs w:val="28"/>
          <w:highlight w:val="none"/>
        </w:rPr>
        <w:t>（1）</w:t>
      </w:r>
      <w:r>
        <w:rPr>
          <w:rFonts w:hint="eastAsia" w:hAnsi="宋体"/>
          <w:color w:val="auto"/>
          <w:sz w:val="28"/>
          <w:szCs w:val="28"/>
          <w:highlight w:val="none"/>
          <w:lang w:eastAsia="zh-CN"/>
        </w:rPr>
        <w:t>土地权益状况</w:t>
      </w:r>
    </w:p>
    <w:p>
      <w:pPr>
        <w:adjustRightInd w:val="0"/>
        <w:snapToGrid w:val="0"/>
        <w:spacing w:line="360" w:lineRule="auto"/>
        <w:ind w:firstLine="560" w:firstLineChars="200"/>
        <w:rPr>
          <w:rFonts w:hint="eastAsia" w:hAnsi="宋体"/>
          <w:color w:val="auto"/>
          <w:sz w:val="28"/>
          <w:szCs w:val="28"/>
          <w:highlight w:val="none"/>
          <w:lang w:eastAsia="zh-CN"/>
        </w:rPr>
      </w:pPr>
      <w:r>
        <w:rPr>
          <w:rFonts w:hint="eastAsia" w:hAnsi="宋体"/>
          <w:color w:val="auto"/>
          <w:sz w:val="28"/>
          <w:szCs w:val="28"/>
          <w:highlight w:val="none"/>
          <w:lang w:eastAsia="zh-CN"/>
        </w:rPr>
        <w:t>①委托方未提供估价对象《土地使用证》</w:t>
      </w:r>
    </w:p>
    <w:p>
      <w:pPr>
        <w:adjustRightInd w:val="0"/>
        <w:snapToGrid w:val="0"/>
        <w:spacing w:line="360" w:lineRule="auto"/>
        <w:ind w:firstLine="560" w:firstLineChars="200"/>
        <w:rPr>
          <w:rFonts w:hint="default" w:hAnsi="宋体"/>
          <w:color w:val="auto"/>
          <w:sz w:val="28"/>
          <w:szCs w:val="28"/>
          <w:highlight w:val="none"/>
          <w:lang w:val="en-US" w:eastAsia="zh-CN"/>
        </w:rPr>
      </w:pPr>
      <w:r>
        <w:rPr>
          <w:rFonts w:hint="eastAsia" w:hAnsi="宋体"/>
          <w:color w:val="auto"/>
          <w:sz w:val="28"/>
          <w:szCs w:val="28"/>
          <w:highlight w:val="none"/>
          <w:lang w:eastAsia="zh-CN"/>
        </w:rPr>
        <w:t>②地号：</w:t>
      </w:r>
      <w:r>
        <w:rPr>
          <w:rFonts w:hint="eastAsia" w:hAnsi="宋体"/>
          <w:color w:val="auto"/>
          <w:sz w:val="28"/>
          <w:szCs w:val="28"/>
          <w:highlight w:val="none"/>
          <w:lang w:val="en-US" w:eastAsia="zh-CN"/>
        </w:rPr>
        <w:t>不清</w:t>
      </w:r>
    </w:p>
    <w:p>
      <w:pPr>
        <w:adjustRightInd w:val="0"/>
        <w:snapToGrid w:val="0"/>
        <w:spacing w:line="360" w:lineRule="auto"/>
        <w:ind w:firstLine="560" w:firstLineChars="200"/>
        <w:rPr>
          <w:rFonts w:hint="eastAsia" w:hAnsi="宋体"/>
          <w:color w:val="auto"/>
          <w:sz w:val="28"/>
          <w:szCs w:val="28"/>
          <w:highlight w:val="none"/>
          <w:lang w:eastAsia="zh-CN"/>
        </w:rPr>
      </w:pPr>
      <w:r>
        <w:rPr>
          <w:rFonts w:hint="eastAsia" w:hAnsi="宋体"/>
          <w:color w:val="auto"/>
          <w:sz w:val="28"/>
          <w:szCs w:val="28"/>
          <w:highlight w:val="none"/>
          <w:lang w:eastAsia="zh-CN"/>
        </w:rPr>
        <w:t>③地类用途：不清</w:t>
      </w:r>
    </w:p>
    <w:p>
      <w:pPr>
        <w:adjustRightInd w:val="0"/>
        <w:snapToGrid w:val="0"/>
        <w:spacing w:line="360" w:lineRule="auto"/>
        <w:ind w:firstLine="560" w:firstLineChars="200"/>
        <w:rPr>
          <w:rFonts w:hint="eastAsia" w:hAnsi="宋体"/>
          <w:color w:val="auto"/>
          <w:sz w:val="28"/>
          <w:szCs w:val="28"/>
          <w:highlight w:val="none"/>
          <w:lang w:eastAsia="zh-CN"/>
        </w:rPr>
      </w:pPr>
      <w:r>
        <w:rPr>
          <w:rFonts w:hint="eastAsia" w:hAnsi="宋体"/>
          <w:color w:val="auto"/>
          <w:sz w:val="28"/>
          <w:szCs w:val="28"/>
          <w:highlight w:val="none"/>
          <w:lang w:eastAsia="zh-CN"/>
        </w:rPr>
        <w:t>④使用权类型：不清</w:t>
      </w:r>
    </w:p>
    <w:p>
      <w:pPr>
        <w:adjustRightInd w:val="0"/>
        <w:snapToGrid w:val="0"/>
        <w:spacing w:line="360" w:lineRule="auto"/>
        <w:ind w:firstLine="560" w:firstLineChars="200"/>
        <w:rPr>
          <w:rFonts w:hint="default" w:hAnsi="宋体"/>
          <w:color w:val="auto"/>
          <w:sz w:val="28"/>
          <w:szCs w:val="28"/>
          <w:highlight w:val="none"/>
          <w:vertAlign w:val="baseline"/>
          <w:lang w:val="en-US" w:eastAsia="zh-CN"/>
        </w:rPr>
      </w:pPr>
      <w:r>
        <w:rPr>
          <w:rFonts w:hint="eastAsia" w:hAnsi="宋体"/>
          <w:color w:val="auto"/>
          <w:sz w:val="28"/>
          <w:szCs w:val="28"/>
          <w:highlight w:val="none"/>
          <w:lang w:eastAsia="zh-CN"/>
        </w:rPr>
        <w:t>⑤使用权面积：不清</w:t>
      </w:r>
    </w:p>
    <w:p>
      <w:pPr>
        <w:adjustRightInd w:val="0"/>
        <w:snapToGrid w:val="0"/>
        <w:spacing w:line="360" w:lineRule="auto"/>
        <w:ind w:firstLine="560" w:firstLineChars="200"/>
        <w:rPr>
          <w:rFonts w:hAnsi="宋体"/>
          <w:color w:val="auto"/>
          <w:sz w:val="28"/>
          <w:szCs w:val="28"/>
          <w:highlight w:val="none"/>
        </w:rPr>
      </w:pPr>
      <w:r>
        <w:rPr>
          <w:rFonts w:hint="eastAsia" w:hAnsi="宋体"/>
          <w:color w:val="auto"/>
          <w:sz w:val="28"/>
          <w:szCs w:val="28"/>
          <w:highlight w:val="none"/>
          <w:lang w:eastAsia="zh-CN"/>
        </w:rPr>
        <w:t>⑥终止日期：</w:t>
      </w:r>
      <w:r>
        <w:rPr>
          <w:rFonts w:hint="eastAsia" w:hAnsi="宋体"/>
          <w:color w:val="auto"/>
          <w:sz w:val="28"/>
          <w:szCs w:val="28"/>
          <w:highlight w:val="none"/>
          <w:lang w:val="en-US" w:eastAsia="zh-CN"/>
        </w:rPr>
        <w:t>不清</w:t>
      </w:r>
    </w:p>
    <w:p>
      <w:pPr>
        <w:pStyle w:val="10"/>
        <w:numPr>
          <w:ilvl w:val="0"/>
          <w:numId w:val="2"/>
        </w:numPr>
        <w:spacing w:line="360" w:lineRule="auto"/>
        <w:ind w:firstLine="560"/>
        <w:contextualSpacing/>
        <w:rPr>
          <w:rFonts w:hint="eastAsia" w:hAnsi="宋体"/>
          <w:color w:val="auto"/>
          <w:sz w:val="28"/>
          <w:szCs w:val="28"/>
          <w:highlight w:val="none"/>
          <w:lang w:eastAsia="zh-CN"/>
        </w:rPr>
      </w:pPr>
      <w:r>
        <w:rPr>
          <w:rFonts w:hint="eastAsia" w:hAnsi="宋体"/>
          <w:color w:val="auto"/>
          <w:sz w:val="28"/>
          <w:szCs w:val="28"/>
          <w:highlight w:val="none"/>
          <w:lang w:eastAsia="zh-CN"/>
        </w:rPr>
        <w:t>建筑物权益状况</w:t>
      </w:r>
    </w:p>
    <w:p>
      <w:pPr>
        <w:pStyle w:val="10"/>
        <w:spacing w:line="360" w:lineRule="auto"/>
        <w:ind w:firstLine="560"/>
        <w:contextualSpacing/>
        <w:rPr>
          <w:rFonts w:hint="eastAsia" w:hAnsi="宋体"/>
          <w:color w:val="auto"/>
          <w:sz w:val="28"/>
          <w:szCs w:val="28"/>
          <w:highlight w:val="none"/>
          <w:lang w:val="en-US" w:eastAsia="zh-CN"/>
        </w:rPr>
      </w:pPr>
      <w:r>
        <w:rPr>
          <w:rFonts w:hint="eastAsia" w:hAnsi="宋体"/>
          <w:color w:val="auto"/>
          <w:sz w:val="28"/>
          <w:szCs w:val="28"/>
          <w:highlight w:val="none"/>
          <w:lang w:eastAsia="zh-CN"/>
        </w:rPr>
        <w:t>①丘北房权证（</w:t>
      </w:r>
      <w:r>
        <w:rPr>
          <w:rFonts w:hint="eastAsia" w:hAnsi="宋体"/>
          <w:color w:val="auto"/>
          <w:sz w:val="28"/>
          <w:szCs w:val="28"/>
          <w:highlight w:val="none"/>
          <w:lang w:val="en-US" w:eastAsia="zh-CN"/>
        </w:rPr>
        <w:t>2012）字第00023130号</w:t>
      </w:r>
    </w:p>
    <w:p>
      <w:pPr>
        <w:adjustRightInd w:val="0"/>
        <w:snapToGrid w:val="0"/>
        <w:spacing w:line="360" w:lineRule="auto"/>
        <w:ind w:firstLine="562"/>
        <w:rPr>
          <w:rFonts w:hint="eastAsia" w:hAnsi="宋体"/>
          <w:color w:val="auto"/>
          <w:sz w:val="28"/>
          <w:szCs w:val="28"/>
          <w:highlight w:val="none"/>
          <w:lang w:eastAsia="zh-CN"/>
        </w:rPr>
      </w:pPr>
      <w:r>
        <w:rPr>
          <w:rFonts w:hint="eastAsia" w:hAnsi="宋体"/>
          <w:color w:val="auto"/>
          <w:sz w:val="28"/>
          <w:szCs w:val="28"/>
          <w:highlight w:val="none"/>
          <w:lang w:eastAsia="zh-CN"/>
        </w:rPr>
        <w:t>②房屋所有权人：楚绪祥、陈永兰</w:t>
      </w:r>
    </w:p>
    <w:p>
      <w:pPr>
        <w:adjustRightInd w:val="0"/>
        <w:snapToGrid w:val="0"/>
        <w:spacing w:line="360" w:lineRule="auto"/>
        <w:ind w:firstLine="562"/>
        <w:rPr>
          <w:rFonts w:hint="eastAsia" w:hAnsi="宋体"/>
          <w:color w:val="auto"/>
          <w:sz w:val="28"/>
          <w:szCs w:val="28"/>
          <w:highlight w:val="none"/>
          <w:lang w:eastAsia="zh-CN"/>
        </w:rPr>
      </w:pPr>
      <w:r>
        <w:rPr>
          <w:rFonts w:hint="eastAsia" w:hAnsi="宋体"/>
          <w:color w:val="auto"/>
          <w:sz w:val="28"/>
          <w:szCs w:val="28"/>
          <w:highlight w:val="none"/>
          <w:lang w:eastAsia="zh-CN"/>
        </w:rPr>
        <w:t>③共有情况：共同共有</w:t>
      </w:r>
    </w:p>
    <w:p>
      <w:pPr>
        <w:adjustRightInd w:val="0"/>
        <w:snapToGrid w:val="0"/>
        <w:spacing w:line="360" w:lineRule="auto"/>
        <w:ind w:firstLine="562"/>
        <w:rPr>
          <w:rFonts w:hint="eastAsia" w:hAnsi="宋体"/>
          <w:color w:val="auto"/>
          <w:sz w:val="28"/>
          <w:szCs w:val="28"/>
          <w:highlight w:val="none"/>
          <w:lang w:eastAsia="zh-CN"/>
        </w:rPr>
      </w:pPr>
      <w:r>
        <w:rPr>
          <w:rFonts w:hint="eastAsia" w:hAnsi="宋体"/>
          <w:color w:val="auto"/>
          <w:sz w:val="28"/>
          <w:szCs w:val="28"/>
          <w:highlight w:val="none"/>
          <w:lang w:eastAsia="zh-CN"/>
        </w:rPr>
        <w:t>④房屋性质：私有</w:t>
      </w:r>
    </w:p>
    <w:p>
      <w:pPr>
        <w:adjustRightInd w:val="0"/>
        <w:snapToGrid w:val="0"/>
        <w:spacing w:line="360" w:lineRule="auto"/>
        <w:ind w:firstLine="562"/>
        <w:rPr>
          <w:rFonts w:hint="default" w:hAnsi="宋体"/>
          <w:color w:val="auto"/>
          <w:sz w:val="28"/>
          <w:szCs w:val="28"/>
          <w:highlight w:val="none"/>
          <w:lang w:val="en-US" w:eastAsia="zh-CN"/>
        </w:rPr>
      </w:pPr>
      <w:r>
        <w:rPr>
          <w:rFonts w:hint="eastAsia" w:hAnsi="宋体"/>
          <w:color w:val="auto"/>
          <w:sz w:val="28"/>
          <w:szCs w:val="28"/>
          <w:highlight w:val="none"/>
          <w:lang w:eastAsia="zh-CN"/>
        </w:rPr>
        <w:t>⑤规划用途：住宅</w:t>
      </w:r>
    </w:p>
    <w:p>
      <w:pPr>
        <w:adjustRightInd w:val="0"/>
        <w:snapToGrid w:val="0"/>
        <w:spacing w:line="360" w:lineRule="auto"/>
        <w:ind w:firstLine="562"/>
        <w:rPr>
          <w:rFonts w:hint="eastAsia" w:hAnsi="宋体"/>
          <w:color w:val="auto"/>
          <w:sz w:val="28"/>
          <w:szCs w:val="28"/>
          <w:highlight w:val="none"/>
          <w:lang w:eastAsia="zh-CN"/>
        </w:rPr>
      </w:pPr>
      <w:r>
        <w:rPr>
          <w:rFonts w:hint="eastAsia" w:hAnsi="宋体"/>
          <w:color w:val="auto"/>
          <w:sz w:val="28"/>
          <w:szCs w:val="28"/>
          <w:highlight w:val="none"/>
          <w:lang w:eastAsia="zh-CN"/>
        </w:rPr>
        <w:t>⑥建筑结构：砖混结构</w:t>
      </w:r>
    </w:p>
    <w:p>
      <w:pPr>
        <w:adjustRightInd w:val="0"/>
        <w:snapToGrid w:val="0"/>
        <w:spacing w:line="360" w:lineRule="auto"/>
        <w:ind w:firstLine="562"/>
        <w:rPr>
          <w:rFonts w:hint="eastAsia" w:hAnsi="宋体"/>
          <w:color w:val="auto"/>
          <w:sz w:val="28"/>
          <w:szCs w:val="28"/>
          <w:highlight w:val="none"/>
          <w:lang w:val="en-US" w:eastAsia="zh-CN"/>
        </w:rPr>
      </w:pPr>
      <w:r>
        <w:rPr>
          <w:rFonts w:hint="eastAsia" w:hAnsi="宋体"/>
          <w:color w:val="auto"/>
          <w:sz w:val="28"/>
          <w:szCs w:val="28"/>
          <w:highlight w:val="none"/>
          <w:lang w:eastAsia="zh-CN"/>
        </w:rPr>
        <w:t>⑦房屋总层数：</w:t>
      </w:r>
      <w:r>
        <w:rPr>
          <w:rFonts w:hint="eastAsia" w:hAnsi="宋体"/>
          <w:color w:val="auto"/>
          <w:sz w:val="28"/>
          <w:szCs w:val="28"/>
          <w:highlight w:val="none"/>
          <w:lang w:val="en-US" w:eastAsia="zh-CN"/>
        </w:rPr>
        <w:t>6</w:t>
      </w:r>
    </w:p>
    <w:p>
      <w:pPr>
        <w:adjustRightInd w:val="0"/>
        <w:snapToGrid w:val="0"/>
        <w:spacing w:line="360" w:lineRule="auto"/>
        <w:ind w:firstLine="562"/>
        <w:rPr>
          <w:rFonts w:hint="default" w:hAnsi="宋体"/>
          <w:color w:val="auto"/>
          <w:sz w:val="28"/>
          <w:szCs w:val="28"/>
          <w:highlight w:val="none"/>
          <w:lang w:val="en-US" w:eastAsia="zh-CN"/>
        </w:rPr>
      </w:pPr>
      <w:r>
        <w:rPr>
          <w:rFonts w:hint="eastAsia" w:hAnsi="宋体"/>
          <w:color w:val="auto"/>
          <w:sz w:val="28"/>
          <w:szCs w:val="28"/>
          <w:highlight w:val="none"/>
          <w:lang w:eastAsia="zh-CN"/>
        </w:rPr>
        <w:t>⑧所在层数：</w:t>
      </w:r>
      <w:r>
        <w:rPr>
          <w:rFonts w:hint="eastAsia" w:hAnsi="宋体"/>
          <w:color w:val="auto"/>
          <w:sz w:val="28"/>
          <w:szCs w:val="28"/>
          <w:highlight w:val="none"/>
          <w:lang w:val="en-US" w:eastAsia="zh-CN"/>
        </w:rPr>
        <w:t>6</w:t>
      </w:r>
    </w:p>
    <w:p>
      <w:pPr>
        <w:adjustRightInd w:val="0"/>
        <w:snapToGrid w:val="0"/>
        <w:spacing w:line="360" w:lineRule="auto"/>
        <w:ind w:firstLine="562"/>
        <w:rPr>
          <w:rFonts w:hint="default" w:hAnsi="宋体" w:eastAsia="宋体"/>
          <w:color w:val="auto"/>
          <w:sz w:val="28"/>
          <w:szCs w:val="28"/>
          <w:highlight w:val="none"/>
          <w:vertAlign w:val="baseline"/>
          <w:lang w:val="en-US" w:eastAsia="zh-CN"/>
        </w:rPr>
      </w:pPr>
      <w:r>
        <w:rPr>
          <w:rFonts w:hint="eastAsia" w:hAnsi="宋体"/>
          <w:color w:val="auto"/>
          <w:sz w:val="28"/>
          <w:szCs w:val="28"/>
          <w:highlight w:val="none"/>
          <w:lang w:eastAsia="zh-CN"/>
        </w:rPr>
        <w:t>⑨</w:t>
      </w:r>
      <w:r>
        <w:rPr>
          <w:rFonts w:hint="eastAsia" w:hAnsi="宋体"/>
          <w:color w:val="auto"/>
          <w:sz w:val="28"/>
          <w:szCs w:val="28"/>
          <w:highlight w:val="none"/>
          <w:lang w:val="en-US" w:eastAsia="zh-CN"/>
        </w:rPr>
        <w:t>73.73m</w:t>
      </w:r>
      <w:r>
        <w:rPr>
          <w:rFonts w:hint="eastAsia" w:hAnsi="宋体"/>
          <w:color w:val="auto"/>
          <w:sz w:val="28"/>
          <w:szCs w:val="28"/>
          <w:highlight w:val="none"/>
          <w:vertAlign w:val="superscript"/>
          <w:lang w:val="en-US" w:eastAsia="zh-CN"/>
        </w:rPr>
        <w:t>2</w:t>
      </w:r>
      <w:r>
        <w:rPr>
          <w:rFonts w:hint="eastAsia" w:hAnsi="宋体"/>
          <w:color w:val="auto"/>
          <w:sz w:val="28"/>
          <w:szCs w:val="28"/>
          <w:highlight w:val="none"/>
          <w:vertAlign w:val="baseline"/>
          <w:lang w:val="en-US" w:eastAsia="zh-CN"/>
        </w:rPr>
        <w:t>（其中：套内建筑面积65.61m</w:t>
      </w:r>
      <w:r>
        <w:rPr>
          <w:rFonts w:hint="eastAsia" w:hAnsi="宋体"/>
          <w:color w:val="auto"/>
          <w:sz w:val="28"/>
          <w:szCs w:val="28"/>
          <w:highlight w:val="none"/>
          <w:vertAlign w:val="superscript"/>
          <w:lang w:val="en-US" w:eastAsia="zh-CN"/>
        </w:rPr>
        <w:t>2</w:t>
      </w:r>
      <w:r>
        <w:rPr>
          <w:rFonts w:hint="eastAsia" w:hAnsi="宋体"/>
          <w:color w:val="auto"/>
          <w:sz w:val="28"/>
          <w:szCs w:val="28"/>
          <w:highlight w:val="none"/>
          <w:vertAlign w:val="baseline"/>
          <w:lang w:val="en-US" w:eastAsia="zh-CN"/>
        </w:rPr>
        <w:t>，分摊面积8.12m</w:t>
      </w:r>
      <w:r>
        <w:rPr>
          <w:rFonts w:hint="eastAsia" w:hAnsi="宋体"/>
          <w:color w:val="auto"/>
          <w:sz w:val="28"/>
          <w:szCs w:val="28"/>
          <w:highlight w:val="none"/>
          <w:vertAlign w:val="superscript"/>
          <w:lang w:val="en-US" w:eastAsia="zh-CN"/>
        </w:rPr>
        <w:t>2</w:t>
      </w:r>
      <w:r>
        <w:rPr>
          <w:rFonts w:hint="eastAsia" w:hAnsi="宋体"/>
          <w:color w:val="auto"/>
          <w:sz w:val="28"/>
          <w:szCs w:val="28"/>
          <w:highlight w:val="none"/>
          <w:vertAlign w:val="baseline"/>
          <w:lang w:val="en-US" w:eastAsia="zh-CN"/>
        </w:rPr>
        <w:t>）</w:t>
      </w:r>
    </w:p>
    <w:p>
      <w:pPr>
        <w:pStyle w:val="10"/>
        <w:numPr>
          <w:ilvl w:val="0"/>
          <w:numId w:val="0"/>
        </w:numPr>
        <w:spacing w:line="360" w:lineRule="auto"/>
        <w:ind w:firstLine="560" w:firstLineChars="200"/>
        <w:contextualSpacing/>
        <w:rPr>
          <w:rFonts w:hAnsi="宋体"/>
          <w:color w:val="auto"/>
          <w:sz w:val="28"/>
          <w:szCs w:val="28"/>
          <w:highlight w:val="none"/>
        </w:rPr>
      </w:pPr>
      <w:r>
        <w:rPr>
          <w:rFonts w:hint="eastAsia" w:hAnsi="宋体"/>
          <w:color w:val="auto"/>
          <w:sz w:val="28"/>
          <w:szCs w:val="28"/>
          <w:highlight w:val="none"/>
          <w:lang w:eastAsia="zh-CN"/>
        </w:rPr>
        <w:t>（</w:t>
      </w:r>
      <w:r>
        <w:rPr>
          <w:rFonts w:hint="eastAsia" w:hAnsi="宋体"/>
          <w:color w:val="auto"/>
          <w:sz w:val="28"/>
          <w:szCs w:val="28"/>
          <w:highlight w:val="none"/>
          <w:lang w:val="en-US" w:eastAsia="zh-CN"/>
        </w:rPr>
        <w:t>3）</w:t>
      </w:r>
      <w:r>
        <w:rPr>
          <w:rFonts w:hint="eastAsia" w:hAnsi="宋体"/>
          <w:color w:val="auto"/>
          <w:sz w:val="28"/>
          <w:szCs w:val="28"/>
          <w:highlight w:val="none"/>
          <w:lang w:eastAsia="zh-CN"/>
        </w:rPr>
        <w:t>其他权利状况：无</w:t>
      </w:r>
      <w:r>
        <w:rPr>
          <w:rFonts w:hint="eastAsia" w:hAnsi="宋体"/>
          <w:color w:val="auto"/>
          <w:sz w:val="28"/>
          <w:szCs w:val="28"/>
          <w:highlight w:val="none"/>
        </w:rPr>
        <w:t xml:space="preserve"> </w:t>
      </w:r>
    </w:p>
    <w:p>
      <w:pPr>
        <w:pStyle w:val="10"/>
        <w:numPr>
          <w:ilvl w:val="0"/>
          <w:numId w:val="0"/>
        </w:numPr>
        <w:spacing w:line="360" w:lineRule="auto"/>
        <w:ind w:firstLine="560" w:firstLineChars="200"/>
        <w:contextualSpacing/>
        <w:rPr>
          <w:rFonts w:hAnsi="宋体"/>
          <w:color w:val="auto"/>
          <w:sz w:val="28"/>
          <w:szCs w:val="28"/>
          <w:highlight w:val="none"/>
        </w:rPr>
      </w:pPr>
      <w:r>
        <w:rPr>
          <w:rFonts w:hint="eastAsia" w:hAnsi="宋体"/>
          <w:color w:val="auto"/>
          <w:sz w:val="28"/>
          <w:szCs w:val="28"/>
          <w:highlight w:val="none"/>
          <w:lang w:eastAsia="zh-CN"/>
        </w:rPr>
        <w:t>（</w:t>
      </w:r>
      <w:r>
        <w:rPr>
          <w:rFonts w:hint="eastAsia" w:hAnsi="宋体"/>
          <w:color w:val="auto"/>
          <w:sz w:val="28"/>
          <w:szCs w:val="28"/>
          <w:highlight w:val="none"/>
          <w:lang w:val="en-US" w:eastAsia="zh-CN"/>
        </w:rPr>
        <w:t>4）</w:t>
      </w:r>
      <w:r>
        <w:rPr>
          <w:rFonts w:hint="eastAsia" w:hAnsi="宋体"/>
          <w:color w:val="auto"/>
          <w:sz w:val="28"/>
          <w:szCs w:val="28"/>
          <w:highlight w:val="none"/>
        </w:rPr>
        <w:t>使用状况：</w:t>
      </w:r>
      <w:r>
        <w:rPr>
          <w:rFonts w:hint="eastAsia" w:hAnsi="宋体"/>
          <w:color w:val="auto"/>
          <w:sz w:val="28"/>
          <w:szCs w:val="28"/>
          <w:highlight w:val="none"/>
          <w:lang w:eastAsia="zh-CN"/>
        </w:rPr>
        <w:t>自用</w:t>
      </w:r>
      <w:r>
        <w:rPr>
          <w:rFonts w:hint="eastAsia" w:hAnsi="宋体"/>
          <w:color w:val="auto"/>
          <w:sz w:val="28"/>
          <w:szCs w:val="28"/>
          <w:highlight w:val="none"/>
        </w:rPr>
        <w:t>；</w:t>
      </w:r>
    </w:p>
    <w:p>
      <w:pPr>
        <w:pStyle w:val="10"/>
        <w:numPr>
          <w:ilvl w:val="0"/>
          <w:numId w:val="0"/>
        </w:numPr>
        <w:spacing w:line="360" w:lineRule="auto"/>
        <w:ind w:firstLine="560" w:firstLineChars="200"/>
        <w:contextualSpacing/>
        <w:rPr>
          <w:rFonts w:hAnsi="宋体"/>
          <w:color w:val="auto"/>
          <w:sz w:val="28"/>
          <w:szCs w:val="28"/>
          <w:highlight w:val="none"/>
        </w:rPr>
      </w:pPr>
      <w:r>
        <w:rPr>
          <w:rFonts w:hint="eastAsia" w:hAnsi="宋体"/>
          <w:color w:val="auto"/>
          <w:sz w:val="28"/>
          <w:szCs w:val="28"/>
          <w:highlight w:val="none"/>
          <w:lang w:eastAsia="zh-CN"/>
        </w:rPr>
        <w:t>（</w:t>
      </w:r>
      <w:r>
        <w:rPr>
          <w:rFonts w:hint="eastAsia" w:hAnsi="宋体"/>
          <w:color w:val="auto"/>
          <w:sz w:val="28"/>
          <w:szCs w:val="28"/>
          <w:highlight w:val="none"/>
          <w:lang w:val="en-US" w:eastAsia="zh-CN"/>
        </w:rPr>
        <w:t>5）</w:t>
      </w:r>
      <w:r>
        <w:rPr>
          <w:rFonts w:hint="eastAsia" w:hAnsi="宋体"/>
          <w:color w:val="auto"/>
          <w:sz w:val="28"/>
          <w:szCs w:val="28"/>
          <w:highlight w:val="none"/>
        </w:rPr>
        <w:t>物业服务水平：有24小时</w:t>
      </w:r>
      <w:r>
        <w:rPr>
          <w:rFonts w:hint="eastAsia" w:hAnsi="宋体"/>
          <w:color w:val="auto"/>
          <w:sz w:val="28"/>
          <w:szCs w:val="28"/>
          <w:highlight w:val="none"/>
          <w:lang w:eastAsia="zh-CN"/>
        </w:rPr>
        <w:t>一般</w:t>
      </w:r>
      <w:r>
        <w:rPr>
          <w:rFonts w:hint="eastAsia" w:hAnsi="宋体"/>
          <w:color w:val="auto"/>
          <w:sz w:val="28"/>
          <w:szCs w:val="28"/>
          <w:highlight w:val="none"/>
        </w:rPr>
        <w:t>物业管理。</w:t>
      </w:r>
    </w:p>
    <w:p>
      <w:pPr>
        <w:pStyle w:val="10"/>
        <w:numPr>
          <w:ilvl w:val="0"/>
          <w:numId w:val="0"/>
        </w:numPr>
        <w:spacing w:line="360" w:lineRule="auto"/>
        <w:ind w:firstLine="560" w:firstLineChars="200"/>
        <w:contextualSpacing/>
        <w:rPr>
          <w:rFonts w:hint="eastAsia" w:hAnsi="宋体"/>
          <w:color w:val="auto"/>
          <w:sz w:val="28"/>
          <w:szCs w:val="28"/>
          <w:highlight w:val="none"/>
        </w:rPr>
      </w:pPr>
      <w:r>
        <w:rPr>
          <w:rFonts w:hint="eastAsia" w:hAnsi="宋体"/>
          <w:color w:val="auto"/>
          <w:sz w:val="28"/>
          <w:szCs w:val="28"/>
          <w:highlight w:val="none"/>
          <w:lang w:eastAsia="zh-CN"/>
        </w:rPr>
        <w:t>（</w:t>
      </w:r>
      <w:r>
        <w:rPr>
          <w:rFonts w:hint="eastAsia" w:hAnsi="宋体"/>
          <w:color w:val="auto"/>
          <w:sz w:val="28"/>
          <w:szCs w:val="28"/>
          <w:highlight w:val="none"/>
          <w:lang w:val="en-US" w:eastAsia="zh-CN"/>
        </w:rPr>
        <w:t>6）</w:t>
      </w:r>
      <w:r>
        <w:rPr>
          <w:rFonts w:hint="eastAsia" w:hAnsi="宋体"/>
          <w:color w:val="auto"/>
          <w:sz w:val="28"/>
          <w:szCs w:val="28"/>
          <w:highlight w:val="none"/>
          <w:lang w:eastAsia="zh-CN"/>
        </w:rPr>
        <w:t>权益状况分析</w:t>
      </w:r>
    </w:p>
    <w:p>
      <w:pPr>
        <w:pStyle w:val="10"/>
        <w:spacing w:line="360" w:lineRule="auto"/>
        <w:ind w:firstLine="560"/>
        <w:contextualSpacing/>
        <w:rPr>
          <w:rFonts w:hAnsi="宋体"/>
          <w:color w:val="auto"/>
          <w:sz w:val="28"/>
          <w:szCs w:val="28"/>
          <w:highlight w:val="none"/>
        </w:rPr>
      </w:pPr>
      <w:r>
        <w:rPr>
          <w:rFonts w:hint="eastAsia" w:hAnsi="宋体" w:cs="仿宋"/>
          <w:color w:val="auto"/>
          <w:kern w:val="0"/>
          <w:sz w:val="28"/>
          <w:szCs w:val="28"/>
          <w:highlight w:val="none"/>
        </w:rPr>
        <w:t>综上所述，</w:t>
      </w:r>
      <w:r>
        <w:rPr>
          <w:rFonts w:hint="eastAsia" w:hAnsi="宋体" w:cs="仿宋"/>
          <w:color w:val="auto"/>
          <w:sz w:val="28"/>
          <w:szCs w:val="24"/>
          <w:highlight w:val="none"/>
          <w:lang w:eastAsia="zh-CN"/>
        </w:rPr>
        <w:t>估价对象权属清晰，委托方未提供《土地使用证》，产权较完全。</w:t>
      </w:r>
    </w:p>
    <w:p>
      <w:pPr>
        <w:pStyle w:val="3"/>
        <w:rPr>
          <w:rFonts w:ascii="宋体" w:hAnsi="宋体" w:eastAsia="宋体"/>
          <w:color w:val="auto"/>
          <w:kern w:val="0"/>
          <w:sz w:val="28"/>
          <w:szCs w:val="28"/>
          <w:highlight w:val="none"/>
        </w:rPr>
      </w:pPr>
      <w:bookmarkStart w:id="205" w:name="_Toc414265254"/>
      <w:bookmarkStart w:id="206" w:name="_Toc521944370"/>
      <w:bookmarkStart w:id="207" w:name="_Toc417220330"/>
      <w:bookmarkStart w:id="208" w:name="_Toc522873505"/>
      <w:bookmarkStart w:id="209" w:name="_Toc16189059"/>
      <w:bookmarkStart w:id="210" w:name="_Toc417282132"/>
      <w:bookmarkStart w:id="211" w:name="_Toc414265173"/>
      <w:bookmarkStart w:id="212" w:name="_Toc16665773"/>
      <w:bookmarkStart w:id="213" w:name="_Toc15455"/>
      <w:bookmarkStart w:id="214" w:name="_Toc417214152"/>
      <w:bookmarkStart w:id="215" w:name="_Toc16189222"/>
      <w:r>
        <w:rPr>
          <w:rFonts w:hint="eastAsia" w:ascii="宋体" w:hAnsi="宋体" w:eastAsia="宋体"/>
          <w:color w:val="auto"/>
          <w:kern w:val="0"/>
          <w:sz w:val="28"/>
          <w:szCs w:val="28"/>
          <w:highlight w:val="none"/>
        </w:rPr>
        <w:t>二、市场背景描述与分析</w:t>
      </w:r>
      <w:bookmarkEnd w:id="205"/>
      <w:bookmarkEnd w:id="206"/>
      <w:bookmarkEnd w:id="207"/>
      <w:bookmarkEnd w:id="208"/>
      <w:bookmarkEnd w:id="209"/>
      <w:bookmarkEnd w:id="210"/>
      <w:bookmarkEnd w:id="211"/>
      <w:bookmarkEnd w:id="212"/>
      <w:bookmarkEnd w:id="213"/>
      <w:bookmarkEnd w:id="214"/>
      <w:bookmarkEnd w:id="215"/>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宋体"/>
          <w:sz w:val="28"/>
          <w:szCs w:val="28"/>
        </w:rPr>
      </w:pPr>
      <w:bookmarkStart w:id="216" w:name="OLE_LINK7"/>
      <w:bookmarkStart w:id="217" w:name="OLE_LINK8"/>
      <w:bookmarkStart w:id="218" w:name="_Toc414265255"/>
      <w:bookmarkStart w:id="219" w:name="_Toc417282133"/>
      <w:bookmarkStart w:id="220" w:name="_Toc417220331"/>
      <w:bookmarkStart w:id="221" w:name="_Toc522873506"/>
      <w:bookmarkStart w:id="222" w:name="_Toc16189223"/>
      <w:bookmarkStart w:id="223" w:name="_Toc417214153"/>
      <w:bookmarkStart w:id="224" w:name="_Toc414265174"/>
      <w:bookmarkStart w:id="225" w:name="_Toc521944371"/>
      <w:bookmarkStart w:id="226" w:name="_Toc16665774"/>
      <w:bookmarkStart w:id="227" w:name="_Toc16189060"/>
      <w:r>
        <w:rPr>
          <w:rFonts w:hint="eastAsia" w:ascii="宋体" w:hAnsi="宋体" w:eastAsia="宋体" w:cs="宋体"/>
          <w:color w:val="000000"/>
          <w:kern w:val="0"/>
          <w:sz w:val="28"/>
          <w:szCs w:val="28"/>
          <w:lang w:val="en-US" w:eastAsia="zh-CN" w:bidi="ar"/>
        </w:rPr>
        <w:t>丘北县位于云南省东南部，地处东经 103°34′～104°45′、北纬 23°45′～ 24°28′之间。东隔清水江与广南县毗邻，南与丘北县、开远市接壤，西隔南盘江同弥勒、泸西两县相望，北与师宗县、广西壮族自治区西林县衔接。县境内东西宽100 公里，南北长 70.5 公里，总面积 5038 平方公里。县城设在锦屏镇，海拔 1452米，距省会昆明市 280 公里，距文山州府(</w:t>
      </w:r>
      <w:r>
        <w:rPr>
          <w:rFonts w:hint="eastAsia" w:ascii="宋体" w:hAnsi="宋体" w:cs="宋体"/>
          <w:color w:val="000000"/>
          <w:kern w:val="0"/>
          <w:sz w:val="28"/>
          <w:szCs w:val="28"/>
          <w:lang w:val="en-US" w:eastAsia="zh-CN" w:bidi="ar"/>
        </w:rPr>
        <w:t>丘北县</w:t>
      </w:r>
      <w:r>
        <w:rPr>
          <w:rFonts w:hint="eastAsia" w:ascii="宋体" w:hAnsi="宋体" w:eastAsia="宋体" w:cs="宋体"/>
          <w:color w:val="000000"/>
          <w:kern w:val="0"/>
          <w:sz w:val="28"/>
          <w:szCs w:val="28"/>
          <w:lang w:val="en-US" w:eastAsia="zh-CN" w:bidi="ar"/>
        </w:rPr>
        <w:t>)114 公里。</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 xml:space="preserve">丘北县辖锦屏镇、双龙营镇、曰者镇、腻脚彝族乡、新店(原冲头)彝族乡、舍得彝族乡、树皮彝族乡、八道哨彝族乡、官寨乡、平寨乡、天星乡、温浏乡共 3 镇 9 乡，下设 99 个村(居)民委员会，1251 个自然村。 丘北县境内居住着汉、壮、苗、彝、瑶、白、回族等民族，少数民族人口共30.69 万人，占总人口的 65.3％。人口增长得到有效控制。年末常住人口 48.33 万人，人口自然增长率 6.76‰，同比下降 0.09 个千分点。其中：少数民族人口 30.36 万人，占总人口的 62.82%；农业人口 43.67 万人，占总人口的 90.36%。职工工资水平进一步提高。年末有在岗职工 13645 人，比上年增加 333 人。全年在岗职工工资总额 41618 万元，同比增长 17.8%，职工年人均工资 30703 元，同比增长 15.5%。 </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城乡居民收入稳步增长，生活水平得到进一步提高。城镇居民人均可支配收入17658 元，同比增长 12.2%；农民人均纯收入 4566 元，同比增长 22.4%国民经济平稳较快增长。2012 年全县生产总值 407052 万元，同比增长 15.3%。其中：第一产业增加值 169592 万元，增长 7%；第二产业增加值 90596 万元，增长 34.9%；第三产业增加值 146864 万元，增长 13%。非公有制经济创造增加值 177148 万元，占全县生产总值的 43.5%。按常住人口计算，全县人均生产总值（现价）8444 元，比上年增加 1564 元。 农业和农村经济平稳发展。全年实现现价农业总产值 293919 万元，同比增长25.1%。农业生产结构调整进一步优化。全县粮食播种面积 948139 亩，比上年增长12.3%；经济作物播种面积 823915 亩，增长 14.6%。全年实现种植业现价总产值 149393 万元，同比增长 26.1%。粮食8产量稳定增长。 全年实现现价渔业总产值 14816 万元，同比增长 117.3%。水产品产量 9991 吨，同比增长 20.6%。全年实现现价林业总产值 6582 万元，同比增长 50.9%。完成造林面积 61252 亩，同比下降 26.1%。工业生产呈现新突破。全县完成现价工业总产值 202322 万元，同比增长 45.5%。其中：国有工业完成产值 3397 万元，同比增长 10.8%，集体工业完成产值 903 万元，同比下降 25%，个体工业完成产值 33444 万元，同比增长 30.9%，私营工业完成产值 39306 万元，同比增长 62.1%，股份制工业完成产值 125272 万元，同比增长 47.4%。</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560"/>
        <w:jc w:val="left"/>
        <w:textAlignment w:val="auto"/>
        <w:rPr>
          <w:rFonts w:hint="eastAsia"/>
          <w:color w:val="auto"/>
          <w:kern w:val="2"/>
          <w:sz w:val="28"/>
          <w:highlight w:val="none"/>
          <w:lang w:val="en-US" w:eastAsia="zh-CN"/>
        </w:rPr>
      </w:pPr>
      <w:r>
        <w:rPr>
          <w:rFonts w:hint="eastAsia" w:ascii="宋体" w:hAnsi="宋体" w:eastAsia="宋体" w:cs="宋体"/>
          <w:color w:val="000000"/>
          <w:kern w:val="0"/>
          <w:sz w:val="28"/>
          <w:szCs w:val="28"/>
          <w:lang w:val="en-US" w:eastAsia="zh-CN" w:bidi="ar"/>
        </w:rPr>
        <w:t>随着社会经济的快速发展，</w:t>
      </w:r>
      <w:r>
        <w:rPr>
          <w:rFonts w:hint="eastAsia" w:ascii="宋体" w:hAnsi="宋体" w:cs="宋体"/>
          <w:color w:val="000000"/>
          <w:kern w:val="0"/>
          <w:sz w:val="28"/>
          <w:szCs w:val="28"/>
          <w:lang w:val="en-US" w:eastAsia="zh-CN" w:bidi="ar"/>
        </w:rPr>
        <w:t>动车的开通，丘北作为5A级旅游业的发展，</w:t>
      </w:r>
      <w:r>
        <w:rPr>
          <w:rFonts w:hint="eastAsia" w:ascii="宋体" w:hAnsi="宋体" w:eastAsia="宋体" w:cs="宋体"/>
          <w:color w:val="000000"/>
          <w:kern w:val="0"/>
          <w:sz w:val="28"/>
          <w:szCs w:val="28"/>
          <w:lang w:val="en-US" w:eastAsia="zh-CN" w:bidi="ar"/>
        </w:rPr>
        <w:t>丘北县县城规划区人口越来越密集，建筑密度越来越大、容积率越来越高，可供使用的建设用地紧缺，导致地价上涨。</w:t>
      </w:r>
      <w:r>
        <w:rPr>
          <w:rFonts w:hint="eastAsia"/>
          <w:color w:val="auto"/>
          <w:kern w:val="2"/>
          <w:sz w:val="28"/>
          <w:highlight w:val="none"/>
          <w:lang w:val="en-US" w:eastAsia="zh-CN"/>
        </w:rPr>
        <w:t>房地产业也随之发展迅猛，近几年住宅用房上涨较快。</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560"/>
        <w:jc w:val="left"/>
        <w:textAlignment w:val="auto"/>
        <w:rPr>
          <w:rFonts w:hint="eastAsia" w:ascii="宋体" w:hAnsi="宋体" w:eastAsia="宋体" w:cs="宋体"/>
          <w:color w:val="auto"/>
          <w:kern w:val="2"/>
          <w:sz w:val="28"/>
          <w:highlight w:val="none"/>
          <w:lang w:eastAsia="zh-CN"/>
        </w:rPr>
      </w:pPr>
      <w:r>
        <w:rPr>
          <w:rFonts w:hint="eastAsia"/>
          <w:color w:val="auto"/>
          <w:kern w:val="2"/>
          <w:sz w:val="28"/>
          <w:highlight w:val="none"/>
        </w:rPr>
        <w:t>估价对象</w:t>
      </w:r>
      <w:r>
        <w:rPr>
          <w:rFonts w:hint="eastAsia"/>
          <w:color w:val="auto"/>
          <w:kern w:val="2"/>
          <w:sz w:val="28"/>
          <w:highlight w:val="none"/>
          <w:lang w:eastAsia="zh-CN"/>
        </w:rPr>
        <w:t>位于丘北县锦屏镇石缸坝新城区（和谐景苑小区），属住宅用房，该区域属丘北县新城区，周边公共配套设施一般</w:t>
      </w:r>
      <w:r>
        <w:rPr>
          <w:rFonts w:hint="eastAsia"/>
          <w:color w:val="auto"/>
          <w:kern w:val="2"/>
          <w:sz w:val="28"/>
          <w:highlight w:val="none"/>
        </w:rPr>
        <w:t>，</w:t>
      </w:r>
      <w:r>
        <w:rPr>
          <w:rFonts w:hint="eastAsia"/>
          <w:color w:val="auto"/>
          <w:kern w:val="2"/>
          <w:sz w:val="28"/>
          <w:highlight w:val="none"/>
          <w:lang w:eastAsia="zh-CN"/>
        </w:rPr>
        <w:t>居住聚集度较高、交通较便利</w:t>
      </w:r>
      <w:r>
        <w:rPr>
          <w:rFonts w:hint="eastAsia"/>
          <w:color w:val="auto"/>
          <w:kern w:val="2"/>
          <w:sz w:val="28"/>
          <w:highlight w:val="none"/>
        </w:rPr>
        <w:t>。</w:t>
      </w:r>
      <w:r>
        <w:rPr>
          <w:rFonts w:hint="eastAsia"/>
          <w:color w:val="auto"/>
          <w:kern w:val="2"/>
          <w:sz w:val="28"/>
          <w:highlight w:val="none"/>
          <w:lang w:eastAsia="zh-CN"/>
        </w:rPr>
        <w:t>价格有一定攀升并趋于平稳的趋势。</w:t>
      </w:r>
    </w:p>
    <w:bookmarkEnd w:id="216"/>
    <w:bookmarkEnd w:id="217"/>
    <w:p>
      <w:pPr>
        <w:pStyle w:val="3"/>
        <w:rPr>
          <w:rFonts w:ascii="宋体" w:hAnsi="宋体" w:eastAsia="宋体"/>
          <w:color w:val="auto"/>
          <w:kern w:val="0"/>
          <w:sz w:val="28"/>
          <w:szCs w:val="28"/>
          <w:highlight w:val="none"/>
        </w:rPr>
      </w:pPr>
      <w:bookmarkStart w:id="228" w:name="_Toc30442"/>
      <w:r>
        <w:rPr>
          <w:rFonts w:hint="eastAsia" w:ascii="宋体" w:hAnsi="宋体" w:eastAsia="宋体"/>
          <w:color w:val="auto"/>
          <w:kern w:val="0"/>
          <w:sz w:val="28"/>
          <w:szCs w:val="28"/>
          <w:highlight w:val="none"/>
        </w:rPr>
        <w:t>三、估价对象最高最佳利用分析</w:t>
      </w:r>
      <w:bookmarkEnd w:id="218"/>
      <w:bookmarkEnd w:id="219"/>
      <w:bookmarkEnd w:id="220"/>
      <w:bookmarkEnd w:id="221"/>
      <w:bookmarkEnd w:id="222"/>
      <w:bookmarkEnd w:id="223"/>
      <w:bookmarkEnd w:id="224"/>
      <w:bookmarkEnd w:id="225"/>
      <w:bookmarkEnd w:id="226"/>
      <w:bookmarkEnd w:id="227"/>
      <w:bookmarkEnd w:id="228"/>
    </w:p>
    <w:p>
      <w:pPr>
        <w:tabs>
          <w:tab w:val="left" w:pos="360"/>
        </w:tabs>
        <w:spacing w:line="360" w:lineRule="auto"/>
        <w:ind w:right="57" w:firstLine="561"/>
        <w:rPr>
          <w:rFonts w:ascii="宋体" w:hAnsi="宋体" w:cs="宋体"/>
          <w:color w:val="auto"/>
          <w:sz w:val="28"/>
          <w:szCs w:val="28"/>
          <w:highlight w:val="none"/>
        </w:rPr>
      </w:pPr>
      <w:r>
        <w:rPr>
          <w:rFonts w:hint="eastAsia" w:ascii="宋体" w:hAnsi="宋体"/>
          <w:color w:val="auto"/>
          <w:sz w:val="28"/>
          <w:szCs w:val="28"/>
          <w:highlight w:val="none"/>
        </w:rPr>
        <w:t>房地产</w:t>
      </w:r>
      <w:r>
        <w:rPr>
          <w:rFonts w:hint="eastAsia" w:ascii="宋体" w:hAnsi="宋体" w:cs="宋体"/>
          <w:color w:val="auto"/>
          <w:sz w:val="28"/>
          <w:szCs w:val="28"/>
          <w:highlight w:val="none"/>
        </w:rPr>
        <w:t>估价应以估价对象的最高最佳利用为前提进行估价，最高最佳利用是指法律上允许、技术上可能、经济上可行，价值最大化，经充分合理考虑，使估价对象产生最高最佳的利用价值。</w:t>
      </w:r>
    </w:p>
    <w:p>
      <w:pPr>
        <w:adjustRightInd w:val="0"/>
        <w:snapToGrid w:val="0"/>
        <w:spacing w:line="360" w:lineRule="auto"/>
        <w:ind w:firstLine="560"/>
        <w:rPr>
          <w:rFonts w:ascii="宋体" w:hAnsi="宋体"/>
          <w:color w:val="auto"/>
          <w:sz w:val="28"/>
          <w:szCs w:val="28"/>
          <w:highlight w:val="none"/>
        </w:rPr>
      </w:pPr>
      <w:r>
        <w:rPr>
          <w:rFonts w:hint="eastAsia" w:ascii="宋体" w:hAnsi="宋体"/>
          <w:color w:val="auto"/>
          <w:sz w:val="28"/>
          <w:szCs w:val="28"/>
          <w:highlight w:val="none"/>
        </w:rPr>
        <w:t>结合实地查勘，对估价对象的区位因素和实物因素及权益因素进行分析，估价对象所在区域居住聚集度高，生活</w:t>
      </w:r>
      <w:r>
        <w:rPr>
          <w:rFonts w:hint="eastAsia" w:ascii="宋体" w:hAnsi="宋体"/>
          <w:color w:val="auto"/>
          <w:sz w:val="28"/>
          <w:szCs w:val="28"/>
          <w:highlight w:val="none"/>
          <w:lang w:eastAsia="zh-CN"/>
        </w:rPr>
        <w:t>一般</w:t>
      </w:r>
      <w:r>
        <w:rPr>
          <w:rFonts w:hint="eastAsia" w:ascii="宋体" w:hAnsi="宋体"/>
          <w:color w:val="auto"/>
          <w:sz w:val="28"/>
          <w:szCs w:val="28"/>
          <w:highlight w:val="none"/>
        </w:rPr>
        <w:t>，小区环境较优，因此估价对象按现状使用为最高最佳的利用。</w:t>
      </w:r>
    </w:p>
    <w:p>
      <w:pPr>
        <w:pStyle w:val="3"/>
        <w:rPr>
          <w:rFonts w:ascii="宋体" w:hAnsi="宋体" w:eastAsia="宋体"/>
          <w:color w:val="auto"/>
          <w:kern w:val="0"/>
          <w:sz w:val="28"/>
          <w:szCs w:val="28"/>
          <w:highlight w:val="none"/>
        </w:rPr>
      </w:pPr>
      <w:bookmarkStart w:id="229" w:name="_Toc7922"/>
      <w:r>
        <w:rPr>
          <w:rFonts w:hint="eastAsia" w:ascii="宋体" w:hAnsi="宋体" w:eastAsia="宋体"/>
          <w:color w:val="auto"/>
          <w:kern w:val="0"/>
          <w:sz w:val="28"/>
          <w:szCs w:val="28"/>
          <w:highlight w:val="none"/>
        </w:rPr>
        <w:t>四、估价方法适用性分析</w:t>
      </w:r>
      <w:bookmarkEnd w:id="77"/>
      <w:bookmarkEnd w:id="78"/>
      <w:bookmarkEnd w:id="79"/>
      <w:bookmarkEnd w:id="80"/>
      <w:bookmarkEnd w:id="81"/>
      <w:bookmarkEnd w:id="82"/>
      <w:bookmarkEnd w:id="83"/>
      <w:bookmarkEnd w:id="84"/>
      <w:bookmarkEnd w:id="85"/>
      <w:bookmarkEnd w:id="86"/>
      <w:bookmarkEnd w:id="229"/>
    </w:p>
    <w:p>
      <w:pPr>
        <w:tabs>
          <w:tab w:val="left" w:pos="360"/>
        </w:tabs>
        <w:spacing w:line="360" w:lineRule="auto"/>
        <w:ind w:right="57" w:firstLine="560"/>
        <w:rPr>
          <w:rFonts w:ascii="宋体" w:hAnsi="宋体"/>
          <w:color w:val="auto"/>
          <w:sz w:val="28"/>
          <w:szCs w:val="28"/>
          <w:highlight w:val="none"/>
        </w:rPr>
      </w:pPr>
      <w:bookmarkStart w:id="230" w:name="_Toc417214155"/>
      <w:bookmarkStart w:id="231" w:name="_Toc417282135"/>
      <w:bookmarkStart w:id="232" w:name="_Toc414265257"/>
      <w:bookmarkStart w:id="233" w:name="_Toc417220333"/>
      <w:bookmarkStart w:id="234" w:name="_Toc414265176"/>
      <w:r>
        <w:rPr>
          <w:rFonts w:hint="eastAsia" w:ascii="宋体" w:hAnsi="宋体"/>
          <w:color w:val="auto"/>
          <w:sz w:val="28"/>
          <w:szCs w:val="28"/>
          <w:highlight w:val="none"/>
        </w:rPr>
        <w:t xml:space="preserve">估价人员在认真分析所掌握的资料，并对估价对象进行了实地查勘以及对周边房地产市场进行调查后，根据《房地产估价规范》和遵照国家有关法律、法规、估价技术标准，经过反复研究，我们认为估价对象适合采用比较法和收益法进行测算，估价方法适用性分析见下表：  </w:t>
      </w:r>
    </w:p>
    <w:p>
      <w:pPr>
        <w:tabs>
          <w:tab w:val="left" w:pos="360"/>
        </w:tabs>
        <w:spacing w:line="360" w:lineRule="auto"/>
        <w:ind w:right="57" w:firstLine="562"/>
        <w:jc w:val="center"/>
        <w:rPr>
          <w:rFonts w:ascii="宋体" w:hAnsi="宋体"/>
          <w:b/>
          <w:color w:val="auto"/>
          <w:sz w:val="28"/>
          <w:szCs w:val="28"/>
          <w:highlight w:val="none"/>
        </w:rPr>
      </w:pPr>
      <w:r>
        <w:rPr>
          <w:rFonts w:hint="eastAsia" w:ascii="宋体" w:hAnsi="宋体"/>
          <w:b/>
          <w:color w:val="auto"/>
          <w:sz w:val="28"/>
          <w:szCs w:val="28"/>
          <w:highlight w:val="none"/>
        </w:rPr>
        <w:t>估价方法适用性分析</w:t>
      </w:r>
    </w:p>
    <w:tbl>
      <w:tblPr>
        <w:tblStyle w:val="19"/>
        <w:tblW w:w="9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759"/>
        <w:gridCol w:w="1644"/>
        <w:gridCol w:w="1874"/>
        <w:gridCol w:w="1560"/>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068" w:type="dxa"/>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可选用估价方法</w:t>
            </w:r>
          </w:p>
        </w:tc>
        <w:tc>
          <w:tcPr>
            <w:tcW w:w="1759" w:type="dxa"/>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比较法</w:t>
            </w:r>
          </w:p>
        </w:tc>
        <w:tc>
          <w:tcPr>
            <w:tcW w:w="1644" w:type="dxa"/>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收益法</w:t>
            </w:r>
          </w:p>
        </w:tc>
        <w:tc>
          <w:tcPr>
            <w:tcW w:w="1874" w:type="dxa"/>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假设开发法</w:t>
            </w:r>
          </w:p>
        </w:tc>
        <w:tc>
          <w:tcPr>
            <w:tcW w:w="1560" w:type="dxa"/>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成本法</w:t>
            </w:r>
          </w:p>
        </w:tc>
        <w:tc>
          <w:tcPr>
            <w:tcW w:w="1552" w:type="dxa"/>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基准地价修正法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估价方法定义</w:t>
            </w:r>
          </w:p>
        </w:tc>
        <w:tc>
          <w:tcPr>
            <w:tcW w:w="1759" w:type="dxa"/>
            <w:vAlign w:val="center"/>
          </w:tcPr>
          <w:p>
            <w:pPr>
              <w:rPr>
                <w:rFonts w:ascii="宋体" w:hAnsi="宋体"/>
                <w:color w:val="auto"/>
                <w:sz w:val="18"/>
                <w:szCs w:val="18"/>
                <w:highlight w:val="none"/>
              </w:rPr>
            </w:pPr>
            <w:r>
              <w:rPr>
                <w:rFonts w:hint="eastAsia" w:ascii="宋体" w:hAnsi="宋体"/>
                <w:color w:val="auto"/>
                <w:sz w:val="18"/>
                <w:szCs w:val="18"/>
                <w:highlight w:val="none"/>
              </w:rPr>
              <w:t>将估价对象与在价值时点近期交易的类似房地产进行比较和适当的修正，以此估算估价对象的客观合理价格或价值</w:t>
            </w:r>
          </w:p>
        </w:tc>
        <w:tc>
          <w:tcPr>
            <w:tcW w:w="1644" w:type="dxa"/>
            <w:vAlign w:val="center"/>
          </w:tcPr>
          <w:p>
            <w:pPr>
              <w:rPr>
                <w:rFonts w:ascii="宋体" w:hAnsi="宋体"/>
                <w:color w:val="auto"/>
                <w:sz w:val="18"/>
                <w:szCs w:val="18"/>
                <w:highlight w:val="none"/>
              </w:rPr>
            </w:pPr>
            <w:r>
              <w:rPr>
                <w:rFonts w:hint="eastAsia" w:ascii="宋体" w:hAnsi="宋体"/>
                <w:color w:val="auto"/>
                <w:sz w:val="18"/>
                <w:szCs w:val="18"/>
                <w:highlight w:val="none"/>
              </w:rPr>
              <w:t>预计估价对象未来的正常净收益，选用适当的报酬率将其折现到估价时点后累加，以此估算估价对象的客观合理价格或价值</w:t>
            </w:r>
          </w:p>
        </w:tc>
        <w:tc>
          <w:tcPr>
            <w:tcW w:w="1874" w:type="dxa"/>
            <w:vAlign w:val="center"/>
          </w:tcPr>
          <w:p>
            <w:pPr>
              <w:rPr>
                <w:rFonts w:ascii="宋体" w:hAnsi="宋体"/>
                <w:color w:val="auto"/>
                <w:sz w:val="18"/>
                <w:szCs w:val="18"/>
                <w:highlight w:val="none"/>
              </w:rPr>
            </w:pPr>
            <w:r>
              <w:rPr>
                <w:rFonts w:hint="eastAsia" w:ascii="宋体" w:hAnsi="宋体"/>
                <w:color w:val="auto"/>
                <w:sz w:val="18"/>
                <w:szCs w:val="18"/>
                <w:highlight w:val="none"/>
              </w:rPr>
              <w:t>预计估价对象开发完成后的价值，扣除预计的正常开发成本、税费和利润等，以此估算估价对象的客观合理价格或价值</w:t>
            </w:r>
          </w:p>
        </w:tc>
        <w:tc>
          <w:tcPr>
            <w:tcW w:w="1560" w:type="dxa"/>
            <w:vAlign w:val="center"/>
          </w:tcPr>
          <w:p>
            <w:pPr>
              <w:rPr>
                <w:rFonts w:ascii="宋体" w:hAnsi="宋体"/>
                <w:color w:val="auto"/>
                <w:sz w:val="18"/>
                <w:szCs w:val="18"/>
                <w:highlight w:val="none"/>
              </w:rPr>
            </w:pPr>
            <w:r>
              <w:rPr>
                <w:rFonts w:hint="eastAsia" w:ascii="宋体" w:hAnsi="宋体"/>
                <w:color w:val="auto"/>
                <w:sz w:val="18"/>
                <w:szCs w:val="18"/>
                <w:highlight w:val="none"/>
              </w:rPr>
              <w:t>求取估价对象在估价时点的重置价格或重建价格，扣除折旧，以此估算估价对象的客观合理价格或价值</w:t>
            </w:r>
          </w:p>
        </w:tc>
        <w:tc>
          <w:tcPr>
            <w:tcW w:w="1552" w:type="dxa"/>
            <w:vAlign w:val="center"/>
          </w:tcPr>
          <w:p>
            <w:pPr>
              <w:rPr>
                <w:rFonts w:ascii="宋体" w:hAnsi="宋体"/>
                <w:color w:val="auto"/>
                <w:sz w:val="18"/>
                <w:szCs w:val="18"/>
                <w:highlight w:val="none"/>
              </w:rPr>
            </w:pPr>
            <w:r>
              <w:rPr>
                <w:rFonts w:hint="eastAsia" w:ascii="宋体" w:hAnsi="宋体"/>
                <w:color w:val="auto"/>
                <w:sz w:val="18"/>
                <w:szCs w:val="18"/>
                <w:highlight w:val="none"/>
              </w:rPr>
              <w:t>在政府确定公布了基准地价的地区，由估价对象所处地段的基准地价调整得出估价对象宗地价格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8" w:type="dxa"/>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是否选取</w:t>
            </w:r>
          </w:p>
        </w:tc>
        <w:tc>
          <w:tcPr>
            <w:tcW w:w="1759" w:type="dxa"/>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选取</w:t>
            </w:r>
          </w:p>
        </w:tc>
        <w:tc>
          <w:tcPr>
            <w:tcW w:w="1644" w:type="dxa"/>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选取</w:t>
            </w:r>
          </w:p>
        </w:tc>
        <w:tc>
          <w:tcPr>
            <w:tcW w:w="1874" w:type="dxa"/>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不选取</w:t>
            </w:r>
          </w:p>
        </w:tc>
        <w:tc>
          <w:tcPr>
            <w:tcW w:w="1560" w:type="dxa"/>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不选取</w:t>
            </w:r>
          </w:p>
        </w:tc>
        <w:tc>
          <w:tcPr>
            <w:tcW w:w="1552" w:type="dxa"/>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不选取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估价方法选取的理由</w:t>
            </w:r>
          </w:p>
        </w:tc>
        <w:tc>
          <w:tcPr>
            <w:tcW w:w="1759" w:type="dxa"/>
            <w:vAlign w:val="center"/>
          </w:tcPr>
          <w:p>
            <w:pPr>
              <w:rPr>
                <w:rFonts w:ascii="宋体" w:hAnsi="宋体"/>
                <w:color w:val="auto"/>
                <w:sz w:val="18"/>
                <w:szCs w:val="18"/>
                <w:highlight w:val="none"/>
              </w:rPr>
            </w:pPr>
            <w:r>
              <w:rPr>
                <w:rFonts w:ascii="宋体" w:hAnsi="宋体"/>
                <w:color w:val="auto"/>
                <w:sz w:val="18"/>
                <w:szCs w:val="18"/>
                <w:highlight w:val="none"/>
              </w:rPr>
              <w:t>估价对象所在地区</w:t>
            </w:r>
            <w:r>
              <w:rPr>
                <w:rFonts w:hint="eastAsia" w:ascii="宋体" w:hAnsi="宋体"/>
                <w:color w:val="auto"/>
                <w:sz w:val="18"/>
                <w:szCs w:val="18"/>
                <w:highlight w:val="none"/>
              </w:rPr>
              <w:t>房地产</w:t>
            </w:r>
            <w:r>
              <w:rPr>
                <w:rFonts w:ascii="宋体" w:hAnsi="宋体"/>
                <w:color w:val="auto"/>
                <w:sz w:val="18"/>
                <w:szCs w:val="18"/>
                <w:highlight w:val="none"/>
              </w:rPr>
              <w:t>市场</w:t>
            </w:r>
            <w:r>
              <w:rPr>
                <w:rFonts w:hint="eastAsia" w:ascii="宋体" w:hAnsi="宋体"/>
                <w:color w:val="auto"/>
                <w:sz w:val="18"/>
                <w:szCs w:val="18"/>
                <w:highlight w:val="none"/>
              </w:rPr>
              <w:t>交易较为活跃，</w:t>
            </w:r>
            <w:r>
              <w:rPr>
                <w:rFonts w:ascii="宋体" w:hAnsi="宋体"/>
                <w:color w:val="auto"/>
                <w:sz w:val="18"/>
                <w:szCs w:val="18"/>
                <w:highlight w:val="none"/>
              </w:rPr>
              <w:t>区域内类似</w:t>
            </w:r>
            <w:r>
              <w:rPr>
                <w:rFonts w:hint="eastAsia" w:ascii="宋体" w:hAnsi="宋体"/>
                <w:color w:val="auto"/>
                <w:sz w:val="18"/>
                <w:szCs w:val="18"/>
                <w:highlight w:val="none"/>
              </w:rPr>
              <w:t>房地产</w:t>
            </w:r>
            <w:r>
              <w:rPr>
                <w:rFonts w:ascii="宋体" w:hAnsi="宋体"/>
                <w:color w:val="auto"/>
                <w:sz w:val="18"/>
                <w:szCs w:val="18"/>
                <w:highlight w:val="none"/>
              </w:rPr>
              <w:t>的市场交易案例较多</w:t>
            </w:r>
            <w:r>
              <w:rPr>
                <w:rFonts w:hint="eastAsia" w:ascii="宋体" w:hAnsi="宋体"/>
                <w:color w:val="auto"/>
                <w:sz w:val="18"/>
                <w:szCs w:val="18"/>
                <w:highlight w:val="none"/>
              </w:rPr>
              <w:t>，</w:t>
            </w:r>
            <w:r>
              <w:rPr>
                <w:rFonts w:ascii="宋体" w:hAnsi="宋体"/>
                <w:color w:val="auto"/>
                <w:sz w:val="18"/>
                <w:szCs w:val="18"/>
                <w:highlight w:val="none"/>
              </w:rPr>
              <w:t>故适宜采用</w:t>
            </w:r>
            <w:r>
              <w:rPr>
                <w:rFonts w:hint="eastAsia" w:ascii="宋体" w:hAnsi="宋体"/>
                <w:color w:val="auto"/>
                <w:sz w:val="18"/>
                <w:szCs w:val="18"/>
                <w:highlight w:val="none"/>
              </w:rPr>
              <w:t>比较</w:t>
            </w:r>
            <w:r>
              <w:rPr>
                <w:rFonts w:ascii="宋体" w:hAnsi="宋体"/>
                <w:color w:val="auto"/>
                <w:sz w:val="18"/>
                <w:szCs w:val="18"/>
                <w:highlight w:val="none"/>
              </w:rPr>
              <w:t>法估算其客观合理的价格</w:t>
            </w:r>
          </w:p>
        </w:tc>
        <w:tc>
          <w:tcPr>
            <w:tcW w:w="1644" w:type="dxa"/>
            <w:vAlign w:val="center"/>
          </w:tcPr>
          <w:p>
            <w:pPr>
              <w:rPr>
                <w:rFonts w:ascii="宋体" w:hAnsi="宋体"/>
                <w:color w:val="auto"/>
                <w:sz w:val="18"/>
                <w:szCs w:val="18"/>
                <w:highlight w:val="none"/>
              </w:rPr>
            </w:pPr>
            <w:r>
              <w:rPr>
                <w:rFonts w:hint="eastAsia" w:ascii="宋体" w:hAnsi="宋体"/>
                <w:color w:val="auto"/>
                <w:sz w:val="18"/>
                <w:szCs w:val="18"/>
                <w:highlight w:val="none"/>
              </w:rPr>
              <w:t>估价对象区域内与估价对象相类似的租金较易获取，故适宜采用收益法进行评估</w:t>
            </w:r>
          </w:p>
        </w:tc>
        <w:tc>
          <w:tcPr>
            <w:tcW w:w="1874" w:type="dxa"/>
            <w:vAlign w:val="center"/>
          </w:tcPr>
          <w:p>
            <w:pPr>
              <w:rPr>
                <w:rFonts w:ascii="宋体" w:hAnsi="宋体"/>
                <w:color w:val="auto"/>
                <w:sz w:val="18"/>
                <w:szCs w:val="18"/>
                <w:highlight w:val="none"/>
              </w:rPr>
            </w:pPr>
            <w:r>
              <w:rPr>
                <w:rFonts w:hint="eastAsia" w:ascii="宋体" w:hAnsi="宋体" w:cs="宋体"/>
                <w:color w:val="auto"/>
                <w:sz w:val="18"/>
                <w:szCs w:val="18"/>
                <w:highlight w:val="none"/>
              </w:rPr>
              <w:t>估价对象属于建成并已投入使用的物业，没有再开发价值，</w:t>
            </w:r>
            <w:r>
              <w:rPr>
                <w:rFonts w:hint="eastAsia" w:ascii="宋体" w:hAnsi="宋体"/>
                <w:color w:val="auto"/>
                <w:kern w:val="0"/>
                <w:sz w:val="18"/>
                <w:szCs w:val="18"/>
                <w:highlight w:val="none"/>
              </w:rPr>
              <w:t>考虑到本次项目的评估目的，是为司法仲裁待估房地产而量化其市场价值</w:t>
            </w:r>
            <w:r>
              <w:rPr>
                <w:rFonts w:hint="eastAsia" w:ascii="宋体" w:hAnsi="宋体" w:cs="宋体"/>
                <w:color w:val="auto"/>
                <w:kern w:val="0"/>
                <w:sz w:val="18"/>
                <w:szCs w:val="18"/>
                <w:highlight w:val="none"/>
              </w:rPr>
              <w:t>，</w:t>
            </w:r>
            <w:r>
              <w:rPr>
                <w:rFonts w:hint="eastAsia" w:ascii="宋体" w:hAnsi="宋体"/>
                <w:color w:val="auto"/>
                <w:kern w:val="0"/>
                <w:sz w:val="18"/>
                <w:szCs w:val="18"/>
                <w:highlight w:val="none"/>
              </w:rPr>
              <w:t>不适宜选用假设开发法进行评估</w:t>
            </w:r>
          </w:p>
        </w:tc>
        <w:tc>
          <w:tcPr>
            <w:tcW w:w="1560" w:type="dxa"/>
            <w:vAlign w:val="center"/>
          </w:tcPr>
          <w:p>
            <w:pPr>
              <w:rPr>
                <w:rFonts w:ascii="宋体" w:hAnsi="宋体"/>
                <w:color w:val="auto"/>
                <w:sz w:val="18"/>
                <w:szCs w:val="18"/>
                <w:highlight w:val="none"/>
              </w:rPr>
            </w:pPr>
            <w:r>
              <w:rPr>
                <w:rFonts w:hint="eastAsia" w:ascii="宋体" w:hAnsi="宋体" w:cs="宋体"/>
                <w:color w:val="auto"/>
                <w:kern w:val="0"/>
                <w:sz w:val="18"/>
                <w:szCs w:val="18"/>
                <w:highlight w:val="none"/>
              </w:rPr>
              <w:t>考虑到房地产价值取决于其实际使用效能，而非成本，故不采用成本法进行评估</w:t>
            </w:r>
          </w:p>
        </w:tc>
        <w:tc>
          <w:tcPr>
            <w:tcW w:w="1552" w:type="dxa"/>
            <w:vAlign w:val="center"/>
          </w:tcPr>
          <w:p>
            <w:pPr>
              <w:rPr>
                <w:rFonts w:ascii="宋体" w:hAnsi="宋体"/>
                <w:color w:val="auto"/>
                <w:sz w:val="18"/>
                <w:szCs w:val="18"/>
                <w:highlight w:val="none"/>
              </w:rPr>
            </w:pPr>
            <w:r>
              <w:rPr>
                <w:rFonts w:hint="eastAsia" w:ascii="宋体" w:hAnsi="宋体"/>
                <w:color w:val="auto"/>
                <w:sz w:val="18"/>
                <w:szCs w:val="18"/>
                <w:highlight w:val="none"/>
              </w:rPr>
              <w:t>此方法主要适用于宗地评估，而本次评估的是房地产价值，故不采用基准地价修正法</w:t>
            </w:r>
          </w:p>
        </w:tc>
      </w:tr>
    </w:tbl>
    <w:p>
      <w:pPr>
        <w:pStyle w:val="3"/>
        <w:rPr>
          <w:rFonts w:ascii="宋体" w:hAnsi="宋体" w:eastAsia="宋体"/>
          <w:color w:val="auto"/>
          <w:sz w:val="28"/>
          <w:szCs w:val="28"/>
          <w:highlight w:val="none"/>
        </w:rPr>
      </w:pPr>
      <w:bookmarkStart w:id="235" w:name="_Toc16665776"/>
      <w:bookmarkStart w:id="236" w:name="_Toc522873508"/>
      <w:bookmarkStart w:id="237" w:name="_Toc521944373"/>
      <w:bookmarkStart w:id="238" w:name="_Toc16189062"/>
      <w:bookmarkStart w:id="239" w:name="_Toc16189225"/>
      <w:bookmarkStart w:id="240" w:name="_Toc26387"/>
      <w:r>
        <w:rPr>
          <w:rFonts w:hint="eastAsia" w:ascii="宋体" w:hAnsi="宋体" w:eastAsia="宋体"/>
          <w:color w:val="auto"/>
          <w:kern w:val="0"/>
          <w:sz w:val="28"/>
          <w:szCs w:val="28"/>
          <w:highlight w:val="none"/>
        </w:rPr>
        <w:t>五、估价测算过程</w:t>
      </w:r>
      <w:bookmarkEnd w:id="230"/>
      <w:bookmarkEnd w:id="231"/>
      <w:bookmarkEnd w:id="232"/>
      <w:bookmarkEnd w:id="233"/>
      <w:bookmarkEnd w:id="234"/>
      <w:bookmarkEnd w:id="235"/>
      <w:bookmarkEnd w:id="236"/>
      <w:bookmarkEnd w:id="237"/>
      <w:bookmarkEnd w:id="238"/>
      <w:bookmarkEnd w:id="239"/>
      <w:bookmarkEnd w:id="240"/>
    </w:p>
    <w:p>
      <w:pPr>
        <w:pStyle w:val="4"/>
        <w:ind w:firstLine="562" w:firstLineChars="200"/>
        <w:rPr>
          <w:rFonts w:ascii="宋体" w:hAnsi="宋体"/>
          <w:color w:val="auto"/>
          <w:sz w:val="28"/>
          <w:szCs w:val="28"/>
          <w:highlight w:val="none"/>
        </w:rPr>
      </w:pPr>
      <w:bookmarkStart w:id="241" w:name="_Toc16189227"/>
      <w:bookmarkStart w:id="242" w:name="_Toc16665778"/>
      <w:bookmarkStart w:id="243" w:name="_Toc521944375"/>
      <w:bookmarkStart w:id="244" w:name="_Toc522873510"/>
      <w:bookmarkStart w:id="245" w:name="_Toc16189064"/>
      <w:bookmarkStart w:id="246" w:name="_Toc14456"/>
      <w:r>
        <w:rPr>
          <w:rFonts w:hint="eastAsia" w:ascii="宋体" w:hAnsi="宋体"/>
          <w:color w:val="auto"/>
          <w:sz w:val="28"/>
          <w:szCs w:val="28"/>
          <w:highlight w:val="none"/>
        </w:rPr>
        <w:t>（一）采用比较法</w:t>
      </w:r>
      <w:bookmarkEnd w:id="241"/>
      <w:bookmarkEnd w:id="242"/>
      <w:bookmarkEnd w:id="243"/>
      <w:bookmarkEnd w:id="244"/>
      <w:bookmarkEnd w:id="245"/>
      <w:r>
        <w:rPr>
          <w:rFonts w:hint="eastAsia" w:ascii="宋体" w:hAnsi="宋体"/>
          <w:color w:val="auto"/>
          <w:sz w:val="28"/>
          <w:szCs w:val="28"/>
          <w:highlight w:val="none"/>
        </w:rPr>
        <w:t>进行评估：</w:t>
      </w:r>
      <w:bookmarkEnd w:id="246"/>
    </w:p>
    <w:p>
      <w:pPr>
        <w:tabs>
          <w:tab w:val="left" w:pos="360"/>
        </w:tabs>
        <w:adjustRightInd w:val="0"/>
        <w:snapToGrid w:val="0"/>
        <w:spacing w:line="360" w:lineRule="auto"/>
        <w:ind w:right="57" w:firstLine="548" w:firstLineChars="196"/>
        <w:jc w:val="left"/>
        <w:rPr>
          <w:rFonts w:ascii="宋体" w:hAnsi="宋体" w:cs="宋体"/>
          <w:color w:val="auto"/>
          <w:sz w:val="28"/>
          <w:szCs w:val="28"/>
          <w:highlight w:val="none"/>
        </w:rPr>
      </w:pPr>
      <w:r>
        <w:rPr>
          <w:rFonts w:hint="eastAsia" w:ascii="宋体" w:hAnsi="宋体" w:cs="宋体"/>
          <w:color w:val="auto"/>
          <w:sz w:val="28"/>
          <w:szCs w:val="28"/>
          <w:highlight w:val="none"/>
        </w:rPr>
        <w:t>1、估价测算步骤及计算公式：</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（1）测算步骤：</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①搜集交易实例；</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②选取可比实例；</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③建立比较基础；</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④进行交易情况修正；</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⑤进行市场状况调整；</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⑥进行房地产状况调整；</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⑦计算比较价值。</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（2）计算公式：待估房地产比较价格=可比实例价格×交易情况修正系数×市场状况调整系数×房地产状况调整系数</w:t>
      </w:r>
    </w:p>
    <w:p>
      <w:pPr>
        <w:adjustRightInd w:val="0"/>
        <w:snapToGrid w:val="0"/>
        <w:spacing w:line="360" w:lineRule="auto"/>
        <w:ind w:firstLine="420" w:firstLineChars="150"/>
        <w:rPr>
          <w:rFonts w:ascii="宋体" w:hAnsi="宋体" w:cs="宋体"/>
          <w:color w:val="auto"/>
          <w:sz w:val="28"/>
          <w:szCs w:val="28"/>
          <w:highlight w:val="none"/>
        </w:rPr>
      </w:pPr>
      <w:r>
        <w:rPr>
          <w:rFonts w:hint="eastAsia" w:ascii="宋体" w:hAnsi="宋体" w:cs="宋体"/>
          <w:color w:val="auto"/>
          <w:sz w:val="28"/>
          <w:szCs w:val="28"/>
          <w:highlight w:val="none"/>
        </w:rPr>
        <w:t>2、可比实例选取、建立比较基础</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（1）估价人员对近年来</w:t>
      </w:r>
      <w:r>
        <w:rPr>
          <w:rFonts w:hint="eastAsia" w:ascii="宋体" w:hAnsi="宋体" w:cs="宋体"/>
          <w:color w:val="auto"/>
          <w:sz w:val="28"/>
          <w:szCs w:val="28"/>
          <w:highlight w:val="none"/>
          <w:lang w:eastAsia="zh-CN"/>
        </w:rPr>
        <w:t>丘北县</w:t>
      </w:r>
      <w:r>
        <w:rPr>
          <w:rFonts w:hint="eastAsia" w:ascii="宋体" w:hAnsi="宋体" w:cs="宋体"/>
          <w:color w:val="auto"/>
          <w:sz w:val="28"/>
          <w:szCs w:val="28"/>
          <w:highlight w:val="none"/>
        </w:rPr>
        <w:t>城区类似估价对象房地产进行细致调查，并搜集有关资料，选取三宗与估价对象类似的实例进行比较修正，案例调查表如下：</w:t>
      </w:r>
    </w:p>
    <w:p>
      <w:pPr>
        <w:adjustRightInd w:val="0"/>
        <w:snapToGrid w:val="0"/>
        <w:spacing w:line="336" w:lineRule="auto"/>
        <w:ind w:firstLine="560" w:firstLineChars="200"/>
        <w:rPr>
          <w:rFonts w:ascii="宋体" w:hAnsi="宋体" w:cs="宋体"/>
          <w:color w:val="auto"/>
          <w:kern w:val="0"/>
          <w:sz w:val="28"/>
          <w:szCs w:val="28"/>
          <w:highlight w:val="none"/>
        </w:rPr>
      </w:pPr>
      <w:r>
        <w:rPr>
          <w:rFonts w:hint="eastAsia" w:ascii="宋体" w:hAnsi="宋体" w:cs="宋体"/>
          <w:color w:val="auto"/>
          <w:kern w:val="0"/>
          <w:sz w:val="28"/>
          <w:szCs w:val="28"/>
          <w:highlight w:val="none"/>
        </w:rPr>
        <w:t>案列A：</w:t>
      </w:r>
    </w:p>
    <w:tbl>
      <w:tblPr>
        <w:tblStyle w:val="19"/>
        <w:tblW w:w="9245" w:type="dxa"/>
        <w:jc w:val="center"/>
        <w:tblLayout w:type="fixed"/>
        <w:tblCellMar>
          <w:top w:w="0" w:type="dxa"/>
          <w:left w:w="108" w:type="dxa"/>
          <w:bottom w:w="0" w:type="dxa"/>
          <w:right w:w="108" w:type="dxa"/>
        </w:tblCellMar>
      </w:tblPr>
      <w:tblGrid>
        <w:gridCol w:w="1133"/>
        <w:gridCol w:w="1618"/>
        <w:gridCol w:w="1700"/>
        <w:gridCol w:w="229"/>
        <w:gridCol w:w="1037"/>
        <w:gridCol w:w="1254"/>
        <w:gridCol w:w="1167"/>
        <w:gridCol w:w="1107"/>
      </w:tblGrid>
      <w:tr>
        <w:tblPrEx>
          <w:tblCellMar>
            <w:top w:w="0" w:type="dxa"/>
            <w:left w:w="108" w:type="dxa"/>
            <w:bottom w:w="0" w:type="dxa"/>
            <w:right w:w="108" w:type="dxa"/>
          </w:tblCellMar>
        </w:tblPrEx>
        <w:trPr>
          <w:trHeight w:val="400" w:hRule="atLeast"/>
          <w:jc w:val="center"/>
        </w:trPr>
        <w:tc>
          <w:tcPr>
            <w:tcW w:w="1133" w:type="dxa"/>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坐落</w:t>
            </w:r>
          </w:p>
        </w:tc>
        <w:tc>
          <w:tcPr>
            <w:tcW w:w="3547" w:type="dxa"/>
            <w:gridSpan w:val="3"/>
            <w:tcBorders>
              <w:top w:val="single" w:color="auto" w:sz="4" w:space="0"/>
              <w:left w:val="nil"/>
              <w:bottom w:val="single" w:color="auto" w:sz="4" w:space="0"/>
              <w:right w:val="single" w:color="auto" w:sz="4" w:space="0"/>
            </w:tcBorders>
            <w:vAlign w:val="center"/>
          </w:tcPr>
          <w:p>
            <w:pPr>
              <w:widowControl/>
              <w:snapToGrid w:val="0"/>
              <w:spacing w:line="336" w:lineRule="auto"/>
              <w:ind w:right="-2" w:rightChars="-1"/>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eastAsia="zh-CN"/>
              </w:rPr>
              <w:t>丘北县西正街</w:t>
            </w:r>
            <w:r>
              <w:rPr>
                <w:rFonts w:hint="eastAsia" w:ascii="宋体" w:hAnsi="宋体" w:cs="宋体"/>
                <w:color w:val="auto"/>
                <w:kern w:val="0"/>
                <w:sz w:val="18"/>
                <w:szCs w:val="18"/>
                <w:highlight w:val="none"/>
                <w:lang w:val="en-US" w:eastAsia="zh-CN"/>
              </w:rPr>
              <w:t>39号原公安局4幢</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ind w:right="-2" w:rightChars="-1"/>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资料来源</w:t>
            </w:r>
          </w:p>
        </w:tc>
        <w:tc>
          <w:tcPr>
            <w:tcW w:w="1254" w:type="dxa"/>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ind w:right="-2" w:rightChars="-1"/>
              <w:rPr>
                <w:rFonts w:ascii="宋体" w:hAnsi="宋体" w:cs="宋体"/>
                <w:color w:val="auto"/>
                <w:kern w:val="0"/>
                <w:sz w:val="18"/>
                <w:szCs w:val="18"/>
                <w:highlight w:val="none"/>
              </w:rPr>
            </w:pPr>
            <w:r>
              <w:rPr>
                <w:rFonts w:hint="eastAsia" w:ascii="宋体" w:hAnsi="宋体" w:cs="宋体"/>
                <w:color w:val="auto"/>
                <w:kern w:val="0"/>
                <w:sz w:val="18"/>
                <w:szCs w:val="18"/>
                <w:highlight w:val="none"/>
                <w:lang w:eastAsia="zh-CN"/>
              </w:rPr>
              <w:t>市场调查</w:t>
            </w:r>
          </w:p>
        </w:tc>
        <w:tc>
          <w:tcPr>
            <w:tcW w:w="1167" w:type="dxa"/>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ind w:right="-2" w:rightChars="-1"/>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交易情况</w:t>
            </w:r>
          </w:p>
        </w:tc>
        <w:tc>
          <w:tcPr>
            <w:tcW w:w="1107" w:type="dxa"/>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ind w:right="-2" w:rightChars="-1"/>
              <w:rPr>
                <w:rFonts w:ascii="宋体" w:hAnsi="宋体" w:cs="宋体"/>
                <w:color w:val="auto"/>
                <w:kern w:val="0"/>
                <w:sz w:val="18"/>
                <w:szCs w:val="18"/>
                <w:highlight w:val="none"/>
              </w:rPr>
            </w:pPr>
            <w:r>
              <w:rPr>
                <w:rFonts w:hint="eastAsia" w:ascii="宋体" w:hAnsi="宋体" w:cs="宋体"/>
                <w:color w:val="auto"/>
                <w:kern w:val="0"/>
                <w:sz w:val="18"/>
                <w:szCs w:val="18"/>
                <w:highlight w:val="none"/>
              </w:rPr>
              <w:t>正常交易</w:t>
            </w:r>
          </w:p>
        </w:tc>
      </w:tr>
      <w:tr>
        <w:tblPrEx>
          <w:tblCellMar>
            <w:top w:w="0" w:type="dxa"/>
            <w:left w:w="108" w:type="dxa"/>
            <w:bottom w:w="0" w:type="dxa"/>
            <w:right w:w="108" w:type="dxa"/>
          </w:tblCellMar>
        </w:tblPrEx>
        <w:trPr>
          <w:trHeight w:val="400" w:hRule="atLeast"/>
          <w:jc w:val="center"/>
        </w:trPr>
        <w:tc>
          <w:tcPr>
            <w:tcW w:w="1133" w:type="dxa"/>
            <w:tcBorders>
              <w:top w:val="nil"/>
              <w:left w:val="single" w:color="auto" w:sz="4" w:space="0"/>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成交价格</w:t>
            </w: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3232.76</w:t>
            </w:r>
            <w:r>
              <w:rPr>
                <w:rFonts w:hint="eastAsia" w:ascii="宋体" w:hAnsi="宋体" w:cs="宋体"/>
                <w:color w:val="auto"/>
                <w:kern w:val="0"/>
                <w:sz w:val="18"/>
                <w:szCs w:val="18"/>
                <w:highlight w:val="none"/>
              </w:rPr>
              <w:t>元/㎡</w:t>
            </w:r>
          </w:p>
        </w:tc>
        <w:tc>
          <w:tcPr>
            <w:tcW w:w="1700"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货币种类</w:t>
            </w:r>
          </w:p>
        </w:tc>
        <w:tc>
          <w:tcPr>
            <w:tcW w:w="1266" w:type="dxa"/>
            <w:gridSpan w:val="2"/>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人民币</w:t>
            </w:r>
          </w:p>
        </w:tc>
        <w:tc>
          <w:tcPr>
            <w:tcW w:w="1254"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成交日期</w:t>
            </w:r>
          </w:p>
        </w:tc>
        <w:tc>
          <w:tcPr>
            <w:tcW w:w="2274" w:type="dxa"/>
            <w:gridSpan w:val="2"/>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201</w:t>
            </w:r>
            <w:r>
              <w:rPr>
                <w:rFonts w:hint="eastAsia" w:ascii="宋体" w:hAnsi="宋体" w:cs="宋体"/>
                <w:color w:val="auto"/>
                <w:kern w:val="0"/>
                <w:sz w:val="18"/>
                <w:szCs w:val="18"/>
                <w:highlight w:val="none"/>
                <w:lang w:val="en-US" w:eastAsia="zh-CN"/>
              </w:rPr>
              <w:t>8</w:t>
            </w:r>
            <w:r>
              <w:rPr>
                <w:rFonts w:hint="eastAsia" w:ascii="宋体" w:hAnsi="宋体" w:cs="宋体"/>
                <w:color w:val="auto"/>
                <w:kern w:val="0"/>
                <w:sz w:val="18"/>
                <w:szCs w:val="18"/>
                <w:highlight w:val="none"/>
              </w:rPr>
              <w:t>年</w:t>
            </w:r>
            <w:r>
              <w:rPr>
                <w:rFonts w:hint="eastAsia" w:ascii="宋体" w:hAnsi="宋体" w:cs="宋体"/>
                <w:color w:val="auto"/>
                <w:kern w:val="0"/>
                <w:sz w:val="18"/>
                <w:szCs w:val="18"/>
                <w:highlight w:val="none"/>
                <w:lang w:val="en-US" w:eastAsia="zh-CN"/>
              </w:rPr>
              <w:t>12</w:t>
            </w:r>
            <w:r>
              <w:rPr>
                <w:rFonts w:hint="eastAsia" w:ascii="宋体" w:hAnsi="宋体" w:cs="宋体"/>
                <w:color w:val="auto"/>
                <w:kern w:val="0"/>
                <w:sz w:val="18"/>
                <w:szCs w:val="18"/>
                <w:highlight w:val="none"/>
              </w:rPr>
              <w:t>月</w:t>
            </w:r>
          </w:p>
        </w:tc>
      </w:tr>
      <w:tr>
        <w:tblPrEx>
          <w:tblCellMar>
            <w:top w:w="0" w:type="dxa"/>
            <w:left w:w="108" w:type="dxa"/>
            <w:bottom w:w="0" w:type="dxa"/>
            <w:right w:w="108" w:type="dxa"/>
          </w:tblCellMar>
        </w:tblPrEx>
        <w:trPr>
          <w:trHeight w:val="400" w:hRule="atLeast"/>
          <w:jc w:val="center"/>
        </w:trPr>
        <w:tc>
          <w:tcPr>
            <w:tcW w:w="1133" w:type="dxa"/>
            <w:vMerge w:val="restart"/>
            <w:tcBorders>
              <w:top w:val="nil"/>
              <w:left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区位因素</w:t>
            </w: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位置</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位于城市中心区</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center"/>
              <w:rPr>
                <w:rFonts w:hint="eastAsia"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朝向</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朝南</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楼层</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3/4</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交通状况</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rPr>
              <w:t>该区域内</w:t>
            </w:r>
            <w:r>
              <w:rPr>
                <w:rFonts w:hint="eastAsia" w:ascii="宋体" w:hAnsi="宋体" w:cs="宋体"/>
                <w:color w:val="auto"/>
                <w:kern w:val="0"/>
                <w:sz w:val="18"/>
                <w:szCs w:val="18"/>
                <w:highlight w:val="none"/>
                <w:lang w:eastAsia="zh-CN"/>
              </w:rPr>
              <w:t>有多</w:t>
            </w:r>
            <w:r>
              <w:rPr>
                <w:rFonts w:hint="eastAsia" w:ascii="宋体" w:hAnsi="宋体" w:cs="宋体"/>
                <w:color w:val="auto"/>
                <w:kern w:val="0"/>
                <w:sz w:val="18"/>
                <w:szCs w:val="18"/>
                <w:highlight w:val="none"/>
              </w:rPr>
              <w:t>路公交车经过，出入可利用交通工具有：公交车、出组车、网约车等，交通便捷</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环境状况</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该小区内绿化</w:t>
            </w:r>
            <w:r>
              <w:rPr>
                <w:rFonts w:hint="eastAsia" w:ascii="宋体" w:hAnsi="宋体" w:cs="宋体"/>
                <w:color w:val="auto"/>
                <w:kern w:val="0"/>
                <w:sz w:val="18"/>
                <w:szCs w:val="18"/>
                <w:highlight w:val="none"/>
                <w:lang w:eastAsia="zh-CN"/>
              </w:rPr>
              <w:t>一般</w:t>
            </w:r>
            <w:r>
              <w:rPr>
                <w:rFonts w:hint="eastAsia" w:ascii="宋体" w:hAnsi="宋体" w:cs="宋体"/>
                <w:color w:val="auto"/>
                <w:kern w:val="0"/>
                <w:sz w:val="18"/>
                <w:szCs w:val="18"/>
                <w:highlight w:val="none"/>
              </w:rPr>
              <w:t>，环境</w:t>
            </w:r>
            <w:r>
              <w:rPr>
                <w:rFonts w:hint="eastAsia" w:ascii="宋体" w:hAnsi="宋体" w:cs="宋体"/>
                <w:color w:val="auto"/>
                <w:kern w:val="0"/>
                <w:sz w:val="18"/>
                <w:szCs w:val="18"/>
                <w:highlight w:val="none"/>
                <w:lang w:eastAsia="zh-CN"/>
              </w:rPr>
              <w:t>一般</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居住聚集度</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周边有主要有</w:t>
            </w:r>
            <w:r>
              <w:rPr>
                <w:rFonts w:hint="eastAsia" w:ascii="宋体" w:hAnsi="宋体" w:cs="宋体"/>
                <w:color w:val="auto"/>
                <w:kern w:val="0"/>
                <w:sz w:val="18"/>
                <w:szCs w:val="18"/>
                <w:highlight w:val="none"/>
                <w:lang w:eastAsia="zh-CN"/>
              </w:rPr>
              <w:t>职工住宿区、居民住宅区</w:t>
            </w:r>
            <w:r>
              <w:rPr>
                <w:rFonts w:hint="eastAsia" w:ascii="宋体" w:hAnsi="宋体" w:cs="宋体"/>
                <w:color w:val="auto"/>
                <w:kern w:val="0"/>
                <w:sz w:val="18"/>
                <w:szCs w:val="18"/>
                <w:highlight w:val="none"/>
              </w:rPr>
              <w:t>等住宅小区，居住聚集度高</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外部配套设施</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rPr>
              <w:t>该区域内有</w:t>
            </w:r>
            <w:r>
              <w:rPr>
                <w:rFonts w:hint="eastAsia" w:ascii="宋体" w:hAnsi="宋体" w:cs="宋体"/>
                <w:color w:val="auto"/>
                <w:kern w:val="0"/>
                <w:sz w:val="18"/>
                <w:szCs w:val="18"/>
                <w:highlight w:val="none"/>
                <w:lang w:eastAsia="zh-CN"/>
              </w:rPr>
              <w:t>丘北县人民公安局</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lang w:eastAsia="zh-CN"/>
              </w:rPr>
              <w:t>百货大楼、丘北县第一中学、中国邮政储蓄银行等公共配套设施，</w:t>
            </w:r>
            <w:r>
              <w:rPr>
                <w:rFonts w:hint="eastAsia" w:ascii="宋体" w:hAnsi="宋体" w:cs="宋体"/>
                <w:color w:val="auto"/>
                <w:kern w:val="0"/>
                <w:sz w:val="18"/>
                <w:szCs w:val="18"/>
                <w:highlight w:val="none"/>
              </w:rPr>
              <w:t>外部配套设施</w:t>
            </w:r>
            <w:r>
              <w:rPr>
                <w:rFonts w:hint="eastAsia" w:ascii="宋体" w:hAnsi="宋体" w:cs="宋体"/>
                <w:color w:val="auto"/>
                <w:kern w:val="0"/>
                <w:sz w:val="18"/>
                <w:szCs w:val="18"/>
                <w:highlight w:val="none"/>
                <w:lang w:eastAsia="zh-CN"/>
              </w:rPr>
              <w:t>完善</w:t>
            </w:r>
            <w:r>
              <w:rPr>
                <w:rFonts w:hint="eastAsia" w:ascii="宋体" w:hAnsi="宋体" w:cs="宋体"/>
                <w:color w:val="auto"/>
                <w:kern w:val="0"/>
                <w:sz w:val="18"/>
                <w:szCs w:val="18"/>
                <w:highlight w:val="none"/>
                <w:lang w:val="en-US" w:eastAsia="zh-CN"/>
              </w:rPr>
              <w:t xml:space="preserve"> </w:t>
            </w:r>
          </w:p>
        </w:tc>
      </w:tr>
      <w:tr>
        <w:tblPrEx>
          <w:tblCellMar>
            <w:top w:w="0" w:type="dxa"/>
            <w:left w:w="108" w:type="dxa"/>
            <w:bottom w:w="0" w:type="dxa"/>
            <w:right w:w="108" w:type="dxa"/>
          </w:tblCellMar>
        </w:tblPrEx>
        <w:trPr>
          <w:trHeight w:val="400" w:hRule="atLeast"/>
          <w:jc w:val="center"/>
        </w:trPr>
        <w:tc>
          <w:tcPr>
            <w:tcW w:w="1133" w:type="dxa"/>
            <w:vMerge w:val="restart"/>
            <w:tcBorders>
              <w:top w:val="single" w:color="auto" w:sz="4" w:space="0"/>
              <w:left w:val="single" w:color="auto" w:sz="4" w:space="0"/>
              <w:right w:val="single" w:color="auto" w:sz="4" w:space="0"/>
            </w:tcBorders>
            <w:vAlign w:val="center"/>
          </w:tcPr>
          <w:p>
            <w:pPr>
              <w:widowControl/>
              <w:snapToGrid w:val="0"/>
              <w:spacing w:line="336"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实物因素</w:t>
            </w:r>
          </w:p>
          <w:p>
            <w:pPr>
              <w:widowControl/>
              <w:snapToGrid w:val="0"/>
              <w:spacing w:line="336" w:lineRule="auto"/>
              <w:jc w:val="left"/>
              <w:rPr>
                <w:rFonts w:ascii="宋体" w:hAnsi="宋体" w:cs="宋体"/>
                <w:color w:val="auto"/>
                <w:kern w:val="0"/>
                <w:sz w:val="18"/>
                <w:szCs w:val="18"/>
                <w:highlight w:val="none"/>
              </w:rPr>
            </w:pPr>
          </w:p>
          <w:p>
            <w:pPr>
              <w:widowControl/>
              <w:snapToGrid w:val="0"/>
              <w:spacing w:line="336" w:lineRule="auto"/>
              <w:jc w:val="left"/>
              <w:rPr>
                <w:rFonts w:ascii="宋体" w:hAnsi="宋体" w:cs="宋体"/>
                <w:color w:val="auto"/>
                <w:kern w:val="0"/>
                <w:sz w:val="18"/>
                <w:szCs w:val="18"/>
                <w:highlight w:val="none"/>
              </w:rPr>
            </w:pPr>
          </w:p>
        </w:tc>
        <w:tc>
          <w:tcPr>
            <w:tcW w:w="1618" w:type="dxa"/>
            <w:tcBorders>
              <w:top w:val="single" w:color="auto" w:sz="4" w:space="0"/>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用途</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住宅</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rPr>
              <w:t>建筑规模</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55.68</w:t>
            </w:r>
            <w:r>
              <w:rPr>
                <w:rFonts w:hint="eastAsia" w:ascii="宋体" w:hAnsi="宋体" w:cs="宋体"/>
                <w:color w:val="auto"/>
                <w:kern w:val="0"/>
                <w:sz w:val="18"/>
                <w:szCs w:val="18"/>
                <w:highlight w:val="none"/>
              </w:rPr>
              <w:t>㎡</w:t>
            </w:r>
          </w:p>
        </w:tc>
      </w:tr>
      <w:tr>
        <w:tblPrEx>
          <w:tblCellMar>
            <w:top w:w="0" w:type="dxa"/>
            <w:left w:w="108" w:type="dxa"/>
            <w:bottom w:w="0" w:type="dxa"/>
            <w:right w:w="108" w:type="dxa"/>
          </w:tblCellMar>
        </w:tblPrEx>
        <w:trPr>
          <w:trHeight w:val="413"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建筑结构</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砖混</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户型</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二室一厅一厨一卫</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设施设备</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水电、消防等设施齐全</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装饰装修</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lang w:eastAsia="zh-CN"/>
              </w:rPr>
              <w:t>普通装修</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空间布局</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较合理</w:t>
            </w:r>
          </w:p>
        </w:tc>
      </w:tr>
      <w:tr>
        <w:tblPrEx>
          <w:tblCellMar>
            <w:top w:w="0" w:type="dxa"/>
            <w:left w:w="108" w:type="dxa"/>
            <w:bottom w:w="0" w:type="dxa"/>
            <w:right w:w="108" w:type="dxa"/>
          </w:tblCellMar>
        </w:tblPrEx>
        <w:trPr>
          <w:trHeight w:val="9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维护保养</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一般</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完损状况</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基本完好</w:t>
            </w:r>
          </w:p>
        </w:tc>
      </w:tr>
      <w:tr>
        <w:tblPrEx>
          <w:tblCellMar>
            <w:top w:w="0" w:type="dxa"/>
            <w:left w:w="108" w:type="dxa"/>
            <w:bottom w:w="0" w:type="dxa"/>
            <w:right w:w="108" w:type="dxa"/>
          </w:tblCellMar>
        </w:tblPrEx>
        <w:trPr>
          <w:trHeight w:val="400" w:hRule="atLeast"/>
          <w:jc w:val="center"/>
        </w:trPr>
        <w:tc>
          <w:tcPr>
            <w:tcW w:w="1133" w:type="dxa"/>
            <w:vMerge w:val="restart"/>
            <w:tcBorders>
              <w:top w:val="single" w:color="auto" w:sz="4" w:space="0"/>
              <w:left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权益因素</w:t>
            </w:r>
          </w:p>
        </w:tc>
        <w:tc>
          <w:tcPr>
            <w:tcW w:w="1618" w:type="dxa"/>
            <w:tcBorders>
              <w:top w:val="single" w:color="auto" w:sz="4" w:space="0"/>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权利状况</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完全产权</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p>
        </w:tc>
        <w:tc>
          <w:tcPr>
            <w:tcW w:w="1618" w:type="dxa"/>
            <w:tcBorders>
              <w:top w:val="single" w:color="auto" w:sz="4" w:space="0"/>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使用管制</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受一定管制</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bottom"/>
          </w:tcPr>
          <w:p>
            <w:pPr>
              <w:widowControl/>
              <w:snapToGrid w:val="0"/>
              <w:spacing w:line="336" w:lineRule="auto"/>
              <w:rPr>
                <w:rFonts w:ascii="宋体" w:hAnsi="宋体" w:cs="宋体"/>
                <w:color w:val="auto"/>
                <w:kern w:val="0"/>
                <w:sz w:val="18"/>
                <w:szCs w:val="18"/>
                <w:highlight w:val="none"/>
              </w:rPr>
            </w:pPr>
          </w:p>
        </w:tc>
        <w:tc>
          <w:tcPr>
            <w:tcW w:w="1618" w:type="dxa"/>
            <w:tcBorders>
              <w:top w:val="single" w:color="auto" w:sz="4" w:space="0"/>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相邻关系</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有一定限制 </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single" w:color="auto" w:sz="4" w:space="0"/>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物业服务</w:t>
            </w:r>
          </w:p>
        </w:tc>
        <w:tc>
          <w:tcPr>
            <w:tcW w:w="6494" w:type="dxa"/>
            <w:gridSpan w:val="6"/>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24小时</w:t>
            </w:r>
            <w:r>
              <w:rPr>
                <w:rFonts w:hint="eastAsia" w:ascii="宋体" w:hAnsi="宋体" w:cs="宋体"/>
                <w:color w:val="auto"/>
                <w:kern w:val="0"/>
                <w:sz w:val="18"/>
                <w:szCs w:val="18"/>
                <w:highlight w:val="none"/>
                <w:lang w:eastAsia="zh-CN"/>
              </w:rPr>
              <w:t>一般</w:t>
            </w:r>
            <w:r>
              <w:rPr>
                <w:rFonts w:hint="eastAsia" w:ascii="宋体" w:hAnsi="宋体" w:cs="宋体"/>
                <w:color w:val="auto"/>
                <w:kern w:val="0"/>
                <w:sz w:val="18"/>
                <w:szCs w:val="18"/>
                <w:highlight w:val="none"/>
              </w:rPr>
              <w:t xml:space="preserve">物业服务 </w:t>
            </w:r>
          </w:p>
        </w:tc>
      </w:tr>
    </w:tbl>
    <w:p>
      <w:pPr>
        <w:snapToGrid w:val="0"/>
        <w:spacing w:line="336" w:lineRule="auto"/>
        <w:ind w:firstLine="200" w:firstLineChars="200"/>
        <w:rPr>
          <w:rFonts w:ascii="宋体" w:hAnsi="宋体" w:cs="宋体"/>
          <w:color w:val="auto"/>
          <w:kern w:val="0"/>
          <w:sz w:val="10"/>
          <w:szCs w:val="10"/>
          <w:highlight w:val="none"/>
        </w:rPr>
      </w:pPr>
    </w:p>
    <w:p>
      <w:pPr>
        <w:snapToGrid w:val="0"/>
        <w:spacing w:line="336" w:lineRule="auto"/>
        <w:ind w:firstLine="560" w:firstLineChars="200"/>
        <w:rPr>
          <w:rFonts w:ascii="宋体" w:hAnsi="宋体" w:cs="宋体"/>
          <w:color w:val="auto"/>
          <w:kern w:val="0"/>
          <w:sz w:val="28"/>
          <w:szCs w:val="28"/>
          <w:highlight w:val="none"/>
        </w:rPr>
      </w:pPr>
      <w:r>
        <w:rPr>
          <w:rFonts w:hint="eastAsia" w:ascii="宋体" w:hAnsi="宋体" w:cs="宋体"/>
          <w:color w:val="auto"/>
          <w:kern w:val="0"/>
          <w:sz w:val="28"/>
          <w:szCs w:val="28"/>
          <w:highlight w:val="none"/>
        </w:rPr>
        <w:t>案列B：</w:t>
      </w:r>
    </w:p>
    <w:tbl>
      <w:tblPr>
        <w:tblStyle w:val="19"/>
        <w:tblW w:w="9245" w:type="dxa"/>
        <w:jc w:val="center"/>
        <w:tblLayout w:type="fixed"/>
        <w:tblCellMar>
          <w:top w:w="0" w:type="dxa"/>
          <w:left w:w="108" w:type="dxa"/>
          <w:bottom w:w="0" w:type="dxa"/>
          <w:right w:w="108" w:type="dxa"/>
        </w:tblCellMar>
      </w:tblPr>
      <w:tblGrid>
        <w:gridCol w:w="1133"/>
        <w:gridCol w:w="1618"/>
        <w:gridCol w:w="1700"/>
        <w:gridCol w:w="134"/>
        <w:gridCol w:w="1066"/>
        <w:gridCol w:w="1105"/>
        <w:gridCol w:w="215"/>
        <w:gridCol w:w="877"/>
        <w:gridCol w:w="1397"/>
      </w:tblGrid>
      <w:tr>
        <w:tblPrEx>
          <w:tblCellMar>
            <w:top w:w="0" w:type="dxa"/>
            <w:left w:w="108" w:type="dxa"/>
            <w:bottom w:w="0" w:type="dxa"/>
            <w:right w:w="108" w:type="dxa"/>
          </w:tblCellMar>
        </w:tblPrEx>
        <w:trPr>
          <w:trHeight w:val="400" w:hRule="atLeast"/>
          <w:jc w:val="center"/>
        </w:trPr>
        <w:tc>
          <w:tcPr>
            <w:tcW w:w="1133" w:type="dxa"/>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坐落</w:t>
            </w:r>
          </w:p>
        </w:tc>
        <w:tc>
          <w:tcPr>
            <w:tcW w:w="3452" w:type="dxa"/>
            <w:gridSpan w:val="3"/>
            <w:tcBorders>
              <w:top w:val="single" w:color="auto" w:sz="4" w:space="0"/>
              <w:left w:val="nil"/>
              <w:bottom w:val="single" w:color="auto" w:sz="4" w:space="0"/>
              <w:right w:val="single" w:color="auto" w:sz="4" w:space="0"/>
            </w:tcBorders>
            <w:vAlign w:val="center"/>
          </w:tcPr>
          <w:p>
            <w:pPr>
              <w:widowControl/>
              <w:snapToGrid w:val="0"/>
              <w:spacing w:line="336" w:lineRule="auto"/>
              <w:ind w:right="-2" w:rightChars="-1"/>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eastAsia="zh-CN"/>
              </w:rPr>
              <w:t>丘北县锦屏镇人民路</w:t>
            </w:r>
            <w:r>
              <w:rPr>
                <w:rFonts w:hint="eastAsia" w:ascii="宋体" w:hAnsi="宋体" w:cs="宋体"/>
                <w:color w:val="auto"/>
                <w:kern w:val="0"/>
                <w:sz w:val="18"/>
                <w:szCs w:val="18"/>
                <w:highlight w:val="none"/>
                <w:lang w:val="en-US" w:eastAsia="zh-CN"/>
              </w:rPr>
              <w:t>25号</w:t>
            </w:r>
          </w:p>
        </w:tc>
        <w:tc>
          <w:tcPr>
            <w:tcW w:w="1066" w:type="dxa"/>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ind w:right="-2" w:rightChars="-1"/>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资料来源</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ind w:right="-2" w:rightChars="-1"/>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市场调查</w:t>
            </w:r>
          </w:p>
        </w:tc>
        <w:tc>
          <w:tcPr>
            <w:tcW w:w="109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ind w:right="-2" w:rightChars="-1"/>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交易情况</w:t>
            </w:r>
          </w:p>
        </w:tc>
        <w:tc>
          <w:tcPr>
            <w:tcW w:w="1397" w:type="dxa"/>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ind w:right="-2" w:rightChars="-1"/>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正常交易</w:t>
            </w:r>
          </w:p>
        </w:tc>
      </w:tr>
      <w:tr>
        <w:tblPrEx>
          <w:tblCellMar>
            <w:top w:w="0" w:type="dxa"/>
            <w:left w:w="108" w:type="dxa"/>
            <w:bottom w:w="0" w:type="dxa"/>
            <w:right w:w="108" w:type="dxa"/>
          </w:tblCellMar>
        </w:tblPrEx>
        <w:trPr>
          <w:trHeight w:val="400" w:hRule="atLeast"/>
          <w:jc w:val="center"/>
        </w:trPr>
        <w:tc>
          <w:tcPr>
            <w:tcW w:w="1133" w:type="dxa"/>
            <w:tcBorders>
              <w:top w:val="nil"/>
              <w:left w:val="single" w:color="auto" w:sz="4" w:space="0"/>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成交价格</w:t>
            </w: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3081.73</w:t>
            </w:r>
            <w:r>
              <w:rPr>
                <w:rFonts w:hint="eastAsia" w:ascii="宋体" w:hAnsi="宋体" w:cs="宋体"/>
                <w:color w:val="auto"/>
                <w:kern w:val="0"/>
                <w:sz w:val="18"/>
                <w:szCs w:val="18"/>
                <w:highlight w:val="none"/>
              </w:rPr>
              <w:t>元/㎡</w:t>
            </w:r>
          </w:p>
        </w:tc>
        <w:tc>
          <w:tcPr>
            <w:tcW w:w="1700"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货币种类</w:t>
            </w:r>
          </w:p>
        </w:tc>
        <w:tc>
          <w:tcPr>
            <w:tcW w:w="1200" w:type="dxa"/>
            <w:gridSpan w:val="2"/>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人民币</w:t>
            </w:r>
          </w:p>
        </w:tc>
        <w:tc>
          <w:tcPr>
            <w:tcW w:w="1320" w:type="dxa"/>
            <w:gridSpan w:val="2"/>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成交日期</w:t>
            </w:r>
          </w:p>
        </w:tc>
        <w:tc>
          <w:tcPr>
            <w:tcW w:w="2274" w:type="dxa"/>
            <w:gridSpan w:val="2"/>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201</w:t>
            </w:r>
            <w:r>
              <w:rPr>
                <w:rFonts w:hint="eastAsia" w:ascii="宋体" w:hAnsi="宋体" w:cs="宋体"/>
                <w:color w:val="auto"/>
                <w:kern w:val="0"/>
                <w:sz w:val="18"/>
                <w:szCs w:val="18"/>
                <w:highlight w:val="none"/>
                <w:lang w:val="en-US" w:eastAsia="zh-CN"/>
              </w:rPr>
              <w:t>8</w:t>
            </w:r>
            <w:r>
              <w:rPr>
                <w:rFonts w:hint="eastAsia" w:ascii="宋体" w:hAnsi="宋体" w:cs="宋体"/>
                <w:color w:val="auto"/>
                <w:kern w:val="0"/>
                <w:sz w:val="18"/>
                <w:szCs w:val="18"/>
                <w:highlight w:val="none"/>
              </w:rPr>
              <w:t>年</w:t>
            </w:r>
            <w:r>
              <w:rPr>
                <w:rFonts w:hint="eastAsia" w:ascii="宋体" w:hAnsi="宋体" w:cs="宋体"/>
                <w:color w:val="auto"/>
                <w:kern w:val="0"/>
                <w:sz w:val="18"/>
                <w:szCs w:val="18"/>
                <w:highlight w:val="none"/>
                <w:lang w:val="en-US" w:eastAsia="zh-CN"/>
              </w:rPr>
              <w:t>11</w:t>
            </w:r>
            <w:r>
              <w:rPr>
                <w:rFonts w:hint="eastAsia" w:ascii="宋体" w:hAnsi="宋体" w:cs="宋体"/>
                <w:color w:val="auto"/>
                <w:kern w:val="0"/>
                <w:sz w:val="18"/>
                <w:szCs w:val="18"/>
                <w:highlight w:val="none"/>
              </w:rPr>
              <w:t>月</w:t>
            </w:r>
          </w:p>
        </w:tc>
      </w:tr>
      <w:tr>
        <w:tblPrEx>
          <w:tblCellMar>
            <w:top w:w="0" w:type="dxa"/>
            <w:left w:w="108" w:type="dxa"/>
            <w:bottom w:w="0" w:type="dxa"/>
            <w:right w:w="108" w:type="dxa"/>
          </w:tblCellMar>
        </w:tblPrEx>
        <w:trPr>
          <w:trHeight w:val="400" w:hRule="atLeast"/>
          <w:jc w:val="center"/>
        </w:trPr>
        <w:tc>
          <w:tcPr>
            <w:tcW w:w="1133" w:type="dxa"/>
            <w:vMerge w:val="restart"/>
            <w:tcBorders>
              <w:top w:val="nil"/>
              <w:left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区位因素</w:t>
            </w: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位置</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位于城市中心区</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center"/>
              <w:rPr>
                <w:rFonts w:hint="eastAsia"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朝向</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rPr>
              <w:t>朝</w:t>
            </w:r>
            <w:r>
              <w:rPr>
                <w:rFonts w:hint="eastAsia" w:ascii="宋体" w:hAnsi="宋体" w:cs="宋体"/>
                <w:color w:val="auto"/>
                <w:kern w:val="0"/>
                <w:sz w:val="18"/>
                <w:szCs w:val="18"/>
                <w:highlight w:val="none"/>
                <w:lang w:eastAsia="zh-CN"/>
              </w:rPr>
              <w:t>北</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楼层</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2/4</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交通状况</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rPr>
              <w:t>该区域内有</w:t>
            </w:r>
            <w:r>
              <w:rPr>
                <w:rFonts w:hint="eastAsia" w:ascii="宋体" w:hAnsi="宋体" w:cs="宋体"/>
                <w:color w:val="auto"/>
                <w:kern w:val="0"/>
                <w:sz w:val="18"/>
                <w:szCs w:val="18"/>
                <w:highlight w:val="none"/>
                <w:lang w:eastAsia="zh-CN"/>
              </w:rPr>
              <w:t>多路</w:t>
            </w:r>
            <w:r>
              <w:rPr>
                <w:rFonts w:hint="eastAsia" w:ascii="宋体" w:hAnsi="宋体" w:cs="宋体"/>
                <w:color w:val="auto"/>
                <w:kern w:val="0"/>
                <w:sz w:val="18"/>
                <w:szCs w:val="18"/>
                <w:highlight w:val="none"/>
              </w:rPr>
              <w:t>公交车经过，出入可利用交通工具有：公交车、出组车、网约车等，交通便捷</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环境状况</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该小区内绿化</w:t>
            </w:r>
            <w:r>
              <w:rPr>
                <w:rFonts w:hint="eastAsia" w:ascii="宋体" w:hAnsi="宋体" w:cs="宋体"/>
                <w:color w:val="auto"/>
                <w:kern w:val="0"/>
                <w:sz w:val="18"/>
                <w:szCs w:val="18"/>
                <w:highlight w:val="none"/>
                <w:lang w:eastAsia="zh-CN"/>
              </w:rPr>
              <w:t>一般，</w:t>
            </w:r>
            <w:r>
              <w:rPr>
                <w:rFonts w:hint="eastAsia" w:ascii="宋体" w:hAnsi="宋体" w:cs="宋体"/>
                <w:color w:val="auto"/>
                <w:kern w:val="0"/>
                <w:sz w:val="18"/>
                <w:szCs w:val="18"/>
                <w:highlight w:val="none"/>
              </w:rPr>
              <w:t>环境</w:t>
            </w:r>
            <w:r>
              <w:rPr>
                <w:rFonts w:hint="eastAsia" w:ascii="宋体" w:hAnsi="宋体" w:cs="宋体"/>
                <w:color w:val="auto"/>
                <w:kern w:val="0"/>
                <w:sz w:val="18"/>
                <w:szCs w:val="18"/>
                <w:highlight w:val="none"/>
                <w:lang w:eastAsia="zh-CN"/>
              </w:rPr>
              <w:t>一般</w:t>
            </w:r>
          </w:p>
        </w:tc>
      </w:tr>
      <w:tr>
        <w:tblPrEx>
          <w:tblCellMar>
            <w:top w:w="0" w:type="dxa"/>
            <w:left w:w="108" w:type="dxa"/>
            <w:bottom w:w="0" w:type="dxa"/>
            <w:right w:w="108" w:type="dxa"/>
          </w:tblCellMar>
        </w:tblPrEx>
        <w:trPr>
          <w:trHeight w:val="9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居住聚集度</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周边有主要有</w:t>
            </w:r>
            <w:r>
              <w:rPr>
                <w:rFonts w:hint="eastAsia" w:ascii="宋体" w:hAnsi="宋体" w:cs="宋体"/>
                <w:color w:val="auto"/>
                <w:kern w:val="0"/>
                <w:sz w:val="18"/>
                <w:szCs w:val="18"/>
                <w:highlight w:val="none"/>
                <w:lang w:eastAsia="zh-CN"/>
              </w:rPr>
              <w:t>职工住宿区、居民住宅区</w:t>
            </w:r>
            <w:r>
              <w:rPr>
                <w:rFonts w:hint="eastAsia" w:ascii="宋体" w:hAnsi="宋体" w:cs="宋体"/>
                <w:color w:val="auto"/>
                <w:kern w:val="0"/>
                <w:sz w:val="18"/>
                <w:szCs w:val="18"/>
                <w:highlight w:val="none"/>
              </w:rPr>
              <w:t>等住宅小区，居住聚集度高</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外部配套设施</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该区域内有</w:t>
            </w:r>
            <w:r>
              <w:rPr>
                <w:rFonts w:hint="eastAsia" w:ascii="宋体" w:hAnsi="宋体" w:cs="宋体"/>
                <w:color w:val="auto"/>
                <w:kern w:val="0"/>
                <w:sz w:val="18"/>
                <w:szCs w:val="18"/>
                <w:highlight w:val="none"/>
                <w:lang w:eastAsia="zh-CN"/>
              </w:rPr>
              <w:t>银行、健康会所、烟草专卖局便民服务中心、教育局、学校</w:t>
            </w:r>
            <w:r>
              <w:rPr>
                <w:rFonts w:hint="eastAsia" w:ascii="宋体" w:hAnsi="宋体" w:cs="宋体"/>
                <w:color w:val="auto"/>
                <w:kern w:val="0"/>
                <w:sz w:val="18"/>
                <w:szCs w:val="18"/>
                <w:highlight w:val="none"/>
              </w:rPr>
              <w:t>等，外部配套设施完善</w:t>
            </w:r>
          </w:p>
        </w:tc>
      </w:tr>
      <w:tr>
        <w:tblPrEx>
          <w:tblCellMar>
            <w:top w:w="0" w:type="dxa"/>
            <w:left w:w="108" w:type="dxa"/>
            <w:bottom w:w="0" w:type="dxa"/>
            <w:right w:w="108" w:type="dxa"/>
          </w:tblCellMar>
        </w:tblPrEx>
        <w:trPr>
          <w:trHeight w:val="90" w:hRule="atLeast"/>
          <w:jc w:val="center"/>
        </w:trPr>
        <w:tc>
          <w:tcPr>
            <w:tcW w:w="1133" w:type="dxa"/>
            <w:vMerge w:val="restart"/>
            <w:tcBorders>
              <w:top w:val="single" w:color="auto" w:sz="4" w:space="0"/>
              <w:left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实物因素</w:t>
            </w:r>
          </w:p>
          <w:p>
            <w:pPr>
              <w:widowControl/>
              <w:snapToGrid w:val="0"/>
              <w:spacing w:line="336" w:lineRule="auto"/>
              <w:jc w:val="left"/>
              <w:rPr>
                <w:rFonts w:ascii="宋体" w:hAnsi="宋体" w:cs="宋体"/>
                <w:color w:val="auto"/>
                <w:kern w:val="0"/>
                <w:sz w:val="18"/>
                <w:szCs w:val="18"/>
                <w:highlight w:val="none"/>
              </w:rPr>
            </w:pPr>
          </w:p>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用途</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住宅</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center"/>
              <w:rPr>
                <w:rFonts w:hint="eastAsia"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建筑规模</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70.35</w:t>
            </w:r>
            <w:r>
              <w:rPr>
                <w:rFonts w:hint="eastAsia" w:ascii="宋体" w:hAnsi="宋体" w:cs="宋体"/>
                <w:color w:val="auto"/>
                <w:kern w:val="0"/>
                <w:sz w:val="18"/>
                <w:szCs w:val="18"/>
                <w:highlight w:val="none"/>
              </w:rPr>
              <w:t>㎡</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建筑结构</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lang w:eastAsia="zh-CN"/>
              </w:rPr>
              <w:t>砖混</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户型</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三室一厅一厨一卫</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设施设备</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水电、消防等设施齐全</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装饰装修</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lang w:eastAsia="zh-CN"/>
              </w:rPr>
              <w:t>普通装修</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空间布局</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较合理</w:t>
            </w:r>
          </w:p>
        </w:tc>
      </w:tr>
      <w:tr>
        <w:tblPrEx>
          <w:tblCellMar>
            <w:top w:w="0" w:type="dxa"/>
            <w:left w:w="108" w:type="dxa"/>
            <w:bottom w:w="0" w:type="dxa"/>
            <w:right w:w="108" w:type="dxa"/>
          </w:tblCellMar>
        </w:tblPrEx>
        <w:trPr>
          <w:trHeight w:val="9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维护保养</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lang w:eastAsia="zh-CN"/>
              </w:rPr>
              <w:t>一般</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完损状况</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基本</w:t>
            </w:r>
            <w:r>
              <w:rPr>
                <w:rFonts w:hint="eastAsia" w:ascii="宋体" w:hAnsi="宋体" w:cs="宋体"/>
                <w:color w:val="auto"/>
                <w:kern w:val="0"/>
                <w:sz w:val="18"/>
                <w:szCs w:val="18"/>
                <w:highlight w:val="none"/>
              </w:rPr>
              <w:t>完好</w:t>
            </w:r>
          </w:p>
        </w:tc>
      </w:tr>
      <w:tr>
        <w:tblPrEx>
          <w:tblCellMar>
            <w:top w:w="0" w:type="dxa"/>
            <w:left w:w="108" w:type="dxa"/>
            <w:bottom w:w="0" w:type="dxa"/>
            <w:right w:w="108" w:type="dxa"/>
          </w:tblCellMar>
        </w:tblPrEx>
        <w:trPr>
          <w:trHeight w:val="400" w:hRule="atLeast"/>
          <w:jc w:val="center"/>
        </w:trPr>
        <w:tc>
          <w:tcPr>
            <w:tcW w:w="1133" w:type="dxa"/>
            <w:vMerge w:val="restart"/>
            <w:tcBorders>
              <w:top w:val="single" w:color="auto" w:sz="4" w:space="0"/>
              <w:left w:val="single" w:color="auto" w:sz="4" w:space="0"/>
              <w:right w:val="single" w:color="auto" w:sz="4" w:space="0"/>
            </w:tcBorders>
            <w:vAlign w:val="center"/>
          </w:tcPr>
          <w:p>
            <w:pPr>
              <w:widowControl/>
              <w:snapToGrid w:val="0"/>
              <w:spacing w:line="336" w:lineRule="auto"/>
              <w:rPr>
                <w:rFonts w:ascii="宋体" w:hAnsi="宋体" w:cs="宋体"/>
                <w:color w:val="auto"/>
                <w:kern w:val="0"/>
                <w:sz w:val="18"/>
                <w:szCs w:val="18"/>
                <w:highlight w:val="none"/>
              </w:rPr>
            </w:pPr>
            <w:r>
              <w:rPr>
                <w:rFonts w:hint="eastAsia" w:ascii="宋体" w:hAnsi="宋体" w:cs="宋体"/>
                <w:color w:val="auto"/>
                <w:kern w:val="0"/>
                <w:sz w:val="18"/>
                <w:szCs w:val="18"/>
                <w:highlight w:val="none"/>
              </w:rPr>
              <w:t>权益因素</w:t>
            </w:r>
          </w:p>
        </w:tc>
        <w:tc>
          <w:tcPr>
            <w:tcW w:w="1618" w:type="dxa"/>
            <w:tcBorders>
              <w:top w:val="single" w:color="auto" w:sz="4" w:space="0"/>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权利状况</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完全产权</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bottom"/>
          </w:tcPr>
          <w:p>
            <w:pPr>
              <w:widowControl/>
              <w:snapToGrid w:val="0"/>
              <w:spacing w:line="336" w:lineRule="auto"/>
              <w:rPr>
                <w:rFonts w:ascii="宋体" w:hAnsi="宋体" w:cs="宋体"/>
                <w:color w:val="auto"/>
                <w:kern w:val="0"/>
                <w:sz w:val="18"/>
                <w:szCs w:val="18"/>
                <w:highlight w:val="none"/>
              </w:rPr>
            </w:pPr>
          </w:p>
        </w:tc>
        <w:tc>
          <w:tcPr>
            <w:tcW w:w="1618" w:type="dxa"/>
            <w:tcBorders>
              <w:top w:val="single" w:color="auto" w:sz="4" w:space="0"/>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使用管制</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有一定管制</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bottom"/>
          </w:tcPr>
          <w:p>
            <w:pPr>
              <w:widowControl/>
              <w:snapToGrid w:val="0"/>
              <w:spacing w:line="336" w:lineRule="auto"/>
              <w:rPr>
                <w:rFonts w:ascii="宋体" w:hAnsi="宋体" w:cs="宋体"/>
                <w:color w:val="auto"/>
                <w:kern w:val="0"/>
                <w:sz w:val="18"/>
                <w:szCs w:val="18"/>
                <w:highlight w:val="none"/>
              </w:rPr>
            </w:pPr>
          </w:p>
        </w:tc>
        <w:tc>
          <w:tcPr>
            <w:tcW w:w="1618" w:type="dxa"/>
            <w:tcBorders>
              <w:top w:val="single" w:color="auto" w:sz="4" w:space="0"/>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相邻关系</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有一定限制 </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single" w:color="auto" w:sz="4" w:space="0"/>
              <w:left w:val="nil"/>
              <w:bottom w:val="single" w:color="auto" w:sz="4" w:space="0"/>
              <w:right w:val="single" w:color="auto" w:sz="4" w:space="0"/>
            </w:tcBorders>
            <w:vAlign w:val="center"/>
          </w:tcPr>
          <w:p>
            <w:pPr>
              <w:widowControl/>
              <w:snapToGrid w:val="0"/>
              <w:spacing w:line="336" w:lineRule="auto"/>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物业服务</w:t>
            </w:r>
          </w:p>
        </w:tc>
        <w:tc>
          <w:tcPr>
            <w:tcW w:w="6494" w:type="dxa"/>
            <w:gridSpan w:val="7"/>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24小时</w:t>
            </w:r>
            <w:r>
              <w:rPr>
                <w:rFonts w:hint="eastAsia" w:ascii="宋体" w:hAnsi="宋体" w:cs="宋体"/>
                <w:color w:val="auto"/>
                <w:kern w:val="0"/>
                <w:sz w:val="18"/>
                <w:szCs w:val="18"/>
                <w:highlight w:val="none"/>
                <w:lang w:eastAsia="zh-CN"/>
              </w:rPr>
              <w:t>一般</w:t>
            </w:r>
            <w:r>
              <w:rPr>
                <w:rFonts w:hint="eastAsia" w:ascii="宋体" w:hAnsi="宋体" w:cs="宋体"/>
                <w:color w:val="auto"/>
                <w:kern w:val="0"/>
                <w:sz w:val="18"/>
                <w:szCs w:val="18"/>
                <w:highlight w:val="none"/>
              </w:rPr>
              <w:t>物业服务</w:t>
            </w:r>
          </w:p>
        </w:tc>
      </w:tr>
    </w:tbl>
    <w:p>
      <w:pPr>
        <w:snapToGrid w:val="0"/>
        <w:spacing w:line="336" w:lineRule="auto"/>
        <w:ind w:firstLine="560" w:firstLineChars="200"/>
        <w:rPr>
          <w:rFonts w:ascii="宋体" w:hAnsi="宋体" w:cs="宋体"/>
          <w:color w:val="auto"/>
          <w:kern w:val="0"/>
          <w:sz w:val="28"/>
          <w:szCs w:val="28"/>
          <w:highlight w:val="none"/>
        </w:rPr>
      </w:pPr>
      <w:r>
        <w:rPr>
          <w:rFonts w:hint="eastAsia" w:ascii="宋体" w:hAnsi="宋体" w:cs="宋体"/>
          <w:color w:val="auto"/>
          <w:kern w:val="0"/>
          <w:sz w:val="28"/>
          <w:szCs w:val="28"/>
          <w:highlight w:val="none"/>
        </w:rPr>
        <w:t>案列C：</w:t>
      </w:r>
    </w:p>
    <w:tbl>
      <w:tblPr>
        <w:tblStyle w:val="19"/>
        <w:tblW w:w="9245" w:type="dxa"/>
        <w:jc w:val="center"/>
        <w:tblLayout w:type="fixed"/>
        <w:tblCellMar>
          <w:top w:w="0" w:type="dxa"/>
          <w:left w:w="108" w:type="dxa"/>
          <w:bottom w:w="0" w:type="dxa"/>
          <w:right w:w="108" w:type="dxa"/>
        </w:tblCellMar>
      </w:tblPr>
      <w:tblGrid>
        <w:gridCol w:w="1133"/>
        <w:gridCol w:w="1618"/>
        <w:gridCol w:w="1852"/>
        <w:gridCol w:w="377"/>
        <w:gridCol w:w="763"/>
        <w:gridCol w:w="461"/>
        <w:gridCol w:w="697"/>
        <w:gridCol w:w="697"/>
        <w:gridCol w:w="408"/>
        <w:gridCol w:w="1239"/>
      </w:tblGrid>
      <w:tr>
        <w:tblPrEx>
          <w:tblCellMar>
            <w:top w:w="0" w:type="dxa"/>
            <w:left w:w="108" w:type="dxa"/>
            <w:bottom w:w="0" w:type="dxa"/>
            <w:right w:w="108" w:type="dxa"/>
          </w:tblCellMar>
        </w:tblPrEx>
        <w:trPr>
          <w:trHeight w:val="400" w:hRule="atLeast"/>
          <w:jc w:val="center"/>
        </w:trPr>
        <w:tc>
          <w:tcPr>
            <w:tcW w:w="1133" w:type="dxa"/>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坐落</w:t>
            </w:r>
          </w:p>
        </w:tc>
        <w:tc>
          <w:tcPr>
            <w:tcW w:w="3470" w:type="dxa"/>
            <w:gridSpan w:val="2"/>
            <w:tcBorders>
              <w:top w:val="single" w:color="auto" w:sz="4" w:space="0"/>
              <w:left w:val="nil"/>
              <w:bottom w:val="single" w:color="auto" w:sz="4" w:space="0"/>
              <w:right w:val="single" w:color="auto" w:sz="4" w:space="0"/>
            </w:tcBorders>
            <w:vAlign w:val="center"/>
          </w:tcPr>
          <w:p>
            <w:pPr>
              <w:widowControl/>
              <w:snapToGrid w:val="0"/>
              <w:spacing w:line="336" w:lineRule="auto"/>
              <w:ind w:right="-2" w:rightChars="-1"/>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eastAsia="zh-CN"/>
              </w:rPr>
              <w:t>丘北县气象局（职工住宿区）</w:t>
            </w:r>
          </w:p>
        </w:tc>
        <w:tc>
          <w:tcPr>
            <w:tcW w:w="114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ind w:right="-2" w:rightChars="-1"/>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资料来源</w:t>
            </w:r>
          </w:p>
        </w:tc>
        <w:tc>
          <w:tcPr>
            <w:tcW w:w="115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ind w:right="-2" w:rightChars="-1"/>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市场调查</w:t>
            </w:r>
          </w:p>
        </w:tc>
        <w:tc>
          <w:tcPr>
            <w:tcW w:w="1105"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ind w:right="-2" w:rightChars="-1"/>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交易情况</w:t>
            </w:r>
          </w:p>
        </w:tc>
        <w:tc>
          <w:tcPr>
            <w:tcW w:w="1239" w:type="dxa"/>
            <w:tcBorders>
              <w:top w:val="single" w:color="auto" w:sz="4" w:space="0"/>
              <w:left w:val="single" w:color="auto" w:sz="4" w:space="0"/>
              <w:bottom w:val="single" w:color="auto" w:sz="4" w:space="0"/>
              <w:right w:val="single" w:color="auto" w:sz="4" w:space="0"/>
            </w:tcBorders>
            <w:vAlign w:val="center"/>
          </w:tcPr>
          <w:p>
            <w:pPr>
              <w:widowControl/>
              <w:snapToGrid w:val="0"/>
              <w:spacing w:line="336" w:lineRule="auto"/>
              <w:ind w:right="-2" w:rightChars="-1"/>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正常交易</w:t>
            </w:r>
          </w:p>
        </w:tc>
      </w:tr>
      <w:tr>
        <w:tblPrEx>
          <w:tblCellMar>
            <w:top w:w="0" w:type="dxa"/>
            <w:left w:w="108" w:type="dxa"/>
            <w:bottom w:w="0" w:type="dxa"/>
            <w:right w:w="108" w:type="dxa"/>
          </w:tblCellMar>
        </w:tblPrEx>
        <w:trPr>
          <w:trHeight w:val="400" w:hRule="atLeast"/>
          <w:jc w:val="center"/>
        </w:trPr>
        <w:tc>
          <w:tcPr>
            <w:tcW w:w="1133" w:type="dxa"/>
            <w:tcBorders>
              <w:top w:val="nil"/>
              <w:left w:val="single" w:color="auto" w:sz="4" w:space="0"/>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成交价格</w:t>
            </w: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3319.50</w:t>
            </w:r>
            <w:r>
              <w:rPr>
                <w:rFonts w:hint="eastAsia" w:ascii="宋体" w:hAnsi="宋体" w:cs="宋体"/>
                <w:color w:val="auto"/>
                <w:kern w:val="0"/>
                <w:sz w:val="18"/>
                <w:szCs w:val="18"/>
                <w:highlight w:val="none"/>
              </w:rPr>
              <w:t>元/㎡</w:t>
            </w:r>
          </w:p>
        </w:tc>
        <w:tc>
          <w:tcPr>
            <w:tcW w:w="2229" w:type="dxa"/>
            <w:gridSpan w:val="2"/>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货币种类</w:t>
            </w:r>
          </w:p>
        </w:tc>
        <w:tc>
          <w:tcPr>
            <w:tcW w:w="1224" w:type="dxa"/>
            <w:gridSpan w:val="2"/>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人民币</w:t>
            </w:r>
          </w:p>
        </w:tc>
        <w:tc>
          <w:tcPr>
            <w:tcW w:w="1394" w:type="dxa"/>
            <w:gridSpan w:val="2"/>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成交日期</w:t>
            </w:r>
          </w:p>
        </w:tc>
        <w:tc>
          <w:tcPr>
            <w:tcW w:w="1647" w:type="dxa"/>
            <w:gridSpan w:val="2"/>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201</w:t>
            </w:r>
            <w:r>
              <w:rPr>
                <w:rFonts w:hint="eastAsia" w:ascii="宋体" w:hAnsi="宋体" w:cs="宋体"/>
                <w:color w:val="auto"/>
                <w:kern w:val="0"/>
                <w:sz w:val="18"/>
                <w:szCs w:val="18"/>
                <w:highlight w:val="none"/>
                <w:lang w:val="en-US" w:eastAsia="zh-CN"/>
              </w:rPr>
              <w:t>9</w:t>
            </w:r>
            <w:r>
              <w:rPr>
                <w:rFonts w:hint="eastAsia" w:ascii="宋体" w:hAnsi="宋体" w:cs="宋体"/>
                <w:color w:val="auto"/>
                <w:kern w:val="0"/>
                <w:sz w:val="18"/>
                <w:szCs w:val="18"/>
                <w:highlight w:val="none"/>
              </w:rPr>
              <w:t>年</w:t>
            </w:r>
            <w:r>
              <w:rPr>
                <w:rFonts w:hint="eastAsia" w:ascii="宋体" w:hAnsi="宋体" w:cs="宋体"/>
                <w:color w:val="auto"/>
                <w:kern w:val="0"/>
                <w:sz w:val="18"/>
                <w:szCs w:val="18"/>
                <w:highlight w:val="none"/>
                <w:lang w:val="en-US" w:eastAsia="zh-CN"/>
              </w:rPr>
              <w:t>3</w:t>
            </w:r>
            <w:r>
              <w:rPr>
                <w:rFonts w:hint="eastAsia" w:ascii="宋体" w:hAnsi="宋体" w:cs="宋体"/>
                <w:color w:val="auto"/>
                <w:kern w:val="0"/>
                <w:sz w:val="18"/>
                <w:szCs w:val="18"/>
                <w:highlight w:val="none"/>
              </w:rPr>
              <w:t>月</w:t>
            </w:r>
          </w:p>
        </w:tc>
      </w:tr>
      <w:tr>
        <w:tblPrEx>
          <w:tblCellMar>
            <w:top w:w="0" w:type="dxa"/>
            <w:left w:w="108" w:type="dxa"/>
            <w:bottom w:w="0" w:type="dxa"/>
            <w:right w:w="108" w:type="dxa"/>
          </w:tblCellMar>
        </w:tblPrEx>
        <w:trPr>
          <w:trHeight w:val="400" w:hRule="atLeast"/>
          <w:jc w:val="center"/>
        </w:trPr>
        <w:tc>
          <w:tcPr>
            <w:tcW w:w="1133" w:type="dxa"/>
            <w:vMerge w:val="restart"/>
            <w:tcBorders>
              <w:top w:val="nil"/>
              <w:left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区位因素</w:t>
            </w: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位置</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距城市中心一段距离</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center"/>
              <w:rPr>
                <w:rFonts w:hint="eastAsia"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朝向</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朝</w:t>
            </w:r>
            <w:r>
              <w:rPr>
                <w:rFonts w:hint="eastAsia" w:ascii="宋体" w:hAnsi="宋体" w:cs="宋体"/>
                <w:color w:val="auto"/>
                <w:kern w:val="0"/>
                <w:sz w:val="18"/>
                <w:szCs w:val="18"/>
                <w:highlight w:val="none"/>
                <w:lang w:eastAsia="zh-CN"/>
              </w:rPr>
              <w:t>东</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楼层</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2/3</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交通状况</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rPr>
              <w:t>该区域内有</w:t>
            </w:r>
            <w:r>
              <w:rPr>
                <w:rFonts w:hint="eastAsia" w:ascii="宋体" w:hAnsi="宋体" w:cs="宋体"/>
                <w:color w:val="auto"/>
                <w:kern w:val="0"/>
                <w:sz w:val="18"/>
                <w:szCs w:val="18"/>
                <w:highlight w:val="none"/>
                <w:lang w:eastAsia="zh-CN"/>
              </w:rPr>
              <w:t>多路</w:t>
            </w:r>
            <w:r>
              <w:rPr>
                <w:rFonts w:hint="eastAsia" w:ascii="宋体" w:hAnsi="宋体" w:cs="宋体"/>
                <w:color w:val="auto"/>
                <w:kern w:val="0"/>
                <w:sz w:val="18"/>
                <w:szCs w:val="18"/>
                <w:highlight w:val="none"/>
              </w:rPr>
              <w:t>公交车经过，出入可利用交通工具有：公交车、出组车、网约车等，交通</w:t>
            </w:r>
            <w:r>
              <w:rPr>
                <w:rFonts w:hint="eastAsia" w:ascii="宋体" w:hAnsi="宋体" w:cs="宋体"/>
                <w:color w:val="auto"/>
                <w:kern w:val="0"/>
                <w:sz w:val="18"/>
                <w:szCs w:val="18"/>
                <w:highlight w:val="none"/>
                <w:lang w:eastAsia="zh-CN"/>
              </w:rPr>
              <w:t>较</w:t>
            </w:r>
            <w:r>
              <w:rPr>
                <w:rFonts w:hint="eastAsia" w:ascii="宋体" w:hAnsi="宋体" w:cs="宋体"/>
                <w:color w:val="auto"/>
                <w:kern w:val="0"/>
                <w:sz w:val="18"/>
                <w:szCs w:val="18"/>
                <w:highlight w:val="none"/>
              </w:rPr>
              <w:t>便捷</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环境状况</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该小区内绿化</w:t>
            </w:r>
            <w:r>
              <w:rPr>
                <w:rFonts w:hint="eastAsia" w:ascii="宋体" w:hAnsi="宋体" w:cs="宋体"/>
                <w:color w:val="auto"/>
                <w:kern w:val="0"/>
                <w:sz w:val="18"/>
                <w:szCs w:val="18"/>
                <w:highlight w:val="none"/>
                <w:lang w:eastAsia="zh-CN"/>
              </w:rPr>
              <w:t>率较好</w:t>
            </w:r>
            <w:r>
              <w:rPr>
                <w:rFonts w:hint="eastAsia" w:ascii="宋体" w:hAnsi="宋体" w:cs="宋体"/>
                <w:color w:val="auto"/>
                <w:kern w:val="0"/>
                <w:sz w:val="18"/>
                <w:szCs w:val="18"/>
                <w:highlight w:val="none"/>
              </w:rPr>
              <w:t>，环境</w:t>
            </w:r>
            <w:r>
              <w:rPr>
                <w:rFonts w:hint="eastAsia" w:ascii="宋体" w:hAnsi="宋体" w:cs="宋体"/>
                <w:color w:val="auto"/>
                <w:kern w:val="0"/>
                <w:sz w:val="18"/>
                <w:szCs w:val="18"/>
                <w:highlight w:val="none"/>
                <w:lang w:eastAsia="zh-CN"/>
              </w:rPr>
              <w:t>较优</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居住聚集度</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周边有主要有</w:t>
            </w:r>
            <w:r>
              <w:rPr>
                <w:rFonts w:hint="eastAsia" w:ascii="宋体" w:hAnsi="宋体" w:cs="宋体"/>
                <w:color w:val="auto"/>
                <w:kern w:val="0"/>
                <w:sz w:val="18"/>
                <w:szCs w:val="18"/>
                <w:highlight w:val="none"/>
                <w:lang w:eastAsia="zh-CN"/>
              </w:rPr>
              <w:t>职工食宿区、居民住宅区</w:t>
            </w:r>
            <w:r>
              <w:rPr>
                <w:rFonts w:hint="eastAsia" w:ascii="宋体" w:hAnsi="宋体" w:cs="宋体"/>
                <w:color w:val="auto"/>
                <w:kern w:val="0"/>
                <w:sz w:val="18"/>
                <w:szCs w:val="18"/>
                <w:highlight w:val="none"/>
              </w:rPr>
              <w:t>等住宅小区，居住聚集度高</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外部配套设施</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该区域内有</w:t>
            </w:r>
            <w:r>
              <w:rPr>
                <w:rFonts w:hint="eastAsia" w:ascii="宋体" w:hAnsi="宋体" w:cs="宋体"/>
                <w:color w:val="auto"/>
                <w:kern w:val="0"/>
                <w:sz w:val="18"/>
                <w:szCs w:val="18"/>
                <w:highlight w:val="none"/>
                <w:lang w:eastAsia="zh-CN"/>
              </w:rPr>
              <w:t>银行、幼儿园、综合商品交易市场、医院</w:t>
            </w:r>
            <w:r>
              <w:rPr>
                <w:rFonts w:hint="eastAsia" w:ascii="宋体" w:hAnsi="宋体" w:cs="宋体"/>
                <w:color w:val="auto"/>
                <w:kern w:val="0"/>
                <w:sz w:val="18"/>
                <w:szCs w:val="18"/>
                <w:highlight w:val="none"/>
              </w:rPr>
              <w:t>等，外部配套设施完善</w:t>
            </w:r>
          </w:p>
        </w:tc>
      </w:tr>
      <w:tr>
        <w:tblPrEx>
          <w:tblCellMar>
            <w:top w:w="0" w:type="dxa"/>
            <w:left w:w="108" w:type="dxa"/>
            <w:bottom w:w="0" w:type="dxa"/>
            <w:right w:w="108" w:type="dxa"/>
          </w:tblCellMar>
        </w:tblPrEx>
        <w:trPr>
          <w:trHeight w:val="400" w:hRule="atLeast"/>
          <w:jc w:val="center"/>
        </w:trPr>
        <w:tc>
          <w:tcPr>
            <w:tcW w:w="1133" w:type="dxa"/>
            <w:vMerge w:val="restart"/>
            <w:tcBorders>
              <w:top w:val="single" w:color="auto" w:sz="4" w:space="0"/>
              <w:left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实物因素</w:t>
            </w:r>
          </w:p>
          <w:p>
            <w:pPr>
              <w:widowControl/>
              <w:snapToGrid w:val="0"/>
              <w:spacing w:line="336" w:lineRule="auto"/>
              <w:jc w:val="left"/>
              <w:rPr>
                <w:rFonts w:ascii="宋体" w:hAnsi="宋体" w:cs="宋体"/>
                <w:color w:val="auto"/>
                <w:kern w:val="0"/>
                <w:sz w:val="18"/>
                <w:szCs w:val="18"/>
                <w:highlight w:val="none"/>
              </w:rPr>
            </w:pPr>
          </w:p>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用途</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住宅</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center"/>
              <w:rPr>
                <w:rFonts w:hint="eastAsia"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建筑规模</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60.25</w:t>
            </w:r>
            <w:r>
              <w:rPr>
                <w:rFonts w:hint="eastAsia" w:ascii="宋体" w:hAnsi="宋体" w:cs="宋体"/>
                <w:color w:val="auto"/>
                <w:kern w:val="0"/>
                <w:sz w:val="18"/>
                <w:szCs w:val="18"/>
                <w:highlight w:val="none"/>
              </w:rPr>
              <w:t>㎡</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建筑结构</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砖混</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户型</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lang w:eastAsia="zh-CN"/>
              </w:rPr>
              <w:t>二</w:t>
            </w:r>
            <w:r>
              <w:rPr>
                <w:rFonts w:hint="eastAsia" w:ascii="宋体" w:hAnsi="宋体" w:cs="宋体"/>
                <w:color w:val="auto"/>
                <w:kern w:val="0"/>
                <w:sz w:val="18"/>
                <w:szCs w:val="18"/>
                <w:highlight w:val="none"/>
              </w:rPr>
              <w:t>室</w:t>
            </w:r>
            <w:r>
              <w:rPr>
                <w:rFonts w:hint="eastAsia" w:ascii="宋体" w:hAnsi="宋体" w:cs="宋体"/>
                <w:color w:val="auto"/>
                <w:kern w:val="0"/>
                <w:sz w:val="18"/>
                <w:szCs w:val="18"/>
                <w:highlight w:val="none"/>
                <w:lang w:eastAsia="zh-CN"/>
              </w:rPr>
              <w:t>一</w:t>
            </w:r>
            <w:r>
              <w:rPr>
                <w:rFonts w:hint="eastAsia" w:ascii="宋体" w:hAnsi="宋体" w:cs="宋体"/>
                <w:color w:val="auto"/>
                <w:kern w:val="0"/>
                <w:sz w:val="18"/>
                <w:szCs w:val="18"/>
                <w:highlight w:val="none"/>
              </w:rPr>
              <w:t>厅一厨</w:t>
            </w:r>
            <w:r>
              <w:rPr>
                <w:rFonts w:hint="eastAsia" w:ascii="宋体" w:hAnsi="宋体" w:cs="宋体"/>
                <w:color w:val="auto"/>
                <w:kern w:val="0"/>
                <w:sz w:val="18"/>
                <w:szCs w:val="18"/>
                <w:highlight w:val="none"/>
                <w:lang w:eastAsia="zh-CN"/>
              </w:rPr>
              <w:t>一</w:t>
            </w:r>
            <w:r>
              <w:rPr>
                <w:rFonts w:hint="eastAsia" w:ascii="宋体" w:hAnsi="宋体" w:cs="宋体"/>
                <w:color w:val="auto"/>
                <w:kern w:val="0"/>
                <w:sz w:val="18"/>
                <w:szCs w:val="18"/>
                <w:highlight w:val="none"/>
              </w:rPr>
              <w:t>卫</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设施设备</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水电、消防等设施齐全</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装饰装修</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lang w:eastAsia="zh-CN"/>
              </w:rPr>
              <w:t>普通装修</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空间布局</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较合理</w:t>
            </w:r>
          </w:p>
        </w:tc>
      </w:tr>
      <w:tr>
        <w:tblPrEx>
          <w:tblCellMar>
            <w:top w:w="0" w:type="dxa"/>
            <w:left w:w="108" w:type="dxa"/>
            <w:bottom w:w="0" w:type="dxa"/>
            <w:right w:w="108" w:type="dxa"/>
          </w:tblCellMar>
        </w:tblPrEx>
        <w:trPr>
          <w:trHeight w:val="90" w:hRule="atLeast"/>
          <w:jc w:val="center"/>
        </w:trPr>
        <w:tc>
          <w:tcPr>
            <w:tcW w:w="1133" w:type="dxa"/>
            <w:vMerge w:val="continue"/>
            <w:tcBorders>
              <w:left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维护保养</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lang w:eastAsia="zh-CN"/>
              </w:rPr>
              <w:t>较</w:t>
            </w:r>
            <w:r>
              <w:rPr>
                <w:rFonts w:hint="eastAsia" w:ascii="宋体" w:hAnsi="宋体" w:cs="宋体"/>
                <w:color w:val="auto"/>
                <w:kern w:val="0"/>
                <w:sz w:val="18"/>
                <w:szCs w:val="18"/>
                <w:highlight w:val="none"/>
              </w:rPr>
              <w:t>优</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bottom w:val="nil"/>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nil"/>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完损状况</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完好</w:t>
            </w:r>
          </w:p>
        </w:tc>
      </w:tr>
      <w:tr>
        <w:tblPrEx>
          <w:tblCellMar>
            <w:top w:w="0" w:type="dxa"/>
            <w:left w:w="108" w:type="dxa"/>
            <w:bottom w:w="0" w:type="dxa"/>
            <w:right w:w="108" w:type="dxa"/>
          </w:tblCellMar>
        </w:tblPrEx>
        <w:trPr>
          <w:trHeight w:val="400" w:hRule="atLeast"/>
          <w:jc w:val="center"/>
        </w:trPr>
        <w:tc>
          <w:tcPr>
            <w:tcW w:w="1133" w:type="dxa"/>
            <w:vMerge w:val="restart"/>
            <w:tcBorders>
              <w:top w:val="nil"/>
              <w:left w:val="single" w:color="auto" w:sz="4" w:space="0"/>
              <w:right w:val="single" w:color="auto" w:sz="4" w:space="0"/>
            </w:tcBorders>
            <w:vAlign w:val="center"/>
          </w:tcPr>
          <w:p>
            <w:pPr>
              <w:widowControl/>
              <w:snapToGrid w:val="0"/>
              <w:spacing w:line="336" w:lineRule="auto"/>
              <w:rPr>
                <w:rFonts w:ascii="宋体" w:hAnsi="宋体" w:cs="宋体"/>
                <w:color w:val="auto"/>
                <w:kern w:val="0"/>
                <w:sz w:val="18"/>
                <w:szCs w:val="18"/>
                <w:highlight w:val="none"/>
              </w:rPr>
            </w:pPr>
            <w:r>
              <w:rPr>
                <w:rFonts w:hint="eastAsia" w:ascii="宋体" w:hAnsi="宋体" w:cs="宋体"/>
                <w:color w:val="auto"/>
                <w:kern w:val="0"/>
                <w:sz w:val="18"/>
                <w:szCs w:val="18"/>
                <w:highlight w:val="none"/>
              </w:rPr>
              <w:t>权益因素</w:t>
            </w:r>
          </w:p>
        </w:tc>
        <w:tc>
          <w:tcPr>
            <w:tcW w:w="1618" w:type="dxa"/>
            <w:tcBorders>
              <w:top w:val="single" w:color="auto" w:sz="4" w:space="0"/>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权利状况</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完全产权</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bottom"/>
          </w:tcPr>
          <w:p>
            <w:pPr>
              <w:widowControl/>
              <w:snapToGrid w:val="0"/>
              <w:spacing w:line="336" w:lineRule="auto"/>
              <w:rPr>
                <w:rFonts w:ascii="宋体" w:hAnsi="宋体" w:cs="宋体"/>
                <w:color w:val="auto"/>
                <w:kern w:val="0"/>
                <w:sz w:val="18"/>
                <w:szCs w:val="18"/>
                <w:highlight w:val="none"/>
              </w:rPr>
            </w:pPr>
          </w:p>
        </w:tc>
        <w:tc>
          <w:tcPr>
            <w:tcW w:w="1618" w:type="dxa"/>
            <w:tcBorders>
              <w:top w:val="single" w:color="auto" w:sz="4" w:space="0"/>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使用管制</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有一定管制</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right w:val="single" w:color="auto" w:sz="4" w:space="0"/>
            </w:tcBorders>
            <w:vAlign w:val="bottom"/>
          </w:tcPr>
          <w:p>
            <w:pPr>
              <w:widowControl/>
              <w:snapToGrid w:val="0"/>
              <w:spacing w:line="336" w:lineRule="auto"/>
              <w:rPr>
                <w:rFonts w:ascii="宋体" w:hAnsi="宋体" w:cs="宋体"/>
                <w:color w:val="auto"/>
                <w:kern w:val="0"/>
                <w:sz w:val="18"/>
                <w:szCs w:val="18"/>
                <w:highlight w:val="none"/>
              </w:rPr>
            </w:pPr>
          </w:p>
        </w:tc>
        <w:tc>
          <w:tcPr>
            <w:tcW w:w="1618" w:type="dxa"/>
            <w:tcBorders>
              <w:top w:val="single" w:color="auto" w:sz="4" w:space="0"/>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相邻关系</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有一定限制 </w:t>
            </w:r>
          </w:p>
        </w:tc>
      </w:tr>
      <w:tr>
        <w:tblPrEx>
          <w:tblCellMar>
            <w:top w:w="0" w:type="dxa"/>
            <w:left w:w="108" w:type="dxa"/>
            <w:bottom w:w="0" w:type="dxa"/>
            <w:right w:w="108" w:type="dxa"/>
          </w:tblCellMar>
        </w:tblPrEx>
        <w:trPr>
          <w:trHeight w:val="400" w:hRule="atLeast"/>
          <w:jc w:val="center"/>
        </w:trPr>
        <w:tc>
          <w:tcPr>
            <w:tcW w:w="1133" w:type="dxa"/>
            <w:vMerge w:val="continue"/>
            <w:tcBorders>
              <w:left w:val="single" w:color="auto" w:sz="4" w:space="0"/>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p>
        </w:tc>
        <w:tc>
          <w:tcPr>
            <w:tcW w:w="1618" w:type="dxa"/>
            <w:tcBorders>
              <w:top w:val="single" w:color="auto" w:sz="4" w:space="0"/>
              <w:left w:val="nil"/>
              <w:bottom w:val="single" w:color="auto" w:sz="4" w:space="0"/>
              <w:right w:val="single" w:color="auto" w:sz="4" w:space="0"/>
            </w:tcBorders>
            <w:vAlign w:val="center"/>
          </w:tcPr>
          <w:p>
            <w:pPr>
              <w:widowControl/>
              <w:snapToGrid w:val="0"/>
              <w:spacing w:line="336"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物业服务</w:t>
            </w:r>
          </w:p>
        </w:tc>
        <w:tc>
          <w:tcPr>
            <w:tcW w:w="6494" w:type="dxa"/>
            <w:gridSpan w:val="8"/>
            <w:tcBorders>
              <w:top w:val="single" w:color="auto" w:sz="4" w:space="0"/>
              <w:left w:val="nil"/>
              <w:bottom w:val="single" w:color="auto" w:sz="4" w:space="0"/>
              <w:right w:val="single" w:color="auto" w:sz="4" w:space="0"/>
            </w:tcBorders>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24小时</w:t>
            </w:r>
            <w:r>
              <w:rPr>
                <w:rFonts w:hint="eastAsia" w:ascii="宋体" w:hAnsi="宋体" w:cs="宋体"/>
                <w:color w:val="auto"/>
                <w:kern w:val="0"/>
                <w:sz w:val="18"/>
                <w:szCs w:val="18"/>
                <w:highlight w:val="none"/>
                <w:lang w:eastAsia="zh-CN"/>
              </w:rPr>
              <w:t>一般</w:t>
            </w:r>
            <w:r>
              <w:rPr>
                <w:rFonts w:hint="eastAsia" w:ascii="宋体" w:hAnsi="宋体" w:cs="宋体"/>
                <w:color w:val="auto"/>
                <w:kern w:val="0"/>
                <w:sz w:val="18"/>
                <w:szCs w:val="18"/>
                <w:highlight w:val="none"/>
              </w:rPr>
              <w:t>物业服务</w:t>
            </w:r>
          </w:p>
        </w:tc>
      </w:tr>
    </w:tbl>
    <w:p>
      <w:pPr>
        <w:adjustRightInd w:val="0"/>
        <w:snapToGrid w:val="0"/>
        <w:spacing w:line="360" w:lineRule="auto"/>
        <w:ind w:firstLine="560" w:firstLineChars="200"/>
        <w:rPr>
          <w:rFonts w:ascii="宋体" w:hAnsi="宋体" w:cs="仿宋"/>
          <w:bCs/>
          <w:color w:val="auto"/>
          <w:sz w:val="28"/>
          <w:szCs w:val="28"/>
          <w:highlight w:val="none"/>
        </w:rPr>
      </w:pPr>
      <w:r>
        <w:rPr>
          <w:rFonts w:hint="eastAsia" w:ascii="宋体" w:hAnsi="宋体" w:cs="宋体"/>
          <w:color w:val="auto"/>
          <w:sz w:val="28"/>
          <w:szCs w:val="28"/>
          <w:highlight w:val="none"/>
        </w:rPr>
        <w:t>（2）建立比较基础：</w:t>
      </w:r>
    </w:p>
    <w:p>
      <w:pPr>
        <w:adjustRightInd w:val="0"/>
        <w:snapToGrid w:val="0"/>
        <w:spacing w:line="360" w:lineRule="auto"/>
        <w:ind w:firstLine="560" w:firstLineChars="200"/>
        <w:rPr>
          <w:rFonts w:ascii="宋体" w:hAnsi="宋体" w:cs="仿宋"/>
          <w:bCs/>
          <w:color w:val="auto"/>
          <w:sz w:val="28"/>
          <w:szCs w:val="28"/>
          <w:highlight w:val="none"/>
        </w:rPr>
      </w:pPr>
      <w:r>
        <w:rPr>
          <w:rFonts w:hint="eastAsia" w:ascii="宋体" w:hAnsi="宋体" w:cs="仿宋"/>
          <w:bCs/>
          <w:color w:val="auto"/>
          <w:sz w:val="28"/>
          <w:szCs w:val="28"/>
          <w:highlight w:val="none"/>
        </w:rPr>
        <w:t>选取可比实例后，应建立比较基础，对可比实例的成交价格进行标准化处理。标准化处理应包括统一财产范围、统一付款方式、统一融资条件、统一税费负担和统一计价单位。根据规定已按标准统一一致，建立比较基础后的可比实例单价：</w:t>
      </w:r>
    </w:p>
    <w:p>
      <w:pPr>
        <w:adjustRightInd w:val="0"/>
        <w:snapToGrid w:val="0"/>
        <w:spacing w:line="360" w:lineRule="auto"/>
        <w:ind w:firstLine="560" w:firstLineChars="200"/>
        <w:rPr>
          <w:rFonts w:ascii="宋体" w:hAnsi="宋体" w:cs="仿宋"/>
          <w:color w:val="auto"/>
          <w:sz w:val="28"/>
          <w:szCs w:val="28"/>
          <w:highlight w:val="none"/>
          <w:lang w:val="zh-CN"/>
        </w:rPr>
      </w:pPr>
      <w:r>
        <w:rPr>
          <w:rFonts w:hint="eastAsia" w:ascii="宋体" w:hAnsi="宋体" w:cs="仿宋"/>
          <w:bCs/>
          <w:color w:val="auto"/>
          <w:sz w:val="28"/>
          <w:szCs w:val="28"/>
          <w:highlight w:val="none"/>
        </w:rPr>
        <w:t>A=</w:t>
      </w:r>
      <w:r>
        <w:rPr>
          <w:rFonts w:hint="eastAsia" w:ascii="宋体" w:hAnsi="宋体" w:cs="仿宋"/>
          <w:color w:val="auto"/>
          <w:sz w:val="28"/>
          <w:szCs w:val="28"/>
          <w:highlight w:val="none"/>
          <w:lang w:val="en-US" w:eastAsia="zh-CN"/>
        </w:rPr>
        <w:t>3232.76</w:t>
      </w:r>
      <w:r>
        <w:rPr>
          <w:rFonts w:hint="eastAsia" w:ascii="宋体" w:hAnsi="宋体" w:cs="仿宋"/>
          <w:color w:val="auto"/>
          <w:sz w:val="28"/>
          <w:szCs w:val="28"/>
          <w:highlight w:val="none"/>
          <w:lang w:val="zh-CN"/>
        </w:rPr>
        <w:t>元</w:t>
      </w:r>
      <w:r>
        <w:rPr>
          <w:rFonts w:hint="eastAsia" w:ascii="宋体" w:hAnsi="宋体" w:cs="仿宋"/>
          <w:color w:val="auto"/>
          <w:sz w:val="28"/>
          <w:szCs w:val="28"/>
          <w:highlight w:val="none"/>
        </w:rPr>
        <w:t>/</w:t>
      </w:r>
      <w:r>
        <w:rPr>
          <w:rFonts w:hint="eastAsia" w:ascii="宋体" w:hAnsi="宋体" w:cs="仿宋"/>
          <w:color w:val="auto"/>
          <w:sz w:val="28"/>
          <w:szCs w:val="28"/>
          <w:highlight w:val="none"/>
          <w:lang w:val="zh-CN"/>
        </w:rPr>
        <w:t>㎡</w:t>
      </w:r>
      <w:r>
        <w:rPr>
          <w:rFonts w:hint="eastAsia" w:ascii="宋体" w:hAnsi="宋体" w:cs="仿宋"/>
          <w:color w:val="auto"/>
          <w:sz w:val="28"/>
          <w:szCs w:val="28"/>
          <w:highlight w:val="none"/>
        </w:rPr>
        <w:t>；B=</w:t>
      </w:r>
      <w:r>
        <w:rPr>
          <w:rFonts w:hint="eastAsia" w:ascii="宋体" w:hAnsi="宋体" w:cs="仿宋"/>
          <w:color w:val="auto"/>
          <w:sz w:val="28"/>
          <w:szCs w:val="28"/>
          <w:highlight w:val="none"/>
          <w:lang w:val="en-US" w:eastAsia="zh-CN"/>
        </w:rPr>
        <w:t>3081.73</w:t>
      </w:r>
      <w:r>
        <w:rPr>
          <w:rFonts w:hint="eastAsia" w:ascii="宋体" w:hAnsi="宋体" w:cs="仿宋"/>
          <w:color w:val="auto"/>
          <w:sz w:val="28"/>
          <w:szCs w:val="28"/>
          <w:highlight w:val="none"/>
          <w:lang w:val="zh-CN"/>
        </w:rPr>
        <w:t>元</w:t>
      </w:r>
      <w:r>
        <w:rPr>
          <w:rFonts w:hint="eastAsia" w:ascii="宋体" w:hAnsi="宋体" w:cs="仿宋"/>
          <w:color w:val="auto"/>
          <w:sz w:val="28"/>
          <w:szCs w:val="28"/>
          <w:highlight w:val="none"/>
        </w:rPr>
        <w:t>/</w:t>
      </w:r>
      <w:r>
        <w:rPr>
          <w:rFonts w:hint="eastAsia" w:ascii="宋体" w:hAnsi="宋体" w:cs="仿宋"/>
          <w:color w:val="auto"/>
          <w:sz w:val="28"/>
          <w:szCs w:val="28"/>
          <w:highlight w:val="none"/>
          <w:lang w:val="zh-CN"/>
        </w:rPr>
        <w:t>㎡</w:t>
      </w:r>
      <w:r>
        <w:rPr>
          <w:rFonts w:hint="eastAsia" w:ascii="宋体" w:hAnsi="宋体" w:cs="仿宋"/>
          <w:color w:val="auto"/>
          <w:sz w:val="28"/>
          <w:szCs w:val="28"/>
          <w:highlight w:val="none"/>
        </w:rPr>
        <w:t>；C=</w:t>
      </w:r>
      <w:r>
        <w:rPr>
          <w:rFonts w:hint="eastAsia" w:ascii="宋体" w:hAnsi="宋体" w:eastAsia="宋体" w:cs="宋体"/>
          <w:color w:val="auto"/>
          <w:sz w:val="28"/>
          <w:szCs w:val="28"/>
          <w:highlight w:val="none"/>
        </w:rPr>
        <w:t xml:space="preserve"> </w:t>
      </w:r>
      <w:r>
        <w:rPr>
          <w:rFonts w:hint="eastAsia" w:ascii="宋体" w:hAnsi="宋体" w:cs="宋体"/>
          <w:color w:val="auto"/>
          <w:sz w:val="28"/>
          <w:szCs w:val="28"/>
          <w:highlight w:val="none"/>
          <w:lang w:val="en-US" w:eastAsia="zh-CN"/>
        </w:rPr>
        <w:t>3319.5</w:t>
      </w:r>
      <w:r>
        <w:rPr>
          <w:rFonts w:hint="eastAsia" w:ascii="宋体" w:hAnsi="宋体" w:eastAsia="宋体" w:cs="宋体"/>
          <w:color w:val="auto"/>
          <w:sz w:val="28"/>
          <w:szCs w:val="28"/>
          <w:highlight w:val="none"/>
          <w:lang w:val="en-US" w:eastAsia="zh-CN"/>
        </w:rPr>
        <w:t>0</w:t>
      </w:r>
      <w:r>
        <w:rPr>
          <w:rFonts w:hint="eastAsia" w:ascii="宋体" w:hAnsi="宋体" w:cs="仿宋"/>
          <w:color w:val="auto"/>
          <w:sz w:val="28"/>
          <w:szCs w:val="28"/>
          <w:highlight w:val="none"/>
          <w:lang w:val="zh-CN"/>
        </w:rPr>
        <w:t>元</w:t>
      </w:r>
      <w:r>
        <w:rPr>
          <w:rFonts w:hint="eastAsia" w:ascii="宋体" w:hAnsi="宋体" w:cs="仿宋"/>
          <w:color w:val="auto"/>
          <w:sz w:val="28"/>
          <w:szCs w:val="28"/>
          <w:highlight w:val="none"/>
        </w:rPr>
        <w:t>/</w:t>
      </w:r>
      <w:r>
        <w:rPr>
          <w:rFonts w:hint="eastAsia" w:ascii="宋体" w:hAnsi="宋体" w:cs="仿宋"/>
          <w:color w:val="auto"/>
          <w:sz w:val="28"/>
          <w:szCs w:val="28"/>
          <w:highlight w:val="none"/>
          <w:lang w:val="zh-CN"/>
        </w:rPr>
        <w:t>㎡</w:t>
      </w:r>
    </w:p>
    <w:p>
      <w:pPr>
        <w:adjustRightInd w:val="0"/>
        <w:snapToGrid w:val="0"/>
        <w:spacing w:line="360" w:lineRule="auto"/>
        <w:ind w:firstLine="560" w:firstLineChars="200"/>
        <w:rPr>
          <w:rFonts w:ascii="宋体" w:hAnsi="宋体" w:cs="仿宋"/>
          <w:bCs/>
          <w:color w:val="auto"/>
          <w:sz w:val="28"/>
          <w:szCs w:val="28"/>
          <w:highlight w:val="none"/>
        </w:rPr>
      </w:pPr>
      <w:r>
        <w:rPr>
          <w:rFonts w:hint="eastAsia" w:ascii="宋体" w:hAnsi="宋体" w:cs="仿宋"/>
          <w:bCs/>
          <w:color w:val="auto"/>
          <w:sz w:val="28"/>
          <w:szCs w:val="28"/>
          <w:highlight w:val="none"/>
        </w:rPr>
        <w:t>3、各可比实例与估价对象因素比较分析</w:t>
      </w:r>
    </w:p>
    <w:p>
      <w:pPr>
        <w:adjustRightInd w:val="0"/>
        <w:snapToGrid w:val="0"/>
        <w:spacing w:line="360" w:lineRule="auto"/>
        <w:ind w:firstLine="560" w:firstLineChars="200"/>
        <w:jc w:val="left"/>
        <w:rPr>
          <w:rFonts w:ascii="宋体" w:hAnsi="宋体" w:cs="仿宋"/>
          <w:b/>
          <w:color w:val="auto"/>
          <w:sz w:val="28"/>
          <w:szCs w:val="28"/>
          <w:highlight w:val="none"/>
        </w:rPr>
      </w:pPr>
      <w:r>
        <w:rPr>
          <w:rFonts w:hint="eastAsia" w:ascii="宋体" w:hAnsi="宋体" w:cs="仿宋"/>
          <w:bCs/>
          <w:color w:val="auto"/>
          <w:sz w:val="28"/>
          <w:szCs w:val="28"/>
          <w:highlight w:val="none"/>
        </w:rPr>
        <w:t>各可比实例与估价对象因素比较，得出下表中的“比较结果”。</w:t>
      </w:r>
    </w:p>
    <w:p>
      <w:pPr>
        <w:adjustRightInd w:val="0"/>
        <w:snapToGrid w:val="0"/>
        <w:spacing w:line="360" w:lineRule="auto"/>
        <w:jc w:val="center"/>
        <w:rPr>
          <w:rFonts w:ascii="宋体" w:hAnsi="宋体" w:cs="仿宋"/>
          <w:color w:val="auto"/>
          <w:sz w:val="28"/>
          <w:szCs w:val="28"/>
          <w:highlight w:val="none"/>
          <w:lang w:val="zh-CN"/>
        </w:rPr>
      </w:pPr>
      <w:r>
        <w:rPr>
          <w:rFonts w:hint="eastAsia" w:ascii="宋体" w:hAnsi="宋体" w:cs="仿宋"/>
          <w:color w:val="auto"/>
          <w:sz w:val="28"/>
          <w:szCs w:val="28"/>
          <w:highlight w:val="none"/>
          <w:lang w:val="zh-CN"/>
        </w:rPr>
        <w:t>因素条件说明与分析</w:t>
      </w:r>
    </w:p>
    <w:tbl>
      <w:tblPr>
        <w:tblStyle w:val="19"/>
        <w:tblW w:w="9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086"/>
        <w:gridCol w:w="2119"/>
        <w:gridCol w:w="1934"/>
        <w:gridCol w:w="2010"/>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gridSpan w:val="2"/>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案例名称</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估价对象</w:t>
            </w:r>
          </w:p>
        </w:tc>
        <w:tc>
          <w:tcPr>
            <w:tcW w:w="193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可比实例</w:t>
            </w:r>
            <w:r>
              <w:rPr>
                <w:rFonts w:hint="eastAsia" w:ascii="宋体" w:hAnsi="宋体" w:cs="仿宋"/>
                <w:color w:val="auto"/>
                <w:sz w:val="18"/>
                <w:szCs w:val="18"/>
                <w:highlight w:val="none"/>
                <w:lang w:val="zh-CN"/>
              </w:rPr>
              <w:t>A</w:t>
            </w:r>
          </w:p>
        </w:tc>
        <w:tc>
          <w:tcPr>
            <w:tcW w:w="2010"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可比实例</w:t>
            </w:r>
            <w:r>
              <w:rPr>
                <w:rFonts w:hint="eastAsia" w:ascii="宋体" w:hAnsi="宋体" w:cs="仿宋"/>
                <w:color w:val="auto"/>
                <w:sz w:val="18"/>
                <w:szCs w:val="18"/>
                <w:highlight w:val="none"/>
                <w:lang w:val="zh-CN"/>
              </w:rPr>
              <w:t>B</w:t>
            </w:r>
          </w:p>
        </w:tc>
        <w:tc>
          <w:tcPr>
            <w:tcW w:w="1935"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可比实例</w:t>
            </w:r>
            <w:r>
              <w:rPr>
                <w:rFonts w:hint="eastAsia" w:ascii="宋体" w:hAnsi="宋体" w:cs="仿宋"/>
                <w:color w:val="auto"/>
                <w:sz w:val="18"/>
                <w:szCs w:val="18"/>
                <w:highlight w:val="none"/>
                <w:lang w:val="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gridSpan w:val="2"/>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坐落</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和谐景苑小区</w:t>
            </w:r>
          </w:p>
        </w:tc>
        <w:tc>
          <w:tcPr>
            <w:tcW w:w="1934"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eastAsia="zh-CN"/>
              </w:rPr>
              <w:t>西正街</w:t>
            </w:r>
            <w:r>
              <w:rPr>
                <w:rFonts w:hint="eastAsia" w:ascii="宋体" w:hAnsi="宋体" w:cs="仿宋"/>
                <w:color w:val="auto"/>
                <w:sz w:val="18"/>
                <w:szCs w:val="18"/>
                <w:highlight w:val="none"/>
                <w:lang w:val="en-US" w:eastAsia="zh-CN"/>
              </w:rPr>
              <w:t>39号</w:t>
            </w:r>
          </w:p>
        </w:tc>
        <w:tc>
          <w:tcPr>
            <w:tcW w:w="2010"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eastAsia="zh-CN"/>
              </w:rPr>
              <w:t>人民路</w:t>
            </w:r>
            <w:r>
              <w:rPr>
                <w:rFonts w:hint="eastAsia" w:ascii="宋体" w:hAnsi="宋体" w:cs="仿宋"/>
                <w:color w:val="auto"/>
                <w:sz w:val="18"/>
                <w:szCs w:val="18"/>
                <w:highlight w:val="none"/>
                <w:lang w:val="en-US" w:eastAsia="zh-CN"/>
              </w:rPr>
              <w:t>25号</w:t>
            </w:r>
          </w:p>
        </w:tc>
        <w:tc>
          <w:tcPr>
            <w:tcW w:w="1935" w:type="dxa"/>
            <w:vAlign w:val="center"/>
          </w:tcPr>
          <w:p>
            <w:pPr>
              <w:adjustRightInd w:val="0"/>
              <w:snapToGrid w:val="0"/>
              <w:spacing w:line="360" w:lineRule="auto"/>
              <w:jc w:val="center"/>
              <w:rPr>
                <w:rFonts w:hint="eastAsia" w:ascii="宋体" w:hAnsi="宋体" w:eastAsia="宋体" w:cs="仿宋"/>
                <w:color w:val="auto"/>
                <w:sz w:val="18"/>
                <w:szCs w:val="18"/>
                <w:highlight w:val="none"/>
                <w:lang w:eastAsia="zh-CN"/>
              </w:rPr>
            </w:pPr>
            <w:r>
              <w:rPr>
                <w:rFonts w:hint="eastAsia" w:ascii="宋体" w:hAnsi="宋体" w:cs="仿宋"/>
                <w:color w:val="auto"/>
                <w:sz w:val="18"/>
                <w:szCs w:val="18"/>
                <w:highlight w:val="none"/>
                <w:lang w:eastAsia="zh-CN"/>
              </w:rPr>
              <w:t>气象局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15" w:type="dxa"/>
            <w:gridSpan w:val="2"/>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交易价格</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评估价格</w:t>
            </w:r>
          </w:p>
        </w:tc>
        <w:tc>
          <w:tcPr>
            <w:tcW w:w="193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en-US" w:eastAsia="zh-CN"/>
              </w:rPr>
              <w:t>3232.76</w:t>
            </w:r>
            <w:r>
              <w:rPr>
                <w:rFonts w:hint="eastAsia" w:ascii="宋体" w:hAnsi="宋体" w:cs="仿宋"/>
                <w:color w:val="auto"/>
                <w:sz w:val="18"/>
                <w:szCs w:val="18"/>
                <w:highlight w:val="none"/>
                <w:lang w:val="zh-CN"/>
              </w:rPr>
              <w:t>元/㎡</w:t>
            </w:r>
          </w:p>
        </w:tc>
        <w:tc>
          <w:tcPr>
            <w:tcW w:w="2010"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en-US" w:eastAsia="zh-CN"/>
              </w:rPr>
              <w:t>3081.73</w:t>
            </w:r>
            <w:r>
              <w:rPr>
                <w:rFonts w:hint="eastAsia" w:ascii="宋体" w:hAnsi="宋体" w:cs="仿宋"/>
                <w:color w:val="auto"/>
                <w:sz w:val="18"/>
                <w:szCs w:val="18"/>
                <w:highlight w:val="none"/>
                <w:lang w:val="zh-CN"/>
              </w:rPr>
              <w:t>元/㎡</w:t>
            </w:r>
          </w:p>
        </w:tc>
        <w:tc>
          <w:tcPr>
            <w:tcW w:w="1935"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en-US" w:eastAsia="zh-CN"/>
              </w:rPr>
              <w:t>3319.50</w:t>
            </w:r>
            <w:r>
              <w:rPr>
                <w:rFonts w:hint="eastAsia" w:ascii="宋体" w:hAnsi="宋体" w:cs="仿宋"/>
                <w:color w:val="auto"/>
                <w:sz w:val="18"/>
                <w:szCs w:val="18"/>
                <w:highlight w:val="none"/>
                <w:lang w:val="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515" w:type="dxa"/>
            <w:gridSpan w:val="2"/>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交易情况</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司法拍卖</w:t>
            </w:r>
          </w:p>
        </w:tc>
        <w:tc>
          <w:tcPr>
            <w:tcW w:w="193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正常交易</w:t>
            </w:r>
          </w:p>
        </w:tc>
        <w:tc>
          <w:tcPr>
            <w:tcW w:w="2010" w:type="dxa"/>
            <w:vAlign w:val="center"/>
          </w:tcPr>
          <w:p>
            <w:pPr>
              <w:adjustRightInd w:val="0"/>
              <w:snapToGrid w:val="0"/>
              <w:spacing w:line="360" w:lineRule="auto"/>
              <w:jc w:val="center"/>
              <w:rPr>
                <w:rFonts w:hint="eastAsia"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正常交易</w:t>
            </w:r>
          </w:p>
        </w:tc>
        <w:tc>
          <w:tcPr>
            <w:tcW w:w="1935"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正常交易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515" w:type="dxa"/>
            <w:gridSpan w:val="2"/>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交易时间</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20</w:t>
            </w:r>
            <w:r>
              <w:rPr>
                <w:rFonts w:hint="eastAsia" w:ascii="宋体" w:hAnsi="宋体" w:cs="仿宋"/>
                <w:color w:val="auto"/>
                <w:sz w:val="18"/>
                <w:szCs w:val="18"/>
                <w:highlight w:val="none"/>
                <w:lang w:val="en-US" w:eastAsia="zh-CN"/>
              </w:rPr>
              <w:t>20</w:t>
            </w:r>
            <w:r>
              <w:rPr>
                <w:rFonts w:hint="eastAsia" w:ascii="宋体" w:hAnsi="宋体" w:cs="仿宋"/>
                <w:color w:val="auto"/>
                <w:sz w:val="18"/>
                <w:szCs w:val="18"/>
                <w:highlight w:val="none"/>
                <w:lang w:val="zh-CN"/>
              </w:rPr>
              <w:t>年</w:t>
            </w:r>
            <w:r>
              <w:rPr>
                <w:rFonts w:hint="eastAsia" w:ascii="宋体" w:hAnsi="宋体" w:cs="仿宋"/>
                <w:color w:val="auto"/>
                <w:sz w:val="18"/>
                <w:szCs w:val="18"/>
                <w:highlight w:val="none"/>
                <w:lang w:val="en-US" w:eastAsia="zh-CN"/>
              </w:rPr>
              <w:t>1</w:t>
            </w:r>
            <w:r>
              <w:rPr>
                <w:rFonts w:hint="eastAsia" w:ascii="宋体" w:hAnsi="宋体" w:cs="仿宋"/>
                <w:color w:val="auto"/>
                <w:sz w:val="18"/>
                <w:szCs w:val="18"/>
                <w:highlight w:val="none"/>
                <w:lang w:val="zh-CN"/>
              </w:rPr>
              <w:t>月</w:t>
            </w:r>
          </w:p>
        </w:tc>
        <w:tc>
          <w:tcPr>
            <w:tcW w:w="193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201</w:t>
            </w:r>
            <w:r>
              <w:rPr>
                <w:rFonts w:hint="eastAsia" w:ascii="宋体" w:hAnsi="宋体" w:cs="仿宋"/>
                <w:color w:val="auto"/>
                <w:sz w:val="18"/>
                <w:szCs w:val="18"/>
                <w:highlight w:val="none"/>
                <w:lang w:val="en-US" w:eastAsia="zh-CN"/>
              </w:rPr>
              <w:t>8</w:t>
            </w:r>
            <w:r>
              <w:rPr>
                <w:rFonts w:hint="eastAsia" w:ascii="宋体" w:hAnsi="宋体" w:cs="仿宋"/>
                <w:color w:val="auto"/>
                <w:sz w:val="18"/>
                <w:szCs w:val="18"/>
                <w:highlight w:val="none"/>
                <w:lang w:val="zh-CN"/>
              </w:rPr>
              <w:t>年</w:t>
            </w:r>
            <w:r>
              <w:rPr>
                <w:rFonts w:hint="eastAsia" w:ascii="宋体" w:hAnsi="宋体" w:cs="仿宋"/>
                <w:color w:val="auto"/>
                <w:sz w:val="18"/>
                <w:szCs w:val="18"/>
                <w:highlight w:val="none"/>
                <w:lang w:val="en-US" w:eastAsia="zh-CN"/>
              </w:rPr>
              <w:t>12</w:t>
            </w:r>
            <w:r>
              <w:rPr>
                <w:rFonts w:hint="eastAsia" w:ascii="宋体" w:hAnsi="宋体" w:cs="仿宋"/>
                <w:color w:val="auto"/>
                <w:sz w:val="18"/>
                <w:szCs w:val="18"/>
                <w:highlight w:val="none"/>
                <w:lang w:val="zh-CN"/>
              </w:rPr>
              <w:t>月</w:t>
            </w:r>
          </w:p>
        </w:tc>
        <w:tc>
          <w:tcPr>
            <w:tcW w:w="2010"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201</w:t>
            </w:r>
            <w:r>
              <w:rPr>
                <w:rFonts w:hint="eastAsia" w:ascii="宋体" w:hAnsi="宋体" w:cs="仿宋"/>
                <w:color w:val="auto"/>
                <w:sz w:val="18"/>
                <w:szCs w:val="18"/>
                <w:highlight w:val="none"/>
                <w:lang w:val="en-US" w:eastAsia="zh-CN"/>
              </w:rPr>
              <w:t>8</w:t>
            </w:r>
            <w:r>
              <w:rPr>
                <w:rFonts w:hint="eastAsia" w:ascii="宋体" w:hAnsi="宋体" w:cs="仿宋"/>
                <w:color w:val="auto"/>
                <w:sz w:val="18"/>
                <w:szCs w:val="18"/>
                <w:highlight w:val="none"/>
                <w:lang w:val="zh-CN"/>
              </w:rPr>
              <w:t>年</w:t>
            </w:r>
            <w:r>
              <w:rPr>
                <w:rFonts w:hint="eastAsia" w:ascii="宋体" w:hAnsi="宋体" w:cs="仿宋"/>
                <w:color w:val="auto"/>
                <w:sz w:val="18"/>
                <w:szCs w:val="18"/>
                <w:highlight w:val="none"/>
              </w:rPr>
              <w:t>1</w:t>
            </w:r>
            <w:r>
              <w:rPr>
                <w:rFonts w:hint="eastAsia" w:ascii="宋体" w:hAnsi="宋体" w:cs="仿宋"/>
                <w:color w:val="auto"/>
                <w:sz w:val="18"/>
                <w:szCs w:val="18"/>
                <w:highlight w:val="none"/>
                <w:lang w:val="en-US" w:eastAsia="zh-CN"/>
              </w:rPr>
              <w:t>1</w:t>
            </w:r>
            <w:r>
              <w:rPr>
                <w:rFonts w:hint="eastAsia" w:ascii="宋体" w:hAnsi="宋体" w:cs="仿宋"/>
                <w:color w:val="auto"/>
                <w:sz w:val="18"/>
                <w:szCs w:val="18"/>
                <w:highlight w:val="none"/>
                <w:lang w:val="zh-CN"/>
              </w:rPr>
              <w:t>月</w:t>
            </w:r>
          </w:p>
        </w:tc>
        <w:tc>
          <w:tcPr>
            <w:tcW w:w="1935"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201</w:t>
            </w:r>
            <w:r>
              <w:rPr>
                <w:rFonts w:hint="eastAsia" w:ascii="宋体" w:hAnsi="宋体" w:cs="仿宋"/>
                <w:color w:val="auto"/>
                <w:sz w:val="18"/>
                <w:szCs w:val="18"/>
                <w:highlight w:val="none"/>
                <w:lang w:val="en-US" w:eastAsia="zh-CN"/>
              </w:rPr>
              <w:t>9</w:t>
            </w:r>
            <w:r>
              <w:rPr>
                <w:rFonts w:hint="eastAsia" w:ascii="宋体" w:hAnsi="宋体" w:cs="仿宋"/>
                <w:color w:val="auto"/>
                <w:sz w:val="18"/>
                <w:szCs w:val="18"/>
                <w:highlight w:val="none"/>
                <w:lang w:val="zh-CN"/>
              </w:rPr>
              <w:t>年</w:t>
            </w:r>
            <w:r>
              <w:rPr>
                <w:rFonts w:hint="eastAsia" w:ascii="宋体" w:hAnsi="宋体" w:cs="仿宋"/>
                <w:color w:val="auto"/>
                <w:sz w:val="18"/>
                <w:szCs w:val="18"/>
                <w:highlight w:val="none"/>
                <w:lang w:val="en-US" w:eastAsia="zh-CN"/>
              </w:rPr>
              <w:t>3</w:t>
            </w:r>
            <w:r>
              <w:rPr>
                <w:rFonts w:hint="eastAsia" w:ascii="宋体" w:hAnsi="宋体" w:cs="仿宋"/>
                <w:color w:val="auto"/>
                <w:sz w:val="18"/>
                <w:szCs w:val="18"/>
                <w:highlight w:val="none"/>
                <w:lang w:val="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29" w:type="dxa"/>
            <w:vMerge w:val="restart"/>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区位状况调整</w:t>
            </w:r>
          </w:p>
        </w:tc>
        <w:tc>
          <w:tcPr>
            <w:tcW w:w="1086"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位置</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距城市中心一段距离</w:t>
            </w:r>
          </w:p>
        </w:tc>
        <w:tc>
          <w:tcPr>
            <w:tcW w:w="193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城市中心区</w:t>
            </w:r>
          </w:p>
        </w:tc>
        <w:tc>
          <w:tcPr>
            <w:tcW w:w="2010"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城区中心区</w:t>
            </w:r>
          </w:p>
        </w:tc>
        <w:tc>
          <w:tcPr>
            <w:tcW w:w="1935"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距城市中心一段距离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lang w:val="zh-CN"/>
              </w:rPr>
            </w:pPr>
          </w:p>
        </w:tc>
        <w:tc>
          <w:tcPr>
            <w:tcW w:w="1086"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朝向</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朝南</w:t>
            </w:r>
          </w:p>
        </w:tc>
        <w:tc>
          <w:tcPr>
            <w:tcW w:w="193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朝南</w:t>
            </w:r>
          </w:p>
        </w:tc>
        <w:tc>
          <w:tcPr>
            <w:tcW w:w="2010"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朝北</w:t>
            </w:r>
          </w:p>
        </w:tc>
        <w:tc>
          <w:tcPr>
            <w:tcW w:w="1935"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朝东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楼层</w:t>
            </w:r>
          </w:p>
        </w:tc>
        <w:tc>
          <w:tcPr>
            <w:tcW w:w="2119"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6/6</w:t>
            </w:r>
          </w:p>
        </w:tc>
        <w:tc>
          <w:tcPr>
            <w:tcW w:w="1934"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3/4</w:t>
            </w:r>
          </w:p>
        </w:tc>
        <w:tc>
          <w:tcPr>
            <w:tcW w:w="2010"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2/4</w:t>
            </w:r>
          </w:p>
        </w:tc>
        <w:tc>
          <w:tcPr>
            <w:tcW w:w="1935"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lang w:val="zh-CN"/>
              </w:rPr>
            </w:pPr>
          </w:p>
        </w:tc>
        <w:tc>
          <w:tcPr>
            <w:tcW w:w="1086"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交通状况</w:t>
            </w:r>
          </w:p>
        </w:tc>
        <w:tc>
          <w:tcPr>
            <w:tcW w:w="2119" w:type="dxa"/>
            <w:vAlign w:val="center"/>
          </w:tcPr>
          <w:p>
            <w:pPr>
              <w:adjustRightInd w:val="0"/>
              <w:snapToGrid w:val="0"/>
              <w:jc w:val="center"/>
              <w:rPr>
                <w:rFonts w:ascii="宋体" w:hAnsi="宋体" w:cs="仿宋"/>
                <w:color w:val="auto"/>
                <w:sz w:val="18"/>
                <w:szCs w:val="18"/>
                <w:highlight w:val="none"/>
                <w:lang w:val="zh-CN"/>
              </w:rPr>
            </w:pPr>
            <w:r>
              <w:rPr>
                <w:rFonts w:hint="eastAsia" w:ascii="宋体" w:hAnsi="宋体" w:cs="宋体"/>
                <w:color w:val="auto"/>
                <w:kern w:val="0"/>
                <w:sz w:val="18"/>
                <w:szCs w:val="18"/>
                <w:highlight w:val="none"/>
              </w:rPr>
              <w:t>该区域内有</w:t>
            </w:r>
            <w:r>
              <w:rPr>
                <w:rFonts w:hint="eastAsia" w:ascii="宋体" w:hAnsi="宋体" w:cs="宋体"/>
                <w:color w:val="auto"/>
                <w:kern w:val="0"/>
                <w:sz w:val="18"/>
                <w:szCs w:val="18"/>
                <w:highlight w:val="none"/>
                <w:lang w:val="en-US" w:eastAsia="zh-CN"/>
              </w:rPr>
              <w:t>多</w:t>
            </w:r>
            <w:r>
              <w:rPr>
                <w:rFonts w:hint="eastAsia" w:ascii="宋体" w:hAnsi="宋体" w:cs="宋体"/>
                <w:color w:val="auto"/>
                <w:kern w:val="0"/>
                <w:sz w:val="18"/>
                <w:szCs w:val="18"/>
                <w:highlight w:val="none"/>
              </w:rPr>
              <w:t>路公交车经过，出入可利用交通工具有：公交车、出组车、网约车等，交通</w:t>
            </w:r>
            <w:r>
              <w:rPr>
                <w:rFonts w:hint="eastAsia" w:ascii="宋体" w:hAnsi="宋体" w:cs="宋体"/>
                <w:color w:val="auto"/>
                <w:kern w:val="0"/>
                <w:sz w:val="18"/>
                <w:szCs w:val="18"/>
                <w:highlight w:val="none"/>
                <w:lang w:eastAsia="zh-CN"/>
              </w:rPr>
              <w:t>较</w:t>
            </w:r>
            <w:r>
              <w:rPr>
                <w:rFonts w:hint="eastAsia" w:ascii="宋体" w:hAnsi="宋体" w:cs="宋体"/>
                <w:color w:val="auto"/>
                <w:kern w:val="0"/>
                <w:sz w:val="18"/>
                <w:szCs w:val="18"/>
                <w:highlight w:val="none"/>
              </w:rPr>
              <w:t>便捷</w:t>
            </w:r>
          </w:p>
        </w:tc>
        <w:tc>
          <w:tcPr>
            <w:tcW w:w="1934" w:type="dxa"/>
            <w:vAlign w:val="center"/>
          </w:tcPr>
          <w:p>
            <w:pPr>
              <w:adjustRightInd w:val="0"/>
              <w:snapToGrid w:val="0"/>
              <w:jc w:val="center"/>
              <w:rPr>
                <w:rFonts w:ascii="宋体" w:hAnsi="宋体" w:cs="仿宋"/>
                <w:color w:val="auto"/>
                <w:sz w:val="18"/>
                <w:szCs w:val="18"/>
                <w:highlight w:val="none"/>
                <w:lang w:val="zh-CN"/>
              </w:rPr>
            </w:pPr>
            <w:r>
              <w:rPr>
                <w:rFonts w:hint="eastAsia" w:ascii="宋体" w:hAnsi="宋体" w:cs="宋体"/>
                <w:color w:val="auto"/>
                <w:kern w:val="0"/>
                <w:sz w:val="18"/>
                <w:szCs w:val="18"/>
                <w:highlight w:val="none"/>
              </w:rPr>
              <w:t>该区域内有</w:t>
            </w:r>
            <w:r>
              <w:rPr>
                <w:rFonts w:hint="eastAsia" w:ascii="宋体" w:hAnsi="宋体" w:cs="宋体"/>
                <w:color w:val="auto"/>
                <w:kern w:val="0"/>
                <w:sz w:val="18"/>
                <w:szCs w:val="18"/>
                <w:highlight w:val="none"/>
                <w:lang w:val="en-US" w:eastAsia="zh-CN"/>
              </w:rPr>
              <w:t>多</w:t>
            </w:r>
            <w:r>
              <w:rPr>
                <w:rFonts w:hint="eastAsia" w:ascii="宋体" w:hAnsi="宋体" w:cs="宋体"/>
                <w:color w:val="auto"/>
                <w:kern w:val="0"/>
                <w:sz w:val="18"/>
                <w:szCs w:val="18"/>
                <w:highlight w:val="none"/>
              </w:rPr>
              <w:t>路公交车经过，出入可利用交通工具有：公交车、出组车、网约车等，交通便捷</w:t>
            </w:r>
          </w:p>
        </w:tc>
        <w:tc>
          <w:tcPr>
            <w:tcW w:w="2010" w:type="dxa"/>
            <w:vAlign w:val="center"/>
          </w:tcPr>
          <w:p>
            <w:pPr>
              <w:adjustRightInd w:val="0"/>
              <w:snapToGrid w:val="0"/>
              <w:jc w:val="center"/>
              <w:rPr>
                <w:color w:val="auto"/>
                <w:sz w:val="18"/>
                <w:szCs w:val="18"/>
                <w:highlight w:val="none"/>
              </w:rPr>
            </w:pPr>
            <w:r>
              <w:rPr>
                <w:rFonts w:hint="eastAsia" w:ascii="宋体" w:hAnsi="宋体" w:cs="宋体"/>
                <w:color w:val="auto"/>
                <w:kern w:val="0"/>
                <w:sz w:val="18"/>
                <w:szCs w:val="18"/>
                <w:highlight w:val="none"/>
              </w:rPr>
              <w:t>该区域内有</w:t>
            </w:r>
            <w:r>
              <w:rPr>
                <w:rFonts w:hint="eastAsia" w:ascii="宋体" w:hAnsi="宋体" w:cs="宋体"/>
                <w:color w:val="auto"/>
                <w:kern w:val="0"/>
                <w:sz w:val="18"/>
                <w:szCs w:val="18"/>
                <w:highlight w:val="none"/>
                <w:lang w:val="en-US" w:eastAsia="zh-CN"/>
              </w:rPr>
              <w:t>多</w:t>
            </w:r>
            <w:r>
              <w:rPr>
                <w:rFonts w:hint="eastAsia" w:ascii="宋体" w:hAnsi="宋体" w:cs="宋体"/>
                <w:color w:val="auto"/>
                <w:kern w:val="0"/>
                <w:sz w:val="18"/>
                <w:szCs w:val="18"/>
                <w:highlight w:val="none"/>
              </w:rPr>
              <w:t>路公交车经过，出入可利用交通工具有：公交车、出组车、网约车等，交通便捷</w:t>
            </w:r>
          </w:p>
        </w:tc>
        <w:tc>
          <w:tcPr>
            <w:tcW w:w="1935" w:type="dxa"/>
            <w:vAlign w:val="center"/>
          </w:tcPr>
          <w:p>
            <w:pPr>
              <w:adjustRightInd w:val="0"/>
              <w:snapToGrid w:val="0"/>
              <w:jc w:val="center"/>
              <w:rPr>
                <w:color w:val="auto"/>
                <w:sz w:val="18"/>
                <w:szCs w:val="18"/>
                <w:highlight w:val="none"/>
              </w:rPr>
            </w:pPr>
            <w:r>
              <w:rPr>
                <w:rFonts w:hint="eastAsia" w:ascii="宋体" w:hAnsi="宋体" w:cs="宋体"/>
                <w:color w:val="auto"/>
                <w:kern w:val="0"/>
                <w:sz w:val="18"/>
                <w:szCs w:val="18"/>
                <w:highlight w:val="none"/>
              </w:rPr>
              <w:t>该区域内有</w:t>
            </w:r>
            <w:r>
              <w:rPr>
                <w:rFonts w:hint="eastAsia" w:ascii="宋体" w:hAnsi="宋体" w:cs="宋体"/>
                <w:color w:val="auto"/>
                <w:kern w:val="0"/>
                <w:sz w:val="18"/>
                <w:szCs w:val="18"/>
                <w:highlight w:val="none"/>
                <w:lang w:val="en-US" w:eastAsia="zh-CN"/>
              </w:rPr>
              <w:t>多</w:t>
            </w:r>
            <w:r>
              <w:rPr>
                <w:rFonts w:hint="eastAsia" w:ascii="宋体" w:hAnsi="宋体" w:cs="宋体"/>
                <w:color w:val="auto"/>
                <w:kern w:val="0"/>
                <w:sz w:val="18"/>
                <w:szCs w:val="18"/>
                <w:highlight w:val="none"/>
              </w:rPr>
              <w:t>路公交车经过，出入可利用交通工具有：公交车、出组车、网约车等，交通便捷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环境状况</w:t>
            </w:r>
          </w:p>
        </w:tc>
        <w:tc>
          <w:tcPr>
            <w:tcW w:w="2119" w:type="dxa"/>
            <w:vAlign w:val="center"/>
          </w:tcPr>
          <w:p>
            <w:pPr>
              <w:widowControl/>
              <w:snapToGrid w:val="0"/>
              <w:spacing w:line="336" w:lineRule="auto"/>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该</w:t>
            </w:r>
            <w:r>
              <w:rPr>
                <w:rFonts w:hint="eastAsia" w:ascii="宋体" w:hAnsi="宋体" w:cs="宋体"/>
                <w:color w:val="auto"/>
                <w:kern w:val="0"/>
                <w:sz w:val="18"/>
                <w:szCs w:val="18"/>
                <w:highlight w:val="none"/>
              </w:rPr>
              <w:t>小区内绿化</w:t>
            </w:r>
            <w:r>
              <w:rPr>
                <w:rFonts w:hint="eastAsia" w:ascii="宋体" w:hAnsi="宋体" w:cs="宋体"/>
                <w:color w:val="auto"/>
                <w:kern w:val="0"/>
                <w:sz w:val="18"/>
                <w:szCs w:val="18"/>
                <w:highlight w:val="none"/>
                <w:lang w:eastAsia="zh-CN"/>
              </w:rPr>
              <w:t>较好</w:t>
            </w:r>
            <w:r>
              <w:rPr>
                <w:rFonts w:hint="eastAsia" w:ascii="宋体" w:hAnsi="宋体" w:cs="宋体"/>
                <w:color w:val="auto"/>
                <w:kern w:val="0"/>
                <w:sz w:val="18"/>
                <w:szCs w:val="18"/>
                <w:highlight w:val="none"/>
              </w:rPr>
              <w:t>，环境</w:t>
            </w:r>
            <w:r>
              <w:rPr>
                <w:rFonts w:hint="eastAsia" w:ascii="宋体" w:hAnsi="宋体" w:cs="宋体"/>
                <w:color w:val="auto"/>
                <w:kern w:val="0"/>
                <w:sz w:val="18"/>
                <w:szCs w:val="18"/>
                <w:highlight w:val="none"/>
                <w:lang w:eastAsia="zh-CN"/>
              </w:rPr>
              <w:t>较优</w:t>
            </w:r>
          </w:p>
        </w:tc>
        <w:tc>
          <w:tcPr>
            <w:tcW w:w="1934" w:type="dxa"/>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lang w:eastAsia="zh-CN"/>
              </w:rPr>
              <w:t>该</w:t>
            </w:r>
            <w:r>
              <w:rPr>
                <w:rFonts w:hint="eastAsia" w:ascii="宋体" w:hAnsi="宋体" w:cs="宋体"/>
                <w:color w:val="auto"/>
                <w:kern w:val="0"/>
                <w:sz w:val="18"/>
                <w:szCs w:val="18"/>
                <w:highlight w:val="none"/>
              </w:rPr>
              <w:t>小区内绿化</w:t>
            </w:r>
            <w:r>
              <w:rPr>
                <w:rFonts w:hint="eastAsia" w:ascii="宋体" w:hAnsi="宋体" w:cs="宋体"/>
                <w:color w:val="auto"/>
                <w:kern w:val="0"/>
                <w:sz w:val="18"/>
                <w:szCs w:val="18"/>
                <w:highlight w:val="none"/>
                <w:lang w:eastAsia="zh-CN"/>
              </w:rPr>
              <w:t>一般</w:t>
            </w:r>
            <w:r>
              <w:rPr>
                <w:rFonts w:hint="eastAsia" w:ascii="宋体" w:hAnsi="宋体" w:cs="宋体"/>
                <w:color w:val="auto"/>
                <w:kern w:val="0"/>
                <w:sz w:val="18"/>
                <w:szCs w:val="18"/>
                <w:highlight w:val="none"/>
              </w:rPr>
              <w:t>，环境</w:t>
            </w:r>
            <w:r>
              <w:rPr>
                <w:rFonts w:hint="eastAsia" w:ascii="宋体" w:hAnsi="宋体" w:cs="宋体"/>
                <w:color w:val="auto"/>
                <w:kern w:val="0"/>
                <w:sz w:val="18"/>
                <w:szCs w:val="18"/>
                <w:highlight w:val="none"/>
                <w:lang w:eastAsia="zh-CN"/>
              </w:rPr>
              <w:t>一般</w:t>
            </w:r>
          </w:p>
        </w:tc>
        <w:tc>
          <w:tcPr>
            <w:tcW w:w="2010" w:type="dxa"/>
            <w:vAlign w:val="center"/>
          </w:tcPr>
          <w:p>
            <w:pPr>
              <w:widowControl/>
              <w:snapToGrid w:val="0"/>
              <w:spacing w:line="336" w:lineRule="auto"/>
              <w:jc w:val="left"/>
              <w:rPr>
                <w:rFonts w:ascii="宋体" w:hAnsi="宋体" w:cs="仿宋"/>
                <w:color w:val="auto"/>
                <w:sz w:val="18"/>
                <w:szCs w:val="18"/>
                <w:highlight w:val="none"/>
                <w:lang w:val="zh-CN"/>
              </w:rPr>
            </w:pPr>
            <w:r>
              <w:rPr>
                <w:rFonts w:hint="eastAsia" w:ascii="宋体" w:hAnsi="宋体" w:cs="宋体"/>
                <w:color w:val="auto"/>
                <w:kern w:val="0"/>
                <w:sz w:val="18"/>
                <w:szCs w:val="18"/>
                <w:highlight w:val="none"/>
                <w:lang w:eastAsia="zh-CN"/>
              </w:rPr>
              <w:t>该</w:t>
            </w:r>
            <w:r>
              <w:rPr>
                <w:rFonts w:hint="eastAsia" w:ascii="宋体" w:hAnsi="宋体" w:cs="宋体"/>
                <w:color w:val="auto"/>
                <w:kern w:val="0"/>
                <w:sz w:val="18"/>
                <w:szCs w:val="18"/>
                <w:highlight w:val="none"/>
              </w:rPr>
              <w:t>小区内绿化</w:t>
            </w:r>
            <w:r>
              <w:rPr>
                <w:rFonts w:hint="eastAsia" w:ascii="宋体" w:hAnsi="宋体" w:cs="宋体"/>
                <w:color w:val="auto"/>
                <w:kern w:val="0"/>
                <w:sz w:val="18"/>
                <w:szCs w:val="18"/>
                <w:highlight w:val="none"/>
                <w:lang w:eastAsia="zh-CN"/>
              </w:rPr>
              <w:t>一般</w:t>
            </w:r>
            <w:r>
              <w:rPr>
                <w:rFonts w:hint="eastAsia" w:ascii="宋体" w:hAnsi="宋体" w:cs="宋体"/>
                <w:color w:val="auto"/>
                <w:kern w:val="0"/>
                <w:sz w:val="18"/>
                <w:szCs w:val="18"/>
                <w:highlight w:val="none"/>
              </w:rPr>
              <w:t>，环境</w:t>
            </w:r>
            <w:r>
              <w:rPr>
                <w:rFonts w:hint="eastAsia" w:ascii="宋体" w:hAnsi="宋体" w:cs="宋体"/>
                <w:color w:val="auto"/>
                <w:kern w:val="0"/>
                <w:sz w:val="18"/>
                <w:szCs w:val="18"/>
                <w:highlight w:val="none"/>
                <w:lang w:eastAsia="zh-CN"/>
              </w:rPr>
              <w:t>一般</w:t>
            </w:r>
          </w:p>
        </w:tc>
        <w:tc>
          <w:tcPr>
            <w:tcW w:w="1935" w:type="dxa"/>
            <w:vAlign w:val="center"/>
          </w:tcPr>
          <w:p>
            <w:pPr>
              <w:widowControl/>
              <w:snapToGrid w:val="0"/>
              <w:spacing w:line="336" w:lineRule="auto"/>
              <w:jc w:val="left"/>
              <w:rPr>
                <w:rFonts w:ascii="宋体" w:hAnsi="宋体" w:cs="仿宋"/>
                <w:color w:val="auto"/>
                <w:sz w:val="18"/>
                <w:szCs w:val="18"/>
                <w:highlight w:val="none"/>
                <w:lang w:val="zh-CN"/>
              </w:rPr>
            </w:pPr>
            <w:r>
              <w:rPr>
                <w:rFonts w:hint="eastAsia" w:ascii="宋体" w:hAnsi="宋体" w:cs="宋体"/>
                <w:color w:val="auto"/>
                <w:kern w:val="0"/>
                <w:sz w:val="18"/>
                <w:szCs w:val="18"/>
                <w:highlight w:val="none"/>
                <w:lang w:eastAsia="zh-CN"/>
              </w:rPr>
              <w:t>该</w:t>
            </w:r>
            <w:r>
              <w:rPr>
                <w:rFonts w:hint="eastAsia" w:ascii="宋体" w:hAnsi="宋体" w:cs="宋体"/>
                <w:color w:val="auto"/>
                <w:kern w:val="0"/>
                <w:sz w:val="18"/>
                <w:szCs w:val="18"/>
                <w:highlight w:val="none"/>
              </w:rPr>
              <w:t>小区内绿化</w:t>
            </w:r>
            <w:r>
              <w:rPr>
                <w:rFonts w:hint="eastAsia" w:ascii="宋体" w:hAnsi="宋体" w:cs="宋体"/>
                <w:color w:val="auto"/>
                <w:kern w:val="0"/>
                <w:sz w:val="18"/>
                <w:szCs w:val="18"/>
                <w:highlight w:val="none"/>
                <w:lang w:eastAsia="zh-CN"/>
              </w:rPr>
              <w:t>一般</w:t>
            </w:r>
            <w:r>
              <w:rPr>
                <w:rFonts w:hint="eastAsia" w:ascii="宋体" w:hAnsi="宋体" w:cs="宋体"/>
                <w:color w:val="auto"/>
                <w:kern w:val="0"/>
                <w:sz w:val="18"/>
                <w:szCs w:val="18"/>
                <w:highlight w:val="none"/>
              </w:rPr>
              <w:t>，环境</w:t>
            </w:r>
            <w:r>
              <w:rPr>
                <w:rFonts w:hint="eastAsia" w:ascii="宋体" w:hAnsi="宋体" w:cs="宋体"/>
                <w:color w:val="auto"/>
                <w:kern w:val="0"/>
                <w:sz w:val="18"/>
                <w:szCs w:val="18"/>
                <w:highlight w:val="none"/>
                <w:lang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居住聚集度</w:t>
            </w:r>
          </w:p>
        </w:tc>
        <w:tc>
          <w:tcPr>
            <w:tcW w:w="2119" w:type="dxa"/>
            <w:vAlign w:val="center"/>
          </w:tcPr>
          <w:p>
            <w:pPr>
              <w:adjustRightInd w:val="0"/>
              <w:snapToGrid w:val="0"/>
              <w:spacing w:line="360" w:lineRule="auto"/>
              <w:jc w:val="center"/>
              <w:rPr>
                <w:rFonts w:hint="eastAsia" w:ascii="宋体" w:hAnsi="宋体" w:eastAsia="宋体" w:cs="仿宋"/>
                <w:color w:val="auto"/>
                <w:sz w:val="18"/>
                <w:szCs w:val="18"/>
                <w:highlight w:val="none"/>
                <w:lang w:eastAsia="zh-CN"/>
              </w:rPr>
            </w:pPr>
            <w:r>
              <w:rPr>
                <w:rFonts w:hint="eastAsia" w:ascii="宋体" w:hAnsi="宋体"/>
                <w:color w:val="auto"/>
                <w:sz w:val="18"/>
                <w:szCs w:val="18"/>
                <w:highlight w:val="none"/>
              </w:rPr>
              <w:t>周边有</w:t>
            </w:r>
            <w:r>
              <w:rPr>
                <w:rFonts w:hint="eastAsia" w:ascii="宋体" w:hAnsi="宋体"/>
                <w:color w:val="auto"/>
                <w:sz w:val="18"/>
                <w:szCs w:val="18"/>
                <w:highlight w:val="none"/>
                <w:lang w:eastAsia="zh-CN"/>
              </w:rPr>
              <w:t>锦丽家园、欣星小区、居民住宅区等</w:t>
            </w:r>
            <w:r>
              <w:rPr>
                <w:rFonts w:hint="eastAsia" w:ascii="宋体" w:hAnsi="宋体"/>
                <w:color w:val="auto"/>
                <w:sz w:val="18"/>
                <w:szCs w:val="18"/>
                <w:highlight w:val="none"/>
              </w:rPr>
              <w:t>，居住聚集度</w:t>
            </w:r>
            <w:r>
              <w:rPr>
                <w:rFonts w:hint="eastAsia" w:ascii="宋体" w:hAnsi="宋体"/>
                <w:color w:val="auto"/>
                <w:sz w:val="18"/>
                <w:szCs w:val="18"/>
                <w:highlight w:val="none"/>
                <w:lang w:eastAsia="zh-CN"/>
              </w:rPr>
              <w:t>聚集</w:t>
            </w:r>
          </w:p>
        </w:tc>
        <w:tc>
          <w:tcPr>
            <w:tcW w:w="1934" w:type="dxa"/>
            <w:vAlign w:val="center"/>
          </w:tcPr>
          <w:p>
            <w:pPr>
              <w:adjustRightInd w:val="0"/>
              <w:snapToGrid w:val="0"/>
              <w:spacing w:line="360" w:lineRule="auto"/>
              <w:jc w:val="center"/>
              <w:rPr>
                <w:rFonts w:ascii="宋体" w:hAnsi="宋体" w:cs="宋体"/>
                <w:color w:val="auto"/>
                <w:kern w:val="0"/>
                <w:sz w:val="18"/>
                <w:szCs w:val="18"/>
                <w:highlight w:val="none"/>
              </w:rPr>
            </w:pPr>
            <w:r>
              <w:rPr>
                <w:rFonts w:hint="eastAsia" w:ascii="宋体" w:hAnsi="宋体"/>
                <w:color w:val="auto"/>
                <w:sz w:val="18"/>
                <w:szCs w:val="18"/>
                <w:highlight w:val="none"/>
              </w:rPr>
              <w:t>周边有</w:t>
            </w:r>
            <w:r>
              <w:rPr>
                <w:rFonts w:hint="eastAsia" w:ascii="宋体" w:hAnsi="宋体"/>
                <w:color w:val="auto"/>
                <w:sz w:val="18"/>
                <w:szCs w:val="18"/>
                <w:highlight w:val="none"/>
                <w:lang w:eastAsia="zh-CN"/>
              </w:rPr>
              <w:t>职工住宿区、居民住宅区等</w:t>
            </w:r>
            <w:r>
              <w:rPr>
                <w:rFonts w:hint="eastAsia" w:ascii="宋体" w:hAnsi="宋体"/>
                <w:color w:val="auto"/>
                <w:sz w:val="18"/>
                <w:szCs w:val="18"/>
                <w:highlight w:val="none"/>
              </w:rPr>
              <w:t>，居住聚集度</w:t>
            </w:r>
            <w:r>
              <w:rPr>
                <w:rFonts w:hint="eastAsia" w:ascii="宋体" w:hAnsi="宋体"/>
                <w:color w:val="auto"/>
                <w:sz w:val="18"/>
                <w:szCs w:val="18"/>
                <w:highlight w:val="none"/>
                <w:lang w:eastAsia="zh-CN"/>
              </w:rPr>
              <w:t>聚集</w:t>
            </w:r>
          </w:p>
        </w:tc>
        <w:tc>
          <w:tcPr>
            <w:tcW w:w="2010" w:type="dxa"/>
            <w:vAlign w:val="center"/>
          </w:tcPr>
          <w:p>
            <w:pPr>
              <w:adjustRightInd w:val="0"/>
              <w:snapToGrid w:val="0"/>
              <w:spacing w:line="360" w:lineRule="auto"/>
              <w:jc w:val="center"/>
              <w:rPr>
                <w:rFonts w:ascii="宋体" w:hAnsi="宋体" w:cs="宋体"/>
                <w:color w:val="auto"/>
                <w:kern w:val="0"/>
                <w:sz w:val="18"/>
                <w:szCs w:val="18"/>
                <w:highlight w:val="none"/>
              </w:rPr>
            </w:pPr>
            <w:r>
              <w:rPr>
                <w:rFonts w:hint="eastAsia" w:ascii="宋体" w:hAnsi="宋体"/>
                <w:color w:val="auto"/>
                <w:sz w:val="18"/>
                <w:szCs w:val="18"/>
                <w:highlight w:val="none"/>
              </w:rPr>
              <w:t>周边有</w:t>
            </w:r>
            <w:r>
              <w:rPr>
                <w:rFonts w:hint="eastAsia" w:ascii="宋体" w:hAnsi="宋体"/>
                <w:color w:val="auto"/>
                <w:sz w:val="18"/>
                <w:szCs w:val="18"/>
                <w:highlight w:val="none"/>
                <w:lang w:eastAsia="zh-CN"/>
              </w:rPr>
              <w:t>职工住宿区、居民住宅区等</w:t>
            </w:r>
            <w:r>
              <w:rPr>
                <w:rFonts w:hint="eastAsia" w:ascii="宋体" w:hAnsi="宋体"/>
                <w:color w:val="auto"/>
                <w:sz w:val="18"/>
                <w:szCs w:val="18"/>
                <w:highlight w:val="none"/>
              </w:rPr>
              <w:t>，居住聚集度</w:t>
            </w:r>
            <w:r>
              <w:rPr>
                <w:rFonts w:hint="eastAsia" w:ascii="宋体" w:hAnsi="宋体"/>
                <w:color w:val="auto"/>
                <w:sz w:val="18"/>
                <w:szCs w:val="18"/>
                <w:highlight w:val="none"/>
                <w:lang w:eastAsia="zh-CN"/>
              </w:rPr>
              <w:t>聚集</w:t>
            </w:r>
          </w:p>
        </w:tc>
        <w:tc>
          <w:tcPr>
            <w:tcW w:w="1935"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olor w:val="auto"/>
                <w:sz w:val="18"/>
                <w:szCs w:val="18"/>
                <w:highlight w:val="none"/>
              </w:rPr>
              <w:t>周边有</w:t>
            </w:r>
            <w:r>
              <w:rPr>
                <w:rFonts w:hint="eastAsia" w:ascii="宋体" w:hAnsi="宋体"/>
                <w:color w:val="auto"/>
                <w:sz w:val="18"/>
                <w:szCs w:val="18"/>
                <w:highlight w:val="none"/>
                <w:lang w:eastAsia="zh-CN"/>
              </w:rPr>
              <w:t>职工住宿区、居民住宅区等</w:t>
            </w:r>
            <w:r>
              <w:rPr>
                <w:rFonts w:hint="eastAsia" w:ascii="宋体" w:hAnsi="宋体"/>
                <w:color w:val="auto"/>
                <w:sz w:val="18"/>
                <w:szCs w:val="18"/>
                <w:highlight w:val="none"/>
              </w:rPr>
              <w:t>，居住聚集度</w:t>
            </w:r>
            <w:r>
              <w:rPr>
                <w:rFonts w:hint="eastAsia" w:ascii="宋体" w:hAnsi="宋体"/>
                <w:color w:val="auto"/>
                <w:sz w:val="18"/>
                <w:szCs w:val="18"/>
                <w:highlight w:val="none"/>
                <w:lang w:eastAsia="zh-CN"/>
              </w:rPr>
              <w:t>较聚集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外部配套设施</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olor w:val="auto"/>
                <w:sz w:val="18"/>
                <w:szCs w:val="18"/>
                <w:highlight w:val="none"/>
              </w:rPr>
              <w:t>有</w:t>
            </w:r>
            <w:r>
              <w:rPr>
                <w:rFonts w:hint="eastAsia" w:ascii="宋体" w:hAnsi="宋体"/>
                <w:color w:val="auto"/>
                <w:sz w:val="18"/>
                <w:szCs w:val="18"/>
                <w:highlight w:val="none"/>
                <w:lang w:eastAsia="zh-CN"/>
              </w:rPr>
              <w:t>百货超市、丘北县审计局、文山州住房公积金管理中心丘北县管理部、丘北县人力资源社会保障局等公共服务设施</w:t>
            </w:r>
            <w:r>
              <w:rPr>
                <w:rFonts w:hint="eastAsia" w:ascii="宋体" w:hAnsi="宋体"/>
                <w:color w:val="auto"/>
                <w:sz w:val="18"/>
                <w:szCs w:val="18"/>
                <w:highlight w:val="none"/>
              </w:rPr>
              <w:t>，</w:t>
            </w:r>
            <w:r>
              <w:rPr>
                <w:rFonts w:hint="eastAsia" w:ascii="宋体" w:hAnsi="宋体"/>
                <w:color w:val="auto"/>
                <w:sz w:val="18"/>
                <w:szCs w:val="18"/>
                <w:highlight w:val="none"/>
                <w:lang w:eastAsia="zh-CN"/>
              </w:rPr>
              <w:t>职业学校、工商信息管理实训基地</w:t>
            </w:r>
            <w:r>
              <w:rPr>
                <w:rFonts w:hint="eastAsia" w:ascii="宋体" w:hAnsi="宋体"/>
                <w:color w:val="auto"/>
                <w:sz w:val="18"/>
                <w:szCs w:val="18"/>
                <w:highlight w:val="none"/>
              </w:rPr>
              <w:t>等教育设施。</w:t>
            </w:r>
          </w:p>
        </w:tc>
        <w:tc>
          <w:tcPr>
            <w:tcW w:w="1934" w:type="dxa"/>
            <w:vAlign w:val="center"/>
          </w:tcPr>
          <w:p>
            <w:pPr>
              <w:widowControl/>
              <w:snapToGrid w:val="0"/>
              <w:spacing w:line="336" w:lineRule="auto"/>
              <w:jc w:val="left"/>
              <w:rPr>
                <w:rFonts w:hint="eastAsia" w:ascii="宋体" w:hAnsi="宋体" w:eastAsia="宋体" w:cs="仿宋"/>
                <w:color w:val="auto"/>
                <w:sz w:val="18"/>
                <w:szCs w:val="18"/>
                <w:highlight w:val="none"/>
                <w:lang w:val="zh-CN" w:eastAsia="zh-CN"/>
              </w:rPr>
            </w:pPr>
            <w:r>
              <w:rPr>
                <w:rFonts w:hint="eastAsia" w:ascii="宋体" w:hAnsi="宋体" w:cs="宋体"/>
                <w:color w:val="auto"/>
                <w:kern w:val="0"/>
                <w:sz w:val="18"/>
                <w:szCs w:val="18"/>
                <w:highlight w:val="none"/>
              </w:rPr>
              <w:t>该区域内有</w:t>
            </w:r>
            <w:r>
              <w:rPr>
                <w:rFonts w:hint="eastAsia" w:ascii="宋体" w:hAnsi="宋体" w:cs="宋体"/>
                <w:color w:val="auto"/>
                <w:kern w:val="0"/>
                <w:sz w:val="18"/>
                <w:szCs w:val="18"/>
                <w:highlight w:val="none"/>
                <w:lang w:eastAsia="zh-CN"/>
              </w:rPr>
              <w:t>丘北县人民公安局、百货大楼、丘北县第一中学、中国邮政储蓄银行</w:t>
            </w:r>
            <w:r>
              <w:rPr>
                <w:rFonts w:hint="eastAsia" w:ascii="宋体" w:hAnsi="宋体" w:cs="宋体"/>
                <w:color w:val="auto"/>
                <w:kern w:val="0"/>
                <w:sz w:val="18"/>
                <w:szCs w:val="18"/>
                <w:highlight w:val="none"/>
              </w:rPr>
              <w:t>等设施，外部配套设施</w:t>
            </w:r>
            <w:r>
              <w:rPr>
                <w:rFonts w:hint="eastAsia" w:ascii="宋体" w:hAnsi="宋体" w:cs="宋体"/>
                <w:color w:val="auto"/>
                <w:kern w:val="0"/>
                <w:sz w:val="18"/>
                <w:szCs w:val="18"/>
                <w:highlight w:val="none"/>
                <w:lang w:eastAsia="zh-CN"/>
              </w:rPr>
              <w:t>完善</w:t>
            </w:r>
          </w:p>
        </w:tc>
        <w:tc>
          <w:tcPr>
            <w:tcW w:w="2010" w:type="dxa"/>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该区域内有</w:t>
            </w:r>
            <w:r>
              <w:rPr>
                <w:rFonts w:hint="eastAsia" w:ascii="宋体" w:hAnsi="宋体" w:cs="宋体"/>
                <w:color w:val="auto"/>
                <w:kern w:val="0"/>
                <w:sz w:val="18"/>
                <w:szCs w:val="18"/>
                <w:highlight w:val="none"/>
                <w:lang w:eastAsia="zh-CN"/>
              </w:rPr>
              <w:t>银行、健康会所、烟草专卖局便民服务中心、教育局、学校</w:t>
            </w:r>
            <w:r>
              <w:rPr>
                <w:rFonts w:hint="eastAsia" w:ascii="宋体" w:hAnsi="宋体" w:cs="宋体"/>
                <w:color w:val="auto"/>
                <w:kern w:val="0"/>
                <w:sz w:val="18"/>
                <w:szCs w:val="18"/>
                <w:highlight w:val="none"/>
              </w:rPr>
              <w:t>等，外部配套设施完善</w:t>
            </w:r>
          </w:p>
        </w:tc>
        <w:tc>
          <w:tcPr>
            <w:tcW w:w="1935" w:type="dxa"/>
            <w:vAlign w:val="center"/>
          </w:tcPr>
          <w:p>
            <w:pPr>
              <w:widowControl/>
              <w:snapToGrid w:val="0"/>
              <w:spacing w:line="336"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该区域内有</w:t>
            </w:r>
            <w:r>
              <w:rPr>
                <w:rFonts w:hint="eastAsia" w:ascii="宋体" w:hAnsi="宋体" w:cs="宋体"/>
                <w:color w:val="auto"/>
                <w:kern w:val="0"/>
                <w:sz w:val="18"/>
                <w:szCs w:val="18"/>
                <w:highlight w:val="none"/>
                <w:lang w:eastAsia="zh-CN"/>
              </w:rPr>
              <w:t>银行、幼儿园、综合商品交易市场、医院</w:t>
            </w:r>
            <w:r>
              <w:rPr>
                <w:rFonts w:hint="eastAsia" w:ascii="宋体" w:hAnsi="宋体" w:cs="宋体"/>
                <w:color w:val="auto"/>
                <w:kern w:val="0"/>
                <w:sz w:val="18"/>
                <w:szCs w:val="18"/>
                <w:highlight w:val="none"/>
              </w:rPr>
              <w:t>等，外部配套设施完善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29" w:type="dxa"/>
            <w:vMerge w:val="restart"/>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实物状况调整</w:t>
            </w: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用途</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住宅</w:t>
            </w:r>
          </w:p>
        </w:tc>
        <w:tc>
          <w:tcPr>
            <w:tcW w:w="193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 xml:space="preserve">住宅 </w:t>
            </w:r>
          </w:p>
        </w:tc>
        <w:tc>
          <w:tcPr>
            <w:tcW w:w="2010"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住宅</w:t>
            </w:r>
          </w:p>
        </w:tc>
        <w:tc>
          <w:tcPr>
            <w:tcW w:w="1935"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建筑规模</w:t>
            </w:r>
          </w:p>
        </w:tc>
        <w:tc>
          <w:tcPr>
            <w:tcW w:w="2119"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73.73</w:t>
            </w:r>
          </w:p>
        </w:tc>
        <w:tc>
          <w:tcPr>
            <w:tcW w:w="1934"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55.68</w:t>
            </w:r>
          </w:p>
        </w:tc>
        <w:tc>
          <w:tcPr>
            <w:tcW w:w="2010"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70.35</w:t>
            </w:r>
          </w:p>
        </w:tc>
        <w:tc>
          <w:tcPr>
            <w:tcW w:w="1935"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60.25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建筑结构</w:t>
            </w:r>
          </w:p>
        </w:tc>
        <w:tc>
          <w:tcPr>
            <w:tcW w:w="2119" w:type="dxa"/>
            <w:vAlign w:val="center"/>
          </w:tcPr>
          <w:p>
            <w:pPr>
              <w:adjustRightInd w:val="0"/>
              <w:snapToGrid w:val="0"/>
              <w:spacing w:line="360" w:lineRule="auto"/>
              <w:jc w:val="center"/>
              <w:rPr>
                <w:rFonts w:hint="eastAsia"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砖混</w:t>
            </w:r>
          </w:p>
        </w:tc>
        <w:tc>
          <w:tcPr>
            <w:tcW w:w="1934" w:type="dxa"/>
            <w:vAlign w:val="center"/>
          </w:tcPr>
          <w:p>
            <w:pPr>
              <w:jc w:val="center"/>
              <w:rPr>
                <w:color w:val="auto"/>
                <w:highlight w:val="none"/>
              </w:rPr>
            </w:pPr>
            <w:r>
              <w:rPr>
                <w:rFonts w:hint="eastAsia" w:ascii="宋体" w:hAnsi="宋体" w:cs="仿宋"/>
                <w:color w:val="auto"/>
                <w:sz w:val="18"/>
                <w:szCs w:val="18"/>
                <w:highlight w:val="none"/>
                <w:lang w:val="zh-CN"/>
              </w:rPr>
              <w:t>砖混</w:t>
            </w:r>
          </w:p>
        </w:tc>
        <w:tc>
          <w:tcPr>
            <w:tcW w:w="2010" w:type="dxa"/>
            <w:vAlign w:val="center"/>
          </w:tcPr>
          <w:p>
            <w:pPr>
              <w:jc w:val="center"/>
              <w:rPr>
                <w:color w:val="auto"/>
                <w:highlight w:val="none"/>
              </w:rPr>
            </w:pPr>
            <w:r>
              <w:rPr>
                <w:rFonts w:hint="eastAsia" w:ascii="宋体" w:hAnsi="宋体" w:cs="仿宋"/>
                <w:color w:val="auto"/>
                <w:sz w:val="18"/>
                <w:szCs w:val="18"/>
                <w:highlight w:val="none"/>
                <w:lang w:val="zh-CN"/>
              </w:rPr>
              <w:t>砖混</w:t>
            </w:r>
          </w:p>
        </w:tc>
        <w:tc>
          <w:tcPr>
            <w:tcW w:w="1935" w:type="dxa"/>
            <w:vAlign w:val="center"/>
          </w:tcPr>
          <w:p>
            <w:pPr>
              <w:jc w:val="center"/>
              <w:rPr>
                <w:color w:val="auto"/>
                <w:highlight w:val="none"/>
              </w:rPr>
            </w:pPr>
            <w:r>
              <w:rPr>
                <w:rFonts w:hint="eastAsia" w:ascii="宋体" w:hAnsi="宋体" w:cs="仿宋"/>
                <w:color w:val="auto"/>
                <w:sz w:val="18"/>
                <w:szCs w:val="18"/>
                <w:highlight w:val="none"/>
                <w:lang w:val="zh-CN"/>
              </w:rPr>
              <w:t>砖混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户型</w:t>
            </w:r>
          </w:p>
        </w:tc>
        <w:tc>
          <w:tcPr>
            <w:tcW w:w="2119" w:type="dxa"/>
            <w:vAlign w:val="center"/>
          </w:tcPr>
          <w:p>
            <w:pPr>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三室一厅一厨一卫</w:t>
            </w:r>
          </w:p>
        </w:tc>
        <w:tc>
          <w:tcPr>
            <w:tcW w:w="1934" w:type="dxa"/>
            <w:vAlign w:val="center"/>
          </w:tcPr>
          <w:p>
            <w:pPr>
              <w:jc w:val="center"/>
              <w:rPr>
                <w:color w:val="auto"/>
                <w:sz w:val="18"/>
                <w:szCs w:val="18"/>
                <w:highlight w:val="none"/>
              </w:rPr>
            </w:pPr>
            <w:r>
              <w:rPr>
                <w:rFonts w:hint="eastAsia"/>
                <w:color w:val="auto"/>
                <w:sz w:val="18"/>
                <w:szCs w:val="18"/>
                <w:highlight w:val="none"/>
                <w:lang w:eastAsia="zh-CN"/>
              </w:rPr>
              <w:t>二</w:t>
            </w:r>
            <w:r>
              <w:rPr>
                <w:rFonts w:hint="eastAsia"/>
                <w:color w:val="auto"/>
                <w:sz w:val="18"/>
                <w:szCs w:val="18"/>
                <w:highlight w:val="none"/>
              </w:rPr>
              <w:t>室</w:t>
            </w:r>
            <w:r>
              <w:rPr>
                <w:rFonts w:hint="eastAsia"/>
                <w:color w:val="auto"/>
                <w:sz w:val="18"/>
                <w:szCs w:val="18"/>
                <w:highlight w:val="none"/>
                <w:lang w:eastAsia="zh-CN"/>
              </w:rPr>
              <w:t>一</w:t>
            </w:r>
            <w:r>
              <w:rPr>
                <w:rFonts w:hint="eastAsia"/>
                <w:color w:val="auto"/>
                <w:sz w:val="18"/>
                <w:szCs w:val="18"/>
                <w:highlight w:val="none"/>
              </w:rPr>
              <w:t>厅一厨</w:t>
            </w:r>
            <w:r>
              <w:rPr>
                <w:rFonts w:hint="eastAsia"/>
                <w:color w:val="auto"/>
                <w:sz w:val="18"/>
                <w:szCs w:val="18"/>
                <w:highlight w:val="none"/>
                <w:lang w:eastAsia="zh-CN"/>
              </w:rPr>
              <w:t>二</w:t>
            </w:r>
            <w:r>
              <w:rPr>
                <w:rFonts w:hint="eastAsia"/>
                <w:color w:val="auto"/>
                <w:sz w:val="18"/>
                <w:szCs w:val="18"/>
                <w:highlight w:val="none"/>
              </w:rPr>
              <w:t>卫</w:t>
            </w:r>
          </w:p>
        </w:tc>
        <w:tc>
          <w:tcPr>
            <w:tcW w:w="2010" w:type="dxa"/>
            <w:vAlign w:val="center"/>
          </w:tcPr>
          <w:p>
            <w:pPr>
              <w:jc w:val="center"/>
              <w:rPr>
                <w:color w:val="auto"/>
                <w:sz w:val="18"/>
                <w:szCs w:val="18"/>
                <w:highlight w:val="none"/>
              </w:rPr>
            </w:pPr>
            <w:r>
              <w:rPr>
                <w:rFonts w:hint="eastAsia"/>
                <w:color w:val="auto"/>
                <w:sz w:val="18"/>
                <w:szCs w:val="18"/>
                <w:highlight w:val="none"/>
                <w:lang w:eastAsia="zh-CN"/>
              </w:rPr>
              <w:t>三</w:t>
            </w:r>
            <w:r>
              <w:rPr>
                <w:rFonts w:hint="eastAsia"/>
                <w:color w:val="auto"/>
                <w:sz w:val="18"/>
                <w:szCs w:val="18"/>
                <w:highlight w:val="none"/>
              </w:rPr>
              <w:t>室</w:t>
            </w:r>
            <w:r>
              <w:rPr>
                <w:rFonts w:hint="eastAsia"/>
                <w:color w:val="auto"/>
                <w:sz w:val="18"/>
                <w:szCs w:val="18"/>
                <w:highlight w:val="none"/>
                <w:lang w:eastAsia="zh-CN"/>
              </w:rPr>
              <w:t>一</w:t>
            </w:r>
            <w:r>
              <w:rPr>
                <w:rFonts w:hint="eastAsia"/>
                <w:color w:val="auto"/>
                <w:sz w:val="18"/>
                <w:szCs w:val="18"/>
                <w:highlight w:val="none"/>
              </w:rPr>
              <w:t>厅一厨</w:t>
            </w:r>
            <w:r>
              <w:rPr>
                <w:rFonts w:hint="eastAsia"/>
                <w:color w:val="auto"/>
                <w:sz w:val="18"/>
                <w:szCs w:val="18"/>
                <w:highlight w:val="none"/>
                <w:lang w:eastAsia="zh-CN"/>
              </w:rPr>
              <w:t>一</w:t>
            </w:r>
            <w:r>
              <w:rPr>
                <w:rFonts w:hint="eastAsia"/>
                <w:color w:val="auto"/>
                <w:sz w:val="18"/>
                <w:szCs w:val="18"/>
                <w:highlight w:val="none"/>
              </w:rPr>
              <w:t>卫</w:t>
            </w:r>
          </w:p>
        </w:tc>
        <w:tc>
          <w:tcPr>
            <w:tcW w:w="1935" w:type="dxa"/>
            <w:vAlign w:val="center"/>
          </w:tcPr>
          <w:p>
            <w:pPr>
              <w:jc w:val="center"/>
              <w:rPr>
                <w:color w:val="auto"/>
                <w:sz w:val="18"/>
                <w:szCs w:val="18"/>
                <w:highlight w:val="none"/>
              </w:rPr>
            </w:pPr>
            <w:r>
              <w:rPr>
                <w:rFonts w:hint="eastAsia"/>
                <w:color w:val="auto"/>
                <w:sz w:val="18"/>
                <w:szCs w:val="18"/>
                <w:highlight w:val="none"/>
                <w:lang w:eastAsia="zh-CN"/>
              </w:rPr>
              <w:t>二</w:t>
            </w:r>
            <w:r>
              <w:rPr>
                <w:rFonts w:hint="eastAsia"/>
                <w:color w:val="auto"/>
                <w:sz w:val="18"/>
                <w:szCs w:val="18"/>
                <w:highlight w:val="none"/>
              </w:rPr>
              <w:t>室</w:t>
            </w:r>
            <w:r>
              <w:rPr>
                <w:rFonts w:hint="eastAsia"/>
                <w:color w:val="auto"/>
                <w:sz w:val="18"/>
                <w:szCs w:val="18"/>
                <w:highlight w:val="none"/>
                <w:lang w:eastAsia="zh-CN"/>
              </w:rPr>
              <w:t>一</w:t>
            </w:r>
            <w:r>
              <w:rPr>
                <w:rFonts w:hint="eastAsia"/>
                <w:color w:val="auto"/>
                <w:sz w:val="18"/>
                <w:szCs w:val="18"/>
                <w:highlight w:val="none"/>
              </w:rPr>
              <w:t>厅一厨</w:t>
            </w:r>
            <w:r>
              <w:rPr>
                <w:rFonts w:hint="eastAsia"/>
                <w:color w:val="auto"/>
                <w:sz w:val="18"/>
                <w:szCs w:val="18"/>
                <w:highlight w:val="none"/>
                <w:lang w:eastAsia="zh-CN"/>
              </w:rPr>
              <w:t>一</w:t>
            </w:r>
            <w:r>
              <w:rPr>
                <w:rFonts w:hint="eastAsia"/>
                <w:color w:val="auto"/>
                <w:sz w:val="18"/>
                <w:szCs w:val="18"/>
                <w:highlight w:val="none"/>
              </w:rPr>
              <w:t>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设施设备</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水电、消防等设施齐全</w:t>
            </w:r>
          </w:p>
        </w:tc>
        <w:tc>
          <w:tcPr>
            <w:tcW w:w="193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水电、消防等设施齐全</w:t>
            </w:r>
          </w:p>
        </w:tc>
        <w:tc>
          <w:tcPr>
            <w:tcW w:w="2010"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水电、消防等设施齐全</w:t>
            </w:r>
          </w:p>
        </w:tc>
        <w:tc>
          <w:tcPr>
            <w:tcW w:w="1935"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水电、消防等设施齐全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装饰装修</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一般装修</w:t>
            </w:r>
          </w:p>
        </w:tc>
        <w:tc>
          <w:tcPr>
            <w:tcW w:w="193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普通装修</w:t>
            </w:r>
          </w:p>
        </w:tc>
        <w:tc>
          <w:tcPr>
            <w:tcW w:w="2010"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普通装修</w:t>
            </w:r>
          </w:p>
        </w:tc>
        <w:tc>
          <w:tcPr>
            <w:tcW w:w="1935"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普通装修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空间布局</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较合理</w:t>
            </w:r>
          </w:p>
        </w:tc>
        <w:tc>
          <w:tcPr>
            <w:tcW w:w="1934" w:type="dxa"/>
            <w:vAlign w:val="center"/>
          </w:tcPr>
          <w:p>
            <w:pPr>
              <w:jc w:val="center"/>
              <w:rPr>
                <w:color w:val="auto"/>
                <w:highlight w:val="none"/>
              </w:rPr>
            </w:pPr>
            <w:r>
              <w:rPr>
                <w:rFonts w:hint="eastAsia" w:ascii="宋体" w:hAnsi="宋体" w:cs="仿宋"/>
                <w:color w:val="auto"/>
                <w:sz w:val="18"/>
                <w:szCs w:val="18"/>
                <w:highlight w:val="none"/>
                <w:lang w:val="zh-CN"/>
              </w:rPr>
              <w:t>较合理</w:t>
            </w:r>
          </w:p>
        </w:tc>
        <w:tc>
          <w:tcPr>
            <w:tcW w:w="2010" w:type="dxa"/>
            <w:vAlign w:val="center"/>
          </w:tcPr>
          <w:p>
            <w:pPr>
              <w:jc w:val="center"/>
              <w:rPr>
                <w:color w:val="auto"/>
                <w:highlight w:val="none"/>
              </w:rPr>
            </w:pPr>
            <w:r>
              <w:rPr>
                <w:rFonts w:hint="eastAsia" w:ascii="宋体" w:hAnsi="宋体" w:cs="仿宋"/>
                <w:color w:val="auto"/>
                <w:sz w:val="18"/>
                <w:szCs w:val="18"/>
                <w:highlight w:val="none"/>
                <w:lang w:val="zh-CN"/>
              </w:rPr>
              <w:t>较合理</w:t>
            </w:r>
          </w:p>
        </w:tc>
        <w:tc>
          <w:tcPr>
            <w:tcW w:w="1935" w:type="dxa"/>
            <w:vAlign w:val="center"/>
          </w:tcPr>
          <w:p>
            <w:pPr>
              <w:jc w:val="center"/>
              <w:rPr>
                <w:color w:val="auto"/>
                <w:highlight w:val="none"/>
              </w:rPr>
            </w:pPr>
            <w:r>
              <w:rPr>
                <w:rFonts w:hint="eastAsia" w:ascii="宋体" w:hAnsi="宋体" w:cs="仿宋"/>
                <w:color w:val="auto"/>
                <w:sz w:val="18"/>
                <w:szCs w:val="18"/>
                <w:highlight w:val="none"/>
                <w:lang w:val="zh-CN"/>
              </w:rPr>
              <w:t>较合理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维护保养</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较差</w:t>
            </w:r>
          </w:p>
        </w:tc>
        <w:tc>
          <w:tcPr>
            <w:tcW w:w="193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一般</w:t>
            </w:r>
          </w:p>
        </w:tc>
        <w:tc>
          <w:tcPr>
            <w:tcW w:w="2010"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一般</w:t>
            </w:r>
          </w:p>
        </w:tc>
        <w:tc>
          <w:tcPr>
            <w:tcW w:w="1935"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完损状况</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基本完好</w:t>
            </w:r>
          </w:p>
        </w:tc>
        <w:tc>
          <w:tcPr>
            <w:tcW w:w="193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基本完好</w:t>
            </w:r>
          </w:p>
        </w:tc>
        <w:tc>
          <w:tcPr>
            <w:tcW w:w="2010"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基本完好</w:t>
            </w:r>
          </w:p>
        </w:tc>
        <w:tc>
          <w:tcPr>
            <w:tcW w:w="1935"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基本完好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429" w:type="dxa"/>
            <w:vMerge w:val="restart"/>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权益状况调整</w:t>
            </w: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权利状况</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较完全产权</w:t>
            </w:r>
          </w:p>
        </w:tc>
        <w:tc>
          <w:tcPr>
            <w:tcW w:w="193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完全产权</w:t>
            </w:r>
          </w:p>
        </w:tc>
        <w:tc>
          <w:tcPr>
            <w:tcW w:w="2010"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完全产权</w:t>
            </w:r>
          </w:p>
        </w:tc>
        <w:tc>
          <w:tcPr>
            <w:tcW w:w="1935"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完全产权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使用管制</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有一定管制</w:t>
            </w:r>
          </w:p>
        </w:tc>
        <w:tc>
          <w:tcPr>
            <w:tcW w:w="193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有一定管制</w:t>
            </w:r>
          </w:p>
        </w:tc>
        <w:tc>
          <w:tcPr>
            <w:tcW w:w="2010"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有一定管制</w:t>
            </w:r>
          </w:p>
        </w:tc>
        <w:tc>
          <w:tcPr>
            <w:tcW w:w="1935"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有一定管制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相邻关系</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有一定限制</w:t>
            </w:r>
          </w:p>
        </w:tc>
        <w:tc>
          <w:tcPr>
            <w:tcW w:w="1934" w:type="dxa"/>
            <w:vAlign w:val="center"/>
          </w:tcPr>
          <w:p>
            <w:pPr>
              <w:jc w:val="center"/>
              <w:rPr>
                <w:color w:val="auto"/>
                <w:highlight w:val="none"/>
              </w:rPr>
            </w:pPr>
            <w:r>
              <w:rPr>
                <w:rFonts w:hint="eastAsia" w:ascii="宋体" w:hAnsi="宋体" w:cs="仿宋"/>
                <w:color w:val="auto"/>
                <w:sz w:val="18"/>
                <w:szCs w:val="18"/>
                <w:highlight w:val="none"/>
                <w:lang w:val="zh-CN"/>
              </w:rPr>
              <w:t>有一定限制</w:t>
            </w:r>
          </w:p>
        </w:tc>
        <w:tc>
          <w:tcPr>
            <w:tcW w:w="2010" w:type="dxa"/>
            <w:vAlign w:val="center"/>
          </w:tcPr>
          <w:p>
            <w:pPr>
              <w:jc w:val="center"/>
              <w:rPr>
                <w:color w:val="auto"/>
                <w:highlight w:val="none"/>
              </w:rPr>
            </w:pPr>
            <w:r>
              <w:rPr>
                <w:rFonts w:hint="eastAsia" w:ascii="宋体" w:hAnsi="宋体" w:cs="仿宋"/>
                <w:color w:val="auto"/>
                <w:sz w:val="18"/>
                <w:szCs w:val="18"/>
                <w:highlight w:val="none"/>
                <w:lang w:val="zh-CN"/>
              </w:rPr>
              <w:t>有一定限制</w:t>
            </w:r>
          </w:p>
        </w:tc>
        <w:tc>
          <w:tcPr>
            <w:tcW w:w="1935" w:type="dxa"/>
            <w:vAlign w:val="center"/>
          </w:tcPr>
          <w:p>
            <w:pPr>
              <w:jc w:val="center"/>
              <w:rPr>
                <w:color w:val="auto"/>
                <w:highlight w:val="none"/>
              </w:rPr>
            </w:pPr>
            <w:r>
              <w:rPr>
                <w:rFonts w:hint="eastAsia" w:ascii="宋体" w:hAnsi="宋体" w:cs="仿宋"/>
                <w:color w:val="auto"/>
                <w:sz w:val="18"/>
                <w:szCs w:val="18"/>
                <w:highlight w:val="none"/>
                <w:lang w:val="zh-CN"/>
              </w:rPr>
              <w:t>有一定限制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086"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物业服务</w:t>
            </w:r>
          </w:p>
        </w:tc>
        <w:tc>
          <w:tcPr>
            <w:tcW w:w="2119"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24小时一般物业服务</w:t>
            </w:r>
          </w:p>
        </w:tc>
        <w:tc>
          <w:tcPr>
            <w:tcW w:w="1934" w:type="dxa"/>
            <w:vAlign w:val="center"/>
          </w:tcPr>
          <w:p>
            <w:pPr>
              <w:adjustRightInd w:val="0"/>
              <w:snapToGrid w:val="0"/>
              <w:spacing w:line="360" w:lineRule="auto"/>
              <w:jc w:val="center"/>
              <w:rPr>
                <w:color w:val="auto"/>
                <w:highlight w:val="none"/>
              </w:rPr>
            </w:pPr>
            <w:r>
              <w:rPr>
                <w:rFonts w:hint="eastAsia" w:ascii="宋体" w:hAnsi="宋体" w:cs="仿宋"/>
                <w:color w:val="auto"/>
                <w:sz w:val="18"/>
                <w:szCs w:val="18"/>
                <w:highlight w:val="none"/>
                <w:lang w:val="zh-CN"/>
              </w:rPr>
              <w:t>24小时一般物业服务</w:t>
            </w:r>
          </w:p>
        </w:tc>
        <w:tc>
          <w:tcPr>
            <w:tcW w:w="2010" w:type="dxa"/>
            <w:vAlign w:val="center"/>
          </w:tcPr>
          <w:p>
            <w:pPr>
              <w:adjustRightInd w:val="0"/>
              <w:snapToGrid w:val="0"/>
              <w:spacing w:line="360" w:lineRule="auto"/>
              <w:jc w:val="center"/>
              <w:rPr>
                <w:color w:val="auto"/>
                <w:highlight w:val="none"/>
              </w:rPr>
            </w:pPr>
            <w:r>
              <w:rPr>
                <w:rFonts w:hint="eastAsia" w:ascii="宋体" w:hAnsi="宋体" w:cs="仿宋"/>
                <w:color w:val="auto"/>
                <w:sz w:val="18"/>
                <w:szCs w:val="18"/>
                <w:highlight w:val="none"/>
                <w:lang w:val="zh-CN"/>
              </w:rPr>
              <w:t>24小时一般物业服务</w:t>
            </w:r>
          </w:p>
        </w:tc>
        <w:tc>
          <w:tcPr>
            <w:tcW w:w="1935" w:type="dxa"/>
            <w:vAlign w:val="center"/>
          </w:tcPr>
          <w:p>
            <w:pPr>
              <w:adjustRightInd w:val="0"/>
              <w:snapToGrid w:val="0"/>
              <w:spacing w:line="360" w:lineRule="auto"/>
              <w:jc w:val="center"/>
              <w:rPr>
                <w:color w:val="auto"/>
                <w:highlight w:val="none"/>
              </w:rPr>
            </w:pPr>
            <w:r>
              <w:rPr>
                <w:rFonts w:hint="eastAsia" w:ascii="宋体" w:hAnsi="宋体" w:cs="仿宋"/>
                <w:color w:val="auto"/>
                <w:sz w:val="18"/>
                <w:szCs w:val="18"/>
                <w:highlight w:val="none"/>
                <w:lang w:val="zh-CN"/>
              </w:rPr>
              <w:t>24小时一般物业服务</w:t>
            </w:r>
          </w:p>
        </w:tc>
      </w:tr>
    </w:tbl>
    <w:p>
      <w:pPr>
        <w:adjustRightInd w:val="0"/>
        <w:snapToGrid w:val="0"/>
        <w:spacing w:line="360" w:lineRule="auto"/>
        <w:ind w:firstLine="560" w:firstLineChars="200"/>
        <w:rPr>
          <w:rFonts w:ascii="宋体" w:hAnsi="宋体" w:cs="仿宋"/>
          <w:bCs/>
          <w:color w:val="auto"/>
          <w:sz w:val="28"/>
          <w:szCs w:val="28"/>
          <w:highlight w:val="none"/>
        </w:rPr>
      </w:pPr>
      <w:r>
        <w:rPr>
          <w:rFonts w:hint="eastAsia" w:ascii="宋体" w:hAnsi="宋体" w:cs="仿宋"/>
          <w:bCs/>
          <w:color w:val="auto"/>
          <w:sz w:val="28"/>
          <w:szCs w:val="28"/>
          <w:highlight w:val="none"/>
        </w:rPr>
        <w:t>4、因素条件说明与分析结果指数表</w:t>
      </w:r>
    </w:p>
    <w:p>
      <w:pPr>
        <w:adjustRightInd w:val="0"/>
        <w:snapToGrid w:val="0"/>
        <w:spacing w:line="360" w:lineRule="auto"/>
        <w:ind w:firstLine="560" w:firstLineChars="200"/>
        <w:rPr>
          <w:rFonts w:ascii="宋体" w:hAnsi="宋体" w:cs="仿宋"/>
          <w:bCs/>
          <w:color w:val="auto"/>
          <w:sz w:val="28"/>
          <w:szCs w:val="28"/>
          <w:highlight w:val="none"/>
        </w:rPr>
      </w:pPr>
      <w:r>
        <w:rPr>
          <w:rFonts w:hint="eastAsia" w:ascii="宋体" w:hAnsi="宋体" w:cs="仿宋"/>
          <w:bCs/>
          <w:color w:val="auto"/>
          <w:sz w:val="28"/>
          <w:szCs w:val="28"/>
          <w:highlight w:val="none"/>
        </w:rPr>
        <w:t>（1）交易情况修正</w:t>
      </w:r>
    </w:p>
    <w:p>
      <w:pPr>
        <w:autoSpaceDE w:val="0"/>
        <w:autoSpaceDN w:val="0"/>
        <w:adjustRightInd w:val="0"/>
        <w:snapToGrid w:val="0"/>
        <w:spacing w:line="360" w:lineRule="auto"/>
        <w:ind w:firstLine="560" w:firstLineChars="200"/>
        <w:rPr>
          <w:rFonts w:ascii="宋体" w:hAnsi="宋体" w:cs="仿宋"/>
          <w:bCs/>
          <w:color w:val="auto"/>
          <w:sz w:val="28"/>
          <w:szCs w:val="28"/>
          <w:highlight w:val="none"/>
        </w:rPr>
      </w:pPr>
      <w:r>
        <w:rPr>
          <w:rFonts w:hint="eastAsia" w:ascii="宋体" w:hAnsi="宋体" w:cs="仿宋"/>
          <w:bCs/>
          <w:color w:val="auto"/>
          <w:sz w:val="28"/>
          <w:szCs w:val="28"/>
          <w:highlight w:val="none"/>
        </w:rPr>
        <w:t>交易情况修正是使可比实例的非正常成交价格成为正常价格的处理。</w:t>
      </w:r>
    </w:p>
    <w:p>
      <w:pPr>
        <w:autoSpaceDE w:val="0"/>
        <w:autoSpaceDN w:val="0"/>
        <w:adjustRightInd w:val="0"/>
        <w:snapToGrid w:val="0"/>
        <w:spacing w:line="360" w:lineRule="auto"/>
        <w:ind w:firstLine="560" w:firstLineChars="200"/>
        <w:rPr>
          <w:rFonts w:hint="default" w:ascii="宋体" w:hAnsi="宋体" w:eastAsia="宋体" w:cs="仿宋"/>
          <w:bCs/>
          <w:color w:val="auto"/>
          <w:sz w:val="28"/>
          <w:szCs w:val="28"/>
          <w:highlight w:val="none"/>
          <w:lang w:val="en-US" w:eastAsia="zh-CN"/>
        </w:rPr>
      </w:pPr>
      <w:r>
        <w:rPr>
          <w:rFonts w:hint="eastAsia" w:ascii="宋体" w:hAnsi="宋体" w:eastAsia="宋体" w:cs="宋体"/>
          <w:sz w:val="28"/>
          <w:szCs w:val="28"/>
        </w:rPr>
        <w:t>本次</w:t>
      </w:r>
      <w:r>
        <w:rPr>
          <w:rFonts w:hint="eastAsia" w:ascii="宋体" w:hAnsi="宋体" w:cs="宋体"/>
          <w:sz w:val="28"/>
          <w:szCs w:val="28"/>
          <w:lang w:eastAsia="zh-CN"/>
        </w:rPr>
        <w:t>是</w:t>
      </w:r>
      <w:r>
        <w:rPr>
          <w:rFonts w:hint="eastAsia" w:ascii="宋体" w:hAnsi="宋体" w:eastAsia="宋体" w:cs="宋体"/>
          <w:sz w:val="28"/>
          <w:szCs w:val="28"/>
        </w:rPr>
        <w:t>评估房地产市场价值，故不作修正</w:t>
      </w:r>
      <w:r>
        <w:rPr>
          <w:rFonts w:hint="eastAsia" w:ascii="宋体" w:hAnsi="宋体" w:cs="仿宋"/>
          <w:bCs/>
          <w:color w:val="auto"/>
          <w:sz w:val="28"/>
          <w:szCs w:val="28"/>
          <w:highlight w:val="none"/>
          <w:lang w:val="en-US" w:eastAsia="zh-CN"/>
        </w:rPr>
        <w:t>。</w:t>
      </w:r>
    </w:p>
    <w:p>
      <w:pPr>
        <w:adjustRightInd w:val="0"/>
        <w:snapToGrid w:val="0"/>
        <w:spacing w:line="360" w:lineRule="auto"/>
        <w:ind w:firstLine="560" w:firstLineChars="200"/>
        <w:rPr>
          <w:rFonts w:ascii="宋体" w:hAnsi="宋体" w:cs="仿宋"/>
          <w:bCs/>
          <w:color w:val="auto"/>
          <w:sz w:val="28"/>
          <w:szCs w:val="28"/>
          <w:highlight w:val="none"/>
        </w:rPr>
      </w:pPr>
      <w:r>
        <w:rPr>
          <w:rFonts w:hint="eastAsia" w:ascii="宋体" w:hAnsi="宋体" w:cs="仿宋"/>
          <w:bCs/>
          <w:color w:val="auto"/>
          <w:sz w:val="28"/>
          <w:szCs w:val="28"/>
          <w:highlight w:val="none"/>
        </w:rPr>
        <w:t>（2）市场状况调整</w:t>
      </w:r>
    </w:p>
    <w:p>
      <w:pPr>
        <w:adjustRightInd w:val="0"/>
        <w:snapToGrid w:val="0"/>
        <w:spacing w:line="360" w:lineRule="auto"/>
        <w:ind w:firstLine="560" w:firstLineChars="200"/>
        <w:contextualSpacing/>
        <w:rPr>
          <w:rFonts w:ascii="宋体" w:hAnsi="宋体" w:cs="宋体"/>
          <w:color w:val="auto"/>
          <w:sz w:val="28"/>
          <w:szCs w:val="28"/>
          <w:highlight w:val="none"/>
        </w:rPr>
      </w:pPr>
      <w:r>
        <w:rPr>
          <w:rFonts w:hint="eastAsia" w:ascii="宋体" w:hAnsi="宋体" w:cs="宋体"/>
          <w:color w:val="auto"/>
          <w:sz w:val="28"/>
          <w:szCs w:val="28"/>
          <w:highlight w:val="none"/>
        </w:rPr>
        <w:t>市场状况调整也称为交易日期调整，是使可比实例在其成交日期的价格成为在价值时点的价格的处理。</w:t>
      </w:r>
    </w:p>
    <w:p>
      <w:pPr>
        <w:adjustRightInd w:val="0"/>
        <w:snapToGrid w:val="0"/>
        <w:spacing w:line="360" w:lineRule="auto"/>
        <w:ind w:firstLine="560" w:firstLineChars="200"/>
        <w:contextualSpacing/>
        <w:rPr>
          <w:rFonts w:ascii="宋体" w:hAnsi="宋体" w:cs="宋体"/>
          <w:color w:val="auto"/>
          <w:kern w:val="0"/>
          <w:sz w:val="28"/>
          <w:szCs w:val="28"/>
          <w:highlight w:val="none"/>
        </w:rPr>
      </w:pPr>
      <w:r>
        <w:rPr>
          <w:rFonts w:hint="eastAsia" w:ascii="宋体" w:hAnsi="宋体" w:cs="宋体"/>
          <w:color w:val="auto"/>
          <w:sz w:val="28"/>
          <w:szCs w:val="28"/>
          <w:highlight w:val="none"/>
        </w:rPr>
        <w:t>交易日期：以201</w:t>
      </w:r>
      <w:r>
        <w:rPr>
          <w:rFonts w:hint="eastAsia" w:ascii="宋体" w:hAnsi="宋体" w:cs="宋体"/>
          <w:color w:val="auto"/>
          <w:sz w:val="28"/>
          <w:szCs w:val="28"/>
          <w:highlight w:val="none"/>
          <w:lang w:val="en-US" w:eastAsia="zh-CN"/>
        </w:rPr>
        <w:t>8</w:t>
      </w:r>
      <w:r>
        <w:rPr>
          <w:rFonts w:hint="eastAsia" w:ascii="宋体" w:hAnsi="宋体" w:cs="宋体"/>
          <w:color w:val="auto"/>
          <w:sz w:val="28"/>
          <w:szCs w:val="28"/>
          <w:highlight w:val="none"/>
        </w:rPr>
        <w:t>年1月为基期，编制</w:t>
      </w:r>
      <w:r>
        <w:rPr>
          <w:rFonts w:hint="eastAsia" w:ascii="宋体" w:hAnsi="宋体" w:cs="宋体"/>
          <w:color w:val="auto"/>
          <w:sz w:val="28"/>
          <w:szCs w:val="28"/>
          <w:highlight w:val="none"/>
          <w:lang w:eastAsia="zh-CN"/>
        </w:rPr>
        <w:t>丘北县</w:t>
      </w:r>
      <w:r>
        <w:rPr>
          <w:rFonts w:hint="eastAsia" w:ascii="宋体" w:hAnsi="宋体" w:cs="宋体"/>
          <w:color w:val="auto"/>
          <w:sz w:val="28"/>
          <w:szCs w:val="28"/>
          <w:highlight w:val="none"/>
        </w:rPr>
        <w:t>房地产市场价格指数表，按指数表计交易日期修正系数</w:t>
      </w:r>
      <w:r>
        <w:rPr>
          <w:rFonts w:hint="eastAsia" w:ascii="宋体" w:hAnsi="宋体" w:cs="宋体"/>
          <w:color w:val="auto"/>
          <w:kern w:val="0"/>
          <w:sz w:val="28"/>
          <w:szCs w:val="28"/>
          <w:highlight w:val="none"/>
        </w:rPr>
        <w:t>；</w:t>
      </w:r>
    </w:p>
    <w:p>
      <w:pPr>
        <w:snapToGrid w:val="0"/>
        <w:spacing w:line="360" w:lineRule="auto"/>
        <w:ind w:firstLine="560" w:firstLineChars="200"/>
        <w:contextualSpacing/>
        <w:rPr>
          <w:rFonts w:ascii="宋体" w:hAnsi="宋体" w:cs="宋体"/>
          <w:color w:val="auto"/>
          <w:sz w:val="28"/>
          <w:szCs w:val="28"/>
          <w:highlight w:val="none"/>
        </w:rPr>
      </w:pPr>
      <w:r>
        <w:rPr>
          <w:rFonts w:hint="eastAsia" w:ascii="宋体" w:hAnsi="宋体" w:cs="宋体"/>
          <w:color w:val="auto"/>
          <w:sz w:val="28"/>
          <w:szCs w:val="28"/>
          <w:highlight w:val="none"/>
        </w:rPr>
        <w:t>编制</w:t>
      </w:r>
      <w:r>
        <w:rPr>
          <w:rFonts w:hint="eastAsia" w:ascii="宋体" w:hAnsi="宋体" w:cs="宋体"/>
          <w:color w:val="auto"/>
          <w:sz w:val="28"/>
          <w:szCs w:val="28"/>
          <w:highlight w:val="none"/>
          <w:lang w:eastAsia="zh-CN"/>
        </w:rPr>
        <w:t>丘北县</w:t>
      </w:r>
      <w:r>
        <w:rPr>
          <w:rFonts w:hint="eastAsia" w:ascii="宋体" w:hAnsi="宋体" w:cs="宋体"/>
          <w:color w:val="auto"/>
          <w:sz w:val="28"/>
          <w:szCs w:val="28"/>
          <w:highlight w:val="none"/>
        </w:rPr>
        <w:t>房地产市场价格指数表：根据调查</w:t>
      </w:r>
      <w:r>
        <w:rPr>
          <w:rFonts w:hint="eastAsia" w:ascii="宋体" w:hAnsi="宋体" w:cs="宋体"/>
          <w:color w:val="auto"/>
          <w:sz w:val="28"/>
          <w:szCs w:val="28"/>
          <w:highlight w:val="none"/>
          <w:lang w:eastAsia="zh-CN"/>
        </w:rPr>
        <w:t>丘北县</w:t>
      </w:r>
      <w:r>
        <w:rPr>
          <w:rFonts w:hint="eastAsia" w:ascii="宋体" w:hAnsi="宋体" w:cs="宋体"/>
          <w:color w:val="auto"/>
          <w:sz w:val="28"/>
          <w:szCs w:val="28"/>
          <w:highlight w:val="none"/>
        </w:rPr>
        <w:t>一段时期内房地产市场的变化，以201</w:t>
      </w:r>
      <w:r>
        <w:rPr>
          <w:rFonts w:hint="eastAsia" w:ascii="宋体" w:hAnsi="宋体" w:cs="宋体"/>
          <w:color w:val="auto"/>
          <w:sz w:val="28"/>
          <w:szCs w:val="28"/>
          <w:highlight w:val="none"/>
          <w:lang w:val="en-US" w:eastAsia="zh-CN"/>
        </w:rPr>
        <w:t>8</w:t>
      </w:r>
      <w:r>
        <w:rPr>
          <w:rFonts w:hint="eastAsia" w:ascii="宋体" w:hAnsi="宋体" w:cs="宋体"/>
          <w:color w:val="auto"/>
          <w:sz w:val="28"/>
          <w:szCs w:val="28"/>
          <w:highlight w:val="none"/>
        </w:rPr>
        <w:t>年1月1日为基期，住宅房地产平均每月上涨幅度0.</w:t>
      </w:r>
      <w:r>
        <w:rPr>
          <w:rFonts w:hint="eastAsia" w:ascii="宋体" w:hAnsi="宋体" w:cs="宋体"/>
          <w:color w:val="auto"/>
          <w:sz w:val="28"/>
          <w:szCs w:val="28"/>
          <w:highlight w:val="none"/>
          <w:lang w:val="en-US" w:eastAsia="zh-CN"/>
        </w:rPr>
        <w:t>4</w:t>
      </w:r>
      <w:r>
        <w:rPr>
          <w:rFonts w:hint="eastAsia" w:ascii="宋体" w:hAnsi="宋体" w:cs="宋体"/>
          <w:color w:val="auto"/>
          <w:sz w:val="28"/>
          <w:szCs w:val="28"/>
          <w:highlight w:val="none"/>
        </w:rPr>
        <w:t>%。将201</w:t>
      </w:r>
      <w:r>
        <w:rPr>
          <w:rFonts w:hint="eastAsia" w:ascii="宋体" w:hAnsi="宋体" w:cs="宋体"/>
          <w:color w:val="auto"/>
          <w:sz w:val="28"/>
          <w:szCs w:val="28"/>
          <w:highlight w:val="none"/>
          <w:lang w:val="en-US" w:eastAsia="zh-CN"/>
        </w:rPr>
        <w:t>8</w:t>
      </w:r>
      <w:r>
        <w:rPr>
          <w:rFonts w:hint="eastAsia" w:ascii="宋体" w:hAnsi="宋体" w:cs="宋体"/>
          <w:color w:val="auto"/>
          <w:sz w:val="28"/>
          <w:szCs w:val="28"/>
          <w:highlight w:val="none"/>
        </w:rPr>
        <w:t>年1月1日的房地产价格指数定为100，则住宅房地产价格指数见下表：</w:t>
      </w:r>
    </w:p>
    <w:p>
      <w:pPr>
        <w:snapToGrid w:val="0"/>
        <w:spacing w:line="360" w:lineRule="auto"/>
        <w:contextualSpacing/>
        <w:jc w:val="center"/>
        <w:rPr>
          <w:rFonts w:ascii="宋体" w:hAnsi="宋体" w:cs="宋体"/>
          <w:b/>
          <w:color w:val="auto"/>
          <w:sz w:val="28"/>
          <w:szCs w:val="28"/>
          <w:highlight w:val="none"/>
        </w:rPr>
      </w:pPr>
      <w:r>
        <w:rPr>
          <w:rFonts w:hint="eastAsia" w:ascii="宋体" w:hAnsi="宋体" w:cs="宋体"/>
          <w:b/>
          <w:color w:val="auto"/>
          <w:sz w:val="28"/>
          <w:szCs w:val="28"/>
          <w:highlight w:val="none"/>
        </w:rPr>
        <w:t>文山住宅房地产价格指数表</w:t>
      </w:r>
    </w:p>
    <w:tbl>
      <w:tblPr>
        <w:tblStyle w:val="19"/>
        <w:tblW w:w="9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600"/>
        <w:gridCol w:w="1600"/>
        <w:gridCol w:w="1600"/>
        <w:gridCol w:w="1600"/>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76" w:type="dxa"/>
            <w:vAlign w:val="center"/>
          </w:tcPr>
          <w:p>
            <w:pPr>
              <w:snapToGrid w:val="0"/>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年度</w:t>
            </w:r>
          </w:p>
        </w:tc>
        <w:tc>
          <w:tcPr>
            <w:tcW w:w="1600" w:type="dxa"/>
            <w:vAlign w:val="center"/>
          </w:tcPr>
          <w:p>
            <w:pPr>
              <w:snapToGrid w:val="0"/>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201</w:t>
            </w:r>
            <w:r>
              <w:rPr>
                <w:rFonts w:hint="eastAsia" w:ascii="宋体" w:hAnsi="宋体" w:cs="宋体"/>
                <w:color w:val="auto"/>
                <w:sz w:val="18"/>
                <w:szCs w:val="18"/>
                <w:highlight w:val="none"/>
                <w:lang w:val="en-US" w:eastAsia="zh-CN"/>
              </w:rPr>
              <w:t>8</w:t>
            </w:r>
            <w:r>
              <w:rPr>
                <w:rFonts w:hint="eastAsia" w:ascii="宋体" w:hAnsi="宋体" w:cs="宋体"/>
                <w:color w:val="auto"/>
                <w:sz w:val="18"/>
                <w:szCs w:val="18"/>
                <w:highlight w:val="none"/>
              </w:rPr>
              <w:t>年1月</w:t>
            </w:r>
          </w:p>
        </w:tc>
        <w:tc>
          <w:tcPr>
            <w:tcW w:w="1600" w:type="dxa"/>
            <w:vAlign w:val="center"/>
          </w:tcPr>
          <w:p>
            <w:pPr>
              <w:snapToGrid w:val="0"/>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2018年</w:t>
            </w:r>
            <w:r>
              <w:rPr>
                <w:rFonts w:hint="eastAsia" w:ascii="宋体" w:hAnsi="宋体" w:cs="宋体"/>
                <w:color w:val="auto"/>
                <w:sz w:val="18"/>
                <w:szCs w:val="18"/>
                <w:highlight w:val="none"/>
                <w:lang w:val="en-US" w:eastAsia="zh-CN"/>
              </w:rPr>
              <w:t>11</w:t>
            </w:r>
            <w:r>
              <w:rPr>
                <w:rFonts w:hint="eastAsia" w:ascii="宋体" w:hAnsi="宋体" w:cs="宋体"/>
                <w:color w:val="auto"/>
                <w:sz w:val="18"/>
                <w:szCs w:val="18"/>
                <w:highlight w:val="none"/>
              </w:rPr>
              <w:t>月</w:t>
            </w:r>
          </w:p>
        </w:tc>
        <w:tc>
          <w:tcPr>
            <w:tcW w:w="1600" w:type="dxa"/>
            <w:vAlign w:val="center"/>
          </w:tcPr>
          <w:p>
            <w:pPr>
              <w:snapToGrid w:val="0"/>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201</w:t>
            </w:r>
            <w:r>
              <w:rPr>
                <w:rFonts w:hint="eastAsia" w:ascii="宋体" w:hAnsi="宋体" w:cs="宋体"/>
                <w:color w:val="auto"/>
                <w:sz w:val="18"/>
                <w:szCs w:val="18"/>
                <w:highlight w:val="none"/>
                <w:lang w:val="en-US" w:eastAsia="zh-CN"/>
              </w:rPr>
              <w:t>8</w:t>
            </w:r>
            <w:r>
              <w:rPr>
                <w:rFonts w:hint="eastAsia" w:ascii="宋体" w:hAnsi="宋体" w:cs="宋体"/>
                <w:color w:val="auto"/>
                <w:sz w:val="18"/>
                <w:szCs w:val="18"/>
                <w:highlight w:val="none"/>
              </w:rPr>
              <w:t>年</w:t>
            </w:r>
            <w:r>
              <w:rPr>
                <w:rFonts w:hint="eastAsia" w:ascii="宋体" w:hAnsi="宋体" w:cs="宋体"/>
                <w:color w:val="auto"/>
                <w:sz w:val="18"/>
                <w:szCs w:val="18"/>
                <w:highlight w:val="none"/>
                <w:lang w:val="en-US" w:eastAsia="zh-CN"/>
              </w:rPr>
              <w:t>12</w:t>
            </w:r>
            <w:r>
              <w:rPr>
                <w:rFonts w:hint="eastAsia" w:ascii="宋体" w:hAnsi="宋体" w:cs="宋体"/>
                <w:color w:val="auto"/>
                <w:sz w:val="18"/>
                <w:szCs w:val="18"/>
                <w:highlight w:val="none"/>
              </w:rPr>
              <w:t>月</w:t>
            </w:r>
          </w:p>
        </w:tc>
        <w:tc>
          <w:tcPr>
            <w:tcW w:w="1600" w:type="dxa"/>
            <w:vAlign w:val="center"/>
          </w:tcPr>
          <w:p>
            <w:pPr>
              <w:snapToGrid w:val="0"/>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2019年</w:t>
            </w:r>
            <w:r>
              <w:rPr>
                <w:rFonts w:hint="eastAsia" w:ascii="宋体" w:hAnsi="宋体" w:cs="宋体"/>
                <w:color w:val="auto"/>
                <w:sz w:val="18"/>
                <w:szCs w:val="18"/>
                <w:highlight w:val="none"/>
                <w:lang w:val="en-US" w:eastAsia="zh-CN"/>
              </w:rPr>
              <w:t>3</w:t>
            </w:r>
            <w:r>
              <w:rPr>
                <w:rFonts w:hint="eastAsia" w:ascii="宋体" w:hAnsi="宋体" w:cs="宋体"/>
                <w:color w:val="auto"/>
                <w:sz w:val="18"/>
                <w:szCs w:val="18"/>
                <w:highlight w:val="none"/>
              </w:rPr>
              <w:t>月</w:t>
            </w:r>
          </w:p>
        </w:tc>
        <w:tc>
          <w:tcPr>
            <w:tcW w:w="1600" w:type="dxa"/>
            <w:vAlign w:val="center"/>
          </w:tcPr>
          <w:p>
            <w:pPr>
              <w:snapToGrid w:val="0"/>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20</w:t>
            </w:r>
            <w:r>
              <w:rPr>
                <w:rFonts w:hint="eastAsia" w:ascii="宋体" w:hAnsi="宋体" w:cs="宋体"/>
                <w:color w:val="auto"/>
                <w:sz w:val="18"/>
                <w:szCs w:val="18"/>
                <w:highlight w:val="none"/>
                <w:lang w:val="en-US" w:eastAsia="zh-CN"/>
              </w:rPr>
              <w:t>20</w:t>
            </w:r>
            <w:r>
              <w:rPr>
                <w:rFonts w:hint="eastAsia" w:ascii="宋体" w:hAnsi="宋体" w:cs="宋体"/>
                <w:color w:val="auto"/>
                <w:sz w:val="18"/>
                <w:szCs w:val="18"/>
                <w:highlight w:val="none"/>
              </w:rPr>
              <w:t>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76" w:type="dxa"/>
            <w:vAlign w:val="center"/>
          </w:tcPr>
          <w:p>
            <w:pPr>
              <w:snapToGrid w:val="0"/>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房地产指数</w:t>
            </w:r>
          </w:p>
        </w:tc>
        <w:tc>
          <w:tcPr>
            <w:tcW w:w="1600" w:type="dxa"/>
            <w:vAlign w:val="center"/>
          </w:tcPr>
          <w:p>
            <w:pPr>
              <w:snapToGrid w:val="0"/>
              <w:spacing w:line="36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100</w:t>
            </w:r>
          </w:p>
        </w:tc>
        <w:tc>
          <w:tcPr>
            <w:tcW w:w="1600" w:type="dxa"/>
            <w:vAlign w:val="center"/>
          </w:tcPr>
          <w:p>
            <w:pPr>
              <w:snapToGrid w:val="0"/>
              <w:spacing w:line="36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rPr>
              <w:t>1</w:t>
            </w:r>
            <w:r>
              <w:rPr>
                <w:rFonts w:hint="eastAsia" w:ascii="宋体" w:hAnsi="宋体" w:cs="宋体"/>
                <w:color w:val="auto"/>
                <w:sz w:val="18"/>
                <w:szCs w:val="18"/>
                <w:highlight w:val="none"/>
                <w:lang w:val="en-US" w:eastAsia="zh-CN"/>
              </w:rPr>
              <w:t>04.0</w:t>
            </w:r>
          </w:p>
        </w:tc>
        <w:tc>
          <w:tcPr>
            <w:tcW w:w="1600" w:type="dxa"/>
            <w:vAlign w:val="center"/>
          </w:tcPr>
          <w:p>
            <w:pPr>
              <w:snapToGrid w:val="0"/>
              <w:spacing w:line="36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rPr>
              <w:t>1</w:t>
            </w:r>
            <w:r>
              <w:rPr>
                <w:rFonts w:hint="eastAsia" w:ascii="宋体" w:hAnsi="宋体" w:cs="宋体"/>
                <w:color w:val="auto"/>
                <w:sz w:val="18"/>
                <w:szCs w:val="18"/>
                <w:highlight w:val="none"/>
                <w:lang w:val="en-US" w:eastAsia="zh-CN"/>
              </w:rPr>
              <w:t>04.4</w:t>
            </w:r>
          </w:p>
        </w:tc>
        <w:tc>
          <w:tcPr>
            <w:tcW w:w="1600" w:type="dxa"/>
            <w:vAlign w:val="center"/>
          </w:tcPr>
          <w:p>
            <w:pPr>
              <w:snapToGrid w:val="0"/>
              <w:spacing w:line="36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rPr>
              <w:t>1</w:t>
            </w:r>
            <w:r>
              <w:rPr>
                <w:rFonts w:hint="eastAsia" w:ascii="宋体" w:hAnsi="宋体" w:cs="宋体"/>
                <w:color w:val="auto"/>
                <w:sz w:val="18"/>
                <w:szCs w:val="18"/>
                <w:highlight w:val="none"/>
                <w:lang w:val="en-US" w:eastAsia="zh-CN"/>
              </w:rPr>
              <w:t>05.6</w:t>
            </w:r>
          </w:p>
        </w:tc>
        <w:tc>
          <w:tcPr>
            <w:tcW w:w="1600" w:type="dxa"/>
            <w:vAlign w:val="center"/>
          </w:tcPr>
          <w:p>
            <w:pPr>
              <w:snapToGrid w:val="0"/>
              <w:spacing w:line="36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rPr>
              <w:t>1</w:t>
            </w:r>
            <w:r>
              <w:rPr>
                <w:rFonts w:hint="eastAsia" w:ascii="宋体" w:hAnsi="宋体" w:cs="宋体"/>
                <w:color w:val="auto"/>
                <w:sz w:val="18"/>
                <w:szCs w:val="18"/>
                <w:highlight w:val="none"/>
                <w:lang w:val="en-US" w:eastAsia="zh-CN"/>
              </w:rPr>
              <w:t>09.6</w:t>
            </w:r>
          </w:p>
        </w:tc>
      </w:tr>
    </w:tbl>
    <w:p>
      <w:pPr>
        <w:snapToGrid w:val="0"/>
        <w:spacing w:line="360" w:lineRule="auto"/>
        <w:ind w:firstLine="600"/>
        <w:rPr>
          <w:rFonts w:ascii="宋体" w:hAnsi="宋体" w:cs="宋体"/>
          <w:color w:val="auto"/>
          <w:sz w:val="28"/>
          <w:szCs w:val="28"/>
          <w:highlight w:val="none"/>
        </w:rPr>
      </w:pPr>
      <w:r>
        <w:rPr>
          <w:rFonts w:hint="eastAsia" w:ascii="宋体" w:hAnsi="宋体" w:cs="宋体"/>
          <w:color w:val="auto"/>
          <w:sz w:val="28"/>
          <w:szCs w:val="28"/>
          <w:highlight w:val="none"/>
        </w:rPr>
        <w:t>期日修正系数</w:t>
      </w:r>
      <w:r>
        <w:rPr>
          <w:rFonts w:hint="eastAsia" w:ascii="宋体" w:hAnsi="宋体" w:cs="宋体"/>
          <w:color w:val="auto"/>
          <w:position w:val="-26"/>
          <w:sz w:val="28"/>
          <w:szCs w:val="28"/>
          <w:highlight w:val="none"/>
        </w:rPr>
        <w:object>
          <v:shape id="_x0000_i1025" o:spt="75" type="#_x0000_t75" style="height:32.35pt;width:243.1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p>
    <w:p>
      <w:pPr>
        <w:adjustRightInd w:val="0"/>
        <w:snapToGrid w:val="0"/>
        <w:spacing w:line="360" w:lineRule="auto"/>
        <w:ind w:firstLine="560" w:firstLineChars="200"/>
        <w:rPr>
          <w:rFonts w:ascii="宋体" w:hAnsi="宋体" w:cs="仿宋"/>
          <w:bCs/>
          <w:color w:val="auto"/>
          <w:sz w:val="28"/>
          <w:szCs w:val="28"/>
          <w:highlight w:val="none"/>
        </w:rPr>
      </w:pPr>
      <w:r>
        <w:rPr>
          <w:rFonts w:hint="eastAsia" w:ascii="宋体" w:hAnsi="宋体" w:cs="仿宋"/>
          <w:bCs/>
          <w:color w:val="auto"/>
          <w:sz w:val="28"/>
          <w:szCs w:val="28"/>
          <w:highlight w:val="none"/>
        </w:rPr>
        <w:t>（3）房地产状况调整</w:t>
      </w:r>
    </w:p>
    <w:p>
      <w:pPr>
        <w:autoSpaceDE w:val="0"/>
        <w:autoSpaceDN w:val="0"/>
        <w:adjustRightInd w:val="0"/>
        <w:snapToGrid w:val="0"/>
        <w:spacing w:line="360" w:lineRule="auto"/>
        <w:ind w:firstLine="560" w:firstLineChars="200"/>
        <w:rPr>
          <w:rFonts w:ascii="宋体" w:hAnsi="宋体" w:cs="仿宋"/>
          <w:bCs/>
          <w:color w:val="auto"/>
          <w:sz w:val="28"/>
          <w:szCs w:val="28"/>
          <w:highlight w:val="none"/>
        </w:rPr>
      </w:pPr>
      <w:r>
        <w:rPr>
          <w:rFonts w:hint="eastAsia" w:ascii="宋体" w:hAnsi="宋体" w:cs="仿宋"/>
          <w:bCs/>
          <w:color w:val="auto"/>
          <w:sz w:val="28"/>
          <w:szCs w:val="28"/>
          <w:highlight w:val="none"/>
        </w:rPr>
        <w:t>房地产状况调整是使可比实例在自身状况下的价格成为在估价对象状况下的价格的处理。</w:t>
      </w:r>
    </w:p>
    <w:p>
      <w:pPr>
        <w:autoSpaceDE w:val="0"/>
        <w:autoSpaceDN w:val="0"/>
        <w:adjustRightInd w:val="0"/>
        <w:snapToGrid w:val="0"/>
        <w:spacing w:line="360" w:lineRule="auto"/>
        <w:ind w:firstLine="560" w:firstLineChars="200"/>
        <w:rPr>
          <w:rFonts w:ascii="宋体" w:hAnsi="宋体" w:cs="仿宋"/>
          <w:bCs/>
          <w:color w:val="auto"/>
          <w:sz w:val="28"/>
          <w:szCs w:val="28"/>
          <w:highlight w:val="none"/>
        </w:rPr>
      </w:pPr>
      <w:r>
        <w:rPr>
          <w:rFonts w:hint="eastAsia" w:ascii="宋体" w:hAnsi="宋体" w:cs="仿宋"/>
          <w:bCs/>
          <w:color w:val="auto"/>
          <w:sz w:val="28"/>
          <w:szCs w:val="28"/>
          <w:highlight w:val="none"/>
        </w:rPr>
        <w:t>以估价对象条件为基准100，各可比实例分别与估价对象的区位、实物、权益状况中的每个子项因素进行比较，比估价对象好的调整值为“+”，反之为“-”，相似（相同）为“0”，得出各可比实例的房地产调整系数；房地产调整采用百分比调整。</w:t>
      </w:r>
    </w:p>
    <w:p>
      <w:pPr>
        <w:snapToGrid w:val="0"/>
        <w:spacing w:line="360" w:lineRule="auto"/>
        <w:ind w:firstLine="560" w:firstLineChars="200"/>
        <w:rPr>
          <w:rFonts w:ascii="宋体" w:hAnsi="宋体" w:cs="仿宋"/>
          <w:bCs/>
          <w:color w:val="auto"/>
          <w:sz w:val="28"/>
          <w:szCs w:val="28"/>
          <w:highlight w:val="none"/>
        </w:rPr>
      </w:pPr>
      <w:r>
        <w:rPr>
          <w:rFonts w:hint="eastAsia" w:ascii="宋体" w:hAnsi="宋体" w:cs="仿宋"/>
          <w:bCs/>
          <w:color w:val="auto"/>
          <w:sz w:val="28"/>
          <w:szCs w:val="28"/>
          <w:highlight w:val="none"/>
        </w:rPr>
        <w:t>A、位置：按位置分为城市中心区、距城市中心一段距离、远离城市中心三个等级，以待估宗地条件指数为100，</w:t>
      </w:r>
      <w:r>
        <w:rPr>
          <w:rFonts w:hint="eastAsia" w:ascii="宋体" w:hAnsi="宋体" w:cs="仿宋"/>
          <w:color w:val="auto"/>
          <w:sz w:val="28"/>
          <w:szCs w:val="28"/>
          <w:highlight w:val="none"/>
          <w:lang w:eastAsia="zh-CN"/>
        </w:rPr>
        <w:t>每相差一个等级，指数相应修正</w:t>
      </w:r>
      <w:r>
        <w:rPr>
          <w:rFonts w:hint="eastAsia" w:ascii="宋体" w:hAnsi="宋体" w:cs="仿宋"/>
          <w:color w:val="auto"/>
          <w:sz w:val="28"/>
          <w:szCs w:val="28"/>
          <w:highlight w:val="none"/>
          <w:lang w:val="en-US" w:eastAsia="zh-CN"/>
        </w:rPr>
        <w:t>2%</w:t>
      </w:r>
      <w:r>
        <w:rPr>
          <w:rFonts w:hint="eastAsia" w:ascii="宋体" w:hAnsi="宋体" w:cs="仿宋"/>
          <w:color w:val="auto"/>
          <w:sz w:val="28"/>
          <w:szCs w:val="28"/>
          <w:highlight w:val="none"/>
        </w:rPr>
        <w:t>；</w:t>
      </w:r>
    </w:p>
    <w:p>
      <w:pPr>
        <w:adjustRightInd w:val="0"/>
        <w:snapToGrid w:val="0"/>
        <w:spacing w:line="360" w:lineRule="auto"/>
        <w:ind w:firstLine="560" w:firstLineChars="200"/>
        <w:contextualSpacing/>
        <w:rPr>
          <w:rFonts w:ascii="宋体" w:hAnsi="宋体" w:cs="宋体"/>
          <w:color w:val="auto"/>
          <w:sz w:val="28"/>
          <w:szCs w:val="28"/>
          <w:highlight w:val="none"/>
        </w:rPr>
      </w:pPr>
      <w:r>
        <w:rPr>
          <w:rFonts w:hint="eastAsia" w:ascii="宋体" w:hAnsi="宋体" w:cs="仿宋"/>
          <w:color w:val="auto"/>
          <w:sz w:val="28"/>
          <w:szCs w:val="28"/>
          <w:highlight w:val="none"/>
        </w:rPr>
        <w:t>B、</w:t>
      </w:r>
      <w:r>
        <w:rPr>
          <w:rFonts w:hint="eastAsia" w:ascii="宋体" w:hAnsi="宋体" w:cs="宋体"/>
          <w:color w:val="auto"/>
          <w:sz w:val="28"/>
          <w:szCs w:val="28"/>
          <w:highlight w:val="none"/>
        </w:rPr>
        <w:t>朝向：分为优（朝南）、较优（朝东、朝东南）、一般（不知）、较差（朝西南、朝东北）、差（朝西、朝北）五个等级，每相差一个等级，指数相应修正0.5%；</w:t>
      </w:r>
    </w:p>
    <w:p>
      <w:pPr>
        <w:snapToGrid w:val="0"/>
        <w:spacing w:line="360" w:lineRule="auto"/>
        <w:ind w:firstLine="560" w:firstLineChars="200"/>
        <w:rPr>
          <w:rFonts w:hint="eastAsia" w:ascii="宋体" w:hAnsi="宋体" w:eastAsia="宋体" w:cs="宋体"/>
          <w:sz w:val="28"/>
          <w:szCs w:val="28"/>
        </w:rPr>
      </w:pPr>
      <w:r>
        <w:rPr>
          <w:rFonts w:hint="eastAsia" w:ascii="宋体" w:hAnsi="宋体" w:cs="宋体"/>
          <w:color w:val="auto"/>
          <w:sz w:val="28"/>
          <w:szCs w:val="28"/>
          <w:highlight w:val="none"/>
        </w:rPr>
        <w:t>C、楼层：</w:t>
      </w:r>
      <w:r>
        <w:rPr>
          <w:rFonts w:hint="eastAsia" w:ascii="宋体" w:hAnsi="宋体" w:eastAsia="宋体" w:cs="宋体"/>
          <w:sz w:val="28"/>
          <w:szCs w:val="28"/>
        </w:rPr>
        <w:t>附房屋层次因素修正系数表</w:t>
      </w:r>
    </w:p>
    <w:tbl>
      <w:tblPr>
        <w:tblStyle w:val="19"/>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992"/>
        <w:gridCol w:w="761"/>
        <w:gridCol w:w="762"/>
        <w:gridCol w:w="762"/>
        <w:gridCol w:w="762"/>
        <w:gridCol w:w="762"/>
        <w:gridCol w:w="762"/>
        <w:gridCol w:w="762"/>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2235"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pict>
                <v:group id="__TH_G22小六100" o:spid="_x0000_s1057" o:spt="203" style="position:absolute;left:0pt;margin-left:-5.15pt;margin-top:0pt;height:63.55pt;width:111.25pt;z-index:252485632;mso-width-relative:page;mso-height-relative:page;" coordorigin="1201,12563" coordsize="2225,1271">
                  <o:lock v:ext="edit"/>
                  <v:line id="__TH_L87" o:spid="_x0000_s1058" o:spt="20" style="position:absolute;left:2313;top:12563;height:1271;width:1113;" stroked="t" coordsize="21600,21600">
                    <v:path arrowok="t"/>
                    <v:fill focussize="0,0"/>
                    <v:stroke weight="0.5pt"/>
                    <v:imagedata o:title=""/>
                    <o:lock v:ext="edit"/>
                  </v:line>
                  <v:line id="__TH_L88" o:spid="_x0000_s1059" o:spt="20" style="position:absolute;left:1201;top:13198;height:636;width:2225;" stroked="t" coordsize="21600,21600">
                    <v:path arrowok="t"/>
                    <v:fill focussize="0,0"/>
                    <v:stroke weight="0.5pt"/>
                    <v:imagedata o:title=""/>
                    <o:lock v:ext="edit"/>
                  </v:line>
                  <v:shape id="__TH_B1189" o:spid="_x0000_s1060" o:spt="202" type="#_x0000_t202" style="position:absolute;left:2947;top:12795;height:163;width:153;" filled="f" stroked="f" coordsize="21600,21600">
                    <v:path/>
                    <v:fill on="f" focussize="0,0"/>
                    <v:stroke on="f"/>
                    <v:imagedata o:title=""/>
                    <o:lock v:ext="edit"/>
                    <v:textbox inset="0mm,0mm,0mm,0mm">
                      <w:txbxContent>
                        <w:p>
                          <w:pPr>
                            <w:snapToGrid w:val="0"/>
                            <w:rPr>
                              <w:sz w:val="13"/>
                            </w:rPr>
                          </w:pPr>
                          <w:r>
                            <w:rPr>
                              <w:rFonts w:hint="eastAsia"/>
                              <w:sz w:val="13"/>
                            </w:rPr>
                            <w:t>总</w:t>
                          </w:r>
                        </w:p>
                      </w:txbxContent>
                    </v:textbox>
                  </v:shape>
                  <v:shape id="__TH_B1290" o:spid="_x0000_s1061" o:spt="202" type="#_x0000_t202" style="position:absolute;left:3165;top:13293;height:162;width:152;" filled="f" stroked="f" coordsize="21600,21600">
                    <v:path/>
                    <v:fill on="f" focussize="0,0"/>
                    <v:stroke on="f"/>
                    <v:imagedata o:title=""/>
                    <o:lock v:ext="edit"/>
                    <v:textbox inset="0mm,0mm,0mm,0mm">
                      <w:txbxContent>
                        <w:p>
                          <w:pPr>
                            <w:snapToGrid w:val="0"/>
                            <w:rPr>
                              <w:sz w:val="13"/>
                            </w:rPr>
                          </w:pPr>
                          <w:r>
                            <w:rPr>
                              <w:rFonts w:hint="eastAsia"/>
                              <w:sz w:val="13"/>
                            </w:rPr>
                            <w:t>层</w:t>
                          </w:r>
                        </w:p>
                      </w:txbxContent>
                    </v:textbox>
                  </v:shape>
                  <v:shape id="__TH_B2191" o:spid="_x0000_s1062" o:spt="202" type="#_x0000_t202" style="position:absolute;left:1496;top:12684;height:163;width:152;" filled="f" stroked="f" coordsize="21600,21600">
                    <v:path/>
                    <v:fill on="f" focussize="0,0"/>
                    <v:stroke on="f"/>
                    <v:imagedata o:title=""/>
                    <o:lock v:ext="edit"/>
                    <v:textbox inset="0mm,0mm,0mm,0mm">
                      <w:txbxContent>
                        <w:p>
                          <w:pPr>
                            <w:snapToGrid w:val="0"/>
                            <w:rPr>
                              <w:sz w:val="13"/>
                            </w:rPr>
                          </w:pPr>
                          <w:r>
                            <w:rPr>
                              <w:rFonts w:hint="eastAsia"/>
                              <w:sz w:val="13"/>
                            </w:rPr>
                            <w:t>修</w:t>
                          </w:r>
                        </w:p>
                      </w:txbxContent>
                    </v:textbox>
                  </v:shape>
                  <v:shape id="__TH_B2292" o:spid="_x0000_s1063" o:spt="202" type="#_x0000_t202" style="position:absolute;left:1977;top:12959;height:163;width:153;" filled="f" stroked="f" coordsize="21600,21600">
                    <v:path/>
                    <v:fill on="f" focussize="0,0"/>
                    <v:stroke on="f"/>
                    <v:imagedata o:title=""/>
                    <o:lock v:ext="edit"/>
                    <v:textbox inset="0mm,0mm,0mm,0mm">
                      <w:txbxContent>
                        <w:p>
                          <w:pPr>
                            <w:snapToGrid w:val="0"/>
                            <w:rPr>
                              <w:sz w:val="13"/>
                            </w:rPr>
                          </w:pPr>
                          <w:r>
                            <w:rPr>
                              <w:rFonts w:hint="eastAsia"/>
                              <w:sz w:val="13"/>
                            </w:rPr>
                            <w:t>正</w:t>
                          </w:r>
                        </w:p>
                      </w:txbxContent>
                    </v:textbox>
                  </v:shape>
                  <v:shape id="__TH_B2393" o:spid="_x0000_s1064" o:spt="202" type="#_x0000_t202" style="position:absolute;left:2459;top:13234;height:163;width:152;" filled="f" stroked="f" coordsize="21600,21600">
                    <v:path/>
                    <v:fill on="f" focussize="0,0"/>
                    <v:stroke on="f"/>
                    <v:imagedata o:title=""/>
                    <o:lock v:ext="edit"/>
                    <v:textbox inset="0mm,0mm,0mm,0mm">
                      <w:txbxContent>
                        <w:p>
                          <w:pPr>
                            <w:snapToGrid w:val="0"/>
                            <w:rPr>
                              <w:sz w:val="13"/>
                            </w:rPr>
                          </w:pPr>
                          <w:r>
                            <w:rPr>
                              <w:rFonts w:hint="eastAsia"/>
                              <w:sz w:val="13"/>
                            </w:rPr>
                            <w:t>系</w:t>
                          </w:r>
                        </w:p>
                      </w:txbxContent>
                    </v:textbox>
                  </v:shape>
                  <v:shape id="__TH_B2494" o:spid="_x0000_s1065" o:spt="202" type="#_x0000_t202" style="position:absolute;left:2940;top:13509;height:163;width:153;" filled="f" stroked="f" coordsize="21600,21600">
                    <v:path/>
                    <v:fill on="f" focussize="0,0"/>
                    <v:stroke on="f"/>
                    <v:imagedata o:title=""/>
                    <o:lock v:ext="edit"/>
                    <v:textbox inset="0mm,0mm,0mm,0mm">
                      <w:txbxContent>
                        <w:p>
                          <w:pPr>
                            <w:snapToGrid w:val="0"/>
                            <w:rPr>
                              <w:sz w:val="13"/>
                            </w:rPr>
                          </w:pPr>
                          <w:r>
                            <w:rPr>
                              <w:rFonts w:hint="eastAsia"/>
                              <w:sz w:val="13"/>
                            </w:rPr>
                            <w:t>数</w:t>
                          </w:r>
                        </w:p>
                      </w:txbxContent>
                    </v:textbox>
                  </v:shape>
                  <v:shape id="__TH_B3195" o:spid="_x0000_s1066" o:spt="202" type="#_x0000_t202" style="position:absolute;left:1376;top:13468;height:163;width:153;" filled="f" stroked="f" coordsize="21600,21600">
                    <v:path/>
                    <v:fill on="f" focussize="0,0"/>
                    <v:stroke on="f"/>
                    <v:imagedata o:title=""/>
                    <o:lock v:ext="edit"/>
                    <v:textbox inset="0mm,0mm,0mm,0mm">
                      <w:txbxContent>
                        <w:p>
                          <w:pPr>
                            <w:snapToGrid w:val="0"/>
                            <w:rPr>
                              <w:sz w:val="13"/>
                            </w:rPr>
                          </w:pPr>
                          <w:r>
                            <w:rPr>
                              <w:rFonts w:hint="eastAsia"/>
                              <w:sz w:val="13"/>
                            </w:rPr>
                            <w:t>层</w:t>
                          </w:r>
                        </w:p>
                      </w:txbxContent>
                    </v:textbox>
                  </v:shape>
                  <v:shape id="__TH_B3296" o:spid="_x0000_s1067" o:spt="202" type="#_x0000_t202" style="position:absolute;left:1717;top:13517;height:163;width:153;" filled="f" stroked="f" coordsize="21600,21600">
                    <v:path/>
                    <v:fill on="f" focussize="0,0"/>
                    <v:stroke on="f"/>
                    <v:imagedata o:title=""/>
                    <o:lock v:ext="edit"/>
                    <v:textbox inset="0mm,0mm,0mm,0mm">
                      <w:txbxContent>
                        <w:p>
                          <w:pPr>
                            <w:snapToGrid w:val="0"/>
                            <w:rPr>
                              <w:sz w:val="13"/>
                            </w:rPr>
                          </w:pPr>
                          <w:r>
                            <w:rPr>
                              <w:rFonts w:hint="eastAsia"/>
                              <w:sz w:val="13"/>
                            </w:rPr>
                            <w:t>次</w:t>
                          </w:r>
                        </w:p>
                      </w:txbxContent>
                    </v:textbox>
                  </v:shape>
                  <v:shape id="__TH_B3397" o:spid="_x0000_s1068" o:spt="202" type="#_x0000_t202" style="position:absolute;left:2058;top:13566;height:162;width:153;" filled="f" stroked="f" coordsize="21600,21600">
                    <v:path/>
                    <v:fill on="f" focussize="0,0"/>
                    <v:stroke on="f"/>
                    <v:imagedata o:title=""/>
                    <o:lock v:ext="edit"/>
                    <v:textbox inset="0mm,0mm,0mm,0mm">
                      <w:txbxContent>
                        <w:p>
                          <w:pPr>
                            <w:snapToGrid w:val="0"/>
                            <w:rPr>
                              <w:sz w:val="13"/>
                            </w:rPr>
                          </w:pPr>
                          <w:r>
                            <w:rPr>
                              <w:rFonts w:hint="eastAsia"/>
                              <w:sz w:val="13"/>
                            </w:rPr>
                            <w:t>及</w:t>
                          </w:r>
                        </w:p>
                      </w:txbxContent>
                    </v:textbox>
                  </v:shape>
                  <v:shape id="__TH_B3498" o:spid="_x0000_s1069" o:spt="202" type="#_x0000_t202" style="position:absolute;left:2399;top:13614;height:163;width:153;" filled="f" stroked="f" coordsize="21600,21600">
                    <v:path/>
                    <v:fill on="f" focussize="0,0"/>
                    <v:stroke on="f"/>
                    <v:imagedata o:title=""/>
                    <o:lock v:ext="edit"/>
                    <v:textbox inset="0mm,0mm,0mm,0mm">
                      <w:txbxContent>
                        <w:p>
                          <w:pPr>
                            <w:snapToGrid w:val="0"/>
                            <w:rPr>
                              <w:sz w:val="13"/>
                            </w:rPr>
                          </w:pPr>
                          <w:r>
                            <w:rPr>
                              <w:rFonts w:hint="eastAsia"/>
                              <w:sz w:val="13"/>
                            </w:rPr>
                            <w:t>顶</w:t>
                          </w:r>
                        </w:p>
                      </w:txbxContent>
                    </v:textbox>
                  </v:shape>
                  <v:shape id="__TH_B3599" o:spid="_x0000_s1070" o:spt="202" type="#_x0000_t202" style="position:absolute;left:2772;top:13663;height:163;width:89;" filled="f" stroked="f" coordsize="21600,21600">
                    <v:path/>
                    <v:fill on="f" focussize="0,0"/>
                    <v:stroke on="f"/>
                    <v:imagedata o:title=""/>
                    <o:lock v:ext="edit"/>
                    <v:textbox inset="0mm,0mm,0mm,0mm">
                      <w:txbxContent>
                        <w:p>
                          <w:pPr>
                            <w:snapToGrid w:val="0"/>
                            <w:rPr>
                              <w:sz w:val="13"/>
                            </w:rPr>
                          </w:pPr>
                          <w:r>
                            <w:rPr>
                              <w:rFonts w:hint="eastAsia"/>
                              <w:sz w:val="13"/>
                            </w:rPr>
                            <w:t>层</w:t>
                          </w:r>
                        </w:p>
                      </w:txbxContent>
                    </v:textbox>
                  </v:shape>
                </v:group>
              </w:pict>
            </w:r>
          </w:p>
        </w:tc>
        <w:tc>
          <w:tcPr>
            <w:tcW w:w="992" w:type="dxa"/>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九层以上</w:t>
            </w:r>
          </w:p>
        </w:tc>
        <w:tc>
          <w:tcPr>
            <w:tcW w:w="761" w:type="dxa"/>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八</w:t>
            </w:r>
          </w:p>
        </w:tc>
        <w:tc>
          <w:tcPr>
            <w:tcW w:w="762" w:type="dxa"/>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七</w:t>
            </w:r>
          </w:p>
        </w:tc>
        <w:tc>
          <w:tcPr>
            <w:tcW w:w="762" w:type="dxa"/>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六</w:t>
            </w:r>
          </w:p>
        </w:tc>
        <w:tc>
          <w:tcPr>
            <w:tcW w:w="762" w:type="dxa"/>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五</w:t>
            </w:r>
          </w:p>
        </w:tc>
        <w:tc>
          <w:tcPr>
            <w:tcW w:w="762" w:type="dxa"/>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四</w:t>
            </w:r>
          </w:p>
        </w:tc>
        <w:tc>
          <w:tcPr>
            <w:tcW w:w="762" w:type="dxa"/>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三</w:t>
            </w:r>
          </w:p>
        </w:tc>
        <w:tc>
          <w:tcPr>
            <w:tcW w:w="762" w:type="dxa"/>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二</w:t>
            </w:r>
          </w:p>
        </w:tc>
        <w:tc>
          <w:tcPr>
            <w:tcW w:w="762" w:type="dxa"/>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九层以上顶层</w:t>
            </w:r>
          </w:p>
        </w:tc>
        <w:tc>
          <w:tcPr>
            <w:tcW w:w="99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761"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八</w:t>
            </w:r>
          </w:p>
        </w:tc>
        <w:tc>
          <w:tcPr>
            <w:tcW w:w="992" w:type="dxa"/>
            <w:vMerge w:val="restart"/>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九层以上均为0</w:t>
            </w:r>
          </w:p>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五至八层均为2</w:t>
            </w:r>
          </w:p>
        </w:tc>
        <w:tc>
          <w:tcPr>
            <w:tcW w:w="761"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七</w:t>
            </w:r>
          </w:p>
        </w:tc>
        <w:tc>
          <w:tcPr>
            <w:tcW w:w="992" w:type="dxa"/>
            <w:vMerge w:val="continue"/>
            <w:noWrap w:val="0"/>
            <w:vAlign w:val="top"/>
          </w:tcPr>
          <w:p>
            <w:pPr>
              <w:snapToGrid w:val="0"/>
              <w:spacing w:line="360" w:lineRule="auto"/>
              <w:jc w:val="center"/>
              <w:rPr>
                <w:rFonts w:hint="eastAsia" w:ascii="宋体" w:hAnsi="宋体" w:eastAsia="宋体" w:cs="宋体"/>
                <w:sz w:val="18"/>
                <w:szCs w:val="18"/>
              </w:rPr>
            </w:pPr>
          </w:p>
        </w:tc>
        <w:tc>
          <w:tcPr>
            <w:tcW w:w="761"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六</w:t>
            </w:r>
          </w:p>
        </w:tc>
        <w:tc>
          <w:tcPr>
            <w:tcW w:w="992" w:type="dxa"/>
            <w:vMerge w:val="continue"/>
            <w:noWrap w:val="0"/>
            <w:vAlign w:val="top"/>
          </w:tcPr>
          <w:p>
            <w:pPr>
              <w:snapToGrid w:val="0"/>
              <w:spacing w:line="360" w:lineRule="auto"/>
              <w:jc w:val="center"/>
              <w:rPr>
                <w:rFonts w:hint="eastAsia" w:ascii="宋体" w:hAnsi="宋体" w:eastAsia="宋体" w:cs="宋体"/>
                <w:sz w:val="18"/>
                <w:szCs w:val="18"/>
              </w:rPr>
            </w:pPr>
          </w:p>
        </w:tc>
        <w:tc>
          <w:tcPr>
            <w:tcW w:w="761"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五</w:t>
            </w:r>
          </w:p>
        </w:tc>
        <w:tc>
          <w:tcPr>
            <w:tcW w:w="992" w:type="dxa"/>
            <w:vMerge w:val="continue"/>
            <w:noWrap w:val="0"/>
            <w:vAlign w:val="top"/>
          </w:tcPr>
          <w:p>
            <w:pPr>
              <w:snapToGrid w:val="0"/>
              <w:spacing w:line="360" w:lineRule="auto"/>
              <w:jc w:val="center"/>
              <w:rPr>
                <w:rFonts w:hint="eastAsia" w:ascii="宋体" w:hAnsi="宋体" w:eastAsia="宋体" w:cs="宋体"/>
                <w:sz w:val="18"/>
                <w:szCs w:val="18"/>
              </w:rPr>
            </w:pPr>
          </w:p>
        </w:tc>
        <w:tc>
          <w:tcPr>
            <w:tcW w:w="761"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四</w:t>
            </w:r>
          </w:p>
        </w:tc>
        <w:tc>
          <w:tcPr>
            <w:tcW w:w="99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761"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三</w:t>
            </w:r>
          </w:p>
        </w:tc>
        <w:tc>
          <w:tcPr>
            <w:tcW w:w="99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761"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762" w:type="dxa"/>
            <w:noWrap w:val="0"/>
            <w:vAlign w:val="top"/>
          </w:tcPr>
          <w:p>
            <w:pPr>
              <w:snapToGrid w:val="0"/>
              <w:spacing w:line="360" w:lineRule="auto"/>
              <w:jc w:val="center"/>
              <w:rPr>
                <w:rFonts w:hint="eastAsia" w:ascii="宋体" w:hAnsi="宋体" w:eastAsia="宋体" w:cs="宋体"/>
                <w:sz w:val="18"/>
                <w:szCs w:val="18"/>
              </w:rPr>
            </w:pPr>
          </w:p>
        </w:tc>
        <w:tc>
          <w:tcPr>
            <w:tcW w:w="762" w:type="dxa"/>
            <w:noWrap w:val="0"/>
            <w:vAlign w:val="top"/>
          </w:tcPr>
          <w:p>
            <w:pPr>
              <w:snapToGrid w:val="0"/>
              <w:spacing w:line="360" w:lineRule="auto"/>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二</w:t>
            </w:r>
          </w:p>
        </w:tc>
        <w:tc>
          <w:tcPr>
            <w:tcW w:w="99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761"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762" w:type="dxa"/>
            <w:noWrap w:val="0"/>
            <w:vAlign w:val="top"/>
          </w:tcPr>
          <w:p>
            <w:pPr>
              <w:snapToGrid w:val="0"/>
              <w:spacing w:line="360" w:lineRule="auto"/>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一</w:t>
            </w:r>
          </w:p>
        </w:tc>
        <w:tc>
          <w:tcPr>
            <w:tcW w:w="99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761"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762" w:type="dxa"/>
            <w:noWrap w:val="0"/>
            <w:vAlign w:val="top"/>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0</w:t>
            </w:r>
          </w:p>
        </w:tc>
      </w:tr>
    </w:tbl>
    <w:p>
      <w:pPr>
        <w:snapToGrid w:val="0"/>
        <w:spacing w:line="336" w:lineRule="auto"/>
        <w:ind w:firstLine="360" w:firstLineChars="200"/>
        <w:rPr>
          <w:rFonts w:hint="eastAsia" w:ascii="宋体" w:hAnsi="宋体" w:eastAsia="宋体" w:cs="宋体"/>
          <w:sz w:val="18"/>
          <w:szCs w:val="18"/>
        </w:rPr>
      </w:pPr>
      <w:r>
        <w:rPr>
          <w:rFonts w:hint="eastAsia" w:ascii="宋体" w:hAnsi="宋体" w:eastAsia="宋体" w:cs="宋体"/>
          <w:sz w:val="18"/>
          <w:szCs w:val="18"/>
        </w:rPr>
        <w:t>注：该表总层九层以上的修正系数适用于设有电梯的房屋，总层八层以下的修正系数适用于不设电梯的房屋。总层八层设有电梯的房屋，修正系数四层改为2，七层改为0.</w:t>
      </w:r>
    </w:p>
    <w:p>
      <w:pPr>
        <w:snapToGrid w:val="0"/>
        <w:spacing w:line="336" w:lineRule="auto"/>
        <w:ind w:firstLine="360" w:firstLineChars="200"/>
        <w:rPr>
          <w:rFonts w:hint="default" w:ascii="宋体" w:hAnsi="宋体" w:eastAsia="宋体" w:cs="宋体"/>
          <w:color w:val="auto"/>
          <w:sz w:val="18"/>
          <w:szCs w:val="18"/>
          <w:highlight w:val="none"/>
          <w:lang w:val="en-US" w:eastAsia="zh-CN"/>
        </w:rPr>
      </w:pPr>
    </w:p>
    <w:p>
      <w:pPr>
        <w:snapToGrid w:val="0"/>
        <w:spacing w:line="360" w:lineRule="auto"/>
        <w:ind w:firstLine="560" w:firstLineChars="200"/>
        <w:rPr>
          <w:rFonts w:ascii="宋体" w:hAnsi="宋体" w:cs="宋体"/>
          <w:color w:val="auto"/>
          <w:sz w:val="18"/>
          <w:szCs w:val="18"/>
          <w:highlight w:val="none"/>
        </w:rPr>
      </w:pPr>
      <w:r>
        <w:rPr>
          <w:rFonts w:hint="eastAsia" w:ascii="宋体" w:hAnsi="宋体" w:cs="宋体"/>
          <w:color w:val="auto"/>
          <w:sz w:val="28"/>
          <w:szCs w:val="28"/>
          <w:highlight w:val="none"/>
        </w:rPr>
        <w:t>D、交通状况：按交通状况分为便捷、较便捷、不便捷三个等级，</w:t>
      </w:r>
      <w:r>
        <w:rPr>
          <w:rFonts w:hint="eastAsia" w:ascii="宋体" w:hAnsi="宋体" w:cs="仿宋"/>
          <w:color w:val="auto"/>
          <w:sz w:val="28"/>
          <w:szCs w:val="28"/>
          <w:highlight w:val="none"/>
        </w:rPr>
        <w:t>以待估房地产条件指数为100，</w:t>
      </w:r>
      <w:r>
        <w:rPr>
          <w:rFonts w:hint="eastAsia" w:ascii="宋体" w:hAnsi="宋体" w:cs="仿宋"/>
          <w:color w:val="auto"/>
          <w:sz w:val="28"/>
          <w:szCs w:val="28"/>
          <w:highlight w:val="none"/>
          <w:lang w:eastAsia="zh-CN"/>
        </w:rPr>
        <w:t>每相差一个等级，指数相应修正</w:t>
      </w:r>
      <w:r>
        <w:rPr>
          <w:rFonts w:hint="eastAsia" w:ascii="宋体" w:hAnsi="宋体" w:cs="仿宋"/>
          <w:color w:val="auto"/>
          <w:sz w:val="28"/>
          <w:szCs w:val="28"/>
          <w:highlight w:val="none"/>
          <w:lang w:val="en-US" w:eastAsia="zh-CN"/>
        </w:rPr>
        <w:t>1%</w:t>
      </w:r>
      <w:r>
        <w:rPr>
          <w:rFonts w:hint="eastAsia" w:ascii="宋体" w:hAnsi="宋体" w:cs="仿宋"/>
          <w:color w:val="auto"/>
          <w:sz w:val="28"/>
          <w:szCs w:val="28"/>
          <w:highlight w:val="none"/>
        </w:rPr>
        <w:t>；</w:t>
      </w:r>
    </w:p>
    <w:p>
      <w:pPr>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E、环境状况：按环境状况分为优、较优、一般、较差、差五个等级，以待估房地产条件指数为100，</w:t>
      </w:r>
      <w:r>
        <w:rPr>
          <w:rFonts w:hint="eastAsia" w:ascii="宋体" w:hAnsi="宋体" w:cs="仿宋"/>
          <w:color w:val="auto"/>
          <w:sz w:val="28"/>
          <w:szCs w:val="28"/>
          <w:highlight w:val="none"/>
          <w:lang w:eastAsia="zh-CN"/>
        </w:rPr>
        <w:t>每相差一个等级，指数相应修正</w:t>
      </w:r>
      <w:r>
        <w:rPr>
          <w:rFonts w:hint="eastAsia" w:ascii="宋体" w:hAnsi="宋体" w:cs="仿宋"/>
          <w:color w:val="auto"/>
          <w:sz w:val="28"/>
          <w:szCs w:val="28"/>
          <w:highlight w:val="none"/>
          <w:lang w:val="en-US" w:eastAsia="zh-CN"/>
        </w:rPr>
        <w:t>2%</w:t>
      </w:r>
      <w:r>
        <w:rPr>
          <w:rFonts w:hint="eastAsia" w:ascii="宋体" w:hAnsi="宋体" w:cs="仿宋"/>
          <w:color w:val="auto"/>
          <w:sz w:val="28"/>
          <w:szCs w:val="28"/>
          <w:highlight w:val="none"/>
        </w:rPr>
        <w:t>；</w:t>
      </w:r>
    </w:p>
    <w:p>
      <w:pPr>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F、居住聚集度：按居住聚集度分为聚集、较聚集、一般、较分散、分散五个等级，以待估房地产条件指数为100，</w:t>
      </w:r>
      <w:r>
        <w:rPr>
          <w:rFonts w:hint="eastAsia" w:ascii="宋体" w:hAnsi="宋体" w:cs="仿宋"/>
          <w:color w:val="auto"/>
          <w:sz w:val="28"/>
          <w:szCs w:val="28"/>
          <w:highlight w:val="none"/>
          <w:lang w:eastAsia="zh-CN"/>
        </w:rPr>
        <w:t>每相差一个等级，指数相应修正</w:t>
      </w:r>
      <w:r>
        <w:rPr>
          <w:rFonts w:hint="eastAsia" w:ascii="宋体" w:hAnsi="宋体" w:cs="仿宋"/>
          <w:color w:val="auto"/>
          <w:sz w:val="28"/>
          <w:szCs w:val="28"/>
          <w:highlight w:val="none"/>
          <w:lang w:val="en-US" w:eastAsia="zh-CN"/>
        </w:rPr>
        <w:t>2%</w:t>
      </w:r>
      <w:r>
        <w:rPr>
          <w:rFonts w:hint="eastAsia" w:ascii="宋体" w:hAnsi="宋体" w:cs="仿宋"/>
          <w:color w:val="auto"/>
          <w:sz w:val="28"/>
          <w:szCs w:val="28"/>
          <w:highlight w:val="none"/>
        </w:rPr>
        <w:t xml:space="preserve">； </w:t>
      </w:r>
    </w:p>
    <w:p>
      <w:pPr>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G、外部配套设施：按外部配套设施分为完善、较完善、</w:t>
      </w:r>
      <w:r>
        <w:rPr>
          <w:rFonts w:hint="eastAsia" w:ascii="宋体" w:hAnsi="宋体" w:cs="仿宋"/>
          <w:color w:val="auto"/>
          <w:sz w:val="28"/>
          <w:szCs w:val="28"/>
          <w:highlight w:val="none"/>
          <w:lang w:eastAsia="zh-CN"/>
        </w:rPr>
        <w:t>一般、</w:t>
      </w:r>
      <w:r>
        <w:rPr>
          <w:rFonts w:hint="eastAsia" w:ascii="宋体" w:hAnsi="宋体" w:cs="仿宋"/>
          <w:color w:val="auto"/>
          <w:sz w:val="28"/>
          <w:szCs w:val="28"/>
          <w:highlight w:val="none"/>
        </w:rPr>
        <w:t>不完</w:t>
      </w:r>
      <w:r>
        <w:rPr>
          <w:rFonts w:hint="eastAsia" w:ascii="宋体" w:hAnsi="宋体" w:cs="仿宋"/>
          <w:color w:val="auto"/>
          <w:sz w:val="28"/>
          <w:szCs w:val="28"/>
          <w:highlight w:val="none"/>
          <w:lang w:eastAsia="zh-CN"/>
        </w:rPr>
        <w:t>善四</w:t>
      </w:r>
      <w:r>
        <w:rPr>
          <w:rFonts w:hint="eastAsia" w:ascii="宋体" w:hAnsi="宋体" w:cs="仿宋"/>
          <w:color w:val="auto"/>
          <w:sz w:val="28"/>
          <w:szCs w:val="28"/>
          <w:highlight w:val="none"/>
        </w:rPr>
        <w:t>个等级，以待估房地产条件指数为100，</w:t>
      </w:r>
      <w:r>
        <w:rPr>
          <w:rFonts w:hint="eastAsia" w:ascii="宋体" w:hAnsi="宋体" w:cs="仿宋"/>
          <w:color w:val="auto"/>
          <w:sz w:val="28"/>
          <w:szCs w:val="28"/>
          <w:highlight w:val="none"/>
          <w:lang w:eastAsia="zh-CN"/>
        </w:rPr>
        <w:t>待估房地产与可比实例均为完善，不做修正</w:t>
      </w:r>
      <w:r>
        <w:rPr>
          <w:rFonts w:hint="eastAsia" w:ascii="宋体" w:hAnsi="宋体" w:cs="仿宋"/>
          <w:color w:val="auto"/>
          <w:sz w:val="28"/>
          <w:szCs w:val="28"/>
          <w:highlight w:val="none"/>
        </w:rPr>
        <w:t>；</w:t>
      </w:r>
    </w:p>
    <w:p>
      <w:pPr>
        <w:snapToGrid w:val="0"/>
        <w:spacing w:line="360" w:lineRule="auto"/>
        <w:ind w:firstLine="560" w:firstLineChars="200"/>
        <w:rPr>
          <w:rFonts w:hint="eastAsia" w:ascii="宋体" w:hAnsi="宋体" w:cs="仿宋"/>
          <w:color w:val="auto"/>
          <w:sz w:val="28"/>
          <w:szCs w:val="28"/>
          <w:highlight w:val="none"/>
        </w:rPr>
      </w:pPr>
      <w:r>
        <w:rPr>
          <w:rFonts w:hint="eastAsia" w:ascii="宋体" w:hAnsi="宋体" w:cs="仿宋"/>
          <w:color w:val="auto"/>
          <w:sz w:val="28"/>
          <w:szCs w:val="28"/>
          <w:highlight w:val="none"/>
        </w:rPr>
        <w:t>H、用途：主要分为居住房地产和非居住房地产，居住用途分为住宅和集体宿舍，住宅分为普通住宅、高档公寓和别墅，以待估房地产条件指数为100，待估房地产与比较实例均属于住宅中的</w:t>
      </w:r>
      <w:r>
        <w:rPr>
          <w:rFonts w:hint="eastAsia" w:ascii="宋体" w:hAnsi="宋体" w:cs="仿宋"/>
          <w:color w:val="auto"/>
          <w:sz w:val="28"/>
          <w:szCs w:val="28"/>
          <w:highlight w:val="none"/>
          <w:lang w:eastAsia="zh-CN"/>
        </w:rPr>
        <w:t>普通住宅</w:t>
      </w:r>
      <w:r>
        <w:rPr>
          <w:rFonts w:hint="eastAsia" w:ascii="宋体" w:hAnsi="宋体" w:cs="仿宋"/>
          <w:color w:val="auto"/>
          <w:sz w:val="28"/>
          <w:szCs w:val="28"/>
          <w:highlight w:val="none"/>
        </w:rPr>
        <w:t xml:space="preserve">，不做修正； </w:t>
      </w:r>
    </w:p>
    <w:p>
      <w:pPr>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I、建筑规模：按建筑面积分为40㎡以下、41-80㎡、81-150㎡、151-250㎡、251-350㎡、350㎡以上五个等级，</w:t>
      </w:r>
      <w:r>
        <w:rPr>
          <w:rFonts w:hint="eastAsia" w:ascii="宋体" w:hAnsi="宋体" w:cs="仿宋"/>
          <w:color w:val="auto"/>
          <w:sz w:val="28"/>
          <w:szCs w:val="28"/>
          <w:highlight w:val="none"/>
          <w:lang w:eastAsia="zh-CN"/>
        </w:rPr>
        <w:t>以待估房地产条件指数为</w:t>
      </w:r>
      <w:r>
        <w:rPr>
          <w:rFonts w:hint="eastAsia" w:ascii="宋体" w:hAnsi="宋体" w:cs="仿宋"/>
          <w:color w:val="auto"/>
          <w:sz w:val="28"/>
          <w:szCs w:val="28"/>
          <w:highlight w:val="none"/>
          <w:lang w:val="en-US" w:eastAsia="zh-CN"/>
        </w:rPr>
        <w:t>100，</w:t>
      </w:r>
      <w:r>
        <w:rPr>
          <w:rFonts w:hint="eastAsia" w:ascii="宋体" w:hAnsi="宋体" w:cs="仿宋"/>
          <w:color w:val="auto"/>
          <w:sz w:val="28"/>
          <w:szCs w:val="28"/>
          <w:highlight w:val="none"/>
          <w:lang w:eastAsia="zh-CN"/>
        </w:rPr>
        <w:t>待估房地产与可比实例均在</w:t>
      </w:r>
      <w:r>
        <w:rPr>
          <w:rFonts w:hint="eastAsia" w:ascii="宋体" w:hAnsi="宋体" w:cs="仿宋"/>
          <w:color w:val="auto"/>
          <w:sz w:val="28"/>
          <w:szCs w:val="28"/>
          <w:highlight w:val="none"/>
          <w:lang w:val="en-US" w:eastAsia="zh-CN"/>
        </w:rPr>
        <w:t>41-80m</w:t>
      </w:r>
      <w:r>
        <w:rPr>
          <w:rFonts w:hint="eastAsia" w:ascii="宋体" w:hAnsi="宋体" w:cs="仿宋"/>
          <w:color w:val="auto"/>
          <w:sz w:val="28"/>
          <w:szCs w:val="28"/>
          <w:highlight w:val="none"/>
          <w:vertAlign w:val="superscript"/>
          <w:lang w:val="en-US" w:eastAsia="zh-CN"/>
        </w:rPr>
        <w:t>2</w:t>
      </w:r>
      <w:r>
        <w:rPr>
          <w:rFonts w:hint="eastAsia" w:ascii="宋体" w:hAnsi="宋体" w:cs="仿宋"/>
          <w:color w:val="auto"/>
          <w:sz w:val="28"/>
          <w:szCs w:val="28"/>
          <w:highlight w:val="none"/>
          <w:vertAlign w:val="baseline"/>
          <w:lang w:val="en-US" w:eastAsia="zh-CN"/>
        </w:rPr>
        <w:t>之间，不做修正</w:t>
      </w:r>
      <w:r>
        <w:rPr>
          <w:rFonts w:hint="eastAsia" w:ascii="宋体" w:hAnsi="宋体" w:cs="仿宋"/>
          <w:color w:val="auto"/>
          <w:sz w:val="28"/>
          <w:szCs w:val="28"/>
          <w:highlight w:val="none"/>
        </w:rPr>
        <w:t>；</w:t>
      </w:r>
    </w:p>
    <w:p>
      <w:pPr>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J、建筑结构：一般分为钢结构、钢筋混凝土结构（框架）、砖混结构、砖木结构、简易结构五类结构，以待估房地产条件指数为100，</w:t>
      </w:r>
      <w:r>
        <w:rPr>
          <w:rFonts w:hint="eastAsia" w:ascii="宋体" w:hAnsi="宋体" w:cs="仿宋"/>
          <w:color w:val="auto"/>
          <w:sz w:val="28"/>
          <w:szCs w:val="28"/>
          <w:highlight w:val="none"/>
          <w:lang w:eastAsia="zh-CN"/>
        </w:rPr>
        <w:t>待估房地产与可比实例均为砖混结构，不做修正</w:t>
      </w:r>
      <w:r>
        <w:rPr>
          <w:rFonts w:hint="eastAsia" w:ascii="宋体" w:hAnsi="宋体" w:cs="仿宋"/>
          <w:color w:val="auto"/>
          <w:sz w:val="28"/>
          <w:szCs w:val="28"/>
          <w:highlight w:val="none"/>
        </w:rPr>
        <w:t>；</w:t>
      </w:r>
    </w:p>
    <w:p>
      <w:pPr>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K、户型：一般分为五室以上二厅一厨一卫（五室以上一厅一厨一卫</w:t>
      </w:r>
      <w:r>
        <w:rPr>
          <w:rFonts w:hint="eastAsia" w:ascii="宋体" w:hAnsi="宋体" w:cs="仿宋"/>
          <w:color w:val="auto"/>
          <w:sz w:val="28"/>
          <w:szCs w:val="28"/>
          <w:highlight w:val="none"/>
          <w:lang w:eastAsia="zh-CN"/>
        </w:rPr>
        <w:t>、五室以上三厅一厨三卫</w:t>
      </w:r>
      <w:r>
        <w:rPr>
          <w:rFonts w:hint="eastAsia" w:ascii="宋体" w:hAnsi="宋体" w:cs="仿宋"/>
          <w:color w:val="auto"/>
          <w:sz w:val="28"/>
          <w:szCs w:val="28"/>
          <w:highlight w:val="none"/>
        </w:rPr>
        <w:t>）、四室二厅一厨一卫（四室一厅一厨一卫）、三室二厅一厨一卫（三室一厅一厨一卫）、二室一厅一厨一卫（二室一厅一卫）、一室一厅一卫（一室一卫）等多种户型等级，以待估房地产条件指数为100，每相差一个等级，指数相应修正</w:t>
      </w:r>
      <w:r>
        <w:rPr>
          <w:rFonts w:hint="eastAsia" w:ascii="宋体" w:hAnsi="宋体" w:cs="仿宋"/>
          <w:color w:val="auto"/>
          <w:sz w:val="28"/>
          <w:szCs w:val="28"/>
          <w:highlight w:val="none"/>
          <w:lang w:val="en-US" w:eastAsia="zh-CN"/>
        </w:rPr>
        <w:t>2</w:t>
      </w:r>
      <w:r>
        <w:rPr>
          <w:rFonts w:hint="eastAsia" w:ascii="宋体" w:hAnsi="宋体" w:cs="仿宋"/>
          <w:color w:val="auto"/>
          <w:sz w:val="28"/>
          <w:szCs w:val="28"/>
          <w:highlight w:val="none"/>
        </w:rPr>
        <w:t>%；</w:t>
      </w:r>
    </w:p>
    <w:p>
      <w:pPr>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L、设施设备：按设施设备分为齐全、较齐全、不齐全三个等级，以待估房地产条件指数为100，待估房地产与比较实例均为齐全，不做修正；</w:t>
      </w:r>
    </w:p>
    <w:p>
      <w:pPr>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M、装饰装修：按装修状况分为高档装修、中档装修、精装修、简单装修（</w:t>
      </w:r>
      <w:r>
        <w:rPr>
          <w:rFonts w:hint="eastAsia" w:ascii="宋体" w:hAnsi="宋体" w:cs="仿宋"/>
          <w:color w:val="auto"/>
          <w:sz w:val="28"/>
          <w:szCs w:val="28"/>
          <w:highlight w:val="none"/>
          <w:lang w:eastAsia="zh-CN"/>
        </w:rPr>
        <w:t>普通装修、一般装修</w:t>
      </w:r>
      <w:r>
        <w:rPr>
          <w:rFonts w:hint="eastAsia" w:ascii="宋体" w:hAnsi="宋体" w:cs="仿宋"/>
          <w:color w:val="auto"/>
          <w:sz w:val="28"/>
          <w:szCs w:val="28"/>
          <w:highlight w:val="none"/>
        </w:rPr>
        <w:t>）、粗装修、毛坯6个等级，以待估房地产条件指数为100，</w:t>
      </w:r>
      <w:r>
        <w:rPr>
          <w:rFonts w:hint="eastAsia" w:ascii="宋体" w:hAnsi="宋体" w:cs="仿宋"/>
          <w:color w:val="auto"/>
          <w:sz w:val="28"/>
          <w:szCs w:val="28"/>
          <w:highlight w:val="none"/>
          <w:lang w:eastAsia="zh-CN"/>
        </w:rPr>
        <w:t>待估房地产与可比实例均为一般装修、普通装修，不做修正</w:t>
      </w:r>
      <w:r>
        <w:rPr>
          <w:rFonts w:hint="eastAsia" w:ascii="宋体" w:hAnsi="宋体" w:cs="仿宋"/>
          <w:color w:val="auto"/>
          <w:sz w:val="28"/>
          <w:szCs w:val="28"/>
          <w:highlight w:val="none"/>
        </w:rPr>
        <w:t>；</w:t>
      </w:r>
    </w:p>
    <w:p>
      <w:pPr>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N、空间布局：按空间布局分为合理、较合理、不合理三个等级， 以待估房地产条件指数为100,待估房地产与比较实例均为较合理，不做修正；</w:t>
      </w:r>
    </w:p>
    <w:p>
      <w:pPr>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O、维护保养：分为优、较优、一般、较差、差五个等级, 以待估房地产条件指数为100,每相差一个等级，指数相应修正</w:t>
      </w:r>
      <w:r>
        <w:rPr>
          <w:rFonts w:hint="eastAsia" w:ascii="宋体" w:hAnsi="宋体" w:cs="仿宋"/>
          <w:color w:val="auto"/>
          <w:sz w:val="28"/>
          <w:szCs w:val="28"/>
          <w:highlight w:val="none"/>
          <w:lang w:val="en-US" w:eastAsia="zh-CN"/>
        </w:rPr>
        <w:t>2</w:t>
      </w:r>
      <w:r>
        <w:rPr>
          <w:rFonts w:hint="eastAsia" w:ascii="宋体" w:hAnsi="宋体" w:cs="仿宋"/>
          <w:color w:val="auto"/>
          <w:sz w:val="28"/>
          <w:szCs w:val="28"/>
          <w:highlight w:val="none"/>
        </w:rPr>
        <w:t>%；</w:t>
      </w:r>
    </w:p>
    <w:p>
      <w:pPr>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P、完损状况：分为完好、基本完好、一般损坏、严重损坏四个等级，以待估房地产条件指数为100，待估房地产与比较实例均为完好房，不做修正；</w:t>
      </w:r>
    </w:p>
    <w:p>
      <w:pPr>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Q、权利状况：主要有完全产权、较完全产权、不完全产权三个等级，以待估房地产条件指数为100，</w:t>
      </w:r>
      <w:r>
        <w:rPr>
          <w:rFonts w:hint="eastAsia" w:ascii="宋体" w:hAnsi="宋体" w:cs="仿宋"/>
          <w:color w:val="auto"/>
          <w:sz w:val="28"/>
          <w:szCs w:val="28"/>
          <w:highlight w:val="none"/>
          <w:lang w:eastAsia="zh-CN"/>
        </w:rPr>
        <w:t>每相差一个等级，指数相应修正</w:t>
      </w:r>
      <w:r>
        <w:rPr>
          <w:rFonts w:hint="eastAsia" w:ascii="宋体" w:hAnsi="宋体" w:cs="仿宋"/>
          <w:color w:val="auto"/>
          <w:sz w:val="28"/>
          <w:szCs w:val="28"/>
          <w:highlight w:val="none"/>
          <w:lang w:val="en-US" w:eastAsia="zh-CN"/>
        </w:rPr>
        <w:t>3%</w:t>
      </w:r>
      <w:r>
        <w:rPr>
          <w:rFonts w:hint="eastAsia" w:ascii="宋体" w:hAnsi="宋体" w:cs="仿宋"/>
          <w:color w:val="auto"/>
          <w:sz w:val="28"/>
          <w:szCs w:val="28"/>
          <w:highlight w:val="none"/>
        </w:rPr>
        <w:t>；</w:t>
      </w:r>
    </w:p>
    <w:p>
      <w:pPr>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 xml:space="preserve">R、使用管制：主要有不受管制、受一定管制、受管制三个等级，以待估房地产条件指数为100，待估房地产与比较实例均受一定管制，不做修正； </w:t>
      </w:r>
    </w:p>
    <w:p>
      <w:pPr>
        <w:snapToGrid w:val="0"/>
        <w:spacing w:line="360" w:lineRule="auto"/>
        <w:ind w:firstLine="560" w:firstLineChars="200"/>
        <w:rPr>
          <w:rFonts w:hint="eastAsia" w:ascii="宋体" w:hAnsi="宋体" w:cs="仿宋"/>
          <w:color w:val="auto"/>
          <w:sz w:val="28"/>
          <w:szCs w:val="28"/>
          <w:highlight w:val="none"/>
        </w:rPr>
      </w:pPr>
      <w:r>
        <w:rPr>
          <w:rFonts w:hint="eastAsia" w:ascii="宋体" w:hAnsi="宋体" w:cs="仿宋"/>
          <w:color w:val="auto"/>
          <w:sz w:val="28"/>
          <w:szCs w:val="28"/>
          <w:highlight w:val="none"/>
        </w:rPr>
        <w:t>S、相邻关系：主要有无限制、有一定限制、有限制三个等级，以待估房地产条件指数为100，待估房地产与比较实例均有一定限制，不做修正；</w:t>
      </w:r>
    </w:p>
    <w:p>
      <w:pPr>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T、物业服务：分为有完善的物业服务（24小时物业服务）、有一般物业服务、无物业服务三个等级，以待估房地产条件指数为100，待估房地产与比较实例均为24小时</w:t>
      </w:r>
      <w:r>
        <w:rPr>
          <w:rFonts w:hint="eastAsia" w:ascii="宋体" w:hAnsi="宋体" w:cs="仿宋"/>
          <w:color w:val="auto"/>
          <w:sz w:val="28"/>
          <w:szCs w:val="28"/>
          <w:highlight w:val="none"/>
          <w:lang w:eastAsia="zh-CN"/>
        </w:rPr>
        <w:t>一般</w:t>
      </w:r>
      <w:r>
        <w:rPr>
          <w:rFonts w:hint="eastAsia" w:ascii="宋体" w:hAnsi="宋体" w:cs="仿宋"/>
          <w:color w:val="auto"/>
          <w:sz w:val="28"/>
          <w:szCs w:val="28"/>
          <w:highlight w:val="none"/>
        </w:rPr>
        <w:t>物业服务，不做修正。</w:t>
      </w:r>
    </w:p>
    <w:p>
      <w:pPr>
        <w:snapToGrid w:val="0"/>
        <w:spacing w:line="360" w:lineRule="auto"/>
        <w:jc w:val="center"/>
        <w:rPr>
          <w:rFonts w:ascii="宋体" w:hAnsi="宋体" w:cs="仿宋"/>
          <w:color w:val="auto"/>
          <w:sz w:val="28"/>
          <w:szCs w:val="28"/>
          <w:highlight w:val="none"/>
        </w:rPr>
      </w:pPr>
      <w:r>
        <w:rPr>
          <w:rFonts w:hint="eastAsia" w:ascii="宋体" w:hAnsi="宋体" w:cs="仿宋"/>
          <w:color w:val="auto"/>
          <w:sz w:val="28"/>
          <w:szCs w:val="28"/>
          <w:highlight w:val="none"/>
        </w:rPr>
        <w:t>因素比较修正系数</w:t>
      </w:r>
    </w:p>
    <w:tbl>
      <w:tblPr>
        <w:tblStyle w:val="19"/>
        <w:tblW w:w="9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652"/>
        <w:gridCol w:w="1858"/>
        <w:gridCol w:w="1858"/>
        <w:gridCol w:w="1858"/>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081" w:type="dxa"/>
            <w:gridSpan w:val="2"/>
            <w:vAlign w:val="center"/>
          </w:tcPr>
          <w:p>
            <w:pPr>
              <w:adjustRightInd w:val="0"/>
              <w:snapToGrid w:val="0"/>
              <w:spacing w:line="360" w:lineRule="auto"/>
              <w:jc w:val="center"/>
              <w:rPr>
                <w:rFonts w:ascii="宋体" w:hAnsi="宋体" w:cs="仿宋"/>
                <w:color w:val="auto"/>
                <w:sz w:val="28"/>
                <w:szCs w:val="28"/>
                <w:highlight w:val="none"/>
                <w:lang w:val="zh-CN"/>
              </w:rPr>
            </w:pPr>
            <w:r>
              <w:rPr>
                <w:rFonts w:hint="eastAsia" w:ascii="宋体" w:hAnsi="宋体" w:cs="仿宋"/>
                <w:color w:val="auto"/>
                <w:sz w:val="28"/>
                <w:szCs w:val="28"/>
                <w:highlight w:val="none"/>
                <w:lang w:val="zh-CN"/>
              </w:rPr>
              <w:t>案例名称</w:t>
            </w:r>
          </w:p>
        </w:tc>
        <w:tc>
          <w:tcPr>
            <w:tcW w:w="1858" w:type="dxa"/>
            <w:vAlign w:val="center"/>
          </w:tcPr>
          <w:p>
            <w:pPr>
              <w:adjustRightInd w:val="0"/>
              <w:snapToGrid w:val="0"/>
              <w:spacing w:line="360" w:lineRule="auto"/>
              <w:jc w:val="center"/>
              <w:rPr>
                <w:rFonts w:ascii="宋体" w:hAnsi="宋体" w:cs="仿宋"/>
                <w:color w:val="auto"/>
                <w:sz w:val="28"/>
                <w:szCs w:val="28"/>
                <w:highlight w:val="none"/>
                <w:lang w:val="zh-CN"/>
              </w:rPr>
            </w:pPr>
            <w:r>
              <w:rPr>
                <w:rFonts w:hint="eastAsia" w:ascii="宋体" w:hAnsi="宋体" w:cs="仿宋"/>
                <w:color w:val="auto"/>
                <w:sz w:val="28"/>
                <w:szCs w:val="28"/>
                <w:highlight w:val="none"/>
                <w:lang w:val="zh-CN"/>
              </w:rPr>
              <w:t>估价对象</w:t>
            </w:r>
          </w:p>
        </w:tc>
        <w:tc>
          <w:tcPr>
            <w:tcW w:w="1858" w:type="dxa"/>
            <w:vAlign w:val="center"/>
          </w:tcPr>
          <w:p>
            <w:pPr>
              <w:adjustRightInd w:val="0"/>
              <w:snapToGrid w:val="0"/>
              <w:spacing w:line="360" w:lineRule="auto"/>
              <w:jc w:val="center"/>
              <w:rPr>
                <w:rFonts w:ascii="宋体" w:hAnsi="宋体" w:cs="仿宋"/>
                <w:color w:val="auto"/>
                <w:sz w:val="28"/>
                <w:szCs w:val="28"/>
                <w:highlight w:val="none"/>
                <w:lang w:val="zh-CN"/>
              </w:rPr>
            </w:pPr>
            <w:r>
              <w:rPr>
                <w:rFonts w:hint="eastAsia" w:ascii="宋体" w:hAnsi="宋体" w:cs="仿宋"/>
                <w:color w:val="auto"/>
                <w:sz w:val="28"/>
                <w:szCs w:val="28"/>
                <w:highlight w:val="none"/>
              </w:rPr>
              <w:t>可比实例</w:t>
            </w:r>
            <w:r>
              <w:rPr>
                <w:rFonts w:hint="eastAsia" w:ascii="宋体" w:hAnsi="宋体" w:cs="仿宋"/>
                <w:color w:val="auto"/>
                <w:sz w:val="28"/>
                <w:szCs w:val="28"/>
                <w:highlight w:val="none"/>
                <w:lang w:val="zh-CN"/>
              </w:rPr>
              <w:t>A</w:t>
            </w:r>
          </w:p>
        </w:tc>
        <w:tc>
          <w:tcPr>
            <w:tcW w:w="1858" w:type="dxa"/>
            <w:vAlign w:val="center"/>
          </w:tcPr>
          <w:p>
            <w:pPr>
              <w:adjustRightInd w:val="0"/>
              <w:snapToGrid w:val="0"/>
              <w:spacing w:line="360" w:lineRule="auto"/>
              <w:jc w:val="center"/>
              <w:rPr>
                <w:rFonts w:ascii="宋体" w:hAnsi="宋体" w:cs="仿宋"/>
                <w:color w:val="auto"/>
                <w:sz w:val="28"/>
                <w:szCs w:val="28"/>
                <w:highlight w:val="none"/>
                <w:lang w:val="zh-CN"/>
              </w:rPr>
            </w:pPr>
            <w:r>
              <w:rPr>
                <w:rFonts w:hint="eastAsia" w:ascii="宋体" w:hAnsi="宋体" w:cs="仿宋"/>
                <w:color w:val="auto"/>
                <w:sz w:val="28"/>
                <w:szCs w:val="28"/>
                <w:highlight w:val="none"/>
              </w:rPr>
              <w:t>可比实例</w:t>
            </w:r>
            <w:r>
              <w:rPr>
                <w:rFonts w:hint="eastAsia" w:ascii="宋体" w:hAnsi="宋体" w:cs="仿宋"/>
                <w:color w:val="auto"/>
                <w:sz w:val="28"/>
                <w:szCs w:val="28"/>
                <w:highlight w:val="none"/>
                <w:lang w:val="zh-CN"/>
              </w:rPr>
              <w:t>B</w:t>
            </w:r>
          </w:p>
        </w:tc>
        <w:tc>
          <w:tcPr>
            <w:tcW w:w="1858" w:type="dxa"/>
            <w:vAlign w:val="center"/>
          </w:tcPr>
          <w:p>
            <w:pPr>
              <w:adjustRightInd w:val="0"/>
              <w:snapToGrid w:val="0"/>
              <w:spacing w:line="360" w:lineRule="auto"/>
              <w:jc w:val="center"/>
              <w:rPr>
                <w:rFonts w:ascii="宋体" w:hAnsi="宋体" w:cs="仿宋"/>
                <w:color w:val="auto"/>
                <w:sz w:val="28"/>
                <w:szCs w:val="28"/>
                <w:highlight w:val="none"/>
                <w:lang w:val="zh-CN"/>
              </w:rPr>
            </w:pPr>
            <w:r>
              <w:rPr>
                <w:rFonts w:hint="eastAsia" w:ascii="宋体" w:hAnsi="宋体" w:cs="仿宋"/>
                <w:color w:val="auto"/>
                <w:sz w:val="28"/>
                <w:szCs w:val="28"/>
                <w:highlight w:val="none"/>
              </w:rPr>
              <w:t>可比实例</w:t>
            </w:r>
            <w:r>
              <w:rPr>
                <w:rFonts w:hint="eastAsia" w:ascii="宋体" w:hAnsi="宋体" w:cs="仿宋"/>
                <w:color w:val="auto"/>
                <w:sz w:val="28"/>
                <w:szCs w:val="28"/>
                <w:highlight w:val="none"/>
                <w:lang w:val="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081" w:type="dxa"/>
            <w:gridSpan w:val="2"/>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坐落</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和谐景苑小区</w:t>
            </w:r>
          </w:p>
        </w:tc>
        <w:tc>
          <w:tcPr>
            <w:tcW w:w="1858" w:type="dxa"/>
            <w:vAlign w:val="center"/>
          </w:tcPr>
          <w:p>
            <w:pPr>
              <w:adjustRightInd w:val="0"/>
              <w:snapToGrid w:val="0"/>
              <w:spacing w:line="360" w:lineRule="auto"/>
              <w:jc w:val="center"/>
              <w:rPr>
                <w:rFonts w:hint="eastAsia" w:ascii="宋体" w:hAnsi="宋体" w:eastAsia="宋体" w:cs="仿宋"/>
                <w:color w:val="auto"/>
                <w:sz w:val="18"/>
                <w:szCs w:val="18"/>
                <w:highlight w:val="none"/>
                <w:lang w:eastAsia="zh-CN"/>
              </w:rPr>
            </w:pPr>
            <w:r>
              <w:rPr>
                <w:rFonts w:hint="eastAsia" w:ascii="宋体" w:hAnsi="宋体" w:cs="仿宋"/>
                <w:color w:val="auto"/>
                <w:sz w:val="18"/>
                <w:szCs w:val="18"/>
                <w:highlight w:val="none"/>
                <w:lang w:eastAsia="zh-CN"/>
              </w:rPr>
              <w:t>西正街</w:t>
            </w:r>
            <w:r>
              <w:rPr>
                <w:rFonts w:hint="eastAsia" w:ascii="宋体" w:hAnsi="宋体" w:cs="仿宋"/>
                <w:color w:val="auto"/>
                <w:sz w:val="18"/>
                <w:szCs w:val="18"/>
                <w:highlight w:val="none"/>
                <w:lang w:val="en-US" w:eastAsia="zh-CN"/>
              </w:rPr>
              <w:t>39号</w:t>
            </w:r>
          </w:p>
        </w:tc>
        <w:tc>
          <w:tcPr>
            <w:tcW w:w="1858" w:type="dxa"/>
            <w:vAlign w:val="center"/>
          </w:tcPr>
          <w:p>
            <w:pPr>
              <w:adjustRightInd w:val="0"/>
              <w:snapToGrid w:val="0"/>
              <w:spacing w:line="360" w:lineRule="auto"/>
              <w:jc w:val="center"/>
              <w:rPr>
                <w:rFonts w:hint="eastAsia" w:ascii="宋体" w:hAnsi="宋体" w:eastAsia="宋体" w:cs="仿宋"/>
                <w:color w:val="auto"/>
                <w:sz w:val="18"/>
                <w:szCs w:val="18"/>
                <w:highlight w:val="none"/>
                <w:lang w:eastAsia="zh-CN"/>
              </w:rPr>
            </w:pPr>
            <w:r>
              <w:rPr>
                <w:rFonts w:hint="eastAsia" w:ascii="宋体" w:hAnsi="宋体" w:cs="仿宋"/>
                <w:color w:val="auto"/>
                <w:sz w:val="18"/>
                <w:szCs w:val="18"/>
                <w:highlight w:val="none"/>
                <w:lang w:eastAsia="zh-CN"/>
              </w:rPr>
              <w:t>人民路</w:t>
            </w:r>
            <w:r>
              <w:rPr>
                <w:rFonts w:hint="eastAsia" w:ascii="宋体" w:hAnsi="宋体" w:cs="仿宋"/>
                <w:color w:val="auto"/>
                <w:sz w:val="18"/>
                <w:szCs w:val="18"/>
                <w:highlight w:val="none"/>
                <w:lang w:val="en-US" w:eastAsia="zh-CN"/>
              </w:rPr>
              <w:t>25号</w:t>
            </w:r>
          </w:p>
        </w:tc>
        <w:tc>
          <w:tcPr>
            <w:tcW w:w="1858" w:type="dxa"/>
            <w:vAlign w:val="center"/>
          </w:tcPr>
          <w:p>
            <w:pPr>
              <w:adjustRightInd w:val="0"/>
              <w:snapToGrid w:val="0"/>
              <w:spacing w:line="360" w:lineRule="auto"/>
              <w:jc w:val="center"/>
              <w:rPr>
                <w:rFonts w:hint="eastAsia" w:ascii="宋体" w:hAnsi="宋体" w:eastAsia="宋体" w:cs="仿宋"/>
                <w:color w:val="auto"/>
                <w:sz w:val="18"/>
                <w:szCs w:val="18"/>
                <w:highlight w:val="none"/>
                <w:lang w:eastAsia="zh-CN"/>
              </w:rPr>
            </w:pPr>
            <w:r>
              <w:rPr>
                <w:rFonts w:hint="eastAsia" w:ascii="宋体" w:hAnsi="宋体" w:cs="仿宋"/>
                <w:color w:val="auto"/>
                <w:sz w:val="18"/>
                <w:szCs w:val="18"/>
                <w:highlight w:val="none"/>
                <w:lang w:eastAsia="zh-CN"/>
              </w:rPr>
              <w:t>气象局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081" w:type="dxa"/>
            <w:gridSpan w:val="2"/>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交易价格</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评估价格</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en-US" w:eastAsia="zh-CN"/>
              </w:rPr>
              <w:t>3232.76</w:t>
            </w:r>
            <w:r>
              <w:rPr>
                <w:rFonts w:hint="eastAsia" w:ascii="宋体" w:hAnsi="宋体" w:cs="仿宋"/>
                <w:color w:val="auto"/>
                <w:sz w:val="18"/>
                <w:szCs w:val="18"/>
                <w:highlight w:val="none"/>
                <w:lang w:val="zh-CN"/>
              </w:rPr>
              <w:t>元/㎡</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en-US" w:eastAsia="zh-CN"/>
              </w:rPr>
              <w:t>3081.73</w:t>
            </w:r>
            <w:r>
              <w:rPr>
                <w:rFonts w:hint="eastAsia" w:ascii="宋体" w:hAnsi="宋体" w:cs="仿宋"/>
                <w:color w:val="auto"/>
                <w:sz w:val="18"/>
                <w:szCs w:val="18"/>
                <w:highlight w:val="none"/>
                <w:lang w:val="zh-CN"/>
              </w:rPr>
              <w:t>元/㎡</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en-US" w:eastAsia="zh-CN"/>
              </w:rPr>
              <w:t>3319.50</w:t>
            </w:r>
            <w:r>
              <w:rPr>
                <w:rFonts w:hint="eastAsia" w:ascii="宋体" w:hAnsi="宋体" w:cs="仿宋"/>
                <w:color w:val="auto"/>
                <w:sz w:val="18"/>
                <w:szCs w:val="18"/>
                <w:highlight w:val="none"/>
                <w:lang w:val="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081" w:type="dxa"/>
            <w:gridSpan w:val="2"/>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交易情况</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081" w:type="dxa"/>
            <w:gridSpan w:val="2"/>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交易时间</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109.6</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104.4</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104.0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restart"/>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区位状况调整</w:t>
            </w:r>
          </w:p>
        </w:tc>
        <w:tc>
          <w:tcPr>
            <w:tcW w:w="1652"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位置</w:t>
            </w:r>
          </w:p>
        </w:tc>
        <w:tc>
          <w:tcPr>
            <w:tcW w:w="1858"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103</w:t>
            </w:r>
          </w:p>
        </w:tc>
        <w:tc>
          <w:tcPr>
            <w:tcW w:w="1858" w:type="dxa"/>
            <w:vAlign w:val="center"/>
          </w:tcPr>
          <w:p>
            <w:pPr>
              <w:adjustRightInd w:val="0"/>
              <w:snapToGrid w:val="0"/>
              <w:spacing w:line="360" w:lineRule="auto"/>
              <w:jc w:val="center"/>
              <w:rPr>
                <w:rFonts w:hint="eastAsia"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w:t>
            </w:r>
            <w:r>
              <w:rPr>
                <w:rFonts w:hint="eastAsia" w:ascii="宋体" w:hAnsi="宋体" w:cs="仿宋"/>
                <w:color w:val="auto"/>
                <w:sz w:val="18"/>
                <w:szCs w:val="18"/>
                <w:highlight w:val="none"/>
                <w:lang w:val="en-US" w:eastAsia="zh-CN"/>
              </w:rPr>
              <w:t>3</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lang w:val="zh-CN"/>
              </w:rPr>
            </w:pPr>
          </w:p>
        </w:tc>
        <w:tc>
          <w:tcPr>
            <w:tcW w:w="1652"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朝向</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98</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楼层</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97</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102</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101</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lang w:val="zh-CN"/>
              </w:rPr>
            </w:pPr>
          </w:p>
        </w:tc>
        <w:tc>
          <w:tcPr>
            <w:tcW w:w="1652"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交通状况</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101</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101</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环境状况</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98</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98</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居住聚集度</w:t>
            </w:r>
          </w:p>
        </w:tc>
        <w:tc>
          <w:tcPr>
            <w:tcW w:w="1858"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外部配套设施</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restart"/>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实物状况调整</w:t>
            </w: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用途</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建筑规模</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建筑结构</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户型</w:t>
            </w:r>
          </w:p>
        </w:tc>
        <w:tc>
          <w:tcPr>
            <w:tcW w:w="1858" w:type="dxa"/>
            <w:vAlign w:val="center"/>
          </w:tcPr>
          <w:p>
            <w:pPr>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98</w:t>
            </w:r>
          </w:p>
        </w:tc>
        <w:tc>
          <w:tcPr>
            <w:tcW w:w="1858" w:type="dxa"/>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100</w:t>
            </w:r>
          </w:p>
        </w:tc>
        <w:tc>
          <w:tcPr>
            <w:tcW w:w="1858" w:type="dxa"/>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设施设备</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装饰装修</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空间布局</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维护保养</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102</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102</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完损状况</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restart"/>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权益状况调整</w:t>
            </w: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权利状况</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103</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103</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使用管制</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相邻关系</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9"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物业服务</w:t>
            </w:r>
          </w:p>
        </w:tc>
        <w:tc>
          <w:tcPr>
            <w:tcW w:w="1858"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c>
          <w:tcPr>
            <w:tcW w:w="1858"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p>
        </w:tc>
      </w:tr>
    </w:tbl>
    <w:p>
      <w:pPr>
        <w:numPr>
          <w:ilvl w:val="0"/>
          <w:numId w:val="3"/>
        </w:numPr>
        <w:adjustRightInd w:val="0"/>
        <w:snapToGrid w:val="0"/>
        <w:spacing w:line="360" w:lineRule="auto"/>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计算比较价值（公式选用和计算过程）</w:t>
      </w:r>
    </w:p>
    <w:p>
      <w:pPr>
        <w:adjustRightInd w:val="0"/>
        <w:snapToGrid w:val="0"/>
        <w:spacing w:line="360" w:lineRule="auto"/>
        <w:rPr>
          <w:rFonts w:ascii="宋体" w:hAnsi="宋体" w:cs="仿宋"/>
          <w:color w:val="auto"/>
          <w:sz w:val="28"/>
          <w:szCs w:val="28"/>
          <w:highlight w:val="none"/>
        </w:rPr>
      </w:pPr>
      <w:r>
        <w:rPr>
          <w:rFonts w:hint="eastAsia" w:ascii="宋体" w:hAnsi="宋体" w:cs="仿宋"/>
          <w:color w:val="auto"/>
          <w:sz w:val="28"/>
          <w:szCs w:val="28"/>
          <w:highlight w:val="none"/>
        </w:rPr>
        <w:t xml:space="preserve">    根据计算公式（待估房地产比较价格=可比实例价格×交易情况修正系数×市场状况调整系数×房地产状况调整系数）计算比较价值</w:t>
      </w:r>
    </w:p>
    <w:tbl>
      <w:tblPr>
        <w:tblStyle w:val="19"/>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652"/>
        <w:gridCol w:w="2253"/>
        <w:gridCol w:w="2253"/>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29" w:type="dxa"/>
            <w:gridSpan w:val="2"/>
            <w:vAlign w:val="center"/>
          </w:tcPr>
          <w:p>
            <w:pPr>
              <w:adjustRightInd w:val="0"/>
              <w:snapToGrid w:val="0"/>
              <w:spacing w:line="360" w:lineRule="auto"/>
              <w:jc w:val="center"/>
              <w:rPr>
                <w:rFonts w:ascii="宋体" w:hAnsi="宋体" w:cs="仿宋"/>
                <w:color w:val="auto"/>
                <w:sz w:val="28"/>
                <w:szCs w:val="28"/>
                <w:highlight w:val="none"/>
                <w:lang w:val="zh-CN"/>
              </w:rPr>
            </w:pPr>
            <w:r>
              <w:rPr>
                <w:rFonts w:hint="eastAsia" w:ascii="宋体" w:hAnsi="宋体" w:cs="仿宋"/>
                <w:color w:val="auto"/>
                <w:sz w:val="28"/>
                <w:szCs w:val="28"/>
                <w:highlight w:val="none"/>
                <w:lang w:val="zh-CN"/>
              </w:rPr>
              <w:t>案例名称</w:t>
            </w:r>
          </w:p>
        </w:tc>
        <w:tc>
          <w:tcPr>
            <w:tcW w:w="2253" w:type="dxa"/>
            <w:vAlign w:val="center"/>
          </w:tcPr>
          <w:p>
            <w:pPr>
              <w:adjustRightInd w:val="0"/>
              <w:snapToGrid w:val="0"/>
              <w:spacing w:line="360" w:lineRule="auto"/>
              <w:jc w:val="center"/>
              <w:rPr>
                <w:rFonts w:ascii="宋体" w:hAnsi="宋体" w:cs="仿宋"/>
                <w:color w:val="auto"/>
                <w:sz w:val="28"/>
                <w:szCs w:val="28"/>
                <w:highlight w:val="none"/>
                <w:lang w:val="zh-CN"/>
              </w:rPr>
            </w:pPr>
            <w:r>
              <w:rPr>
                <w:rFonts w:hint="eastAsia" w:ascii="宋体" w:hAnsi="宋体" w:cs="仿宋"/>
                <w:color w:val="auto"/>
                <w:sz w:val="28"/>
                <w:szCs w:val="28"/>
                <w:highlight w:val="none"/>
              </w:rPr>
              <w:t>可比实例</w:t>
            </w:r>
            <w:r>
              <w:rPr>
                <w:rFonts w:hint="eastAsia" w:ascii="宋体" w:hAnsi="宋体" w:cs="仿宋"/>
                <w:color w:val="auto"/>
                <w:sz w:val="28"/>
                <w:szCs w:val="28"/>
                <w:highlight w:val="none"/>
                <w:lang w:val="zh-CN"/>
              </w:rPr>
              <w:t>A</w:t>
            </w:r>
          </w:p>
        </w:tc>
        <w:tc>
          <w:tcPr>
            <w:tcW w:w="2253" w:type="dxa"/>
            <w:vAlign w:val="center"/>
          </w:tcPr>
          <w:p>
            <w:pPr>
              <w:adjustRightInd w:val="0"/>
              <w:snapToGrid w:val="0"/>
              <w:spacing w:line="360" w:lineRule="auto"/>
              <w:jc w:val="center"/>
              <w:rPr>
                <w:rFonts w:ascii="宋体" w:hAnsi="宋体" w:cs="仿宋"/>
                <w:color w:val="auto"/>
                <w:sz w:val="28"/>
                <w:szCs w:val="28"/>
                <w:highlight w:val="none"/>
                <w:lang w:val="zh-CN"/>
              </w:rPr>
            </w:pPr>
            <w:r>
              <w:rPr>
                <w:rFonts w:hint="eastAsia" w:ascii="宋体" w:hAnsi="宋体" w:cs="仿宋"/>
                <w:color w:val="auto"/>
                <w:sz w:val="28"/>
                <w:szCs w:val="28"/>
                <w:highlight w:val="none"/>
              </w:rPr>
              <w:t>可比实例</w:t>
            </w:r>
            <w:r>
              <w:rPr>
                <w:rFonts w:hint="eastAsia" w:ascii="宋体" w:hAnsi="宋体" w:cs="仿宋"/>
                <w:color w:val="auto"/>
                <w:sz w:val="28"/>
                <w:szCs w:val="28"/>
                <w:highlight w:val="none"/>
                <w:lang w:val="zh-CN"/>
              </w:rPr>
              <w:t>B</w:t>
            </w:r>
          </w:p>
        </w:tc>
        <w:tc>
          <w:tcPr>
            <w:tcW w:w="2254" w:type="dxa"/>
            <w:vAlign w:val="center"/>
          </w:tcPr>
          <w:p>
            <w:pPr>
              <w:adjustRightInd w:val="0"/>
              <w:snapToGrid w:val="0"/>
              <w:spacing w:line="360" w:lineRule="auto"/>
              <w:jc w:val="center"/>
              <w:rPr>
                <w:rFonts w:ascii="宋体" w:hAnsi="宋体" w:cs="仿宋"/>
                <w:color w:val="auto"/>
                <w:sz w:val="28"/>
                <w:szCs w:val="28"/>
                <w:highlight w:val="none"/>
                <w:lang w:val="zh-CN"/>
              </w:rPr>
            </w:pPr>
            <w:r>
              <w:rPr>
                <w:rFonts w:hint="eastAsia" w:ascii="宋体" w:hAnsi="宋体" w:cs="仿宋"/>
                <w:color w:val="auto"/>
                <w:sz w:val="28"/>
                <w:szCs w:val="28"/>
                <w:highlight w:val="none"/>
              </w:rPr>
              <w:t>可比实例</w:t>
            </w:r>
            <w:r>
              <w:rPr>
                <w:rFonts w:hint="eastAsia" w:ascii="宋体" w:hAnsi="宋体" w:cs="仿宋"/>
                <w:color w:val="auto"/>
                <w:sz w:val="28"/>
                <w:szCs w:val="28"/>
                <w:highlight w:val="none"/>
                <w:lang w:val="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29" w:type="dxa"/>
            <w:gridSpan w:val="2"/>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交易价格</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en-US" w:eastAsia="zh-CN"/>
              </w:rPr>
              <w:t>3232.76</w:t>
            </w:r>
            <w:r>
              <w:rPr>
                <w:rFonts w:hint="eastAsia" w:ascii="宋体" w:hAnsi="宋体" w:cs="仿宋"/>
                <w:color w:val="auto"/>
                <w:sz w:val="18"/>
                <w:szCs w:val="18"/>
                <w:highlight w:val="none"/>
                <w:lang w:val="zh-CN"/>
              </w:rPr>
              <w:t>元/㎡</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en-US" w:eastAsia="zh-CN"/>
              </w:rPr>
              <w:t>3081.73</w:t>
            </w:r>
            <w:r>
              <w:rPr>
                <w:rFonts w:hint="eastAsia" w:ascii="宋体" w:hAnsi="宋体" w:cs="仿宋"/>
                <w:color w:val="auto"/>
                <w:sz w:val="18"/>
                <w:szCs w:val="18"/>
                <w:highlight w:val="none"/>
                <w:lang w:val="zh-CN"/>
              </w:rPr>
              <w:t>元/㎡</w:t>
            </w:r>
          </w:p>
        </w:tc>
        <w:tc>
          <w:tcPr>
            <w:tcW w:w="225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en-US" w:eastAsia="zh-CN"/>
              </w:rPr>
              <w:t>3319.50</w:t>
            </w:r>
            <w:r>
              <w:rPr>
                <w:rFonts w:hint="eastAsia" w:ascii="宋体" w:hAnsi="宋体" w:cs="仿宋"/>
                <w:color w:val="auto"/>
                <w:sz w:val="18"/>
                <w:szCs w:val="18"/>
                <w:highlight w:val="none"/>
                <w:lang w:val="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29" w:type="dxa"/>
            <w:gridSpan w:val="2"/>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交易情况</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100</w:t>
            </w:r>
            <w:r>
              <w:rPr>
                <w:rFonts w:hint="eastAsia" w:ascii="宋体" w:hAnsi="宋体" w:cs="仿宋"/>
                <w:color w:val="auto"/>
                <w:sz w:val="18"/>
                <w:szCs w:val="18"/>
                <w:highlight w:val="none"/>
              </w:rPr>
              <w:t>/</w:t>
            </w:r>
            <w:r>
              <w:rPr>
                <w:rFonts w:hint="eastAsia" w:ascii="宋体" w:hAnsi="宋体" w:cs="仿宋"/>
                <w:color w:val="auto"/>
                <w:sz w:val="18"/>
                <w:szCs w:val="18"/>
                <w:highlight w:val="none"/>
                <w:lang w:val="en-US" w:eastAsia="zh-CN"/>
              </w:rPr>
              <w:t>95</w:t>
            </w:r>
          </w:p>
        </w:tc>
        <w:tc>
          <w:tcPr>
            <w:tcW w:w="225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w:t>
            </w:r>
            <w:r>
              <w:rPr>
                <w:rFonts w:hint="eastAsia" w:ascii="宋体" w:hAnsi="宋体" w:cs="仿宋"/>
                <w:color w:val="auto"/>
                <w:sz w:val="18"/>
                <w:szCs w:val="18"/>
                <w:highlight w:val="none"/>
                <w:lang w:val="en-US" w:eastAsia="zh-CN"/>
              </w:rPr>
              <w:t>0</w:t>
            </w:r>
            <w:r>
              <w:rPr>
                <w:rFonts w:hint="eastAsia" w:ascii="宋体" w:hAnsi="宋体" w:cs="仿宋"/>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29" w:type="dxa"/>
            <w:gridSpan w:val="2"/>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交易时间</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109.6/104.4</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109.6/104.0</w:t>
            </w:r>
          </w:p>
        </w:tc>
        <w:tc>
          <w:tcPr>
            <w:tcW w:w="2254"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109.6/105.6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restart"/>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区位状况调整</w:t>
            </w:r>
          </w:p>
        </w:tc>
        <w:tc>
          <w:tcPr>
            <w:tcW w:w="1652"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位置</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102</w:t>
            </w:r>
          </w:p>
        </w:tc>
        <w:tc>
          <w:tcPr>
            <w:tcW w:w="2253" w:type="dxa"/>
            <w:vAlign w:val="center"/>
          </w:tcPr>
          <w:p>
            <w:pPr>
              <w:adjustRightInd w:val="0"/>
              <w:snapToGrid w:val="0"/>
              <w:spacing w:line="360" w:lineRule="auto"/>
              <w:jc w:val="center"/>
              <w:rPr>
                <w:rFonts w:hint="eastAsia"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100/10</w:t>
            </w:r>
            <w:r>
              <w:rPr>
                <w:rFonts w:hint="eastAsia" w:ascii="宋体" w:hAnsi="宋体" w:cs="仿宋"/>
                <w:color w:val="auto"/>
                <w:sz w:val="18"/>
                <w:szCs w:val="18"/>
                <w:highlight w:val="none"/>
                <w:lang w:val="en-US" w:eastAsia="zh-CN"/>
              </w:rPr>
              <w:t>2</w:t>
            </w:r>
          </w:p>
        </w:tc>
        <w:tc>
          <w:tcPr>
            <w:tcW w:w="225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lang w:val="zh-CN"/>
              </w:rPr>
            </w:pPr>
          </w:p>
        </w:tc>
        <w:tc>
          <w:tcPr>
            <w:tcW w:w="1652"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朝向</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100</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98</w:t>
            </w:r>
          </w:p>
        </w:tc>
        <w:tc>
          <w:tcPr>
            <w:tcW w:w="2254"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楼层</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97/102</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97/101</w:t>
            </w:r>
          </w:p>
        </w:tc>
        <w:tc>
          <w:tcPr>
            <w:tcW w:w="2254"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97/102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lang w:val="zh-CN"/>
              </w:rPr>
            </w:pPr>
          </w:p>
        </w:tc>
        <w:tc>
          <w:tcPr>
            <w:tcW w:w="1652"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lang w:val="zh-CN"/>
              </w:rPr>
              <w:t>交通状况</w:t>
            </w:r>
          </w:p>
        </w:tc>
        <w:tc>
          <w:tcPr>
            <w:tcW w:w="2253" w:type="dxa"/>
            <w:vAlign w:val="center"/>
          </w:tcPr>
          <w:p>
            <w:pPr>
              <w:adjustRightInd w:val="0"/>
              <w:snapToGrid w:val="0"/>
              <w:spacing w:line="360" w:lineRule="auto"/>
              <w:jc w:val="center"/>
              <w:rPr>
                <w:rFonts w:hint="eastAsia" w:ascii="宋体" w:hAnsi="宋体" w:eastAsia="宋体" w:cs="仿宋"/>
                <w:color w:val="auto"/>
                <w:sz w:val="18"/>
                <w:szCs w:val="18"/>
                <w:highlight w:val="none"/>
                <w:lang w:val="zh-CN" w:eastAsia="zh-CN"/>
              </w:rPr>
            </w:pPr>
            <w:r>
              <w:rPr>
                <w:rFonts w:hint="eastAsia" w:ascii="宋体" w:hAnsi="宋体" w:cs="仿宋"/>
                <w:color w:val="auto"/>
                <w:sz w:val="18"/>
                <w:szCs w:val="18"/>
                <w:highlight w:val="none"/>
              </w:rPr>
              <w:t>100/10</w:t>
            </w:r>
            <w:r>
              <w:rPr>
                <w:rFonts w:hint="eastAsia" w:ascii="宋体" w:hAnsi="宋体" w:cs="仿宋"/>
                <w:color w:val="auto"/>
                <w:sz w:val="18"/>
                <w:szCs w:val="18"/>
                <w:highlight w:val="none"/>
                <w:lang w:val="en-US" w:eastAsia="zh-CN"/>
              </w:rPr>
              <w:t>1</w:t>
            </w:r>
          </w:p>
        </w:tc>
        <w:tc>
          <w:tcPr>
            <w:tcW w:w="2253" w:type="dxa"/>
            <w:vAlign w:val="center"/>
          </w:tcPr>
          <w:p>
            <w:pPr>
              <w:adjustRightInd w:val="0"/>
              <w:snapToGrid w:val="0"/>
              <w:spacing w:line="360" w:lineRule="auto"/>
              <w:jc w:val="center"/>
              <w:rPr>
                <w:rFonts w:hint="eastAsia"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100/10</w:t>
            </w:r>
            <w:r>
              <w:rPr>
                <w:rFonts w:hint="eastAsia" w:ascii="宋体" w:hAnsi="宋体" w:cs="仿宋"/>
                <w:color w:val="auto"/>
                <w:sz w:val="18"/>
                <w:szCs w:val="18"/>
                <w:highlight w:val="none"/>
                <w:lang w:val="en-US" w:eastAsia="zh-CN"/>
              </w:rPr>
              <w:t>1</w:t>
            </w:r>
          </w:p>
        </w:tc>
        <w:tc>
          <w:tcPr>
            <w:tcW w:w="2254" w:type="dxa"/>
            <w:vAlign w:val="center"/>
          </w:tcPr>
          <w:p>
            <w:pPr>
              <w:adjustRightInd w:val="0"/>
              <w:snapToGrid w:val="0"/>
              <w:spacing w:line="360" w:lineRule="auto"/>
              <w:jc w:val="center"/>
              <w:rPr>
                <w:rFonts w:hint="eastAsia"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100/10</w:t>
            </w:r>
            <w:r>
              <w:rPr>
                <w:rFonts w:hint="eastAsia" w:ascii="宋体" w:hAnsi="宋体" w:cs="仿宋"/>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环境状况</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98</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98</w:t>
            </w:r>
          </w:p>
        </w:tc>
        <w:tc>
          <w:tcPr>
            <w:tcW w:w="2254"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居住聚集度</w:t>
            </w:r>
          </w:p>
        </w:tc>
        <w:tc>
          <w:tcPr>
            <w:tcW w:w="2253"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100/100</w:t>
            </w:r>
          </w:p>
        </w:tc>
        <w:tc>
          <w:tcPr>
            <w:tcW w:w="2253"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100/100</w:t>
            </w:r>
          </w:p>
        </w:tc>
        <w:tc>
          <w:tcPr>
            <w:tcW w:w="2254"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外部配套设施</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100</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restart"/>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实物状况调整</w:t>
            </w: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用途</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建筑规模</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100</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4" w:type="dxa"/>
            <w:vAlign w:val="center"/>
          </w:tcPr>
          <w:p>
            <w:pPr>
              <w:adjustRightInd w:val="0"/>
              <w:snapToGrid w:val="0"/>
              <w:spacing w:line="360" w:lineRule="auto"/>
              <w:jc w:val="center"/>
              <w:rPr>
                <w:rFonts w:hint="eastAsia"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100/10</w:t>
            </w:r>
            <w:r>
              <w:rPr>
                <w:rFonts w:hint="eastAsia" w:ascii="宋体" w:hAnsi="宋体" w:cs="仿宋"/>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建筑结构</w:t>
            </w:r>
          </w:p>
        </w:tc>
        <w:tc>
          <w:tcPr>
            <w:tcW w:w="2253" w:type="dxa"/>
            <w:vAlign w:val="center"/>
          </w:tcPr>
          <w:p>
            <w:pPr>
              <w:adjustRightInd w:val="0"/>
              <w:snapToGrid w:val="0"/>
              <w:spacing w:line="360" w:lineRule="auto"/>
              <w:jc w:val="center"/>
              <w:rPr>
                <w:rFonts w:hint="eastAsia"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100/10</w:t>
            </w:r>
            <w:r>
              <w:rPr>
                <w:rFonts w:hint="eastAsia" w:ascii="宋体" w:hAnsi="宋体" w:cs="仿宋"/>
                <w:color w:val="auto"/>
                <w:sz w:val="18"/>
                <w:szCs w:val="18"/>
                <w:highlight w:val="none"/>
                <w:lang w:val="en-US" w:eastAsia="zh-CN"/>
              </w:rPr>
              <w:t>0</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户型</w:t>
            </w:r>
          </w:p>
        </w:tc>
        <w:tc>
          <w:tcPr>
            <w:tcW w:w="2253" w:type="dxa"/>
            <w:vAlign w:val="center"/>
          </w:tcPr>
          <w:p>
            <w:pPr>
              <w:jc w:val="center"/>
              <w:rPr>
                <w:rFonts w:hint="eastAsia" w:eastAsia="宋体"/>
                <w:color w:val="auto"/>
                <w:sz w:val="18"/>
                <w:szCs w:val="18"/>
                <w:highlight w:val="none"/>
                <w:lang w:val="en-US" w:eastAsia="zh-CN"/>
              </w:rPr>
            </w:pPr>
            <w:r>
              <w:rPr>
                <w:rFonts w:hint="eastAsia" w:ascii="宋体" w:hAnsi="宋体" w:cs="仿宋"/>
                <w:color w:val="auto"/>
                <w:sz w:val="18"/>
                <w:szCs w:val="18"/>
                <w:highlight w:val="none"/>
              </w:rPr>
              <w:t>100/9</w:t>
            </w:r>
            <w:r>
              <w:rPr>
                <w:rFonts w:hint="eastAsia" w:ascii="宋体" w:hAnsi="宋体" w:cs="仿宋"/>
                <w:color w:val="auto"/>
                <w:sz w:val="18"/>
                <w:szCs w:val="18"/>
                <w:highlight w:val="none"/>
                <w:lang w:val="en-US" w:eastAsia="zh-CN"/>
              </w:rPr>
              <w:t>8</w:t>
            </w:r>
          </w:p>
        </w:tc>
        <w:tc>
          <w:tcPr>
            <w:tcW w:w="2253" w:type="dxa"/>
            <w:vAlign w:val="center"/>
          </w:tcPr>
          <w:p>
            <w:pPr>
              <w:jc w:val="center"/>
              <w:rPr>
                <w:rFonts w:hint="default" w:eastAsia="宋体"/>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100</w:t>
            </w:r>
          </w:p>
        </w:tc>
        <w:tc>
          <w:tcPr>
            <w:tcW w:w="2254" w:type="dxa"/>
            <w:vAlign w:val="center"/>
          </w:tcPr>
          <w:p>
            <w:pPr>
              <w:jc w:val="center"/>
              <w:rPr>
                <w:rFonts w:hint="eastAsia" w:eastAsia="宋体"/>
                <w:color w:val="auto"/>
                <w:sz w:val="18"/>
                <w:szCs w:val="18"/>
                <w:highlight w:val="none"/>
                <w:lang w:val="en-US" w:eastAsia="zh-CN"/>
              </w:rPr>
            </w:pPr>
            <w:r>
              <w:rPr>
                <w:rFonts w:hint="eastAsia" w:ascii="宋体" w:hAnsi="宋体" w:cs="仿宋"/>
                <w:color w:val="auto"/>
                <w:sz w:val="18"/>
                <w:szCs w:val="18"/>
                <w:highlight w:val="none"/>
              </w:rPr>
              <w:t>100/9</w:t>
            </w:r>
            <w:r>
              <w:rPr>
                <w:rFonts w:hint="eastAsia" w:ascii="宋体" w:hAnsi="宋体" w:cs="仿宋"/>
                <w:color w:val="auto"/>
                <w:sz w:val="18"/>
                <w:szCs w:val="18"/>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设施设备</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装饰装修</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100</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100</w:t>
            </w:r>
          </w:p>
        </w:tc>
        <w:tc>
          <w:tcPr>
            <w:tcW w:w="2254"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空间布局</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维护保养</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102</w:t>
            </w:r>
          </w:p>
        </w:tc>
        <w:tc>
          <w:tcPr>
            <w:tcW w:w="2253" w:type="dxa"/>
            <w:vAlign w:val="center"/>
          </w:tcPr>
          <w:p>
            <w:pPr>
              <w:adjustRightInd w:val="0"/>
              <w:snapToGrid w:val="0"/>
              <w:spacing w:line="360" w:lineRule="auto"/>
              <w:jc w:val="center"/>
              <w:rPr>
                <w:rFonts w:hint="eastAsia"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100/10</w:t>
            </w:r>
            <w:r>
              <w:rPr>
                <w:rFonts w:hint="eastAsia" w:ascii="宋体" w:hAnsi="宋体" w:cs="仿宋"/>
                <w:color w:val="auto"/>
                <w:sz w:val="18"/>
                <w:szCs w:val="18"/>
                <w:highlight w:val="none"/>
                <w:lang w:val="en-US" w:eastAsia="zh-CN"/>
              </w:rPr>
              <w:t>2</w:t>
            </w:r>
          </w:p>
        </w:tc>
        <w:tc>
          <w:tcPr>
            <w:tcW w:w="2254"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w:t>
            </w:r>
            <w:r>
              <w:rPr>
                <w:rFonts w:hint="eastAsia" w:ascii="宋体" w:hAnsi="宋体" w:cs="仿宋"/>
                <w:color w:val="auto"/>
                <w:sz w:val="18"/>
                <w:szCs w:val="18"/>
                <w:highlight w:val="no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完损状况</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restart"/>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权益状况调整</w:t>
            </w: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权利状况</w:t>
            </w:r>
          </w:p>
        </w:tc>
        <w:tc>
          <w:tcPr>
            <w:tcW w:w="2253" w:type="dxa"/>
            <w:vAlign w:val="center"/>
          </w:tcPr>
          <w:p>
            <w:pPr>
              <w:adjustRightInd w:val="0"/>
              <w:snapToGrid w:val="0"/>
              <w:spacing w:line="360" w:lineRule="auto"/>
              <w:jc w:val="center"/>
              <w:rPr>
                <w:rFonts w:hint="eastAsia"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100/10</w:t>
            </w:r>
            <w:r>
              <w:rPr>
                <w:rFonts w:hint="eastAsia" w:ascii="宋体" w:hAnsi="宋体" w:cs="仿宋"/>
                <w:color w:val="auto"/>
                <w:sz w:val="18"/>
                <w:szCs w:val="18"/>
                <w:highlight w:val="none"/>
                <w:lang w:val="en-US" w:eastAsia="zh-CN"/>
              </w:rPr>
              <w:t>3</w:t>
            </w:r>
          </w:p>
        </w:tc>
        <w:tc>
          <w:tcPr>
            <w:tcW w:w="2253" w:type="dxa"/>
            <w:vAlign w:val="center"/>
          </w:tcPr>
          <w:p>
            <w:pPr>
              <w:adjustRightInd w:val="0"/>
              <w:snapToGrid w:val="0"/>
              <w:spacing w:line="360" w:lineRule="auto"/>
              <w:jc w:val="center"/>
              <w:rPr>
                <w:rFonts w:hint="eastAsia"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100/10</w:t>
            </w:r>
            <w:r>
              <w:rPr>
                <w:rFonts w:hint="eastAsia" w:ascii="宋体" w:hAnsi="宋体" w:cs="仿宋"/>
                <w:color w:val="auto"/>
                <w:sz w:val="18"/>
                <w:szCs w:val="18"/>
                <w:highlight w:val="none"/>
                <w:lang w:val="en-US" w:eastAsia="zh-CN"/>
              </w:rPr>
              <w:t>3</w:t>
            </w:r>
          </w:p>
        </w:tc>
        <w:tc>
          <w:tcPr>
            <w:tcW w:w="2254" w:type="dxa"/>
            <w:vAlign w:val="center"/>
          </w:tcPr>
          <w:p>
            <w:pPr>
              <w:adjustRightInd w:val="0"/>
              <w:snapToGrid w:val="0"/>
              <w:spacing w:line="360" w:lineRule="auto"/>
              <w:jc w:val="center"/>
              <w:rPr>
                <w:rFonts w:hint="eastAsia" w:ascii="宋体" w:hAnsi="宋体" w:eastAsia="宋体" w:cs="仿宋"/>
                <w:color w:val="auto"/>
                <w:sz w:val="18"/>
                <w:szCs w:val="18"/>
                <w:highlight w:val="none"/>
                <w:lang w:val="en-US" w:eastAsia="zh-CN"/>
              </w:rPr>
            </w:pPr>
            <w:r>
              <w:rPr>
                <w:rFonts w:hint="eastAsia" w:ascii="宋体" w:hAnsi="宋体" w:cs="仿宋"/>
                <w:color w:val="auto"/>
                <w:sz w:val="18"/>
                <w:szCs w:val="18"/>
                <w:highlight w:val="none"/>
              </w:rPr>
              <w:t>100/10</w:t>
            </w:r>
            <w:r>
              <w:rPr>
                <w:rFonts w:hint="eastAsia" w:ascii="宋体" w:hAnsi="宋体" w:cs="仿宋"/>
                <w:color w:val="auto"/>
                <w:sz w:val="18"/>
                <w:szCs w:val="1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使用管制</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相邻关系</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77" w:type="dxa"/>
            <w:vMerge w:val="continue"/>
            <w:vAlign w:val="center"/>
          </w:tcPr>
          <w:p>
            <w:pPr>
              <w:adjustRightInd w:val="0"/>
              <w:snapToGrid w:val="0"/>
              <w:spacing w:line="360" w:lineRule="auto"/>
              <w:jc w:val="center"/>
              <w:rPr>
                <w:rFonts w:ascii="宋体" w:hAnsi="宋体" w:cs="仿宋"/>
                <w:color w:val="auto"/>
                <w:sz w:val="18"/>
                <w:szCs w:val="18"/>
                <w:highlight w:val="none"/>
              </w:rPr>
            </w:pPr>
          </w:p>
        </w:tc>
        <w:tc>
          <w:tcPr>
            <w:tcW w:w="1652" w:type="dxa"/>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物业服务</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3"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c>
          <w:tcPr>
            <w:tcW w:w="2254" w:type="dxa"/>
            <w:vAlign w:val="center"/>
          </w:tcPr>
          <w:p>
            <w:pPr>
              <w:adjustRightInd w:val="0"/>
              <w:snapToGrid w:val="0"/>
              <w:spacing w:line="360" w:lineRule="auto"/>
              <w:jc w:val="center"/>
              <w:rPr>
                <w:rFonts w:ascii="宋体" w:hAnsi="宋体" w:cs="仿宋"/>
                <w:color w:val="auto"/>
                <w:sz w:val="18"/>
                <w:szCs w:val="18"/>
                <w:highlight w:val="none"/>
                <w:lang w:val="zh-CN"/>
              </w:rPr>
            </w:pPr>
            <w:r>
              <w:rPr>
                <w:rFonts w:hint="eastAsia" w:ascii="宋体" w:hAnsi="宋体" w:cs="仿宋"/>
                <w:color w:val="auto"/>
                <w:sz w:val="18"/>
                <w:szCs w:val="18"/>
                <w:highlight w:val="none"/>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29" w:type="dxa"/>
            <w:gridSpan w:val="2"/>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比较价格（元/</w:t>
            </w:r>
            <w:r>
              <w:rPr>
                <w:rFonts w:hint="eastAsia" w:ascii="宋体" w:hAnsi="宋体" w:cs="仿宋"/>
                <w:color w:val="auto"/>
                <w:sz w:val="18"/>
                <w:szCs w:val="18"/>
                <w:highlight w:val="none"/>
                <w:lang w:eastAsia="zh-CN"/>
              </w:rPr>
              <w:t>m2</w:t>
            </w:r>
            <w:r>
              <w:rPr>
                <w:rFonts w:hint="eastAsia" w:ascii="宋体" w:hAnsi="宋体" w:cs="仿宋"/>
                <w:color w:val="auto"/>
                <w:sz w:val="18"/>
                <w:szCs w:val="18"/>
                <w:highlight w:val="none"/>
              </w:rPr>
              <w:t>）</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3104.87</w:t>
            </w:r>
          </w:p>
        </w:tc>
        <w:tc>
          <w:tcPr>
            <w:tcW w:w="2253"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3000.62</w:t>
            </w:r>
          </w:p>
        </w:tc>
        <w:tc>
          <w:tcPr>
            <w:tcW w:w="2254" w:type="dxa"/>
            <w:vAlign w:val="center"/>
          </w:tcPr>
          <w:p>
            <w:pPr>
              <w:adjustRightInd w:val="0"/>
              <w:snapToGrid w:val="0"/>
              <w:spacing w:line="360" w:lineRule="auto"/>
              <w:jc w:val="center"/>
              <w:rPr>
                <w:rFonts w:hint="default" w:ascii="宋体" w:hAnsi="宋体" w:eastAsia="宋体" w:cs="仿宋"/>
                <w:color w:val="auto"/>
                <w:sz w:val="18"/>
                <w:szCs w:val="18"/>
                <w:highlight w:val="none"/>
                <w:lang w:val="en-US" w:eastAsia="zh-CN"/>
              </w:rPr>
            </w:pPr>
            <w:r>
              <w:rPr>
                <w:rFonts w:hint="eastAsia" w:ascii="宋体" w:hAnsi="宋体" w:cs="仿宋"/>
                <w:color w:val="auto"/>
                <w:sz w:val="18"/>
                <w:szCs w:val="18"/>
                <w:highlight w:val="none"/>
                <w:lang w:val="en-US" w:eastAsia="zh-CN"/>
              </w:rPr>
              <w:t>3233.68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29" w:type="dxa"/>
            <w:gridSpan w:val="2"/>
            <w:vAlign w:val="center"/>
          </w:tcPr>
          <w:p>
            <w:pPr>
              <w:adjustRightInd w:val="0"/>
              <w:snapToGrid w:val="0"/>
              <w:spacing w:line="360" w:lineRule="auto"/>
              <w:jc w:val="center"/>
              <w:rPr>
                <w:rFonts w:ascii="宋体" w:hAnsi="宋体" w:cs="仿宋"/>
                <w:color w:val="auto"/>
                <w:sz w:val="18"/>
                <w:szCs w:val="18"/>
                <w:highlight w:val="none"/>
              </w:rPr>
            </w:pPr>
            <w:r>
              <w:rPr>
                <w:rFonts w:hint="eastAsia" w:ascii="宋体" w:hAnsi="宋体" w:cs="仿宋"/>
                <w:color w:val="auto"/>
                <w:sz w:val="18"/>
                <w:szCs w:val="18"/>
                <w:highlight w:val="none"/>
              </w:rPr>
              <w:t>最终比较价格（</w:t>
            </w:r>
            <w:r>
              <w:rPr>
                <w:rFonts w:hint="eastAsia" w:ascii="宋体" w:hAnsi="宋体" w:cs="仿宋"/>
                <w:color w:val="auto"/>
                <w:sz w:val="18"/>
                <w:szCs w:val="18"/>
                <w:highlight w:val="none"/>
                <w:lang w:eastAsia="zh-CN"/>
              </w:rPr>
              <w:t>加权</w:t>
            </w:r>
            <w:r>
              <w:rPr>
                <w:rFonts w:hint="eastAsia" w:ascii="宋体" w:hAnsi="宋体" w:cs="仿宋"/>
                <w:color w:val="auto"/>
                <w:sz w:val="18"/>
                <w:szCs w:val="18"/>
                <w:highlight w:val="none"/>
              </w:rPr>
              <w:t>平均数）</w:t>
            </w:r>
          </w:p>
        </w:tc>
        <w:tc>
          <w:tcPr>
            <w:tcW w:w="6760" w:type="dxa"/>
            <w:gridSpan w:val="3"/>
            <w:vAlign w:val="center"/>
          </w:tcPr>
          <w:p>
            <w:pPr>
              <w:adjustRightInd w:val="0"/>
              <w:snapToGrid w:val="0"/>
              <w:spacing w:line="360" w:lineRule="auto"/>
              <w:jc w:val="center"/>
              <w:rPr>
                <w:rFonts w:hint="eastAsia" w:ascii="宋体" w:hAnsi="宋体" w:eastAsia="宋体" w:cs="仿宋"/>
                <w:color w:val="auto"/>
                <w:sz w:val="18"/>
                <w:szCs w:val="18"/>
                <w:highlight w:val="none"/>
                <w:lang w:eastAsia="zh-CN"/>
              </w:rPr>
            </w:pPr>
            <w:r>
              <w:rPr>
                <w:rFonts w:hint="eastAsia" w:ascii="宋体" w:hAnsi="宋体" w:cs="仿宋"/>
                <w:color w:val="auto"/>
                <w:sz w:val="18"/>
                <w:szCs w:val="18"/>
                <w:highlight w:val="none"/>
                <w:lang w:val="en-US" w:eastAsia="zh-CN"/>
              </w:rPr>
              <w:t>（3104.87+3000.62+3233.68）/3</w:t>
            </w:r>
            <w:r>
              <w:rPr>
                <w:rFonts w:hint="eastAsia" w:ascii="宋体" w:hAnsi="宋体" w:cs="仿宋"/>
                <w:color w:val="auto"/>
                <w:sz w:val="18"/>
                <w:szCs w:val="18"/>
                <w:highlight w:val="none"/>
              </w:rPr>
              <w:t>＝</w:t>
            </w:r>
            <w:r>
              <w:rPr>
                <w:rFonts w:hint="eastAsia" w:ascii="宋体" w:hAnsi="宋体" w:cs="仿宋"/>
                <w:color w:val="auto"/>
                <w:sz w:val="18"/>
                <w:szCs w:val="18"/>
                <w:highlight w:val="none"/>
                <w:lang w:val="en-US" w:eastAsia="zh-CN"/>
              </w:rPr>
              <w:t>3113.06</w:t>
            </w:r>
            <w:r>
              <w:rPr>
                <w:rFonts w:hint="eastAsia" w:ascii="宋体" w:hAnsi="宋体" w:cs="仿宋"/>
                <w:color w:val="auto"/>
                <w:sz w:val="18"/>
                <w:szCs w:val="18"/>
                <w:highlight w:val="none"/>
              </w:rPr>
              <w:t>元/</w:t>
            </w:r>
            <w:r>
              <w:rPr>
                <w:rFonts w:hint="eastAsia" w:ascii="宋体" w:hAnsi="宋体" w:cs="仿宋"/>
                <w:color w:val="auto"/>
                <w:sz w:val="18"/>
                <w:szCs w:val="18"/>
                <w:highlight w:val="none"/>
                <w:lang w:eastAsia="zh-CN"/>
              </w:rPr>
              <w:t>m2</w:t>
            </w:r>
          </w:p>
        </w:tc>
      </w:tr>
    </w:tbl>
    <w:p>
      <w:pPr>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各可比实例比较单价</w:t>
      </w:r>
      <w:r>
        <w:rPr>
          <w:rFonts w:hint="eastAsia" w:ascii="宋体" w:hAnsi="宋体" w:cs="宋体"/>
          <w:color w:val="auto"/>
          <w:sz w:val="28"/>
          <w:szCs w:val="28"/>
          <w:highlight w:val="none"/>
          <w:lang w:eastAsia="zh-CN"/>
        </w:rPr>
        <w:t>较相近</w:t>
      </w:r>
      <w:r>
        <w:rPr>
          <w:rFonts w:hint="eastAsia" w:ascii="宋体" w:hAnsi="宋体" w:cs="宋体"/>
          <w:color w:val="auto"/>
          <w:sz w:val="28"/>
          <w:szCs w:val="28"/>
          <w:highlight w:val="none"/>
        </w:rPr>
        <w:t>，</w:t>
      </w:r>
      <w:r>
        <w:rPr>
          <w:rFonts w:hint="eastAsia" w:ascii="宋体" w:hAnsi="宋体" w:eastAsia="宋体" w:cs="宋体"/>
          <w:sz w:val="28"/>
          <w:szCs w:val="28"/>
        </w:rPr>
        <w:t>最高比准价格与最低比准价格相差幅度在20%以内，符合文件规定，故以三个比准价格的简单算术平均值作为市场法的最终结果</w:t>
      </w:r>
      <w:r>
        <w:rPr>
          <w:rFonts w:hint="eastAsia" w:ascii="宋体" w:hAnsi="宋体" w:cs="宋体"/>
          <w:color w:val="auto"/>
          <w:sz w:val="28"/>
          <w:szCs w:val="28"/>
          <w:highlight w:val="none"/>
        </w:rPr>
        <w:t>。</w:t>
      </w:r>
    </w:p>
    <w:p>
      <w:pPr>
        <w:pStyle w:val="4"/>
        <w:numPr>
          <w:ilvl w:val="0"/>
          <w:numId w:val="4"/>
        </w:numPr>
        <w:ind w:firstLine="562" w:firstLineChars="200"/>
        <w:rPr>
          <w:rFonts w:hint="eastAsia" w:ascii="宋体" w:hAnsi="宋体" w:cs="宋体"/>
          <w:color w:val="auto"/>
          <w:sz w:val="28"/>
          <w:szCs w:val="28"/>
          <w:highlight w:val="none"/>
        </w:rPr>
      </w:pPr>
      <w:bookmarkStart w:id="247" w:name="_Toc432185383"/>
      <w:bookmarkStart w:id="248" w:name="_Toc400721909"/>
      <w:bookmarkStart w:id="249" w:name="_Toc397349849"/>
      <w:bookmarkStart w:id="250" w:name="_Toc471911613"/>
      <w:bookmarkStart w:id="251" w:name="_Toc421199860"/>
      <w:bookmarkStart w:id="252" w:name="_Toc468636054"/>
      <w:bookmarkStart w:id="253" w:name="_Toc519003062"/>
      <w:bookmarkStart w:id="254" w:name="_Toc430448853"/>
      <w:bookmarkStart w:id="255" w:name="_Toc519003097"/>
      <w:bookmarkStart w:id="256" w:name="_Toc468635845"/>
      <w:bookmarkStart w:id="257" w:name="_Toc430448940"/>
      <w:bookmarkStart w:id="258" w:name="_Toc470189773"/>
      <w:bookmarkStart w:id="259" w:name="_Toc424849396"/>
      <w:bookmarkStart w:id="260" w:name="_Toc2637"/>
      <w:bookmarkStart w:id="261" w:name="_Toc26974"/>
      <w:bookmarkStart w:id="262" w:name="_Toc26514"/>
      <w:bookmarkStart w:id="263" w:name="_Toc18335"/>
      <w:r>
        <w:rPr>
          <w:rFonts w:hint="eastAsia" w:ascii="宋体" w:hAnsi="宋体" w:cs="宋体"/>
          <w:color w:val="auto"/>
          <w:sz w:val="28"/>
          <w:szCs w:val="28"/>
          <w:highlight w:val="none"/>
        </w:rPr>
        <w:t>采用收益法进行评估</w:t>
      </w:r>
      <w:bookmarkEnd w:id="247"/>
      <w:bookmarkEnd w:id="248"/>
      <w:bookmarkEnd w:id="249"/>
      <w:bookmarkEnd w:id="250"/>
      <w:bookmarkEnd w:id="251"/>
      <w:bookmarkEnd w:id="252"/>
      <w:bookmarkEnd w:id="253"/>
      <w:bookmarkEnd w:id="254"/>
      <w:bookmarkEnd w:id="255"/>
      <w:bookmarkEnd w:id="256"/>
      <w:bookmarkEnd w:id="257"/>
      <w:bookmarkEnd w:id="258"/>
      <w:bookmarkEnd w:id="259"/>
      <w:r>
        <w:rPr>
          <w:rFonts w:hint="eastAsia" w:ascii="宋体" w:hAnsi="宋体" w:cs="宋体"/>
          <w:color w:val="auto"/>
          <w:sz w:val="28"/>
          <w:szCs w:val="28"/>
          <w:highlight w:val="none"/>
        </w:rPr>
        <w:t>：</w:t>
      </w:r>
      <w:bookmarkEnd w:id="260"/>
      <w:bookmarkEnd w:id="261"/>
      <w:bookmarkEnd w:id="262"/>
      <w:bookmarkEnd w:id="263"/>
    </w:p>
    <w:p>
      <w:pPr>
        <w:keepNext w:val="0"/>
        <w:keepLines w:val="0"/>
        <w:pageBreakBefore w:val="0"/>
        <w:widowControl w:val="0"/>
        <w:numPr>
          <w:ilvl w:val="0"/>
          <w:numId w:val="5"/>
        </w:numPr>
        <w:kinsoku/>
        <w:wordWrap/>
        <w:overflowPunct/>
        <w:topLinePunct w:val="0"/>
        <w:bidi w:val="0"/>
        <w:snapToGrid w:val="0"/>
        <w:spacing w:line="360" w:lineRule="auto"/>
        <w:ind w:left="490" w:leftChars="0" w:firstLine="0" w:firstLineChars="0"/>
        <w:textAlignment w:val="auto"/>
        <w:rPr>
          <w:rFonts w:hint="eastAsia"/>
          <w:color w:val="auto"/>
          <w:sz w:val="28"/>
          <w:szCs w:val="28"/>
          <w:highlight w:val="none"/>
          <w:lang w:val="en-US" w:eastAsia="zh-CN"/>
        </w:rPr>
      </w:pPr>
      <w:r>
        <w:rPr>
          <w:rFonts w:hint="eastAsia"/>
          <w:color w:val="auto"/>
          <w:sz w:val="28"/>
          <w:szCs w:val="28"/>
          <w:highlight w:val="none"/>
          <w:lang w:val="en-US" w:eastAsia="zh-CN"/>
        </w:rPr>
        <w:t>估价测算步骤、测算公式</w:t>
      </w:r>
    </w:p>
    <w:p>
      <w:pPr>
        <w:keepNext w:val="0"/>
        <w:keepLines w:val="0"/>
        <w:pageBreakBefore w:val="0"/>
        <w:widowControl w:val="0"/>
        <w:numPr>
          <w:ilvl w:val="0"/>
          <w:numId w:val="0"/>
        </w:numPr>
        <w:kinsoku/>
        <w:wordWrap/>
        <w:overflowPunct/>
        <w:topLinePunct w:val="0"/>
        <w:bidi w:val="0"/>
        <w:snapToGrid w:val="0"/>
        <w:spacing w:line="360" w:lineRule="auto"/>
        <w:ind w:left="490" w:leftChars="0"/>
        <w:textAlignment w:val="auto"/>
        <w:rPr>
          <w:rFonts w:hint="default"/>
          <w:color w:val="auto"/>
          <w:sz w:val="28"/>
          <w:szCs w:val="28"/>
          <w:highlight w:val="none"/>
          <w:lang w:val="en-US" w:eastAsia="zh-CN"/>
        </w:rPr>
      </w:pPr>
      <w:r>
        <w:rPr>
          <w:rFonts w:hint="eastAsia"/>
          <w:color w:val="auto"/>
          <w:sz w:val="28"/>
          <w:szCs w:val="28"/>
          <w:highlight w:val="none"/>
          <w:lang w:val="en-US" w:eastAsia="zh-CN"/>
        </w:rPr>
        <w:t>（1）测算步骤：</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ascii="宋体" w:hAnsi="宋体" w:cs="仿宋"/>
          <w:color w:val="auto"/>
          <w:sz w:val="28"/>
          <w:szCs w:val="28"/>
          <w:highlight w:val="none"/>
          <w:lang w:val="zh-CN"/>
        </w:rPr>
      </w:pPr>
      <w:bookmarkStart w:id="264" w:name="OLE_LINK1"/>
      <w:r>
        <w:rPr>
          <w:rFonts w:ascii="宋体" w:hAnsi="宋体" w:cs="仿宋"/>
          <w:color w:val="auto"/>
          <w:sz w:val="28"/>
          <w:szCs w:val="28"/>
          <w:highlight w:val="none"/>
          <w:lang w:val="zh-CN"/>
        </w:rPr>
        <w:fldChar w:fldCharType="begin"/>
      </w:r>
      <w:r>
        <w:rPr>
          <w:rFonts w:ascii="宋体" w:hAnsi="宋体" w:cs="仿宋"/>
          <w:color w:val="auto"/>
          <w:sz w:val="28"/>
          <w:szCs w:val="28"/>
          <w:highlight w:val="none"/>
          <w:lang w:val="zh-CN"/>
        </w:rPr>
        <w:instrText xml:space="preserve"> = 1 \* GB3 </w:instrText>
      </w:r>
      <w:r>
        <w:rPr>
          <w:rFonts w:ascii="宋体" w:hAnsi="宋体" w:cs="仿宋"/>
          <w:color w:val="auto"/>
          <w:sz w:val="28"/>
          <w:szCs w:val="28"/>
          <w:highlight w:val="none"/>
          <w:lang w:val="zh-CN"/>
        </w:rPr>
        <w:fldChar w:fldCharType="separate"/>
      </w:r>
      <w:r>
        <w:rPr>
          <w:rFonts w:hint="eastAsia" w:ascii="宋体" w:hAnsi="宋体" w:cs="仿宋"/>
          <w:color w:val="auto"/>
          <w:sz w:val="28"/>
          <w:szCs w:val="28"/>
          <w:highlight w:val="none"/>
          <w:lang w:val="zh-CN"/>
        </w:rPr>
        <w:t>①</w:t>
      </w:r>
      <w:r>
        <w:rPr>
          <w:rFonts w:ascii="宋体" w:hAnsi="宋体" w:cs="仿宋"/>
          <w:color w:val="auto"/>
          <w:sz w:val="28"/>
          <w:szCs w:val="28"/>
          <w:highlight w:val="none"/>
          <w:lang w:val="zh-CN"/>
        </w:rPr>
        <w:fldChar w:fldCharType="end"/>
      </w:r>
      <w:r>
        <w:rPr>
          <w:rFonts w:hint="eastAsia" w:ascii="宋体" w:hAnsi="宋体" w:cs="仿宋"/>
          <w:color w:val="auto"/>
          <w:sz w:val="28"/>
          <w:szCs w:val="28"/>
          <w:highlight w:val="none"/>
          <w:lang w:val="zh-CN"/>
        </w:rPr>
        <w:t>选择具体估价方法；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ascii="宋体" w:hAnsi="宋体" w:cs="仿宋"/>
          <w:color w:val="auto"/>
          <w:sz w:val="28"/>
          <w:szCs w:val="28"/>
          <w:highlight w:val="none"/>
          <w:lang w:val="zh-CN"/>
        </w:rPr>
      </w:pPr>
      <w:r>
        <w:rPr>
          <w:rFonts w:ascii="宋体" w:hAnsi="宋体" w:cs="仿宋"/>
          <w:color w:val="auto"/>
          <w:sz w:val="28"/>
          <w:szCs w:val="28"/>
          <w:highlight w:val="none"/>
          <w:lang w:val="zh-CN"/>
        </w:rPr>
        <w:fldChar w:fldCharType="begin"/>
      </w:r>
      <w:r>
        <w:rPr>
          <w:rFonts w:ascii="宋体" w:hAnsi="宋体" w:cs="仿宋"/>
          <w:color w:val="auto"/>
          <w:sz w:val="28"/>
          <w:szCs w:val="28"/>
          <w:highlight w:val="none"/>
          <w:lang w:val="zh-CN"/>
        </w:rPr>
        <w:instrText xml:space="preserve"> = 2 \* GB3 </w:instrText>
      </w:r>
      <w:r>
        <w:rPr>
          <w:rFonts w:ascii="宋体" w:hAnsi="宋体" w:cs="仿宋"/>
          <w:color w:val="auto"/>
          <w:sz w:val="28"/>
          <w:szCs w:val="28"/>
          <w:highlight w:val="none"/>
          <w:lang w:val="zh-CN"/>
        </w:rPr>
        <w:fldChar w:fldCharType="separate"/>
      </w:r>
      <w:r>
        <w:rPr>
          <w:rFonts w:hint="eastAsia" w:ascii="宋体" w:hAnsi="宋体" w:cs="仿宋"/>
          <w:color w:val="auto"/>
          <w:sz w:val="28"/>
          <w:szCs w:val="28"/>
          <w:highlight w:val="none"/>
          <w:lang w:val="zh-CN"/>
        </w:rPr>
        <w:t>②</w:t>
      </w:r>
      <w:r>
        <w:rPr>
          <w:rFonts w:ascii="宋体" w:hAnsi="宋体" w:cs="仿宋"/>
          <w:color w:val="auto"/>
          <w:sz w:val="28"/>
          <w:szCs w:val="28"/>
          <w:highlight w:val="none"/>
          <w:lang w:val="zh-CN"/>
        </w:rPr>
        <w:fldChar w:fldCharType="end"/>
      </w:r>
      <w:r>
        <w:rPr>
          <w:rFonts w:hint="eastAsia" w:ascii="宋体" w:hAnsi="宋体" w:cs="仿宋"/>
          <w:color w:val="auto"/>
          <w:sz w:val="28"/>
          <w:szCs w:val="28"/>
          <w:highlight w:val="none"/>
          <w:lang w:val="zh-CN"/>
        </w:rPr>
        <w:t>测算收益期或持有期；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ascii="宋体" w:hAnsi="宋体" w:cs="仿宋"/>
          <w:color w:val="auto"/>
          <w:sz w:val="28"/>
          <w:szCs w:val="28"/>
          <w:highlight w:val="none"/>
          <w:lang w:val="zh-CN"/>
        </w:rPr>
      </w:pPr>
      <w:r>
        <w:rPr>
          <w:rFonts w:ascii="宋体" w:hAnsi="宋体" w:cs="仿宋"/>
          <w:color w:val="auto"/>
          <w:sz w:val="28"/>
          <w:szCs w:val="28"/>
          <w:highlight w:val="none"/>
          <w:lang w:val="zh-CN"/>
        </w:rPr>
        <w:fldChar w:fldCharType="begin"/>
      </w:r>
      <w:r>
        <w:rPr>
          <w:rFonts w:ascii="宋体" w:hAnsi="宋体" w:cs="仿宋"/>
          <w:color w:val="auto"/>
          <w:sz w:val="28"/>
          <w:szCs w:val="28"/>
          <w:highlight w:val="none"/>
          <w:lang w:val="zh-CN"/>
        </w:rPr>
        <w:instrText xml:space="preserve"> = 3 \* GB3 </w:instrText>
      </w:r>
      <w:r>
        <w:rPr>
          <w:rFonts w:ascii="宋体" w:hAnsi="宋体" w:cs="仿宋"/>
          <w:color w:val="auto"/>
          <w:sz w:val="28"/>
          <w:szCs w:val="28"/>
          <w:highlight w:val="none"/>
          <w:lang w:val="zh-CN"/>
        </w:rPr>
        <w:fldChar w:fldCharType="separate"/>
      </w:r>
      <w:r>
        <w:rPr>
          <w:rFonts w:hint="eastAsia" w:ascii="宋体" w:hAnsi="宋体" w:cs="仿宋"/>
          <w:color w:val="auto"/>
          <w:sz w:val="28"/>
          <w:szCs w:val="28"/>
          <w:highlight w:val="none"/>
          <w:lang w:val="zh-CN"/>
        </w:rPr>
        <w:t>③</w:t>
      </w:r>
      <w:r>
        <w:rPr>
          <w:rFonts w:ascii="宋体" w:hAnsi="宋体" w:cs="仿宋"/>
          <w:color w:val="auto"/>
          <w:sz w:val="28"/>
          <w:szCs w:val="28"/>
          <w:highlight w:val="none"/>
          <w:lang w:val="zh-CN"/>
        </w:rPr>
        <w:fldChar w:fldCharType="end"/>
      </w:r>
      <w:r>
        <w:rPr>
          <w:rFonts w:hint="eastAsia" w:ascii="宋体" w:hAnsi="宋体" w:cs="仿宋"/>
          <w:color w:val="auto"/>
          <w:sz w:val="28"/>
          <w:szCs w:val="28"/>
          <w:highlight w:val="none"/>
          <w:lang w:val="zh-CN"/>
        </w:rPr>
        <w:t>测算未来收益；</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ascii="宋体" w:hAnsi="宋体" w:cs="仿宋"/>
          <w:color w:val="auto"/>
          <w:sz w:val="28"/>
          <w:szCs w:val="28"/>
          <w:highlight w:val="none"/>
          <w:lang w:val="zh-CN"/>
        </w:rPr>
      </w:pPr>
      <w:r>
        <w:rPr>
          <w:rFonts w:ascii="宋体" w:hAnsi="宋体" w:cs="仿宋"/>
          <w:color w:val="auto"/>
          <w:sz w:val="28"/>
          <w:szCs w:val="28"/>
          <w:highlight w:val="none"/>
          <w:lang w:val="zh-CN"/>
        </w:rPr>
        <w:fldChar w:fldCharType="begin"/>
      </w:r>
      <w:r>
        <w:rPr>
          <w:rFonts w:ascii="宋体" w:hAnsi="宋体" w:cs="仿宋"/>
          <w:color w:val="auto"/>
          <w:sz w:val="28"/>
          <w:szCs w:val="28"/>
          <w:highlight w:val="none"/>
          <w:lang w:val="zh-CN"/>
        </w:rPr>
        <w:instrText xml:space="preserve"> = 4 \* GB3 </w:instrText>
      </w:r>
      <w:r>
        <w:rPr>
          <w:rFonts w:ascii="宋体" w:hAnsi="宋体" w:cs="仿宋"/>
          <w:color w:val="auto"/>
          <w:sz w:val="28"/>
          <w:szCs w:val="28"/>
          <w:highlight w:val="none"/>
          <w:lang w:val="zh-CN"/>
        </w:rPr>
        <w:fldChar w:fldCharType="separate"/>
      </w:r>
      <w:r>
        <w:rPr>
          <w:rFonts w:hint="eastAsia" w:ascii="宋体" w:hAnsi="宋体" w:cs="仿宋"/>
          <w:color w:val="auto"/>
          <w:sz w:val="28"/>
          <w:szCs w:val="28"/>
          <w:highlight w:val="none"/>
          <w:lang w:val="zh-CN"/>
        </w:rPr>
        <w:t>④</w:t>
      </w:r>
      <w:r>
        <w:rPr>
          <w:rFonts w:ascii="宋体" w:hAnsi="宋体" w:cs="仿宋"/>
          <w:color w:val="auto"/>
          <w:sz w:val="28"/>
          <w:szCs w:val="28"/>
          <w:highlight w:val="none"/>
          <w:lang w:val="zh-CN"/>
        </w:rPr>
        <w:fldChar w:fldCharType="end"/>
      </w:r>
      <w:r>
        <w:rPr>
          <w:rFonts w:hint="eastAsia" w:ascii="宋体" w:hAnsi="宋体" w:cs="仿宋"/>
          <w:color w:val="auto"/>
          <w:sz w:val="28"/>
          <w:szCs w:val="28"/>
          <w:highlight w:val="none"/>
          <w:lang w:val="zh-CN"/>
        </w:rPr>
        <w:t>确定报酬率或资本化率、收益乘数；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ascii="宋体" w:hAnsi="宋体" w:cs="仿宋"/>
          <w:color w:val="auto"/>
          <w:sz w:val="28"/>
          <w:szCs w:val="28"/>
          <w:highlight w:val="none"/>
          <w:lang w:val="zh-CN"/>
        </w:rPr>
      </w:pPr>
      <w:r>
        <w:rPr>
          <w:rFonts w:ascii="宋体" w:hAnsi="宋体" w:cs="仿宋"/>
          <w:color w:val="auto"/>
          <w:sz w:val="28"/>
          <w:szCs w:val="28"/>
          <w:highlight w:val="none"/>
          <w:lang w:val="zh-CN"/>
        </w:rPr>
        <w:fldChar w:fldCharType="begin"/>
      </w:r>
      <w:r>
        <w:rPr>
          <w:rFonts w:ascii="宋体" w:hAnsi="宋体" w:cs="仿宋"/>
          <w:color w:val="auto"/>
          <w:sz w:val="28"/>
          <w:szCs w:val="28"/>
          <w:highlight w:val="none"/>
          <w:lang w:val="zh-CN"/>
        </w:rPr>
        <w:instrText xml:space="preserve"> = 5 \* GB3 </w:instrText>
      </w:r>
      <w:r>
        <w:rPr>
          <w:rFonts w:ascii="宋体" w:hAnsi="宋体" w:cs="仿宋"/>
          <w:color w:val="auto"/>
          <w:sz w:val="28"/>
          <w:szCs w:val="28"/>
          <w:highlight w:val="none"/>
          <w:lang w:val="zh-CN"/>
        </w:rPr>
        <w:fldChar w:fldCharType="separate"/>
      </w:r>
      <w:r>
        <w:rPr>
          <w:rFonts w:hint="eastAsia" w:ascii="宋体" w:hAnsi="宋体" w:cs="仿宋"/>
          <w:color w:val="auto"/>
          <w:sz w:val="28"/>
          <w:szCs w:val="28"/>
          <w:highlight w:val="none"/>
          <w:lang w:val="zh-CN"/>
        </w:rPr>
        <w:t>⑤</w:t>
      </w:r>
      <w:r>
        <w:rPr>
          <w:rFonts w:ascii="宋体" w:hAnsi="宋体" w:cs="仿宋"/>
          <w:color w:val="auto"/>
          <w:sz w:val="28"/>
          <w:szCs w:val="28"/>
          <w:highlight w:val="none"/>
          <w:lang w:val="zh-CN"/>
        </w:rPr>
        <w:fldChar w:fldCharType="end"/>
      </w:r>
      <w:r>
        <w:rPr>
          <w:rFonts w:hint="eastAsia" w:ascii="宋体" w:hAnsi="宋体" w:cs="仿宋"/>
          <w:color w:val="auto"/>
          <w:sz w:val="28"/>
          <w:szCs w:val="28"/>
          <w:highlight w:val="none"/>
          <w:lang w:val="zh-CN"/>
        </w:rPr>
        <w:t>计算收益价值。</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ascii="宋体" w:hAnsi="宋体" w:cs="仿宋"/>
          <w:color w:val="auto"/>
          <w:sz w:val="28"/>
          <w:szCs w:val="28"/>
          <w:highlight w:val="none"/>
        </w:rPr>
      </w:pPr>
      <w:r>
        <w:rPr>
          <w:rFonts w:hint="eastAsia" w:ascii="宋体" w:hAnsi="宋体" w:cs="仿宋"/>
          <w:color w:val="auto"/>
          <w:sz w:val="28"/>
          <w:szCs w:val="28"/>
          <w:highlight w:val="none"/>
        </w:rPr>
        <w:t>（2）计算公式：</w:t>
      </w:r>
    </w:p>
    <w:p>
      <w:pPr>
        <w:keepNext w:val="0"/>
        <w:keepLines w:val="0"/>
        <w:pageBreakBefore w:val="0"/>
        <w:widowControl w:val="0"/>
        <w:kinsoku/>
        <w:wordWrap/>
        <w:overflowPunct/>
        <w:topLinePunct w:val="0"/>
        <w:bidi w:val="0"/>
        <w:snapToGrid w:val="0"/>
        <w:spacing w:line="360" w:lineRule="auto"/>
        <w:ind w:firstLine="560" w:firstLineChars="200"/>
        <w:textAlignment w:val="auto"/>
        <w:rPr>
          <w:rFonts w:hint="eastAsia" w:ascii="宋体" w:hAnsi="宋体" w:cs="仿宋"/>
          <w:color w:val="auto"/>
          <w:sz w:val="28"/>
          <w:szCs w:val="28"/>
          <w:highlight w:val="none"/>
          <w:lang w:eastAsia="zh-CN"/>
        </w:rPr>
      </w:pPr>
      <w:r>
        <w:rPr>
          <w:color w:val="auto"/>
          <w:sz w:val="28"/>
          <w:highlight w:val="none"/>
        </w:rPr>
        <w:pict>
          <v:shape id="_x0000_s1055" o:spid="_x0000_s1055" o:spt="202" type="#_x0000_t202" style="position:absolute;left:0pt;margin-left:47.9pt;margin-top:14.95pt;height:49.95pt;width:120.4pt;z-index:251941888;mso-width-relative:page;mso-height-relative:page;" fillcolor="#FFFFFF" filled="t" stroked="f" coordsize="21600,21600">
            <v:path/>
            <v:fill on="t" color2="#FFFFFF" focussize="0,0"/>
            <v:stroke on="f"/>
            <v:imagedata o:title=""/>
            <o:lock v:ext="edit" aspectratio="f"/>
            <v:textbox>
              <w:txbxContent>
                <w:p>
                  <w:pPr>
                    <w:rPr>
                      <w:rFonts w:hint="default"/>
                      <w:lang w:val="en-US" w:eastAsia="zh-CN"/>
                    </w:rPr>
                  </w:pPr>
                  <w:r>
                    <w:rPr>
                      <w:rFonts w:hint="eastAsia"/>
                      <w:lang w:val="en-US" w:eastAsia="zh-CN"/>
                    </w:rPr>
                    <w:t>A       1</w:t>
                  </w:r>
                </w:p>
                <w:p>
                  <w:pPr>
                    <w:rPr>
                      <w:rFonts w:hint="default" w:eastAsia="宋体"/>
                      <w:lang w:val="en-US" w:eastAsia="zh-CN"/>
                    </w:rPr>
                  </w:pPr>
                  <w:r>
                    <w:rPr>
                      <w:rFonts w:hint="eastAsia"/>
                      <w:lang w:val="en-US" w:eastAsia="zh-CN"/>
                    </w:rPr>
                    <w:t>—[1-————]</w:t>
                  </w:r>
                </w:p>
                <w:p>
                  <w:pPr>
                    <w:rPr>
                      <w:rFonts w:hint="eastAsia" w:eastAsia="宋体"/>
                      <w:lang w:val="en-US" w:eastAsia="zh-CN"/>
                    </w:rPr>
                  </w:pPr>
                  <w:r>
                    <w:rPr>
                      <w:rFonts w:hint="eastAsia"/>
                      <w:lang w:val="en-US" w:eastAsia="zh-CN"/>
                    </w:rPr>
                    <w:t>Y    （1+r）</w:t>
                  </w:r>
                  <w:r>
                    <w:rPr>
                      <w:rFonts w:hint="eastAsia"/>
                      <w:vertAlign w:val="superscript"/>
                      <w:lang w:val="en-US" w:eastAsia="zh-CN"/>
                    </w:rPr>
                    <w:t>n</w:t>
                  </w:r>
                </w:p>
              </w:txbxContent>
            </v:textbox>
          </v:shape>
        </w:pict>
      </w:r>
      <w:r>
        <w:rPr>
          <w:rFonts w:hint="eastAsia"/>
          <w:color w:val="auto"/>
          <w:sz w:val="28"/>
          <w:highlight w:val="none"/>
          <w:lang w:eastAsia="zh-CN"/>
        </w:rPr>
        <w:t>采用</w:t>
      </w:r>
      <w:r>
        <w:rPr>
          <w:rFonts w:hint="eastAsia" w:ascii="宋体" w:hAnsi="宋体" w:cs="仿宋"/>
          <w:color w:val="auto"/>
          <w:sz w:val="28"/>
          <w:szCs w:val="28"/>
          <w:highlight w:val="none"/>
        </w:rPr>
        <w:t>净收益每年不变、收益年限为有限年情况下的</w:t>
      </w:r>
      <w:r>
        <w:rPr>
          <w:rFonts w:hint="eastAsia" w:ascii="宋体" w:hAnsi="宋体" w:cs="仿宋"/>
          <w:color w:val="auto"/>
          <w:sz w:val="28"/>
          <w:szCs w:val="28"/>
          <w:highlight w:val="none"/>
          <w:lang w:eastAsia="zh-CN"/>
        </w:rPr>
        <w:t>公式：</w:t>
      </w:r>
    </w:p>
    <w:p>
      <w:pPr>
        <w:spacing w:line="360" w:lineRule="auto"/>
        <w:ind w:firstLine="560" w:firstLineChars="200"/>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V=</w:t>
      </w:r>
    </w:p>
    <w:p>
      <w:pPr>
        <w:spacing w:line="360" w:lineRule="auto"/>
        <w:ind w:firstLine="560" w:firstLineChars="200"/>
        <w:rPr>
          <w:rFonts w:hint="eastAsia" w:ascii="宋体" w:hAnsi="宋体" w:cs="仿宋"/>
          <w:color w:val="auto"/>
          <w:sz w:val="28"/>
          <w:szCs w:val="28"/>
          <w:highlight w:val="none"/>
          <w:lang w:val="en-US" w:eastAsia="zh-CN"/>
        </w:rPr>
      </w:pPr>
    </w:p>
    <w:p>
      <w:pPr>
        <w:spacing w:line="360" w:lineRule="auto"/>
        <w:ind w:firstLine="560" w:firstLineChars="200"/>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式中：V——收益法评估价格</w:t>
      </w:r>
    </w:p>
    <w:p>
      <w:pPr>
        <w:spacing w:line="360" w:lineRule="auto"/>
        <w:ind w:firstLine="560" w:firstLineChars="200"/>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 xml:space="preserve">      A——房地产年净收益每年不变</w:t>
      </w:r>
    </w:p>
    <w:p>
      <w:pPr>
        <w:spacing w:line="360" w:lineRule="auto"/>
        <w:ind w:firstLine="560" w:firstLineChars="200"/>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 xml:space="preserve">      r——房地产报酬率</w:t>
      </w:r>
    </w:p>
    <w:p>
      <w:pPr>
        <w:spacing w:line="360" w:lineRule="auto"/>
        <w:ind w:firstLine="560" w:firstLineChars="200"/>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 xml:space="preserve">      n——房地产收益年限</w:t>
      </w:r>
    </w:p>
    <w:p>
      <w:pPr>
        <w:numPr>
          <w:ilvl w:val="0"/>
          <w:numId w:val="5"/>
        </w:numPr>
        <w:spacing w:line="360" w:lineRule="auto"/>
        <w:ind w:left="490" w:leftChars="0" w:firstLine="0" w:firstLineChars="0"/>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收益期</w:t>
      </w:r>
    </w:p>
    <w:p>
      <w:pPr>
        <w:adjustRightInd w:val="0"/>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估价对象房屋建于</w:t>
      </w:r>
      <w:r>
        <w:rPr>
          <w:rFonts w:hint="eastAsia" w:ascii="宋体" w:hAnsi="宋体" w:cs="宋体"/>
          <w:color w:val="auto"/>
          <w:sz w:val="28"/>
          <w:szCs w:val="28"/>
          <w:highlight w:val="none"/>
          <w:lang w:eastAsia="zh-CN"/>
        </w:rPr>
        <w:t>20</w:t>
      </w:r>
      <w:r>
        <w:rPr>
          <w:rFonts w:hint="eastAsia" w:ascii="宋体" w:hAnsi="宋体" w:cs="宋体"/>
          <w:color w:val="auto"/>
          <w:sz w:val="28"/>
          <w:szCs w:val="28"/>
          <w:highlight w:val="none"/>
          <w:lang w:val="en-US" w:eastAsia="zh-CN"/>
        </w:rPr>
        <w:t>08</w:t>
      </w:r>
      <w:r>
        <w:rPr>
          <w:rFonts w:hint="eastAsia" w:ascii="宋体" w:hAnsi="宋体" w:eastAsia="宋体" w:cs="宋体"/>
          <w:color w:val="auto"/>
          <w:sz w:val="28"/>
          <w:szCs w:val="28"/>
          <w:highlight w:val="none"/>
        </w:rPr>
        <w:t>年，房屋结构为</w:t>
      </w:r>
      <w:r>
        <w:rPr>
          <w:rFonts w:hint="eastAsia" w:ascii="宋体" w:hAnsi="宋体" w:cs="宋体"/>
          <w:color w:val="auto"/>
          <w:sz w:val="28"/>
          <w:szCs w:val="28"/>
          <w:highlight w:val="none"/>
          <w:lang w:eastAsia="zh-CN"/>
        </w:rPr>
        <w:t>砖混</w:t>
      </w:r>
      <w:r>
        <w:rPr>
          <w:rFonts w:hint="eastAsia" w:ascii="宋体" w:hAnsi="宋体" w:eastAsia="宋体" w:cs="宋体"/>
          <w:color w:val="auto"/>
          <w:sz w:val="28"/>
          <w:szCs w:val="28"/>
          <w:highlight w:val="none"/>
        </w:rPr>
        <w:t>结构，</w:t>
      </w:r>
      <w:r>
        <w:rPr>
          <w:rFonts w:hint="eastAsia" w:ascii="宋体" w:hAnsi="宋体" w:cs="宋体"/>
          <w:color w:val="auto"/>
          <w:sz w:val="28"/>
          <w:szCs w:val="28"/>
          <w:highlight w:val="none"/>
          <w:lang w:eastAsia="zh-CN"/>
        </w:rPr>
        <w:t>砖混</w:t>
      </w:r>
      <w:r>
        <w:rPr>
          <w:rFonts w:hint="eastAsia" w:ascii="宋体" w:hAnsi="宋体" w:eastAsia="宋体" w:cs="宋体"/>
          <w:color w:val="auto"/>
          <w:sz w:val="28"/>
          <w:szCs w:val="28"/>
          <w:highlight w:val="none"/>
        </w:rPr>
        <w:t>结构用房的经济耐用年限为</w:t>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t>0年，至价值时点已使用</w:t>
      </w:r>
      <w:r>
        <w:rPr>
          <w:rFonts w:hint="eastAsia" w:ascii="宋体" w:hAnsi="宋体" w:cs="宋体"/>
          <w:color w:val="auto"/>
          <w:sz w:val="28"/>
          <w:szCs w:val="28"/>
          <w:highlight w:val="none"/>
          <w:lang w:val="en-US" w:eastAsia="zh-CN"/>
        </w:rPr>
        <w:t>12</w:t>
      </w:r>
      <w:r>
        <w:rPr>
          <w:rFonts w:hint="eastAsia" w:ascii="宋体" w:hAnsi="宋体" w:eastAsia="宋体" w:cs="宋体"/>
          <w:color w:val="auto"/>
          <w:sz w:val="28"/>
          <w:szCs w:val="28"/>
          <w:highlight w:val="none"/>
        </w:rPr>
        <w:t>年，剩余经济</w:t>
      </w:r>
      <w:r>
        <w:rPr>
          <w:rFonts w:hint="eastAsia" w:ascii="宋体" w:hAnsi="宋体" w:cs="宋体"/>
          <w:color w:val="auto"/>
          <w:sz w:val="28"/>
          <w:szCs w:val="28"/>
          <w:highlight w:val="none"/>
          <w:lang w:eastAsia="zh-CN"/>
        </w:rPr>
        <w:t>寿命</w:t>
      </w:r>
      <w:r>
        <w:rPr>
          <w:rFonts w:hint="eastAsia" w:ascii="宋体" w:hAnsi="宋体" w:eastAsia="宋体" w:cs="宋体"/>
          <w:color w:val="auto"/>
          <w:sz w:val="28"/>
          <w:szCs w:val="28"/>
          <w:highlight w:val="none"/>
        </w:rPr>
        <w:t>为</w:t>
      </w:r>
      <w:r>
        <w:rPr>
          <w:rFonts w:hint="eastAsia" w:ascii="宋体" w:hAnsi="宋体" w:cs="宋体"/>
          <w:color w:val="auto"/>
          <w:sz w:val="28"/>
          <w:szCs w:val="28"/>
          <w:highlight w:val="none"/>
          <w:lang w:val="en-US" w:eastAsia="zh-CN"/>
        </w:rPr>
        <w:t>38</w:t>
      </w:r>
      <w:r>
        <w:rPr>
          <w:rFonts w:hint="eastAsia" w:ascii="宋体" w:hAnsi="宋体" w:eastAsia="宋体" w:cs="宋体"/>
          <w:color w:val="auto"/>
          <w:sz w:val="28"/>
          <w:szCs w:val="28"/>
          <w:highlight w:val="none"/>
        </w:rPr>
        <w:t>年。</w:t>
      </w:r>
      <w:r>
        <w:rPr>
          <w:rFonts w:hint="eastAsia" w:ascii="宋体" w:hAnsi="宋体" w:cs="宋体"/>
          <w:color w:val="auto"/>
          <w:sz w:val="28"/>
          <w:szCs w:val="28"/>
          <w:highlight w:val="none"/>
          <w:lang w:eastAsia="zh-CN"/>
        </w:rPr>
        <w:t>委托方未提供《土地使用证》，假设估价对象土地用途为住宅</w:t>
      </w:r>
      <w:r>
        <w:rPr>
          <w:rFonts w:hint="eastAsia" w:ascii="宋体" w:hAnsi="宋体" w:eastAsia="宋体" w:cs="宋体"/>
          <w:color w:val="auto"/>
          <w:sz w:val="28"/>
          <w:szCs w:val="28"/>
          <w:highlight w:val="none"/>
        </w:rPr>
        <w:t>，使用权年限为</w:t>
      </w:r>
      <w:r>
        <w:rPr>
          <w:rFonts w:hint="eastAsia" w:ascii="宋体" w:hAnsi="宋体" w:cs="宋体"/>
          <w:color w:val="auto"/>
          <w:sz w:val="28"/>
          <w:szCs w:val="28"/>
          <w:highlight w:val="none"/>
          <w:lang w:val="en-US" w:eastAsia="zh-CN"/>
        </w:rPr>
        <w:t>7</w:t>
      </w:r>
      <w:r>
        <w:rPr>
          <w:rFonts w:hint="eastAsia" w:ascii="宋体" w:hAnsi="宋体" w:eastAsia="宋体" w:cs="宋体"/>
          <w:color w:val="auto"/>
          <w:sz w:val="28"/>
          <w:szCs w:val="28"/>
          <w:highlight w:val="none"/>
        </w:rPr>
        <w:t>0年，至价值时点剩余使用年限为</w:t>
      </w:r>
      <w:r>
        <w:rPr>
          <w:rFonts w:hint="eastAsia" w:ascii="宋体" w:hAnsi="宋体" w:cs="宋体"/>
          <w:color w:val="auto"/>
          <w:sz w:val="28"/>
          <w:szCs w:val="28"/>
          <w:highlight w:val="none"/>
          <w:lang w:val="en-US" w:eastAsia="zh-CN"/>
        </w:rPr>
        <w:t>57</w:t>
      </w:r>
      <w:r>
        <w:rPr>
          <w:rFonts w:hint="eastAsia" w:ascii="宋体" w:hAnsi="宋体" w:eastAsia="宋体" w:cs="宋体"/>
          <w:color w:val="auto"/>
          <w:sz w:val="28"/>
          <w:szCs w:val="28"/>
          <w:highlight w:val="none"/>
        </w:rPr>
        <w:t>年，依据中华人民共和国国家标准《房地产估价规范》中的相关规定：“对于土地与建筑物合一的估价对象，当建筑物耐用年限长于土地使用权年限时，应根据土地使用权年限确定未来可获收益的年限；当建筑物耐用年限短于土地使用年限时，先根据建筑物耐用年限确定未来可获收益年限，然后再加上土地使用权年限超过建筑物耐用年限的土地剩余使用年限的折现值”。但根据调查目前整个房地产市场，虽然建筑物耐用年限到期，但只要建筑物维护养护较好，在土地使用期限到期之前，建筑物可持续使用。故本次评估按</w:t>
      </w:r>
      <w:r>
        <w:rPr>
          <w:rFonts w:hint="eastAsia" w:ascii="宋体" w:hAnsi="宋体" w:cs="宋体"/>
          <w:color w:val="auto"/>
          <w:sz w:val="28"/>
          <w:szCs w:val="28"/>
          <w:highlight w:val="none"/>
          <w:lang w:val="en-US" w:eastAsia="zh-CN"/>
        </w:rPr>
        <w:t>57</w:t>
      </w:r>
      <w:r>
        <w:rPr>
          <w:rFonts w:hint="eastAsia" w:ascii="宋体" w:hAnsi="宋体" w:eastAsia="宋体" w:cs="宋体"/>
          <w:color w:val="auto"/>
          <w:sz w:val="28"/>
          <w:szCs w:val="28"/>
          <w:highlight w:val="none"/>
        </w:rPr>
        <w:t>年确定其收益年限。</w:t>
      </w:r>
    </w:p>
    <w:p>
      <w:pPr>
        <w:numPr>
          <w:ilvl w:val="0"/>
          <w:numId w:val="5"/>
        </w:numPr>
        <w:adjustRightInd w:val="0"/>
        <w:snapToGrid w:val="0"/>
        <w:spacing w:line="360" w:lineRule="auto"/>
        <w:ind w:left="490" w:leftChars="0" w:firstLine="0" w:firstLineChars="0"/>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有效毛收入</w:t>
      </w:r>
    </w:p>
    <w:p>
      <w:pPr>
        <w:numPr>
          <w:ilvl w:val="0"/>
          <w:numId w:val="0"/>
        </w:numPr>
        <w:adjustRightInd w:val="0"/>
        <w:snapToGrid w:val="0"/>
        <w:spacing w:line="360" w:lineRule="auto"/>
        <w:ind w:left="490" w:leftChars="0"/>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按出租型求取有效毛收入。</w:t>
      </w:r>
    </w:p>
    <w:p>
      <w:pPr>
        <w:numPr>
          <w:ilvl w:val="0"/>
          <w:numId w:val="6"/>
        </w:numPr>
        <w:adjustRightInd w:val="0"/>
        <w:snapToGrid w:val="0"/>
        <w:spacing w:line="360" w:lineRule="auto"/>
        <w:ind w:left="490" w:leftChars="0"/>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租金水平</w:t>
      </w:r>
    </w:p>
    <w:p>
      <w:pPr>
        <w:numPr>
          <w:ilvl w:val="0"/>
          <w:numId w:val="0"/>
        </w:numPr>
        <w:adjustRightInd w:val="0"/>
        <w:snapToGrid w:val="0"/>
        <w:spacing w:line="360" w:lineRule="auto"/>
        <w:ind w:firstLine="560"/>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估价人员通过市场调查，选择了与估价对象区位相近的以下三个可比实例，详见下表：</w:t>
      </w:r>
    </w:p>
    <w:p>
      <w:pPr>
        <w:numPr>
          <w:ilvl w:val="0"/>
          <w:numId w:val="0"/>
        </w:numPr>
        <w:adjustRightInd w:val="0"/>
        <w:snapToGrid w:val="0"/>
        <w:spacing w:line="360" w:lineRule="auto"/>
        <w:jc w:val="center"/>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可比实例情况说明表</w:t>
      </w:r>
    </w:p>
    <w:tbl>
      <w:tblPr>
        <w:tblStyle w:val="19"/>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852"/>
        <w:gridCol w:w="1852"/>
        <w:gridCol w:w="1852"/>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Merge w:val="restart"/>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项目名称</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估价对象</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可比实例1</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可比实例2</w:t>
            </w:r>
          </w:p>
        </w:tc>
        <w:tc>
          <w:tcPr>
            <w:tcW w:w="185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可比实例3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Merge w:val="continue"/>
            <w:vAlign w:val="center"/>
          </w:tcPr>
          <w:p>
            <w:pPr>
              <w:snapToGrid w:val="0"/>
              <w:spacing w:line="300" w:lineRule="auto"/>
              <w:jc w:val="center"/>
              <w:rPr>
                <w:rFonts w:hint="eastAsia" w:ascii="宋体" w:hAnsi="宋体" w:cs="宋体"/>
                <w:color w:val="auto"/>
                <w:sz w:val="18"/>
                <w:szCs w:val="18"/>
                <w:highlight w:val="none"/>
                <w:lang w:eastAsia="zh-CN"/>
              </w:rPr>
            </w:pPr>
          </w:p>
        </w:tc>
        <w:tc>
          <w:tcPr>
            <w:tcW w:w="1852"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和谐景苑小区</w:t>
            </w:r>
          </w:p>
        </w:tc>
        <w:tc>
          <w:tcPr>
            <w:tcW w:w="1852"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欣星小区</w:t>
            </w:r>
          </w:p>
        </w:tc>
        <w:tc>
          <w:tcPr>
            <w:tcW w:w="1852"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盛世年华</w:t>
            </w:r>
          </w:p>
        </w:tc>
        <w:tc>
          <w:tcPr>
            <w:tcW w:w="185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瑞祥小区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租金</w:t>
            </w:r>
            <w:r>
              <w:rPr>
                <w:rFonts w:hint="eastAsia" w:ascii="宋体" w:hAnsi="宋体" w:cs="宋体"/>
                <w:color w:val="auto"/>
                <w:sz w:val="18"/>
                <w:szCs w:val="18"/>
                <w:highlight w:val="none"/>
                <w:lang w:eastAsia="zh-CN"/>
              </w:rPr>
              <w:t>单价</w:t>
            </w:r>
            <w:r>
              <w:rPr>
                <w:rFonts w:hint="eastAsia" w:ascii="宋体" w:hAnsi="宋体" w:cs="宋体"/>
                <w:color w:val="auto"/>
                <w:sz w:val="18"/>
                <w:szCs w:val="18"/>
                <w:highlight w:val="none"/>
              </w:rPr>
              <w:t>（元/</w:t>
            </w:r>
            <w:r>
              <w:rPr>
                <w:rFonts w:hint="eastAsia" w:ascii="宋体" w:hAnsi="宋体" w:cs="宋体"/>
                <w:color w:val="auto"/>
                <w:sz w:val="18"/>
                <w:szCs w:val="18"/>
                <w:highlight w:val="none"/>
                <w:lang w:eastAsia="zh-CN"/>
              </w:rPr>
              <w:t>m2</w:t>
            </w:r>
            <w:r>
              <w:rPr>
                <w:rFonts w:hint="eastAsia" w:ascii="宋体" w:hAnsi="宋体" w:cs="宋体"/>
                <w:color w:val="auto"/>
                <w:sz w:val="18"/>
                <w:szCs w:val="18"/>
                <w:highlight w:val="none"/>
              </w:rPr>
              <w:t>.年）</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w:t>
            </w:r>
          </w:p>
        </w:tc>
        <w:tc>
          <w:tcPr>
            <w:tcW w:w="1852"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127.20</w:t>
            </w:r>
          </w:p>
        </w:tc>
        <w:tc>
          <w:tcPr>
            <w:tcW w:w="1852"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130.91</w:t>
            </w:r>
          </w:p>
        </w:tc>
        <w:tc>
          <w:tcPr>
            <w:tcW w:w="185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户型</w:t>
            </w:r>
          </w:p>
        </w:tc>
        <w:tc>
          <w:tcPr>
            <w:tcW w:w="1852"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三室一厅一厨一卫</w:t>
            </w:r>
          </w:p>
        </w:tc>
        <w:tc>
          <w:tcPr>
            <w:tcW w:w="1852"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三室二厅一厨一卫</w:t>
            </w:r>
          </w:p>
        </w:tc>
        <w:tc>
          <w:tcPr>
            <w:tcW w:w="1852"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三室二厅一厨一卫</w:t>
            </w:r>
          </w:p>
        </w:tc>
        <w:tc>
          <w:tcPr>
            <w:tcW w:w="185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二室一厅一厨一卫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朝向</w:t>
            </w:r>
          </w:p>
        </w:tc>
        <w:tc>
          <w:tcPr>
            <w:tcW w:w="1852"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南</w:t>
            </w:r>
          </w:p>
        </w:tc>
        <w:tc>
          <w:tcPr>
            <w:tcW w:w="1852"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rPr>
              <w:t>南</w:t>
            </w:r>
            <w:r>
              <w:rPr>
                <w:rFonts w:hint="eastAsia" w:ascii="宋体" w:hAnsi="宋体" w:cs="宋体"/>
                <w:color w:val="auto"/>
                <w:sz w:val="18"/>
                <w:szCs w:val="18"/>
                <w:highlight w:val="none"/>
                <w:lang w:eastAsia="zh-CN"/>
              </w:rPr>
              <w:t>北</w:t>
            </w:r>
          </w:p>
        </w:tc>
        <w:tc>
          <w:tcPr>
            <w:tcW w:w="1852"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南北</w:t>
            </w:r>
          </w:p>
        </w:tc>
        <w:tc>
          <w:tcPr>
            <w:tcW w:w="185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交通</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较</w:t>
            </w:r>
            <w:r>
              <w:rPr>
                <w:rFonts w:hint="eastAsia" w:ascii="宋体" w:hAnsi="宋体" w:cs="宋体"/>
                <w:color w:val="auto"/>
                <w:sz w:val="18"/>
                <w:szCs w:val="18"/>
                <w:highlight w:val="none"/>
              </w:rPr>
              <w:t>便捷</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便捷</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便捷</w:t>
            </w:r>
          </w:p>
        </w:tc>
        <w:tc>
          <w:tcPr>
            <w:tcW w:w="185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环境景观</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较优</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较优</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较优</w:t>
            </w:r>
          </w:p>
        </w:tc>
        <w:tc>
          <w:tcPr>
            <w:tcW w:w="185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居住聚集度</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聚集</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聚集</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聚集</w:t>
            </w:r>
          </w:p>
        </w:tc>
        <w:tc>
          <w:tcPr>
            <w:tcW w:w="185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聚集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配套设施</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完善</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较</w:t>
            </w:r>
            <w:r>
              <w:rPr>
                <w:rFonts w:hint="eastAsia" w:ascii="宋体" w:hAnsi="宋体" w:cs="宋体"/>
                <w:color w:val="auto"/>
                <w:sz w:val="18"/>
                <w:szCs w:val="18"/>
                <w:highlight w:val="none"/>
              </w:rPr>
              <w:t>完善</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完善</w:t>
            </w:r>
          </w:p>
        </w:tc>
        <w:tc>
          <w:tcPr>
            <w:tcW w:w="185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建筑规模</w:t>
            </w:r>
          </w:p>
        </w:tc>
        <w:tc>
          <w:tcPr>
            <w:tcW w:w="1852"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73.73</w:t>
            </w:r>
          </w:p>
        </w:tc>
        <w:tc>
          <w:tcPr>
            <w:tcW w:w="1852"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110.0</w:t>
            </w:r>
          </w:p>
        </w:tc>
        <w:tc>
          <w:tcPr>
            <w:tcW w:w="1852"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110.0</w:t>
            </w:r>
          </w:p>
        </w:tc>
        <w:tc>
          <w:tcPr>
            <w:tcW w:w="185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建筑结构</w:t>
            </w:r>
          </w:p>
        </w:tc>
        <w:tc>
          <w:tcPr>
            <w:tcW w:w="1852"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砖混</w:t>
            </w:r>
          </w:p>
        </w:tc>
        <w:tc>
          <w:tcPr>
            <w:tcW w:w="1852"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砖混</w:t>
            </w:r>
          </w:p>
        </w:tc>
        <w:tc>
          <w:tcPr>
            <w:tcW w:w="1852"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砖混</w:t>
            </w:r>
          </w:p>
        </w:tc>
        <w:tc>
          <w:tcPr>
            <w:tcW w:w="185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砖混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基础设施</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完善</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完善</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完善</w:t>
            </w:r>
          </w:p>
        </w:tc>
        <w:tc>
          <w:tcPr>
            <w:tcW w:w="185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装饰装修</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一般</w:t>
            </w:r>
            <w:r>
              <w:rPr>
                <w:rFonts w:hint="eastAsia" w:ascii="宋体" w:hAnsi="宋体" w:cs="宋体"/>
                <w:color w:val="auto"/>
                <w:sz w:val="18"/>
                <w:szCs w:val="18"/>
                <w:highlight w:val="none"/>
              </w:rPr>
              <w:t>装修</w:t>
            </w:r>
          </w:p>
        </w:tc>
        <w:tc>
          <w:tcPr>
            <w:tcW w:w="1852"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简单装修</w:t>
            </w:r>
          </w:p>
        </w:tc>
        <w:tc>
          <w:tcPr>
            <w:tcW w:w="1852"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简单装修</w:t>
            </w:r>
          </w:p>
        </w:tc>
        <w:tc>
          <w:tcPr>
            <w:tcW w:w="185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简单</w:t>
            </w:r>
            <w:r>
              <w:rPr>
                <w:rFonts w:hint="eastAsia" w:ascii="宋体" w:hAnsi="宋体" w:cs="宋体"/>
                <w:color w:val="auto"/>
                <w:sz w:val="18"/>
                <w:szCs w:val="18"/>
                <w:highlight w:val="none"/>
              </w:rPr>
              <w:t>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空间布局</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较合理</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较合理</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较合理</w:t>
            </w:r>
          </w:p>
        </w:tc>
        <w:tc>
          <w:tcPr>
            <w:tcW w:w="185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较合理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是否带家具</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不带</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带部分家具</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带</w:t>
            </w:r>
            <w:r>
              <w:rPr>
                <w:rFonts w:hint="eastAsia" w:ascii="宋体" w:hAnsi="宋体" w:cs="宋体"/>
                <w:color w:val="auto"/>
                <w:sz w:val="18"/>
                <w:szCs w:val="18"/>
                <w:highlight w:val="none"/>
                <w:lang w:eastAsia="zh-CN"/>
              </w:rPr>
              <w:t>部分</w:t>
            </w:r>
            <w:r>
              <w:rPr>
                <w:rFonts w:hint="eastAsia" w:ascii="宋体" w:hAnsi="宋体" w:cs="宋体"/>
                <w:color w:val="auto"/>
                <w:sz w:val="18"/>
                <w:szCs w:val="18"/>
                <w:highlight w:val="none"/>
              </w:rPr>
              <w:t>家具</w:t>
            </w:r>
          </w:p>
        </w:tc>
        <w:tc>
          <w:tcPr>
            <w:tcW w:w="185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带</w:t>
            </w:r>
            <w:r>
              <w:rPr>
                <w:rFonts w:hint="eastAsia" w:ascii="宋体" w:hAnsi="宋体" w:cs="宋体"/>
                <w:color w:val="auto"/>
                <w:sz w:val="18"/>
                <w:szCs w:val="18"/>
                <w:highlight w:val="none"/>
                <w:lang w:eastAsia="zh-CN"/>
              </w:rPr>
              <w:t>部分</w:t>
            </w:r>
            <w:r>
              <w:rPr>
                <w:rFonts w:hint="eastAsia" w:ascii="宋体" w:hAnsi="宋体" w:cs="宋体"/>
                <w:color w:val="auto"/>
                <w:sz w:val="18"/>
                <w:szCs w:val="18"/>
                <w:highlight w:val="none"/>
              </w:rPr>
              <w:t>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维护保养</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较差</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较</w:t>
            </w:r>
            <w:r>
              <w:rPr>
                <w:rFonts w:hint="eastAsia" w:ascii="宋体" w:hAnsi="宋体" w:cs="宋体"/>
                <w:color w:val="auto"/>
                <w:sz w:val="18"/>
                <w:szCs w:val="18"/>
                <w:highlight w:val="none"/>
              </w:rPr>
              <w:t>优</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优</w:t>
            </w:r>
          </w:p>
        </w:tc>
        <w:tc>
          <w:tcPr>
            <w:tcW w:w="185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较</w:t>
            </w:r>
            <w:r>
              <w:rPr>
                <w:rFonts w:hint="eastAsia" w:ascii="宋体" w:hAnsi="宋体" w:cs="宋体"/>
                <w:color w:val="auto"/>
                <w:sz w:val="18"/>
                <w:szCs w:val="18"/>
                <w:highlight w:val="none"/>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权利状况</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较</w:t>
            </w:r>
            <w:r>
              <w:rPr>
                <w:rFonts w:hint="eastAsia" w:ascii="宋体" w:hAnsi="宋体" w:cs="宋体"/>
                <w:color w:val="auto"/>
                <w:sz w:val="18"/>
                <w:szCs w:val="18"/>
                <w:highlight w:val="none"/>
              </w:rPr>
              <w:t>完全产权</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完全产权</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完全产权</w:t>
            </w:r>
          </w:p>
        </w:tc>
        <w:tc>
          <w:tcPr>
            <w:tcW w:w="185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完全产权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使用管制</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受一定管制</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受一定管制</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受一定管制</w:t>
            </w:r>
          </w:p>
        </w:tc>
        <w:tc>
          <w:tcPr>
            <w:tcW w:w="185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受一定管制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相邻关系</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有一定限制</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有一定限制</w:t>
            </w:r>
          </w:p>
        </w:tc>
        <w:tc>
          <w:tcPr>
            <w:tcW w:w="1852"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有一定限制</w:t>
            </w:r>
          </w:p>
        </w:tc>
        <w:tc>
          <w:tcPr>
            <w:tcW w:w="185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有一定限制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租金内涵</w:t>
            </w:r>
          </w:p>
        </w:tc>
        <w:tc>
          <w:tcPr>
            <w:tcW w:w="1852" w:type="dxa"/>
            <w:vAlign w:val="center"/>
          </w:tcPr>
          <w:p>
            <w:pPr>
              <w:snapToGrid w:val="0"/>
              <w:spacing w:line="300" w:lineRule="auto"/>
              <w:ind w:firstLine="360" w:firstLineChars="200"/>
              <w:jc w:val="both"/>
              <w:rPr>
                <w:rFonts w:hint="eastAsia"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租赁面积为产权建筑面积，租金年付，押金为一个月租金，无店面转让费；</w:t>
            </w:r>
          </w:p>
          <w:p>
            <w:pPr>
              <w:snapToGrid w:val="0"/>
              <w:spacing w:line="300" w:lineRule="auto"/>
              <w:ind w:firstLine="360" w:firstLineChars="200"/>
              <w:jc w:val="both"/>
              <w:rPr>
                <w:rFonts w:hint="eastAsia"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承租方负责：店内装修，物业费，水电费，房屋出租税费；</w:t>
            </w:r>
          </w:p>
          <w:p>
            <w:pPr>
              <w:snapToGrid w:val="0"/>
              <w:spacing w:line="300" w:lineRule="auto"/>
              <w:ind w:firstLine="360" w:firstLineChars="200"/>
              <w:jc w:val="both"/>
              <w:rPr>
                <w:rFonts w:hint="eastAsia"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出租方负责：房屋维修费、保险费、管理费。</w:t>
            </w:r>
          </w:p>
        </w:tc>
        <w:tc>
          <w:tcPr>
            <w:tcW w:w="1852" w:type="dxa"/>
            <w:vAlign w:val="center"/>
          </w:tcPr>
          <w:p>
            <w:pPr>
              <w:snapToGrid w:val="0"/>
              <w:spacing w:line="300" w:lineRule="auto"/>
              <w:ind w:firstLine="360" w:firstLineChars="200"/>
              <w:jc w:val="both"/>
              <w:rPr>
                <w:rFonts w:hint="eastAsia"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租赁面积为产权建筑面积，租金年付，押金为一个月租金，无店面转让费；</w:t>
            </w:r>
          </w:p>
          <w:p>
            <w:pPr>
              <w:snapToGrid w:val="0"/>
              <w:spacing w:line="300" w:lineRule="auto"/>
              <w:ind w:firstLine="360" w:firstLineChars="200"/>
              <w:jc w:val="both"/>
              <w:rPr>
                <w:rFonts w:hint="eastAsia"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承租方负责：店内装修，物业费，水电费，房屋出租税费；</w:t>
            </w:r>
          </w:p>
          <w:p>
            <w:pPr>
              <w:snapToGrid w:val="0"/>
              <w:spacing w:line="300" w:lineRule="auto"/>
              <w:ind w:firstLine="360" w:firstLineChars="200"/>
              <w:jc w:val="both"/>
              <w:rPr>
                <w:rFonts w:ascii="宋体" w:hAnsi="宋体" w:cs="宋体"/>
                <w:color w:val="auto"/>
                <w:sz w:val="18"/>
                <w:szCs w:val="18"/>
                <w:highlight w:val="none"/>
              </w:rPr>
            </w:pPr>
            <w:r>
              <w:rPr>
                <w:rFonts w:hint="eastAsia" w:ascii="宋体" w:hAnsi="宋体" w:cs="宋体"/>
                <w:color w:val="auto"/>
                <w:sz w:val="18"/>
                <w:szCs w:val="18"/>
                <w:highlight w:val="none"/>
                <w:lang w:eastAsia="zh-CN"/>
              </w:rPr>
              <w:t>出租方负责：房屋维修费、保险费、管理费。</w:t>
            </w:r>
          </w:p>
        </w:tc>
        <w:tc>
          <w:tcPr>
            <w:tcW w:w="1852" w:type="dxa"/>
            <w:vAlign w:val="center"/>
          </w:tcPr>
          <w:p>
            <w:pPr>
              <w:snapToGrid w:val="0"/>
              <w:spacing w:line="300" w:lineRule="auto"/>
              <w:ind w:firstLine="360" w:firstLineChars="200"/>
              <w:jc w:val="both"/>
              <w:rPr>
                <w:rFonts w:hint="eastAsia"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租赁面积为产权建筑面积，租金年付，押金为一个月租金，无店面转让费；</w:t>
            </w:r>
          </w:p>
          <w:p>
            <w:pPr>
              <w:snapToGrid w:val="0"/>
              <w:spacing w:line="300" w:lineRule="auto"/>
              <w:ind w:firstLine="360" w:firstLineChars="200"/>
              <w:jc w:val="both"/>
              <w:rPr>
                <w:rFonts w:hint="eastAsia"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承租方负责：店内装修，物业费，水电费，房屋出租税费；</w:t>
            </w:r>
          </w:p>
          <w:p>
            <w:pPr>
              <w:snapToGrid w:val="0"/>
              <w:spacing w:line="300" w:lineRule="auto"/>
              <w:ind w:firstLine="360" w:firstLineChars="200"/>
              <w:jc w:val="both"/>
              <w:rPr>
                <w:rFonts w:ascii="宋体" w:hAnsi="宋体" w:cs="宋体"/>
                <w:color w:val="auto"/>
                <w:sz w:val="18"/>
                <w:szCs w:val="18"/>
                <w:highlight w:val="none"/>
              </w:rPr>
            </w:pPr>
            <w:r>
              <w:rPr>
                <w:rFonts w:hint="eastAsia" w:ascii="宋体" w:hAnsi="宋体" w:cs="宋体"/>
                <w:color w:val="auto"/>
                <w:sz w:val="18"/>
                <w:szCs w:val="18"/>
                <w:highlight w:val="none"/>
                <w:lang w:eastAsia="zh-CN"/>
              </w:rPr>
              <w:t>出租方负责：房屋维修费、保险费、管理费。</w:t>
            </w:r>
          </w:p>
        </w:tc>
        <w:tc>
          <w:tcPr>
            <w:tcW w:w="1855" w:type="dxa"/>
            <w:vAlign w:val="center"/>
          </w:tcPr>
          <w:p>
            <w:pPr>
              <w:snapToGrid w:val="0"/>
              <w:spacing w:line="300" w:lineRule="auto"/>
              <w:ind w:firstLine="360" w:firstLineChars="200"/>
              <w:jc w:val="both"/>
              <w:rPr>
                <w:rFonts w:hint="eastAsia"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租赁面积为产权建筑面积，租金年付，押金为一个月租金，无店面转让费；</w:t>
            </w:r>
          </w:p>
          <w:p>
            <w:pPr>
              <w:snapToGrid w:val="0"/>
              <w:spacing w:line="300" w:lineRule="auto"/>
              <w:ind w:firstLine="360" w:firstLineChars="200"/>
              <w:jc w:val="both"/>
              <w:rPr>
                <w:rFonts w:hint="eastAsia"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承租方负责：店内装修，物业费，水电费，房屋出租税费；</w:t>
            </w:r>
          </w:p>
          <w:p>
            <w:pPr>
              <w:snapToGrid w:val="0"/>
              <w:spacing w:line="300" w:lineRule="auto"/>
              <w:ind w:firstLine="360" w:firstLineChars="200"/>
              <w:jc w:val="both"/>
              <w:rPr>
                <w:rFonts w:ascii="宋体" w:hAnsi="宋体" w:cs="宋体"/>
                <w:color w:val="auto"/>
                <w:sz w:val="18"/>
                <w:szCs w:val="18"/>
                <w:highlight w:val="none"/>
              </w:rPr>
            </w:pPr>
            <w:r>
              <w:rPr>
                <w:rFonts w:hint="eastAsia" w:ascii="宋体" w:hAnsi="宋体" w:cs="宋体"/>
                <w:color w:val="auto"/>
                <w:sz w:val="18"/>
                <w:szCs w:val="18"/>
                <w:highlight w:val="none"/>
                <w:lang w:eastAsia="zh-CN"/>
              </w:rPr>
              <w:t>出租方负责：房屋维修费、保险费、管理费。</w:t>
            </w:r>
          </w:p>
        </w:tc>
      </w:tr>
    </w:tbl>
    <w:p>
      <w:pPr>
        <w:numPr>
          <w:ilvl w:val="0"/>
          <w:numId w:val="0"/>
        </w:numPr>
        <w:adjustRightInd w:val="0"/>
        <w:snapToGrid w:val="0"/>
        <w:spacing w:line="360" w:lineRule="auto"/>
        <w:ind w:firstLine="560"/>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可比实例租金调整系数表</w:t>
      </w:r>
    </w:p>
    <w:tbl>
      <w:tblPr>
        <w:tblStyle w:val="19"/>
        <w:tblW w:w="10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1215"/>
        <w:gridCol w:w="1215"/>
        <w:gridCol w:w="1215"/>
        <w:gridCol w:w="1215"/>
        <w:gridCol w:w="1215"/>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Merge w:val="restart"/>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项目名称</w:t>
            </w:r>
          </w:p>
        </w:tc>
        <w:tc>
          <w:tcPr>
            <w:tcW w:w="2430" w:type="dxa"/>
            <w:gridSpan w:val="2"/>
            <w:vAlign w:val="center"/>
          </w:tcPr>
          <w:p>
            <w:pPr>
              <w:snapToGrid w:val="0"/>
              <w:spacing w:line="30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可比实例1</w:t>
            </w:r>
          </w:p>
        </w:tc>
        <w:tc>
          <w:tcPr>
            <w:tcW w:w="2430" w:type="dxa"/>
            <w:gridSpan w:val="2"/>
            <w:vAlign w:val="center"/>
          </w:tcPr>
          <w:p>
            <w:pPr>
              <w:snapToGrid w:val="0"/>
              <w:spacing w:line="30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可比实例2</w:t>
            </w:r>
          </w:p>
        </w:tc>
        <w:tc>
          <w:tcPr>
            <w:tcW w:w="2430" w:type="dxa"/>
            <w:gridSpan w:val="2"/>
            <w:vAlign w:val="center"/>
          </w:tcPr>
          <w:p>
            <w:pPr>
              <w:snapToGrid w:val="0"/>
              <w:spacing w:line="30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可比实例3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Merge w:val="continue"/>
            <w:vAlign w:val="center"/>
          </w:tcPr>
          <w:p>
            <w:pPr>
              <w:snapToGrid w:val="0"/>
              <w:spacing w:line="300" w:lineRule="auto"/>
              <w:jc w:val="center"/>
              <w:rPr>
                <w:rFonts w:hint="eastAsia" w:ascii="宋体" w:hAnsi="宋体" w:cs="宋体"/>
                <w:color w:val="auto"/>
                <w:sz w:val="18"/>
                <w:szCs w:val="18"/>
                <w:highlight w:val="none"/>
                <w:lang w:eastAsia="zh-CN"/>
              </w:rPr>
            </w:pP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比较结果</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调整值</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比较结果</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调整值</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比较结果</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调整值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租金</w:t>
            </w:r>
            <w:r>
              <w:rPr>
                <w:rFonts w:hint="eastAsia" w:ascii="宋体" w:hAnsi="宋体" w:cs="宋体"/>
                <w:color w:val="auto"/>
                <w:sz w:val="18"/>
                <w:szCs w:val="18"/>
                <w:highlight w:val="none"/>
                <w:lang w:eastAsia="zh-CN"/>
              </w:rPr>
              <w:t>单价</w:t>
            </w:r>
            <w:r>
              <w:rPr>
                <w:rFonts w:hint="eastAsia" w:ascii="宋体" w:hAnsi="宋体" w:cs="宋体"/>
                <w:color w:val="auto"/>
                <w:sz w:val="18"/>
                <w:szCs w:val="18"/>
                <w:highlight w:val="none"/>
              </w:rPr>
              <w:t>（元/</w:t>
            </w:r>
            <w:r>
              <w:rPr>
                <w:rFonts w:hint="eastAsia" w:ascii="宋体" w:hAnsi="宋体" w:cs="宋体"/>
                <w:color w:val="auto"/>
                <w:sz w:val="18"/>
                <w:szCs w:val="18"/>
                <w:highlight w:val="none"/>
                <w:lang w:eastAsia="zh-CN"/>
              </w:rPr>
              <w:t>m2</w:t>
            </w:r>
            <w:r>
              <w:rPr>
                <w:rFonts w:hint="eastAsia" w:ascii="宋体" w:hAnsi="宋体" w:cs="宋体"/>
                <w:color w:val="auto"/>
                <w:sz w:val="18"/>
                <w:szCs w:val="18"/>
                <w:highlight w:val="none"/>
              </w:rPr>
              <w:t>.年）</w:t>
            </w:r>
          </w:p>
        </w:tc>
        <w:tc>
          <w:tcPr>
            <w:tcW w:w="2430" w:type="dxa"/>
            <w:gridSpan w:val="2"/>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127.20</w:t>
            </w:r>
          </w:p>
        </w:tc>
        <w:tc>
          <w:tcPr>
            <w:tcW w:w="2430" w:type="dxa"/>
            <w:gridSpan w:val="2"/>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130.91</w:t>
            </w:r>
          </w:p>
        </w:tc>
        <w:tc>
          <w:tcPr>
            <w:tcW w:w="2430" w:type="dxa"/>
            <w:gridSpan w:val="2"/>
            <w:vAlign w:val="center"/>
          </w:tcPr>
          <w:p>
            <w:pPr>
              <w:snapToGrid w:val="0"/>
              <w:spacing w:line="300" w:lineRule="auto"/>
              <w:jc w:val="center"/>
              <w:rPr>
                <w:rFonts w:hint="default"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156.0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户型</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较差</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朝向</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交通</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优</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优</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优</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环境景观</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居住聚集度</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配套设施</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较差</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rPr>
            </w:pPr>
            <w:r>
              <w:rPr>
                <w:rFonts w:hint="eastAsia" w:ascii="宋体" w:hAnsi="宋体" w:cs="宋体"/>
                <w:color w:val="auto"/>
                <w:sz w:val="18"/>
                <w:szCs w:val="18"/>
                <w:highlight w:val="none"/>
                <w:lang w:val="en-US" w:eastAsia="zh-CN"/>
              </w:rPr>
              <w:t>-2</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建筑规模</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rPr>
            </w:pPr>
            <w:r>
              <w:rPr>
                <w:rFonts w:hint="eastAsia" w:ascii="宋体" w:hAnsi="宋体" w:cs="宋体"/>
                <w:color w:val="auto"/>
                <w:sz w:val="18"/>
                <w:szCs w:val="18"/>
                <w:highlight w:val="none"/>
                <w:lang w:val="en-US" w:eastAsia="zh-CN"/>
              </w:rPr>
              <w:t>偏大</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rPr>
            </w:pPr>
            <w:r>
              <w:rPr>
                <w:rFonts w:hint="eastAsia" w:ascii="宋体" w:hAnsi="宋体" w:cs="宋体"/>
                <w:color w:val="auto"/>
                <w:sz w:val="18"/>
                <w:szCs w:val="18"/>
                <w:highlight w:val="none"/>
                <w:lang w:val="en-US" w:eastAsia="zh-CN"/>
              </w:rPr>
              <w:t>-2</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偏大</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-2</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rPr>
            </w:pPr>
            <w:r>
              <w:rPr>
                <w:rFonts w:hint="eastAsia" w:ascii="宋体" w:hAnsi="宋体" w:cs="宋体"/>
                <w:color w:val="auto"/>
                <w:sz w:val="18"/>
                <w:szCs w:val="18"/>
                <w:highlight w:val="none"/>
                <w:lang w:val="en-US" w:eastAsia="zh-CN"/>
              </w:rPr>
              <w:t>偏小</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rPr>
            </w:pPr>
            <w:r>
              <w:rPr>
                <w:rFonts w:hint="eastAsia" w:ascii="宋体" w:hAnsi="宋体" w:cs="宋体"/>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建筑结构</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rPr>
            </w:pPr>
            <w:r>
              <w:rPr>
                <w:rFonts w:hint="eastAsia" w:ascii="宋体" w:hAnsi="宋体" w:cs="宋体"/>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基础设施</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装饰装修</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空间布局</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是否带家具</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较优</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较优</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w:t>
            </w:r>
          </w:p>
        </w:tc>
        <w:tc>
          <w:tcPr>
            <w:tcW w:w="1215"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较优</w:t>
            </w:r>
          </w:p>
        </w:tc>
        <w:tc>
          <w:tcPr>
            <w:tcW w:w="1215"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维护保养</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较优</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rPr>
            </w:pPr>
            <w:r>
              <w:rPr>
                <w:rFonts w:hint="eastAsia" w:ascii="宋体" w:hAnsi="宋体" w:cs="宋体"/>
                <w:color w:val="auto"/>
                <w:sz w:val="18"/>
                <w:szCs w:val="18"/>
                <w:highlight w:val="none"/>
                <w:lang w:val="en-US" w:eastAsia="zh-CN"/>
              </w:rPr>
              <w:t>+2</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优</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rPr>
            </w:pPr>
            <w:r>
              <w:rPr>
                <w:rFonts w:hint="eastAsia" w:ascii="宋体" w:hAnsi="宋体" w:cs="宋体"/>
                <w:color w:val="auto"/>
                <w:sz w:val="18"/>
                <w:szCs w:val="18"/>
                <w:highlight w:val="none"/>
                <w:lang w:val="en-US" w:eastAsia="zh-CN"/>
              </w:rPr>
              <w:t>+3</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较优</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rPr>
            </w:pPr>
            <w:r>
              <w:rPr>
                <w:rFonts w:hint="eastAsia" w:ascii="宋体" w:hAnsi="宋体" w:cs="宋体"/>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权利状况</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较优</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rPr>
            </w:pPr>
            <w:r>
              <w:rPr>
                <w:rFonts w:hint="eastAsia" w:ascii="宋体" w:hAnsi="宋体" w:cs="宋体"/>
                <w:color w:val="auto"/>
                <w:sz w:val="18"/>
                <w:szCs w:val="18"/>
                <w:highlight w:val="none"/>
                <w:lang w:val="en-US" w:eastAsia="zh-CN"/>
              </w:rPr>
              <w:t>+1</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较优</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rPr>
            </w:pPr>
            <w:r>
              <w:rPr>
                <w:rFonts w:hint="eastAsia" w:ascii="宋体" w:hAnsi="宋体" w:cs="宋体"/>
                <w:color w:val="auto"/>
                <w:sz w:val="18"/>
                <w:szCs w:val="18"/>
                <w:highlight w:val="none"/>
                <w:lang w:val="en-US" w:eastAsia="zh-CN"/>
              </w:rPr>
              <w:t>+1</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较优</w:t>
            </w:r>
          </w:p>
        </w:tc>
        <w:tc>
          <w:tcPr>
            <w:tcW w:w="1215" w:type="dxa"/>
            <w:vAlign w:val="center"/>
          </w:tcPr>
          <w:p>
            <w:pPr>
              <w:snapToGrid w:val="0"/>
              <w:spacing w:line="300" w:lineRule="auto"/>
              <w:jc w:val="center"/>
              <w:rPr>
                <w:rFonts w:hint="default" w:ascii="宋体" w:hAnsi="宋体" w:cs="宋体"/>
                <w:color w:val="auto"/>
                <w:sz w:val="18"/>
                <w:szCs w:val="18"/>
                <w:highlight w:val="none"/>
                <w:lang w:val="en-US"/>
              </w:rPr>
            </w:pPr>
            <w:r>
              <w:rPr>
                <w:rFonts w:hint="eastAsia" w:ascii="宋体" w:hAnsi="宋体" w:cs="宋体"/>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使用管制</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相邻关系</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rPr>
              <w:t>租金内涵</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hint="eastAsia" w:ascii="宋体" w:hAnsi="宋体" w:cs="宋体"/>
                <w:color w:val="auto"/>
                <w:sz w:val="18"/>
                <w:szCs w:val="18"/>
                <w:highlight w:val="none"/>
                <w:lang w:eastAsia="zh-CN"/>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eastAsia="zh-CN"/>
              </w:rPr>
              <w:t>相同</w:t>
            </w:r>
          </w:p>
        </w:tc>
        <w:tc>
          <w:tcPr>
            <w:tcW w:w="1215" w:type="dxa"/>
            <w:vAlign w:val="center"/>
          </w:tcPr>
          <w:p>
            <w:pPr>
              <w:snapToGrid w:val="0"/>
              <w:spacing w:line="300" w:lineRule="auto"/>
              <w:jc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调整值合计</w:t>
            </w:r>
          </w:p>
        </w:tc>
        <w:tc>
          <w:tcPr>
            <w:tcW w:w="2430" w:type="dxa"/>
            <w:gridSpan w:val="2"/>
            <w:vAlign w:val="center"/>
          </w:tcPr>
          <w:p>
            <w:pPr>
              <w:snapToGrid w:val="0"/>
              <w:spacing w:line="300" w:lineRule="auto"/>
              <w:jc w:val="center"/>
              <w:rPr>
                <w:rFonts w:hint="default"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+3</w:t>
            </w:r>
          </w:p>
        </w:tc>
        <w:tc>
          <w:tcPr>
            <w:tcW w:w="2430" w:type="dxa"/>
            <w:gridSpan w:val="2"/>
            <w:vAlign w:val="center"/>
          </w:tcPr>
          <w:p>
            <w:pPr>
              <w:snapToGrid w:val="0"/>
              <w:spacing w:line="300" w:lineRule="auto"/>
              <w:jc w:val="center"/>
              <w:rPr>
                <w:rFonts w:hint="default"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+2</w:t>
            </w:r>
          </w:p>
        </w:tc>
        <w:tc>
          <w:tcPr>
            <w:tcW w:w="2430" w:type="dxa"/>
            <w:gridSpan w:val="2"/>
            <w:vAlign w:val="center"/>
          </w:tcPr>
          <w:p>
            <w:pPr>
              <w:snapToGrid w:val="0"/>
              <w:spacing w:line="300" w:lineRule="auto"/>
              <w:jc w:val="center"/>
              <w:rPr>
                <w:rFonts w:hint="default"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eastAsia="zh-CN"/>
              </w:rPr>
              <w:t>调整系数</w:t>
            </w:r>
          </w:p>
        </w:tc>
        <w:tc>
          <w:tcPr>
            <w:tcW w:w="2430" w:type="dxa"/>
            <w:gridSpan w:val="2"/>
            <w:vAlign w:val="center"/>
          </w:tcPr>
          <w:p>
            <w:pPr>
              <w:snapToGrid w:val="0"/>
              <w:spacing w:line="300" w:lineRule="auto"/>
              <w:jc w:val="center"/>
              <w:rPr>
                <w:rFonts w:hint="default"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100/103</w:t>
            </w:r>
          </w:p>
        </w:tc>
        <w:tc>
          <w:tcPr>
            <w:tcW w:w="2430" w:type="dxa"/>
            <w:gridSpan w:val="2"/>
            <w:vAlign w:val="center"/>
          </w:tcPr>
          <w:p>
            <w:pPr>
              <w:snapToGrid w:val="0"/>
              <w:spacing w:line="300" w:lineRule="auto"/>
              <w:jc w:val="center"/>
              <w:rPr>
                <w:rFonts w:hint="default"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100/102</w:t>
            </w:r>
          </w:p>
        </w:tc>
        <w:tc>
          <w:tcPr>
            <w:tcW w:w="2430" w:type="dxa"/>
            <w:gridSpan w:val="2"/>
            <w:vAlign w:val="center"/>
          </w:tcPr>
          <w:p>
            <w:pPr>
              <w:snapToGrid w:val="0"/>
              <w:spacing w:line="300" w:lineRule="auto"/>
              <w:jc w:val="center"/>
              <w:rPr>
                <w:rFonts w:hint="default"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100/102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eastAsia="zh-CN"/>
              </w:rPr>
              <w:t>比较单价（元</w:t>
            </w:r>
            <w:r>
              <w:rPr>
                <w:rFonts w:hint="eastAsia" w:ascii="宋体" w:hAnsi="宋体" w:cs="宋体"/>
                <w:color w:val="auto"/>
                <w:sz w:val="18"/>
                <w:szCs w:val="18"/>
                <w:highlight w:val="none"/>
                <w:lang w:val="en-US" w:eastAsia="zh-CN"/>
              </w:rPr>
              <w:t>/m</w:t>
            </w:r>
            <w:r>
              <w:rPr>
                <w:rFonts w:hint="eastAsia" w:ascii="宋体" w:hAnsi="宋体" w:cs="宋体"/>
                <w:color w:val="auto"/>
                <w:sz w:val="18"/>
                <w:szCs w:val="18"/>
                <w:highlight w:val="none"/>
                <w:vertAlign w:val="superscript"/>
                <w:lang w:val="en-US" w:eastAsia="zh-CN"/>
              </w:rPr>
              <w:t>2</w:t>
            </w:r>
            <w:r>
              <w:rPr>
                <w:rFonts w:hint="eastAsia" w:ascii="宋体" w:hAnsi="宋体" w:cs="宋体"/>
                <w:color w:val="auto"/>
                <w:sz w:val="18"/>
                <w:szCs w:val="18"/>
                <w:highlight w:val="none"/>
                <w:lang w:val="en-US" w:eastAsia="zh-CN"/>
              </w:rPr>
              <w:t>.年）</w:t>
            </w:r>
          </w:p>
        </w:tc>
        <w:tc>
          <w:tcPr>
            <w:tcW w:w="2430" w:type="dxa"/>
            <w:gridSpan w:val="2"/>
            <w:vAlign w:val="center"/>
          </w:tcPr>
          <w:p>
            <w:pPr>
              <w:snapToGrid w:val="0"/>
              <w:spacing w:line="300" w:lineRule="auto"/>
              <w:jc w:val="center"/>
              <w:rPr>
                <w:rFonts w:hint="default"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123.50</w:t>
            </w:r>
          </w:p>
        </w:tc>
        <w:tc>
          <w:tcPr>
            <w:tcW w:w="2430" w:type="dxa"/>
            <w:gridSpan w:val="2"/>
            <w:vAlign w:val="center"/>
          </w:tcPr>
          <w:p>
            <w:pPr>
              <w:snapToGrid w:val="0"/>
              <w:spacing w:line="300" w:lineRule="auto"/>
              <w:jc w:val="center"/>
              <w:rPr>
                <w:rFonts w:hint="default"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128.34</w:t>
            </w:r>
          </w:p>
        </w:tc>
        <w:tc>
          <w:tcPr>
            <w:tcW w:w="2430" w:type="dxa"/>
            <w:gridSpan w:val="2"/>
            <w:vAlign w:val="center"/>
          </w:tcPr>
          <w:p>
            <w:pPr>
              <w:snapToGrid w:val="0"/>
              <w:spacing w:line="300" w:lineRule="auto"/>
              <w:jc w:val="center"/>
              <w:rPr>
                <w:rFonts w:hint="default"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152.94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0" w:type="dxa"/>
            <w:vAlign w:val="center"/>
          </w:tcPr>
          <w:p>
            <w:pPr>
              <w:snapToGrid w:val="0"/>
              <w:spacing w:line="300" w:lineRule="auto"/>
              <w:jc w:val="center"/>
              <w:rPr>
                <w:rFonts w:hint="eastAsia" w:ascii="宋体" w:hAnsi="宋体" w:cs="宋体"/>
                <w:color w:val="auto"/>
                <w:sz w:val="18"/>
                <w:szCs w:val="18"/>
                <w:highlight w:val="none"/>
                <w:lang w:eastAsia="zh-CN"/>
              </w:rPr>
            </w:pPr>
            <w:r>
              <w:rPr>
                <w:rFonts w:hint="eastAsia" w:ascii="宋体" w:hAnsi="宋体" w:cs="宋体"/>
                <w:color w:val="auto"/>
                <w:sz w:val="18"/>
                <w:szCs w:val="18"/>
                <w:highlight w:val="none"/>
                <w:lang w:eastAsia="zh-CN"/>
              </w:rPr>
              <w:t>最终比较价格（算术平均数）</w:t>
            </w:r>
          </w:p>
        </w:tc>
        <w:tc>
          <w:tcPr>
            <w:tcW w:w="7290" w:type="dxa"/>
            <w:gridSpan w:val="6"/>
            <w:vAlign w:val="center"/>
          </w:tcPr>
          <w:p>
            <w:pPr>
              <w:snapToGrid w:val="0"/>
              <w:spacing w:line="300" w:lineRule="auto"/>
              <w:jc w:val="center"/>
              <w:rPr>
                <w:rFonts w:hint="default" w:ascii="宋体" w:hAnsi="宋体" w:cs="宋体"/>
                <w:color w:val="auto"/>
                <w:sz w:val="18"/>
                <w:szCs w:val="18"/>
                <w:highlight w:val="none"/>
                <w:vertAlign w:val="baseline"/>
                <w:lang w:val="en-US" w:eastAsia="zh-CN"/>
              </w:rPr>
            </w:pPr>
            <w:r>
              <w:rPr>
                <w:rFonts w:hint="eastAsia" w:ascii="宋体" w:hAnsi="宋体" w:cs="宋体"/>
                <w:color w:val="auto"/>
                <w:sz w:val="18"/>
                <w:szCs w:val="18"/>
                <w:highlight w:val="none"/>
                <w:lang w:val="en-US" w:eastAsia="zh-CN"/>
              </w:rPr>
              <w:t>（123.50+128.34+152.94）/3=134.93元/m</w:t>
            </w:r>
            <w:r>
              <w:rPr>
                <w:rFonts w:hint="eastAsia" w:ascii="宋体" w:hAnsi="宋体" w:cs="宋体"/>
                <w:color w:val="auto"/>
                <w:sz w:val="18"/>
                <w:szCs w:val="18"/>
                <w:highlight w:val="none"/>
                <w:vertAlign w:val="superscript"/>
                <w:lang w:val="en-US" w:eastAsia="zh-CN"/>
              </w:rPr>
              <w:t>2</w:t>
            </w:r>
            <w:r>
              <w:rPr>
                <w:rFonts w:hint="eastAsia" w:ascii="宋体" w:hAnsi="宋体" w:cs="宋体"/>
                <w:color w:val="auto"/>
                <w:sz w:val="18"/>
                <w:szCs w:val="18"/>
                <w:highlight w:val="none"/>
                <w:vertAlign w:val="baseline"/>
                <w:lang w:val="en-US" w:eastAsia="zh-CN"/>
              </w:rPr>
              <w:t>.年</w:t>
            </w:r>
          </w:p>
        </w:tc>
      </w:tr>
    </w:tbl>
    <w:p>
      <w:pPr>
        <w:numPr>
          <w:ilvl w:val="0"/>
          <w:numId w:val="0"/>
        </w:numPr>
        <w:adjustRightInd w:val="0"/>
        <w:snapToGrid w:val="0"/>
        <w:spacing w:line="360" w:lineRule="auto"/>
        <w:ind w:firstLine="560"/>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可比实例的比较单价较接近，故采用简单算术平均法求取租金的比较单价。</w:t>
      </w:r>
    </w:p>
    <w:p>
      <w:pPr>
        <w:numPr>
          <w:ilvl w:val="0"/>
          <w:numId w:val="6"/>
        </w:numPr>
        <w:adjustRightInd w:val="0"/>
        <w:snapToGrid w:val="0"/>
        <w:spacing w:line="360" w:lineRule="auto"/>
        <w:ind w:left="490" w:leftChars="0" w:firstLine="0" w:firstLineChars="0"/>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租约限制</w:t>
      </w:r>
    </w:p>
    <w:p>
      <w:pPr>
        <w:numPr>
          <w:ilvl w:val="0"/>
          <w:numId w:val="0"/>
        </w:numPr>
        <w:adjustRightInd w:val="0"/>
        <w:snapToGrid w:val="0"/>
        <w:spacing w:line="360" w:lineRule="auto"/>
        <w:ind w:left="490" w:leftChars="0"/>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估价对象无租约限制，故采用客观市场租金。</w:t>
      </w:r>
    </w:p>
    <w:p>
      <w:pPr>
        <w:numPr>
          <w:ilvl w:val="0"/>
          <w:numId w:val="6"/>
        </w:numPr>
        <w:adjustRightInd w:val="0"/>
        <w:snapToGrid w:val="0"/>
        <w:spacing w:line="360" w:lineRule="auto"/>
        <w:ind w:left="490" w:leftChars="0" w:firstLine="0" w:firstLineChars="0"/>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租赁面积确定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8" w:leftChars="0" w:firstLine="478" w:firstLineChars="171"/>
        <w:textAlignment w:val="auto"/>
        <w:rPr>
          <w:rFonts w:hint="default"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估价对象为住宅用房，租赁面积按实际使用面积结算，故租赁面积为实际租用的建筑面积，即租赁面积取产权证载面积。</w:t>
      </w:r>
    </w:p>
    <w:p>
      <w:pPr>
        <w:numPr>
          <w:ilvl w:val="0"/>
          <w:numId w:val="6"/>
        </w:numPr>
        <w:spacing w:line="360" w:lineRule="auto"/>
        <w:ind w:left="490" w:leftChars="0" w:firstLine="0" w:firstLineChars="0"/>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空置和租金损失</w:t>
      </w:r>
    </w:p>
    <w:p>
      <w:pPr>
        <w:numPr>
          <w:ilvl w:val="0"/>
          <w:numId w:val="0"/>
        </w:numPr>
        <w:spacing w:line="360" w:lineRule="auto"/>
        <w:ind w:firstLine="560" w:firstLineChars="200"/>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估价对象位于丘北县新城区，周边外部配套设施完善，上学、购物均很方便，出租率较高，结合本次估价目的，出租率按100%考虑；由于有租赁保证金（押金），故租金损失基本不会发生。</w:t>
      </w:r>
    </w:p>
    <w:p>
      <w:pPr>
        <w:numPr>
          <w:ilvl w:val="0"/>
          <w:numId w:val="5"/>
        </w:numPr>
        <w:spacing w:line="360" w:lineRule="auto"/>
        <w:ind w:left="490" w:leftChars="0" w:firstLine="0" w:firstLineChars="0"/>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其他收入</w:t>
      </w:r>
    </w:p>
    <w:p>
      <w:pPr>
        <w:numPr>
          <w:ilvl w:val="0"/>
          <w:numId w:val="0"/>
        </w:numPr>
        <w:spacing w:line="360" w:lineRule="auto"/>
        <w:ind w:left="10" w:leftChars="0" w:firstLine="478" w:firstLineChars="171"/>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其他收入为租赁保证金（押金）的利息收入。租金为年付，保证金（押金）为一个月的租金，至租期满返还，返还时不计利息。单位面积保证金（押金）=月租金单位=134.93÷12=11.24元/m</w:t>
      </w:r>
      <w:r>
        <w:rPr>
          <w:rFonts w:hint="eastAsia" w:ascii="宋体" w:hAnsi="宋体" w:cs="仿宋"/>
          <w:color w:val="auto"/>
          <w:sz w:val="28"/>
          <w:szCs w:val="28"/>
          <w:highlight w:val="none"/>
          <w:vertAlign w:val="superscript"/>
          <w:lang w:val="en-US" w:eastAsia="zh-CN"/>
        </w:rPr>
        <w:t>2</w:t>
      </w:r>
      <w:r>
        <w:rPr>
          <w:rFonts w:hint="eastAsia" w:ascii="宋体" w:hAnsi="宋体" w:cs="仿宋"/>
          <w:color w:val="auto"/>
          <w:sz w:val="28"/>
          <w:szCs w:val="28"/>
          <w:highlight w:val="none"/>
          <w:lang w:val="en-US" w:eastAsia="zh-CN"/>
        </w:rPr>
        <w:t>.月</w:t>
      </w:r>
    </w:p>
    <w:p>
      <w:pPr>
        <w:numPr>
          <w:ilvl w:val="0"/>
          <w:numId w:val="0"/>
        </w:numPr>
        <w:spacing w:line="360" w:lineRule="auto"/>
        <w:ind w:left="10" w:leftChars="0" w:firstLine="478" w:firstLineChars="171"/>
        <w:rPr>
          <w:rFonts w:hint="default"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保证金（押金）的存款利息取价值时点中国人民银行1年期定期存款利率1.5%，则保证金（押金）产生的年利率=11.24×1.5%=0.17元/m</w:t>
      </w:r>
      <w:r>
        <w:rPr>
          <w:rFonts w:hint="eastAsia" w:ascii="宋体" w:hAnsi="宋体" w:cs="仿宋"/>
          <w:color w:val="auto"/>
          <w:sz w:val="28"/>
          <w:szCs w:val="28"/>
          <w:highlight w:val="none"/>
          <w:vertAlign w:val="superscript"/>
          <w:lang w:val="en-US" w:eastAsia="zh-CN"/>
        </w:rPr>
        <w:t>2</w:t>
      </w:r>
    </w:p>
    <w:p>
      <w:pPr>
        <w:numPr>
          <w:ilvl w:val="0"/>
          <w:numId w:val="5"/>
        </w:numPr>
        <w:spacing w:line="360" w:lineRule="auto"/>
        <w:ind w:left="490" w:leftChars="0" w:firstLine="0" w:firstLineChars="0"/>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运营费用</w:t>
      </w:r>
    </w:p>
    <w:p>
      <w:pPr>
        <w:numPr>
          <w:ilvl w:val="0"/>
          <w:numId w:val="7"/>
        </w:numPr>
        <w:spacing w:line="360" w:lineRule="auto"/>
        <w:ind w:left="10" w:leftChars="0" w:firstLine="478" w:firstLineChars="171"/>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房屋维修折旧费，是指为保证房屋正常使用而进行定期维修和日常修理所需费用。根据丘北县现行市场状况，按房屋重置价格（砖混结构房屋的重置价格为1060元/m</w:t>
      </w:r>
      <w:r>
        <w:rPr>
          <w:rFonts w:hint="eastAsia" w:ascii="宋体" w:hAnsi="宋体" w:cs="仿宋"/>
          <w:color w:val="auto"/>
          <w:sz w:val="28"/>
          <w:szCs w:val="28"/>
          <w:highlight w:val="none"/>
          <w:vertAlign w:val="superscript"/>
          <w:lang w:val="en-US" w:eastAsia="zh-CN"/>
        </w:rPr>
        <w:t>2</w:t>
      </w:r>
      <w:r>
        <w:rPr>
          <w:rFonts w:hint="eastAsia" w:ascii="宋体" w:hAnsi="宋体" w:cs="仿宋"/>
          <w:color w:val="auto"/>
          <w:sz w:val="28"/>
          <w:szCs w:val="28"/>
          <w:highlight w:val="none"/>
          <w:lang w:val="en-US" w:eastAsia="zh-CN"/>
        </w:rPr>
        <w:t>）的1.5</w:t>
      </w:r>
      <w:r>
        <w:rPr>
          <w:rFonts w:hint="eastAsia" w:ascii="宋体" w:hAnsi="宋体" w:cs="宋体"/>
          <w:color w:val="auto"/>
          <w:sz w:val="28"/>
          <w:szCs w:val="28"/>
          <w:highlight w:val="none"/>
          <w:lang w:val="en-US" w:eastAsia="zh-CN"/>
        </w:rPr>
        <w:t>%</w:t>
      </w:r>
      <w:r>
        <w:rPr>
          <w:rFonts w:hint="eastAsia" w:ascii="宋体" w:hAnsi="宋体" w:cs="仿宋"/>
          <w:color w:val="auto"/>
          <w:sz w:val="28"/>
          <w:szCs w:val="28"/>
          <w:highlight w:val="none"/>
          <w:lang w:val="en-US" w:eastAsia="zh-CN"/>
        </w:rPr>
        <w:t>计算，则维修费为：1060元/m</w:t>
      </w:r>
      <w:r>
        <w:rPr>
          <w:rFonts w:hint="eastAsia" w:ascii="宋体" w:hAnsi="宋体" w:cs="仿宋"/>
          <w:color w:val="auto"/>
          <w:sz w:val="28"/>
          <w:szCs w:val="28"/>
          <w:highlight w:val="none"/>
          <w:vertAlign w:val="superscript"/>
          <w:lang w:val="en-US" w:eastAsia="zh-CN"/>
        </w:rPr>
        <w:t>2</w:t>
      </w:r>
      <w:r>
        <w:rPr>
          <w:rFonts w:hint="eastAsia" w:ascii="宋体" w:hAnsi="宋体" w:cs="仿宋"/>
          <w:color w:val="auto"/>
          <w:sz w:val="28"/>
          <w:szCs w:val="28"/>
          <w:highlight w:val="none"/>
          <w:lang w:val="en-US" w:eastAsia="zh-CN"/>
        </w:rPr>
        <w:t>×1.5</w:t>
      </w:r>
      <w:r>
        <w:rPr>
          <w:rFonts w:hint="eastAsia" w:ascii="宋体" w:hAnsi="宋体" w:cs="宋体"/>
          <w:color w:val="auto"/>
          <w:sz w:val="28"/>
          <w:szCs w:val="28"/>
          <w:highlight w:val="none"/>
          <w:lang w:val="en-US" w:eastAsia="zh-CN"/>
        </w:rPr>
        <w:t>%=15.90元/m</w:t>
      </w:r>
      <w:r>
        <w:rPr>
          <w:rFonts w:hint="eastAsia" w:ascii="宋体" w:hAnsi="宋体" w:cs="宋体"/>
          <w:color w:val="auto"/>
          <w:sz w:val="28"/>
          <w:szCs w:val="28"/>
          <w:highlight w:val="none"/>
          <w:vertAlign w:val="superscript"/>
          <w:lang w:val="en-US" w:eastAsia="zh-CN"/>
        </w:rPr>
        <w:t>2</w:t>
      </w:r>
    </w:p>
    <w:p>
      <w:pPr>
        <w:numPr>
          <w:ilvl w:val="0"/>
          <w:numId w:val="7"/>
        </w:numPr>
        <w:spacing w:line="360" w:lineRule="auto"/>
        <w:ind w:left="10" w:leftChars="0" w:firstLine="478" w:firstLineChars="171"/>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保险费，根据丘北县现行的保险费率及惯例，按房屋重置价格（框架结构房屋的重置价格为1060元/m</w:t>
      </w:r>
      <w:r>
        <w:rPr>
          <w:rFonts w:hint="eastAsia" w:ascii="宋体" w:hAnsi="宋体" w:cs="仿宋"/>
          <w:color w:val="auto"/>
          <w:sz w:val="28"/>
          <w:szCs w:val="28"/>
          <w:highlight w:val="none"/>
          <w:vertAlign w:val="superscript"/>
          <w:lang w:val="en-US" w:eastAsia="zh-CN"/>
        </w:rPr>
        <w:t>2</w:t>
      </w:r>
      <w:r>
        <w:rPr>
          <w:rFonts w:hint="eastAsia" w:ascii="宋体" w:hAnsi="宋体" w:cs="仿宋"/>
          <w:color w:val="auto"/>
          <w:sz w:val="28"/>
          <w:szCs w:val="28"/>
          <w:highlight w:val="none"/>
          <w:lang w:val="en-US" w:eastAsia="zh-CN"/>
        </w:rPr>
        <w:t>）的1.3</w:t>
      </w:r>
      <w:r>
        <w:rPr>
          <w:rFonts w:hint="eastAsia" w:ascii="宋体" w:hAnsi="宋体" w:eastAsia="宋体" w:cs="宋体"/>
          <w:color w:val="auto"/>
          <w:sz w:val="28"/>
          <w:szCs w:val="28"/>
          <w:highlight w:val="none"/>
        </w:rPr>
        <w:t>‰</w:t>
      </w:r>
      <w:r>
        <w:rPr>
          <w:rFonts w:hint="eastAsia" w:ascii="宋体" w:hAnsi="宋体" w:cs="仿宋"/>
          <w:color w:val="auto"/>
          <w:sz w:val="28"/>
          <w:szCs w:val="28"/>
          <w:highlight w:val="none"/>
          <w:lang w:val="en-US" w:eastAsia="zh-CN"/>
        </w:rPr>
        <w:t>计算，则保险费为：1060元/m</w:t>
      </w:r>
      <w:r>
        <w:rPr>
          <w:rFonts w:hint="eastAsia" w:ascii="宋体" w:hAnsi="宋体" w:cs="仿宋"/>
          <w:color w:val="auto"/>
          <w:sz w:val="28"/>
          <w:szCs w:val="28"/>
          <w:highlight w:val="none"/>
          <w:vertAlign w:val="superscript"/>
          <w:lang w:val="en-US" w:eastAsia="zh-CN"/>
        </w:rPr>
        <w:t>2</w:t>
      </w:r>
      <w:r>
        <w:rPr>
          <w:rFonts w:hint="eastAsia" w:ascii="宋体" w:hAnsi="宋体" w:cs="仿宋"/>
          <w:color w:val="auto"/>
          <w:sz w:val="28"/>
          <w:szCs w:val="28"/>
          <w:highlight w:val="none"/>
          <w:lang w:val="en-US" w:eastAsia="zh-CN"/>
        </w:rPr>
        <w:t>×1.3</w:t>
      </w:r>
      <w:r>
        <w:rPr>
          <w:rFonts w:hint="eastAsia" w:ascii="宋体" w:hAnsi="宋体" w:eastAsia="宋体" w:cs="宋体"/>
          <w:color w:val="auto"/>
          <w:sz w:val="28"/>
          <w:szCs w:val="28"/>
          <w:highlight w:val="none"/>
        </w:rPr>
        <w:t>‰</w:t>
      </w:r>
      <w:r>
        <w:rPr>
          <w:rFonts w:hint="eastAsia" w:ascii="宋体" w:hAnsi="宋体" w:cs="宋体"/>
          <w:color w:val="auto"/>
          <w:sz w:val="28"/>
          <w:szCs w:val="28"/>
          <w:highlight w:val="none"/>
          <w:lang w:val="en-US" w:eastAsia="zh-CN"/>
        </w:rPr>
        <w:t>=1.38元/m</w:t>
      </w:r>
      <w:r>
        <w:rPr>
          <w:rFonts w:hint="eastAsia" w:ascii="宋体" w:hAnsi="宋体" w:cs="宋体"/>
          <w:color w:val="auto"/>
          <w:sz w:val="28"/>
          <w:szCs w:val="28"/>
          <w:highlight w:val="none"/>
          <w:vertAlign w:val="superscript"/>
          <w:lang w:val="en-US" w:eastAsia="zh-CN"/>
        </w:rPr>
        <w:t>2</w:t>
      </w:r>
    </w:p>
    <w:p>
      <w:pPr>
        <w:numPr>
          <w:ilvl w:val="0"/>
          <w:numId w:val="7"/>
        </w:numPr>
        <w:spacing w:line="360" w:lineRule="auto"/>
        <w:ind w:left="10" w:leftChars="0" w:firstLine="478" w:firstLineChars="171"/>
        <w:rPr>
          <w:rFonts w:hint="default"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管理费：是指对房屋进行必要管理和服务所需的费用，根据丘北县现行市场状况，按房地产总有效毛收入的2%计算，则管理费为：（134.93+0.17）×2%=2.70元/m</w:t>
      </w:r>
      <w:r>
        <w:rPr>
          <w:rFonts w:hint="eastAsia" w:ascii="宋体" w:hAnsi="宋体" w:cs="仿宋"/>
          <w:color w:val="auto"/>
          <w:sz w:val="28"/>
          <w:szCs w:val="28"/>
          <w:highlight w:val="none"/>
          <w:vertAlign w:val="superscript"/>
          <w:lang w:val="en-US" w:eastAsia="zh-CN"/>
        </w:rPr>
        <w:t>2</w:t>
      </w:r>
    </w:p>
    <w:p>
      <w:pPr>
        <w:numPr>
          <w:ilvl w:val="0"/>
          <w:numId w:val="7"/>
        </w:numPr>
        <w:spacing w:line="360" w:lineRule="auto"/>
        <w:ind w:left="10" w:leftChars="0" w:firstLine="478" w:firstLineChars="171"/>
        <w:rPr>
          <w:rFonts w:hint="default"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税金：是指房屋经营活动中应交纳的各种税收，与房屋经营有关的税种有房产税、增值税、城建税、教育附加费等，经调查，丘北县税金均由承租人承担，则税金支出为0元/m</w:t>
      </w:r>
      <w:r>
        <w:rPr>
          <w:rFonts w:hint="eastAsia" w:ascii="宋体" w:hAnsi="宋体" w:cs="仿宋"/>
          <w:color w:val="auto"/>
          <w:sz w:val="28"/>
          <w:szCs w:val="28"/>
          <w:highlight w:val="none"/>
          <w:vertAlign w:val="superscript"/>
          <w:lang w:val="en-US" w:eastAsia="zh-CN"/>
        </w:rPr>
        <w:t>2</w:t>
      </w:r>
    </w:p>
    <w:p>
      <w:pPr>
        <w:numPr>
          <w:ilvl w:val="0"/>
          <w:numId w:val="7"/>
        </w:numPr>
        <w:spacing w:line="360" w:lineRule="auto"/>
        <w:ind w:left="10" w:leftChars="0" w:firstLine="478" w:firstLineChars="171"/>
        <w:rPr>
          <w:rFonts w:hint="default"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年运营费用：15.90+1.38+2.70+0=19.98元/m</w:t>
      </w:r>
      <w:r>
        <w:rPr>
          <w:rFonts w:hint="eastAsia" w:ascii="宋体" w:hAnsi="宋体" w:cs="仿宋"/>
          <w:color w:val="auto"/>
          <w:sz w:val="28"/>
          <w:szCs w:val="28"/>
          <w:highlight w:val="none"/>
          <w:vertAlign w:val="superscript"/>
          <w:lang w:val="en-US" w:eastAsia="zh-CN"/>
        </w:rPr>
        <w:t>2</w:t>
      </w:r>
    </w:p>
    <w:p>
      <w:pPr>
        <w:numPr>
          <w:ilvl w:val="0"/>
          <w:numId w:val="5"/>
        </w:numPr>
        <w:spacing w:line="360" w:lineRule="auto"/>
        <w:ind w:left="490" w:leftChars="0" w:firstLine="0" w:firstLineChars="0"/>
        <w:rPr>
          <w:rFonts w:hint="eastAsia" w:ascii="宋体" w:hAnsi="宋体" w:cs="仿宋"/>
          <w:color w:val="auto"/>
          <w:sz w:val="28"/>
          <w:szCs w:val="28"/>
          <w:highlight w:val="none"/>
          <w:vertAlign w:val="baseline"/>
          <w:lang w:val="en-US" w:eastAsia="zh-CN"/>
        </w:rPr>
      </w:pPr>
      <w:r>
        <w:rPr>
          <w:rFonts w:hint="eastAsia" w:ascii="宋体" w:hAnsi="宋体" w:cs="仿宋"/>
          <w:color w:val="auto"/>
          <w:sz w:val="28"/>
          <w:szCs w:val="28"/>
          <w:highlight w:val="none"/>
          <w:vertAlign w:val="baseline"/>
          <w:lang w:val="en-US" w:eastAsia="zh-CN"/>
        </w:rPr>
        <w:t>收益期净收益</w:t>
      </w:r>
    </w:p>
    <w:p>
      <w:pPr>
        <w:numPr>
          <w:ilvl w:val="0"/>
          <w:numId w:val="0"/>
        </w:numPr>
        <w:spacing w:line="360" w:lineRule="auto"/>
        <w:ind w:left="490" w:leftChars="0"/>
        <w:rPr>
          <w:rFonts w:hint="eastAsia" w:ascii="宋体" w:hAnsi="宋体" w:cs="仿宋"/>
          <w:color w:val="auto"/>
          <w:sz w:val="28"/>
          <w:szCs w:val="28"/>
          <w:highlight w:val="none"/>
          <w:vertAlign w:val="baseline"/>
          <w:lang w:val="en-US" w:eastAsia="zh-CN"/>
        </w:rPr>
      </w:pPr>
      <w:r>
        <w:rPr>
          <w:rFonts w:hint="eastAsia" w:ascii="宋体" w:hAnsi="宋体" w:cs="仿宋"/>
          <w:color w:val="auto"/>
          <w:sz w:val="28"/>
          <w:szCs w:val="28"/>
          <w:highlight w:val="none"/>
          <w:vertAlign w:val="baseline"/>
          <w:lang w:val="en-US" w:eastAsia="zh-CN"/>
        </w:rPr>
        <w:t>年有效毛租金收入+年其他收入-年运营费用=年净收益（A）</w:t>
      </w:r>
    </w:p>
    <w:p>
      <w:pPr>
        <w:numPr>
          <w:ilvl w:val="0"/>
          <w:numId w:val="0"/>
        </w:numPr>
        <w:spacing w:line="360" w:lineRule="auto"/>
        <w:ind w:left="490" w:leftChars="0"/>
        <w:rPr>
          <w:rFonts w:hint="eastAsia" w:ascii="宋体" w:hAnsi="宋体" w:cs="仿宋"/>
          <w:color w:val="auto"/>
          <w:sz w:val="28"/>
          <w:szCs w:val="28"/>
          <w:highlight w:val="none"/>
          <w:vertAlign w:val="baseline"/>
          <w:lang w:val="en-US" w:eastAsia="zh-CN"/>
        </w:rPr>
      </w:pPr>
      <w:r>
        <w:rPr>
          <w:rFonts w:hint="eastAsia" w:ascii="宋体" w:hAnsi="宋体" w:cs="仿宋"/>
          <w:color w:val="auto"/>
          <w:sz w:val="28"/>
          <w:szCs w:val="28"/>
          <w:highlight w:val="none"/>
          <w:vertAlign w:val="baseline"/>
          <w:lang w:val="en-US" w:eastAsia="zh-CN"/>
        </w:rPr>
        <w:t>134.93+0.17-19.98=115.12元/m</w:t>
      </w:r>
      <w:r>
        <w:rPr>
          <w:rFonts w:hint="eastAsia" w:ascii="宋体" w:hAnsi="宋体" w:cs="仿宋"/>
          <w:color w:val="auto"/>
          <w:sz w:val="28"/>
          <w:szCs w:val="28"/>
          <w:highlight w:val="none"/>
          <w:vertAlign w:val="superscript"/>
          <w:lang w:val="en-US" w:eastAsia="zh-CN"/>
        </w:rPr>
        <w:t>2</w:t>
      </w:r>
    </w:p>
    <w:p>
      <w:pPr>
        <w:numPr>
          <w:ilvl w:val="0"/>
          <w:numId w:val="5"/>
        </w:numPr>
        <w:spacing w:line="360" w:lineRule="auto"/>
        <w:ind w:left="490" w:leftChars="0" w:firstLine="0" w:firstLineChars="0"/>
        <w:rPr>
          <w:rFonts w:hint="eastAsia" w:ascii="宋体" w:hAnsi="宋体" w:cs="仿宋"/>
          <w:color w:val="auto"/>
          <w:sz w:val="28"/>
          <w:szCs w:val="28"/>
          <w:highlight w:val="none"/>
          <w:vertAlign w:val="baseline"/>
          <w:lang w:val="en-US" w:eastAsia="zh-CN"/>
        </w:rPr>
      </w:pPr>
      <w:r>
        <w:rPr>
          <w:rFonts w:hint="eastAsia" w:ascii="宋体" w:hAnsi="宋体" w:cs="仿宋"/>
          <w:color w:val="auto"/>
          <w:sz w:val="28"/>
          <w:szCs w:val="28"/>
          <w:highlight w:val="none"/>
          <w:vertAlign w:val="baseline"/>
          <w:lang w:val="en-US" w:eastAsia="zh-CN"/>
        </w:rPr>
        <w:t>收益期净收益变化趋势分析</w:t>
      </w:r>
    </w:p>
    <w:p>
      <w:pPr>
        <w:numPr>
          <w:ilvl w:val="0"/>
          <w:numId w:val="0"/>
        </w:numPr>
        <w:spacing w:line="360" w:lineRule="auto"/>
        <w:ind w:left="10" w:leftChars="0" w:firstLine="478" w:firstLineChars="171"/>
        <w:rPr>
          <w:rFonts w:hint="eastAsia" w:ascii="宋体" w:hAnsi="宋体" w:cs="仿宋"/>
          <w:color w:val="auto"/>
          <w:sz w:val="28"/>
          <w:szCs w:val="28"/>
          <w:highlight w:val="none"/>
          <w:vertAlign w:val="baseline"/>
          <w:lang w:val="en-US" w:eastAsia="zh-CN"/>
        </w:rPr>
      </w:pPr>
      <w:r>
        <w:rPr>
          <w:rFonts w:hint="eastAsia" w:ascii="宋体" w:hAnsi="宋体" w:cs="仿宋"/>
          <w:color w:val="auto"/>
          <w:sz w:val="28"/>
          <w:szCs w:val="28"/>
          <w:highlight w:val="none"/>
          <w:vertAlign w:val="baseline"/>
          <w:lang w:val="en-US" w:eastAsia="zh-CN"/>
        </w:rPr>
        <w:t>经过对近几年来丘北县普通住宅房地产市场价格、租金水平行情走势的调查了解，并对年净收益进行分析，待估房地产位于丘北县新城区，属成熟的租赁市场，住宅房地产市场租赁价格趋于平稳，且伴随着租金的增长，运营费用也逐年上涨，预测收益期内净收益基本持平，根据征收估价目的，故本报告采用净收益不变进行测算。</w:t>
      </w:r>
    </w:p>
    <w:p>
      <w:pPr>
        <w:numPr>
          <w:ilvl w:val="0"/>
          <w:numId w:val="5"/>
        </w:numPr>
        <w:spacing w:line="360" w:lineRule="auto"/>
        <w:ind w:left="490" w:leftChars="0" w:firstLine="0" w:firstLineChars="0"/>
        <w:rPr>
          <w:rFonts w:hint="eastAsia" w:ascii="宋体" w:hAnsi="宋体" w:cs="仿宋"/>
          <w:color w:val="auto"/>
          <w:sz w:val="28"/>
          <w:szCs w:val="28"/>
          <w:highlight w:val="none"/>
          <w:vertAlign w:val="baseline"/>
          <w:lang w:val="en-US" w:eastAsia="zh-CN"/>
        </w:rPr>
      </w:pPr>
      <w:r>
        <w:rPr>
          <w:rFonts w:hint="eastAsia" w:ascii="宋体" w:hAnsi="宋体" w:cs="仿宋"/>
          <w:color w:val="auto"/>
          <w:sz w:val="28"/>
          <w:szCs w:val="28"/>
          <w:highlight w:val="none"/>
          <w:vertAlign w:val="baseline"/>
          <w:lang w:val="en-US" w:eastAsia="zh-CN"/>
        </w:rPr>
        <w:t>报酬率（或者资本化率）</w:t>
      </w:r>
    </w:p>
    <w:p>
      <w:pPr>
        <w:numPr>
          <w:ilvl w:val="0"/>
          <w:numId w:val="0"/>
        </w:numPr>
        <w:spacing w:line="360" w:lineRule="auto"/>
        <w:ind w:left="10" w:leftChars="0" w:firstLine="478" w:firstLineChars="171"/>
        <w:rPr>
          <w:rFonts w:hint="eastAsia" w:ascii="宋体" w:hAnsi="宋体" w:cs="仿宋"/>
          <w:color w:val="auto"/>
          <w:sz w:val="28"/>
          <w:szCs w:val="28"/>
          <w:highlight w:val="none"/>
          <w:vertAlign w:val="baseline"/>
          <w:lang w:val="en-US" w:eastAsia="zh-CN"/>
        </w:rPr>
      </w:pPr>
      <w:r>
        <w:rPr>
          <w:rFonts w:hint="eastAsia" w:ascii="宋体" w:hAnsi="宋体" w:cs="仿宋"/>
          <w:color w:val="auto"/>
          <w:sz w:val="28"/>
          <w:szCs w:val="28"/>
          <w:highlight w:val="none"/>
          <w:vertAlign w:val="baseline"/>
          <w:lang w:val="en-US" w:eastAsia="zh-CN"/>
        </w:rPr>
        <w:t>报酬率采用市场提取法进行确定。市场提取法就是利用与估价对象具有相同或相似收益特征的可比实例的价格、净收益、收益期或持有期等数据，选用相应的报酬资本化法公式，计算出报酬率。本次运用V=A/Y的情况下，通过Y=A/V来求取Y，即可将类似房地产的净收益与其价格的比例作为报酬率。</w:t>
      </w:r>
    </w:p>
    <w:p>
      <w:pPr>
        <w:numPr>
          <w:ilvl w:val="0"/>
          <w:numId w:val="0"/>
        </w:numPr>
        <w:spacing w:line="360" w:lineRule="auto"/>
        <w:ind w:left="10" w:leftChars="0" w:firstLine="478" w:firstLineChars="171"/>
        <w:rPr>
          <w:rFonts w:hint="eastAsia" w:ascii="宋体" w:hAnsi="宋体" w:cs="仿宋"/>
          <w:color w:val="auto"/>
          <w:sz w:val="28"/>
          <w:szCs w:val="28"/>
          <w:highlight w:val="none"/>
          <w:vertAlign w:val="baseline"/>
          <w:lang w:val="en-US" w:eastAsia="zh-CN"/>
        </w:rPr>
      </w:pPr>
      <w:r>
        <w:rPr>
          <w:rFonts w:hint="eastAsia" w:ascii="宋体" w:hAnsi="宋体" w:cs="仿宋"/>
          <w:color w:val="auto"/>
          <w:sz w:val="28"/>
          <w:szCs w:val="28"/>
          <w:highlight w:val="none"/>
          <w:vertAlign w:val="baseline"/>
          <w:lang w:val="en-US" w:eastAsia="zh-CN"/>
        </w:rPr>
        <w:t>选取的4个可比实例及其相关资料</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5"/>
        <w:gridCol w:w="1615"/>
        <w:gridCol w:w="1615"/>
        <w:gridCol w:w="1615"/>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内容</w:t>
            </w:r>
          </w:p>
        </w:tc>
        <w:tc>
          <w:tcPr>
            <w:tcW w:w="161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水岸荷苑</w:t>
            </w:r>
          </w:p>
        </w:tc>
        <w:tc>
          <w:tcPr>
            <w:tcW w:w="161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欣星小区</w:t>
            </w:r>
          </w:p>
        </w:tc>
        <w:tc>
          <w:tcPr>
            <w:tcW w:w="161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东正街</w:t>
            </w:r>
          </w:p>
        </w:tc>
        <w:tc>
          <w:tcPr>
            <w:tcW w:w="1616"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盛景园小区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净收益（元/m</w:t>
            </w:r>
            <w:r>
              <w:rPr>
                <w:rFonts w:hint="eastAsia" w:ascii="宋体" w:hAnsi="宋体" w:cs="仿宋"/>
                <w:color w:val="auto"/>
                <w:sz w:val="21"/>
                <w:szCs w:val="21"/>
                <w:highlight w:val="none"/>
                <w:vertAlign w:val="superscript"/>
                <w:lang w:val="en-US" w:eastAsia="zh-CN"/>
              </w:rPr>
              <w:t>2</w:t>
            </w:r>
            <w:r>
              <w:rPr>
                <w:rFonts w:hint="eastAsia" w:ascii="宋体" w:hAnsi="宋体" w:cs="仿宋"/>
                <w:color w:val="auto"/>
                <w:sz w:val="21"/>
                <w:szCs w:val="21"/>
                <w:highlight w:val="none"/>
                <w:vertAlign w:val="baseline"/>
                <w:lang w:val="en-US" w:eastAsia="zh-CN"/>
              </w:rPr>
              <w:t>.年）</w:t>
            </w:r>
          </w:p>
        </w:tc>
        <w:tc>
          <w:tcPr>
            <w:tcW w:w="161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114.29</w:t>
            </w:r>
          </w:p>
        </w:tc>
        <w:tc>
          <w:tcPr>
            <w:tcW w:w="161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129.32</w:t>
            </w:r>
          </w:p>
        </w:tc>
        <w:tc>
          <w:tcPr>
            <w:tcW w:w="161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102.0</w:t>
            </w:r>
          </w:p>
        </w:tc>
        <w:tc>
          <w:tcPr>
            <w:tcW w:w="1616"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110.77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价格（元/m</w:t>
            </w:r>
            <w:r>
              <w:rPr>
                <w:rFonts w:hint="eastAsia" w:ascii="宋体" w:hAnsi="宋体" w:cs="仿宋"/>
                <w:color w:val="auto"/>
                <w:sz w:val="21"/>
                <w:szCs w:val="21"/>
                <w:highlight w:val="none"/>
                <w:vertAlign w:val="superscript"/>
                <w:lang w:val="en-US" w:eastAsia="zh-CN"/>
              </w:rPr>
              <w:t>2</w:t>
            </w:r>
            <w:r>
              <w:rPr>
                <w:rFonts w:hint="eastAsia" w:ascii="宋体" w:hAnsi="宋体" w:cs="仿宋"/>
                <w:color w:val="auto"/>
                <w:sz w:val="21"/>
                <w:szCs w:val="21"/>
                <w:highlight w:val="none"/>
                <w:vertAlign w:val="baseline"/>
                <w:lang w:val="en-US" w:eastAsia="zh-CN"/>
              </w:rPr>
              <w:t>）</w:t>
            </w:r>
          </w:p>
        </w:tc>
        <w:tc>
          <w:tcPr>
            <w:tcW w:w="161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3500</w:t>
            </w:r>
          </w:p>
        </w:tc>
        <w:tc>
          <w:tcPr>
            <w:tcW w:w="161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3233</w:t>
            </w:r>
          </w:p>
        </w:tc>
        <w:tc>
          <w:tcPr>
            <w:tcW w:w="161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3400</w:t>
            </w:r>
          </w:p>
        </w:tc>
        <w:tc>
          <w:tcPr>
            <w:tcW w:w="1616"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报酬率</w:t>
            </w:r>
          </w:p>
        </w:tc>
        <w:tc>
          <w:tcPr>
            <w:tcW w:w="161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3.27%</w:t>
            </w:r>
          </w:p>
        </w:tc>
        <w:tc>
          <w:tcPr>
            <w:tcW w:w="161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4.00%</w:t>
            </w:r>
          </w:p>
        </w:tc>
        <w:tc>
          <w:tcPr>
            <w:tcW w:w="161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3.00%</w:t>
            </w:r>
          </w:p>
        </w:tc>
        <w:tc>
          <w:tcPr>
            <w:tcW w:w="1616"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5" w:type="dxa"/>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报酬率的简单算术平均数</w:t>
            </w:r>
          </w:p>
        </w:tc>
        <w:tc>
          <w:tcPr>
            <w:tcW w:w="6461" w:type="dxa"/>
            <w:gridSpan w:val="4"/>
            <w:vAlign w:val="center"/>
          </w:tcPr>
          <w:p>
            <w:pPr>
              <w:numPr>
                <w:ilvl w:val="0"/>
                <w:numId w:val="0"/>
              </w:numPr>
              <w:spacing w:line="360" w:lineRule="auto"/>
              <w:jc w:val="center"/>
              <w:rPr>
                <w:rFonts w:hint="default" w:ascii="宋体" w:hAnsi="宋体" w:cs="仿宋"/>
                <w:color w:val="auto"/>
                <w:sz w:val="21"/>
                <w:szCs w:val="21"/>
                <w:highlight w:val="none"/>
                <w:vertAlign w:val="baseline"/>
                <w:lang w:val="en-US" w:eastAsia="zh-CN"/>
              </w:rPr>
            </w:pPr>
            <w:r>
              <w:rPr>
                <w:rFonts w:hint="eastAsia" w:ascii="宋体" w:hAnsi="宋体" w:cs="仿宋"/>
                <w:color w:val="auto"/>
                <w:sz w:val="21"/>
                <w:szCs w:val="21"/>
                <w:highlight w:val="none"/>
                <w:vertAlign w:val="baseline"/>
                <w:lang w:val="en-US" w:eastAsia="zh-CN"/>
              </w:rPr>
              <w:t>（3.27%+4.00%+3.00%+3.08%）÷4=3.34%</w:t>
            </w:r>
          </w:p>
        </w:tc>
      </w:tr>
    </w:tbl>
    <w:p>
      <w:pPr>
        <w:numPr>
          <w:ilvl w:val="0"/>
          <w:numId w:val="5"/>
        </w:numPr>
        <w:spacing w:line="360" w:lineRule="auto"/>
        <w:ind w:left="490" w:leftChars="0" w:firstLine="0" w:firstLineChars="0"/>
        <w:rPr>
          <w:rFonts w:hint="eastAsia" w:ascii="宋体" w:hAnsi="宋体" w:cs="仿宋"/>
          <w:color w:val="auto"/>
          <w:sz w:val="28"/>
          <w:szCs w:val="28"/>
          <w:highlight w:val="none"/>
          <w:vertAlign w:val="baseline"/>
          <w:lang w:val="en-US" w:eastAsia="zh-CN"/>
        </w:rPr>
      </w:pPr>
      <w:r>
        <w:rPr>
          <w:rFonts w:hint="eastAsia" w:ascii="宋体" w:hAnsi="宋体" w:cs="仿宋"/>
          <w:color w:val="auto"/>
          <w:sz w:val="28"/>
          <w:szCs w:val="28"/>
          <w:highlight w:val="none"/>
          <w:vertAlign w:val="baseline"/>
          <w:lang w:val="en-US" w:eastAsia="zh-CN"/>
        </w:rPr>
        <w:t>公式选用和计算过程</w:t>
      </w:r>
    </w:p>
    <w:p>
      <w:pPr>
        <w:numPr>
          <w:ilvl w:val="0"/>
          <w:numId w:val="0"/>
        </w:numPr>
        <w:spacing w:line="360" w:lineRule="auto"/>
        <w:ind w:left="490" w:leftChars="0"/>
        <w:rPr>
          <w:rFonts w:hint="eastAsia" w:ascii="宋体" w:hAnsi="宋体" w:cs="仿宋"/>
          <w:color w:val="auto"/>
          <w:sz w:val="28"/>
          <w:szCs w:val="28"/>
          <w:highlight w:val="none"/>
          <w:vertAlign w:val="baseline"/>
          <w:lang w:val="en-US" w:eastAsia="zh-CN"/>
        </w:rPr>
      </w:pPr>
      <w:r>
        <w:rPr>
          <w:rFonts w:hint="eastAsia" w:ascii="宋体" w:hAnsi="宋体" w:cs="仿宋"/>
          <w:color w:val="auto"/>
          <w:sz w:val="28"/>
          <w:szCs w:val="28"/>
          <w:highlight w:val="none"/>
          <w:vertAlign w:val="baseline"/>
          <w:lang w:val="en-US" w:eastAsia="zh-CN"/>
        </w:rPr>
        <w:t>根据上述描述与分析，宜采用净收益每年不变的有限年期公式进行测算。</w:t>
      </w:r>
    </w:p>
    <w:p>
      <w:pPr>
        <w:rPr>
          <w:rFonts w:hint="eastAsia" w:ascii="宋体" w:hAnsi="宋体" w:cs="仿宋"/>
          <w:color w:val="auto"/>
          <w:sz w:val="28"/>
          <w:szCs w:val="28"/>
          <w:highlight w:val="none"/>
          <w:lang w:val="en-US" w:eastAsia="zh-CN"/>
        </w:rPr>
      </w:pPr>
      <w:r>
        <w:rPr>
          <w:color w:val="auto"/>
          <w:sz w:val="28"/>
          <w:highlight w:val="none"/>
        </w:rPr>
        <w:pict>
          <v:shape id="_x0000_s1056" o:spid="_x0000_s1056" o:spt="202" type="#_x0000_t202" style="position:absolute;left:0pt;margin-left:49.85pt;margin-top:9.15pt;height:48.7pt;width:96.15pt;z-index:251941888;mso-width-relative:page;mso-height-relative:page;" fillcolor="#FFFFFF" filled="t" stroked="f" coordsize="21600,21600">
            <v:path/>
            <v:fill on="t" color2="#FFFFFF" focussize="0,0"/>
            <v:stroke on="f"/>
            <v:imagedata o:title=""/>
            <o:lock v:ext="edit" aspectratio="f"/>
            <v:textbox>
              <w:txbxContent>
                <w:p>
                  <w:pPr>
                    <w:rPr>
                      <w:rFonts w:hint="default"/>
                      <w:lang w:val="en-US" w:eastAsia="zh-CN"/>
                    </w:rPr>
                  </w:pPr>
                  <w:r>
                    <w:rPr>
                      <w:rFonts w:hint="eastAsia"/>
                      <w:lang w:val="en-US" w:eastAsia="zh-CN"/>
                    </w:rPr>
                    <w:t>A       1</w:t>
                  </w:r>
                </w:p>
                <w:p>
                  <w:pPr>
                    <w:rPr>
                      <w:rFonts w:hint="default" w:eastAsia="宋体"/>
                      <w:lang w:val="en-US" w:eastAsia="zh-CN"/>
                    </w:rPr>
                  </w:pPr>
                  <w:r>
                    <w:rPr>
                      <w:rFonts w:hint="eastAsia"/>
                      <w:lang w:val="en-US" w:eastAsia="zh-CN"/>
                    </w:rPr>
                    <w:t>—[1-————]</w:t>
                  </w:r>
                </w:p>
                <w:p>
                  <w:pPr>
                    <w:rPr>
                      <w:rFonts w:hint="eastAsia" w:eastAsia="宋体"/>
                      <w:lang w:val="en-US" w:eastAsia="zh-CN"/>
                    </w:rPr>
                  </w:pPr>
                  <w:r>
                    <w:rPr>
                      <w:rFonts w:hint="eastAsia"/>
                      <w:lang w:val="en-US" w:eastAsia="zh-CN"/>
                    </w:rPr>
                    <w:t>Y    （1+r）</w:t>
                  </w:r>
                  <w:r>
                    <w:rPr>
                      <w:rFonts w:hint="eastAsia"/>
                      <w:vertAlign w:val="superscript"/>
                      <w:lang w:val="en-US" w:eastAsia="zh-CN"/>
                    </w:rPr>
                    <w:t>n</w:t>
                  </w:r>
                </w:p>
                <w:p/>
              </w:txbxContent>
            </v:textbox>
          </v:shape>
        </w:pict>
      </w:r>
    </w:p>
    <w:p>
      <w:pPr>
        <w:ind w:firstLine="560" w:firstLineChars="200"/>
        <w:rPr>
          <w:rFonts w:hint="eastAsia" w:eastAsia="宋体"/>
          <w:color w:val="auto"/>
          <w:highlight w:val="none"/>
          <w:lang w:val="en-US" w:eastAsia="zh-CN"/>
        </w:rPr>
      </w:pPr>
      <w:r>
        <w:rPr>
          <w:rFonts w:hint="eastAsia" w:ascii="宋体" w:hAnsi="宋体" w:cs="仿宋"/>
          <w:color w:val="auto"/>
          <w:sz w:val="28"/>
          <w:szCs w:val="28"/>
          <w:highlight w:val="none"/>
          <w:lang w:val="en-US" w:eastAsia="zh-CN"/>
        </w:rPr>
        <w:t xml:space="preserve">V= </w:t>
      </w:r>
    </w:p>
    <w:p>
      <w:pPr>
        <w:spacing w:line="360" w:lineRule="auto"/>
        <w:ind w:firstLine="560" w:firstLineChars="200"/>
        <w:rPr>
          <w:rFonts w:hint="eastAsia" w:ascii="宋体" w:hAnsi="宋体" w:cs="仿宋"/>
          <w:color w:val="auto"/>
          <w:sz w:val="28"/>
          <w:szCs w:val="28"/>
          <w:highlight w:val="none"/>
          <w:lang w:val="en-US" w:eastAsia="zh-CN"/>
        </w:rPr>
      </w:pPr>
    </w:p>
    <w:p>
      <w:pPr>
        <w:spacing w:line="360" w:lineRule="auto"/>
        <w:ind w:firstLine="840" w:firstLineChars="300"/>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=115.12/3.34%×[1-1/（1+3.34%）</w:t>
      </w:r>
      <w:r>
        <w:rPr>
          <w:rFonts w:hint="eastAsia" w:ascii="宋体" w:hAnsi="宋体" w:cs="仿宋"/>
          <w:color w:val="auto"/>
          <w:sz w:val="28"/>
          <w:szCs w:val="28"/>
          <w:highlight w:val="none"/>
          <w:vertAlign w:val="superscript"/>
          <w:lang w:val="en-US" w:eastAsia="zh-CN"/>
        </w:rPr>
        <w:t>57</w:t>
      </w:r>
      <w:r>
        <w:rPr>
          <w:rFonts w:hint="eastAsia" w:ascii="宋体" w:hAnsi="宋体" w:cs="仿宋"/>
          <w:color w:val="auto"/>
          <w:sz w:val="28"/>
          <w:szCs w:val="28"/>
          <w:highlight w:val="none"/>
          <w:lang w:val="en-US" w:eastAsia="zh-CN"/>
        </w:rPr>
        <w:t>]</w:t>
      </w:r>
    </w:p>
    <w:p>
      <w:pPr>
        <w:spacing w:line="360" w:lineRule="auto"/>
        <w:ind w:firstLine="840" w:firstLineChars="300"/>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=2916.92元/m</w:t>
      </w:r>
      <w:r>
        <w:rPr>
          <w:rFonts w:hint="eastAsia" w:ascii="宋体" w:hAnsi="宋体" w:cs="仿宋"/>
          <w:color w:val="auto"/>
          <w:sz w:val="28"/>
          <w:szCs w:val="28"/>
          <w:highlight w:val="none"/>
          <w:vertAlign w:val="superscript"/>
          <w:lang w:val="en-US" w:eastAsia="zh-CN"/>
        </w:rPr>
        <w:t>2</w:t>
      </w:r>
    </w:p>
    <w:p>
      <w:pPr>
        <w:numPr>
          <w:ilvl w:val="0"/>
          <w:numId w:val="4"/>
        </w:numPr>
        <w:spacing w:line="360" w:lineRule="auto"/>
        <w:ind w:left="0" w:leftChars="0" w:firstLine="560" w:firstLineChars="200"/>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房地产价值确定</w:t>
      </w:r>
    </w:p>
    <w:p>
      <w:pPr>
        <w:numPr>
          <w:ilvl w:val="0"/>
          <w:numId w:val="0"/>
        </w:numPr>
        <w:spacing w:line="360" w:lineRule="auto"/>
        <w:ind w:firstLine="560" w:firstLineChars="200"/>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以上两种方法评估结果分别为3113.06元/m</w:t>
      </w:r>
      <w:r>
        <w:rPr>
          <w:rFonts w:hint="eastAsia" w:ascii="宋体" w:hAnsi="宋体" w:cs="仿宋"/>
          <w:color w:val="auto"/>
          <w:sz w:val="28"/>
          <w:szCs w:val="28"/>
          <w:highlight w:val="none"/>
          <w:vertAlign w:val="superscript"/>
          <w:lang w:val="en-US" w:eastAsia="zh-CN"/>
        </w:rPr>
        <w:t>2</w:t>
      </w:r>
      <w:r>
        <w:rPr>
          <w:rFonts w:hint="eastAsia" w:ascii="宋体" w:hAnsi="宋体" w:cs="仿宋"/>
          <w:color w:val="auto"/>
          <w:sz w:val="28"/>
          <w:szCs w:val="28"/>
          <w:highlight w:val="none"/>
          <w:lang w:val="en-US" w:eastAsia="zh-CN"/>
        </w:rPr>
        <w:t>、2916.92元/m</w:t>
      </w:r>
      <w:r>
        <w:rPr>
          <w:rFonts w:hint="eastAsia" w:ascii="宋体" w:hAnsi="宋体" w:cs="仿宋"/>
          <w:color w:val="auto"/>
          <w:sz w:val="28"/>
          <w:szCs w:val="28"/>
          <w:highlight w:val="none"/>
          <w:vertAlign w:val="superscript"/>
          <w:lang w:val="en-US" w:eastAsia="zh-CN"/>
        </w:rPr>
        <w:t>2</w:t>
      </w:r>
      <w:r>
        <w:rPr>
          <w:rFonts w:hint="eastAsia" w:ascii="宋体" w:hAnsi="宋体" w:cs="仿宋"/>
          <w:color w:val="auto"/>
          <w:sz w:val="28"/>
          <w:szCs w:val="28"/>
          <w:highlight w:val="none"/>
          <w:lang w:val="en-US" w:eastAsia="zh-CN"/>
        </w:rPr>
        <w:t>，两种方法评估结果较相近，故采用简单算术平均法求取估价对象价格为：</w:t>
      </w:r>
    </w:p>
    <w:p>
      <w:pPr>
        <w:numPr>
          <w:ilvl w:val="0"/>
          <w:numId w:val="0"/>
        </w:numPr>
        <w:spacing w:line="360" w:lineRule="auto"/>
        <w:ind w:firstLine="560" w:firstLineChars="200"/>
        <w:rPr>
          <w:rFonts w:hint="default" w:ascii="宋体" w:hAnsi="宋体" w:cs="仿宋"/>
          <w:color w:val="auto"/>
          <w:sz w:val="28"/>
          <w:szCs w:val="28"/>
          <w:highlight w:val="none"/>
          <w:vertAlign w:val="baseline"/>
          <w:lang w:val="en-US" w:eastAsia="zh-CN"/>
        </w:rPr>
      </w:pPr>
      <w:r>
        <w:rPr>
          <w:rFonts w:hint="eastAsia" w:ascii="宋体" w:hAnsi="宋体" w:cs="仿宋"/>
          <w:color w:val="auto"/>
          <w:sz w:val="28"/>
          <w:szCs w:val="28"/>
          <w:highlight w:val="none"/>
          <w:lang w:val="en-US" w:eastAsia="zh-CN"/>
        </w:rPr>
        <w:t>（3113.06+2916.92）/2=3014.99元/m</w:t>
      </w:r>
      <w:r>
        <w:rPr>
          <w:rFonts w:hint="eastAsia" w:ascii="宋体" w:hAnsi="宋体" w:cs="仿宋"/>
          <w:color w:val="auto"/>
          <w:sz w:val="28"/>
          <w:szCs w:val="28"/>
          <w:highlight w:val="none"/>
          <w:vertAlign w:val="superscript"/>
          <w:lang w:val="en-US" w:eastAsia="zh-CN"/>
        </w:rPr>
        <w:t>2</w:t>
      </w:r>
      <w:r>
        <w:rPr>
          <w:rFonts w:hint="eastAsia" w:ascii="宋体" w:hAnsi="宋体" w:cs="仿宋"/>
          <w:color w:val="auto"/>
          <w:sz w:val="28"/>
          <w:szCs w:val="28"/>
          <w:highlight w:val="none"/>
          <w:vertAlign w:val="baseline"/>
          <w:lang w:val="en-US" w:eastAsia="zh-CN"/>
        </w:rPr>
        <w:t>，取整为3015元/m</w:t>
      </w:r>
      <w:r>
        <w:rPr>
          <w:rFonts w:hint="eastAsia" w:ascii="宋体" w:hAnsi="宋体" w:cs="仿宋"/>
          <w:color w:val="auto"/>
          <w:sz w:val="28"/>
          <w:szCs w:val="28"/>
          <w:highlight w:val="none"/>
          <w:vertAlign w:val="superscript"/>
          <w:lang w:val="en-US" w:eastAsia="zh-CN"/>
        </w:rPr>
        <w:t>2</w:t>
      </w:r>
    </w:p>
    <w:p>
      <w:pPr>
        <w:adjustRightInd w:val="0"/>
        <w:snapToGrid w:val="0"/>
        <w:spacing w:line="360" w:lineRule="auto"/>
        <w:ind w:firstLine="556"/>
        <w:rPr>
          <w:rFonts w:ascii="宋体" w:hAnsi="宋体" w:cs="宋体"/>
          <w:color w:val="auto"/>
          <w:sz w:val="28"/>
          <w:szCs w:val="28"/>
          <w:highlight w:val="none"/>
        </w:rPr>
      </w:pPr>
      <w:r>
        <w:rPr>
          <w:rFonts w:hint="eastAsia" w:ascii="宋体" w:hAnsi="宋体" w:cs="宋体"/>
          <w:color w:val="auto"/>
          <w:sz w:val="28"/>
          <w:szCs w:val="28"/>
          <w:highlight w:val="none"/>
        </w:rPr>
        <w:t>房地产价值为</w:t>
      </w:r>
    </w:p>
    <w:p>
      <w:pPr>
        <w:snapToGrid w:val="0"/>
        <w:spacing w:line="360" w:lineRule="auto"/>
        <w:ind w:firstLine="556"/>
        <w:rPr>
          <w:rFonts w:ascii="宋体" w:hAnsi="宋体" w:cs="宋体"/>
          <w:color w:val="auto"/>
          <w:sz w:val="28"/>
          <w:szCs w:val="28"/>
          <w:highlight w:val="none"/>
        </w:rPr>
      </w:pPr>
      <w:r>
        <w:rPr>
          <w:rFonts w:hint="eastAsia" w:ascii="宋体" w:hAnsi="宋体" w:cs="宋体"/>
          <w:color w:val="auto"/>
          <w:sz w:val="28"/>
          <w:szCs w:val="28"/>
          <w:highlight w:val="none"/>
          <w:lang w:val="en-US" w:eastAsia="zh-CN"/>
        </w:rPr>
        <w:t>3015</w:t>
      </w:r>
      <w:r>
        <w:rPr>
          <w:rFonts w:hint="eastAsia" w:ascii="宋体" w:hAnsi="宋体" w:cs="宋体"/>
          <w:color w:val="auto"/>
          <w:sz w:val="28"/>
          <w:szCs w:val="28"/>
          <w:highlight w:val="none"/>
        </w:rPr>
        <w:t>元/</w:t>
      </w:r>
      <w:r>
        <w:rPr>
          <w:rFonts w:hint="eastAsia" w:ascii="宋体" w:hAnsi="宋体" w:cs="宋体"/>
          <w:color w:val="auto"/>
          <w:sz w:val="28"/>
          <w:szCs w:val="28"/>
          <w:highlight w:val="none"/>
          <w:lang w:eastAsia="zh-CN"/>
        </w:rPr>
        <w:t>m</w:t>
      </w:r>
      <w:r>
        <w:rPr>
          <w:rFonts w:hint="eastAsia" w:ascii="宋体" w:hAnsi="宋体" w:cs="宋体"/>
          <w:color w:val="auto"/>
          <w:sz w:val="28"/>
          <w:szCs w:val="28"/>
          <w:highlight w:val="none"/>
          <w:vertAlign w:val="superscript"/>
          <w:lang w:eastAsia="zh-CN"/>
        </w:rPr>
        <w:t>2</w:t>
      </w:r>
      <w:r>
        <w:rPr>
          <w:rFonts w:hint="eastAsia" w:ascii="宋体" w:hAnsi="宋体" w:cs="宋体"/>
          <w:color w:val="auto"/>
          <w:sz w:val="28"/>
          <w:szCs w:val="28"/>
          <w:highlight w:val="none"/>
        </w:rPr>
        <w:t>×</w:t>
      </w:r>
      <w:r>
        <w:rPr>
          <w:rFonts w:hint="eastAsia" w:ascii="宋体" w:hAnsi="宋体" w:cs="宋体"/>
          <w:color w:val="auto"/>
          <w:sz w:val="28"/>
          <w:szCs w:val="28"/>
          <w:highlight w:val="none"/>
          <w:lang w:val="en-US" w:eastAsia="zh-CN"/>
        </w:rPr>
        <w:t>73.73</w:t>
      </w:r>
      <w:r>
        <w:rPr>
          <w:rFonts w:hint="eastAsia" w:ascii="宋体" w:hAnsi="宋体" w:cs="宋体"/>
          <w:color w:val="auto"/>
          <w:sz w:val="28"/>
          <w:szCs w:val="28"/>
          <w:highlight w:val="none"/>
          <w:lang w:eastAsia="zh-CN"/>
        </w:rPr>
        <w:t>m</w:t>
      </w:r>
      <w:r>
        <w:rPr>
          <w:rFonts w:hint="eastAsia" w:ascii="宋体" w:hAnsi="宋体" w:cs="宋体"/>
          <w:color w:val="auto"/>
          <w:sz w:val="28"/>
          <w:szCs w:val="28"/>
          <w:highlight w:val="none"/>
          <w:vertAlign w:val="superscript"/>
          <w:lang w:eastAsia="zh-CN"/>
        </w:rPr>
        <w:t>2</w:t>
      </w:r>
      <w:r>
        <w:rPr>
          <w:rFonts w:hint="eastAsia" w:ascii="宋体" w:hAnsi="宋体" w:cs="宋体"/>
          <w:color w:val="auto"/>
          <w:sz w:val="28"/>
          <w:szCs w:val="28"/>
          <w:highlight w:val="none"/>
        </w:rPr>
        <w:t>=</w:t>
      </w:r>
      <w:r>
        <w:rPr>
          <w:rFonts w:hint="eastAsia" w:ascii="宋体" w:hAnsi="宋体" w:cs="宋体"/>
          <w:color w:val="auto"/>
          <w:sz w:val="28"/>
          <w:szCs w:val="28"/>
          <w:highlight w:val="none"/>
          <w:lang w:val="en-US" w:eastAsia="zh-CN"/>
        </w:rPr>
        <w:t>222295.95</w:t>
      </w:r>
      <w:r>
        <w:rPr>
          <w:rFonts w:hint="eastAsia" w:ascii="宋体" w:hAnsi="宋体" w:cs="宋体"/>
          <w:color w:val="auto"/>
          <w:sz w:val="28"/>
          <w:szCs w:val="28"/>
          <w:highlight w:val="none"/>
        </w:rPr>
        <w:t>元≈</w:t>
      </w:r>
      <w:r>
        <w:rPr>
          <w:rFonts w:hint="eastAsia" w:ascii="宋体" w:hAnsi="宋体" w:cs="宋体"/>
          <w:color w:val="auto"/>
          <w:sz w:val="28"/>
          <w:szCs w:val="28"/>
          <w:highlight w:val="none"/>
          <w:lang w:val="en-US" w:eastAsia="zh-CN"/>
        </w:rPr>
        <w:t>22.23</w:t>
      </w:r>
      <w:r>
        <w:rPr>
          <w:rFonts w:hint="eastAsia" w:ascii="宋体" w:hAnsi="宋体" w:cs="宋体"/>
          <w:color w:val="auto"/>
          <w:sz w:val="28"/>
          <w:szCs w:val="28"/>
          <w:highlight w:val="none"/>
        </w:rPr>
        <w:t>万元</w:t>
      </w:r>
    </w:p>
    <w:bookmarkEnd w:id="264"/>
    <w:p>
      <w:pPr>
        <w:pStyle w:val="3"/>
        <w:rPr>
          <w:rFonts w:ascii="宋体" w:hAnsi="宋体" w:eastAsia="宋体"/>
          <w:color w:val="auto"/>
          <w:kern w:val="0"/>
          <w:sz w:val="28"/>
          <w:szCs w:val="28"/>
        </w:rPr>
      </w:pPr>
      <w:bookmarkStart w:id="265" w:name="_Toc19988"/>
      <w:r>
        <w:rPr>
          <w:rFonts w:hint="eastAsia" w:ascii="宋体" w:hAnsi="宋体" w:eastAsia="宋体"/>
          <w:color w:val="auto"/>
          <w:kern w:val="0"/>
          <w:sz w:val="28"/>
          <w:szCs w:val="28"/>
        </w:rPr>
        <w:t>六、估价结果确定</w:t>
      </w:r>
      <w:bookmarkEnd w:id="87"/>
      <w:bookmarkEnd w:id="88"/>
      <w:bookmarkEnd w:id="89"/>
      <w:bookmarkEnd w:id="90"/>
      <w:bookmarkEnd w:id="91"/>
      <w:bookmarkEnd w:id="92"/>
      <w:bookmarkEnd w:id="93"/>
      <w:bookmarkEnd w:id="94"/>
      <w:bookmarkEnd w:id="95"/>
      <w:bookmarkEnd w:id="96"/>
      <w:bookmarkEnd w:id="265"/>
    </w:p>
    <w:p>
      <w:pPr>
        <w:adjustRightInd w:val="0"/>
        <w:snapToGrid w:val="0"/>
        <w:spacing w:line="360" w:lineRule="auto"/>
        <w:ind w:firstLine="700" w:firstLineChars="250"/>
        <w:rPr>
          <w:rFonts w:hint="eastAsia" w:ascii="宋体" w:hAnsi="宋体"/>
          <w:color w:val="auto"/>
          <w:sz w:val="28"/>
          <w:szCs w:val="28"/>
        </w:rPr>
      </w:pPr>
      <w:r>
        <w:rPr>
          <w:rFonts w:hint="eastAsia" w:ascii="宋体" w:hAnsi="宋体" w:cs="宋体"/>
          <w:color w:val="auto"/>
          <w:kern w:val="0"/>
          <w:sz w:val="28"/>
          <w:szCs w:val="28"/>
        </w:rPr>
        <w:t>根据估价目的，遵循估价原则，采用科学合理的估价方法，在认真分析现有资料的基础上，经过测算，结合估价经验与对影响房地产市场价值因素进行分析，确定估价对象在符合报告中的有关假设和限制条件的基础上，在公开市场条件下，于价值时点</w:t>
      </w:r>
      <w:r>
        <w:rPr>
          <w:rFonts w:hint="eastAsia" w:ascii="宋体" w:hAnsi="宋体" w:cs="宋体"/>
          <w:color w:val="auto"/>
          <w:spacing w:val="22"/>
          <w:sz w:val="28"/>
          <w:szCs w:val="28"/>
          <w:lang w:eastAsia="zh-CN"/>
        </w:rPr>
        <w:t>2020年01月06日</w:t>
      </w:r>
      <w:r>
        <w:rPr>
          <w:rFonts w:hint="eastAsia" w:ascii="宋体" w:hAnsi="宋体" w:cs="宋体"/>
          <w:color w:val="auto"/>
          <w:sz w:val="28"/>
          <w:szCs w:val="28"/>
          <w:lang w:val="zh-CN"/>
        </w:rPr>
        <w:t>的市场价值为</w:t>
      </w:r>
      <w:r>
        <w:rPr>
          <w:rFonts w:hint="eastAsia" w:ascii="宋体" w:hAnsi="宋体" w:cs="宋体"/>
          <w:color w:val="auto"/>
          <w:sz w:val="28"/>
          <w:szCs w:val="28"/>
        </w:rPr>
        <w:t>人民币大写：</w:t>
      </w:r>
      <w:r>
        <w:rPr>
          <w:rFonts w:hint="eastAsia" w:ascii="宋体" w:hAnsi="宋体" w:cs="宋体"/>
          <w:color w:val="auto"/>
          <w:sz w:val="28"/>
          <w:szCs w:val="28"/>
          <w:lang w:eastAsia="zh-CN"/>
        </w:rPr>
        <w:t>贰拾贰万贰仟叁佰元整（￥：2</w:t>
      </w:r>
      <w:r>
        <w:rPr>
          <w:rFonts w:hint="eastAsia" w:ascii="宋体" w:hAnsi="宋体" w:cs="宋体"/>
          <w:color w:val="auto"/>
          <w:sz w:val="28"/>
          <w:szCs w:val="28"/>
          <w:lang w:val="en-US" w:eastAsia="zh-CN"/>
        </w:rPr>
        <w:t>223</w:t>
      </w:r>
      <w:r>
        <w:rPr>
          <w:rFonts w:hint="eastAsia" w:ascii="宋体" w:hAnsi="宋体" w:cs="宋体"/>
          <w:color w:val="auto"/>
          <w:sz w:val="28"/>
          <w:szCs w:val="28"/>
          <w:lang w:eastAsia="zh-CN"/>
        </w:rPr>
        <w:t>00.00元），市场单价为</w:t>
      </w:r>
      <w:r>
        <w:rPr>
          <w:rFonts w:hint="eastAsia" w:ascii="宋体" w:hAnsi="宋体" w:cs="宋体"/>
          <w:color w:val="auto"/>
          <w:sz w:val="28"/>
          <w:szCs w:val="28"/>
          <w:lang w:val="en-US" w:eastAsia="zh-CN"/>
        </w:rPr>
        <w:t>3015元/m</w:t>
      </w:r>
      <w:r>
        <w:rPr>
          <w:rFonts w:hint="eastAsia" w:ascii="宋体" w:hAnsi="宋体" w:cs="宋体"/>
          <w:color w:val="auto"/>
          <w:sz w:val="28"/>
          <w:szCs w:val="28"/>
          <w:vertAlign w:val="superscript"/>
          <w:lang w:val="en-US" w:eastAsia="zh-CN"/>
        </w:rPr>
        <w:t>2</w:t>
      </w:r>
      <w:r>
        <w:rPr>
          <w:rFonts w:hint="eastAsia" w:ascii="宋体" w:hAnsi="宋体"/>
          <w:color w:val="auto"/>
          <w:sz w:val="28"/>
          <w:szCs w:val="28"/>
        </w:rPr>
        <w:t>。</w:t>
      </w:r>
    </w:p>
    <w:p>
      <w:pPr>
        <w:adjustRightInd w:val="0"/>
        <w:snapToGrid w:val="0"/>
        <w:spacing w:line="360" w:lineRule="auto"/>
        <w:ind w:firstLine="3360" w:firstLineChars="1200"/>
        <w:jc w:val="right"/>
        <w:rPr>
          <w:rFonts w:hint="eastAsia" w:ascii="宋体" w:hAnsi="宋体"/>
          <w:color w:val="auto"/>
          <w:sz w:val="28"/>
          <w:szCs w:val="28"/>
        </w:rPr>
      </w:pPr>
    </w:p>
    <w:p>
      <w:pPr>
        <w:adjustRightInd w:val="0"/>
        <w:snapToGrid w:val="0"/>
        <w:spacing w:line="360" w:lineRule="auto"/>
        <w:ind w:firstLine="3360" w:firstLineChars="1200"/>
        <w:jc w:val="right"/>
        <w:rPr>
          <w:rFonts w:hint="eastAsia" w:ascii="宋体" w:hAnsi="宋体"/>
          <w:color w:val="auto"/>
          <w:sz w:val="28"/>
          <w:szCs w:val="28"/>
        </w:rPr>
      </w:pPr>
    </w:p>
    <w:p>
      <w:pPr>
        <w:adjustRightInd w:val="0"/>
        <w:snapToGrid w:val="0"/>
        <w:spacing w:line="360" w:lineRule="auto"/>
        <w:ind w:firstLine="3360" w:firstLineChars="1200"/>
        <w:jc w:val="right"/>
        <w:rPr>
          <w:rFonts w:hint="eastAsia" w:ascii="宋体" w:hAnsi="宋体"/>
          <w:color w:val="auto"/>
          <w:sz w:val="28"/>
          <w:szCs w:val="28"/>
        </w:rPr>
      </w:pPr>
    </w:p>
    <w:p>
      <w:pPr>
        <w:adjustRightInd w:val="0"/>
        <w:snapToGrid w:val="0"/>
        <w:spacing w:line="360" w:lineRule="auto"/>
        <w:ind w:firstLine="3360" w:firstLineChars="1200"/>
        <w:jc w:val="right"/>
        <w:rPr>
          <w:rFonts w:hint="eastAsia" w:ascii="宋体" w:hAnsi="宋体"/>
          <w:color w:val="auto"/>
          <w:sz w:val="28"/>
          <w:szCs w:val="28"/>
        </w:rPr>
      </w:pPr>
    </w:p>
    <w:p>
      <w:pPr>
        <w:adjustRightInd w:val="0"/>
        <w:snapToGrid w:val="0"/>
        <w:spacing w:line="360" w:lineRule="auto"/>
        <w:ind w:firstLine="3360" w:firstLineChars="1200"/>
        <w:jc w:val="right"/>
        <w:rPr>
          <w:rFonts w:hint="eastAsia" w:ascii="宋体" w:hAnsi="宋体"/>
          <w:color w:val="auto"/>
          <w:sz w:val="28"/>
          <w:szCs w:val="28"/>
        </w:rPr>
      </w:pPr>
    </w:p>
    <w:p>
      <w:pPr>
        <w:adjustRightInd w:val="0"/>
        <w:snapToGrid w:val="0"/>
        <w:spacing w:line="360" w:lineRule="auto"/>
        <w:ind w:firstLine="3360" w:firstLineChars="1200"/>
        <w:jc w:val="right"/>
        <w:rPr>
          <w:rFonts w:hint="eastAsia" w:ascii="宋体" w:hAnsi="宋体"/>
          <w:color w:val="auto"/>
          <w:sz w:val="28"/>
          <w:szCs w:val="28"/>
        </w:rPr>
      </w:pPr>
    </w:p>
    <w:p>
      <w:pPr>
        <w:adjustRightInd w:val="0"/>
        <w:snapToGrid w:val="0"/>
        <w:spacing w:line="360" w:lineRule="auto"/>
        <w:ind w:firstLine="3360" w:firstLineChars="1200"/>
        <w:jc w:val="right"/>
        <w:rPr>
          <w:rFonts w:ascii="宋体" w:hAnsi="宋体"/>
          <w:color w:val="auto"/>
          <w:sz w:val="28"/>
          <w:szCs w:val="28"/>
        </w:rPr>
      </w:pPr>
      <w:r>
        <w:rPr>
          <w:rFonts w:hint="eastAsia" w:ascii="宋体" w:hAnsi="宋体"/>
          <w:color w:val="auto"/>
          <w:sz w:val="28"/>
          <w:szCs w:val="28"/>
        </w:rPr>
        <w:drawing>
          <wp:anchor distT="0" distB="0" distL="114300" distR="114300" simplePos="0" relativeHeight="251655168" behindDoc="0" locked="0" layoutInCell="1" allowOverlap="1">
            <wp:simplePos x="0" y="0"/>
            <wp:positionH relativeFrom="column">
              <wp:posOffset>4208780</wp:posOffset>
            </wp:positionH>
            <wp:positionV relativeFrom="paragraph">
              <wp:posOffset>292735</wp:posOffset>
            </wp:positionV>
            <wp:extent cx="895350" cy="485775"/>
            <wp:effectExtent l="19050" t="0" r="0" b="0"/>
            <wp:wrapNone/>
            <wp:docPr id="26" name="图片 26" descr="李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李建"/>
                    <pic:cNvPicPr>
                      <a:picLocks noChangeAspect="1" noChangeArrowheads="1"/>
                    </pic:cNvPicPr>
                  </pic:nvPicPr>
                  <pic:blipFill>
                    <a:blip r:embed="rId14" cstate="print"/>
                    <a:srcRect/>
                    <a:stretch>
                      <a:fillRect/>
                    </a:stretch>
                  </pic:blipFill>
                  <pic:spPr>
                    <a:xfrm>
                      <a:off x="0" y="0"/>
                      <a:ext cx="895350" cy="485775"/>
                    </a:xfrm>
                    <a:prstGeom prst="rect">
                      <a:avLst/>
                    </a:prstGeom>
                    <a:noFill/>
                    <a:ln w="9525">
                      <a:noFill/>
                      <a:miter lim="800000"/>
                      <a:headEnd/>
                      <a:tailEnd/>
                    </a:ln>
                  </pic:spPr>
                </pic:pic>
              </a:graphicData>
            </a:graphic>
          </wp:anchor>
        </w:drawing>
      </w:r>
      <w:r>
        <w:rPr>
          <w:rFonts w:hint="eastAsia" w:ascii="宋体" w:hAnsi="宋体"/>
          <w:color w:val="auto"/>
          <w:sz w:val="28"/>
          <w:szCs w:val="28"/>
        </w:rPr>
        <w:t>文山同心联谊房地产评估有限公司</w:t>
      </w:r>
    </w:p>
    <w:p>
      <w:pPr>
        <w:adjustRightInd w:val="0"/>
        <w:snapToGrid w:val="0"/>
        <w:spacing w:line="360" w:lineRule="auto"/>
        <w:ind w:right="560" w:firstLine="5180" w:firstLineChars="1850"/>
        <w:rPr>
          <w:rFonts w:ascii="宋体" w:hAnsi="宋体"/>
          <w:color w:val="auto"/>
          <w:sz w:val="28"/>
          <w:szCs w:val="28"/>
        </w:rPr>
      </w:pPr>
      <w:r>
        <w:rPr>
          <w:rFonts w:hint="eastAsia" w:ascii="宋体" w:hAnsi="宋体"/>
          <w:color w:val="auto"/>
          <w:sz w:val="28"/>
          <w:szCs w:val="28"/>
        </w:rPr>
        <w:t>技术审核：</w:t>
      </w:r>
    </w:p>
    <w:p>
      <w:pPr>
        <w:spacing w:line="480" w:lineRule="auto"/>
        <w:ind w:firstLine="5740" w:firstLineChars="2050"/>
        <w:rPr>
          <w:rFonts w:ascii="宋体" w:hAnsi="宋体"/>
          <w:color w:val="auto"/>
          <w:sz w:val="28"/>
          <w:szCs w:val="28"/>
        </w:rPr>
      </w:pPr>
      <w:bookmarkStart w:id="266" w:name="_Toc414265189"/>
      <w:bookmarkStart w:id="267" w:name="_Toc417214160"/>
      <w:bookmarkStart w:id="268" w:name="_Toc417220338"/>
      <w:bookmarkStart w:id="269" w:name="_Toc417282140"/>
      <w:bookmarkStart w:id="270" w:name="_Toc414265265"/>
      <w:bookmarkStart w:id="271" w:name="_Toc521944380"/>
    </w:p>
    <w:p>
      <w:pPr>
        <w:ind w:firstLine="5320" w:firstLineChars="1900"/>
        <w:rPr>
          <w:rFonts w:ascii="宋体" w:hAnsi="宋体"/>
          <w:color w:val="auto"/>
          <w:sz w:val="28"/>
          <w:szCs w:val="28"/>
        </w:rPr>
      </w:pPr>
      <w:bookmarkStart w:id="272" w:name="_Toc16189230"/>
      <w:bookmarkStart w:id="273" w:name="_Toc16189067"/>
      <w:bookmarkStart w:id="274" w:name="_Toc522873513"/>
      <w:r>
        <w:rPr>
          <w:rFonts w:hint="eastAsia" w:ascii="宋体" w:hAnsi="宋体"/>
          <w:color w:val="auto"/>
          <w:sz w:val="28"/>
          <w:szCs w:val="28"/>
        </w:rPr>
        <w:t>二0</w:t>
      </w:r>
      <w:r>
        <w:rPr>
          <w:rFonts w:hint="eastAsia" w:ascii="宋体" w:hAnsi="宋体"/>
          <w:color w:val="auto"/>
          <w:sz w:val="28"/>
          <w:szCs w:val="28"/>
          <w:lang w:eastAsia="zh-CN"/>
        </w:rPr>
        <w:t>二</w:t>
      </w:r>
      <w:r>
        <w:rPr>
          <w:rFonts w:hint="eastAsia" w:ascii="宋体" w:hAnsi="宋体"/>
          <w:color w:val="auto"/>
          <w:sz w:val="28"/>
          <w:szCs w:val="28"/>
          <w:lang w:val="en-US" w:eastAsia="zh-CN"/>
        </w:rPr>
        <w:t>O</w:t>
      </w:r>
      <w:r>
        <w:rPr>
          <w:rFonts w:hint="eastAsia" w:ascii="宋体" w:hAnsi="宋体"/>
          <w:color w:val="auto"/>
          <w:sz w:val="28"/>
          <w:szCs w:val="28"/>
        </w:rPr>
        <w:t>年</w:t>
      </w:r>
      <w:r>
        <w:rPr>
          <w:rFonts w:hint="eastAsia" w:ascii="宋体" w:hAnsi="宋体"/>
          <w:color w:val="auto"/>
          <w:sz w:val="28"/>
          <w:szCs w:val="28"/>
          <w:lang w:eastAsia="zh-CN"/>
        </w:rPr>
        <w:t>三</w:t>
      </w:r>
      <w:r>
        <w:rPr>
          <w:rFonts w:hint="eastAsia" w:ascii="宋体" w:hAnsi="宋体"/>
          <w:color w:val="auto"/>
          <w:sz w:val="28"/>
          <w:szCs w:val="28"/>
        </w:rPr>
        <w:t>月</w:t>
      </w:r>
      <w:r>
        <w:rPr>
          <w:rFonts w:hint="eastAsia" w:ascii="宋体" w:hAnsi="宋体"/>
          <w:color w:val="auto"/>
          <w:sz w:val="28"/>
          <w:szCs w:val="28"/>
          <w:lang w:eastAsia="zh-CN"/>
        </w:rPr>
        <w:t>二十二</w:t>
      </w:r>
      <w:r>
        <w:rPr>
          <w:rFonts w:hint="eastAsia" w:ascii="宋体" w:hAnsi="宋体"/>
          <w:color w:val="auto"/>
          <w:sz w:val="28"/>
          <w:szCs w:val="28"/>
        </w:rPr>
        <w:t>日</w:t>
      </w:r>
    </w:p>
    <w:p>
      <w:pPr>
        <w:rPr>
          <w:color w:val="auto"/>
          <w:kern w:val="44"/>
        </w:rPr>
      </w:pPr>
      <w:r>
        <w:rPr>
          <w:color w:val="auto"/>
        </w:rPr>
        <w:br w:type="page"/>
      </w:r>
    </w:p>
    <w:p>
      <w:pPr>
        <w:pStyle w:val="2"/>
        <w:jc w:val="center"/>
        <w:rPr>
          <w:rFonts w:ascii="宋体" w:hAnsi="宋体"/>
          <w:color w:val="auto"/>
          <w:sz w:val="36"/>
          <w:szCs w:val="36"/>
        </w:rPr>
      </w:pPr>
      <w:bookmarkStart w:id="275" w:name="_Toc16665781"/>
      <w:bookmarkStart w:id="276" w:name="_Toc9506"/>
      <w:r>
        <w:rPr>
          <w:rFonts w:hint="eastAsia" w:ascii="宋体" w:hAnsi="宋体"/>
          <w:color w:val="auto"/>
          <w:sz w:val="36"/>
          <w:szCs w:val="36"/>
        </w:rPr>
        <w:t>附  件</w:t>
      </w:r>
      <w:bookmarkEnd w:id="266"/>
      <w:bookmarkEnd w:id="267"/>
      <w:bookmarkEnd w:id="268"/>
      <w:bookmarkEnd w:id="269"/>
      <w:bookmarkEnd w:id="270"/>
      <w:bookmarkEnd w:id="271"/>
      <w:bookmarkEnd w:id="272"/>
      <w:bookmarkEnd w:id="273"/>
      <w:bookmarkEnd w:id="274"/>
      <w:bookmarkEnd w:id="275"/>
      <w:bookmarkEnd w:id="276"/>
    </w:p>
    <w:p>
      <w:pPr>
        <w:pStyle w:val="4"/>
        <w:rPr>
          <w:rFonts w:hint="default" w:ascii="宋体" w:hAnsi="宋体" w:eastAsia="宋体"/>
          <w:color w:val="auto"/>
          <w:sz w:val="28"/>
          <w:szCs w:val="28"/>
          <w:lang w:val="en-US" w:eastAsia="zh-CN"/>
        </w:rPr>
      </w:pPr>
      <w:bookmarkStart w:id="277" w:name="_Toc16189231"/>
      <w:bookmarkStart w:id="278" w:name="_Toc16665782"/>
      <w:bookmarkStart w:id="279" w:name="_Toc16189068"/>
      <w:bookmarkStart w:id="280" w:name="_Toc3620"/>
      <w:r>
        <w:rPr>
          <w:rFonts w:hint="eastAsia" w:ascii="宋体" w:hAnsi="宋体"/>
          <w:color w:val="auto"/>
          <w:sz w:val="28"/>
          <w:szCs w:val="28"/>
        </w:rPr>
        <w:t>（一）</w:t>
      </w:r>
      <w:bookmarkEnd w:id="277"/>
      <w:bookmarkEnd w:id="278"/>
      <w:bookmarkEnd w:id="279"/>
      <w:r>
        <w:rPr>
          <w:rFonts w:hint="eastAsia" w:ascii="宋体" w:hAnsi="宋体"/>
          <w:color w:val="auto"/>
          <w:sz w:val="28"/>
          <w:szCs w:val="28"/>
          <w:lang w:eastAsia="zh-CN"/>
        </w:rPr>
        <w:t>《云南省文山壮族苗族自治州中级人民法院委托书》</w:t>
      </w:r>
      <w:bookmarkEnd w:id="280"/>
    </w:p>
    <w:p>
      <w:pPr>
        <w:pStyle w:val="4"/>
        <w:rPr>
          <w:rFonts w:ascii="宋体" w:hAnsi="宋体"/>
          <w:color w:val="auto"/>
          <w:sz w:val="28"/>
          <w:szCs w:val="28"/>
        </w:rPr>
      </w:pPr>
      <w:bookmarkStart w:id="281" w:name="_Toc16189232"/>
      <w:bookmarkStart w:id="282" w:name="_Toc16463"/>
      <w:bookmarkStart w:id="283" w:name="_Toc16189069"/>
      <w:bookmarkStart w:id="284" w:name="_Toc16665783"/>
      <w:r>
        <w:rPr>
          <w:rFonts w:hint="eastAsia" w:ascii="宋体" w:hAnsi="宋体"/>
          <w:color w:val="auto"/>
          <w:sz w:val="28"/>
          <w:szCs w:val="28"/>
        </w:rPr>
        <w:t>（二）估价对象区域位置图</w:t>
      </w:r>
      <w:bookmarkEnd w:id="281"/>
      <w:bookmarkEnd w:id="282"/>
      <w:bookmarkEnd w:id="283"/>
      <w:bookmarkEnd w:id="284"/>
    </w:p>
    <w:p>
      <w:pPr>
        <w:pStyle w:val="4"/>
        <w:rPr>
          <w:rFonts w:ascii="宋体" w:hAnsi="宋体"/>
          <w:color w:val="auto"/>
          <w:sz w:val="28"/>
          <w:szCs w:val="28"/>
        </w:rPr>
      </w:pPr>
      <w:bookmarkStart w:id="285" w:name="_Toc16665784"/>
      <w:bookmarkStart w:id="286" w:name="_Toc16189070"/>
      <w:bookmarkStart w:id="287" w:name="_Toc31530"/>
      <w:bookmarkStart w:id="288" w:name="_Toc16189233"/>
      <w:r>
        <w:rPr>
          <w:rFonts w:hint="eastAsia" w:ascii="宋体" w:hAnsi="宋体"/>
          <w:color w:val="auto"/>
          <w:sz w:val="28"/>
          <w:szCs w:val="28"/>
        </w:rPr>
        <w:t>（三）估价对象实景照片</w:t>
      </w:r>
      <w:bookmarkEnd w:id="285"/>
      <w:bookmarkEnd w:id="286"/>
      <w:bookmarkEnd w:id="287"/>
      <w:bookmarkEnd w:id="288"/>
    </w:p>
    <w:p>
      <w:pPr>
        <w:pStyle w:val="4"/>
        <w:rPr>
          <w:rFonts w:ascii="宋体" w:hAnsi="宋体"/>
          <w:color w:val="auto"/>
          <w:sz w:val="28"/>
          <w:szCs w:val="28"/>
        </w:rPr>
      </w:pPr>
      <w:bookmarkStart w:id="289" w:name="_Toc16665785"/>
      <w:bookmarkStart w:id="290" w:name="_Toc19381"/>
      <w:bookmarkStart w:id="291" w:name="_Toc16189234"/>
      <w:bookmarkStart w:id="292" w:name="_Toc16189071"/>
      <w:r>
        <w:rPr>
          <w:rFonts w:hint="eastAsia" w:ascii="宋体" w:hAnsi="宋体"/>
          <w:color w:val="auto"/>
          <w:sz w:val="28"/>
          <w:szCs w:val="28"/>
        </w:rPr>
        <w:t>（四）</w:t>
      </w:r>
      <w:r>
        <w:rPr>
          <w:rFonts w:hint="eastAsia" w:ascii="宋体" w:hAnsi="宋体"/>
          <w:color w:val="auto"/>
          <w:sz w:val="28"/>
          <w:szCs w:val="28"/>
          <w:lang w:eastAsia="zh-CN"/>
        </w:rPr>
        <w:t>《房屋所有权证》</w:t>
      </w:r>
      <w:r>
        <w:rPr>
          <w:rFonts w:hint="eastAsia" w:ascii="宋体" w:hAnsi="宋体"/>
          <w:color w:val="auto"/>
          <w:sz w:val="28"/>
          <w:szCs w:val="28"/>
        </w:rPr>
        <w:t>复印件</w:t>
      </w:r>
      <w:bookmarkEnd w:id="289"/>
      <w:bookmarkEnd w:id="290"/>
    </w:p>
    <w:p>
      <w:pPr>
        <w:pStyle w:val="4"/>
        <w:rPr>
          <w:rFonts w:ascii="宋体" w:hAnsi="宋体"/>
          <w:color w:val="auto"/>
          <w:sz w:val="28"/>
          <w:szCs w:val="28"/>
        </w:rPr>
      </w:pPr>
      <w:bookmarkStart w:id="293" w:name="_Toc16665786"/>
      <w:bookmarkStart w:id="294" w:name="_Toc14125"/>
      <w:r>
        <w:rPr>
          <w:rFonts w:hint="eastAsia" w:ascii="宋体" w:hAnsi="宋体"/>
          <w:color w:val="auto"/>
          <w:sz w:val="28"/>
          <w:szCs w:val="28"/>
        </w:rPr>
        <w:t>（五）</w:t>
      </w:r>
      <w:r>
        <w:rPr>
          <w:rFonts w:hint="eastAsia" w:ascii="宋体" w:hAnsi="宋体"/>
          <w:color w:val="auto"/>
          <w:sz w:val="28"/>
          <w:szCs w:val="28"/>
          <w:lang w:eastAsia="zh-CN"/>
        </w:rPr>
        <w:t>估价师到相关部门调查收集</w:t>
      </w:r>
      <w:r>
        <w:rPr>
          <w:rFonts w:hint="eastAsia" w:ascii="宋体" w:hAnsi="宋体"/>
          <w:color w:val="auto"/>
          <w:sz w:val="28"/>
          <w:szCs w:val="28"/>
        </w:rPr>
        <w:t>的相关资料复印件</w:t>
      </w:r>
      <w:bookmarkEnd w:id="291"/>
      <w:bookmarkEnd w:id="292"/>
      <w:bookmarkEnd w:id="293"/>
      <w:bookmarkEnd w:id="294"/>
    </w:p>
    <w:p>
      <w:pPr>
        <w:pStyle w:val="4"/>
        <w:rPr>
          <w:rFonts w:ascii="宋体" w:hAnsi="宋体"/>
          <w:color w:val="auto"/>
          <w:sz w:val="28"/>
          <w:szCs w:val="28"/>
        </w:rPr>
      </w:pPr>
      <w:bookmarkStart w:id="295" w:name="_Toc31789"/>
      <w:bookmarkStart w:id="296" w:name="_Toc16189072"/>
      <w:bookmarkStart w:id="297" w:name="_Toc16189235"/>
      <w:bookmarkStart w:id="298" w:name="_Toc16665787"/>
      <w:r>
        <w:rPr>
          <w:rFonts w:hint="eastAsia" w:ascii="宋体" w:hAnsi="宋体"/>
          <w:color w:val="auto"/>
          <w:sz w:val="28"/>
          <w:szCs w:val="28"/>
        </w:rPr>
        <w:t>（六）房地产估价机构营业执照复印件</w:t>
      </w:r>
      <w:bookmarkEnd w:id="295"/>
      <w:bookmarkEnd w:id="296"/>
      <w:bookmarkEnd w:id="297"/>
      <w:bookmarkEnd w:id="298"/>
    </w:p>
    <w:p>
      <w:pPr>
        <w:pStyle w:val="4"/>
        <w:rPr>
          <w:rFonts w:ascii="宋体" w:hAnsi="宋体"/>
          <w:color w:val="auto"/>
          <w:sz w:val="28"/>
          <w:szCs w:val="28"/>
        </w:rPr>
      </w:pPr>
      <w:bookmarkStart w:id="299" w:name="_Toc31459"/>
      <w:bookmarkStart w:id="300" w:name="_Toc16665788"/>
      <w:bookmarkStart w:id="301" w:name="_Toc16189073"/>
      <w:bookmarkStart w:id="302" w:name="_Toc16189236"/>
      <w:r>
        <w:rPr>
          <w:rFonts w:hint="eastAsia" w:ascii="宋体" w:hAnsi="宋体"/>
          <w:color w:val="auto"/>
          <w:sz w:val="28"/>
          <w:szCs w:val="28"/>
        </w:rPr>
        <w:t>（七）房地产估价机构备案证书复印件</w:t>
      </w:r>
      <w:bookmarkEnd w:id="299"/>
      <w:bookmarkEnd w:id="300"/>
      <w:bookmarkEnd w:id="301"/>
      <w:bookmarkEnd w:id="302"/>
    </w:p>
    <w:p>
      <w:pPr>
        <w:pStyle w:val="4"/>
        <w:rPr>
          <w:rFonts w:ascii="宋体" w:hAnsi="宋体"/>
          <w:color w:val="auto"/>
          <w:sz w:val="28"/>
          <w:szCs w:val="28"/>
        </w:rPr>
      </w:pPr>
      <w:bookmarkStart w:id="303" w:name="_Toc10700"/>
      <w:bookmarkStart w:id="304" w:name="_Toc16665789"/>
      <w:bookmarkStart w:id="305" w:name="_Toc16189237"/>
      <w:bookmarkStart w:id="306" w:name="_Toc16189074"/>
      <w:r>
        <w:rPr>
          <w:rFonts w:hint="eastAsia" w:ascii="宋体" w:hAnsi="宋体"/>
          <w:color w:val="auto"/>
          <w:sz w:val="28"/>
          <w:szCs w:val="28"/>
        </w:rPr>
        <w:t>（八）注册房地产估价师注册证书复印件</w:t>
      </w:r>
      <w:bookmarkEnd w:id="303"/>
      <w:bookmarkEnd w:id="304"/>
      <w:bookmarkEnd w:id="305"/>
      <w:bookmarkEnd w:id="306"/>
    </w:p>
    <w:p>
      <w:pPr>
        <w:rPr>
          <w:rFonts w:ascii="宋体" w:hAnsi="宋体"/>
          <w:color w:val="auto"/>
          <w:sz w:val="32"/>
          <w:szCs w:val="32"/>
        </w:rPr>
      </w:pPr>
    </w:p>
    <w:p>
      <w:pPr>
        <w:rPr>
          <w:rFonts w:ascii="宋体" w:hAnsi="宋体"/>
          <w:color w:val="auto"/>
          <w:sz w:val="32"/>
          <w:szCs w:val="32"/>
        </w:rPr>
      </w:pPr>
    </w:p>
    <w:p>
      <w:pPr>
        <w:rPr>
          <w:rFonts w:ascii="宋体" w:hAnsi="宋体"/>
          <w:color w:val="auto"/>
          <w:sz w:val="32"/>
          <w:szCs w:val="32"/>
        </w:rPr>
      </w:pPr>
    </w:p>
    <w:p>
      <w:pPr>
        <w:rPr>
          <w:rFonts w:ascii="宋体" w:hAnsi="宋体"/>
          <w:color w:val="auto"/>
          <w:sz w:val="32"/>
          <w:szCs w:val="32"/>
        </w:rPr>
      </w:pPr>
    </w:p>
    <w:p>
      <w:pPr>
        <w:rPr>
          <w:rFonts w:ascii="宋体" w:hAnsi="宋体"/>
          <w:color w:val="auto"/>
          <w:sz w:val="32"/>
          <w:szCs w:val="32"/>
        </w:rPr>
      </w:pPr>
    </w:p>
    <w:p>
      <w:pPr>
        <w:rPr>
          <w:rFonts w:ascii="宋体" w:hAnsi="宋体"/>
          <w:color w:val="auto"/>
          <w:sz w:val="32"/>
          <w:szCs w:val="32"/>
        </w:rPr>
      </w:pPr>
    </w:p>
    <w:p>
      <w:pPr>
        <w:rPr>
          <w:rFonts w:ascii="宋体" w:hAnsi="宋体"/>
          <w:color w:val="auto"/>
          <w:sz w:val="32"/>
          <w:szCs w:val="32"/>
        </w:rPr>
      </w:pPr>
    </w:p>
    <w:p>
      <w:pPr>
        <w:rPr>
          <w:rFonts w:ascii="宋体" w:hAnsi="宋体"/>
          <w:color w:val="auto"/>
          <w:sz w:val="32"/>
          <w:szCs w:val="32"/>
        </w:rPr>
      </w:pPr>
    </w:p>
    <w:p>
      <w:pPr>
        <w:rPr>
          <w:rFonts w:ascii="宋体" w:hAnsi="宋体"/>
          <w:color w:val="auto"/>
          <w:sz w:val="32"/>
          <w:szCs w:val="32"/>
        </w:rPr>
      </w:pPr>
    </w:p>
    <w:p>
      <w:pPr>
        <w:rPr>
          <w:rFonts w:ascii="宋体" w:hAnsi="宋体"/>
          <w:color w:val="auto"/>
          <w:sz w:val="32"/>
          <w:szCs w:val="32"/>
        </w:rPr>
      </w:pPr>
    </w:p>
    <w:p>
      <w:pPr>
        <w:rPr>
          <w:rFonts w:ascii="宋体" w:hAnsi="宋体"/>
          <w:color w:val="auto"/>
          <w:sz w:val="32"/>
          <w:szCs w:val="32"/>
        </w:rPr>
      </w:pPr>
    </w:p>
    <w:p>
      <w:pPr>
        <w:rPr>
          <w:rFonts w:ascii="宋体" w:hAnsi="宋体"/>
          <w:color w:val="auto"/>
          <w:sz w:val="32"/>
          <w:szCs w:val="32"/>
        </w:rPr>
      </w:pPr>
    </w:p>
    <w:p>
      <w:pPr>
        <w:rPr>
          <w:rFonts w:ascii="宋体" w:hAnsi="宋体"/>
          <w:color w:val="auto"/>
          <w:sz w:val="32"/>
          <w:szCs w:val="32"/>
        </w:rPr>
      </w:pPr>
    </w:p>
    <w:p>
      <w:pPr>
        <w:rPr>
          <w:rFonts w:ascii="宋体" w:hAnsi="宋体"/>
          <w:color w:val="auto"/>
          <w:sz w:val="32"/>
          <w:szCs w:val="32"/>
        </w:rPr>
      </w:pPr>
    </w:p>
    <w:p>
      <w:pPr>
        <w:keepNext w:val="0"/>
        <w:keepLines w:val="0"/>
        <w:widowControl/>
        <w:suppressLineNumbers w:val="0"/>
        <w:jc w:val="left"/>
        <w:rPr>
          <w:rFonts w:ascii="宋体" w:hAnsi="宋体" w:eastAsia="宋体" w:cs="宋体"/>
          <w:kern w:val="0"/>
          <w:sz w:val="24"/>
          <w:szCs w:val="24"/>
          <w:lang w:val="en-US" w:eastAsia="zh-CN" w:bidi="ar"/>
        </w:rPr>
        <w:sectPr>
          <w:footerReference r:id="rId11" w:type="default"/>
          <w:footerReference r:id="rId12" w:type="even"/>
          <w:pgSz w:w="11906" w:h="16838"/>
          <w:pgMar w:top="1077" w:right="1361" w:bottom="1134" w:left="1304" w:header="851" w:footer="851" w:gutter="0"/>
          <w:pgNumType w:fmt="numberInDash"/>
          <w:cols w:space="720" w:num="1"/>
          <w:docGrid w:linePitch="312" w:charSpace="0"/>
        </w:sectPr>
      </w:pPr>
    </w:p>
    <w:p>
      <w:pPr>
        <w:keepNext w:val="0"/>
        <w:keepLines w:val="0"/>
        <w:widowControl/>
        <w:suppressLineNumbers w:val="0"/>
        <w:jc w:val="center"/>
        <w:rPr>
          <w:rFonts w:hint="eastAsia" w:ascii="宋体" w:hAnsi="宋体" w:eastAsia="宋体" w:cs="宋体"/>
          <w:b/>
          <w:bCs/>
          <w:kern w:val="0"/>
          <w:sz w:val="36"/>
          <w:szCs w:val="36"/>
          <w:lang w:val="en-US" w:eastAsia="zh-CN" w:bidi="ar"/>
        </w:rPr>
      </w:pPr>
      <w:r>
        <w:rPr>
          <w:rFonts w:hint="eastAsia" w:ascii="宋体" w:hAnsi="宋体" w:cs="宋体"/>
          <w:b/>
          <w:bCs/>
          <w:kern w:val="0"/>
          <w:sz w:val="36"/>
          <w:szCs w:val="36"/>
          <w:lang w:val="en-US" w:eastAsia="zh-CN" w:bidi="ar"/>
        </w:rPr>
        <w:t>估价对象区域位置图</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anchor distT="0" distB="0" distL="114300" distR="114300" simplePos="0" relativeHeight="252201984" behindDoc="1" locked="0" layoutInCell="1" allowOverlap="1">
            <wp:simplePos x="0" y="0"/>
            <wp:positionH relativeFrom="column">
              <wp:posOffset>275590</wp:posOffset>
            </wp:positionH>
            <wp:positionV relativeFrom="paragraph">
              <wp:posOffset>198120</wp:posOffset>
            </wp:positionV>
            <wp:extent cx="8801735" cy="5362575"/>
            <wp:effectExtent l="0" t="0" r="18415" b="9525"/>
            <wp:wrapNone/>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19"/>
                    <a:stretch>
                      <a:fillRect/>
                    </a:stretch>
                  </pic:blipFill>
                  <pic:spPr>
                    <a:xfrm>
                      <a:off x="0" y="0"/>
                      <a:ext cx="8801735" cy="5362575"/>
                    </a:xfrm>
                    <a:prstGeom prst="rect">
                      <a:avLst/>
                    </a:prstGeom>
                    <a:noFill/>
                    <a:ln w="9525">
                      <a:noFill/>
                    </a:ln>
                  </pic:spPr>
                </pic:pic>
              </a:graphicData>
            </a:graphic>
          </wp:anchor>
        </w:drawing>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r>
        <w:pict>
          <v:shape id="_x0000_s1026" o:spid="_x0000_s1026" o:spt="62" type="#_x0000_t62" style="position:absolute;left:0pt;margin-left:-3.85pt;margin-top:7.9pt;height:27.1pt;width:119.75pt;z-index:251923456;mso-width-relative:page;mso-height-relative:page;" fillcolor="#FFFFFF" filled="t" stroked="t" coordsize="21600,21600" adj="21657,55873">
            <v:path/>
            <v:fill on="t" opacity="0f" focussize="0,0"/>
            <v:stroke color="#00B050"/>
            <v:imagedata o:title=""/>
            <o:lock v:ext="edit" aspectratio="f"/>
            <v:textbox>
              <w:txbxContent>
                <w:p>
                  <w:pPr>
                    <w:jc w:val="center"/>
                    <w:rPr>
                      <w:color w:val="FF0000"/>
                      <w:sz w:val="28"/>
                      <w:szCs w:val="28"/>
                    </w:rPr>
                  </w:pPr>
                  <w:r>
                    <w:rPr>
                      <w:rFonts w:hint="eastAsia"/>
                      <w:color w:val="FF0000"/>
                      <w:sz w:val="28"/>
                      <w:szCs w:val="28"/>
                      <w:lang w:eastAsia="zh-CN"/>
                    </w:rPr>
                    <w:t>估价对象</w:t>
                  </w:r>
                  <w:r>
                    <w:rPr>
                      <w:rFonts w:hint="eastAsia"/>
                      <w:color w:val="FF0000"/>
                      <w:sz w:val="28"/>
                      <w:szCs w:val="28"/>
                    </w:rPr>
                    <w:t>位置</w:t>
                  </w:r>
                </w:p>
              </w:txbxContent>
            </v:textbox>
          </v:shape>
        </w:pict>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sectPr>
          <w:pgSz w:w="16838" w:h="11906" w:orient="landscape"/>
          <w:pgMar w:top="1304" w:right="1077" w:bottom="1361" w:left="1134" w:header="851" w:footer="850" w:gutter="0"/>
          <w:pgNumType w:fmt="numberInDash"/>
          <w:cols w:space="0" w:num="1"/>
          <w:rtlGutter w:val="0"/>
          <w:docGrid w:linePitch="312" w:charSpace="0"/>
        </w:sectPr>
      </w:pPr>
    </w:p>
    <w:p>
      <w:pPr>
        <w:keepNext w:val="0"/>
        <w:keepLines w:val="0"/>
        <w:widowControl/>
        <w:suppressLineNumbers w:val="0"/>
        <w:jc w:val="left"/>
      </w:pPr>
    </w:p>
    <w:p>
      <w:pPr>
        <w:jc w:val="center"/>
        <w:rPr>
          <w:rFonts w:hint="eastAsia" w:ascii="宋体" w:hAnsi="宋体" w:eastAsia="宋体"/>
          <w:b/>
          <w:bCs/>
          <w:color w:val="auto"/>
          <w:sz w:val="36"/>
          <w:szCs w:val="36"/>
          <w:lang w:eastAsia="zh-CN"/>
        </w:rPr>
      </w:pPr>
      <w:r>
        <w:rPr>
          <w:rFonts w:hint="eastAsia" w:ascii="宋体" w:hAnsi="宋体"/>
          <w:b/>
          <w:bCs/>
          <w:color w:val="auto"/>
          <w:sz w:val="36"/>
          <w:szCs w:val="36"/>
          <w:lang w:eastAsia="zh-CN"/>
        </w:rPr>
        <w:t>估价对象实景照片</w:t>
      </w:r>
    </w:p>
    <w:p>
      <w:pPr>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drawing>
          <wp:anchor distT="0" distB="0" distL="114300" distR="114300" simplePos="0" relativeHeight="252199936" behindDoc="0" locked="0" layoutInCell="1" allowOverlap="1">
            <wp:simplePos x="0" y="0"/>
            <wp:positionH relativeFrom="column">
              <wp:posOffset>142875</wp:posOffset>
            </wp:positionH>
            <wp:positionV relativeFrom="paragraph">
              <wp:posOffset>-11430</wp:posOffset>
            </wp:positionV>
            <wp:extent cx="2376170" cy="2879725"/>
            <wp:effectExtent l="0" t="0" r="15875" b="5080"/>
            <wp:wrapNone/>
            <wp:docPr id="12" name="图片 12" descr="QQ图片20200109150530"/>
            <wp:cNvGraphicFramePr/>
            <a:graphic xmlns:a="http://schemas.openxmlformats.org/drawingml/2006/main">
              <a:graphicData uri="http://schemas.openxmlformats.org/drawingml/2006/picture">
                <pic:pic xmlns:pic="http://schemas.openxmlformats.org/drawingml/2006/picture">
                  <pic:nvPicPr>
                    <pic:cNvPr id="12" name="图片 12" descr="QQ图片20200109150530"/>
                    <pic:cNvPicPr/>
                  </pic:nvPicPr>
                  <pic:blipFill>
                    <a:blip r:embed="rId20"/>
                    <a:stretch>
                      <a:fillRect/>
                    </a:stretch>
                  </pic:blipFill>
                  <pic:spPr>
                    <a:xfrm rot="5400000">
                      <a:off x="0" y="0"/>
                      <a:ext cx="2376170" cy="2879725"/>
                    </a:xfrm>
                    <a:prstGeom prst="rect">
                      <a:avLst/>
                    </a:prstGeom>
                  </pic:spPr>
                </pic:pic>
              </a:graphicData>
            </a:graphic>
          </wp:anchor>
        </w:drawing>
      </w:r>
      <w:r>
        <w:rPr>
          <w:rFonts w:hint="eastAsia" w:ascii="宋体" w:hAnsi="宋体" w:eastAsia="宋体"/>
          <w:color w:val="auto"/>
          <w:sz w:val="24"/>
          <w:szCs w:val="24"/>
          <w:lang w:val="en-US" w:eastAsia="zh-CN"/>
        </w:rPr>
        <w:drawing>
          <wp:anchor distT="0" distB="0" distL="114300" distR="114300" simplePos="0" relativeHeight="252196864" behindDoc="0" locked="0" layoutInCell="1" allowOverlap="1">
            <wp:simplePos x="0" y="0"/>
            <wp:positionH relativeFrom="column">
              <wp:posOffset>3238500</wp:posOffset>
            </wp:positionH>
            <wp:positionV relativeFrom="paragraph">
              <wp:posOffset>-1905</wp:posOffset>
            </wp:positionV>
            <wp:extent cx="2376170" cy="2879725"/>
            <wp:effectExtent l="0" t="0" r="15875" b="5080"/>
            <wp:wrapNone/>
            <wp:docPr id="9" name="图片 9" descr="QQ图片20200109150527"/>
            <wp:cNvGraphicFramePr/>
            <a:graphic xmlns:a="http://schemas.openxmlformats.org/drawingml/2006/main">
              <a:graphicData uri="http://schemas.openxmlformats.org/drawingml/2006/picture">
                <pic:pic xmlns:pic="http://schemas.openxmlformats.org/drawingml/2006/picture">
                  <pic:nvPicPr>
                    <pic:cNvPr id="9" name="图片 9" descr="QQ图片20200109150527"/>
                    <pic:cNvPicPr/>
                  </pic:nvPicPr>
                  <pic:blipFill>
                    <a:blip r:embed="rId21"/>
                    <a:stretch>
                      <a:fillRect/>
                    </a:stretch>
                  </pic:blipFill>
                  <pic:spPr>
                    <a:xfrm rot="5400000">
                      <a:off x="0" y="0"/>
                      <a:ext cx="2376170" cy="2879725"/>
                    </a:xfrm>
                    <a:prstGeom prst="rect">
                      <a:avLst/>
                    </a:prstGeom>
                  </pic:spPr>
                </pic:pic>
              </a:graphicData>
            </a:graphic>
          </wp:anchor>
        </w:drawing>
      </w:r>
      <w:r>
        <w:rPr>
          <w:rFonts w:ascii="宋体" w:hAnsi="宋体" w:eastAsia="宋体" w:cs="宋体"/>
          <w:sz w:val="24"/>
          <w:szCs w:val="24"/>
        </w:rPr>
        <w:br w:type="textWrapping"/>
      </w: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估价对象临路状况实景照片一             估价对象临路状况实景照片二</w:t>
      </w:r>
    </w:p>
    <w:p>
      <w:pPr>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drawing>
          <wp:anchor distT="0" distB="0" distL="114300" distR="114300" simplePos="0" relativeHeight="252195840" behindDoc="0" locked="0" layoutInCell="1" allowOverlap="1">
            <wp:simplePos x="0" y="0"/>
            <wp:positionH relativeFrom="column">
              <wp:posOffset>1457325</wp:posOffset>
            </wp:positionH>
            <wp:positionV relativeFrom="paragraph">
              <wp:posOffset>-243205</wp:posOffset>
            </wp:positionV>
            <wp:extent cx="2376170" cy="2879725"/>
            <wp:effectExtent l="0" t="0" r="15875" b="5080"/>
            <wp:wrapNone/>
            <wp:docPr id="8" name="图片 8" descr="QQ图片20200109150501"/>
            <wp:cNvGraphicFramePr/>
            <a:graphic xmlns:a="http://schemas.openxmlformats.org/drawingml/2006/main">
              <a:graphicData uri="http://schemas.openxmlformats.org/drawingml/2006/picture">
                <pic:pic xmlns:pic="http://schemas.openxmlformats.org/drawingml/2006/picture">
                  <pic:nvPicPr>
                    <pic:cNvPr id="8" name="图片 8" descr="QQ图片20200109150501"/>
                    <pic:cNvPicPr/>
                  </pic:nvPicPr>
                  <pic:blipFill>
                    <a:blip r:embed="rId22"/>
                    <a:stretch>
                      <a:fillRect/>
                    </a:stretch>
                  </pic:blipFill>
                  <pic:spPr>
                    <a:xfrm rot="5400000">
                      <a:off x="0" y="0"/>
                      <a:ext cx="2376170" cy="2879725"/>
                    </a:xfrm>
                    <a:prstGeom prst="rect">
                      <a:avLst/>
                    </a:prstGeom>
                  </pic:spPr>
                </pic:pic>
              </a:graphicData>
            </a:graphic>
          </wp:anchor>
        </w:drawing>
      </w: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r>
        <w:rPr>
          <w:rFonts w:hint="eastAsia" w:ascii="宋体" w:hAnsi="宋体"/>
          <w:color w:val="auto"/>
          <w:sz w:val="24"/>
          <w:szCs w:val="24"/>
          <w:lang w:val="en-US" w:eastAsia="zh-CN"/>
        </w:rPr>
        <w:t>估价对象整幢楼实景照片</w:t>
      </w: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drawing>
          <wp:anchor distT="0" distB="0" distL="114300" distR="114300" simplePos="0" relativeHeight="252191744" behindDoc="0" locked="0" layoutInCell="1" allowOverlap="1">
            <wp:simplePos x="0" y="0"/>
            <wp:positionH relativeFrom="column">
              <wp:posOffset>3323590</wp:posOffset>
            </wp:positionH>
            <wp:positionV relativeFrom="paragraph">
              <wp:posOffset>-224155</wp:posOffset>
            </wp:positionV>
            <wp:extent cx="2376170" cy="2879725"/>
            <wp:effectExtent l="0" t="0" r="15875" b="5080"/>
            <wp:wrapNone/>
            <wp:docPr id="1" name="图片 1" descr="QQ图片20200109150457"/>
            <wp:cNvGraphicFramePr/>
            <a:graphic xmlns:a="http://schemas.openxmlformats.org/drawingml/2006/main">
              <a:graphicData uri="http://schemas.openxmlformats.org/drawingml/2006/picture">
                <pic:pic xmlns:pic="http://schemas.openxmlformats.org/drawingml/2006/picture">
                  <pic:nvPicPr>
                    <pic:cNvPr id="1" name="图片 1" descr="QQ图片20200109150457"/>
                    <pic:cNvPicPr/>
                  </pic:nvPicPr>
                  <pic:blipFill>
                    <a:blip r:embed="rId23"/>
                    <a:stretch>
                      <a:fillRect/>
                    </a:stretch>
                  </pic:blipFill>
                  <pic:spPr>
                    <a:xfrm rot="5400000">
                      <a:off x="0" y="0"/>
                      <a:ext cx="2376170" cy="2879725"/>
                    </a:xfrm>
                    <a:prstGeom prst="rect">
                      <a:avLst/>
                    </a:prstGeom>
                  </pic:spPr>
                </pic:pic>
              </a:graphicData>
            </a:graphic>
          </wp:anchor>
        </w:drawing>
      </w:r>
      <w:r>
        <w:rPr>
          <w:rFonts w:hint="eastAsia" w:ascii="宋体" w:hAnsi="宋体" w:eastAsia="宋体"/>
          <w:color w:val="auto"/>
          <w:sz w:val="24"/>
          <w:szCs w:val="24"/>
          <w:lang w:val="en-US" w:eastAsia="zh-CN"/>
        </w:rPr>
        <w:drawing>
          <wp:anchor distT="0" distB="0" distL="114300" distR="114300" simplePos="0" relativeHeight="252192768" behindDoc="0" locked="0" layoutInCell="1" allowOverlap="1">
            <wp:simplePos x="0" y="0"/>
            <wp:positionH relativeFrom="column">
              <wp:posOffset>219075</wp:posOffset>
            </wp:positionH>
            <wp:positionV relativeFrom="paragraph">
              <wp:posOffset>-245110</wp:posOffset>
            </wp:positionV>
            <wp:extent cx="2376170" cy="2879725"/>
            <wp:effectExtent l="0" t="0" r="15875" b="5080"/>
            <wp:wrapNone/>
            <wp:docPr id="3" name="图片 3" descr="QQ图片20200109150442"/>
            <wp:cNvGraphicFramePr/>
            <a:graphic xmlns:a="http://schemas.openxmlformats.org/drawingml/2006/main">
              <a:graphicData uri="http://schemas.openxmlformats.org/drawingml/2006/picture">
                <pic:pic xmlns:pic="http://schemas.openxmlformats.org/drawingml/2006/picture">
                  <pic:nvPicPr>
                    <pic:cNvPr id="3" name="图片 3" descr="QQ图片20200109150442"/>
                    <pic:cNvPicPr/>
                  </pic:nvPicPr>
                  <pic:blipFill>
                    <a:blip r:embed="rId24"/>
                    <a:stretch>
                      <a:fillRect/>
                    </a:stretch>
                  </pic:blipFill>
                  <pic:spPr>
                    <a:xfrm rot="5400000">
                      <a:off x="0" y="0"/>
                      <a:ext cx="2376170" cy="2879725"/>
                    </a:xfrm>
                    <a:prstGeom prst="rect">
                      <a:avLst/>
                    </a:prstGeom>
                  </pic:spPr>
                </pic:pic>
              </a:graphicData>
            </a:graphic>
          </wp:anchor>
        </w:drawing>
      </w: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估价对象入户门实景照片             估价对象整幢楼实景照片</w:t>
      </w: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drawing>
          <wp:anchor distT="0" distB="0" distL="114300" distR="114300" simplePos="0" relativeHeight="252197888" behindDoc="0" locked="0" layoutInCell="1" allowOverlap="1">
            <wp:simplePos x="0" y="0"/>
            <wp:positionH relativeFrom="column">
              <wp:posOffset>57150</wp:posOffset>
            </wp:positionH>
            <wp:positionV relativeFrom="paragraph">
              <wp:posOffset>132080</wp:posOffset>
            </wp:positionV>
            <wp:extent cx="2771775" cy="2879725"/>
            <wp:effectExtent l="0" t="0" r="15875" b="9525"/>
            <wp:wrapNone/>
            <wp:docPr id="10" name="图片 10" descr="QQ图片20200109150521"/>
            <wp:cNvGraphicFramePr/>
            <a:graphic xmlns:a="http://schemas.openxmlformats.org/drawingml/2006/main">
              <a:graphicData uri="http://schemas.openxmlformats.org/drawingml/2006/picture">
                <pic:pic xmlns:pic="http://schemas.openxmlformats.org/drawingml/2006/picture">
                  <pic:nvPicPr>
                    <pic:cNvPr id="10" name="图片 10" descr="QQ图片20200109150521"/>
                    <pic:cNvPicPr/>
                  </pic:nvPicPr>
                  <pic:blipFill>
                    <a:blip r:embed="rId25"/>
                    <a:stretch>
                      <a:fillRect/>
                    </a:stretch>
                  </pic:blipFill>
                  <pic:spPr>
                    <a:xfrm rot="5400000">
                      <a:off x="0" y="0"/>
                      <a:ext cx="2771775" cy="2879725"/>
                    </a:xfrm>
                    <a:prstGeom prst="rect">
                      <a:avLst/>
                    </a:prstGeom>
                  </pic:spPr>
                </pic:pic>
              </a:graphicData>
            </a:graphic>
          </wp:anchor>
        </w:drawing>
      </w:r>
    </w:p>
    <w:p>
      <w:pPr>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drawing>
          <wp:anchor distT="0" distB="0" distL="114300" distR="114300" simplePos="0" relativeHeight="252193792" behindDoc="0" locked="0" layoutInCell="1" allowOverlap="1">
            <wp:simplePos x="0" y="0"/>
            <wp:positionH relativeFrom="column">
              <wp:posOffset>3314700</wp:posOffset>
            </wp:positionH>
            <wp:positionV relativeFrom="paragraph">
              <wp:posOffset>-49530</wp:posOffset>
            </wp:positionV>
            <wp:extent cx="2771775" cy="2879725"/>
            <wp:effectExtent l="0" t="0" r="15875" b="9525"/>
            <wp:wrapNone/>
            <wp:docPr id="4" name="图片 4" descr="QQ图片20200109150511"/>
            <wp:cNvGraphicFramePr/>
            <a:graphic xmlns:a="http://schemas.openxmlformats.org/drawingml/2006/main">
              <a:graphicData uri="http://schemas.openxmlformats.org/drawingml/2006/picture">
                <pic:pic xmlns:pic="http://schemas.openxmlformats.org/drawingml/2006/picture">
                  <pic:nvPicPr>
                    <pic:cNvPr id="4" name="图片 4" descr="QQ图片20200109150511"/>
                    <pic:cNvPicPr/>
                  </pic:nvPicPr>
                  <pic:blipFill>
                    <a:blip r:embed="rId26"/>
                    <a:stretch>
                      <a:fillRect/>
                    </a:stretch>
                  </pic:blipFill>
                  <pic:spPr>
                    <a:xfrm rot="5400000">
                      <a:off x="0" y="0"/>
                      <a:ext cx="2771775" cy="2879725"/>
                    </a:xfrm>
                    <a:prstGeom prst="rect">
                      <a:avLst/>
                    </a:prstGeom>
                  </pic:spPr>
                </pic:pic>
              </a:graphicData>
            </a:graphic>
          </wp:anchor>
        </w:drawing>
      </w: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估价对象小区内环境实景照片一            估价对象小区内环境实景照片二</w:t>
      </w: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drawing>
          <wp:anchor distT="0" distB="0" distL="114300" distR="114300" simplePos="0" relativeHeight="252200960" behindDoc="0" locked="0" layoutInCell="1" allowOverlap="1">
            <wp:simplePos x="0" y="0"/>
            <wp:positionH relativeFrom="column">
              <wp:posOffset>1701800</wp:posOffset>
            </wp:positionH>
            <wp:positionV relativeFrom="paragraph">
              <wp:posOffset>81280</wp:posOffset>
            </wp:positionV>
            <wp:extent cx="2771775" cy="2879725"/>
            <wp:effectExtent l="0" t="0" r="15875" b="9525"/>
            <wp:wrapNone/>
            <wp:docPr id="2" name="图片 2" descr="QQ图片20200109150450"/>
            <wp:cNvGraphicFramePr/>
            <a:graphic xmlns:a="http://schemas.openxmlformats.org/drawingml/2006/main">
              <a:graphicData uri="http://schemas.openxmlformats.org/drawingml/2006/picture">
                <pic:pic xmlns:pic="http://schemas.openxmlformats.org/drawingml/2006/picture">
                  <pic:nvPicPr>
                    <pic:cNvPr id="2" name="图片 2" descr="QQ图片20200109150450"/>
                    <pic:cNvPicPr/>
                  </pic:nvPicPr>
                  <pic:blipFill>
                    <a:blip r:embed="rId27"/>
                    <a:stretch>
                      <a:fillRect/>
                    </a:stretch>
                  </pic:blipFill>
                  <pic:spPr>
                    <a:xfrm rot="5400000">
                      <a:off x="0" y="0"/>
                      <a:ext cx="2771775" cy="2879725"/>
                    </a:xfrm>
                    <a:prstGeom prst="rect">
                      <a:avLst/>
                    </a:prstGeom>
                  </pic:spPr>
                </pic:pic>
              </a:graphicData>
            </a:graphic>
          </wp:anchor>
        </w:drawing>
      </w: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r>
        <w:rPr>
          <w:rFonts w:hint="eastAsia" w:ascii="宋体" w:hAnsi="宋体"/>
          <w:color w:val="auto"/>
          <w:sz w:val="24"/>
          <w:szCs w:val="24"/>
          <w:lang w:val="en-US" w:eastAsia="zh-CN"/>
        </w:rPr>
        <w:t>估价对象阳台实景照片</w:t>
      </w: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p>
    <w:p>
      <w:pPr>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drawing>
          <wp:anchor distT="0" distB="0" distL="114300" distR="114300" simplePos="0" relativeHeight="252198912" behindDoc="0" locked="0" layoutInCell="1" allowOverlap="1">
            <wp:simplePos x="0" y="0"/>
            <wp:positionH relativeFrom="column">
              <wp:posOffset>285750</wp:posOffset>
            </wp:positionH>
            <wp:positionV relativeFrom="paragraph">
              <wp:posOffset>2286635</wp:posOffset>
            </wp:positionV>
            <wp:extent cx="27720290" cy="2879725"/>
            <wp:effectExtent l="0" t="0" r="15875" b="16510"/>
            <wp:wrapNone/>
            <wp:docPr id="11" name="图片 11" descr="QQ图片20200109150517"/>
            <wp:cNvGraphicFramePr/>
            <a:graphic xmlns:a="http://schemas.openxmlformats.org/drawingml/2006/main">
              <a:graphicData uri="http://schemas.openxmlformats.org/drawingml/2006/picture">
                <pic:pic xmlns:pic="http://schemas.openxmlformats.org/drawingml/2006/picture">
                  <pic:nvPicPr>
                    <pic:cNvPr id="11" name="图片 11" descr="QQ图片20200109150517"/>
                    <pic:cNvPicPr/>
                  </pic:nvPicPr>
                  <pic:blipFill>
                    <a:blip r:embed="rId28"/>
                    <a:stretch>
                      <a:fillRect/>
                    </a:stretch>
                  </pic:blipFill>
                  <pic:spPr>
                    <a:xfrm rot="5400000">
                      <a:off x="0" y="0"/>
                      <a:ext cx="27720290" cy="2879725"/>
                    </a:xfrm>
                    <a:prstGeom prst="rect">
                      <a:avLst/>
                    </a:prstGeom>
                  </pic:spPr>
                </pic:pic>
              </a:graphicData>
            </a:graphic>
          </wp:anchor>
        </w:drawing>
      </w:r>
    </w:p>
    <w:sectPr>
      <w:pgSz w:w="11906" w:h="16838"/>
      <w:pgMar w:top="1077" w:right="1361" w:bottom="1134" w:left="1304" w:header="851" w:footer="851"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华文中宋">
    <w:altName w:val="宋体"/>
    <w:panose1 w:val="02010600040101010101"/>
    <w:charset w:val="86"/>
    <w:family w:val="auto"/>
    <w:pitch w:val="default"/>
    <w:sig w:usb0="00000000" w:usb1="00000000" w:usb2="00000000" w:usb3="00000000" w:csb0="0004009F" w:csb1="DFD70000"/>
  </w:font>
  <w:font w:name="仿宋">
    <w:altName w:val="微软雅黑"/>
    <w:panose1 w:val="02010609060101010101"/>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0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3"/>
      </w:rPr>
    </w:pPr>
    <w:r>
      <w:rPr>
        <w:rStyle w:val="23"/>
      </w:rPr>
      <w:fldChar w:fldCharType="begin"/>
    </w:r>
    <w:r>
      <w:rPr>
        <w:rStyle w:val="23"/>
      </w:rPr>
      <w:instrText xml:space="preserve">PAGE  </w:instrText>
    </w:r>
    <w:r>
      <w:rPr>
        <w:rStyle w:val="23"/>
      </w:rPr>
      <w:fldChar w:fldCharType="separate"/>
    </w:r>
    <w:r>
      <w:rPr>
        <w:rStyle w:val="23"/>
      </w:rPr>
      <w:t>- 3 -</w:t>
    </w:r>
    <w:r>
      <w:rPr>
        <w:rStyle w:val="23"/>
      </w:rPr>
      <w:fldChar w:fldCharType="end"/>
    </w:r>
  </w:p>
  <w:p>
    <w:pPr>
      <w:pStyle w:val="1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3"/>
      </w:rPr>
    </w:pPr>
    <w:r>
      <w:rPr>
        <w:rStyle w:val="23"/>
      </w:rPr>
      <w:fldChar w:fldCharType="begin"/>
    </w:r>
    <w:r>
      <w:rPr>
        <w:rStyle w:val="23"/>
      </w:rPr>
      <w:instrText xml:space="preserve">PAGE  </w:instrText>
    </w:r>
    <w:r>
      <w:rPr>
        <w:rStyle w:val="23"/>
      </w:rPr>
      <w:fldChar w:fldCharType="separate"/>
    </w:r>
    <w:r>
      <w:rPr>
        <w:rStyle w:val="23"/>
      </w:rPr>
      <w:t>- 11 -</w:t>
    </w:r>
    <w:r>
      <w:rPr>
        <w:rStyle w:val="23"/>
      </w:rPr>
      <w:fldChar w:fldCharType="end"/>
    </w:r>
  </w:p>
  <w:p>
    <w:pPr>
      <w:pStyle w:val="12"/>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3"/>
      </w:rPr>
    </w:pPr>
    <w:r>
      <w:rPr>
        <w:rStyle w:val="23"/>
      </w:rPr>
      <w:fldChar w:fldCharType="begin"/>
    </w:r>
    <w:r>
      <w:rPr>
        <w:rStyle w:val="23"/>
      </w:rPr>
      <w:instrText xml:space="preserve">PAGE  </w:instrText>
    </w:r>
    <w:r>
      <w:rPr>
        <w:rStyle w:val="23"/>
      </w:rPr>
      <w:fldChar w:fldCharType="separate"/>
    </w:r>
    <w:r>
      <w:rPr>
        <w:rStyle w:val="23"/>
      </w:rPr>
      <w:t>- 14 -</w:t>
    </w:r>
    <w:r>
      <w:rPr>
        <w:rStyle w:val="23"/>
      </w:rPr>
      <w:fldChar w:fldCharType="end"/>
    </w:r>
  </w:p>
  <w:p>
    <w:pPr>
      <w:pStyle w:val="12"/>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3"/>
      </w:rPr>
    </w:pPr>
    <w:r>
      <w:fldChar w:fldCharType="begin"/>
    </w:r>
    <w:r>
      <w:rPr>
        <w:rStyle w:val="23"/>
      </w:rPr>
      <w:instrText xml:space="preserve">PAGE  </w:instrText>
    </w:r>
    <w:r>
      <w:fldChar w:fldCharType="separate"/>
    </w:r>
    <w:r>
      <w:rPr>
        <w:rStyle w:val="23"/>
      </w:rPr>
      <w:t>5</w:t>
    </w:r>
    <w:r>
      <w:fldChar w:fldCharType="end"/>
    </w:r>
  </w:p>
  <w:p>
    <w:pPr>
      <w:pStyle w:val="1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B239C5"/>
    <w:multiLevelType w:val="singleLevel"/>
    <w:tmpl w:val="B9B239C5"/>
    <w:lvl w:ilvl="0" w:tentative="0">
      <w:start w:val="5"/>
      <w:numFmt w:val="decimal"/>
      <w:suff w:val="nothing"/>
      <w:lvlText w:val="%1、"/>
      <w:lvlJc w:val="left"/>
    </w:lvl>
  </w:abstractNum>
  <w:abstractNum w:abstractNumId="1">
    <w:nsid w:val="C6F09260"/>
    <w:multiLevelType w:val="singleLevel"/>
    <w:tmpl w:val="C6F09260"/>
    <w:lvl w:ilvl="0" w:tentative="0">
      <w:start w:val="1"/>
      <w:numFmt w:val="upperLetter"/>
      <w:suff w:val="nothing"/>
      <w:lvlText w:val="%1、"/>
      <w:lvlJc w:val="left"/>
    </w:lvl>
  </w:abstractNum>
  <w:abstractNum w:abstractNumId="2">
    <w:nsid w:val="F40AEBFE"/>
    <w:multiLevelType w:val="singleLevel"/>
    <w:tmpl w:val="F40AEBFE"/>
    <w:lvl w:ilvl="0" w:tentative="0">
      <w:start w:val="1"/>
      <w:numFmt w:val="decimal"/>
      <w:suff w:val="nothing"/>
      <w:lvlText w:val="（%1）"/>
      <w:lvlJc w:val="left"/>
    </w:lvl>
  </w:abstractNum>
  <w:abstractNum w:abstractNumId="3">
    <w:nsid w:val="2C73ADC4"/>
    <w:multiLevelType w:val="singleLevel"/>
    <w:tmpl w:val="2C73ADC4"/>
    <w:lvl w:ilvl="0" w:tentative="0">
      <w:start w:val="11"/>
      <w:numFmt w:val="chineseCounting"/>
      <w:suff w:val="nothing"/>
      <w:lvlText w:val="%1、"/>
      <w:lvlJc w:val="left"/>
      <w:rPr>
        <w:rFonts w:hint="eastAsia"/>
      </w:rPr>
    </w:lvl>
  </w:abstractNum>
  <w:abstractNum w:abstractNumId="4">
    <w:nsid w:val="435C1EEB"/>
    <w:multiLevelType w:val="singleLevel"/>
    <w:tmpl w:val="435C1EEB"/>
    <w:lvl w:ilvl="0" w:tentative="0">
      <w:start w:val="2"/>
      <w:numFmt w:val="decimal"/>
      <w:suff w:val="nothing"/>
      <w:lvlText w:val="（%1）"/>
      <w:lvlJc w:val="left"/>
    </w:lvl>
  </w:abstractNum>
  <w:abstractNum w:abstractNumId="5">
    <w:nsid w:val="47F42994"/>
    <w:multiLevelType w:val="singleLevel"/>
    <w:tmpl w:val="47F42994"/>
    <w:lvl w:ilvl="0" w:tentative="0">
      <w:start w:val="1"/>
      <w:numFmt w:val="decimal"/>
      <w:suff w:val="nothing"/>
      <w:lvlText w:val="%1、"/>
      <w:lvlJc w:val="left"/>
      <w:pPr>
        <w:ind w:left="490" w:leftChars="0" w:firstLine="0" w:firstLineChars="0"/>
      </w:pPr>
    </w:lvl>
  </w:abstractNum>
  <w:abstractNum w:abstractNumId="6">
    <w:nsid w:val="7C58BB1B"/>
    <w:multiLevelType w:val="singleLevel"/>
    <w:tmpl w:val="7C58BB1B"/>
    <w:lvl w:ilvl="0" w:tentative="0">
      <w:start w:val="2"/>
      <w:numFmt w:val="chineseCounting"/>
      <w:suff w:val="nothing"/>
      <w:lvlText w:val="（%1）"/>
      <w:lvlJc w:val="left"/>
      <w:rPr>
        <w:rFonts w:hint="eastAsia"/>
      </w:rPr>
    </w:lvl>
  </w:abstractNum>
  <w:num w:numId="1">
    <w:abstractNumId w:val="3"/>
  </w:num>
  <w:num w:numId="2">
    <w:abstractNumId w:val="4"/>
  </w:num>
  <w:num w:numId="3">
    <w:abstractNumId w:val="0"/>
  </w:num>
  <w:num w:numId="4">
    <w:abstractNumId w:val="6"/>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5D10BD"/>
    <w:rsid w:val="000028F7"/>
    <w:rsid w:val="00007B49"/>
    <w:rsid w:val="00010507"/>
    <w:rsid w:val="000107D3"/>
    <w:rsid w:val="00012798"/>
    <w:rsid w:val="00013A8F"/>
    <w:rsid w:val="00014997"/>
    <w:rsid w:val="000154F0"/>
    <w:rsid w:val="000225B0"/>
    <w:rsid w:val="00023ABB"/>
    <w:rsid w:val="000250CE"/>
    <w:rsid w:val="00031ABA"/>
    <w:rsid w:val="00045316"/>
    <w:rsid w:val="000470A3"/>
    <w:rsid w:val="00052071"/>
    <w:rsid w:val="00054F4E"/>
    <w:rsid w:val="000558F0"/>
    <w:rsid w:val="00055DC5"/>
    <w:rsid w:val="000565F8"/>
    <w:rsid w:val="0006094E"/>
    <w:rsid w:val="0006311D"/>
    <w:rsid w:val="00063794"/>
    <w:rsid w:val="000637F7"/>
    <w:rsid w:val="0006411F"/>
    <w:rsid w:val="00070B08"/>
    <w:rsid w:val="000739C1"/>
    <w:rsid w:val="000747CA"/>
    <w:rsid w:val="0007549B"/>
    <w:rsid w:val="000826FE"/>
    <w:rsid w:val="00083A79"/>
    <w:rsid w:val="00085377"/>
    <w:rsid w:val="00091F08"/>
    <w:rsid w:val="00093E61"/>
    <w:rsid w:val="000A0190"/>
    <w:rsid w:val="000A37CC"/>
    <w:rsid w:val="000A513E"/>
    <w:rsid w:val="000A6C10"/>
    <w:rsid w:val="000B17CB"/>
    <w:rsid w:val="000B1C84"/>
    <w:rsid w:val="000C5B6E"/>
    <w:rsid w:val="000D18E0"/>
    <w:rsid w:val="000D1D83"/>
    <w:rsid w:val="000D20C1"/>
    <w:rsid w:val="000D61BD"/>
    <w:rsid w:val="000E08EA"/>
    <w:rsid w:val="000E15A9"/>
    <w:rsid w:val="000E2145"/>
    <w:rsid w:val="000E44A4"/>
    <w:rsid w:val="000E6653"/>
    <w:rsid w:val="000E7C87"/>
    <w:rsid w:val="000F2D06"/>
    <w:rsid w:val="000F7E99"/>
    <w:rsid w:val="001002A3"/>
    <w:rsid w:val="00110511"/>
    <w:rsid w:val="001166BA"/>
    <w:rsid w:val="00126CB6"/>
    <w:rsid w:val="00126F5B"/>
    <w:rsid w:val="001279CB"/>
    <w:rsid w:val="00130426"/>
    <w:rsid w:val="0013060E"/>
    <w:rsid w:val="00132042"/>
    <w:rsid w:val="0013207A"/>
    <w:rsid w:val="001320AA"/>
    <w:rsid w:val="001358BB"/>
    <w:rsid w:val="00140F9B"/>
    <w:rsid w:val="00142E8C"/>
    <w:rsid w:val="00146180"/>
    <w:rsid w:val="00146365"/>
    <w:rsid w:val="00154248"/>
    <w:rsid w:val="001557E1"/>
    <w:rsid w:val="001602F3"/>
    <w:rsid w:val="00162399"/>
    <w:rsid w:val="001663EF"/>
    <w:rsid w:val="00167653"/>
    <w:rsid w:val="001724C7"/>
    <w:rsid w:val="00172C3E"/>
    <w:rsid w:val="00174B29"/>
    <w:rsid w:val="001761A0"/>
    <w:rsid w:val="001773D6"/>
    <w:rsid w:val="00181892"/>
    <w:rsid w:val="00181FC6"/>
    <w:rsid w:val="00185A63"/>
    <w:rsid w:val="00185FD6"/>
    <w:rsid w:val="00187142"/>
    <w:rsid w:val="001900E6"/>
    <w:rsid w:val="00190675"/>
    <w:rsid w:val="001907D1"/>
    <w:rsid w:val="001938ED"/>
    <w:rsid w:val="0019436D"/>
    <w:rsid w:val="00194459"/>
    <w:rsid w:val="00196D3F"/>
    <w:rsid w:val="001A0D8D"/>
    <w:rsid w:val="001A53B6"/>
    <w:rsid w:val="001A6A70"/>
    <w:rsid w:val="001B01B4"/>
    <w:rsid w:val="001B01E3"/>
    <w:rsid w:val="001B190A"/>
    <w:rsid w:val="001B19AE"/>
    <w:rsid w:val="001C1709"/>
    <w:rsid w:val="001C2423"/>
    <w:rsid w:val="001C276A"/>
    <w:rsid w:val="001C7098"/>
    <w:rsid w:val="001D04DA"/>
    <w:rsid w:val="001D40CC"/>
    <w:rsid w:val="001D4391"/>
    <w:rsid w:val="001D541E"/>
    <w:rsid w:val="001D5ED5"/>
    <w:rsid w:val="001E1EF0"/>
    <w:rsid w:val="001E40AA"/>
    <w:rsid w:val="001E51B4"/>
    <w:rsid w:val="001E5921"/>
    <w:rsid w:val="001E5B53"/>
    <w:rsid w:val="001F1038"/>
    <w:rsid w:val="001F34FC"/>
    <w:rsid w:val="001F3536"/>
    <w:rsid w:val="0020099E"/>
    <w:rsid w:val="00201AF7"/>
    <w:rsid w:val="00205D76"/>
    <w:rsid w:val="00213F69"/>
    <w:rsid w:val="00214DF0"/>
    <w:rsid w:val="00215C8D"/>
    <w:rsid w:val="00220B96"/>
    <w:rsid w:val="00221C57"/>
    <w:rsid w:val="00225A46"/>
    <w:rsid w:val="00226144"/>
    <w:rsid w:val="00230FE3"/>
    <w:rsid w:val="002322CA"/>
    <w:rsid w:val="00237871"/>
    <w:rsid w:val="0024061E"/>
    <w:rsid w:val="002419B9"/>
    <w:rsid w:val="00241F9F"/>
    <w:rsid w:val="002454E7"/>
    <w:rsid w:val="00245582"/>
    <w:rsid w:val="00247978"/>
    <w:rsid w:val="002537D9"/>
    <w:rsid w:val="00253DB0"/>
    <w:rsid w:val="00254E0F"/>
    <w:rsid w:val="002637D8"/>
    <w:rsid w:val="00267E5C"/>
    <w:rsid w:val="0028191E"/>
    <w:rsid w:val="00282ECE"/>
    <w:rsid w:val="00283383"/>
    <w:rsid w:val="00283A57"/>
    <w:rsid w:val="00284C1C"/>
    <w:rsid w:val="00287B9B"/>
    <w:rsid w:val="00292665"/>
    <w:rsid w:val="002A1BE2"/>
    <w:rsid w:val="002A24EE"/>
    <w:rsid w:val="002A577F"/>
    <w:rsid w:val="002A629B"/>
    <w:rsid w:val="002A73A7"/>
    <w:rsid w:val="002B0D57"/>
    <w:rsid w:val="002B72B2"/>
    <w:rsid w:val="002C1AF7"/>
    <w:rsid w:val="002C40F7"/>
    <w:rsid w:val="002C6206"/>
    <w:rsid w:val="002D1FA1"/>
    <w:rsid w:val="002E263B"/>
    <w:rsid w:val="002E2BB7"/>
    <w:rsid w:val="002E4BD9"/>
    <w:rsid w:val="002F2442"/>
    <w:rsid w:val="002F5064"/>
    <w:rsid w:val="003007B8"/>
    <w:rsid w:val="003041D9"/>
    <w:rsid w:val="00304B12"/>
    <w:rsid w:val="00305EBC"/>
    <w:rsid w:val="0030657D"/>
    <w:rsid w:val="00311BE1"/>
    <w:rsid w:val="00315750"/>
    <w:rsid w:val="0032049E"/>
    <w:rsid w:val="00321F52"/>
    <w:rsid w:val="003240D9"/>
    <w:rsid w:val="00331D16"/>
    <w:rsid w:val="003348C2"/>
    <w:rsid w:val="00335789"/>
    <w:rsid w:val="003423A7"/>
    <w:rsid w:val="003573BA"/>
    <w:rsid w:val="00357514"/>
    <w:rsid w:val="00360BC2"/>
    <w:rsid w:val="00361598"/>
    <w:rsid w:val="00370686"/>
    <w:rsid w:val="00372AED"/>
    <w:rsid w:val="00380C83"/>
    <w:rsid w:val="00384486"/>
    <w:rsid w:val="00395938"/>
    <w:rsid w:val="00397325"/>
    <w:rsid w:val="003975D4"/>
    <w:rsid w:val="003B1286"/>
    <w:rsid w:val="003B794E"/>
    <w:rsid w:val="003C22C2"/>
    <w:rsid w:val="003C2C96"/>
    <w:rsid w:val="003C318F"/>
    <w:rsid w:val="003C435F"/>
    <w:rsid w:val="003C4CAD"/>
    <w:rsid w:val="003C78EB"/>
    <w:rsid w:val="003D0E1F"/>
    <w:rsid w:val="003D2624"/>
    <w:rsid w:val="003D5388"/>
    <w:rsid w:val="003E0F53"/>
    <w:rsid w:val="003E2360"/>
    <w:rsid w:val="003E6B09"/>
    <w:rsid w:val="003E6C0C"/>
    <w:rsid w:val="003F1C73"/>
    <w:rsid w:val="003F41E1"/>
    <w:rsid w:val="003F6095"/>
    <w:rsid w:val="003F681F"/>
    <w:rsid w:val="003F6EB9"/>
    <w:rsid w:val="003F7276"/>
    <w:rsid w:val="00402158"/>
    <w:rsid w:val="004038D8"/>
    <w:rsid w:val="00411C11"/>
    <w:rsid w:val="00413E64"/>
    <w:rsid w:val="00414BEF"/>
    <w:rsid w:val="004160A5"/>
    <w:rsid w:val="00416404"/>
    <w:rsid w:val="004206E7"/>
    <w:rsid w:val="004257E3"/>
    <w:rsid w:val="0043007A"/>
    <w:rsid w:val="00430616"/>
    <w:rsid w:val="004307B1"/>
    <w:rsid w:val="00434C02"/>
    <w:rsid w:val="00436C52"/>
    <w:rsid w:val="00437A69"/>
    <w:rsid w:val="00440AC1"/>
    <w:rsid w:val="00441555"/>
    <w:rsid w:val="004418F4"/>
    <w:rsid w:val="004455C9"/>
    <w:rsid w:val="0045499F"/>
    <w:rsid w:val="00461EB2"/>
    <w:rsid w:val="0046666B"/>
    <w:rsid w:val="00467453"/>
    <w:rsid w:val="00467478"/>
    <w:rsid w:val="004717AC"/>
    <w:rsid w:val="004718BA"/>
    <w:rsid w:val="004746BB"/>
    <w:rsid w:val="00476352"/>
    <w:rsid w:val="00481660"/>
    <w:rsid w:val="00484C60"/>
    <w:rsid w:val="00487958"/>
    <w:rsid w:val="00490DCF"/>
    <w:rsid w:val="00492FCB"/>
    <w:rsid w:val="00495D8C"/>
    <w:rsid w:val="004A1736"/>
    <w:rsid w:val="004A1F8D"/>
    <w:rsid w:val="004A4B6F"/>
    <w:rsid w:val="004B02FD"/>
    <w:rsid w:val="004B068C"/>
    <w:rsid w:val="004B1721"/>
    <w:rsid w:val="004B24A5"/>
    <w:rsid w:val="004C3098"/>
    <w:rsid w:val="004C5146"/>
    <w:rsid w:val="004D051D"/>
    <w:rsid w:val="004D1399"/>
    <w:rsid w:val="004E1E02"/>
    <w:rsid w:val="004E743B"/>
    <w:rsid w:val="004F0250"/>
    <w:rsid w:val="004F4406"/>
    <w:rsid w:val="004F55E4"/>
    <w:rsid w:val="004F5C76"/>
    <w:rsid w:val="004F6F27"/>
    <w:rsid w:val="00501858"/>
    <w:rsid w:val="00502722"/>
    <w:rsid w:val="00514F03"/>
    <w:rsid w:val="00515E15"/>
    <w:rsid w:val="00515F58"/>
    <w:rsid w:val="0051757C"/>
    <w:rsid w:val="00521C8B"/>
    <w:rsid w:val="00524270"/>
    <w:rsid w:val="00527723"/>
    <w:rsid w:val="0054078E"/>
    <w:rsid w:val="00541898"/>
    <w:rsid w:val="00551FA6"/>
    <w:rsid w:val="00553AFD"/>
    <w:rsid w:val="005559E5"/>
    <w:rsid w:val="005573EF"/>
    <w:rsid w:val="00557C81"/>
    <w:rsid w:val="00560594"/>
    <w:rsid w:val="00562212"/>
    <w:rsid w:val="00566087"/>
    <w:rsid w:val="00566283"/>
    <w:rsid w:val="00567C8B"/>
    <w:rsid w:val="00574D29"/>
    <w:rsid w:val="005848A8"/>
    <w:rsid w:val="00584FC7"/>
    <w:rsid w:val="00590BF9"/>
    <w:rsid w:val="00592930"/>
    <w:rsid w:val="00592986"/>
    <w:rsid w:val="005A1E67"/>
    <w:rsid w:val="005A2789"/>
    <w:rsid w:val="005A3943"/>
    <w:rsid w:val="005A5D19"/>
    <w:rsid w:val="005B0B24"/>
    <w:rsid w:val="005B2CF4"/>
    <w:rsid w:val="005B60D6"/>
    <w:rsid w:val="005C4DCE"/>
    <w:rsid w:val="005C6884"/>
    <w:rsid w:val="005D064E"/>
    <w:rsid w:val="005D10BD"/>
    <w:rsid w:val="005D191C"/>
    <w:rsid w:val="005D482E"/>
    <w:rsid w:val="005E224E"/>
    <w:rsid w:val="005E418E"/>
    <w:rsid w:val="005E6121"/>
    <w:rsid w:val="005F2E66"/>
    <w:rsid w:val="005F3B07"/>
    <w:rsid w:val="00601B25"/>
    <w:rsid w:val="00602EFC"/>
    <w:rsid w:val="0061357A"/>
    <w:rsid w:val="006147F2"/>
    <w:rsid w:val="00617C41"/>
    <w:rsid w:val="0062694E"/>
    <w:rsid w:val="00627006"/>
    <w:rsid w:val="006428F4"/>
    <w:rsid w:val="006523E2"/>
    <w:rsid w:val="00652DD5"/>
    <w:rsid w:val="00652FBE"/>
    <w:rsid w:val="0065535F"/>
    <w:rsid w:val="00655731"/>
    <w:rsid w:val="00656C1C"/>
    <w:rsid w:val="0065784B"/>
    <w:rsid w:val="00665ED8"/>
    <w:rsid w:val="00666220"/>
    <w:rsid w:val="00666510"/>
    <w:rsid w:val="00667A72"/>
    <w:rsid w:val="00671D53"/>
    <w:rsid w:val="00671D58"/>
    <w:rsid w:val="00677D9E"/>
    <w:rsid w:val="00682BB6"/>
    <w:rsid w:val="00683541"/>
    <w:rsid w:val="00686C2A"/>
    <w:rsid w:val="00695E4B"/>
    <w:rsid w:val="00696079"/>
    <w:rsid w:val="0069630E"/>
    <w:rsid w:val="006963AF"/>
    <w:rsid w:val="006A363E"/>
    <w:rsid w:val="006A7280"/>
    <w:rsid w:val="006A764E"/>
    <w:rsid w:val="006A7CCA"/>
    <w:rsid w:val="006B2868"/>
    <w:rsid w:val="006B67DA"/>
    <w:rsid w:val="006C216E"/>
    <w:rsid w:val="006C56B5"/>
    <w:rsid w:val="006C6936"/>
    <w:rsid w:val="006D18BA"/>
    <w:rsid w:val="006D65BF"/>
    <w:rsid w:val="006D7C01"/>
    <w:rsid w:val="006E7A6D"/>
    <w:rsid w:val="006F2127"/>
    <w:rsid w:val="0070112A"/>
    <w:rsid w:val="00717B10"/>
    <w:rsid w:val="00730139"/>
    <w:rsid w:val="00730897"/>
    <w:rsid w:val="00730BB0"/>
    <w:rsid w:val="00732E49"/>
    <w:rsid w:val="00732FA0"/>
    <w:rsid w:val="007371C7"/>
    <w:rsid w:val="00737530"/>
    <w:rsid w:val="007378FB"/>
    <w:rsid w:val="00741188"/>
    <w:rsid w:val="00742F6C"/>
    <w:rsid w:val="00751D93"/>
    <w:rsid w:val="007566EF"/>
    <w:rsid w:val="00764F00"/>
    <w:rsid w:val="007659C0"/>
    <w:rsid w:val="0077035A"/>
    <w:rsid w:val="00774953"/>
    <w:rsid w:val="00777F15"/>
    <w:rsid w:val="00787FAB"/>
    <w:rsid w:val="007A0935"/>
    <w:rsid w:val="007A68E2"/>
    <w:rsid w:val="007A7552"/>
    <w:rsid w:val="007B45CC"/>
    <w:rsid w:val="007B6BC6"/>
    <w:rsid w:val="007C1A88"/>
    <w:rsid w:val="007C6187"/>
    <w:rsid w:val="007C7437"/>
    <w:rsid w:val="007D0156"/>
    <w:rsid w:val="007D5059"/>
    <w:rsid w:val="007D581E"/>
    <w:rsid w:val="007D7B1A"/>
    <w:rsid w:val="007E119F"/>
    <w:rsid w:val="007E6B43"/>
    <w:rsid w:val="007E7EBC"/>
    <w:rsid w:val="007F0218"/>
    <w:rsid w:val="007F2816"/>
    <w:rsid w:val="007F3125"/>
    <w:rsid w:val="007F3E23"/>
    <w:rsid w:val="007F4462"/>
    <w:rsid w:val="007F54F7"/>
    <w:rsid w:val="007F7441"/>
    <w:rsid w:val="00800B71"/>
    <w:rsid w:val="00802099"/>
    <w:rsid w:val="0080338B"/>
    <w:rsid w:val="008054A1"/>
    <w:rsid w:val="008137D7"/>
    <w:rsid w:val="00821AC1"/>
    <w:rsid w:val="008247AC"/>
    <w:rsid w:val="00835672"/>
    <w:rsid w:val="00846BBD"/>
    <w:rsid w:val="00847437"/>
    <w:rsid w:val="00847F03"/>
    <w:rsid w:val="00853505"/>
    <w:rsid w:val="008565CE"/>
    <w:rsid w:val="00856750"/>
    <w:rsid w:val="008570F0"/>
    <w:rsid w:val="00861D34"/>
    <w:rsid w:val="00861E1F"/>
    <w:rsid w:val="008631F9"/>
    <w:rsid w:val="008749C9"/>
    <w:rsid w:val="00875643"/>
    <w:rsid w:val="00880E3E"/>
    <w:rsid w:val="008862BB"/>
    <w:rsid w:val="00891EA8"/>
    <w:rsid w:val="008963C5"/>
    <w:rsid w:val="00897141"/>
    <w:rsid w:val="008A130C"/>
    <w:rsid w:val="008A36C4"/>
    <w:rsid w:val="008A3B80"/>
    <w:rsid w:val="008A431C"/>
    <w:rsid w:val="008B29BA"/>
    <w:rsid w:val="008B2A87"/>
    <w:rsid w:val="008B43D2"/>
    <w:rsid w:val="008B5BCF"/>
    <w:rsid w:val="008C51E7"/>
    <w:rsid w:val="008D008C"/>
    <w:rsid w:val="008D0A09"/>
    <w:rsid w:val="008D1F49"/>
    <w:rsid w:val="008D46B9"/>
    <w:rsid w:val="008D59D3"/>
    <w:rsid w:val="008D79C1"/>
    <w:rsid w:val="008E1F74"/>
    <w:rsid w:val="008F67D2"/>
    <w:rsid w:val="009023A2"/>
    <w:rsid w:val="00907FFE"/>
    <w:rsid w:val="00914BA5"/>
    <w:rsid w:val="009245BE"/>
    <w:rsid w:val="00924AA2"/>
    <w:rsid w:val="0092503F"/>
    <w:rsid w:val="00925F41"/>
    <w:rsid w:val="00926CF7"/>
    <w:rsid w:val="00926FE4"/>
    <w:rsid w:val="00927F54"/>
    <w:rsid w:val="00933FB3"/>
    <w:rsid w:val="009412AB"/>
    <w:rsid w:val="00943685"/>
    <w:rsid w:val="00945AEE"/>
    <w:rsid w:val="009507FD"/>
    <w:rsid w:val="00951D62"/>
    <w:rsid w:val="00952835"/>
    <w:rsid w:val="00952A29"/>
    <w:rsid w:val="009608A5"/>
    <w:rsid w:val="00960C30"/>
    <w:rsid w:val="0096184C"/>
    <w:rsid w:val="00963111"/>
    <w:rsid w:val="00966A9A"/>
    <w:rsid w:val="00974424"/>
    <w:rsid w:val="00980C5D"/>
    <w:rsid w:val="00980D1A"/>
    <w:rsid w:val="00981CA6"/>
    <w:rsid w:val="009874A7"/>
    <w:rsid w:val="009923F4"/>
    <w:rsid w:val="00993FF9"/>
    <w:rsid w:val="00994799"/>
    <w:rsid w:val="009950E2"/>
    <w:rsid w:val="0099788B"/>
    <w:rsid w:val="009A049D"/>
    <w:rsid w:val="009A5329"/>
    <w:rsid w:val="009A6D9D"/>
    <w:rsid w:val="009A7F0D"/>
    <w:rsid w:val="009B39FC"/>
    <w:rsid w:val="009B6A13"/>
    <w:rsid w:val="009C7CCD"/>
    <w:rsid w:val="009D38EB"/>
    <w:rsid w:val="009D6BF9"/>
    <w:rsid w:val="009E41C5"/>
    <w:rsid w:val="009F0473"/>
    <w:rsid w:val="009F40FB"/>
    <w:rsid w:val="00A02A6A"/>
    <w:rsid w:val="00A055A8"/>
    <w:rsid w:val="00A12B86"/>
    <w:rsid w:val="00A14AAE"/>
    <w:rsid w:val="00A151CF"/>
    <w:rsid w:val="00A1643E"/>
    <w:rsid w:val="00A24847"/>
    <w:rsid w:val="00A33780"/>
    <w:rsid w:val="00A34606"/>
    <w:rsid w:val="00A37BB3"/>
    <w:rsid w:val="00A37CAB"/>
    <w:rsid w:val="00A46AD3"/>
    <w:rsid w:val="00A517AB"/>
    <w:rsid w:val="00A525F6"/>
    <w:rsid w:val="00A54EDA"/>
    <w:rsid w:val="00A553C1"/>
    <w:rsid w:val="00A61D5C"/>
    <w:rsid w:val="00A62C08"/>
    <w:rsid w:val="00A70A70"/>
    <w:rsid w:val="00A753A8"/>
    <w:rsid w:val="00A8334D"/>
    <w:rsid w:val="00A858CC"/>
    <w:rsid w:val="00A87756"/>
    <w:rsid w:val="00A961E6"/>
    <w:rsid w:val="00A9640C"/>
    <w:rsid w:val="00AA39A7"/>
    <w:rsid w:val="00AB57B4"/>
    <w:rsid w:val="00AB5E91"/>
    <w:rsid w:val="00AB65F9"/>
    <w:rsid w:val="00AC3A7A"/>
    <w:rsid w:val="00AC4BB2"/>
    <w:rsid w:val="00AC5428"/>
    <w:rsid w:val="00AC6171"/>
    <w:rsid w:val="00AC77B4"/>
    <w:rsid w:val="00AC7E89"/>
    <w:rsid w:val="00AD79FF"/>
    <w:rsid w:val="00AF1390"/>
    <w:rsid w:val="00AF3B4D"/>
    <w:rsid w:val="00AF5A37"/>
    <w:rsid w:val="00B01251"/>
    <w:rsid w:val="00B05D81"/>
    <w:rsid w:val="00B12489"/>
    <w:rsid w:val="00B14311"/>
    <w:rsid w:val="00B17FD5"/>
    <w:rsid w:val="00B2655B"/>
    <w:rsid w:val="00B279DC"/>
    <w:rsid w:val="00B32CDE"/>
    <w:rsid w:val="00B364F7"/>
    <w:rsid w:val="00B36B7B"/>
    <w:rsid w:val="00B40B39"/>
    <w:rsid w:val="00B439D5"/>
    <w:rsid w:val="00B4610B"/>
    <w:rsid w:val="00B50B32"/>
    <w:rsid w:val="00B5105E"/>
    <w:rsid w:val="00B543CD"/>
    <w:rsid w:val="00B56AF2"/>
    <w:rsid w:val="00B56E18"/>
    <w:rsid w:val="00B57351"/>
    <w:rsid w:val="00B61046"/>
    <w:rsid w:val="00B61DB4"/>
    <w:rsid w:val="00B64932"/>
    <w:rsid w:val="00B6744C"/>
    <w:rsid w:val="00B74E7E"/>
    <w:rsid w:val="00B76472"/>
    <w:rsid w:val="00B769A7"/>
    <w:rsid w:val="00B82A66"/>
    <w:rsid w:val="00B835C2"/>
    <w:rsid w:val="00BA5FC4"/>
    <w:rsid w:val="00BB25E2"/>
    <w:rsid w:val="00BC0F0B"/>
    <w:rsid w:val="00BC1B4C"/>
    <w:rsid w:val="00BC206D"/>
    <w:rsid w:val="00BC40F1"/>
    <w:rsid w:val="00BC4D74"/>
    <w:rsid w:val="00BC6FE5"/>
    <w:rsid w:val="00BD5B48"/>
    <w:rsid w:val="00BD5F40"/>
    <w:rsid w:val="00BD63A1"/>
    <w:rsid w:val="00BD714C"/>
    <w:rsid w:val="00BE263A"/>
    <w:rsid w:val="00BE2ADE"/>
    <w:rsid w:val="00BE359E"/>
    <w:rsid w:val="00BE405D"/>
    <w:rsid w:val="00BE50C1"/>
    <w:rsid w:val="00BE5AC1"/>
    <w:rsid w:val="00BE5D7B"/>
    <w:rsid w:val="00BF023D"/>
    <w:rsid w:val="00BF0FFB"/>
    <w:rsid w:val="00BF109E"/>
    <w:rsid w:val="00BF4843"/>
    <w:rsid w:val="00BF5ED9"/>
    <w:rsid w:val="00BF7D58"/>
    <w:rsid w:val="00BF7E31"/>
    <w:rsid w:val="00C049CF"/>
    <w:rsid w:val="00C05913"/>
    <w:rsid w:val="00C06E66"/>
    <w:rsid w:val="00C07A0F"/>
    <w:rsid w:val="00C10D0B"/>
    <w:rsid w:val="00C15857"/>
    <w:rsid w:val="00C32600"/>
    <w:rsid w:val="00C33D7D"/>
    <w:rsid w:val="00C33E98"/>
    <w:rsid w:val="00C35393"/>
    <w:rsid w:val="00C36252"/>
    <w:rsid w:val="00C4752D"/>
    <w:rsid w:val="00C47559"/>
    <w:rsid w:val="00C5294D"/>
    <w:rsid w:val="00C55846"/>
    <w:rsid w:val="00C56A95"/>
    <w:rsid w:val="00C60578"/>
    <w:rsid w:val="00C64B6C"/>
    <w:rsid w:val="00C655D3"/>
    <w:rsid w:val="00C70473"/>
    <w:rsid w:val="00C72F9B"/>
    <w:rsid w:val="00C82716"/>
    <w:rsid w:val="00C83252"/>
    <w:rsid w:val="00C851DC"/>
    <w:rsid w:val="00C915CD"/>
    <w:rsid w:val="00C93982"/>
    <w:rsid w:val="00CA01E0"/>
    <w:rsid w:val="00CA08AB"/>
    <w:rsid w:val="00CA1368"/>
    <w:rsid w:val="00CB1B55"/>
    <w:rsid w:val="00CB2024"/>
    <w:rsid w:val="00CB2FB9"/>
    <w:rsid w:val="00CB312C"/>
    <w:rsid w:val="00CB48FD"/>
    <w:rsid w:val="00CC2C58"/>
    <w:rsid w:val="00CC5F46"/>
    <w:rsid w:val="00CC7DA1"/>
    <w:rsid w:val="00CD0640"/>
    <w:rsid w:val="00CD208D"/>
    <w:rsid w:val="00CE0BC3"/>
    <w:rsid w:val="00CE3B27"/>
    <w:rsid w:val="00CE4B32"/>
    <w:rsid w:val="00CE5A15"/>
    <w:rsid w:val="00CF3447"/>
    <w:rsid w:val="00CF5AE5"/>
    <w:rsid w:val="00CF711B"/>
    <w:rsid w:val="00D00626"/>
    <w:rsid w:val="00D015FD"/>
    <w:rsid w:val="00D02D0F"/>
    <w:rsid w:val="00D0353B"/>
    <w:rsid w:val="00D03F80"/>
    <w:rsid w:val="00D1297C"/>
    <w:rsid w:val="00D14094"/>
    <w:rsid w:val="00D20572"/>
    <w:rsid w:val="00D22EBD"/>
    <w:rsid w:val="00D22F8F"/>
    <w:rsid w:val="00D242DA"/>
    <w:rsid w:val="00D27CBD"/>
    <w:rsid w:val="00D33783"/>
    <w:rsid w:val="00D33E40"/>
    <w:rsid w:val="00D34654"/>
    <w:rsid w:val="00D37BEC"/>
    <w:rsid w:val="00D447E9"/>
    <w:rsid w:val="00D45AB5"/>
    <w:rsid w:val="00D500F2"/>
    <w:rsid w:val="00D51F36"/>
    <w:rsid w:val="00D601D0"/>
    <w:rsid w:val="00D607B1"/>
    <w:rsid w:val="00D62076"/>
    <w:rsid w:val="00D623DA"/>
    <w:rsid w:val="00D62BFE"/>
    <w:rsid w:val="00D634FF"/>
    <w:rsid w:val="00D63EBA"/>
    <w:rsid w:val="00D709B5"/>
    <w:rsid w:val="00D72312"/>
    <w:rsid w:val="00D75A10"/>
    <w:rsid w:val="00D75A55"/>
    <w:rsid w:val="00D77463"/>
    <w:rsid w:val="00D87022"/>
    <w:rsid w:val="00D914B3"/>
    <w:rsid w:val="00D940CB"/>
    <w:rsid w:val="00D9484D"/>
    <w:rsid w:val="00DA54DC"/>
    <w:rsid w:val="00DA6967"/>
    <w:rsid w:val="00DB5211"/>
    <w:rsid w:val="00DC082A"/>
    <w:rsid w:val="00DC18E0"/>
    <w:rsid w:val="00DC285F"/>
    <w:rsid w:val="00DC6583"/>
    <w:rsid w:val="00DC70EC"/>
    <w:rsid w:val="00DD1381"/>
    <w:rsid w:val="00DD5EC5"/>
    <w:rsid w:val="00DD7E75"/>
    <w:rsid w:val="00DE6062"/>
    <w:rsid w:val="00DF1941"/>
    <w:rsid w:val="00DF727A"/>
    <w:rsid w:val="00E02789"/>
    <w:rsid w:val="00E052A1"/>
    <w:rsid w:val="00E05448"/>
    <w:rsid w:val="00E06885"/>
    <w:rsid w:val="00E06DEB"/>
    <w:rsid w:val="00E06E09"/>
    <w:rsid w:val="00E12020"/>
    <w:rsid w:val="00E133C4"/>
    <w:rsid w:val="00E14B3F"/>
    <w:rsid w:val="00E15135"/>
    <w:rsid w:val="00E155EF"/>
    <w:rsid w:val="00E2101C"/>
    <w:rsid w:val="00E210DE"/>
    <w:rsid w:val="00E21CC2"/>
    <w:rsid w:val="00E22014"/>
    <w:rsid w:val="00E232B8"/>
    <w:rsid w:val="00E2402D"/>
    <w:rsid w:val="00E241BF"/>
    <w:rsid w:val="00E31E47"/>
    <w:rsid w:val="00E3619E"/>
    <w:rsid w:val="00E373E1"/>
    <w:rsid w:val="00E40E30"/>
    <w:rsid w:val="00E56B4F"/>
    <w:rsid w:val="00E604F0"/>
    <w:rsid w:val="00E62B21"/>
    <w:rsid w:val="00E65C89"/>
    <w:rsid w:val="00E70AA8"/>
    <w:rsid w:val="00E71BE8"/>
    <w:rsid w:val="00E724EB"/>
    <w:rsid w:val="00E74DB5"/>
    <w:rsid w:val="00E84338"/>
    <w:rsid w:val="00E84B0D"/>
    <w:rsid w:val="00E8576F"/>
    <w:rsid w:val="00E8689D"/>
    <w:rsid w:val="00E87C5C"/>
    <w:rsid w:val="00E92D9B"/>
    <w:rsid w:val="00E96649"/>
    <w:rsid w:val="00E966F1"/>
    <w:rsid w:val="00EA30A5"/>
    <w:rsid w:val="00EA3B3B"/>
    <w:rsid w:val="00EA49D0"/>
    <w:rsid w:val="00EB11EE"/>
    <w:rsid w:val="00EB51C8"/>
    <w:rsid w:val="00EB666D"/>
    <w:rsid w:val="00EC04D5"/>
    <w:rsid w:val="00EC1C0B"/>
    <w:rsid w:val="00EC3896"/>
    <w:rsid w:val="00EC7427"/>
    <w:rsid w:val="00ED0761"/>
    <w:rsid w:val="00ED3822"/>
    <w:rsid w:val="00ED5F98"/>
    <w:rsid w:val="00EE791F"/>
    <w:rsid w:val="00EF0073"/>
    <w:rsid w:val="00EF1FBF"/>
    <w:rsid w:val="00EF4359"/>
    <w:rsid w:val="00F01133"/>
    <w:rsid w:val="00F012F2"/>
    <w:rsid w:val="00F02AAE"/>
    <w:rsid w:val="00F06AD5"/>
    <w:rsid w:val="00F114B0"/>
    <w:rsid w:val="00F149E0"/>
    <w:rsid w:val="00F2087A"/>
    <w:rsid w:val="00F22F8F"/>
    <w:rsid w:val="00F235FF"/>
    <w:rsid w:val="00F2478D"/>
    <w:rsid w:val="00F27FD8"/>
    <w:rsid w:val="00F3282B"/>
    <w:rsid w:val="00F333EE"/>
    <w:rsid w:val="00F416C2"/>
    <w:rsid w:val="00F47474"/>
    <w:rsid w:val="00F50B56"/>
    <w:rsid w:val="00F50F84"/>
    <w:rsid w:val="00F52E74"/>
    <w:rsid w:val="00F558D6"/>
    <w:rsid w:val="00F675FD"/>
    <w:rsid w:val="00F67E60"/>
    <w:rsid w:val="00F76B85"/>
    <w:rsid w:val="00F76F63"/>
    <w:rsid w:val="00F80A57"/>
    <w:rsid w:val="00F81FB1"/>
    <w:rsid w:val="00F85095"/>
    <w:rsid w:val="00F92407"/>
    <w:rsid w:val="00F96AAD"/>
    <w:rsid w:val="00FA3D8E"/>
    <w:rsid w:val="00FA47CF"/>
    <w:rsid w:val="00FA7403"/>
    <w:rsid w:val="00FB122A"/>
    <w:rsid w:val="00FB1385"/>
    <w:rsid w:val="00FB1886"/>
    <w:rsid w:val="00FB5D8B"/>
    <w:rsid w:val="00FB7D2B"/>
    <w:rsid w:val="00FC245D"/>
    <w:rsid w:val="00FC2AC7"/>
    <w:rsid w:val="00FC40D6"/>
    <w:rsid w:val="00FC6210"/>
    <w:rsid w:val="00FD0295"/>
    <w:rsid w:val="00FD1CA8"/>
    <w:rsid w:val="00FE7534"/>
    <w:rsid w:val="00FF1E3C"/>
    <w:rsid w:val="00FF201A"/>
    <w:rsid w:val="00FF5FC0"/>
    <w:rsid w:val="00FF6D8F"/>
    <w:rsid w:val="015109BC"/>
    <w:rsid w:val="017257DA"/>
    <w:rsid w:val="024A74AB"/>
    <w:rsid w:val="02854D7E"/>
    <w:rsid w:val="037839AC"/>
    <w:rsid w:val="038949F4"/>
    <w:rsid w:val="03D77439"/>
    <w:rsid w:val="03DE3C8A"/>
    <w:rsid w:val="04A57BA4"/>
    <w:rsid w:val="04D23220"/>
    <w:rsid w:val="04DE4EB7"/>
    <w:rsid w:val="05C414B8"/>
    <w:rsid w:val="05DB69BC"/>
    <w:rsid w:val="064C5173"/>
    <w:rsid w:val="0652604F"/>
    <w:rsid w:val="06527E88"/>
    <w:rsid w:val="06B02498"/>
    <w:rsid w:val="076221F8"/>
    <w:rsid w:val="07E2298B"/>
    <w:rsid w:val="082E18B2"/>
    <w:rsid w:val="091B16DD"/>
    <w:rsid w:val="094C3002"/>
    <w:rsid w:val="0A207512"/>
    <w:rsid w:val="0A497995"/>
    <w:rsid w:val="0A584C1C"/>
    <w:rsid w:val="0AB25D51"/>
    <w:rsid w:val="0B5426A4"/>
    <w:rsid w:val="0BD41ACA"/>
    <w:rsid w:val="0BF860CD"/>
    <w:rsid w:val="0C5226EC"/>
    <w:rsid w:val="0C8B589D"/>
    <w:rsid w:val="0CAF5BEC"/>
    <w:rsid w:val="0CDC14FC"/>
    <w:rsid w:val="0CE878BA"/>
    <w:rsid w:val="0D2A2EE7"/>
    <w:rsid w:val="0D5B7EF5"/>
    <w:rsid w:val="0DDF3F41"/>
    <w:rsid w:val="0DED7E73"/>
    <w:rsid w:val="0E684998"/>
    <w:rsid w:val="0E6D4700"/>
    <w:rsid w:val="0E734A7E"/>
    <w:rsid w:val="0EEF45CE"/>
    <w:rsid w:val="0F672AEB"/>
    <w:rsid w:val="0FA93F3A"/>
    <w:rsid w:val="0FB449E9"/>
    <w:rsid w:val="0FB54411"/>
    <w:rsid w:val="1068011B"/>
    <w:rsid w:val="109E2248"/>
    <w:rsid w:val="1183025B"/>
    <w:rsid w:val="11B43E06"/>
    <w:rsid w:val="12527A74"/>
    <w:rsid w:val="129F6533"/>
    <w:rsid w:val="12C30FEA"/>
    <w:rsid w:val="12CF6C00"/>
    <w:rsid w:val="12E0483F"/>
    <w:rsid w:val="13291395"/>
    <w:rsid w:val="13C66A47"/>
    <w:rsid w:val="144C5827"/>
    <w:rsid w:val="14A37AFF"/>
    <w:rsid w:val="14A44FF2"/>
    <w:rsid w:val="14AC63B1"/>
    <w:rsid w:val="14C345EC"/>
    <w:rsid w:val="150A5C39"/>
    <w:rsid w:val="15602EBF"/>
    <w:rsid w:val="15637FCD"/>
    <w:rsid w:val="160F70D8"/>
    <w:rsid w:val="171860E2"/>
    <w:rsid w:val="17447139"/>
    <w:rsid w:val="174B5E64"/>
    <w:rsid w:val="174C70E6"/>
    <w:rsid w:val="18101AF0"/>
    <w:rsid w:val="185B3386"/>
    <w:rsid w:val="18F94EA4"/>
    <w:rsid w:val="19AA0BD1"/>
    <w:rsid w:val="1A994765"/>
    <w:rsid w:val="1A9B1FF0"/>
    <w:rsid w:val="1B4626B4"/>
    <w:rsid w:val="1B543F9E"/>
    <w:rsid w:val="1B8811D6"/>
    <w:rsid w:val="1BB46365"/>
    <w:rsid w:val="1D701220"/>
    <w:rsid w:val="1D7E60E4"/>
    <w:rsid w:val="1DA74238"/>
    <w:rsid w:val="1E171089"/>
    <w:rsid w:val="1E8E03ED"/>
    <w:rsid w:val="1EA341DC"/>
    <w:rsid w:val="1EA64454"/>
    <w:rsid w:val="1EFA14EC"/>
    <w:rsid w:val="1F8C6FBA"/>
    <w:rsid w:val="203112E6"/>
    <w:rsid w:val="204F6D84"/>
    <w:rsid w:val="212F62F4"/>
    <w:rsid w:val="21580105"/>
    <w:rsid w:val="217147DF"/>
    <w:rsid w:val="21FF3BC5"/>
    <w:rsid w:val="229F5D53"/>
    <w:rsid w:val="22DB2A91"/>
    <w:rsid w:val="23DD5048"/>
    <w:rsid w:val="241418F5"/>
    <w:rsid w:val="248F6F85"/>
    <w:rsid w:val="24B16AB0"/>
    <w:rsid w:val="25051A78"/>
    <w:rsid w:val="25316238"/>
    <w:rsid w:val="25546E72"/>
    <w:rsid w:val="262802A3"/>
    <w:rsid w:val="26A06774"/>
    <w:rsid w:val="26E55E76"/>
    <w:rsid w:val="2773004E"/>
    <w:rsid w:val="28264E06"/>
    <w:rsid w:val="28EC1A34"/>
    <w:rsid w:val="2973006A"/>
    <w:rsid w:val="29A569A2"/>
    <w:rsid w:val="2B9920FB"/>
    <w:rsid w:val="2BA34DCB"/>
    <w:rsid w:val="2C447BA2"/>
    <w:rsid w:val="2D8E41F3"/>
    <w:rsid w:val="2DA477B3"/>
    <w:rsid w:val="2E1B65DA"/>
    <w:rsid w:val="2ED86065"/>
    <w:rsid w:val="2FDC74D2"/>
    <w:rsid w:val="309254B8"/>
    <w:rsid w:val="30BF65C8"/>
    <w:rsid w:val="330F33F2"/>
    <w:rsid w:val="332E26EA"/>
    <w:rsid w:val="33380AF0"/>
    <w:rsid w:val="340C5288"/>
    <w:rsid w:val="343D0E98"/>
    <w:rsid w:val="34E92611"/>
    <w:rsid w:val="35147326"/>
    <w:rsid w:val="35701A1A"/>
    <w:rsid w:val="366C7F2E"/>
    <w:rsid w:val="37EF4413"/>
    <w:rsid w:val="381A015A"/>
    <w:rsid w:val="38597488"/>
    <w:rsid w:val="387E2E65"/>
    <w:rsid w:val="38AB2734"/>
    <w:rsid w:val="38C13A8D"/>
    <w:rsid w:val="38D2293B"/>
    <w:rsid w:val="39156D99"/>
    <w:rsid w:val="398C2AEF"/>
    <w:rsid w:val="39C9035D"/>
    <w:rsid w:val="3AB20663"/>
    <w:rsid w:val="3ABE1122"/>
    <w:rsid w:val="3B8A3D8A"/>
    <w:rsid w:val="3BAF22D2"/>
    <w:rsid w:val="3BE1229D"/>
    <w:rsid w:val="3C06782D"/>
    <w:rsid w:val="3C2717C9"/>
    <w:rsid w:val="3CCD247C"/>
    <w:rsid w:val="3CEA5CE6"/>
    <w:rsid w:val="3CEE4CDE"/>
    <w:rsid w:val="3D1413E7"/>
    <w:rsid w:val="3D4A7118"/>
    <w:rsid w:val="3E6E677D"/>
    <w:rsid w:val="3E8E290F"/>
    <w:rsid w:val="3ED327F4"/>
    <w:rsid w:val="40EF5675"/>
    <w:rsid w:val="411143C5"/>
    <w:rsid w:val="41180A6A"/>
    <w:rsid w:val="41996AB6"/>
    <w:rsid w:val="419B078D"/>
    <w:rsid w:val="41A7740D"/>
    <w:rsid w:val="42115E5E"/>
    <w:rsid w:val="42E26411"/>
    <w:rsid w:val="43070C15"/>
    <w:rsid w:val="431A08DD"/>
    <w:rsid w:val="44094D5D"/>
    <w:rsid w:val="4426366C"/>
    <w:rsid w:val="444A3933"/>
    <w:rsid w:val="449263F4"/>
    <w:rsid w:val="45B8486B"/>
    <w:rsid w:val="45B857AF"/>
    <w:rsid w:val="45CF2CD2"/>
    <w:rsid w:val="45D53234"/>
    <w:rsid w:val="45E54078"/>
    <w:rsid w:val="463A4F75"/>
    <w:rsid w:val="468651E9"/>
    <w:rsid w:val="471F50AB"/>
    <w:rsid w:val="47F054BA"/>
    <w:rsid w:val="48A45456"/>
    <w:rsid w:val="48CC0701"/>
    <w:rsid w:val="49104DAE"/>
    <w:rsid w:val="491A1A06"/>
    <w:rsid w:val="49242903"/>
    <w:rsid w:val="49D31C19"/>
    <w:rsid w:val="49DB269D"/>
    <w:rsid w:val="4A1928FF"/>
    <w:rsid w:val="4A2638EA"/>
    <w:rsid w:val="4AD7600A"/>
    <w:rsid w:val="4AE12667"/>
    <w:rsid w:val="4B040912"/>
    <w:rsid w:val="4C7E65A3"/>
    <w:rsid w:val="4C95234E"/>
    <w:rsid w:val="4D0F082B"/>
    <w:rsid w:val="4D857C85"/>
    <w:rsid w:val="4DAD3570"/>
    <w:rsid w:val="4EB662C2"/>
    <w:rsid w:val="4EE935D8"/>
    <w:rsid w:val="4F7B1D9E"/>
    <w:rsid w:val="4F940321"/>
    <w:rsid w:val="4F9C41DA"/>
    <w:rsid w:val="4FCD148B"/>
    <w:rsid w:val="4FF9079F"/>
    <w:rsid w:val="507B6C27"/>
    <w:rsid w:val="50955EAB"/>
    <w:rsid w:val="5106344F"/>
    <w:rsid w:val="512763BF"/>
    <w:rsid w:val="51E7163F"/>
    <w:rsid w:val="51FA7803"/>
    <w:rsid w:val="52587A9D"/>
    <w:rsid w:val="528B6A87"/>
    <w:rsid w:val="52AB418F"/>
    <w:rsid w:val="52CE2D81"/>
    <w:rsid w:val="52F32B26"/>
    <w:rsid w:val="53136313"/>
    <w:rsid w:val="53F77FF7"/>
    <w:rsid w:val="5412022D"/>
    <w:rsid w:val="54146D1D"/>
    <w:rsid w:val="5495365C"/>
    <w:rsid w:val="54BA5730"/>
    <w:rsid w:val="55171F5F"/>
    <w:rsid w:val="558D6FA9"/>
    <w:rsid w:val="55E437D4"/>
    <w:rsid w:val="56735263"/>
    <w:rsid w:val="56BF2069"/>
    <w:rsid w:val="579960ED"/>
    <w:rsid w:val="57FD5F63"/>
    <w:rsid w:val="58122DB5"/>
    <w:rsid w:val="581941C1"/>
    <w:rsid w:val="585077D3"/>
    <w:rsid w:val="591246F5"/>
    <w:rsid w:val="59E02245"/>
    <w:rsid w:val="5AE93500"/>
    <w:rsid w:val="5B2F67DE"/>
    <w:rsid w:val="5B804C2C"/>
    <w:rsid w:val="5C3B0DF9"/>
    <w:rsid w:val="5C7C3E37"/>
    <w:rsid w:val="5CAD3481"/>
    <w:rsid w:val="5D385BC5"/>
    <w:rsid w:val="5D790741"/>
    <w:rsid w:val="5E321869"/>
    <w:rsid w:val="5E3257AE"/>
    <w:rsid w:val="5FA35899"/>
    <w:rsid w:val="5FF06B7D"/>
    <w:rsid w:val="60163B10"/>
    <w:rsid w:val="610313FD"/>
    <w:rsid w:val="61E03962"/>
    <w:rsid w:val="61F63359"/>
    <w:rsid w:val="62141600"/>
    <w:rsid w:val="621833D6"/>
    <w:rsid w:val="6267427B"/>
    <w:rsid w:val="62CD6D1D"/>
    <w:rsid w:val="63026D77"/>
    <w:rsid w:val="63050DE3"/>
    <w:rsid w:val="630A04EF"/>
    <w:rsid w:val="632F1BE9"/>
    <w:rsid w:val="63EF4726"/>
    <w:rsid w:val="64263D4F"/>
    <w:rsid w:val="643955A0"/>
    <w:rsid w:val="64CE1DCE"/>
    <w:rsid w:val="64F40A0B"/>
    <w:rsid w:val="65605077"/>
    <w:rsid w:val="659659B3"/>
    <w:rsid w:val="6659735F"/>
    <w:rsid w:val="671A19AE"/>
    <w:rsid w:val="6743352E"/>
    <w:rsid w:val="67485A41"/>
    <w:rsid w:val="67695BA3"/>
    <w:rsid w:val="67DF0D84"/>
    <w:rsid w:val="682043C5"/>
    <w:rsid w:val="68431591"/>
    <w:rsid w:val="684C7D11"/>
    <w:rsid w:val="68627E45"/>
    <w:rsid w:val="687867A0"/>
    <w:rsid w:val="68A225B6"/>
    <w:rsid w:val="68AF3303"/>
    <w:rsid w:val="68F85A93"/>
    <w:rsid w:val="697F411D"/>
    <w:rsid w:val="6A964ADE"/>
    <w:rsid w:val="6B090D04"/>
    <w:rsid w:val="6B133B73"/>
    <w:rsid w:val="6B4A1414"/>
    <w:rsid w:val="6C17400F"/>
    <w:rsid w:val="6C6D4F85"/>
    <w:rsid w:val="6C7A56EC"/>
    <w:rsid w:val="6CBB22A6"/>
    <w:rsid w:val="6E593C44"/>
    <w:rsid w:val="6E5A20F6"/>
    <w:rsid w:val="6E7329D0"/>
    <w:rsid w:val="6E8C467E"/>
    <w:rsid w:val="6E9E20A2"/>
    <w:rsid w:val="6ED76D4C"/>
    <w:rsid w:val="6EF3303F"/>
    <w:rsid w:val="70892F64"/>
    <w:rsid w:val="70CC76A3"/>
    <w:rsid w:val="712C7E8F"/>
    <w:rsid w:val="7234500F"/>
    <w:rsid w:val="72397CDC"/>
    <w:rsid w:val="725B4611"/>
    <w:rsid w:val="725C075D"/>
    <w:rsid w:val="72A81DBB"/>
    <w:rsid w:val="732C624E"/>
    <w:rsid w:val="74E14CE5"/>
    <w:rsid w:val="75B1690C"/>
    <w:rsid w:val="76177625"/>
    <w:rsid w:val="761C0858"/>
    <w:rsid w:val="766E7C29"/>
    <w:rsid w:val="77420447"/>
    <w:rsid w:val="776B058B"/>
    <w:rsid w:val="776D0A4A"/>
    <w:rsid w:val="77741C54"/>
    <w:rsid w:val="777B68D3"/>
    <w:rsid w:val="77A77E7E"/>
    <w:rsid w:val="77F75D29"/>
    <w:rsid w:val="77FE0785"/>
    <w:rsid w:val="78A51938"/>
    <w:rsid w:val="78B20C01"/>
    <w:rsid w:val="794D658D"/>
    <w:rsid w:val="79EB4633"/>
    <w:rsid w:val="79F64C6B"/>
    <w:rsid w:val="7AC1738B"/>
    <w:rsid w:val="7B8D123E"/>
    <w:rsid w:val="7B8F0B24"/>
    <w:rsid w:val="7CA251C6"/>
    <w:rsid w:val="7CE429F0"/>
    <w:rsid w:val="7D2B4AD3"/>
    <w:rsid w:val="7D412FA9"/>
    <w:rsid w:val="7DD57452"/>
    <w:rsid w:val="7F146C9B"/>
    <w:rsid w:val="7F6214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420" w:firstLineChars="200"/>
    </w:pPr>
  </w:style>
  <w:style w:type="paragraph" w:styleId="6">
    <w:name w:val="Document Map"/>
    <w:basedOn w:val="1"/>
    <w:semiHidden/>
    <w:qFormat/>
    <w:uiPriority w:val="0"/>
    <w:pPr>
      <w:shd w:val="clear" w:color="auto" w:fill="000080"/>
    </w:pPr>
  </w:style>
  <w:style w:type="paragraph" w:styleId="7">
    <w:name w:val="Body Text Indent"/>
    <w:basedOn w:val="1"/>
    <w:qFormat/>
    <w:uiPriority w:val="0"/>
    <w:pPr>
      <w:ind w:firstLine="640" w:firstLineChars="200"/>
    </w:pPr>
    <w:rPr>
      <w:sz w:val="32"/>
    </w:rPr>
  </w:style>
  <w:style w:type="paragraph" w:styleId="8">
    <w:name w:val="Block Text"/>
    <w:basedOn w:val="1"/>
    <w:qFormat/>
    <w:uiPriority w:val="0"/>
    <w:pPr>
      <w:ind w:left="2" w:leftChars="1" w:right="57" w:firstLine="537" w:firstLineChars="179"/>
      <w:jc w:val="left"/>
    </w:pPr>
    <w:rPr>
      <w:rFonts w:ascii="华文中宋" w:hAnsi="华文中宋" w:eastAsia="华文中宋"/>
      <w:sz w:val="30"/>
      <w:szCs w:val="30"/>
    </w:rPr>
  </w:style>
  <w:style w:type="paragraph" w:styleId="9">
    <w:name w:val="toc 3"/>
    <w:basedOn w:val="1"/>
    <w:next w:val="1"/>
    <w:qFormat/>
    <w:uiPriority w:val="39"/>
    <w:pPr>
      <w:ind w:left="840" w:leftChars="400"/>
    </w:pPr>
  </w:style>
  <w:style w:type="paragraph" w:styleId="10">
    <w:name w:val="Plain Text"/>
    <w:basedOn w:val="1"/>
    <w:link w:val="27"/>
    <w:qFormat/>
    <w:uiPriority w:val="0"/>
    <w:rPr>
      <w:rFonts w:ascii="宋体" w:hAnsi="Courier New"/>
    </w:rPr>
  </w:style>
  <w:style w:type="paragraph" w:styleId="11">
    <w:name w:val="Date"/>
    <w:basedOn w:val="1"/>
    <w:next w:val="1"/>
    <w:link w:val="31"/>
    <w:qFormat/>
    <w:uiPriority w:val="0"/>
    <w:pPr>
      <w:ind w:left="100" w:leftChars="2500"/>
    </w:pPr>
  </w:style>
  <w:style w:type="paragraph" w:styleId="12">
    <w:name w:val="footer"/>
    <w:basedOn w:val="1"/>
    <w:link w:val="30"/>
    <w:qFormat/>
    <w:uiPriority w:val="0"/>
    <w:pPr>
      <w:tabs>
        <w:tab w:val="center" w:pos="4153"/>
        <w:tab w:val="right" w:pos="8306"/>
      </w:tabs>
      <w:snapToGrid w:val="0"/>
      <w:jc w:val="left"/>
    </w:pPr>
    <w:rPr>
      <w:sz w:val="18"/>
    </w:rPr>
  </w:style>
  <w:style w:type="paragraph" w:styleId="13">
    <w:name w:val="header"/>
    <w:basedOn w:val="1"/>
    <w:link w:val="29"/>
    <w:qFormat/>
    <w:uiPriority w:val="99"/>
    <w:pPr>
      <w:pBdr>
        <w:bottom w:val="single" w:color="auto" w:sz="6" w:space="1"/>
      </w:pBdr>
      <w:tabs>
        <w:tab w:val="center" w:pos="4153"/>
        <w:tab w:val="right" w:pos="8306"/>
      </w:tabs>
      <w:snapToGrid w:val="0"/>
      <w:jc w:val="center"/>
    </w:pPr>
    <w:rPr>
      <w:sz w:val="18"/>
    </w:rPr>
  </w:style>
  <w:style w:type="paragraph" w:styleId="14">
    <w:name w:val="toc 1"/>
    <w:basedOn w:val="1"/>
    <w:next w:val="1"/>
    <w:qFormat/>
    <w:uiPriority w:val="39"/>
    <w:pPr>
      <w:tabs>
        <w:tab w:val="right" w:leader="dot" w:pos="9231"/>
      </w:tabs>
      <w:spacing w:line="360" w:lineRule="auto"/>
    </w:pPr>
  </w:style>
  <w:style w:type="paragraph" w:styleId="15">
    <w:name w:val="Subtitle"/>
    <w:basedOn w:val="1"/>
    <w:next w:val="1"/>
    <w:link w:val="33"/>
    <w:qFormat/>
    <w:uiPriority w:val="0"/>
    <w:pPr>
      <w:spacing w:beforeLines="50" w:afterLines="50" w:line="360" w:lineRule="auto"/>
      <w:jc w:val="center"/>
    </w:pPr>
    <w:rPr>
      <w:rFonts w:ascii="宋体" w:hAnsi="宋体" w:eastAsia="黑体" w:cstheme="majorBidi"/>
      <w:bCs/>
      <w:color w:val="00B0F0"/>
      <w:kern w:val="28"/>
      <w:sz w:val="24"/>
      <w:szCs w:val="32"/>
    </w:rPr>
  </w:style>
  <w:style w:type="paragraph" w:styleId="16">
    <w:name w:val="Body Text Indent 3"/>
    <w:basedOn w:val="1"/>
    <w:qFormat/>
    <w:uiPriority w:val="0"/>
    <w:pPr>
      <w:spacing w:after="120"/>
      <w:ind w:left="420" w:leftChars="200"/>
    </w:pPr>
    <w:rPr>
      <w:sz w:val="16"/>
    </w:rPr>
  </w:style>
  <w:style w:type="paragraph" w:styleId="17">
    <w:name w:val="toc 2"/>
    <w:basedOn w:val="1"/>
    <w:next w:val="1"/>
    <w:qFormat/>
    <w:uiPriority w:val="39"/>
    <w:pPr>
      <w:ind w:left="420" w:leftChars="200"/>
    </w:pPr>
  </w:style>
  <w:style w:type="paragraph" w:styleId="18">
    <w:name w:val="Normal (Web)"/>
    <w:basedOn w:val="1"/>
    <w:qFormat/>
    <w:uiPriority w:val="0"/>
    <w:pPr>
      <w:spacing w:before="100" w:beforeAutospacing="1" w:after="100" w:afterAutospacing="1"/>
      <w:jc w:val="left"/>
    </w:pPr>
    <w:rPr>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Hyperlink"/>
    <w:basedOn w:val="21"/>
    <w:qFormat/>
    <w:uiPriority w:val="99"/>
    <w:rPr>
      <w:color w:val="0000FF"/>
      <w:u w:val="single"/>
    </w:rPr>
  </w:style>
  <w:style w:type="paragraph" w:customStyle="1" w:styleId="25">
    <w:name w:val="Char Char Char Char Char Char Char1"/>
    <w:basedOn w:val="1"/>
    <w:qFormat/>
    <w:uiPriority w:val="0"/>
    <w:rPr>
      <w:szCs w:val="24"/>
    </w:rPr>
  </w:style>
  <w:style w:type="paragraph" w:customStyle="1" w:styleId="26">
    <w:name w:val="纯文本1"/>
    <w:basedOn w:val="1"/>
    <w:qFormat/>
    <w:uiPriority w:val="0"/>
    <w:pPr>
      <w:adjustRightInd w:val="0"/>
      <w:textAlignment w:val="baseline"/>
    </w:pPr>
    <w:rPr>
      <w:rFonts w:ascii="宋体" w:hAnsi="Courier New"/>
    </w:rPr>
  </w:style>
  <w:style w:type="character" w:customStyle="1" w:styleId="27">
    <w:name w:val="纯文本 Char"/>
    <w:basedOn w:val="21"/>
    <w:link w:val="10"/>
    <w:qFormat/>
    <w:uiPriority w:val="0"/>
    <w:rPr>
      <w:rFonts w:ascii="宋体" w:hAnsi="Courier New" w:eastAsia="宋体"/>
      <w:kern w:val="2"/>
      <w:sz w:val="21"/>
      <w:lang w:val="en-US" w:eastAsia="zh-CN" w:bidi="ar-SA"/>
    </w:rPr>
  </w:style>
  <w:style w:type="paragraph" w:customStyle="1" w:styleId="28">
    <w:name w:val="Char"/>
    <w:basedOn w:val="1"/>
    <w:qFormat/>
    <w:uiPriority w:val="0"/>
    <w:rPr>
      <w:szCs w:val="24"/>
    </w:rPr>
  </w:style>
  <w:style w:type="character" w:customStyle="1" w:styleId="29">
    <w:name w:val="页眉 Char"/>
    <w:basedOn w:val="21"/>
    <w:link w:val="13"/>
    <w:qFormat/>
    <w:uiPriority w:val="99"/>
    <w:rPr>
      <w:kern w:val="2"/>
      <w:sz w:val="18"/>
    </w:rPr>
  </w:style>
  <w:style w:type="character" w:customStyle="1" w:styleId="30">
    <w:name w:val="页脚 Char"/>
    <w:basedOn w:val="21"/>
    <w:link w:val="12"/>
    <w:qFormat/>
    <w:uiPriority w:val="0"/>
    <w:rPr>
      <w:kern w:val="2"/>
      <w:sz w:val="18"/>
    </w:rPr>
  </w:style>
  <w:style w:type="character" w:customStyle="1" w:styleId="31">
    <w:name w:val="日期 Char"/>
    <w:basedOn w:val="21"/>
    <w:link w:val="11"/>
    <w:qFormat/>
    <w:uiPriority w:val="0"/>
    <w:rPr>
      <w:kern w:val="2"/>
      <w:sz w:val="21"/>
    </w:rPr>
  </w:style>
  <w:style w:type="paragraph" w:styleId="32">
    <w:name w:val="No Spacing"/>
    <w:qFormat/>
    <w:uiPriority w:val="1"/>
    <w:pPr>
      <w:widowControl w:val="0"/>
      <w:jc w:val="center"/>
    </w:pPr>
    <w:rPr>
      <w:rFonts w:ascii="宋体" w:hAnsi="宋体" w:eastAsia="宋体" w:cstheme="minorBidi"/>
      <w:color w:val="FF00FF"/>
      <w:kern w:val="2"/>
      <w:sz w:val="21"/>
      <w:szCs w:val="22"/>
      <w:lang w:val="en-US" w:eastAsia="zh-CN" w:bidi="ar-SA"/>
    </w:rPr>
  </w:style>
  <w:style w:type="character" w:customStyle="1" w:styleId="33">
    <w:name w:val="副标题 Char"/>
    <w:basedOn w:val="21"/>
    <w:link w:val="15"/>
    <w:qFormat/>
    <w:uiPriority w:val="0"/>
    <w:rPr>
      <w:rFonts w:ascii="宋体" w:hAnsi="宋体" w:eastAsia="黑体" w:cstheme="majorBidi"/>
      <w:bCs/>
      <w:color w:val="00B0F0"/>
      <w:kern w:val="28"/>
      <w:sz w:val="24"/>
      <w:szCs w:val="32"/>
    </w:rPr>
  </w:style>
  <w:style w:type="paragraph" w:styleId="34">
    <w:name w:val="List Paragraph"/>
    <w:basedOn w:val="1"/>
    <w:unhideWhenUsed/>
    <w:qFormat/>
    <w:uiPriority w:val="99"/>
    <w:pPr>
      <w:ind w:firstLine="420" w:firstLineChars="200"/>
    </w:pPr>
  </w:style>
  <w:style w:type="paragraph" w:customStyle="1" w:styleId="35">
    <w:name w:val="列出段落1"/>
    <w:basedOn w:val="1"/>
    <w:qFormat/>
    <w:uiPriority w:val="99"/>
    <w:pPr>
      <w:ind w:firstLine="420" w:firstLineChars="200"/>
    </w:pPr>
    <w:rPr>
      <w:szCs w:val="21"/>
    </w:rPr>
  </w:style>
  <w:style w:type="paragraph" w:customStyle="1" w:styleId="36">
    <w:name w:val="p"/>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wmf"/><Relationship Id="rId17" Type="http://schemas.openxmlformats.org/officeDocument/2006/relationships/oleObject" Target="embeddings/oleObject1.bin"/><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57"/>
    <customShpInfo spid="_x0000_s1055"/>
    <customShpInfo spid="_x0000_s1056"/>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F1D7BD-40AC-402D-9BB1-29A1A2191307}">
  <ds:schemaRefs/>
</ds:datastoreItem>
</file>

<file path=docProps/app.xml><?xml version="1.0" encoding="utf-8"?>
<Properties xmlns="http://schemas.openxmlformats.org/officeDocument/2006/extended-properties" xmlns:vt="http://schemas.openxmlformats.org/officeDocument/2006/docPropsVTypes">
  <Template>Normal</Template>
  <Company>www.ftpdown.com</Company>
  <Pages>36</Pages>
  <Words>3319</Words>
  <Characters>18922</Characters>
  <Lines>157</Lines>
  <Paragraphs>44</Paragraphs>
  <TotalTime>61</TotalTime>
  <ScaleCrop>false</ScaleCrop>
  <LinksUpToDate>false</LinksUpToDate>
  <CharactersWithSpaces>22197</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2018-08-01T09:59:00Z</dcterms:created>
  <dc:creator>FtpDown</dc:creator>
  <cp:lastModifiedBy>Administrator</cp:lastModifiedBy>
  <cp:lastPrinted>2020-03-30T02:35:04Z</cp:lastPrinted>
  <dcterms:modified xsi:type="dcterms:W3CDTF">2020-03-30T02:58:33Z</dcterms:modified>
  <dc:title>房地产抵押估价报告</dc:title>
  <cp:revision>201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