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381" w:line="600" w:lineRule="exact"/>
        <w:ind w:left="546" w:hanging="548" w:hangingChars="124"/>
        <w:jc w:val="both"/>
        <w:rPr>
          <w:rFonts w:ascii="仿宋" w:hAnsi="仿宋" w:eastAsia="仿宋" w:cs="仿宋_GB2312"/>
          <w:color w:val="auto"/>
          <w:sz w:val="44"/>
          <w:szCs w:val="44"/>
        </w:rPr>
      </w:pPr>
      <w:bookmarkStart w:id="0" w:name="_Toc507260839"/>
      <w:bookmarkStart w:id="1" w:name="_Toc19674"/>
      <w:bookmarkStart w:id="2" w:name="_Toc507428001"/>
      <w:bookmarkStart w:id="3" w:name="_Toc31145"/>
      <w:bookmarkStart w:id="4" w:name="_Toc21712"/>
      <w:bookmarkStart w:id="5" w:name="_Toc30552"/>
      <w:bookmarkStart w:id="6" w:name="_Toc4640"/>
      <w:bookmarkStart w:id="7" w:name="_Toc507236814"/>
      <w:bookmarkStart w:id="8" w:name="_Toc20795"/>
      <w:r>
        <w:rPr>
          <w:rFonts w:ascii="仿宋" w:hAnsi="仿宋" w:eastAsia="仿宋" w:cs="仿宋_GB2312"/>
          <w:color w:val="auto"/>
          <w:sz w:val="44"/>
          <w:szCs w:val="44"/>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400050</wp:posOffset>
                </wp:positionV>
                <wp:extent cx="1581150" cy="14192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8115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bookmarkStart w:id="101" w:name="PO_二维码"/>
                            <w:bookmarkEnd w:id="101"/>
                            <w:r>
                              <w:drawing>
                                <wp:inline distT="0" distB="0" distL="0" distR="0">
                                  <wp:extent cx="1321435" cy="1321435"/>
                                  <wp:effectExtent l="0" t="0" r="0" b="0"/>
                                  <wp:docPr id="1879664156" name="图片 2"/>
                                  <wp:cNvGraphicFramePr/>
                                  <a:graphic xmlns:a="http://schemas.openxmlformats.org/drawingml/2006/main">
                                    <a:graphicData uri="http://schemas.openxmlformats.org/drawingml/2006/picture">
                                      <pic:pic xmlns:pic="http://schemas.openxmlformats.org/drawingml/2006/picture">
                                        <pic:nvPicPr>
                                          <pic:cNvPr id="1879664156" name="图片 2"/>
                                          <pic:cNvPicPr/>
                                        </pic:nvPicPr>
                                        <pic:blipFill>
                                          <a:blip r:embed="rId8">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65pt;margin-top:31.5pt;height:111.75pt;width:124.5pt;z-index:251658240;mso-width-relative:page;mso-height-relative:page;" filled="f" stroked="f" coordsize="21600,21600" o:gfxdata="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QgPn9oAAAAJAQAADwAAAAAAAAABACAAAAAiAAAAZHJzL2Rv&#10;d25yZXYueG1sUEsBAhQAFAAAAAgAh07iQLjI70X/AQAA2QMAAA4AAAAAAAAAAQAgAAAAKQEAAGRy&#10;cy9lMm9Eb2MueG1sUEsFBgAAAAAGAAYAWQEAAJoFAAAAAA==&#10;">
                <v:fill on="f" focussize="0,0"/>
                <v:stroke on="f" weight="0.5pt"/>
                <v:imagedata o:title=""/>
                <o:lock v:ext="edit" aspectratio="f"/>
                <v:textbox>
                  <w:txbxContent>
                    <w:p>
                      <w:bookmarkStart w:id="101" w:name="PO_二维码"/>
                      <w:bookmarkEnd w:id="101"/>
                      <w:r>
                        <w:drawing>
                          <wp:inline distT="0" distB="0" distL="0" distR="0">
                            <wp:extent cx="1321435" cy="1321435"/>
                            <wp:effectExtent l="0" t="0" r="0" b="0"/>
                            <wp:docPr id="1879664156" name="图片 2"/>
                            <wp:cNvGraphicFramePr/>
                            <a:graphic xmlns:a="http://schemas.openxmlformats.org/drawingml/2006/main">
                              <a:graphicData uri="http://schemas.openxmlformats.org/drawingml/2006/picture">
                                <pic:pic xmlns:pic="http://schemas.openxmlformats.org/drawingml/2006/picture">
                                  <pic:nvPicPr>
                                    <pic:cNvPr id="1879664156" name="图片 2"/>
                                    <pic:cNvPicPr/>
                                  </pic:nvPicPr>
                                  <pic:blipFill>
                                    <a:blip r:embed="rId8">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inline>
                        </w:drawing>
                      </w:r>
                    </w:p>
                  </w:txbxContent>
                </v:textbox>
              </v:shape>
            </w:pict>
          </mc:Fallback>
        </mc:AlternateContent>
      </w:r>
    </w:p>
    <w:p>
      <w:pPr>
        <w:pStyle w:val="2"/>
        <w:spacing w:after="381" w:line="600" w:lineRule="exact"/>
        <w:ind w:left="280" w:leftChars="100" w:firstLine="3092" w:firstLineChars="700"/>
        <w:jc w:val="both"/>
        <w:rPr>
          <w:rFonts w:ascii="仿宋" w:hAnsi="仿宋" w:eastAsia="仿宋" w:cs="仿宋_GB2312"/>
          <w:color w:val="auto"/>
          <w:sz w:val="44"/>
          <w:szCs w:val="44"/>
        </w:rPr>
      </w:pPr>
      <w:bookmarkStart w:id="9" w:name="_Toc20944"/>
      <w:bookmarkStart w:id="10" w:name="_Toc19549199"/>
      <w:bookmarkStart w:id="11" w:name="_Toc1419"/>
      <w:r>
        <w:rPr>
          <w:rFonts w:hint="eastAsia" w:ascii="仿宋" w:hAnsi="仿宋" w:eastAsia="仿宋" w:cs="仿宋_GB2312"/>
          <w:color w:val="auto"/>
          <w:sz w:val="44"/>
          <w:szCs w:val="44"/>
        </w:rPr>
        <w:t>房地产估价报告</w:t>
      </w:r>
      <w:bookmarkEnd w:id="0"/>
      <w:bookmarkEnd w:id="1"/>
      <w:bookmarkEnd w:id="2"/>
      <w:bookmarkEnd w:id="3"/>
      <w:bookmarkEnd w:id="4"/>
      <w:bookmarkEnd w:id="5"/>
      <w:bookmarkEnd w:id="6"/>
      <w:bookmarkEnd w:id="7"/>
      <w:bookmarkEnd w:id="8"/>
      <w:bookmarkEnd w:id="9"/>
      <w:bookmarkEnd w:id="10"/>
      <w:bookmarkEnd w:id="11"/>
    </w:p>
    <w:p>
      <w:pPr>
        <w:spacing w:line="600" w:lineRule="exact"/>
        <w:rPr>
          <w:color w:val="auto"/>
        </w:rPr>
      </w:pPr>
    </w:p>
    <w:p>
      <w:pPr>
        <w:spacing w:line="600" w:lineRule="exact"/>
        <w:ind w:left="1528" w:leftChars="-28" w:right="-78" w:rightChars="-28" w:hanging="1606" w:hangingChars="500"/>
        <w:rPr>
          <w:rFonts w:ascii="仿宋" w:hAnsi="仿宋" w:eastAsia="仿宋" w:cs="仿宋_GB2312"/>
          <w:b/>
          <w:bCs/>
          <w:color w:val="auto"/>
          <w:sz w:val="32"/>
        </w:rPr>
      </w:pPr>
    </w:p>
    <w:p>
      <w:pPr>
        <w:ind w:left="1726" w:leftChars="43" w:right="610" w:rightChars="218" w:hanging="1606" w:hangingChars="500"/>
        <w:rPr>
          <w:rFonts w:ascii="仿宋" w:hAnsi="仿宋" w:eastAsia="仿宋" w:cs="仿宋_GB2312"/>
          <w:b/>
          <w:bCs/>
          <w:color w:val="auto"/>
          <w:sz w:val="32"/>
        </w:rPr>
      </w:pPr>
      <w:r>
        <w:rPr>
          <w:rFonts w:hint="eastAsia" w:ascii="仿宋" w:hAnsi="仿宋" w:eastAsia="仿宋" w:cs="仿宋_GB2312"/>
          <w:b/>
          <w:bCs/>
          <w:color w:val="auto"/>
          <w:sz w:val="32"/>
        </w:rPr>
        <w:t>项目名称：</w:t>
      </w:r>
      <w:bookmarkStart w:id="12" w:name="_Hlk5185279"/>
      <w:r>
        <w:rPr>
          <w:rFonts w:hint="eastAsia" w:ascii="仿宋" w:hAnsi="仿宋" w:eastAsia="仿宋" w:cs="仿宋_GB2312"/>
          <w:b/>
          <w:bCs/>
          <w:color w:val="auto"/>
          <w:sz w:val="32"/>
        </w:rPr>
        <w:t>对位于（贵阳市）云岩区</w:t>
      </w:r>
      <w:r>
        <w:rPr>
          <w:rFonts w:ascii="仿宋" w:hAnsi="仿宋" w:eastAsia="仿宋" w:cs="仿宋_GB2312"/>
          <w:b/>
          <w:bCs/>
          <w:color w:val="auto"/>
          <w:sz w:val="32"/>
        </w:rPr>
        <w:t>大营坡塘家湾</w:t>
      </w:r>
      <w:r>
        <w:rPr>
          <w:rFonts w:hint="eastAsia" w:ascii="仿宋" w:hAnsi="仿宋" w:eastAsia="仿宋" w:cs="仿宋_GB2312"/>
          <w:b/>
          <w:bCs/>
          <w:color w:val="auto"/>
          <w:sz w:val="32"/>
        </w:rPr>
        <w:t>1栋1单元9层2号住宅</w:t>
      </w:r>
      <w:r>
        <w:rPr>
          <w:rFonts w:ascii="仿宋" w:hAnsi="仿宋" w:eastAsia="仿宋" w:cs="仿宋_GB2312"/>
          <w:b/>
          <w:bCs/>
          <w:color w:val="auto"/>
          <w:sz w:val="32"/>
        </w:rPr>
        <w:t>用房的房地产</w:t>
      </w:r>
      <w:r>
        <w:rPr>
          <w:rFonts w:hint="eastAsia" w:ascii="仿宋" w:hAnsi="仿宋" w:eastAsia="仿宋" w:cs="仿宋_GB2312"/>
          <w:b/>
          <w:bCs/>
          <w:color w:val="auto"/>
          <w:sz w:val="32"/>
        </w:rPr>
        <w:t>市场价值评估</w:t>
      </w:r>
    </w:p>
    <w:p>
      <w:pPr>
        <w:spacing w:line="600" w:lineRule="exact"/>
        <w:ind w:left="1528" w:leftChars="-28" w:right="-78" w:rightChars="-28" w:hanging="1606" w:hangingChars="500"/>
        <w:rPr>
          <w:rFonts w:ascii="仿宋" w:hAnsi="仿宋" w:eastAsia="仿宋" w:cs="仿宋_GB2312"/>
          <w:b/>
          <w:bCs/>
          <w:color w:val="auto"/>
          <w:sz w:val="32"/>
        </w:rPr>
      </w:pPr>
    </w:p>
    <w:bookmarkEnd w:id="12"/>
    <w:p>
      <w:pPr>
        <w:spacing w:line="600" w:lineRule="exact"/>
        <w:ind w:left="-78" w:leftChars="-28" w:right="-445" w:rightChars="-159"/>
        <w:rPr>
          <w:rFonts w:ascii="仿宋" w:hAnsi="仿宋" w:eastAsia="仿宋" w:cs="仿宋_GB2312"/>
          <w:b/>
          <w:bCs/>
          <w:color w:val="auto"/>
          <w:sz w:val="32"/>
        </w:rPr>
      </w:pPr>
      <w:r>
        <w:rPr>
          <w:rFonts w:hint="eastAsia" w:ascii="仿宋" w:hAnsi="仿宋" w:eastAsia="仿宋" w:cs="仿宋_GB2312"/>
          <w:b/>
          <w:bCs/>
          <w:color w:val="auto"/>
          <w:sz w:val="32"/>
        </w:rPr>
        <w:t>估价委托人</w:t>
      </w:r>
      <w:r>
        <w:rPr>
          <w:rFonts w:hint="eastAsia" w:ascii="仿宋" w:hAnsi="仿宋" w:eastAsia="仿宋" w:cs="仿宋_GB2312"/>
          <w:b/>
          <w:bCs/>
          <w:color w:val="auto"/>
          <w:sz w:val="32"/>
          <w:szCs w:val="32"/>
        </w:rPr>
        <w:t>：</w:t>
      </w:r>
      <w:r>
        <w:rPr>
          <w:rFonts w:hint="eastAsia" w:ascii="仿宋" w:hAnsi="仿宋" w:eastAsia="仿宋" w:cs="仿宋_GB2312"/>
          <w:b/>
          <w:bCs/>
          <w:color w:val="auto"/>
          <w:sz w:val="32"/>
        </w:rPr>
        <w:t>贵阳</w:t>
      </w:r>
      <w:r>
        <w:rPr>
          <w:rFonts w:ascii="仿宋" w:hAnsi="仿宋" w:eastAsia="仿宋" w:cs="仿宋_GB2312"/>
          <w:b/>
          <w:bCs/>
          <w:color w:val="auto"/>
          <w:sz w:val="32"/>
        </w:rPr>
        <w:t>铁路运输</w:t>
      </w:r>
      <w:r>
        <w:rPr>
          <w:rFonts w:hint="eastAsia" w:ascii="仿宋" w:hAnsi="仿宋" w:eastAsia="仿宋" w:cs="仿宋_GB2312"/>
          <w:b/>
          <w:bCs/>
          <w:color w:val="auto"/>
          <w:sz w:val="32"/>
        </w:rPr>
        <w:t>法院</w:t>
      </w:r>
      <w:bookmarkStart w:id="102" w:name="_GoBack"/>
      <w:bookmarkEnd w:id="102"/>
    </w:p>
    <w:p>
      <w:pPr>
        <w:spacing w:line="600" w:lineRule="exact"/>
        <w:ind w:left="-78" w:leftChars="-28" w:right="-445" w:rightChars="-159"/>
        <w:rPr>
          <w:rFonts w:ascii="仿宋" w:hAnsi="仿宋" w:eastAsia="仿宋" w:cs="仿宋_GB2312"/>
          <w:b/>
          <w:bCs/>
          <w:color w:val="auto"/>
          <w:sz w:val="32"/>
        </w:rPr>
      </w:pPr>
      <w:r>
        <w:rPr>
          <w:rFonts w:hint="eastAsia" w:ascii="仿宋" w:hAnsi="仿宋" w:eastAsia="仿宋" w:cs="仿宋_GB2312"/>
          <w:b/>
          <w:bCs/>
          <w:color w:val="auto"/>
          <w:sz w:val="32"/>
        </w:rPr>
        <w:t>估价机构：广东金兰德房地产土地资产评估规划有限公司</w:t>
      </w:r>
    </w:p>
    <w:p>
      <w:pPr>
        <w:spacing w:line="600" w:lineRule="exact"/>
        <w:ind w:right="-445" w:rightChars="-159"/>
        <w:rPr>
          <w:rFonts w:ascii="仿宋" w:hAnsi="仿宋" w:eastAsia="仿宋" w:cs="仿宋_GB2312"/>
          <w:b/>
          <w:bCs/>
          <w:color w:val="auto"/>
          <w:sz w:val="32"/>
        </w:rPr>
      </w:pPr>
      <w:r>
        <w:rPr>
          <w:rFonts w:hint="eastAsia" w:ascii="仿宋" w:hAnsi="仿宋" w:eastAsia="仿宋" w:cs="仿宋_GB2312"/>
          <w:b/>
          <w:bCs/>
          <w:color w:val="auto"/>
          <w:sz w:val="32"/>
        </w:rPr>
        <w:t>注册房地产估价师：常  波 5320110052</w:t>
      </w:r>
    </w:p>
    <w:p>
      <w:pPr>
        <w:spacing w:line="600" w:lineRule="exact"/>
        <w:ind w:left="-78" w:leftChars="-28" w:right="-445" w:rightChars="-159" w:firstLine="3052" w:firstLineChars="950"/>
        <w:rPr>
          <w:rFonts w:ascii="仿宋" w:hAnsi="仿宋" w:eastAsia="仿宋" w:cs="仿宋_GB2312"/>
          <w:b/>
          <w:bCs/>
          <w:color w:val="auto"/>
          <w:sz w:val="32"/>
        </w:rPr>
      </w:pPr>
      <w:r>
        <w:rPr>
          <w:rFonts w:hint="eastAsia" w:ascii="仿宋" w:hAnsi="仿宋" w:eastAsia="仿宋" w:cs="仿宋_GB2312"/>
          <w:b/>
          <w:color w:val="auto"/>
          <w:sz w:val="32"/>
        </w:rPr>
        <w:t xml:space="preserve">张  强 </w:t>
      </w:r>
      <w:r>
        <w:rPr>
          <w:rFonts w:hint="eastAsia" w:ascii="仿宋" w:hAnsi="仿宋" w:eastAsia="仿宋" w:cs="仿宋"/>
          <w:b/>
          <w:color w:val="auto"/>
          <w:sz w:val="31"/>
          <w:szCs w:val="31"/>
        </w:rPr>
        <w:t>5220180031</w:t>
      </w:r>
    </w:p>
    <w:p>
      <w:pPr>
        <w:spacing w:line="600" w:lineRule="exact"/>
        <w:ind w:left="-78" w:leftChars="-28" w:right="-445" w:rightChars="-159"/>
        <w:rPr>
          <w:rFonts w:ascii="仿宋" w:hAnsi="仿宋" w:eastAsia="仿宋" w:cs="仿宋_GB2312"/>
          <w:b/>
          <w:bCs/>
          <w:color w:val="auto"/>
          <w:sz w:val="32"/>
        </w:rPr>
      </w:pPr>
      <w:r>
        <w:rPr>
          <w:rFonts w:hint="eastAsia" w:ascii="仿宋" w:hAnsi="仿宋" w:eastAsia="仿宋" w:cs="仿宋_GB2312"/>
          <w:b/>
          <w:bCs/>
          <w:color w:val="auto"/>
          <w:sz w:val="32"/>
        </w:rPr>
        <w:t>估价报告出具日期：</w:t>
      </w:r>
      <w:r>
        <w:rPr>
          <w:rFonts w:hint="eastAsia" w:ascii="仿宋" w:hAnsi="仿宋" w:eastAsia="仿宋" w:cs="仿宋_GB2312"/>
          <w:b/>
          <w:bCs/>
          <w:color w:val="auto"/>
          <w:sz w:val="32"/>
        </w:rPr>
        <w:t>2020年4月10日</w:t>
      </w:r>
    </w:p>
    <w:p>
      <w:pPr>
        <w:spacing w:line="600" w:lineRule="exact"/>
        <w:ind w:right="-445" w:rightChars="-159"/>
        <w:rPr>
          <w:rFonts w:ascii="仿宋" w:hAnsi="仿宋" w:eastAsia="仿宋" w:cs="仿宋_GB2312"/>
          <w:b/>
          <w:bCs/>
          <w:color w:val="auto"/>
          <w:sz w:val="32"/>
        </w:rPr>
      </w:pPr>
    </w:p>
    <w:p>
      <w:pPr>
        <w:spacing w:line="600" w:lineRule="exact"/>
        <w:ind w:left="-78" w:leftChars="-28" w:right="-445" w:rightChars="-159"/>
        <w:rPr>
          <w:rFonts w:ascii="仿宋" w:hAnsi="仿宋" w:eastAsia="仿宋" w:cs="仿宋_GB2312"/>
          <w:b/>
          <w:bCs/>
          <w:color w:val="auto"/>
          <w:sz w:val="32"/>
        </w:rPr>
      </w:pPr>
      <w:r>
        <w:rPr>
          <w:rFonts w:hint="eastAsia" w:ascii="仿宋" w:hAnsi="仿宋" w:eastAsia="仿宋" w:cs="仿宋_GB2312"/>
          <w:b/>
          <w:bCs/>
          <w:color w:val="auto"/>
          <w:sz w:val="32"/>
        </w:rPr>
        <w:t>估价报告编号：粤金估房字[2020GY]-ZE0693号</w:t>
      </w:r>
      <w:r>
        <w:rPr>
          <w:rFonts w:ascii="仿宋" w:hAnsi="仿宋" w:eastAsia="仿宋" w:cs="仿宋_GB2312"/>
          <w:b/>
          <w:bCs/>
          <w:color w:val="auto"/>
          <w:sz w:val="32"/>
        </w:rPr>
        <w:br w:type="page"/>
      </w:r>
    </w:p>
    <w:p>
      <w:pPr>
        <w:pStyle w:val="2"/>
        <w:spacing w:after="381"/>
        <w:ind w:left="0" w:right="0" w:firstLine="0"/>
        <w:rPr>
          <w:rFonts w:ascii="仿宋" w:hAnsi="仿宋" w:eastAsia="仿宋" w:cs="仿宋_GB2312"/>
          <w:color w:val="auto"/>
        </w:rPr>
      </w:pPr>
      <w:bookmarkStart w:id="13" w:name="_Toc507260840"/>
      <w:bookmarkStart w:id="14" w:name="_Toc507236815"/>
      <w:bookmarkStart w:id="15" w:name="_Toc19549200"/>
      <w:bookmarkStart w:id="16" w:name="_Toc11930"/>
      <w:r>
        <w:rPr>
          <w:rFonts w:hint="eastAsia" w:ascii="仿宋" w:hAnsi="仿宋" w:eastAsia="仿宋" w:cs="仿宋_GB2312"/>
          <w:color w:val="auto"/>
        </w:rPr>
        <w:t>致估价委托人函</w:t>
      </w:r>
      <w:bookmarkEnd w:id="13"/>
      <w:bookmarkEnd w:id="14"/>
      <w:bookmarkEnd w:id="15"/>
      <w:bookmarkEnd w:id="16"/>
    </w:p>
    <w:p>
      <w:pPr>
        <w:pStyle w:val="6"/>
        <w:spacing w:line="460" w:lineRule="exact"/>
        <w:ind w:left="0"/>
        <w:rPr>
          <w:rFonts w:ascii="仿宋" w:hAnsi="仿宋" w:eastAsia="仿宋" w:cs="仿宋_GB2312"/>
          <w:color w:val="auto"/>
          <w:sz w:val="28"/>
          <w:szCs w:val="28"/>
        </w:rPr>
      </w:pPr>
      <w:r>
        <w:rPr>
          <w:rFonts w:hint="eastAsia" w:ascii="仿宋" w:hAnsi="仿宋" w:eastAsia="仿宋" w:cs="仿宋_GB2312"/>
          <w:color w:val="auto"/>
          <w:sz w:val="28"/>
          <w:szCs w:val="28"/>
        </w:rPr>
        <w:t>贵阳铁路</w:t>
      </w:r>
      <w:r>
        <w:rPr>
          <w:rFonts w:ascii="仿宋" w:hAnsi="仿宋" w:eastAsia="仿宋" w:cs="仿宋_GB2312"/>
          <w:color w:val="auto"/>
          <w:sz w:val="28"/>
          <w:szCs w:val="28"/>
        </w:rPr>
        <w:t>运输</w:t>
      </w:r>
      <w:r>
        <w:rPr>
          <w:rFonts w:hint="eastAsia" w:ascii="仿宋" w:hAnsi="仿宋" w:eastAsia="仿宋" w:cs="仿宋_GB2312"/>
          <w:color w:val="auto"/>
          <w:sz w:val="28"/>
          <w:szCs w:val="28"/>
        </w:rPr>
        <w:t>法院：</w:t>
      </w:r>
    </w:p>
    <w:p>
      <w:pPr>
        <w:pStyle w:val="6"/>
        <w:spacing w:line="460" w:lineRule="exact"/>
        <w:ind w:left="0"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受贵院委托，我公司对位于（贵阳市）云岩区</w:t>
      </w:r>
      <w:r>
        <w:rPr>
          <w:rFonts w:ascii="仿宋" w:hAnsi="仿宋" w:eastAsia="仿宋" w:cs="仿宋_GB2312"/>
          <w:color w:val="auto"/>
          <w:sz w:val="28"/>
          <w:szCs w:val="28"/>
        </w:rPr>
        <w:t>大营坡塘家湾</w:t>
      </w:r>
      <w:r>
        <w:rPr>
          <w:rFonts w:hint="eastAsia" w:ascii="仿宋" w:hAnsi="仿宋" w:eastAsia="仿宋" w:cs="仿宋_GB2312"/>
          <w:color w:val="auto"/>
          <w:sz w:val="28"/>
          <w:szCs w:val="28"/>
        </w:rPr>
        <w:t>1栋1单元9层2号</w:t>
      </w:r>
      <w:r>
        <w:rPr>
          <w:rFonts w:ascii="仿宋" w:hAnsi="仿宋" w:eastAsia="仿宋" w:cs="仿宋_GB2312"/>
          <w:color w:val="auto"/>
          <w:sz w:val="28"/>
          <w:szCs w:val="28"/>
        </w:rPr>
        <w:t>住宅用房的房地产</w:t>
      </w:r>
      <w:r>
        <w:rPr>
          <w:rFonts w:hint="eastAsia" w:ascii="仿宋" w:hAnsi="仿宋" w:eastAsia="仿宋" w:cs="仿宋_GB2312"/>
          <w:color w:val="auto"/>
          <w:sz w:val="28"/>
          <w:szCs w:val="28"/>
        </w:rPr>
        <w:t>市场价值进行评估。我们遵照《中华人民共和国城市房地产管理法》、《中华人民共和国土地管理法》等法律法规，以及国家标准《房地产估价规范》，秉持独立、客观、公正的立场，坚持合法原则、替代原则、价值时点原则，经过实地查看和市场调查，采用</w:t>
      </w:r>
      <w:r>
        <w:rPr>
          <w:rFonts w:hint="eastAsia" w:ascii="仿宋" w:hAnsi="仿宋" w:eastAsia="仿宋" w:cs="仿宋_GB2312"/>
          <w:color w:val="auto"/>
          <w:sz w:val="28"/>
          <w:szCs w:val="28"/>
        </w:rPr>
        <w:t>比较</w:t>
      </w:r>
      <w:r>
        <w:rPr>
          <w:rFonts w:ascii="仿宋" w:hAnsi="仿宋" w:eastAsia="仿宋" w:cs="仿宋_GB2312"/>
          <w:color w:val="auto"/>
          <w:sz w:val="28"/>
          <w:szCs w:val="28"/>
        </w:rPr>
        <w:t>法</w:t>
      </w:r>
      <w:r>
        <w:rPr>
          <w:rFonts w:hint="eastAsia" w:ascii="仿宋" w:hAnsi="仿宋" w:eastAsia="仿宋" w:cs="仿宋_GB2312"/>
          <w:color w:val="auto"/>
          <w:sz w:val="28"/>
          <w:szCs w:val="28"/>
        </w:rPr>
        <w:t>进行分析、测算和判断，确定估价对象房地产市场价值。</w:t>
      </w:r>
    </w:p>
    <w:p>
      <w:pPr>
        <w:pStyle w:val="6"/>
        <w:spacing w:line="240" w:lineRule="atLeast"/>
        <w:ind w:left="560" w:leftChars="200"/>
        <w:rPr>
          <w:rFonts w:ascii="仿宋" w:hAnsi="仿宋" w:eastAsia="仿宋" w:cs="仿宋_GB2312"/>
          <w:color w:val="auto"/>
          <w:sz w:val="28"/>
          <w:szCs w:val="28"/>
        </w:rPr>
      </w:pPr>
      <w:r>
        <w:rPr>
          <w:rFonts w:hint="eastAsia" w:ascii="仿宋" w:hAnsi="仿宋" w:eastAsia="仿宋" w:cs="仿宋_GB2312"/>
          <w:color w:val="auto"/>
          <w:sz w:val="28"/>
          <w:szCs w:val="28"/>
        </w:rPr>
        <w:t>估价目的：为委托人（贵阳</w:t>
      </w:r>
      <w:r>
        <w:rPr>
          <w:rFonts w:ascii="仿宋" w:hAnsi="仿宋" w:eastAsia="仿宋" w:cs="仿宋_GB2312"/>
          <w:color w:val="auto"/>
          <w:sz w:val="28"/>
          <w:szCs w:val="28"/>
        </w:rPr>
        <w:t>铁路运输</w:t>
      </w:r>
      <w:r>
        <w:rPr>
          <w:rFonts w:hint="eastAsia" w:ascii="仿宋" w:hAnsi="仿宋" w:eastAsia="仿宋" w:cs="仿宋_GB2312"/>
          <w:color w:val="auto"/>
          <w:sz w:val="28"/>
          <w:szCs w:val="28"/>
        </w:rPr>
        <w:t>法院）执行案件提供价格参考</w:t>
      </w:r>
    </w:p>
    <w:p>
      <w:pPr>
        <w:pStyle w:val="6"/>
        <w:spacing w:line="240" w:lineRule="atLeast"/>
        <w:ind w:left="560" w:leftChars="200"/>
        <w:rPr>
          <w:rFonts w:ascii="仿宋" w:hAnsi="仿宋" w:eastAsia="仿宋" w:cs="仿宋_GB2312"/>
          <w:color w:val="auto"/>
          <w:sz w:val="28"/>
          <w:szCs w:val="28"/>
        </w:rPr>
      </w:pPr>
      <w:r>
        <w:rPr>
          <w:rFonts w:hint="eastAsia" w:ascii="仿宋" w:hAnsi="仿宋" w:eastAsia="仿宋" w:cs="仿宋_GB2312"/>
          <w:color w:val="auto"/>
          <w:sz w:val="28"/>
          <w:szCs w:val="28"/>
        </w:rPr>
        <w:t>估价方法：</w:t>
      </w:r>
      <w:r>
        <w:rPr>
          <w:rFonts w:hint="eastAsia" w:ascii="仿宋" w:hAnsi="仿宋" w:eastAsia="仿宋" w:cs="仿宋_GB2312"/>
          <w:color w:val="auto"/>
          <w:sz w:val="28"/>
          <w:szCs w:val="28"/>
        </w:rPr>
        <w:t>比较法</w:t>
      </w:r>
    </w:p>
    <w:p>
      <w:pPr>
        <w:pStyle w:val="6"/>
        <w:spacing w:line="240" w:lineRule="atLeast"/>
        <w:ind w:left="560" w:leftChars="200"/>
        <w:rPr>
          <w:rFonts w:ascii="仿宋" w:hAnsi="仿宋" w:eastAsia="仿宋" w:cs="仿宋_GB2312"/>
          <w:color w:val="auto"/>
          <w:sz w:val="28"/>
          <w:szCs w:val="28"/>
        </w:rPr>
      </w:pPr>
      <w:r>
        <w:rPr>
          <w:rFonts w:hint="eastAsia" w:ascii="仿宋" w:hAnsi="仿宋" w:eastAsia="仿宋" w:cs="仿宋_GB2312"/>
          <w:color w:val="auto"/>
          <w:sz w:val="28"/>
          <w:szCs w:val="28"/>
        </w:rPr>
        <w:t>价值时点：2020年4月</w:t>
      </w:r>
      <w:r>
        <w:rPr>
          <w:rFonts w:ascii="仿宋" w:hAnsi="仿宋" w:eastAsia="仿宋" w:cs="仿宋_GB2312"/>
          <w:color w:val="auto"/>
          <w:sz w:val="28"/>
          <w:szCs w:val="28"/>
        </w:rPr>
        <w:t>3</w:t>
      </w:r>
      <w:r>
        <w:rPr>
          <w:rFonts w:hint="eastAsia" w:ascii="仿宋" w:hAnsi="仿宋" w:eastAsia="仿宋" w:cs="仿宋_GB2312"/>
          <w:color w:val="auto"/>
          <w:sz w:val="28"/>
          <w:szCs w:val="28"/>
        </w:rPr>
        <w:t>日</w:t>
      </w:r>
    </w:p>
    <w:p>
      <w:pPr>
        <w:pStyle w:val="6"/>
        <w:spacing w:line="240" w:lineRule="atLeast"/>
        <w:ind w:left="0"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价值类型：市场价值</w:t>
      </w:r>
    </w:p>
    <w:p>
      <w:pPr>
        <w:pStyle w:val="6"/>
        <w:spacing w:line="240" w:lineRule="atLeast"/>
        <w:ind w:left="0"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评估结果：估价对象位于（贵阳市）云岩区</w:t>
      </w:r>
      <w:r>
        <w:rPr>
          <w:rFonts w:ascii="仿宋" w:hAnsi="仿宋" w:eastAsia="仿宋" w:cs="仿宋_GB2312"/>
          <w:color w:val="auto"/>
          <w:sz w:val="28"/>
          <w:szCs w:val="28"/>
        </w:rPr>
        <w:t>大营坡塘家湾</w:t>
      </w:r>
      <w:r>
        <w:rPr>
          <w:rFonts w:hint="eastAsia" w:ascii="仿宋" w:hAnsi="仿宋" w:eastAsia="仿宋" w:cs="仿宋_GB2312"/>
          <w:color w:val="auto"/>
          <w:sz w:val="28"/>
          <w:szCs w:val="28"/>
        </w:rPr>
        <w:t>1栋1单元9层2号</w:t>
      </w:r>
      <w:r>
        <w:rPr>
          <w:rFonts w:ascii="仿宋" w:hAnsi="仿宋" w:eastAsia="仿宋" w:cs="仿宋_GB2312"/>
          <w:color w:val="auto"/>
          <w:sz w:val="28"/>
          <w:szCs w:val="28"/>
        </w:rPr>
        <w:t>住宅用房的房地产</w:t>
      </w:r>
      <w:r>
        <w:rPr>
          <w:rFonts w:hint="eastAsia" w:ascii="仿宋" w:hAnsi="仿宋" w:eastAsia="仿宋" w:cs="仿宋_GB2312"/>
          <w:color w:val="auto"/>
          <w:sz w:val="28"/>
          <w:szCs w:val="28"/>
        </w:rPr>
        <w:t>市场价值评估：</w:t>
      </w:r>
    </w:p>
    <w:p>
      <w:pPr>
        <w:pStyle w:val="17"/>
        <w:snapToGrid w:val="0"/>
        <w:spacing w:line="240" w:lineRule="atLeast"/>
        <w:rPr>
          <w:rFonts w:ascii="仿宋" w:hAnsi="仿宋_GB2312" w:eastAsia="仿宋_GB2312"/>
          <w:color w:val="auto"/>
          <w:szCs w:val="28"/>
        </w:rPr>
      </w:pPr>
      <w:r>
        <w:rPr>
          <w:rFonts w:ascii="仿宋" w:hAnsi="仿宋" w:eastAsia="仿宋"/>
          <w:color w:val="auto"/>
          <w:szCs w:val="28"/>
        </w:rPr>
        <w:t>评估面积</w:t>
      </w:r>
      <w:r>
        <w:rPr>
          <w:rFonts w:hint="eastAsia" w:ascii="仿宋" w:hAnsi="仿宋" w:eastAsia="仿宋"/>
          <w:color w:val="auto"/>
          <w:szCs w:val="28"/>
        </w:rPr>
        <w:t>：138.74</w:t>
      </w:r>
      <w:r>
        <w:rPr>
          <w:rFonts w:ascii="仿宋" w:hAnsi="仿宋" w:eastAsia="仿宋"/>
          <w:b/>
          <w:color w:val="auto"/>
          <w:szCs w:val="28"/>
        </w:rPr>
        <w:t>平方米</w:t>
      </w:r>
      <w:r>
        <w:rPr>
          <w:rFonts w:ascii="仿宋" w:hAnsi="仿宋" w:eastAsia="仿宋"/>
          <w:color w:val="auto"/>
          <w:szCs w:val="28"/>
        </w:rPr>
        <w:t>；</w:t>
      </w:r>
    </w:p>
    <w:p>
      <w:pPr>
        <w:pStyle w:val="17"/>
        <w:snapToGrid w:val="0"/>
        <w:spacing w:line="240" w:lineRule="atLeast"/>
        <w:rPr>
          <w:rFonts w:ascii="仿宋" w:hAnsi="仿宋_GB2312" w:eastAsia="仿宋_GB2312"/>
          <w:color w:val="auto"/>
          <w:szCs w:val="28"/>
        </w:rPr>
      </w:pPr>
      <w:r>
        <w:rPr>
          <w:rFonts w:ascii="仿宋" w:hAnsi="仿宋" w:eastAsia="仿宋"/>
          <w:color w:val="auto"/>
          <w:szCs w:val="28"/>
        </w:rPr>
        <w:t>评估单价：</w:t>
      </w:r>
      <w:r>
        <w:rPr>
          <w:rFonts w:hint="eastAsia" w:ascii="仿宋" w:hAnsi="仿宋" w:eastAsia="仿宋"/>
          <w:color w:val="auto"/>
          <w:szCs w:val="28"/>
        </w:rPr>
        <w:t>7420</w:t>
      </w:r>
      <w:r>
        <w:rPr>
          <w:rFonts w:hint="eastAsia" w:ascii="仿宋" w:hAnsi="仿宋" w:eastAsia="仿宋"/>
          <w:b/>
          <w:color w:val="auto"/>
          <w:szCs w:val="28"/>
        </w:rPr>
        <w:t>元/平方米</w:t>
      </w:r>
      <w:r>
        <w:rPr>
          <w:rFonts w:hint="eastAsia" w:ascii="仿宋" w:hAnsi="仿宋_GB2312" w:eastAsia="仿宋_GB2312"/>
          <w:b/>
          <w:color w:val="auto"/>
          <w:szCs w:val="28"/>
        </w:rPr>
        <w:t>（取整</w:t>
      </w:r>
      <w:r>
        <w:rPr>
          <w:rFonts w:ascii="仿宋" w:hAnsi="仿宋_GB2312" w:eastAsia="仿宋_GB2312"/>
          <w:b/>
          <w:color w:val="auto"/>
          <w:szCs w:val="28"/>
        </w:rPr>
        <w:t>到</w:t>
      </w:r>
      <w:r>
        <w:rPr>
          <w:rFonts w:hint="eastAsia" w:ascii="仿宋" w:hAnsi="仿宋_GB2312" w:eastAsia="仿宋_GB2312"/>
          <w:b/>
          <w:color w:val="auto"/>
          <w:szCs w:val="28"/>
        </w:rPr>
        <w:t>十</w:t>
      </w:r>
      <w:r>
        <w:rPr>
          <w:rFonts w:ascii="仿宋" w:hAnsi="仿宋_GB2312" w:eastAsia="仿宋_GB2312"/>
          <w:b/>
          <w:color w:val="auto"/>
          <w:szCs w:val="28"/>
        </w:rPr>
        <w:t>位）</w:t>
      </w:r>
      <w:r>
        <w:rPr>
          <w:rFonts w:hint="eastAsia" w:ascii="仿宋" w:hAnsi="仿宋_GB2312" w:eastAsia="仿宋_GB2312"/>
          <w:color w:val="auto"/>
          <w:szCs w:val="28"/>
        </w:rPr>
        <w:t>；</w:t>
      </w:r>
    </w:p>
    <w:p>
      <w:pPr>
        <w:pStyle w:val="6"/>
        <w:spacing w:line="240" w:lineRule="atLeast"/>
        <w:ind w:left="0"/>
        <w:rPr>
          <w:rFonts w:ascii="仿宋" w:hAnsi="仿宋" w:eastAsia="仿宋" w:cs="仿宋_GB2312"/>
          <w:color w:val="auto"/>
          <w:sz w:val="13"/>
          <w:szCs w:val="13"/>
        </w:rPr>
      </w:pPr>
      <w:r>
        <w:rPr>
          <w:rFonts w:hint="eastAsia" w:ascii="仿宋" w:hAnsi="仿宋" w:eastAsia="仿宋" w:cs="仿宋_GB2312"/>
          <w:b/>
          <w:color w:val="auto"/>
          <w:sz w:val="28"/>
          <w:szCs w:val="28"/>
        </w:rPr>
        <w:t>评估总价</w:t>
      </w:r>
      <w:r>
        <w:rPr>
          <w:rFonts w:hint="eastAsia" w:ascii="仿宋" w:hAnsi="仿宋" w:eastAsia="仿宋" w:cs="仿宋_GB2312"/>
          <w:color w:val="auto"/>
          <w:sz w:val="28"/>
          <w:szCs w:val="28"/>
        </w:rPr>
        <w:t>：102.95</w:t>
      </w:r>
      <w:r>
        <w:rPr>
          <w:rFonts w:hint="eastAsia" w:ascii="仿宋" w:hAnsi="仿宋" w:eastAsia="仿宋" w:cs="仿宋_GB2312"/>
          <w:b/>
          <w:color w:val="auto"/>
          <w:sz w:val="28"/>
          <w:szCs w:val="28"/>
        </w:rPr>
        <w:t>万元（取整到百位）</w:t>
      </w:r>
      <w:r>
        <w:rPr>
          <w:rFonts w:hint="eastAsia" w:ascii="仿宋_GB2312" w:eastAsia="仿宋_GB2312"/>
          <w:b/>
          <w:color w:val="auto"/>
          <w:spacing w:val="8"/>
          <w:sz w:val="13"/>
          <w:szCs w:val="13"/>
        </w:rPr>
        <w:t>（大写：人民币壹佰零贰万玖仟伍佰</w:t>
      </w:r>
      <w:r>
        <w:rPr>
          <w:rFonts w:ascii="仿宋_GB2312" w:eastAsia="仿宋_GB2312"/>
          <w:b/>
          <w:color w:val="auto"/>
          <w:spacing w:val="8"/>
          <w:sz w:val="13"/>
          <w:szCs w:val="13"/>
        </w:rPr>
        <w:t>元</w:t>
      </w:r>
      <w:r>
        <w:rPr>
          <w:rFonts w:hint="eastAsia" w:ascii="仿宋_GB2312" w:eastAsia="仿宋_GB2312"/>
          <w:b/>
          <w:color w:val="auto"/>
          <w:spacing w:val="8"/>
          <w:sz w:val="13"/>
          <w:szCs w:val="13"/>
        </w:rPr>
        <w:t>整</w:t>
      </w:r>
      <w:r>
        <w:rPr>
          <w:rFonts w:hint="eastAsia" w:ascii="仿宋" w:hAnsi="仿宋" w:eastAsia="仿宋" w:cs="仿宋_GB2312"/>
          <w:color w:val="auto"/>
          <w:sz w:val="13"/>
          <w:szCs w:val="13"/>
        </w:rPr>
        <w:t>）</w:t>
      </w:r>
    </w:p>
    <w:p>
      <w:pPr>
        <w:pStyle w:val="6"/>
        <w:spacing w:line="240" w:lineRule="atLeast"/>
        <w:ind w:left="0"/>
        <w:rPr>
          <w:rFonts w:ascii="仿宋" w:hAnsi="仿宋" w:eastAsia="仿宋" w:cs="仿宋_GB2312"/>
          <w:color w:val="auto"/>
          <w:sz w:val="13"/>
          <w:szCs w:val="13"/>
        </w:rPr>
      </w:pPr>
      <w:r>
        <w:rPr>
          <w:rFonts w:hint="eastAsia" w:ascii="仿宋" w:hAnsi="仿宋" w:eastAsia="仿宋" w:cs="仿宋_GB2312"/>
          <w:color w:val="auto"/>
          <w:sz w:val="13"/>
          <w:szCs w:val="13"/>
        </w:rPr>
        <w:t xml:space="preserve">特别提示：（1）估价结果不包括估价对象原有的担保物权和其他法定优先受偿权，也不包括原有的租赁权和用益物权。（2）估价结果没有扣除拍卖过程发生的处置费用和税金。（3）本次估价结果不应作为价格实现的保证。（4）本估价报告使用期限自2020年4月10日-2021年4月9日。（5）欲知详情，请阅读本估价报告全文。 </w:t>
      </w:r>
    </w:p>
    <w:p>
      <w:pPr>
        <w:spacing w:line="300" w:lineRule="exact"/>
        <w:ind w:right="140"/>
        <w:jc w:val="right"/>
        <w:rPr>
          <w:rFonts w:ascii="仿宋" w:hAnsi="仿宋" w:eastAsia="仿宋" w:cs="仿宋_GB2312"/>
          <w:color w:val="auto"/>
        </w:rPr>
      </w:pPr>
      <w:r>
        <w:rPr>
          <w:rFonts w:hint="eastAsia" w:ascii="仿宋" w:hAnsi="仿宋" w:eastAsia="仿宋" w:cs="仿宋_GB2312"/>
          <w:color w:val="auto"/>
        </w:rPr>
        <w:t>广东金兰德房地产土地资产评估规划有限公司</w:t>
      </w:r>
    </w:p>
    <w:p>
      <w:pPr>
        <w:spacing w:line="300" w:lineRule="exact"/>
        <w:ind w:firstLine="4480" w:firstLineChars="1600"/>
        <w:rPr>
          <w:rFonts w:ascii="仿宋" w:hAnsi="仿宋" w:eastAsia="仿宋" w:cs="仿宋_GB2312"/>
          <w:color w:val="auto"/>
        </w:rPr>
      </w:pPr>
      <w:r>
        <w:rPr>
          <w:rFonts w:hint="eastAsia" w:ascii="仿宋" w:hAnsi="仿宋" w:eastAsia="仿宋" w:cs="仿宋_GB2312"/>
          <w:color w:val="auto"/>
        </w:rPr>
        <w:t>法定代表人：</w:t>
      </w:r>
    </w:p>
    <w:p>
      <w:pPr>
        <w:tabs>
          <w:tab w:val="left" w:pos="6204"/>
          <w:tab w:val="right" w:pos="8877"/>
        </w:tabs>
        <w:spacing w:line="300" w:lineRule="exact"/>
        <w:ind w:right="560" w:firstLine="4340" w:firstLineChars="1550"/>
        <w:rPr>
          <w:rFonts w:ascii="仿宋" w:hAnsi="仿宋" w:eastAsia="仿宋" w:cs="仿宋_GB2312"/>
          <w:color w:val="auto"/>
        </w:rPr>
        <w:sectPr>
          <w:headerReference r:id="rId4" w:type="first"/>
          <w:footerReference r:id="rId5" w:type="first"/>
          <w:headerReference r:id="rId3" w:type="default"/>
          <w:pgSz w:w="11906" w:h="16838" w:orient="landscape"/>
          <w:pgMar w:top="1440" w:right="1797" w:bottom="1440" w:left="1797" w:header="851" w:footer="992" w:gutter="0"/>
          <w:pgNumType w:fmt="upperRoman" w:start="0"/>
          <w:cols w:space="720" w:num="1"/>
          <w:docGrid w:type="lines" w:linePitch="381" w:charSpace="0"/>
        </w:sectPr>
      </w:pPr>
      <w:r>
        <w:rPr>
          <w:rFonts w:hint="eastAsia" w:ascii="仿宋" w:hAnsi="仿宋" w:eastAsia="仿宋" w:cs="仿宋_GB2312"/>
          <w:color w:val="auto"/>
        </w:rPr>
        <w:t>二〇二〇年四月十日</w:t>
      </w:r>
    </w:p>
    <w:p>
      <w:pPr>
        <w:adjustRightInd w:val="0"/>
        <w:snapToGrid w:val="0"/>
        <w:spacing w:line="500" w:lineRule="exact"/>
        <w:rPr>
          <w:rFonts w:ascii="仿宋" w:hAnsi="仿宋" w:eastAsia="仿宋"/>
          <w:b/>
          <w:color w:val="auto"/>
          <w:sz w:val="40"/>
          <w:szCs w:val="40"/>
        </w:rPr>
      </w:pPr>
    </w:p>
    <w:tbl>
      <w:tblPr>
        <w:tblStyle w:val="23"/>
        <w:tblW w:w="13893" w:type="dxa"/>
        <w:tblInd w:w="0" w:type="dxa"/>
        <w:tblLayout w:type="fixed"/>
        <w:tblCellMar>
          <w:top w:w="15" w:type="dxa"/>
          <w:left w:w="15" w:type="dxa"/>
          <w:bottom w:w="15" w:type="dxa"/>
          <w:right w:w="15" w:type="dxa"/>
        </w:tblCellMar>
      </w:tblPr>
      <w:tblGrid>
        <w:gridCol w:w="413"/>
        <w:gridCol w:w="3818"/>
        <w:gridCol w:w="1707"/>
        <w:gridCol w:w="676"/>
        <w:gridCol w:w="1003"/>
        <w:gridCol w:w="901"/>
        <w:gridCol w:w="1671"/>
        <w:gridCol w:w="1340"/>
        <w:gridCol w:w="1142"/>
        <w:gridCol w:w="1222"/>
      </w:tblGrid>
      <w:tr>
        <w:tblPrEx>
          <w:tblCellMar>
            <w:top w:w="15" w:type="dxa"/>
            <w:left w:w="15" w:type="dxa"/>
            <w:bottom w:w="15" w:type="dxa"/>
            <w:right w:w="15" w:type="dxa"/>
          </w:tblCellMar>
        </w:tblPrEx>
        <w:trPr>
          <w:trHeight w:val="20" w:hRule="atLeast"/>
        </w:trPr>
        <w:tc>
          <w:tcPr>
            <w:tcW w:w="13893" w:type="dxa"/>
            <w:gridSpan w:val="10"/>
            <w:vAlign w:val="center"/>
          </w:tcPr>
          <w:p>
            <w:pPr>
              <w:widowControl/>
              <w:jc w:val="center"/>
              <w:textAlignment w:val="center"/>
              <w:rPr>
                <w:rFonts w:ascii="仿宋" w:hAnsi="仿宋" w:eastAsia="仿宋" w:cs="仿宋"/>
                <w:b/>
                <w:color w:val="auto"/>
                <w:sz w:val="40"/>
                <w:szCs w:val="40"/>
              </w:rPr>
            </w:pPr>
            <w:r>
              <w:rPr>
                <w:rFonts w:hint="eastAsia" w:ascii="仿宋" w:hAnsi="仿宋" w:eastAsia="仿宋" w:cs="仿宋"/>
                <w:b/>
                <w:color w:val="auto"/>
                <w:kern w:val="0"/>
                <w:sz w:val="40"/>
                <w:szCs w:val="40"/>
                <w:lang w:bidi="ar"/>
              </w:rPr>
              <w:t xml:space="preserve">房 地 产 估 价 结 果 明 细 表 </w:t>
            </w:r>
          </w:p>
        </w:tc>
      </w:tr>
      <w:tr>
        <w:tblPrEx>
          <w:tblCellMar>
            <w:top w:w="15" w:type="dxa"/>
            <w:left w:w="15" w:type="dxa"/>
            <w:bottom w:w="15" w:type="dxa"/>
            <w:right w:w="15" w:type="dxa"/>
          </w:tblCellMar>
        </w:tblPrEx>
        <w:trPr>
          <w:trHeight w:val="20" w:hRule="atLeast"/>
        </w:trPr>
        <w:tc>
          <w:tcPr>
            <w:tcW w:w="13893" w:type="dxa"/>
            <w:gridSpan w:val="10"/>
            <w:tcBorders>
              <w:bottom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委托人：贵阳</w:t>
            </w:r>
            <w:r>
              <w:rPr>
                <w:rFonts w:ascii="仿宋" w:hAnsi="仿宋" w:eastAsia="仿宋" w:cs="仿宋"/>
                <w:color w:val="auto"/>
                <w:kern w:val="0"/>
                <w:sz w:val="20"/>
                <w:szCs w:val="20"/>
                <w:lang w:bidi="ar"/>
              </w:rPr>
              <w:t>铁路运输</w:t>
            </w:r>
            <w:r>
              <w:rPr>
                <w:rFonts w:hint="eastAsia" w:ascii="仿宋" w:hAnsi="仿宋" w:eastAsia="仿宋" w:cs="仿宋"/>
                <w:color w:val="auto"/>
                <w:kern w:val="0"/>
                <w:sz w:val="20"/>
                <w:szCs w:val="20"/>
                <w:lang w:bidi="ar"/>
              </w:rPr>
              <w:t>法院                  价值时点：2020年4月3日                估价机构：广东金兰德房地产土地资产评估规划有限公司</w:t>
            </w:r>
          </w:p>
        </w:tc>
      </w:tr>
      <w:tr>
        <w:tblPrEx>
          <w:tblCellMar>
            <w:top w:w="15" w:type="dxa"/>
            <w:left w:w="15" w:type="dxa"/>
            <w:bottom w:w="15" w:type="dxa"/>
            <w:right w:w="15" w:type="dxa"/>
          </w:tblCellMar>
        </w:tblPrEx>
        <w:trPr>
          <w:trHeight w:val="20" w:hRule="atLeast"/>
        </w:trPr>
        <w:tc>
          <w:tcPr>
            <w:tcW w:w="4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序号</w:t>
            </w:r>
          </w:p>
        </w:tc>
        <w:tc>
          <w:tcPr>
            <w:tcW w:w="38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地址</w:t>
            </w:r>
          </w:p>
        </w:tc>
        <w:tc>
          <w:tcPr>
            <w:tcW w:w="17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不动产证明号</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权属人</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规划用途</w:t>
            </w:r>
          </w:p>
        </w:tc>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建筑结构</w:t>
            </w:r>
          </w:p>
        </w:tc>
        <w:tc>
          <w:tcPr>
            <w:tcW w:w="16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所在楼层/总楼层</w:t>
            </w:r>
          </w:p>
        </w:tc>
        <w:tc>
          <w:tcPr>
            <w:tcW w:w="1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建筑面积（㎡）</w:t>
            </w:r>
          </w:p>
        </w:tc>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评估市场价值</w:t>
            </w:r>
          </w:p>
        </w:tc>
      </w:tr>
      <w:tr>
        <w:tblPrEx>
          <w:tblCellMar>
            <w:top w:w="15" w:type="dxa"/>
            <w:left w:w="15" w:type="dxa"/>
            <w:bottom w:w="15" w:type="dxa"/>
            <w:right w:w="15" w:type="dxa"/>
          </w:tblCellMar>
        </w:tblPrEx>
        <w:trPr>
          <w:trHeight w:val="20" w:hRule="atLeast"/>
        </w:trPr>
        <w:tc>
          <w:tcPr>
            <w:tcW w:w="4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auto"/>
                <w:sz w:val="20"/>
                <w:szCs w:val="20"/>
              </w:rPr>
            </w:pPr>
          </w:p>
        </w:tc>
        <w:tc>
          <w:tcPr>
            <w:tcW w:w="38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auto"/>
                <w:sz w:val="20"/>
                <w:szCs w:val="20"/>
              </w:rPr>
            </w:pPr>
          </w:p>
        </w:tc>
        <w:tc>
          <w:tcPr>
            <w:tcW w:w="17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auto"/>
                <w:sz w:val="20"/>
                <w:szCs w:val="20"/>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auto"/>
                <w:sz w:val="20"/>
                <w:szCs w:val="20"/>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auto"/>
                <w:sz w:val="20"/>
                <w:szCs w:val="20"/>
              </w:rPr>
            </w:pPr>
          </w:p>
        </w:tc>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auto"/>
                <w:sz w:val="20"/>
                <w:szCs w:val="20"/>
              </w:rPr>
            </w:pPr>
          </w:p>
        </w:tc>
        <w:tc>
          <w:tcPr>
            <w:tcW w:w="16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auto"/>
                <w:sz w:val="20"/>
                <w:szCs w:val="20"/>
              </w:rPr>
            </w:pPr>
          </w:p>
        </w:tc>
        <w:tc>
          <w:tcPr>
            <w:tcW w:w="13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auto"/>
                <w:sz w:val="20"/>
                <w:szCs w:val="20"/>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单价（元/m</w:t>
            </w:r>
            <w:r>
              <w:rPr>
                <w:rFonts w:hint="eastAsia" w:ascii="仿宋" w:hAnsi="仿宋" w:eastAsia="仿宋" w:cs="仿宋"/>
                <w:b/>
                <w:color w:val="auto"/>
                <w:kern w:val="0"/>
                <w:sz w:val="20"/>
                <w:szCs w:val="20"/>
                <w:vertAlign w:val="superscript"/>
                <w:lang w:bidi="ar"/>
              </w:rPr>
              <w:t>2</w:t>
            </w:r>
            <w:r>
              <w:rPr>
                <w:rFonts w:hint="eastAsia" w:ascii="仿宋" w:hAnsi="仿宋" w:eastAsia="仿宋" w:cs="仿宋"/>
                <w:b/>
                <w:color w:val="auto"/>
                <w:kern w:val="0"/>
                <w:sz w:val="20"/>
                <w:szCs w:val="20"/>
                <w:lang w:bidi="ar"/>
              </w:rPr>
              <w:t>）</w:t>
            </w:r>
          </w:p>
        </w:tc>
        <w:tc>
          <w:tcPr>
            <w:tcW w:w="1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评估总价</w:t>
            </w:r>
            <w:r>
              <w:rPr>
                <w:rFonts w:hint="eastAsia" w:ascii="仿宋" w:hAnsi="仿宋" w:eastAsia="仿宋" w:cs="仿宋"/>
                <w:b/>
                <w:color w:val="auto"/>
                <w:kern w:val="0"/>
                <w:sz w:val="20"/>
                <w:szCs w:val="20"/>
                <w:lang w:bidi="ar"/>
              </w:rPr>
              <w:br w:type="textWrapping"/>
            </w:r>
            <w:r>
              <w:rPr>
                <w:rFonts w:hint="eastAsia" w:ascii="仿宋" w:hAnsi="仿宋" w:eastAsia="仿宋" w:cs="仿宋"/>
                <w:b/>
                <w:color w:val="auto"/>
                <w:kern w:val="0"/>
                <w:sz w:val="20"/>
                <w:szCs w:val="20"/>
                <w:lang w:bidi="ar"/>
              </w:rPr>
              <w:t>（万元）</w:t>
            </w:r>
          </w:p>
        </w:tc>
      </w:tr>
      <w:tr>
        <w:tblPrEx>
          <w:tblCellMar>
            <w:top w:w="15" w:type="dxa"/>
            <w:left w:w="15" w:type="dxa"/>
            <w:bottom w:w="15" w:type="dxa"/>
            <w:right w:w="15" w:type="dxa"/>
          </w:tblCellMar>
        </w:tblPrEx>
        <w:trPr>
          <w:trHeight w:val="20" w:hRule="atLeast"/>
        </w:trPr>
        <w:tc>
          <w:tcPr>
            <w:tcW w:w="41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3818"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（贵阳市）云岩区</w:t>
            </w:r>
            <w:r>
              <w:rPr>
                <w:rFonts w:ascii="仿宋" w:hAnsi="仿宋" w:eastAsia="仿宋" w:cs="仿宋"/>
                <w:color w:val="auto"/>
                <w:kern w:val="0"/>
                <w:sz w:val="20"/>
                <w:szCs w:val="20"/>
                <w:lang w:bidi="ar"/>
              </w:rPr>
              <w:t>大营坡塘家湾</w:t>
            </w:r>
            <w:r>
              <w:rPr>
                <w:rFonts w:hint="eastAsia" w:ascii="仿宋" w:hAnsi="仿宋" w:eastAsia="仿宋" w:cs="仿宋"/>
                <w:color w:val="auto"/>
                <w:kern w:val="0"/>
                <w:sz w:val="20"/>
                <w:szCs w:val="20"/>
                <w:lang w:bidi="ar"/>
              </w:rPr>
              <w:t>1栋1单元9层2号</w:t>
            </w:r>
          </w:p>
        </w:tc>
        <w:tc>
          <w:tcPr>
            <w:tcW w:w="1707" w:type="dxa"/>
            <w:tcBorders>
              <w:left w:val="single" w:color="000000" w:sz="4" w:space="0"/>
              <w:right w:val="single" w:color="000000" w:sz="4" w:space="0"/>
            </w:tcBorders>
            <w:vAlign w:val="center"/>
          </w:tcPr>
          <w:p>
            <w:pPr>
              <w:widowControl/>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筑房权证云岩字第                                          010244165号</w:t>
            </w:r>
          </w:p>
        </w:tc>
        <w:tc>
          <w:tcPr>
            <w:tcW w:w="676" w:type="dxa"/>
            <w:tcBorders>
              <w:left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刘国嵘</w:t>
            </w:r>
          </w:p>
        </w:tc>
        <w:tc>
          <w:tcPr>
            <w:tcW w:w="1003"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rPr>
              <w:t>住宅</w:t>
            </w:r>
          </w:p>
        </w:tc>
        <w:tc>
          <w:tcPr>
            <w:tcW w:w="901"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rPr>
              <w:t>结构</w:t>
            </w:r>
          </w:p>
        </w:tc>
        <w:tc>
          <w:tcPr>
            <w:tcW w:w="1671"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9/9</w:t>
            </w:r>
          </w:p>
        </w:tc>
        <w:tc>
          <w:tcPr>
            <w:tcW w:w="1340"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138.74</w:t>
            </w:r>
          </w:p>
        </w:tc>
        <w:tc>
          <w:tcPr>
            <w:tcW w:w="1142"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rPr>
              <w:t>7420</w:t>
            </w:r>
          </w:p>
        </w:tc>
        <w:tc>
          <w:tcPr>
            <w:tcW w:w="1222"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rPr>
              <w:t>102.95</w:t>
            </w:r>
          </w:p>
        </w:tc>
      </w:tr>
      <w:tr>
        <w:tblPrEx>
          <w:tblCellMar>
            <w:top w:w="15" w:type="dxa"/>
            <w:left w:w="15" w:type="dxa"/>
            <w:bottom w:w="15" w:type="dxa"/>
            <w:right w:w="15" w:type="dxa"/>
          </w:tblCellMar>
        </w:tblPrEx>
        <w:trPr>
          <w:trHeight w:val="428" w:hRule="atLeast"/>
        </w:trPr>
        <w:tc>
          <w:tcPr>
            <w:tcW w:w="761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合计</w:t>
            </w:r>
          </w:p>
        </w:tc>
        <w:tc>
          <w:tcPr>
            <w:tcW w:w="9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w:t>
            </w:r>
          </w:p>
        </w:tc>
        <w:tc>
          <w:tcPr>
            <w:tcW w:w="16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auto"/>
                <w:sz w:val="20"/>
                <w:szCs w:val="20"/>
              </w:rPr>
            </w:pPr>
            <w:r>
              <w:rPr>
                <w:rFonts w:hint="eastAsia" w:ascii="仿宋" w:hAnsi="仿宋" w:eastAsia="仿宋" w:cs="仿宋"/>
                <w:b/>
                <w:color w:val="auto"/>
                <w:sz w:val="20"/>
                <w:szCs w:val="20"/>
              </w:rPr>
              <w:t>-</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kern w:val="0"/>
                <w:sz w:val="20"/>
                <w:szCs w:val="20"/>
                <w:lang w:bidi="ar"/>
              </w:rPr>
            </w:pPr>
            <w:r>
              <w:rPr>
                <w:rFonts w:hint="eastAsia" w:ascii="仿宋" w:hAnsi="仿宋" w:eastAsia="仿宋" w:cs="仿宋"/>
                <w:b/>
                <w:color w:val="auto"/>
                <w:kern w:val="0"/>
                <w:sz w:val="20"/>
                <w:szCs w:val="20"/>
                <w:lang w:bidi="ar"/>
              </w:rPr>
              <w:t>138.74</w:t>
            </w:r>
          </w:p>
        </w:tc>
        <w:tc>
          <w:tcPr>
            <w:tcW w:w="1142" w:type="dxa"/>
            <w:tcBorders>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sz w:val="20"/>
                <w:szCs w:val="20"/>
              </w:rPr>
              <w:t>-</w:t>
            </w:r>
          </w:p>
        </w:tc>
        <w:tc>
          <w:tcPr>
            <w:tcW w:w="1222"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sz w:val="20"/>
                <w:szCs w:val="20"/>
              </w:rPr>
              <w:t>102.95</w:t>
            </w:r>
          </w:p>
        </w:tc>
      </w:tr>
      <w:tr>
        <w:tblPrEx>
          <w:tblCellMar>
            <w:top w:w="15" w:type="dxa"/>
            <w:left w:w="15" w:type="dxa"/>
            <w:bottom w:w="15" w:type="dxa"/>
            <w:right w:w="15" w:type="dxa"/>
          </w:tblCellMar>
        </w:tblPrEx>
        <w:trPr>
          <w:trHeight w:val="20" w:hRule="atLeast"/>
        </w:trPr>
        <w:tc>
          <w:tcPr>
            <w:tcW w:w="13893" w:type="dxa"/>
            <w:gridSpan w:val="10"/>
            <w:tcBorders>
              <w:top w:val="single" w:color="000000" w:sz="4" w:space="0"/>
            </w:tcBorders>
            <w:vAlign w:val="center"/>
          </w:tcPr>
          <w:p>
            <w:pPr>
              <w:widowControl/>
              <w:jc w:val="left"/>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16"/>
                <w:szCs w:val="20"/>
                <w:lang w:bidi="ar"/>
              </w:rPr>
              <w:t>备注：1、本结果为完全产权价值下的价格，请报告使用者注意；2.估价对象房产登记坐落在“云岩区大营坡塘家湾”，现场实勘所见估价对象坐落在“云岩区大营坡向阳路9号”；3.现场由委托方领勘且被执行人在场，估价对象由委托方与被执行方现场参与确认；4.现场实勘时，被执行方拒绝入屋实勘拍摄，经委托方同意，被执行方后提供室内现状的真实照片；</w:t>
            </w:r>
            <w:r>
              <w:rPr>
                <w:rFonts w:hint="eastAsia" w:ascii="仿宋" w:hAnsi="仿宋" w:eastAsia="仿宋" w:cs="仿宋"/>
                <w:color w:val="auto"/>
                <w:kern w:val="0"/>
                <w:sz w:val="20"/>
                <w:szCs w:val="20"/>
                <w:lang w:bidi="ar"/>
              </w:rPr>
              <w:t xml:space="preserve">                                                                                                                                                                                                                                                                                                                                                                                                                                                                                                 </w:t>
            </w:r>
          </w:p>
        </w:tc>
      </w:tr>
    </w:tbl>
    <w:p>
      <w:pPr>
        <w:snapToGrid w:val="0"/>
        <w:spacing w:line="440" w:lineRule="exact"/>
        <w:ind w:firstLine="11340" w:firstLineChars="5400"/>
        <w:rPr>
          <w:rFonts w:ascii="仿宋" w:hAnsi="仿宋" w:eastAsia="仿宋"/>
          <w:snapToGrid w:val="0"/>
          <w:color w:val="auto"/>
          <w:sz w:val="21"/>
          <w:szCs w:val="21"/>
        </w:rPr>
      </w:pPr>
      <w:r>
        <w:rPr>
          <w:rFonts w:hint="eastAsia" w:ascii="仿宋" w:hAnsi="仿宋" w:eastAsia="仿宋"/>
          <w:snapToGrid w:val="0"/>
          <w:color w:val="auto"/>
          <w:sz w:val="21"/>
          <w:szCs w:val="21"/>
        </w:rPr>
        <w:t xml:space="preserve">估价机构：(盖章) </w:t>
      </w:r>
    </w:p>
    <w:p>
      <w:pPr>
        <w:snapToGrid w:val="0"/>
        <w:spacing w:line="240" w:lineRule="exact"/>
        <w:jc w:val="center"/>
        <w:rPr>
          <w:color w:val="auto"/>
        </w:rPr>
        <w:sectPr>
          <w:pgSz w:w="16838" w:h="11906" w:orient="landscape"/>
          <w:pgMar w:top="1797" w:right="1440" w:bottom="1797" w:left="1440" w:header="851" w:footer="992" w:gutter="0"/>
          <w:pgNumType w:start="0"/>
          <w:cols w:space="720" w:num="1"/>
          <w:docGrid w:type="lines" w:linePitch="381" w:charSpace="0"/>
        </w:sectPr>
      </w:pPr>
      <w:r>
        <w:rPr>
          <w:rFonts w:hint="eastAsia" w:ascii="仿宋" w:hAnsi="仿宋" w:eastAsia="仿宋"/>
          <w:snapToGrid w:val="0"/>
          <w:color w:val="auto"/>
          <w:sz w:val="21"/>
          <w:szCs w:val="21"/>
        </w:rPr>
        <w:t xml:space="preserve">                                                                                                       二○二○年四月十日</w:t>
      </w:r>
    </w:p>
    <w:sdt>
      <w:sdtPr>
        <w:rPr>
          <w:rFonts w:ascii="宋体" w:hAnsi="宋体" w:eastAsia="宋体"/>
          <w:color w:val="auto"/>
          <w:sz w:val="21"/>
        </w:rPr>
        <w:id w:val="147451175"/>
        <w15:color w:val="DBDBDB"/>
        <w:docPartObj>
          <w:docPartGallery w:val="Table of Contents"/>
          <w:docPartUnique/>
        </w:docPartObj>
      </w:sdtPr>
      <w:sdtEndPr>
        <w:rPr>
          <w:rFonts w:ascii="宋体" w:hAnsi="宋体" w:eastAsia="宋体"/>
          <w:color w:val="auto"/>
          <w:sz w:val="21"/>
        </w:rPr>
      </w:sdtEndPr>
      <w:sdtContent>
        <w:p>
          <w:pPr>
            <w:spacing w:after="0" w:line="240" w:lineRule="atLeast"/>
            <w:jc w:val="center"/>
            <w:rPr>
              <w:color w:val="auto"/>
            </w:rPr>
          </w:pPr>
          <w:bookmarkStart w:id="17" w:name="_Toc19549202"/>
          <w:r>
            <w:rPr>
              <w:rFonts w:ascii="宋体" w:hAnsi="宋体" w:eastAsia="宋体"/>
              <w:color w:val="auto"/>
              <w:sz w:val="21"/>
            </w:rPr>
            <w:t>目录</w:t>
          </w:r>
          <w:r>
            <w:rPr>
              <w:color w:val="auto"/>
            </w:rPr>
            <w:fldChar w:fldCharType="begin"/>
          </w:r>
          <w:r>
            <w:rPr>
              <w:color w:val="auto"/>
            </w:rPr>
            <w:instrText xml:space="preserve">TOC \o "1-1" \h \u </w:instrText>
          </w:r>
          <w:r>
            <w:rPr>
              <w:color w:val="auto"/>
            </w:rPr>
            <w:fldChar w:fldCharType="separate"/>
          </w:r>
        </w:p>
        <w:p>
          <w:pPr>
            <w:pStyle w:val="68"/>
            <w:tabs>
              <w:tab w:val="right" w:leader="dot" w:pos="8306"/>
            </w:tabs>
            <w:spacing w:line="240" w:lineRule="atLeast"/>
            <w:rPr>
              <w:color w:val="auto"/>
            </w:rPr>
          </w:pPr>
          <w:r>
            <w:rPr>
              <w:color w:val="auto"/>
            </w:rPr>
            <w:fldChar w:fldCharType="begin"/>
          </w:r>
          <w:r>
            <w:rPr>
              <w:color w:val="auto"/>
            </w:rPr>
            <w:instrText xml:space="preserve"> HYPERLINK \l "_Toc11930" </w:instrText>
          </w:r>
          <w:r>
            <w:rPr>
              <w:color w:val="auto"/>
            </w:rPr>
            <w:fldChar w:fldCharType="separate"/>
          </w:r>
          <w:r>
            <w:rPr>
              <w:rFonts w:hint="eastAsia" w:ascii="仿宋" w:hAnsi="仿宋" w:eastAsia="仿宋" w:cs="仿宋_GB2312"/>
              <w:color w:val="auto"/>
            </w:rPr>
            <w:t>致估价委托人函</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"_Toc5642" </w:instrText>
          </w:r>
          <w:r>
            <w:rPr>
              <w:color w:val="auto"/>
            </w:rPr>
            <w:fldChar w:fldCharType="separate"/>
          </w:r>
          <w:r>
            <w:rPr>
              <w:rFonts w:hint="eastAsia" w:ascii="仿宋" w:hAnsi="仿宋" w:eastAsia="仿宋" w:cs="仿宋_GB2312"/>
              <w:color w:val="auto"/>
            </w:rPr>
            <w:t>估价师声明</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"_Toc8211" </w:instrText>
          </w:r>
          <w:r>
            <w:rPr>
              <w:color w:val="auto"/>
            </w:rPr>
            <w:fldChar w:fldCharType="separate"/>
          </w:r>
          <w:r>
            <w:rPr>
              <w:rFonts w:ascii="仿宋" w:hAnsi="仿宋" w:eastAsia="仿宋" w:cs="仿宋_GB2312"/>
              <w:color w:val="auto"/>
            </w:rPr>
            <w:t>估价假设和限制条件</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"_Toc18519" </w:instrText>
          </w:r>
          <w:r>
            <w:rPr>
              <w:color w:val="auto"/>
            </w:rPr>
            <w:fldChar w:fldCharType="separate"/>
          </w:r>
          <w:r>
            <w:rPr>
              <w:rFonts w:ascii="仿宋" w:hAnsi="仿宋" w:eastAsia="仿宋"/>
              <w:color w:val="auto"/>
            </w:rPr>
            <w:t>一、一般假设</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"_Toc9759" </w:instrText>
          </w:r>
          <w:r>
            <w:rPr>
              <w:color w:val="auto"/>
            </w:rPr>
            <w:fldChar w:fldCharType="separate"/>
          </w:r>
          <w:r>
            <w:rPr>
              <w:rFonts w:ascii="仿宋" w:hAnsi="仿宋" w:eastAsia="仿宋"/>
              <w:color w:val="auto"/>
            </w:rPr>
            <w:t>二、未定事项假设</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"_Toc19453" </w:instrText>
          </w:r>
          <w:r>
            <w:rPr>
              <w:color w:val="auto"/>
            </w:rPr>
            <w:fldChar w:fldCharType="separate"/>
          </w:r>
          <w:r>
            <w:rPr>
              <w:rFonts w:ascii="仿宋" w:hAnsi="仿宋" w:eastAsia="仿宋"/>
              <w:color w:val="auto"/>
            </w:rPr>
            <w:t>三、背离事实假设</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"_Toc5110" </w:instrText>
          </w:r>
          <w:r>
            <w:rPr>
              <w:color w:val="auto"/>
            </w:rPr>
            <w:fldChar w:fldCharType="separate"/>
          </w:r>
          <w:r>
            <w:rPr>
              <w:rFonts w:ascii="仿宋" w:hAnsi="仿宋" w:eastAsia="仿宋"/>
              <w:color w:val="auto"/>
            </w:rPr>
            <w:t>四、不相一致假设</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"_Toc27071" </w:instrText>
          </w:r>
          <w:r>
            <w:rPr>
              <w:color w:val="auto"/>
            </w:rPr>
            <w:fldChar w:fldCharType="separate"/>
          </w:r>
          <w:r>
            <w:rPr>
              <w:rFonts w:ascii="仿宋" w:hAnsi="仿宋" w:eastAsia="仿宋"/>
              <w:color w:val="auto"/>
            </w:rPr>
            <w:t>五、依据不足假设</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"_Toc4087" </w:instrText>
          </w:r>
          <w:r>
            <w:rPr>
              <w:color w:val="auto"/>
            </w:rPr>
            <w:fldChar w:fldCharType="separate"/>
          </w:r>
          <w:r>
            <w:rPr>
              <w:rFonts w:ascii="仿宋" w:hAnsi="仿宋" w:eastAsia="仿宋"/>
              <w:color w:val="auto"/>
            </w:rPr>
            <w:t>六、特别事项说明</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"_Toc21639" </w:instrText>
          </w:r>
          <w:r>
            <w:rPr>
              <w:color w:val="auto"/>
            </w:rPr>
            <w:fldChar w:fldCharType="separate"/>
          </w:r>
          <w:r>
            <w:rPr>
              <w:rFonts w:ascii="仿宋" w:hAnsi="仿宋" w:eastAsia="仿宋"/>
              <w:color w:val="auto"/>
            </w:rPr>
            <w:t>七、估价的限制条件</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"_Toc5984" </w:instrText>
          </w:r>
          <w:r>
            <w:rPr>
              <w:color w:val="auto"/>
            </w:rPr>
            <w:fldChar w:fldCharType="separate"/>
          </w:r>
          <w:r>
            <w:rPr>
              <w:rFonts w:hint="eastAsia" w:ascii="仿宋" w:hAnsi="仿宋" w:eastAsia="仿宋" w:cs="仿宋_GB2312"/>
              <w:color w:val="auto"/>
            </w:rPr>
            <w:t>估价结果报告</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"_Toc15019" </w:instrText>
          </w:r>
          <w:r>
            <w:rPr>
              <w:color w:val="auto"/>
            </w:rPr>
            <w:fldChar w:fldCharType="separate"/>
          </w:r>
          <w:r>
            <w:rPr>
              <w:rFonts w:ascii="仿宋" w:hAnsi="仿宋" w:eastAsia="仿宋" w:cs="仿宋_GB2312"/>
              <w:color w:val="auto"/>
            </w:rPr>
            <w:t>一、估价委托人</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"_Toc29941" </w:instrText>
          </w:r>
          <w:r>
            <w:rPr>
              <w:color w:val="auto"/>
            </w:rPr>
            <w:fldChar w:fldCharType="separate"/>
          </w:r>
          <w:r>
            <w:rPr>
              <w:rFonts w:ascii="仿宋" w:hAnsi="仿宋" w:eastAsia="仿宋" w:cs="仿宋_GB2312"/>
              <w:color w:val="auto"/>
            </w:rPr>
            <w:t>二、估价机构</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"_Toc25215" </w:instrText>
          </w:r>
          <w:r>
            <w:rPr>
              <w:color w:val="auto"/>
            </w:rPr>
            <w:fldChar w:fldCharType="separate"/>
          </w:r>
          <w:r>
            <w:rPr>
              <w:rFonts w:ascii="仿宋" w:hAnsi="仿宋" w:eastAsia="仿宋" w:cs="仿宋_GB2312"/>
              <w:color w:val="auto"/>
            </w:rPr>
            <w:t>三、估价目的</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"_Toc27100" </w:instrText>
          </w:r>
          <w:r>
            <w:rPr>
              <w:color w:val="auto"/>
            </w:rPr>
            <w:fldChar w:fldCharType="separate"/>
          </w:r>
          <w:r>
            <w:rPr>
              <w:rFonts w:ascii="仿宋" w:hAnsi="仿宋" w:eastAsia="仿宋" w:cs="仿宋_GB2312"/>
              <w:color w:val="auto"/>
            </w:rPr>
            <w:t>四、估价对象</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"_Toc13386" </w:instrText>
          </w:r>
          <w:r>
            <w:rPr>
              <w:color w:val="auto"/>
            </w:rPr>
            <w:fldChar w:fldCharType="separate"/>
          </w:r>
          <w:r>
            <w:rPr>
              <w:rFonts w:ascii="仿宋" w:hAnsi="仿宋" w:eastAsia="仿宋" w:cs="仿宋_GB2312"/>
              <w:color w:val="auto"/>
            </w:rPr>
            <w:t>五、价值时点及其确定理由</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"_Toc548" </w:instrText>
          </w:r>
          <w:r>
            <w:rPr>
              <w:color w:val="auto"/>
            </w:rPr>
            <w:fldChar w:fldCharType="separate"/>
          </w:r>
          <w:r>
            <w:rPr>
              <w:rFonts w:ascii="仿宋" w:hAnsi="仿宋" w:eastAsia="仿宋" w:cs="仿宋_GB2312"/>
              <w:color w:val="auto"/>
            </w:rPr>
            <w:t>六、价值定义</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"_Toc25881" </w:instrText>
          </w:r>
          <w:r>
            <w:rPr>
              <w:color w:val="auto"/>
            </w:rPr>
            <w:fldChar w:fldCharType="separate"/>
          </w:r>
          <w:r>
            <w:rPr>
              <w:rFonts w:ascii="仿宋" w:hAnsi="仿宋" w:eastAsia="仿宋" w:cs="仿宋_GB2312"/>
              <w:color w:val="auto"/>
            </w:rPr>
            <w:t>七、估价原则</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"_Toc6878" </w:instrText>
          </w:r>
          <w:r>
            <w:rPr>
              <w:color w:val="auto"/>
            </w:rPr>
            <w:fldChar w:fldCharType="separate"/>
          </w:r>
          <w:r>
            <w:rPr>
              <w:rFonts w:ascii="仿宋" w:hAnsi="仿宋" w:eastAsia="仿宋" w:cs="仿宋_GB2312"/>
              <w:color w:val="auto"/>
            </w:rPr>
            <w:t>八、估价依据</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"_Toc20750" </w:instrText>
          </w:r>
          <w:r>
            <w:rPr>
              <w:color w:val="auto"/>
            </w:rPr>
            <w:fldChar w:fldCharType="separate"/>
          </w:r>
          <w:r>
            <w:rPr>
              <w:rFonts w:ascii="仿宋" w:hAnsi="仿宋" w:eastAsia="仿宋" w:cs="仿宋_GB2312"/>
              <w:color w:val="auto"/>
            </w:rPr>
            <w:t>九、估价方法</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"_Toc3509" </w:instrText>
          </w:r>
          <w:r>
            <w:rPr>
              <w:color w:val="auto"/>
            </w:rPr>
            <w:fldChar w:fldCharType="separate"/>
          </w:r>
          <w:r>
            <w:rPr>
              <w:rFonts w:ascii="仿宋" w:hAnsi="仿宋" w:eastAsia="仿宋" w:cs="仿宋_GB2312"/>
              <w:color w:val="auto"/>
            </w:rPr>
            <w:t>十、估价结果</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"_Toc18699" </w:instrText>
          </w:r>
          <w:r>
            <w:rPr>
              <w:color w:val="auto"/>
            </w:rPr>
            <w:fldChar w:fldCharType="separate"/>
          </w:r>
          <w:r>
            <w:rPr>
              <w:rFonts w:ascii="仿宋" w:hAnsi="仿宋" w:eastAsia="仿宋" w:cs="仿宋_GB2312"/>
              <w:color w:val="auto"/>
            </w:rPr>
            <w:t>十一、注册房地产估价师</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"_Toc22103" </w:instrText>
          </w:r>
          <w:r>
            <w:rPr>
              <w:color w:val="auto"/>
            </w:rPr>
            <w:fldChar w:fldCharType="separate"/>
          </w:r>
          <w:r>
            <w:rPr>
              <w:rFonts w:ascii="仿宋" w:hAnsi="仿宋" w:eastAsia="仿宋" w:cs="仿宋_GB2312"/>
              <w:color w:val="auto"/>
            </w:rPr>
            <w:t>十二、实地查勘期</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"_Toc30456" </w:instrText>
          </w:r>
          <w:r>
            <w:rPr>
              <w:color w:val="auto"/>
            </w:rPr>
            <w:fldChar w:fldCharType="separate"/>
          </w:r>
          <w:r>
            <w:rPr>
              <w:rFonts w:ascii="仿宋" w:hAnsi="仿宋" w:eastAsia="仿宋" w:cs="仿宋_GB2312"/>
              <w:color w:val="auto"/>
            </w:rPr>
            <w:t>十三、估价作业日期</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"_Toc26683" </w:instrText>
          </w:r>
          <w:r>
            <w:rPr>
              <w:color w:val="auto"/>
            </w:rPr>
            <w:fldChar w:fldCharType="separate"/>
          </w:r>
          <w:r>
            <w:rPr>
              <w:rFonts w:ascii="仿宋" w:hAnsi="仿宋" w:eastAsia="仿宋" w:cs="仿宋_GB2312"/>
              <w:color w:val="auto"/>
            </w:rPr>
            <w:t>十四、估价报告应用的有效期</w:t>
          </w:r>
          <w:r>
            <w:rPr>
              <w:color w:val="auto"/>
            </w:rPr>
            <w:tab/>
          </w:r>
          <w:r>
            <w:rPr>
              <w:color w:val="auto"/>
            </w:rPr>
            <w:fldChar w:fldCharType="end"/>
          </w:r>
        </w:p>
        <w:p>
          <w:pPr>
            <w:pStyle w:val="68"/>
            <w:tabs>
              <w:tab w:val="right" w:leader="dot" w:pos="8306"/>
            </w:tabs>
            <w:spacing w:line="240" w:lineRule="atLeast"/>
            <w:rPr>
              <w:color w:val="auto"/>
            </w:rPr>
          </w:pPr>
          <w:r>
            <w:rPr>
              <w:color w:val="auto"/>
            </w:rPr>
            <w:fldChar w:fldCharType="begin"/>
          </w:r>
          <w:r>
            <w:rPr>
              <w:color w:val="auto"/>
            </w:rPr>
            <w:instrText xml:space="preserve"> HYPERLINK \l "_Toc21743" </w:instrText>
          </w:r>
          <w:r>
            <w:rPr>
              <w:color w:val="auto"/>
            </w:rPr>
            <w:fldChar w:fldCharType="separate"/>
          </w:r>
          <w:r>
            <w:rPr>
              <w:rFonts w:hint="eastAsia" w:ascii="仿宋" w:hAnsi="仿宋" w:eastAsia="仿宋" w:cs="仿宋_GB2312"/>
              <w:color w:val="auto"/>
            </w:rPr>
            <w:t>附件</w:t>
          </w:r>
          <w:r>
            <w:rPr>
              <w:rFonts w:ascii="仿宋" w:hAnsi="仿宋" w:eastAsia="仿宋" w:cs="仿宋_GB2312"/>
              <w:color w:val="auto"/>
            </w:rPr>
            <w:t>：</w:t>
          </w:r>
          <w:r>
            <w:rPr>
              <w:color w:val="auto"/>
            </w:rPr>
            <w:tab/>
          </w:r>
          <w:r>
            <w:rPr>
              <w:color w:val="auto"/>
            </w:rPr>
            <w:fldChar w:fldCharType="end"/>
          </w:r>
        </w:p>
        <w:p>
          <w:pPr>
            <w:spacing w:line="240" w:lineRule="atLeast"/>
            <w:rPr>
              <w:color w:val="auto"/>
            </w:rPr>
          </w:pPr>
          <w:r>
            <w:rPr>
              <w:color w:val="auto"/>
            </w:rPr>
            <w:fldChar w:fldCharType="end"/>
          </w:r>
        </w:p>
      </w:sdtContent>
    </w:sdt>
    <w:p>
      <w:pPr>
        <w:pStyle w:val="2"/>
        <w:spacing w:after="312" w:line="400" w:lineRule="exact"/>
        <w:ind w:left="0" w:right="0" w:firstLine="0"/>
        <w:rPr>
          <w:rFonts w:ascii="仿宋" w:hAnsi="仿宋" w:eastAsia="仿宋" w:cs="仿宋_GB2312"/>
          <w:color w:val="auto"/>
        </w:rPr>
      </w:pPr>
      <w:bookmarkStart w:id="18" w:name="_Toc5642"/>
      <w:r>
        <w:rPr>
          <w:rFonts w:hint="eastAsia" w:ascii="仿宋" w:hAnsi="仿宋" w:eastAsia="仿宋" w:cs="仿宋_GB2312"/>
          <w:color w:val="auto"/>
        </w:rPr>
        <w:t>估价师声明</w:t>
      </w:r>
      <w:bookmarkEnd w:id="17"/>
      <w:bookmarkEnd w:id="18"/>
    </w:p>
    <w:p>
      <w:pPr>
        <w:spacing w:line="400" w:lineRule="exact"/>
        <w:rPr>
          <w:rFonts w:ascii="仿宋" w:hAnsi="仿宋" w:eastAsia="仿宋"/>
          <w:color w:val="auto"/>
          <w:szCs w:val="28"/>
        </w:rPr>
      </w:pPr>
      <w:r>
        <w:rPr>
          <w:rFonts w:ascii="仿宋" w:hAnsi="仿宋" w:eastAsia="仿宋"/>
          <w:color w:val="auto"/>
          <w:szCs w:val="28"/>
        </w:rPr>
        <w:t xml:space="preserve"> 我司于</w:t>
      </w:r>
      <w:r>
        <w:rPr>
          <w:rFonts w:ascii="仿宋" w:hAnsi="仿宋" w:eastAsia="仿宋"/>
          <w:color w:val="auto"/>
          <w:szCs w:val="28"/>
        </w:rPr>
        <w:t>20</w:t>
      </w:r>
      <w:r>
        <w:rPr>
          <w:rFonts w:hint="eastAsia" w:ascii="仿宋" w:hAnsi="仿宋" w:eastAsia="仿宋"/>
          <w:color w:val="auto"/>
          <w:szCs w:val="28"/>
        </w:rPr>
        <w:t>20</w:t>
      </w:r>
      <w:r>
        <w:rPr>
          <w:rFonts w:ascii="仿宋" w:hAnsi="仿宋" w:eastAsia="仿宋"/>
          <w:color w:val="auto"/>
          <w:szCs w:val="28"/>
        </w:rPr>
        <w:t>年</w:t>
      </w:r>
      <w:r>
        <w:rPr>
          <w:rFonts w:hint="eastAsia" w:ascii="仿宋" w:hAnsi="仿宋" w:eastAsia="仿宋"/>
          <w:color w:val="auto"/>
          <w:szCs w:val="28"/>
        </w:rPr>
        <w:t>4</w:t>
      </w:r>
      <w:r>
        <w:rPr>
          <w:rFonts w:ascii="仿宋" w:hAnsi="仿宋" w:eastAsia="仿宋"/>
          <w:color w:val="auto"/>
          <w:szCs w:val="28"/>
        </w:rPr>
        <w:t>月</w:t>
      </w:r>
      <w:r>
        <w:rPr>
          <w:rFonts w:hint="eastAsia" w:ascii="仿宋" w:hAnsi="仿宋" w:eastAsia="仿宋"/>
          <w:color w:val="auto"/>
          <w:szCs w:val="28"/>
        </w:rPr>
        <w:t>3日</w:t>
      </w:r>
      <w:r>
        <w:rPr>
          <w:rFonts w:ascii="仿宋" w:hAnsi="仿宋" w:eastAsia="仿宋"/>
          <w:color w:val="auto"/>
          <w:szCs w:val="28"/>
        </w:rPr>
        <w:t>进行了现场查勘，现郑重声明：</w:t>
      </w:r>
    </w:p>
    <w:p>
      <w:pPr>
        <w:spacing w:line="420" w:lineRule="exact"/>
        <w:rPr>
          <w:rFonts w:ascii="仿宋" w:hAnsi="仿宋" w:eastAsia="仿宋"/>
          <w:color w:val="auto"/>
          <w:szCs w:val="28"/>
        </w:rPr>
      </w:pPr>
      <w:r>
        <w:rPr>
          <w:rFonts w:ascii="仿宋" w:hAnsi="仿宋" w:eastAsia="仿宋"/>
          <w:color w:val="auto"/>
          <w:szCs w:val="28"/>
        </w:rPr>
        <w:t xml:space="preserve">    1、我们在本估价报告中陈述的事实是真实的和准确的；</w:t>
      </w:r>
    </w:p>
    <w:p>
      <w:pPr>
        <w:spacing w:line="420" w:lineRule="exact"/>
        <w:rPr>
          <w:rFonts w:ascii="仿宋" w:hAnsi="仿宋" w:eastAsia="仿宋"/>
          <w:color w:val="auto"/>
          <w:szCs w:val="28"/>
        </w:rPr>
      </w:pPr>
      <w:r>
        <w:rPr>
          <w:rFonts w:ascii="仿宋" w:hAnsi="仿宋" w:eastAsia="仿宋"/>
          <w:color w:val="auto"/>
          <w:szCs w:val="28"/>
        </w:rPr>
        <w:t xml:space="preserve">    2、本估价报告中的分析、意见和结论是我们公正的专业分析、意见和结论，但受到本估价报告中已说明的假设和限制条件的限制。有关假设限制条件详见“估价假设和限制条件”以及估价报告正文中的相关说明。对本估价报告揭示的相关事项所引起的法律责任，本估价机构以及估价人员不承担相应责任；</w:t>
      </w:r>
    </w:p>
    <w:p>
      <w:pPr>
        <w:spacing w:line="420" w:lineRule="exact"/>
        <w:rPr>
          <w:rFonts w:ascii="仿宋" w:hAnsi="仿宋" w:eastAsia="仿宋"/>
          <w:color w:val="auto"/>
          <w:szCs w:val="28"/>
        </w:rPr>
      </w:pPr>
      <w:r>
        <w:rPr>
          <w:rFonts w:ascii="仿宋" w:hAnsi="仿宋" w:eastAsia="仿宋"/>
          <w:color w:val="auto"/>
          <w:szCs w:val="28"/>
        </w:rPr>
        <w:t xml:space="preserve">    3、我们与本估价报告中的估价对象没有利害关系，也与有关当事人没有个人利害关系或偏见；</w:t>
      </w:r>
    </w:p>
    <w:p>
      <w:pPr>
        <w:spacing w:line="420" w:lineRule="exact"/>
        <w:rPr>
          <w:rFonts w:ascii="仿宋" w:hAnsi="仿宋" w:eastAsia="仿宋"/>
          <w:color w:val="auto"/>
          <w:szCs w:val="28"/>
        </w:rPr>
      </w:pPr>
      <w:r>
        <w:rPr>
          <w:rFonts w:ascii="仿宋" w:hAnsi="仿宋" w:eastAsia="仿宋"/>
          <w:color w:val="auto"/>
          <w:szCs w:val="28"/>
        </w:rPr>
        <w:t xml:space="preserve">    4、我们依照中华人民共和国国家标准《房地产估价规范》(GB/T50291-2015)形成意见和结论，撰写本估价报告；</w:t>
      </w:r>
    </w:p>
    <w:p>
      <w:pPr>
        <w:spacing w:line="420" w:lineRule="exact"/>
        <w:rPr>
          <w:rFonts w:ascii="仿宋" w:hAnsi="仿宋" w:eastAsia="仿宋"/>
          <w:color w:val="auto"/>
          <w:szCs w:val="28"/>
        </w:rPr>
      </w:pPr>
      <w:r>
        <w:rPr>
          <w:rFonts w:ascii="仿宋" w:hAnsi="仿宋" w:eastAsia="仿宋"/>
          <w:color w:val="auto"/>
          <w:szCs w:val="28"/>
        </w:rPr>
        <w:t xml:space="preserve">    5、本公司估价师仅对委托人指定的估价对象范围进行了实地踏勘，但我们对估价对象的现场勘察仅限于其外观和使用状况，对被遮盖、未暴露及难以接触到的部分，依据委托人提供的资料以及当前建筑行业一般标准或相关规范进行评估，相关权属资料仅以委托人提供的复印件为基础进行了一般性核对；</w:t>
      </w:r>
    </w:p>
    <w:p>
      <w:pPr>
        <w:spacing w:line="380" w:lineRule="exact"/>
        <w:rPr>
          <w:rFonts w:ascii="仿宋" w:hAnsi="仿宋" w:eastAsia="仿宋"/>
          <w:color w:val="auto"/>
          <w:szCs w:val="28"/>
        </w:rPr>
      </w:pPr>
      <w:r>
        <w:rPr>
          <w:rFonts w:ascii="仿宋" w:hAnsi="仿宋" w:eastAsia="仿宋"/>
          <w:color w:val="auto"/>
          <w:szCs w:val="28"/>
        </w:rPr>
        <w:t xml:space="preserve">    6、没有其他专业机构或个人对本估价报告提供重要的专业帮助；</w:t>
      </w:r>
    </w:p>
    <w:p>
      <w:pPr>
        <w:spacing w:line="380" w:lineRule="exact"/>
        <w:rPr>
          <w:rFonts w:ascii="仿宋" w:hAnsi="仿宋" w:eastAsia="仿宋"/>
          <w:color w:val="auto"/>
          <w:szCs w:val="28"/>
        </w:rPr>
      </w:pPr>
      <w:r>
        <w:rPr>
          <w:rFonts w:ascii="仿宋" w:hAnsi="仿宋" w:eastAsia="仿宋"/>
          <w:color w:val="auto"/>
          <w:szCs w:val="28"/>
        </w:rPr>
        <w:t xml:space="preserve">    7、本估价报告仅为委托人了解市场价值以执行案件提供价值参考而出具的，但受本估价机构估价人员的职业水平和能力的影响；</w:t>
      </w:r>
    </w:p>
    <w:p>
      <w:pPr>
        <w:spacing w:line="380" w:lineRule="exact"/>
        <w:rPr>
          <w:rFonts w:ascii="仿宋" w:hAnsi="仿宋" w:eastAsia="仿宋"/>
          <w:color w:val="auto"/>
          <w:szCs w:val="28"/>
        </w:rPr>
      </w:pPr>
      <w:r>
        <w:rPr>
          <w:rFonts w:ascii="仿宋" w:hAnsi="仿宋" w:eastAsia="仿宋"/>
          <w:color w:val="auto"/>
          <w:szCs w:val="28"/>
        </w:rPr>
        <w:t xml:space="preserve">    8、其他声明事项：出于职业责任，我们与委托人进行必要沟通，避免对本估价报告使用不当的情况发生，提示估价报告使用者合理并恰当使用估价报告，并声明不承担相关当事人决策的责任；</w:t>
      </w:r>
    </w:p>
    <w:p>
      <w:pPr>
        <w:spacing w:line="380" w:lineRule="exact"/>
        <w:ind w:firstLine="560"/>
        <w:rPr>
          <w:color w:val="auto"/>
          <w:sz w:val="40"/>
        </w:rPr>
      </w:pPr>
      <w:r>
        <w:rPr>
          <w:rFonts w:ascii="仿宋" w:hAnsi="仿宋" w:eastAsia="仿宋"/>
          <w:color w:val="auto"/>
          <w:szCs w:val="28"/>
        </w:rPr>
        <w:t>9、未经本估价机构书面同意，本报告的全部或任何一部分均不得向委托人、报告使用者、报告审查部门以外的单位和个人提供，也不得以任何形式公开发表。</w:t>
      </w:r>
      <w:bookmarkStart w:id="19" w:name="_Toc4748_WPSOffice_Level1"/>
      <w:bookmarkStart w:id="20" w:name="_Toc2941157"/>
      <w:bookmarkStart w:id="21" w:name="_Toc8211"/>
    </w:p>
    <w:p>
      <w:pPr>
        <w:pStyle w:val="2"/>
        <w:spacing w:after="312"/>
        <w:ind w:left="0" w:right="0" w:firstLine="0"/>
        <w:rPr>
          <w:rFonts w:ascii="仿宋" w:hAnsi="仿宋" w:eastAsia="仿宋" w:cs="仿宋_GB2312"/>
          <w:color w:val="auto"/>
        </w:rPr>
      </w:pPr>
      <w:r>
        <w:rPr>
          <w:rFonts w:ascii="仿宋" w:hAnsi="仿宋" w:eastAsia="仿宋" w:cs="仿宋_GB2312"/>
          <w:color w:val="auto"/>
        </w:rPr>
        <w:t>估价假设和限制条件</w:t>
      </w:r>
      <w:bookmarkEnd w:id="19"/>
      <w:bookmarkEnd w:id="20"/>
      <w:bookmarkEnd w:id="21"/>
    </w:p>
    <w:p>
      <w:pPr>
        <w:pStyle w:val="3"/>
        <w:tabs>
          <w:tab w:val="left" w:pos="975"/>
        </w:tabs>
        <w:spacing w:before="312" w:after="312"/>
        <w:rPr>
          <w:rFonts w:hint="default" w:ascii="仿宋" w:hAnsi="仿宋" w:eastAsia="仿宋"/>
          <w:color w:val="auto"/>
        </w:rPr>
      </w:pPr>
      <w:bookmarkStart w:id="22" w:name="_Toc19549203"/>
      <w:bookmarkStart w:id="23" w:name="_Toc18519"/>
      <w:bookmarkStart w:id="24" w:name="_Toc19570_WPSOffice_Level1"/>
      <w:bookmarkStart w:id="25" w:name="_Toc18920950"/>
      <w:bookmarkStart w:id="26" w:name="_Toc2941158"/>
      <w:r>
        <w:rPr>
          <w:rFonts w:ascii="仿宋" w:hAnsi="仿宋" w:eastAsia="仿宋"/>
          <w:color w:val="auto"/>
        </w:rPr>
        <w:t>一、一般假设</w:t>
      </w:r>
      <w:bookmarkEnd w:id="22"/>
      <w:bookmarkEnd w:id="23"/>
      <w:bookmarkEnd w:id="24"/>
      <w:bookmarkEnd w:id="25"/>
      <w:bookmarkEnd w:id="26"/>
    </w:p>
    <w:p>
      <w:pPr>
        <w:pStyle w:val="6"/>
        <w:spacing w:line="500" w:lineRule="exact"/>
        <w:ind w:left="125" w:firstLine="560" w:firstLineChars="200"/>
        <w:rPr>
          <w:rFonts w:ascii="仿宋" w:hAnsi="仿宋_GB2312" w:eastAsia="仿宋_GB2312"/>
          <w:color w:val="auto"/>
          <w:sz w:val="28"/>
          <w:szCs w:val="28"/>
        </w:rPr>
      </w:pPr>
      <w:r>
        <w:rPr>
          <w:rFonts w:ascii="仿宋" w:hAnsi="仿宋" w:eastAsia="仿宋"/>
          <w:color w:val="auto"/>
          <w:sz w:val="28"/>
          <w:szCs w:val="28"/>
        </w:rPr>
        <w:t>1、本估价报告的估价结果采用公开市场价值标准，价值时点的房地产市场为正常、公平和公开的市场。</w:t>
      </w:r>
    </w:p>
    <w:p>
      <w:pPr>
        <w:pStyle w:val="6"/>
        <w:spacing w:line="500" w:lineRule="exact"/>
        <w:ind w:left="125" w:firstLine="556" w:firstLineChars="200"/>
        <w:rPr>
          <w:rFonts w:ascii="仿宋" w:hAnsi="仿宋_GB2312" w:eastAsia="仿宋_GB2312"/>
          <w:color w:val="auto"/>
          <w:sz w:val="28"/>
          <w:szCs w:val="28"/>
        </w:rPr>
      </w:pPr>
      <w:r>
        <w:rPr>
          <w:rFonts w:ascii="仿宋" w:hAnsi="仿宋" w:eastAsia="仿宋"/>
          <w:color w:val="auto"/>
          <w:spacing w:val="-1"/>
          <w:sz w:val="28"/>
          <w:szCs w:val="28"/>
        </w:rPr>
        <w:t>2、不考虑特殊买家或关联方交易，也不考虑估价对象合并、分割等特殊交易；交易双方所</w:t>
      </w:r>
      <w:r>
        <w:rPr>
          <w:rFonts w:ascii="仿宋" w:hAnsi="仿宋" w:eastAsia="仿宋"/>
          <w:color w:val="auto"/>
          <w:sz w:val="28"/>
          <w:szCs w:val="28"/>
        </w:rPr>
        <w:t>获信息是平等或对称的，并谨慎对待出售房地产及相关权益。</w:t>
      </w:r>
    </w:p>
    <w:p>
      <w:pPr>
        <w:pStyle w:val="6"/>
        <w:spacing w:line="500" w:lineRule="exact"/>
        <w:ind w:left="125" w:firstLine="556" w:firstLineChars="200"/>
        <w:rPr>
          <w:rFonts w:ascii="仿宋" w:hAnsi="仿宋_GB2312" w:eastAsia="仿宋_GB2312"/>
          <w:color w:val="auto"/>
          <w:sz w:val="28"/>
          <w:szCs w:val="28"/>
        </w:rPr>
      </w:pPr>
      <w:r>
        <w:rPr>
          <w:rFonts w:ascii="仿宋" w:hAnsi="仿宋" w:eastAsia="仿宋"/>
          <w:color w:val="auto"/>
          <w:spacing w:val="-1"/>
          <w:sz w:val="28"/>
          <w:szCs w:val="28"/>
        </w:rPr>
        <w:t>3、权属方合法取得估价对象相关权益并支付有关税费，估价对象无产权纠纷和他项权利限</w:t>
      </w:r>
      <w:r>
        <w:rPr>
          <w:rFonts w:ascii="仿宋" w:hAnsi="仿宋" w:eastAsia="仿宋"/>
          <w:color w:val="auto"/>
          <w:sz w:val="28"/>
          <w:szCs w:val="28"/>
        </w:rPr>
        <w:t>制，任何有关估价对象的运作方式、程序完全符合国家和地方的有关法律法规和建设规划、使用条件规本报告评估是对估价对象在法定用途、状态不变并持续使用，在价值时点的外部经济环境前提下为本报告书所列明的目的和假设限制条件下的现行公开市场价值条件进行的，无特殊指定情况下，计价金额以人民币元为单位。</w:t>
      </w:r>
    </w:p>
    <w:p>
      <w:pPr>
        <w:pStyle w:val="3"/>
        <w:tabs>
          <w:tab w:val="left" w:pos="975"/>
        </w:tabs>
        <w:spacing w:before="312" w:after="312"/>
        <w:rPr>
          <w:rFonts w:hint="default" w:ascii="仿宋" w:hAnsi="仿宋" w:eastAsia="仿宋"/>
          <w:color w:val="auto"/>
        </w:rPr>
      </w:pPr>
      <w:bookmarkStart w:id="27" w:name="_Toc9759"/>
      <w:bookmarkStart w:id="28" w:name="_Toc19549204"/>
      <w:bookmarkStart w:id="29" w:name="_Toc20661_WPSOffice_Level1"/>
      <w:bookmarkStart w:id="30" w:name="_Toc18920951"/>
      <w:bookmarkStart w:id="31" w:name="_Toc2941159"/>
      <w:r>
        <w:rPr>
          <w:rFonts w:ascii="仿宋" w:hAnsi="仿宋" w:eastAsia="仿宋"/>
          <w:color w:val="auto"/>
        </w:rPr>
        <w:t>二、未定事项假设</w:t>
      </w:r>
      <w:bookmarkEnd w:id="27"/>
      <w:bookmarkEnd w:id="28"/>
      <w:bookmarkEnd w:id="29"/>
      <w:bookmarkEnd w:id="30"/>
      <w:bookmarkEnd w:id="31"/>
    </w:p>
    <w:p>
      <w:pPr>
        <w:rPr>
          <w:rFonts w:ascii="仿宋" w:hAnsi="仿宋" w:eastAsia="仿宋"/>
          <w:color w:val="auto"/>
          <w:szCs w:val="28"/>
        </w:rPr>
      </w:pPr>
      <w:r>
        <w:rPr>
          <w:rFonts w:ascii="仿宋" w:hAnsi="仿宋" w:eastAsia="仿宋"/>
          <w:color w:val="auto"/>
          <w:szCs w:val="28"/>
        </w:rPr>
        <w:t xml:space="preserve">    无。</w:t>
      </w:r>
    </w:p>
    <w:p>
      <w:pPr>
        <w:pStyle w:val="3"/>
        <w:tabs>
          <w:tab w:val="left" w:pos="975"/>
        </w:tabs>
        <w:spacing w:before="312" w:after="312"/>
        <w:rPr>
          <w:rFonts w:hint="default" w:ascii="仿宋" w:hAnsi="仿宋" w:eastAsia="仿宋"/>
          <w:color w:val="auto"/>
        </w:rPr>
      </w:pPr>
      <w:bookmarkStart w:id="32" w:name="_Toc18920952"/>
      <w:bookmarkStart w:id="33" w:name="_Toc19453"/>
      <w:bookmarkStart w:id="34" w:name="_Toc2941160"/>
      <w:bookmarkStart w:id="35" w:name="_Toc19549205"/>
      <w:bookmarkStart w:id="36" w:name="_Toc2874_WPSOffice_Level1"/>
      <w:r>
        <w:rPr>
          <w:rFonts w:ascii="仿宋" w:hAnsi="仿宋" w:eastAsia="仿宋"/>
          <w:color w:val="auto"/>
        </w:rPr>
        <w:t>三、背离事实假设</w:t>
      </w:r>
      <w:bookmarkEnd w:id="32"/>
      <w:bookmarkEnd w:id="33"/>
      <w:bookmarkEnd w:id="34"/>
      <w:bookmarkEnd w:id="35"/>
      <w:bookmarkEnd w:id="36"/>
    </w:p>
    <w:p>
      <w:pPr>
        <w:rPr>
          <w:rFonts w:ascii="仿宋" w:hAnsi="仿宋" w:eastAsia="仿宋"/>
          <w:color w:val="auto"/>
          <w:szCs w:val="28"/>
        </w:rPr>
      </w:pPr>
      <w:r>
        <w:rPr>
          <w:rFonts w:ascii="仿宋" w:hAnsi="仿宋" w:eastAsia="仿宋"/>
          <w:color w:val="auto"/>
          <w:szCs w:val="28"/>
        </w:rPr>
        <w:t xml:space="preserve">    无。</w:t>
      </w:r>
    </w:p>
    <w:p>
      <w:pPr>
        <w:pStyle w:val="3"/>
        <w:tabs>
          <w:tab w:val="left" w:pos="975"/>
        </w:tabs>
        <w:spacing w:before="312" w:after="312"/>
        <w:rPr>
          <w:rFonts w:hint="default" w:ascii="仿宋" w:hAnsi="仿宋" w:eastAsia="仿宋"/>
          <w:color w:val="auto"/>
        </w:rPr>
      </w:pPr>
      <w:bookmarkStart w:id="37" w:name="_Toc11821_WPSOffice_Level1"/>
      <w:bookmarkStart w:id="38" w:name="_Toc18920953"/>
      <w:bookmarkStart w:id="39" w:name="_Toc5110"/>
      <w:bookmarkStart w:id="40" w:name="_Toc2941161"/>
      <w:bookmarkStart w:id="41" w:name="_Toc19549206"/>
      <w:r>
        <w:rPr>
          <w:rFonts w:ascii="仿宋" w:hAnsi="仿宋" w:eastAsia="仿宋"/>
          <w:color w:val="auto"/>
        </w:rPr>
        <w:t>四、不相一致假设</w:t>
      </w:r>
      <w:bookmarkEnd w:id="37"/>
      <w:bookmarkEnd w:id="38"/>
      <w:bookmarkEnd w:id="39"/>
      <w:bookmarkEnd w:id="40"/>
      <w:bookmarkEnd w:id="41"/>
    </w:p>
    <w:p>
      <w:pPr>
        <w:spacing w:line="500" w:lineRule="exact"/>
        <w:ind w:firstLine="556"/>
        <w:rPr>
          <w:rFonts w:ascii="仿宋" w:hAnsi="仿宋" w:eastAsia="仿宋"/>
          <w:color w:val="auto"/>
          <w:szCs w:val="28"/>
        </w:rPr>
      </w:pPr>
      <w:r>
        <w:rPr>
          <w:rFonts w:ascii="仿宋" w:hAnsi="仿宋" w:eastAsia="仿宋"/>
          <w:color w:val="auto"/>
          <w:szCs w:val="28"/>
        </w:rPr>
        <w:t>无。</w:t>
      </w:r>
    </w:p>
    <w:p>
      <w:pPr>
        <w:pStyle w:val="3"/>
        <w:tabs>
          <w:tab w:val="left" w:pos="975"/>
        </w:tabs>
        <w:spacing w:before="312" w:after="312"/>
        <w:rPr>
          <w:rFonts w:hint="default" w:ascii="仿宋" w:hAnsi="仿宋" w:eastAsia="仿宋"/>
          <w:color w:val="auto"/>
        </w:rPr>
      </w:pPr>
      <w:bookmarkStart w:id="42" w:name="_Toc2941162"/>
      <w:bookmarkStart w:id="43" w:name="_Toc5246_WPSOffice_Level1"/>
      <w:bookmarkStart w:id="44" w:name="_Toc18920954"/>
      <w:bookmarkStart w:id="45" w:name="_Toc19549207"/>
      <w:bookmarkStart w:id="46" w:name="_Toc27071"/>
      <w:r>
        <w:rPr>
          <w:rFonts w:ascii="仿宋" w:hAnsi="仿宋" w:eastAsia="仿宋"/>
          <w:color w:val="auto"/>
        </w:rPr>
        <w:t>五、依据不足假设</w:t>
      </w:r>
      <w:bookmarkEnd w:id="42"/>
      <w:bookmarkEnd w:id="43"/>
      <w:bookmarkEnd w:id="44"/>
      <w:bookmarkEnd w:id="45"/>
      <w:bookmarkEnd w:id="46"/>
    </w:p>
    <w:p>
      <w:pPr>
        <w:pStyle w:val="6"/>
        <w:spacing w:before="110" w:line="500" w:lineRule="exact"/>
        <w:ind w:firstLine="560"/>
        <w:rPr>
          <w:rFonts w:ascii="仿宋" w:hAnsi="仿宋_GB2312" w:eastAsia="仿宋_GB2312"/>
          <w:color w:val="auto"/>
          <w:sz w:val="28"/>
          <w:szCs w:val="28"/>
        </w:rPr>
      </w:pPr>
      <w:r>
        <w:rPr>
          <w:rFonts w:ascii="仿宋" w:hAnsi="仿宋" w:eastAsia="仿宋"/>
          <w:color w:val="auto"/>
          <w:sz w:val="28"/>
          <w:szCs w:val="28"/>
        </w:rPr>
        <w:t>无。</w:t>
      </w:r>
    </w:p>
    <w:p>
      <w:pPr>
        <w:pStyle w:val="3"/>
        <w:tabs>
          <w:tab w:val="left" w:pos="975"/>
        </w:tabs>
        <w:spacing w:before="312" w:after="312"/>
        <w:rPr>
          <w:rFonts w:hint="default" w:ascii="仿宋" w:hAnsi="仿宋" w:eastAsia="仿宋"/>
          <w:color w:val="auto"/>
        </w:rPr>
      </w:pPr>
      <w:bookmarkStart w:id="47" w:name="_Toc2941163"/>
      <w:bookmarkStart w:id="48" w:name="_Toc24571_WPSOffice_Level1"/>
      <w:bookmarkStart w:id="49" w:name="_Toc19549208"/>
      <w:bookmarkStart w:id="50" w:name="_Toc4087"/>
      <w:bookmarkStart w:id="51" w:name="_Toc18920955"/>
      <w:r>
        <w:rPr>
          <w:rFonts w:ascii="仿宋" w:hAnsi="仿宋" w:eastAsia="仿宋"/>
          <w:color w:val="auto"/>
        </w:rPr>
        <w:t>六、特别事项说明</w:t>
      </w:r>
      <w:bookmarkEnd w:id="47"/>
      <w:bookmarkEnd w:id="48"/>
      <w:bookmarkEnd w:id="49"/>
      <w:bookmarkEnd w:id="50"/>
      <w:bookmarkEnd w:id="51"/>
    </w:p>
    <w:p>
      <w:pPr>
        <w:pStyle w:val="6"/>
        <w:spacing w:line="500" w:lineRule="exact"/>
        <w:ind w:left="0" w:firstLine="560" w:firstLineChars="200"/>
        <w:rPr>
          <w:rFonts w:ascii="仿宋" w:hAnsi="仿宋" w:eastAsia="仿宋" w:cs="仿宋_GB2312"/>
          <w:color w:val="auto"/>
          <w:sz w:val="28"/>
          <w:szCs w:val="28"/>
        </w:rPr>
      </w:pPr>
      <w:bookmarkStart w:id="52" w:name="_Toc18920956"/>
      <w:bookmarkStart w:id="53" w:name="_Toc2941164"/>
      <w:bookmarkStart w:id="54" w:name="_Toc19549209"/>
      <w:bookmarkStart w:id="55" w:name="_Toc32353_WPSOffice_Level1"/>
      <w:r>
        <w:rPr>
          <w:rFonts w:hint="eastAsia" w:ascii="仿宋" w:hAnsi="仿宋" w:eastAsia="仿宋" w:cs="仿宋_GB2312"/>
          <w:color w:val="auto"/>
          <w:sz w:val="28"/>
          <w:szCs w:val="28"/>
        </w:rPr>
        <w:t>1、本次</w:t>
      </w:r>
      <w:r>
        <w:rPr>
          <w:rFonts w:ascii="仿宋" w:hAnsi="仿宋" w:eastAsia="仿宋" w:cs="仿宋_GB2312"/>
          <w:color w:val="auto"/>
          <w:sz w:val="28"/>
          <w:szCs w:val="28"/>
        </w:rPr>
        <w:t>权属</w:t>
      </w:r>
      <w:r>
        <w:rPr>
          <w:rFonts w:hint="eastAsia" w:ascii="仿宋" w:hAnsi="仿宋" w:eastAsia="仿宋" w:cs="仿宋_GB2312"/>
          <w:color w:val="auto"/>
          <w:sz w:val="28"/>
          <w:szCs w:val="28"/>
        </w:rPr>
        <w:t>由委托人提供的房权证</w:t>
      </w:r>
      <w:r>
        <w:rPr>
          <w:rFonts w:hint="eastAsia" w:ascii="仿宋" w:hAnsi="仿宋" w:eastAsia="仿宋" w:cs="仿宋_GB2312"/>
          <w:color w:val="auto"/>
          <w:spacing w:val="-1"/>
          <w:sz w:val="28"/>
          <w:szCs w:val="28"/>
        </w:rPr>
        <w:t>资料</w:t>
      </w:r>
      <w:r>
        <w:rPr>
          <w:rFonts w:hint="eastAsia" w:ascii="仿宋" w:hAnsi="仿宋" w:eastAsia="仿宋" w:cs="仿宋_GB2312"/>
          <w:color w:val="auto"/>
          <w:sz w:val="28"/>
          <w:szCs w:val="28"/>
        </w:rPr>
        <w:t>中登载的相关内容为依据进行</w:t>
      </w:r>
      <w:r>
        <w:rPr>
          <w:rFonts w:ascii="仿宋" w:hAnsi="仿宋" w:eastAsia="仿宋" w:cs="仿宋_GB2312"/>
          <w:color w:val="auto"/>
          <w:sz w:val="28"/>
          <w:szCs w:val="28"/>
        </w:rPr>
        <w:t>。</w:t>
      </w:r>
    </w:p>
    <w:p>
      <w:pPr>
        <w:pStyle w:val="6"/>
        <w:spacing w:line="500" w:lineRule="exact"/>
        <w:ind w:left="0"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2、估价对象为住宅用途房地产，目前在使用状态</w:t>
      </w:r>
      <w:r>
        <w:rPr>
          <w:rFonts w:ascii="仿宋" w:hAnsi="仿宋" w:eastAsia="仿宋" w:cs="仿宋_GB2312"/>
          <w:color w:val="auto"/>
          <w:sz w:val="28"/>
          <w:szCs w:val="28"/>
        </w:rPr>
        <w:t>中</w:t>
      </w:r>
      <w:r>
        <w:rPr>
          <w:rFonts w:hint="eastAsia" w:ascii="仿宋" w:hAnsi="仿宋" w:eastAsia="仿宋" w:cs="仿宋_GB2312"/>
          <w:color w:val="auto"/>
          <w:sz w:val="28"/>
          <w:szCs w:val="28"/>
        </w:rPr>
        <w:t>，未见</w:t>
      </w:r>
      <w:r>
        <w:rPr>
          <w:rFonts w:ascii="仿宋" w:hAnsi="仿宋" w:eastAsia="仿宋" w:cs="仿宋_GB2312"/>
          <w:color w:val="auto"/>
          <w:sz w:val="28"/>
          <w:szCs w:val="28"/>
        </w:rPr>
        <w:t>租约，</w:t>
      </w:r>
      <w:r>
        <w:rPr>
          <w:rFonts w:hint="eastAsia" w:ascii="仿宋" w:hAnsi="仿宋" w:eastAsia="仿宋" w:cs="仿宋_GB2312"/>
          <w:color w:val="auto"/>
          <w:sz w:val="28"/>
          <w:szCs w:val="28"/>
        </w:rPr>
        <w:t>因此本次评估不考虑已签租约对评估价值的限制性影响。</w:t>
      </w:r>
    </w:p>
    <w:p>
      <w:pPr>
        <w:pStyle w:val="6"/>
        <w:spacing w:line="500" w:lineRule="exact"/>
        <w:ind w:left="0"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3.估价对象房产登记坐落在“云岩区大营坡塘家湾”，现场实勘所见估价对象坐落在“云岩区大营坡向阳路9号”。</w:t>
      </w:r>
    </w:p>
    <w:p>
      <w:pPr>
        <w:pStyle w:val="6"/>
        <w:spacing w:line="500" w:lineRule="exact"/>
        <w:ind w:left="0"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4.现场由委托方领勘且被执行人在场，估价对象由委托方与被执行方现场参与确认。</w:t>
      </w:r>
    </w:p>
    <w:p>
      <w:pPr>
        <w:pStyle w:val="3"/>
        <w:tabs>
          <w:tab w:val="left" w:pos="975"/>
        </w:tabs>
        <w:spacing w:before="312" w:after="312"/>
        <w:rPr>
          <w:rFonts w:hint="default" w:ascii="仿宋" w:hAnsi="仿宋" w:eastAsia="仿宋"/>
          <w:color w:val="auto"/>
        </w:rPr>
      </w:pPr>
      <w:bookmarkStart w:id="56" w:name="_Toc21639"/>
      <w:r>
        <w:rPr>
          <w:rFonts w:ascii="仿宋" w:hAnsi="仿宋" w:eastAsia="仿宋"/>
          <w:color w:val="auto"/>
        </w:rPr>
        <w:t>七、估价的限制条件</w:t>
      </w:r>
      <w:bookmarkEnd w:id="52"/>
      <w:bookmarkEnd w:id="53"/>
      <w:bookmarkEnd w:id="54"/>
      <w:bookmarkEnd w:id="55"/>
      <w:bookmarkEnd w:id="56"/>
    </w:p>
    <w:p>
      <w:pPr>
        <w:pStyle w:val="6"/>
        <w:spacing w:line="500" w:lineRule="exact"/>
        <w:ind w:firstLine="560"/>
        <w:rPr>
          <w:rFonts w:ascii="仿宋" w:hAnsi="仿宋_GB2312" w:eastAsia="仿宋_GB2312"/>
          <w:color w:val="auto"/>
          <w:sz w:val="28"/>
          <w:szCs w:val="28"/>
        </w:rPr>
      </w:pPr>
      <w:r>
        <w:rPr>
          <w:rFonts w:ascii="仿宋" w:hAnsi="仿宋" w:eastAsia="仿宋"/>
          <w:color w:val="auto"/>
          <w:sz w:val="28"/>
          <w:szCs w:val="28"/>
        </w:rPr>
        <w:t>1、本报告估价结果为估价对象在价值时点的市场价值，该估价结果只为委托人了解市场价值以执行案件提供价值参考依据，不做其他用途，其他用途的运用均属无效。</w:t>
      </w:r>
    </w:p>
    <w:p>
      <w:pPr>
        <w:pStyle w:val="6"/>
        <w:spacing w:line="500" w:lineRule="exact"/>
        <w:ind w:firstLine="560"/>
        <w:rPr>
          <w:rFonts w:ascii="仿宋" w:hAnsi="仿宋" w:eastAsia="仿宋"/>
          <w:color w:val="auto"/>
          <w:sz w:val="28"/>
          <w:szCs w:val="28"/>
        </w:rPr>
      </w:pPr>
      <w:r>
        <w:rPr>
          <w:rFonts w:ascii="仿宋" w:hAnsi="仿宋" w:eastAsia="仿宋"/>
          <w:color w:val="auto"/>
          <w:sz w:val="28"/>
          <w:szCs w:val="28"/>
        </w:rPr>
        <w:t>2、在房地产市场没有发生重大变化的前提下，本估价报告的有效期为一年，</w:t>
      </w:r>
      <w:r>
        <w:rPr>
          <w:rFonts w:ascii="仿宋" w:hAnsi="仿宋" w:eastAsia="仿宋"/>
          <w:color w:val="auto"/>
          <w:sz w:val="28"/>
          <w:szCs w:val="28"/>
        </w:rPr>
        <w:t>即自2020年</w:t>
      </w:r>
      <w:r>
        <w:rPr>
          <w:rFonts w:hint="eastAsia" w:ascii="仿宋" w:hAnsi="仿宋" w:eastAsia="仿宋"/>
          <w:color w:val="auto"/>
          <w:sz w:val="28"/>
          <w:szCs w:val="28"/>
        </w:rPr>
        <w:t>4</w:t>
      </w:r>
      <w:r>
        <w:rPr>
          <w:rFonts w:ascii="仿宋" w:hAnsi="仿宋" w:eastAsia="仿宋"/>
          <w:color w:val="auto"/>
          <w:sz w:val="28"/>
          <w:szCs w:val="28"/>
        </w:rPr>
        <w:t>月</w:t>
      </w:r>
      <w:r>
        <w:rPr>
          <w:rFonts w:hint="eastAsia" w:ascii="仿宋" w:hAnsi="仿宋" w:eastAsia="仿宋"/>
          <w:color w:val="auto"/>
          <w:sz w:val="28"/>
          <w:szCs w:val="28"/>
        </w:rPr>
        <w:t>10</w:t>
      </w:r>
      <w:r>
        <w:rPr>
          <w:rFonts w:ascii="仿宋" w:hAnsi="仿宋" w:eastAsia="仿宋"/>
          <w:color w:val="auto"/>
          <w:sz w:val="28"/>
          <w:szCs w:val="28"/>
        </w:rPr>
        <w:t>日至2021年</w:t>
      </w:r>
      <w:r>
        <w:rPr>
          <w:rFonts w:hint="eastAsia" w:ascii="仿宋" w:hAnsi="仿宋" w:eastAsia="仿宋"/>
          <w:color w:val="auto"/>
          <w:sz w:val="28"/>
          <w:szCs w:val="28"/>
        </w:rPr>
        <w:t>4</w:t>
      </w:r>
      <w:r>
        <w:rPr>
          <w:rFonts w:ascii="仿宋" w:hAnsi="仿宋" w:eastAsia="仿宋"/>
          <w:color w:val="auto"/>
          <w:sz w:val="28"/>
          <w:szCs w:val="28"/>
        </w:rPr>
        <w:t>月</w:t>
      </w:r>
      <w:r>
        <w:rPr>
          <w:rFonts w:hint="eastAsia" w:ascii="仿宋" w:hAnsi="仿宋" w:eastAsia="仿宋"/>
          <w:color w:val="auto"/>
          <w:sz w:val="28"/>
          <w:szCs w:val="28"/>
        </w:rPr>
        <w:t>9</w:t>
      </w:r>
      <w:r>
        <w:rPr>
          <w:rFonts w:ascii="仿宋" w:hAnsi="仿宋" w:eastAsia="仿宋"/>
          <w:color w:val="auto"/>
          <w:sz w:val="28"/>
          <w:szCs w:val="28"/>
        </w:rPr>
        <w:t>日止</w:t>
      </w:r>
      <w:r>
        <w:rPr>
          <w:rFonts w:ascii="仿宋" w:hAnsi="仿宋" w:eastAsia="仿宋"/>
          <w:color w:val="auto"/>
          <w:sz w:val="28"/>
          <w:szCs w:val="28"/>
        </w:rPr>
        <w:t>。如超过有效期或价值时点之后、有效期之内估价对象或国家经济形势、城市规划、房地产税费政策等发生变化，对估价结果产生明显影响时，委托人应及时聘请房地产评估机构对估价结果作相应调整或重新估价。</w:t>
      </w:r>
    </w:p>
    <w:p>
      <w:pPr>
        <w:pStyle w:val="6"/>
        <w:spacing w:line="500" w:lineRule="exact"/>
        <w:ind w:firstLine="560"/>
        <w:rPr>
          <w:rFonts w:ascii="仿宋" w:hAnsi="仿宋" w:eastAsia="仿宋"/>
          <w:color w:val="auto"/>
          <w:sz w:val="28"/>
          <w:szCs w:val="28"/>
        </w:rPr>
      </w:pPr>
      <w:r>
        <w:rPr>
          <w:rFonts w:ascii="仿宋" w:hAnsi="仿宋" w:eastAsia="仿宋"/>
          <w:color w:val="auto"/>
          <w:sz w:val="28"/>
          <w:szCs w:val="28"/>
        </w:rPr>
        <w:t>3、本次估价中运用的法律权属及其证明资料（复印件）均由委托人</w:t>
      </w:r>
      <w:r>
        <w:rPr>
          <w:rFonts w:hint="eastAsia" w:ascii="仿宋" w:hAnsi="仿宋" w:eastAsia="仿宋"/>
          <w:color w:val="auto"/>
          <w:sz w:val="28"/>
          <w:szCs w:val="28"/>
        </w:rPr>
        <w:t>及被申请人</w:t>
      </w:r>
      <w:r>
        <w:rPr>
          <w:rFonts w:ascii="仿宋" w:hAnsi="仿宋" w:eastAsia="仿宋"/>
          <w:color w:val="auto"/>
          <w:sz w:val="28"/>
          <w:szCs w:val="28"/>
        </w:rPr>
        <w:t>提供，本公司估价人员未能见原件，也未向政府有关部门核实，委托人和相关当事方承担如实告知的责任，对其所提供全部资料的真实性、合法性及合理使用估价报告负责；建议有关法律权属及其证明资料的确定最终以有权机关确认为准，若与委托人向我们提供的资料存在差异，本公司保留对报告书的修正权。</w:t>
      </w:r>
    </w:p>
    <w:p>
      <w:pPr>
        <w:pStyle w:val="6"/>
        <w:spacing w:before="34" w:line="500" w:lineRule="exact"/>
        <w:ind w:left="125" w:firstLine="556" w:firstLineChars="200"/>
        <w:rPr>
          <w:rFonts w:ascii="仿宋" w:hAnsi="仿宋" w:eastAsia="仿宋"/>
          <w:color w:val="auto"/>
          <w:spacing w:val="-1"/>
          <w:sz w:val="28"/>
          <w:szCs w:val="28"/>
        </w:rPr>
      </w:pPr>
      <w:r>
        <w:rPr>
          <w:rFonts w:ascii="仿宋" w:hAnsi="仿宋" w:eastAsia="仿宋"/>
          <w:color w:val="auto"/>
          <w:spacing w:val="-1"/>
          <w:sz w:val="28"/>
          <w:szCs w:val="28"/>
        </w:rPr>
        <w:t>4、本估价报告未考虑国家宏观经济政策发生重大变化以及出现不可抗力因素对估价结果的影响。</w:t>
      </w:r>
    </w:p>
    <w:p>
      <w:pPr>
        <w:pStyle w:val="6"/>
        <w:spacing w:before="34" w:line="500" w:lineRule="exact"/>
        <w:ind w:left="125" w:firstLine="556" w:firstLineChars="200"/>
        <w:rPr>
          <w:rFonts w:ascii="仿宋" w:hAnsi="仿宋" w:eastAsia="仿宋"/>
          <w:color w:val="auto"/>
          <w:spacing w:val="-1"/>
          <w:sz w:val="28"/>
          <w:szCs w:val="28"/>
        </w:rPr>
      </w:pPr>
      <w:r>
        <w:rPr>
          <w:rFonts w:ascii="仿宋" w:hAnsi="仿宋" w:eastAsia="仿宋"/>
          <w:color w:val="auto"/>
          <w:spacing w:val="-1"/>
          <w:sz w:val="28"/>
          <w:szCs w:val="28"/>
        </w:rPr>
        <w:t>5、估价结果的有效性有赖于本次估价的前提、假设限制以及遵循的经济原则，这些条件是由本公司估价人员根据估价对象实际情况并结合估价相关规定综合提出的，具有客观性和合理性，以上条件若不成立，本估价结果无效。</w:t>
      </w:r>
    </w:p>
    <w:p>
      <w:pPr>
        <w:pStyle w:val="6"/>
        <w:spacing w:before="34" w:line="500" w:lineRule="exact"/>
        <w:ind w:left="125" w:firstLine="556" w:firstLineChars="200"/>
        <w:rPr>
          <w:rFonts w:ascii="仿宋" w:hAnsi="仿宋" w:eastAsia="仿宋"/>
          <w:color w:val="auto"/>
          <w:spacing w:val="-1"/>
          <w:sz w:val="28"/>
          <w:szCs w:val="28"/>
        </w:rPr>
      </w:pPr>
      <w:r>
        <w:rPr>
          <w:rFonts w:ascii="仿宋" w:hAnsi="仿宋" w:eastAsia="仿宋"/>
          <w:color w:val="auto"/>
          <w:spacing w:val="-1"/>
          <w:sz w:val="28"/>
          <w:szCs w:val="28"/>
        </w:rPr>
        <w:t>6、本估价报告及附件须同时完整使用方为有效，本公司不对仅使用报告中部分内容或不同时使用所可能导致的任何损失承担责任。</w:t>
      </w:r>
    </w:p>
    <w:p>
      <w:pPr>
        <w:pStyle w:val="6"/>
        <w:spacing w:before="34" w:line="500" w:lineRule="exact"/>
        <w:ind w:left="125" w:firstLine="556" w:firstLineChars="200"/>
        <w:rPr>
          <w:rFonts w:ascii="仿宋" w:hAnsi="仿宋" w:eastAsia="仿宋"/>
          <w:color w:val="auto"/>
          <w:spacing w:val="-1"/>
          <w:sz w:val="28"/>
          <w:szCs w:val="28"/>
        </w:rPr>
      </w:pPr>
      <w:r>
        <w:rPr>
          <w:rFonts w:ascii="仿宋" w:hAnsi="仿宋" w:eastAsia="仿宋"/>
          <w:color w:val="auto"/>
          <w:spacing w:val="-1"/>
          <w:sz w:val="28"/>
          <w:szCs w:val="28"/>
        </w:rPr>
        <w:t>7、本报告未考虑抵押、担保、查封等权利限制因素对评估价值的影响。</w:t>
      </w:r>
    </w:p>
    <w:p>
      <w:pPr>
        <w:pStyle w:val="6"/>
        <w:spacing w:before="34" w:line="500" w:lineRule="exact"/>
        <w:ind w:left="125" w:firstLine="556" w:firstLineChars="200"/>
        <w:rPr>
          <w:rFonts w:ascii="仿宋" w:hAnsi="仿宋" w:eastAsia="仿宋"/>
          <w:color w:val="auto"/>
          <w:spacing w:val="-1"/>
          <w:sz w:val="28"/>
          <w:szCs w:val="28"/>
        </w:rPr>
      </w:pPr>
      <w:r>
        <w:rPr>
          <w:rFonts w:ascii="仿宋" w:hAnsi="仿宋" w:eastAsia="仿宋"/>
          <w:color w:val="auto"/>
          <w:spacing w:val="-1"/>
          <w:sz w:val="28"/>
          <w:szCs w:val="28"/>
        </w:rPr>
        <w:t>8、本报告的全部或部分内容未经本评估机构同意不得发表于任何公开媒体上。</w:t>
      </w:r>
    </w:p>
    <w:p>
      <w:pPr>
        <w:rPr>
          <w:color w:val="auto"/>
        </w:rPr>
      </w:pPr>
      <w:r>
        <w:rPr>
          <w:color w:val="auto"/>
        </w:rPr>
        <w:br w:type="page"/>
      </w:r>
    </w:p>
    <w:p>
      <w:pPr>
        <w:pStyle w:val="2"/>
        <w:spacing w:after="312"/>
        <w:ind w:left="0" w:right="0" w:firstLine="0"/>
        <w:rPr>
          <w:rFonts w:ascii="仿宋" w:hAnsi="仿宋" w:eastAsia="仿宋" w:cs="仿宋_GB2312"/>
          <w:color w:val="auto"/>
        </w:rPr>
      </w:pPr>
      <w:bookmarkStart w:id="57" w:name="_Toc257272333"/>
      <w:bookmarkStart w:id="58" w:name="_Toc19549210"/>
      <w:bookmarkStart w:id="59" w:name="_Toc5984"/>
      <w:r>
        <w:rPr>
          <w:rFonts w:hint="eastAsia" w:ascii="仿宋" w:hAnsi="仿宋" w:eastAsia="仿宋" w:cs="仿宋_GB2312"/>
          <w:color w:val="auto"/>
        </w:rPr>
        <w:t>估价结果报告</w:t>
      </w:r>
      <w:bookmarkEnd w:id="57"/>
      <w:bookmarkEnd w:id="58"/>
      <w:bookmarkEnd w:id="59"/>
      <w:bookmarkStart w:id="60" w:name="_Toc257272334"/>
    </w:p>
    <w:p>
      <w:pPr>
        <w:pStyle w:val="3"/>
        <w:spacing w:before="312" w:after="312"/>
        <w:jc w:val="both"/>
        <w:rPr>
          <w:rFonts w:hint="default" w:ascii="仿宋" w:hAnsi="仿宋" w:eastAsia="仿宋" w:cs="仿宋_GB2312"/>
          <w:color w:val="auto"/>
        </w:rPr>
      </w:pPr>
      <w:bookmarkStart w:id="61" w:name="_Toc15019"/>
      <w:bookmarkStart w:id="62" w:name="_Toc19549211"/>
      <w:r>
        <w:rPr>
          <w:rFonts w:ascii="仿宋" w:hAnsi="仿宋" w:eastAsia="仿宋" w:cs="仿宋_GB2312"/>
          <w:color w:val="auto"/>
        </w:rPr>
        <w:t>一、估价</w:t>
      </w:r>
      <w:bookmarkEnd w:id="60"/>
      <w:r>
        <w:rPr>
          <w:rFonts w:ascii="仿宋" w:hAnsi="仿宋" w:eastAsia="仿宋" w:cs="仿宋_GB2312"/>
          <w:color w:val="auto"/>
        </w:rPr>
        <w:t>委托人</w:t>
      </w:r>
      <w:bookmarkEnd w:id="61"/>
      <w:bookmarkEnd w:id="62"/>
    </w:p>
    <w:p>
      <w:pPr>
        <w:spacing w:line="500" w:lineRule="exact"/>
        <w:rPr>
          <w:rFonts w:ascii="仿宋" w:hAnsi="仿宋" w:eastAsia="仿宋" w:cs="仿宋_GB2312"/>
          <w:color w:val="auto"/>
        </w:rPr>
      </w:pPr>
      <w:r>
        <w:rPr>
          <w:rFonts w:hint="eastAsia" w:ascii="仿宋" w:hAnsi="仿宋" w:eastAsia="仿宋" w:cs="仿宋_GB2312"/>
          <w:color w:val="auto"/>
        </w:rPr>
        <w:t>委托人：贵阳铁路</w:t>
      </w:r>
      <w:r>
        <w:rPr>
          <w:rFonts w:ascii="仿宋" w:hAnsi="仿宋" w:eastAsia="仿宋" w:cs="仿宋_GB2312"/>
          <w:color w:val="auto"/>
        </w:rPr>
        <w:t>运输</w:t>
      </w:r>
      <w:r>
        <w:rPr>
          <w:rFonts w:hint="eastAsia" w:ascii="仿宋" w:hAnsi="仿宋" w:eastAsia="仿宋" w:cs="仿宋_GB2312"/>
          <w:color w:val="auto"/>
        </w:rPr>
        <w:t>法院</w:t>
      </w:r>
    </w:p>
    <w:p>
      <w:pPr>
        <w:pStyle w:val="3"/>
        <w:spacing w:before="312" w:after="312"/>
        <w:jc w:val="both"/>
        <w:rPr>
          <w:rFonts w:hint="default" w:ascii="仿宋" w:hAnsi="仿宋" w:eastAsia="仿宋" w:cs="仿宋_GB2312"/>
          <w:color w:val="auto"/>
        </w:rPr>
      </w:pPr>
      <w:bookmarkStart w:id="63" w:name="_Toc257272335"/>
      <w:bookmarkStart w:id="64" w:name="_Toc29941"/>
      <w:bookmarkStart w:id="65" w:name="_Toc19549212"/>
      <w:r>
        <w:rPr>
          <w:rFonts w:ascii="仿宋" w:hAnsi="仿宋" w:eastAsia="仿宋" w:cs="仿宋_GB2312"/>
          <w:color w:val="auto"/>
        </w:rPr>
        <w:t>二</w:t>
      </w:r>
      <w:bookmarkEnd w:id="63"/>
      <w:r>
        <w:rPr>
          <w:rFonts w:ascii="仿宋" w:hAnsi="仿宋" w:eastAsia="仿宋" w:cs="仿宋_GB2312"/>
          <w:color w:val="auto"/>
        </w:rPr>
        <w:t>、估价机构</w:t>
      </w:r>
      <w:bookmarkEnd w:id="64"/>
      <w:bookmarkEnd w:id="65"/>
    </w:p>
    <w:p>
      <w:pPr>
        <w:spacing w:line="500" w:lineRule="exact"/>
        <w:rPr>
          <w:rFonts w:ascii="仿宋" w:hAnsi="仿宋" w:eastAsia="仿宋" w:cs="仿宋_GB2312"/>
          <w:color w:val="auto"/>
        </w:rPr>
      </w:pPr>
      <w:bookmarkStart w:id="66" w:name="_Toc257272336"/>
      <w:r>
        <w:rPr>
          <w:rFonts w:hint="eastAsia" w:ascii="仿宋" w:hAnsi="仿宋" w:eastAsia="仿宋" w:cs="仿宋_GB2312"/>
          <w:color w:val="auto"/>
        </w:rPr>
        <w:t>估价机构全称：广东金兰德房地产土地资产评估规划有限公司</w:t>
      </w:r>
    </w:p>
    <w:p>
      <w:pPr>
        <w:spacing w:line="500" w:lineRule="exact"/>
        <w:rPr>
          <w:rFonts w:ascii="仿宋" w:hAnsi="仿宋" w:eastAsia="仿宋" w:cs="仿宋_GB2312"/>
          <w:color w:val="auto"/>
        </w:rPr>
      </w:pPr>
      <w:r>
        <w:rPr>
          <w:rFonts w:hint="eastAsia" w:ascii="仿宋" w:hAnsi="仿宋" w:eastAsia="仿宋" w:cs="仿宋_GB2312"/>
          <w:color w:val="auto"/>
        </w:rPr>
        <w:t>法定代表人：王绍</w:t>
      </w:r>
      <w:r>
        <w:rPr>
          <w:rFonts w:ascii="仿宋" w:hAnsi="仿宋" w:eastAsia="仿宋" w:cs="仿宋_GB2312"/>
          <w:color w:val="auto"/>
        </w:rPr>
        <w:t>年</w:t>
      </w:r>
    </w:p>
    <w:p>
      <w:pPr>
        <w:spacing w:line="500" w:lineRule="exact"/>
        <w:rPr>
          <w:rFonts w:ascii="仿宋" w:hAnsi="仿宋" w:eastAsia="仿宋" w:cs="仿宋_GB2312"/>
          <w:color w:val="auto"/>
        </w:rPr>
      </w:pPr>
      <w:r>
        <w:rPr>
          <w:rFonts w:hint="eastAsia" w:ascii="仿宋" w:hAnsi="仿宋" w:eastAsia="仿宋" w:cs="仿宋_GB2312"/>
          <w:color w:val="auto"/>
        </w:rPr>
        <w:t>估价机构地址：广东省广州市越秀区华乐路53号7楼H2房</w:t>
      </w:r>
    </w:p>
    <w:p>
      <w:pPr>
        <w:spacing w:line="500" w:lineRule="exact"/>
        <w:rPr>
          <w:rFonts w:ascii="仿宋" w:hAnsi="仿宋" w:eastAsia="仿宋" w:cs="仿宋_GB2312"/>
          <w:color w:val="auto"/>
        </w:rPr>
      </w:pPr>
      <w:r>
        <w:rPr>
          <w:rFonts w:hint="eastAsia" w:ascii="仿宋" w:hAnsi="仿宋" w:eastAsia="仿宋" w:cs="仿宋_GB2312"/>
          <w:color w:val="auto"/>
        </w:rPr>
        <w:t>房地产估价资质等级：壹级</w:t>
      </w:r>
    </w:p>
    <w:p>
      <w:pPr>
        <w:spacing w:line="500" w:lineRule="exact"/>
        <w:rPr>
          <w:rFonts w:ascii="仿宋" w:hAnsi="仿宋" w:eastAsia="仿宋" w:cs="仿宋_GB2312"/>
          <w:color w:val="auto"/>
        </w:rPr>
      </w:pPr>
      <w:r>
        <w:rPr>
          <w:rFonts w:hint="eastAsia" w:ascii="仿宋" w:hAnsi="仿宋" w:eastAsia="仿宋" w:cs="仿宋_GB2312"/>
          <w:color w:val="auto"/>
        </w:rPr>
        <w:t>房地产估价资质证书编号：粤房估备字壹0100030</w:t>
      </w:r>
    </w:p>
    <w:p>
      <w:pPr>
        <w:spacing w:line="500" w:lineRule="exact"/>
        <w:rPr>
          <w:rFonts w:ascii="仿宋" w:hAnsi="仿宋" w:eastAsia="仿宋" w:cs="仿宋_GB2312"/>
          <w:color w:val="auto"/>
        </w:rPr>
      </w:pPr>
      <w:r>
        <w:rPr>
          <w:rFonts w:hint="eastAsia" w:ascii="仿宋" w:hAnsi="仿宋" w:eastAsia="仿宋" w:cs="仿宋_GB2312"/>
          <w:color w:val="auto"/>
        </w:rPr>
        <w:t>房地产估价资质有效期：2021年07月03日止</w:t>
      </w:r>
    </w:p>
    <w:p>
      <w:pPr>
        <w:spacing w:line="500" w:lineRule="exact"/>
        <w:rPr>
          <w:rFonts w:ascii="仿宋" w:hAnsi="仿宋" w:eastAsia="仿宋" w:cs="仿宋_GB2312"/>
          <w:color w:val="auto"/>
        </w:rPr>
      </w:pPr>
      <w:r>
        <w:rPr>
          <w:rFonts w:hint="eastAsia" w:ascii="仿宋" w:hAnsi="仿宋" w:eastAsia="仿宋" w:cs="仿宋_GB2312"/>
          <w:color w:val="auto"/>
        </w:rPr>
        <w:t>统一社会信用代码：91440000724365611U</w:t>
      </w:r>
    </w:p>
    <w:p>
      <w:pPr>
        <w:spacing w:line="500" w:lineRule="exact"/>
        <w:rPr>
          <w:rFonts w:ascii="仿宋" w:hAnsi="仿宋" w:eastAsia="仿宋" w:cs="仿宋_GB2312"/>
          <w:color w:val="auto"/>
        </w:rPr>
      </w:pPr>
      <w:r>
        <w:rPr>
          <w:rFonts w:hint="eastAsia" w:ascii="仿宋" w:hAnsi="仿宋" w:eastAsia="仿宋" w:cs="仿宋_GB2312"/>
          <w:color w:val="auto"/>
        </w:rPr>
        <w:t>经营范围：资产评估，房地产及其附属设施评估，土地评估；提供地产及物业信息咨询，工程测量，不动产测绘，土地规划。</w:t>
      </w:r>
    </w:p>
    <w:p>
      <w:pPr>
        <w:pStyle w:val="3"/>
        <w:spacing w:before="312" w:after="312"/>
        <w:jc w:val="both"/>
        <w:rPr>
          <w:rFonts w:hint="default" w:ascii="仿宋" w:hAnsi="仿宋" w:eastAsia="仿宋" w:cs="仿宋_GB2312"/>
          <w:color w:val="auto"/>
        </w:rPr>
      </w:pPr>
      <w:bookmarkStart w:id="67" w:name="_Toc19549213"/>
      <w:bookmarkStart w:id="68" w:name="_Toc25215"/>
      <w:r>
        <w:rPr>
          <w:rFonts w:ascii="仿宋" w:hAnsi="仿宋" w:eastAsia="仿宋" w:cs="仿宋_GB2312"/>
          <w:color w:val="auto"/>
        </w:rPr>
        <w:t>三、估价目的</w:t>
      </w:r>
      <w:bookmarkEnd w:id="67"/>
      <w:bookmarkEnd w:id="68"/>
    </w:p>
    <w:p>
      <w:pPr>
        <w:spacing w:line="500" w:lineRule="exact"/>
        <w:rPr>
          <w:rFonts w:ascii="仿宋" w:hAnsi="仿宋" w:eastAsia="仿宋" w:cs="仿宋_GB2312"/>
          <w:color w:val="auto"/>
          <w:szCs w:val="28"/>
        </w:rPr>
      </w:pPr>
      <w:r>
        <w:rPr>
          <w:rFonts w:hint="eastAsia" w:ascii="仿宋" w:hAnsi="仿宋" w:eastAsia="仿宋" w:cs="仿宋_GB2312"/>
          <w:color w:val="auto"/>
          <w:szCs w:val="28"/>
        </w:rPr>
        <w:t xml:space="preserve">    为委托人（</w:t>
      </w:r>
      <w:r>
        <w:rPr>
          <w:rFonts w:hint="eastAsia" w:ascii="仿宋" w:hAnsi="仿宋" w:eastAsia="仿宋" w:cs="仿宋_GB2312"/>
          <w:color w:val="auto"/>
        </w:rPr>
        <w:t>贵阳铁路</w:t>
      </w:r>
      <w:r>
        <w:rPr>
          <w:rFonts w:ascii="仿宋" w:hAnsi="仿宋" w:eastAsia="仿宋" w:cs="仿宋_GB2312"/>
          <w:color w:val="auto"/>
        </w:rPr>
        <w:t>运输</w:t>
      </w:r>
      <w:r>
        <w:rPr>
          <w:rFonts w:hint="eastAsia" w:ascii="仿宋" w:hAnsi="仿宋" w:eastAsia="仿宋" w:cs="仿宋_GB2312"/>
          <w:color w:val="auto"/>
        </w:rPr>
        <w:t>法院</w:t>
      </w:r>
      <w:r>
        <w:rPr>
          <w:rFonts w:hint="eastAsia" w:ascii="仿宋" w:hAnsi="仿宋" w:eastAsia="仿宋" w:cs="仿宋_GB2312"/>
          <w:color w:val="auto"/>
          <w:szCs w:val="28"/>
        </w:rPr>
        <w:t>）执行案件提供市场价格参考。</w:t>
      </w:r>
      <w:bookmarkEnd w:id="66"/>
    </w:p>
    <w:p>
      <w:pPr>
        <w:pStyle w:val="3"/>
        <w:spacing w:before="312" w:after="312"/>
        <w:jc w:val="both"/>
        <w:rPr>
          <w:rFonts w:hint="default" w:ascii="仿宋" w:hAnsi="仿宋" w:eastAsia="仿宋" w:cs="仿宋_GB2312"/>
          <w:color w:val="auto"/>
        </w:rPr>
      </w:pPr>
      <w:bookmarkStart w:id="69" w:name="_Toc19549214"/>
      <w:bookmarkStart w:id="70" w:name="_Toc27100"/>
      <w:r>
        <w:rPr>
          <w:rFonts w:ascii="仿宋" w:hAnsi="仿宋" w:eastAsia="仿宋" w:cs="仿宋_GB2312"/>
          <w:color w:val="auto"/>
        </w:rPr>
        <w:t>四、估价对象</w:t>
      </w:r>
      <w:bookmarkEnd w:id="69"/>
      <w:bookmarkEnd w:id="70"/>
    </w:p>
    <w:p>
      <w:pPr>
        <w:spacing w:line="300" w:lineRule="exact"/>
        <w:rPr>
          <w:rFonts w:ascii="仿宋" w:hAnsi="仿宋" w:eastAsia="仿宋" w:cs="仿宋_GB2312"/>
          <w:color w:val="auto"/>
        </w:rPr>
      </w:pPr>
      <w:bookmarkStart w:id="71" w:name="_Toc257272338"/>
      <w:r>
        <w:rPr>
          <w:rFonts w:hint="eastAsia" w:ascii="仿宋" w:hAnsi="仿宋" w:eastAsia="仿宋" w:cs="仿宋_GB2312"/>
          <w:color w:val="auto"/>
        </w:rPr>
        <w:t>1.估价对象基本状况</w:t>
      </w:r>
    </w:p>
    <w:p>
      <w:pPr>
        <w:spacing w:line="300" w:lineRule="exact"/>
        <w:rPr>
          <w:rFonts w:ascii="仿宋" w:hAnsi="仿宋" w:eastAsia="仿宋" w:cs="仿宋_GB2312"/>
          <w:color w:val="auto"/>
        </w:rPr>
      </w:pPr>
      <w:r>
        <w:rPr>
          <w:rFonts w:hint="eastAsia" w:ascii="仿宋" w:hAnsi="仿宋" w:eastAsia="仿宋" w:cs="仿宋_GB2312"/>
          <w:color w:val="auto"/>
        </w:rPr>
        <w:t>（1）土地基本状况</w:t>
      </w:r>
    </w:p>
    <w:p>
      <w:pPr>
        <w:spacing w:line="300" w:lineRule="exact"/>
        <w:ind w:firstLine="840" w:firstLineChars="300"/>
        <w:rPr>
          <w:rFonts w:ascii="仿宋" w:hAnsi="仿宋" w:eastAsia="仿宋" w:cs="仿宋_GB2312"/>
          <w:color w:val="auto"/>
          <w:szCs w:val="28"/>
        </w:rPr>
      </w:pPr>
      <w:r>
        <w:rPr>
          <w:rFonts w:hint="eastAsia" w:ascii="仿宋" w:hAnsi="仿宋" w:eastAsia="仿宋" w:cs="仿宋_GB2312"/>
          <w:color w:val="auto"/>
          <w:szCs w:val="28"/>
        </w:rPr>
        <w:t>/</w:t>
      </w:r>
    </w:p>
    <w:p>
      <w:pPr>
        <w:spacing w:line="500" w:lineRule="exact"/>
        <w:rPr>
          <w:rFonts w:ascii="仿宋" w:hAnsi="仿宋" w:eastAsia="仿宋" w:cs="仿宋_GB2312"/>
          <w:color w:val="auto"/>
        </w:rPr>
      </w:pPr>
      <w:r>
        <w:rPr>
          <w:rFonts w:hint="eastAsia" w:ascii="仿宋" w:hAnsi="仿宋" w:eastAsia="仿宋" w:cs="仿宋_GB2312"/>
          <w:color w:val="auto"/>
        </w:rPr>
        <w:t>（2）</w:t>
      </w:r>
      <w:bookmarkStart w:id="72" w:name="OLE_LINK7"/>
      <w:r>
        <w:rPr>
          <w:rFonts w:hint="eastAsia" w:ascii="仿宋" w:hAnsi="仿宋" w:eastAsia="仿宋" w:cs="仿宋_GB2312"/>
          <w:color w:val="auto"/>
        </w:rPr>
        <w:t>建筑物</w:t>
      </w:r>
      <w:bookmarkEnd w:id="72"/>
      <w:r>
        <w:rPr>
          <w:rFonts w:hint="eastAsia" w:ascii="仿宋" w:hAnsi="仿宋" w:eastAsia="仿宋" w:cs="仿宋_GB2312"/>
          <w:color w:val="auto"/>
        </w:rPr>
        <w:t>基本状况</w:t>
      </w:r>
    </w:p>
    <w:p>
      <w:pPr>
        <w:spacing w:line="460" w:lineRule="exact"/>
        <w:ind w:firstLine="560" w:firstLineChars="200"/>
        <w:rPr>
          <w:rFonts w:ascii="仿宋" w:hAnsi="仿宋" w:eastAsia="仿宋" w:cs="仿宋_GB2312"/>
          <w:color w:val="auto"/>
          <w:szCs w:val="28"/>
        </w:rPr>
      </w:pPr>
      <w:r>
        <w:rPr>
          <w:rFonts w:hint="eastAsia" w:ascii="仿宋" w:hAnsi="仿宋" w:eastAsia="仿宋" w:cs="仿宋_GB2312"/>
          <w:color w:val="auto"/>
          <w:szCs w:val="28"/>
        </w:rPr>
        <w:t>依据委托人提供的资料显示，估价对象权属状况如下表所示。</w:t>
      </w:r>
    </w:p>
    <w:tbl>
      <w:tblPr>
        <w:tblStyle w:val="23"/>
        <w:tblW w:w="8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42"/>
        <w:gridCol w:w="2672"/>
        <w:gridCol w:w="1665"/>
        <w:gridCol w:w="705"/>
        <w:gridCol w:w="450"/>
        <w:gridCol w:w="570"/>
        <w:gridCol w:w="97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9" w:hRule="atLeast"/>
        </w:trPr>
        <w:tc>
          <w:tcPr>
            <w:tcW w:w="342" w:type="dxa"/>
            <w:vMerge w:val="restart"/>
            <w:vAlign w:val="center"/>
          </w:tcPr>
          <w:p>
            <w:pPr>
              <w:widowControl/>
              <w:jc w:val="center"/>
              <w:textAlignment w:val="center"/>
              <w:rPr>
                <w:rFonts w:ascii="宋体" w:hAnsi="宋体" w:eastAsia="宋体" w:cs="宋体"/>
                <w:b/>
                <w:color w:val="auto"/>
                <w:sz w:val="20"/>
                <w:szCs w:val="20"/>
              </w:rPr>
            </w:pPr>
            <w:r>
              <w:rPr>
                <w:rFonts w:hint="eastAsia" w:ascii="仿宋" w:hAnsi="仿宋" w:eastAsia="仿宋" w:cs="仿宋"/>
                <w:b/>
                <w:color w:val="auto"/>
                <w:kern w:val="0"/>
                <w:sz w:val="20"/>
                <w:szCs w:val="20"/>
                <w:lang w:bidi="ar"/>
              </w:rPr>
              <w:t>序号</w:t>
            </w:r>
          </w:p>
        </w:tc>
        <w:tc>
          <w:tcPr>
            <w:tcW w:w="2672" w:type="dxa"/>
            <w:vMerge w:val="restart"/>
            <w:vAlign w:val="center"/>
          </w:tcPr>
          <w:p>
            <w:pPr>
              <w:widowControl/>
              <w:jc w:val="center"/>
              <w:textAlignment w:val="center"/>
              <w:rPr>
                <w:rFonts w:ascii="宋体" w:hAnsi="宋体" w:eastAsia="宋体" w:cs="宋体"/>
                <w:b/>
                <w:color w:val="auto"/>
                <w:sz w:val="20"/>
                <w:szCs w:val="20"/>
              </w:rPr>
            </w:pPr>
            <w:r>
              <w:rPr>
                <w:rFonts w:hint="eastAsia" w:ascii="仿宋" w:hAnsi="仿宋" w:eastAsia="仿宋" w:cs="仿宋"/>
                <w:b/>
                <w:color w:val="auto"/>
                <w:kern w:val="0"/>
                <w:sz w:val="20"/>
                <w:szCs w:val="20"/>
                <w:lang w:bidi="ar"/>
              </w:rPr>
              <w:t>地址</w:t>
            </w:r>
          </w:p>
        </w:tc>
        <w:tc>
          <w:tcPr>
            <w:tcW w:w="1665" w:type="dxa"/>
            <w:vMerge w:val="restart"/>
            <w:vAlign w:val="center"/>
          </w:tcPr>
          <w:p>
            <w:pPr>
              <w:widowControl/>
              <w:jc w:val="center"/>
              <w:textAlignment w:val="center"/>
              <w:rPr>
                <w:rFonts w:ascii="宋体" w:hAnsi="宋体" w:eastAsia="宋体" w:cs="宋体"/>
                <w:b/>
                <w:color w:val="auto"/>
                <w:sz w:val="20"/>
                <w:szCs w:val="20"/>
              </w:rPr>
            </w:pPr>
            <w:r>
              <w:rPr>
                <w:rFonts w:hint="eastAsia" w:ascii="仿宋" w:hAnsi="仿宋" w:eastAsia="仿宋" w:cs="仿宋"/>
                <w:b/>
                <w:color w:val="auto"/>
                <w:kern w:val="0"/>
                <w:sz w:val="20"/>
                <w:szCs w:val="20"/>
                <w:lang w:bidi="ar"/>
              </w:rPr>
              <w:t>不动产证明号</w:t>
            </w:r>
          </w:p>
        </w:tc>
        <w:tc>
          <w:tcPr>
            <w:tcW w:w="705" w:type="dxa"/>
            <w:vMerge w:val="restart"/>
            <w:vAlign w:val="center"/>
          </w:tcPr>
          <w:p>
            <w:pPr>
              <w:widowControl/>
              <w:jc w:val="center"/>
              <w:textAlignment w:val="center"/>
              <w:rPr>
                <w:rFonts w:ascii="宋体" w:hAnsi="宋体" w:eastAsia="宋体" w:cs="宋体"/>
                <w:b/>
                <w:color w:val="auto"/>
                <w:sz w:val="20"/>
                <w:szCs w:val="20"/>
              </w:rPr>
            </w:pPr>
            <w:r>
              <w:rPr>
                <w:rFonts w:hint="eastAsia" w:ascii="仿宋" w:hAnsi="仿宋" w:eastAsia="仿宋" w:cs="仿宋"/>
                <w:b/>
                <w:color w:val="auto"/>
                <w:kern w:val="0"/>
                <w:sz w:val="20"/>
                <w:szCs w:val="20"/>
                <w:lang w:bidi="ar"/>
              </w:rPr>
              <w:t>权属人</w:t>
            </w:r>
          </w:p>
        </w:tc>
        <w:tc>
          <w:tcPr>
            <w:tcW w:w="450" w:type="dxa"/>
            <w:vMerge w:val="restart"/>
            <w:vAlign w:val="center"/>
          </w:tcPr>
          <w:p>
            <w:pPr>
              <w:widowControl/>
              <w:jc w:val="center"/>
              <w:textAlignment w:val="center"/>
              <w:rPr>
                <w:rFonts w:ascii="宋体" w:hAnsi="宋体" w:eastAsia="宋体" w:cs="宋体"/>
                <w:b/>
                <w:color w:val="auto"/>
                <w:sz w:val="20"/>
                <w:szCs w:val="20"/>
              </w:rPr>
            </w:pPr>
            <w:r>
              <w:rPr>
                <w:rFonts w:hint="eastAsia" w:ascii="仿宋" w:hAnsi="仿宋" w:eastAsia="仿宋" w:cs="仿宋"/>
                <w:b/>
                <w:color w:val="auto"/>
                <w:kern w:val="0"/>
                <w:sz w:val="20"/>
                <w:szCs w:val="20"/>
                <w:lang w:bidi="ar"/>
              </w:rPr>
              <w:t>规划用途</w:t>
            </w:r>
          </w:p>
        </w:tc>
        <w:tc>
          <w:tcPr>
            <w:tcW w:w="570" w:type="dxa"/>
            <w:vMerge w:val="restart"/>
            <w:vAlign w:val="center"/>
          </w:tcPr>
          <w:p>
            <w:pPr>
              <w:widowControl/>
              <w:jc w:val="center"/>
              <w:textAlignment w:val="center"/>
              <w:rPr>
                <w:rFonts w:ascii="宋体" w:hAnsi="宋体" w:eastAsia="宋体" w:cs="宋体"/>
                <w:b/>
                <w:color w:val="auto"/>
                <w:sz w:val="20"/>
                <w:szCs w:val="20"/>
              </w:rPr>
            </w:pPr>
            <w:r>
              <w:rPr>
                <w:rFonts w:hint="eastAsia" w:ascii="仿宋" w:hAnsi="仿宋" w:eastAsia="仿宋" w:cs="仿宋"/>
                <w:b/>
                <w:color w:val="auto"/>
                <w:kern w:val="0"/>
                <w:sz w:val="20"/>
                <w:szCs w:val="20"/>
                <w:lang w:bidi="ar"/>
              </w:rPr>
              <w:t>建筑结构</w:t>
            </w:r>
          </w:p>
        </w:tc>
        <w:tc>
          <w:tcPr>
            <w:tcW w:w="975" w:type="dxa"/>
            <w:vMerge w:val="restart"/>
            <w:vAlign w:val="center"/>
          </w:tcPr>
          <w:p>
            <w:pPr>
              <w:widowControl/>
              <w:jc w:val="center"/>
              <w:textAlignment w:val="center"/>
              <w:rPr>
                <w:rFonts w:ascii="宋体" w:hAnsi="宋体" w:eastAsia="宋体" w:cs="宋体"/>
                <w:b/>
                <w:color w:val="auto"/>
                <w:sz w:val="20"/>
                <w:szCs w:val="20"/>
              </w:rPr>
            </w:pPr>
            <w:r>
              <w:rPr>
                <w:rFonts w:hint="eastAsia" w:ascii="仿宋" w:hAnsi="仿宋" w:eastAsia="仿宋" w:cs="仿宋"/>
                <w:b/>
                <w:color w:val="auto"/>
                <w:kern w:val="0"/>
                <w:sz w:val="20"/>
                <w:szCs w:val="20"/>
                <w:lang w:bidi="ar"/>
              </w:rPr>
              <w:t>所在楼层/总楼层</w:t>
            </w:r>
          </w:p>
        </w:tc>
        <w:tc>
          <w:tcPr>
            <w:tcW w:w="952" w:type="dxa"/>
            <w:vMerge w:val="restart"/>
            <w:vAlign w:val="center"/>
          </w:tcPr>
          <w:p>
            <w:pPr>
              <w:widowControl/>
              <w:jc w:val="center"/>
              <w:textAlignment w:val="center"/>
              <w:rPr>
                <w:rFonts w:ascii="宋体" w:hAnsi="宋体" w:eastAsia="宋体" w:cs="宋体"/>
                <w:b/>
                <w:color w:val="auto"/>
                <w:sz w:val="20"/>
                <w:szCs w:val="20"/>
              </w:rPr>
            </w:pPr>
            <w:r>
              <w:rPr>
                <w:rFonts w:hint="eastAsia" w:ascii="仿宋" w:hAnsi="仿宋" w:eastAsia="仿宋" w:cs="仿宋"/>
                <w:b/>
                <w:color w:val="auto"/>
                <w:kern w:val="0"/>
                <w:sz w:val="20"/>
                <w:szCs w:val="20"/>
                <w:lang w:bidi="ar"/>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9" w:hRule="atLeast"/>
        </w:trPr>
        <w:tc>
          <w:tcPr>
            <w:tcW w:w="342" w:type="dxa"/>
            <w:vMerge w:val="continue"/>
            <w:vAlign w:val="center"/>
          </w:tcPr>
          <w:p>
            <w:pPr>
              <w:jc w:val="center"/>
              <w:rPr>
                <w:rFonts w:ascii="宋体" w:hAnsi="宋体" w:eastAsia="宋体" w:cs="宋体"/>
                <w:b/>
                <w:color w:val="auto"/>
                <w:sz w:val="20"/>
                <w:szCs w:val="20"/>
              </w:rPr>
            </w:pPr>
          </w:p>
        </w:tc>
        <w:tc>
          <w:tcPr>
            <w:tcW w:w="2672" w:type="dxa"/>
            <w:vMerge w:val="continue"/>
            <w:vAlign w:val="center"/>
          </w:tcPr>
          <w:p>
            <w:pPr>
              <w:jc w:val="center"/>
              <w:rPr>
                <w:rFonts w:ascii="宋体" w:hAnsi="宋体" w:eastAsia="宋体" w:cs="宋体"/>
                <w:b/>
                <w:color w:val="auto"/>
                <w:sz w:val="20"/>
                <w:szCs w:val="20"/>
              </w:rPr>
            </w:pPr>
          </w:p>
        </w:tc>
        <w:tc>
          <w:tcPr>
            <w:tcW w:w="1665" w:type="dxa"/>
            <w:vMerge w:val="continue"/>
            <w:vAlign w:val="center"/>
          </w:tcPr>
          <w:p>
            <w:pPr>
              <w:jc w:val="center"/>
              <w:rPr>
                <w:rFonts w:ascii="宋体" w:hAnsi="宋体" w:eastAsia="宋体" w:cs="宋体"/>
                <w:b/>
                <w:color w:val="auto"/>
                <w:sz w:val="20"/>
                <w:szCs w:val="20"/>
              </w:rPr>
            </w:pPr>
          </w:p>
        </w:tc>
        <w:tc>
          <w:tcPr>
            <w:tcW w:w="705" w:type="dxa"/>
            <w:vMerge w:val="continue"/>
            <w:vAlign w:val="center"/>
          </w:tcPr>
          <w:p>
            <w:pPr>
              <w:jc w:val="center"/>
              <w:rPr>
                <w:rFonts w:ascii="宋体" w:hAnsi="宋体" w:eastAsia="宋体" w:cs="宋体"/>
                <w:b/>
                <w:color w:val="auto"/>
                <w:sz w:val="20"/>
                <w:szCs w:val="20"/>
              </w:rPr>
            </w:pPr>
          </w:p>
        </w:tc>
        <w:tc>
          <w:tcPr>
            <w:tcW w:w="450" w:type="dxa"/>
            <w:vMerge w:val="continue"/>
            <w:vAlign w:val="center"/>
          </w:tcPr>
          <w:p>
            <w:pPr>
              <w:jc w:val="center"/>
              <w:rPr>
                <w:rFonts w:ascii="宋体" w:hAnsi="宋体" w:eastAsia="宋体" w:cs="宋体"/>
                <w:b/>
                <w:color w:val="auto"/>
                <w:sz w:val="20"/>
                <w:szCs w:val="20"/>
              </w:rPr>
            </w:pPr>
          </w:p>
        </w:tc>
        <w:tc>
          <w:tcPr>
            <w:tcW w:w="570" w:type="dxa"/>
            <w:vMerge w:val="continue"/>
            <w:vAlign w:val="center"/>
          </w:tcPr>
          <w:p>
            <w:pPr>
              <w:jc w:val="center"/>
              <w:rPr>
                <w:rFonts w:ascii="宋体" w:hAnsi="宋体" w:eastAsia="宋体" w:cs="宋体"/>
                <w:b/>
                <w:color w:val="auto"/>
                <w:sz w:val="20"/>
                <w:szCs w:val="20"/>
              </w:rPr>
            </w:pPr>
          </w:p>
        </w:tc>
        <w:tc>
          <w:tcPr>
            <w:tcW w:w="975" w:type="dxa"/>
            <w:vMerge w:val="continue"/>
            <w:vAlign w:val="center"/>
          </w:tcPr>
          <w:p>
            <w:pPr>
              <w:jc w:val="center"/>
              <w:rPr>
                <w:rFonts w:ascii="宋体" w:hAnsi="宋体" w:eastAsia="宋体" w:cs="宋体"/>
                <w:b/>
                <w:color w:val="auto"/>
                <w:sz w:val="20"/>
                <w:szCs w:val="20"/>
              </w:rPr>
            </w:pPr>
          </w:p>
        </w:tc>
        <w:tc>
          <w:tcPr>
            <w:tcW w:w="952" w:type="dxa"/>
            <w:vMerge w:val="continue"/>
            <w:vAlign w:val="center"/>
          </w:tcPr>
          <w:p>
            <w:pPr>
              <w:jc w:val="center"/>
              <w:rPr>
                <w:rFonts w:ascii="宋体" w:hAnsi="宋体" w:eastAsia="宋体" w:cs="宋体"/>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rPr>
        <w:tc>
          <w:tcPr>
            <w:tcW w:w="342" w:type="dxa"/>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2672" w:type="dxa"/>
            <w:vAlign w:val="center"/>
          </w:tcPr>
          <w:p>
            <w:pPr>
              <w:widowControl/>
              <w:jc w:val="center"/>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（贵阳市）云岩区</w:t>
            </w:r>
            <w:r>
              <w:rPr>
                <w:rFonts w:ascii="仿宋" w:hAnsi="仿宋" w:eastAsia="仿宋" w:cs="仿宋"/>
                <w:color w:val="auto"/>
                <w:kern w:val="0"/>
                <w:sz w:val="20"/>
                <w:szCs w:val="20"/>
                <w:lang w:bidi="ar"/>
              </w:rPr>
              <w:t>大营坡塘家湾</w:t>
            </w:r>
            <w:r>
              <w:rPr>
                <w:rFonts w:hint="eastAsia" w:ascii="仿宋" w:hAnsi="仿宋" w:eastAsia="仿宋" w:cs="仿宋"/>
                <w:color w:val="auto"/>
                <w:kern w:val="0"/>
                <w:sz w:val="20"/>
                <w:szCs w:val="20"/>
                <w:lang w:bidi="ar"/>
              </w:rPr>
              <w:t>1栋1单元9层2号</w:t>
            </w:r>
          </w:p>
        </w:tc>
        <w:tc>
          <w:tcPr>
            <w:tcW w:w="1665" w:type="dxa"/>
            <w:vAlign w:val="center"/>
          </w:tcPr>
          <w:p>
            <w:pPr>
              <w:widowControl/>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筑房权证云岩字第                                          010244165号</w:t>
            </w:r>
          </w:p>
        </w:tc>
        <w:tc>
          <w:tcPr>
            <w:tcW w:w="705" w:type="dxa"/>
            <w:vAlign w:val="center"/>
          </w:tcPr>
          <w:p>
            <w:pPr>
              <w:widowControl/>
              <w:jc w:val="center"/>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刘国嵘</w:t>
            </w:r>
          </w:p>
        </w:tc>
        <w:tc>
          <w:tcPr>
            <w:tcW w:w="450" w:type="dxa"/>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rPr>
              <w:t>住宅</w:t>
            </w:r>
          </w:p>
        </w:tc>
        <w:tc>
          <w:tcPr>
            <w:tcW w:w="570" w:type="dxa"/>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rPr>
              <w:t>结构</w:t>
            </w:r>
          </w:p>
        </w:tc>
        <w:tc>
          <w:tcPr>
            <w:tcW w:w="975" w:type="dxa"/>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9/9</w:t>
            </w:r>
          </w:p>
        </w:tc>
        <w:tc>
          <w:tcPr>
            <w:tcW w:w="952" w:type="dxa"/>
            <w:vAlign w:val="center"/>
          </w:tcPr>
          <w:p>
            <w:pPr>
              <w:widowControl/>
              <w:jc w:val="center"/>
              <w:textAlignment w:val="center"/>
              <w:rPr>
                <w:rFonts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8" w:hRule="atLeast"/>
        </w:trPr>
        <w:tc>
          <w:tcPr>
            <w:tcW w:w="5834" w:type="dxa"/>
            <w:gridSpan w:val="5"/>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合计</w:t>
            </w:r>
          </w:p>
        </w:tc>
        <w:tc>
          <w:tcPr>
            <w:tcW w:w="570" w:type="dxa"/>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w:t>
            </w:r>
          </w:p>
        </w:tc>
        <w:tc>
          <w:tcPr>
            <w:tcW w:w="975" w:type="dxa"/>
            <w:vAlign w:val="center"/>
          </w:tcPr>
          <w:p>
            <w:pPr>
              <w:jc w:val="center"/>
              <w:rPr>
                <w:rFonts w:ascii="仿宋" w:hAnsi="仿宋" w:eastAsia="仿宋" w:cs="仿宋"/>
                <w:b/>
                <w:color w:val="auto"/>
                <w:sz w:val="20"/>
                <w:szCs w:val="20"/>
              </w:rPr>
            </w:pPr>
          </w:p>
        </w:tc>
        <w:tc>
          <w:tcPr>
            <w:tcW w:w="952" w:type="dxa"/>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lang w:bidi="ar"/>
              </w:rPr>
              <w:t>138.74</w:t>
            </w:r>
          </w:p>
        </w:tc>
      </w:tr>
    </w:tbl>
    <w:p>
      <w:pPr>
        <w:numPr>
          <w:ilvl w:val="0"/>
          <w:numId w:val="1"/>
        </w:numPr>
        <w:spacing w:after="0" w:line="500" w:lineRule="exact"/>
        <w:rPr>
          <w:rFonts w:ascii="仿宋" w:hAnsi="仿宋" w:eastAsia="仿宋" w:cs="仿宋_GB2312"/>
          <w:color w:val="auto"/>
        </w:rPr>
      </w:pPr>
      <w:bookmarkStart w:id="73" w:name="_Toc19549215"/>
      <w:r>
        <w:rPr>
          <w:rFonts w:hint="eastAsia" w:ascii="仿宋" w:hAnsi="仿宋" w:eastAsia="仿宋" w:cs="仿宋_GB2312"/>
          <w:color w:val="auto"/>
        </w:rPr>
        <w:t>建筑物装修、装饰状况、户型布局及设施设备</w:t>
      </w:r>
    </w:p>
    <w:p>
      <w:pPr>
        <w:widowControl/>
        <w:autoSpaceDE w:val="0"/>
        <w:autoSpaceDN w:val="0"/>
        <w:spacing w:line="500" w:lineRule="exact"/>
        <w:ind w:firstLine="560" w:firstLineChars="200"/>
        <w:textAlignment w:val="bottom"/>
        <w:rPr>
          <w:rFonts w:ascii="仿宋" w:hAnsi="仿宋" w:eastAsia="仿宋" w:cs="仿宋_GB2312"/>
          <w:color w:val="auto"/>
          <w:szCs w:val="28"/>
        </w:rPr>
      </w:pPr>
      <w:r>
        <w:rPr>
          <w:rFonts w:hint="eastAsia" w:ascii="仿宋" w:hAnsi="仿宋" w:eastAsia="仿宋" w:cs="仿宋_GB2312"/>
          <w:color w:val="auto"/>
          <w:szCs w:val="28"/>
        </w:rPr>
        <w:t>估价对象所属为（贵阳市）云岩区</w:t>
      </w:r>
      <w:r>
        <w:rPr>
          <w:rFonts w:ascii="仿宋" w:hAnsi="仿宋" w:eastAsia="仿宋" w:cs="仿宋_GB2312"/>
          <w:color w:val="auto"/>
          <w:szCs w:val="28"/>
        </w:rPr>
        <w:t>大营坡塘家湾</w:t>
      </w:r>
      <w:r>
        <w:rPr>
          <w:rFonts w:hint="eastAsia" w:ascii="仿宋" w:hAnsi="仿宋" w:eastAsia="仿宋" w:cs="仿宋_GB2312"/>
          <w:color w:val="auto"/>
          <w:szCs w:val="28"/>
        </w:rPr>
        <w:t>1栋1单元9层2号住宅</w:t>
      </w:r>
      <w:r>
        <w:rPr>
          <w:rFonts w:ascii="仿宋" w:hAnsi="仿宋" w:eastAsia="仿宋" w:cs="仿宋_GB2312"/>
          <w:color w:val="auto"/>
          <w:szCs w:val="28"/>
        </w:rPr>
        <w:t>用房</w:t>
      </w:r>
      <w:r>
        <w:rPr>
          <w:rFonts w:hint="eastAsia" w:ascii="仿宋" w:hAnsi="仿宋" w:eastAsia="仿宋" w:cs="仿宋_GB2312"/>
          <w:color w:val="auto"/>
          <w:szCs w:val="28"/>
        </w:rPr>
        <w:t>，开放式小区，房屋结构为混合结构，估价对象外墙水刷石，楼梯地面水泥地，该栋楼共9层,一层2户，步梯楼，估价对象所在楼层是第9层，平层、层高约2.8米,户型为3房2厅1卫；</w:t>
      </w:r>
      <w:r>
        <w:rPr>
          <w:rFonts w:hint="eastAsia" w:ascii="仿宋" w:hAnsi="仿宋" w:eastAsia="仿宋" w:cs="仿宋_GB2312"/>
          <w:color w:val="auto"/>
          <w:szCs w:val="28"/>
        </w:rPr>
        <w:t>估价对象内部装修为普装：室内地面木地板、卫生间地面贴有瓷砖、墙面灰浆刷白、天花灰浆刷白、客厅顶部刷白；</w:t>
      </w:r>
      <w:r>
        <w:rPr>
          <w:rFonts w:hint="eastAsia" w:ascii="仿宋" w:hAnsi="仿宋" w:eastAsia="仿宋" w:cs="仿宋_GB2312"/>
          <w:color w:val="auto"/>
          <w:szCs w:val="28"/>
        </w:rPr>
        <w:t>楼宇消防设备、水电系统等设施设备齐全。</w:t>
      </w:r>
    </w:p>
    <w:p>
      <w:pPr>
        <w:widowControl/>
        <w:autoSpaceDE w:val="0"/>
        <w:autoSpaceDN w:val="0"/>
        <w:spacing w:line="500" w:lineRule="exact"/>
        <w:textAlignment w:val="bottom"/>
        <w:rPr>
          <w:rFonts w:ascii="仿宋" w:hAnsi="仿宋" w:eastAsia="仿宋" w:cs="仿宋_GB2312"/>
          <w:color w:val="auto"/>
          <w:szCs w:val="28"/>
        </w:rPr>
      </w:pPr>
      <w:r>
        <w:rPr>
          <w:rFonts w:hint="eastAsia" w:ascii="仿宋" w:hAnsi="仿宋" w:eastAsia="仿宋" w:cs="仿宋_GB2312"/>
          <w:color w:val="auto"/>
          <w:szCs w:val="28"/>
        </w:rPr>
        <w:t>（4）交通情况</w:t>
      </w:r>
    </w:p>
    <w:p>
      <w:pPr>
        <w:spacing w:line="500" w:lineRule="exact"/>
        <w:ind w:right="-445" w:rightChars="-159"/>
        <w:rPr>
          <w:rFonts w:ascii="仿宋" w:hAnsi="仿宋" w:eastAsia="仿宋" w:cs="仿宋_GB2312"/>
          <w:color w:val="auto"/>
          <w:szCs w:val="28"/>
        </w:rPr>
      </w:pPr>
      <w:r>
        <w:rPr>
          <w:rFonts w:hint="eastAsia" w:ascii="仿宋" w:hAnsi="仿宋" w:eastAsia="仿宋" w:cs="仿宋_GB2312"/>
          <w:color w:val="auto"/>
          <w:szCs w:val="28"/>
        </w:rPr>
        <w:t>估价对象临近设有</w:t>
      </w:r>
      <w:r>
        <w:rPr>
          <w:rFonts w:ascii="仿宋" w:hAnsi="仿宋" w:eastAsia="仿宋" w:cs="仿宋_GB2312"/>
          <w:color w:val="auto"/>
          <w:szCs w:val="28"/>
        </w:rPr>
        <w:t xml:space="preserve"> </w:t>
      </w:r>
      <w:r>
        <w:rPr>
          <w:rFonts w:hint="eastAsia" w:ascii="仿宋" w:hAnsi="仿宋" w:eastAsia="仿宋" w:cs="仿宋_GB2312"/>
          <w:color w:val="auto"/>
          <w:szCs w:val="28"/>
        </w:rPr>
        <w:t>“省二医”公交站，有253路、271路、605路、614路、17路、79路、86路、251路、252路、夜间4路等多条线路公共交通经过，交通便捷度较好。</w:t>
      </w:r>
    </w:p>
    <w:p>
      <w:pPr>
        <w:spacing w:line="500" w:lineRule="exact"/>
        <w:ind w:right="-445" w:rightChars="-159"/>
        <w:rPr>
          <w:rFonts w:ascii="仿宋" w:hAnsi="仿宋" w:eastAsia="仿宋" w:cs="仿宋_GB2312"/>
          <w:color w:val="auto"/>
          <w:szCs w:val="28"/>
        </w:rPr>
      </w:pPr>
      <w:r>
        <w:rPr>
          <w:rFonts w:hint="eastAsia" w:ascii="仿宋" w:hAnsi="仿宋" w:eastAsia="仿宋" w:cs="仿宋_GB2312"/>
          <w:color w:val="auto"/>
          <w:szCs w:val="28"/>
        </w:rPr>
        <w:t>（5）周边市政公共配套设施</w:t>
      </w:r>
    </w:p>
    <w:p>
      <w:pPr>
        <w:widowControl/>
        <w:autoSpaceDE w:val="0"/>
        <w:autoSpaceDN w:val="0"/>
        <w:spacing w:line="500" w:lineRule="exact"/>
        <w:textAlignment w:val="bottom"/>
        <w:rPr>
          <w:rFonts w:ascii="仿宋" w:hAnsi="仿宋" w:eastAsia="仿宋" w:cs="仿宋_GB2312"/>
          <w:color w:val="auto"/>
          <w:szCs w:val="28"/>
        </w:rPr>
      </w:pPr>
      <w:r>
        <w:rPr>
          <w:rFonts w:hint="eastAsia" w:ascii="仿宋" w:hAnsi="仿宋" w:eastAsia="仿宋" w:cs="仿宋_GB2312"/>
          <w:color w:val="auto"/>
          <w:szCs w:val="28"/>
        </w:rPr>
        <w:t>估价对象附近有醉苗侗、贵阳银行、贵阳瑞特医院、幺七牛杂火锅、豆豉火锅、姊妹快餐、凯里鹅肉粉面、正和祥药业、宜必居酒店、重庆肥牛火锅、黔城壹家、向阳便利店、心连心超市、贵阳市云岩区沙河幼儿园、七巧板幼儿园、贵阳市云岩区曜久学校、云岩济仁中医诊所、贵阳二十三中等配套设施，生活、公共配套设施较完善。</w:t>
      </w:r>
    </w:p>
    <w:p>
      <w:pPr>
        <w:widowControl/>
        <w:autoSpaceDE w:val="0"/>
        <w:autoSpaceDN w:val="0"/>
        <w:spacing w:line="500" w:lineRule="exact"/>
        <w:textAlignment w:val="bottom"/>
        <w:rPr>
          <w:rFonts w:ascii="仿宋" w:hAnsi="仿宋" w:eastAsia="仿宋" w:cs="仿宋_GB2312"/>
          <w:color w:val="auto"/>
          <w:szCs w:val="28"/>
        </w:rPr>
      </w:pPr>
      <w:r>
        <w:rPr>
          <w:rFonts w:hint="eastAsia" w:ascii="仿宋" w:hAnsi="仿宋" w:eastAsia="仿宋" w:cs="仿宋_GB2312"/>
          <w:color w:val="auto"/>
          <w:szCs w:val="28"/>
        </w:rPr>
        <w:t>2、估价对象范围</w:t>
      </w:r>
    </w:p>
    <w:p>
      <w:pPr>
        <w:spacing w:line="500" w:lineRule="exact"/>
        <w:ind w:firstLine="560"/>
        <w:rPr>
          <w:rFonts w:ascii="仿宋" w:hAnsi="仿宋" w:eastAsia="仿宋" w:cs="仿宋_GB2312"/>
          <w:color w:val="auto"/>
        </w:rPr>
      </w:pPr>
      <w:r>
        <w:rPr>
          <w:rFonts w:hint="eastAsia" w:ascii="仿宋" w:hAnsi="仿宋" w:eastAsia="仿宋" w:cs="仿宋_GB2312"/>
          <w:color w:val="auto"/>
        </w:rPr>
        <w:t>本次评估以房权证资料为准，此次需要评估的是</w:t>
      </w:r>
      <w:r>
        <w:rPr>
          <w:rFonts w:hint="eastAsia" w:ascii="仿宋" w:hAnsi="仿宋" w:eastAsia="仿宋" w:cs="仿宋_GB2312"/>
          <w:color w:val="auto"/>
          <w:szCs w:val="28"/>
        </w:rPr>
        <w:t>（贵阳市）云岩区</w:t>
      </w:r>
      <w:r>
        <w:rPr>
          <w:rFonts w:ascii="仿宋" w:hAnsi="仿宋" w:eastAsia="仿宋" w:cs="仿宋_GB2312"/>
          <w:color w:val="auto"/>
          <w:szCs w:val="28"/>
        </w:rPr>
        <w:t>大营坡塘家湾</w:t>
      </w:r>
      <w:r>
        <w:rPr>
          <w:rFonts w:hint="eastAsia" w:ascii="仿宋" w:hAnsi="仿宋" w:eastAsia="仿宋" w:cs="仿宋_GB2312"/>
          <w:color w:val="auto"/>
          <w:szCs w:val="28"/>
        </w:rPr>
        <w:t>1栋1单元9层2号住宅</w:t>
      </w:r>
      <w:r>
        <w:rPr>
          <w:rFonts w:ascii="仿宋" w:hAnsi="仿宋" w:eastAsia="仿宋" w:cs="仿宋_GB2312"/>
          <w:color w:val="auto"/>
          <w:szCs w:val="28"/>
        </w:rPr>
        <w:t>用房</w:t>
      </w:r>
      <w:r>
        <w:rPr>
          <w:rFonts w:hint="eastAsia" w:ascii="仿宋" w:hAnsi="仿宋" w:eastAsia="仿宋" w:cs="仿宋_GB2312"/>
          <w:color w:val="auto"/>
        </w:rPr>
        <w:t>，建筑面积为138.74平方米，建筑物装修状况以实地查看为准。此次估价中不考虑可能存在的限制因素，也不包括室内的动产及房屋的附属设备的评估。</w:t>
      </w:r>
    </w:p>
    <w:p>
      <w:pPr>
        <w:pStyle w:val="3"/>
        <w:spacing w:before="312" w:after="312"/>
        <w:jc w:val="both"/>
        <w:rPr>
          <w:rFonts w:hint="default" w:ascii="仿宋" w:hAnsi="仿宋" w:eastAsia="仿宋" w:cs="仿宋_GB2312"/>
          <w:color w:val="auto"/>
        </w:rPr>
      </w:pPr>
      <w:bookmarkStart w:id="74" w:name="_Toc13386"/>
      <w:r>
        <w:rPr>
          <w:rFonts w:ascii="仿宋" w:hAnsi="仿宋" w:eastAsia="仿宋" w:cs="仿宋_GB2312"/>
          <w:color w:val="auto"/>
        </w:rPr>
        <w:t>五、价值时点</w:t>
      </w:r>
      <w:bookmarkEnd w:id="71"/>
      <w:r>
        <w:rPr>
          <w:rFonts w:ascii="仿宋" w:hAnsi="仿宋" w:eastAsia="仿宋" w:cs="仿宋_GB2312"/>
          <w:color w:val="auto"/>
        </w:rPr>
        <w:t>及其确定理由</w:t>
      </w:r>
      <w:bookmarkEnd w:id="73"/>
      <w:bookmarkEnd w:id="74"/>
    </w:p>
    <w:p>
      <w:pPr>
        <w:spacing w:line="500" w:lineRule="exact"/>
        <w:rPr>
          <w:rFonts w:ascii="仿宋" w:hAnsi="仿宋" w:eastAsia="仿宋" w:cs="仿宋_GB2312"/>
          <w:color w:val="auto"/>
        </w:rPr>
      </w:pPr>
      <w:r>
        <w:rPr>
          <w:rFonts w:hint="eastAsia" w:ascii="仿宋" w:hAnsi="仿宋" w:eastAsia="仿宋" w:cs="仿宋_GB2312"/>
          <w:color w:val="auto"/>
        </w:rPr>
        <w:t>依估价目的、接受估价委托的时间、以及现场查看时间，经与估价委托人协商，确定为2020年4月3日。</w:t>
      </w:r>
    </w:p>
    <w:p>
      <w:pPr>
        <w:pStyle w:val="3"/>
        <w:spacing w:before="312" w:after="312"/>
        <w:jc w:val="both"/>
        <w:rPr>
          <w:rFonts w:hint="default" w:ascii="仿宋" w:hAnsi="仿宋" w:eastAsia="仿宋" w:cs="仿宋_GB2312"/>
          <w:color w:val="auto"/>
        </w:rPr>
      </w:pPr>
      <w:bookmarkStart w:id="75" w:name="_Toc19549216"/>
      <w:bookmarkStart w:id="76" w:name="_Toc548"/>
      <w:r>
        <w:rPr>
          <w:rFonts w:ascii="仿宋" w:hAnsi="仿宋" w:eastAsia="仿宋" w:cs="仿宋_GB2312"/>
          <w:color w:val="auto"/>
        </w:rPr>
        <w:t>六、价值定义</w:t>
      </w:r>
      <w:bookmarkEnd w:id="75"/>
      <w:bookmarkEnd w:id="76"/>
    </w:p>
    <w:p>
      <w:pPr>
        <w:spacing w:line="460" w:lineRule="exact"/>
        <w:ind w:firstLine="592" w:firstLineChars="200"/>
        <w:rPr>
          <w:rFonts w:ascii="仿宋_GB2312" w:hAnsi="仿宋" w:eastAsia="仿宋_GB2312" w:cs="宋体"/>
          <w:color w:val="auto"/>
          <w:spacing w:val="8"/>
          <w:szCs w:val="28"/>
        </w:rPr>
      </w:pPr>
      <w:r>
        <w:rPr>
          <w:rFonts w:hint="eastAsia" w:ascii="仿宋_GB2312" w:hAnsi="仿宋" w:eastAsia="仿宋_GB2312" w:cs="宋体"/>
          <w:color w:val="auto"/>
          <w:spacing w:val="8"/>
          <w:szCs w:val="28"/>
        </w:rPr>
        <w:t>本估价报告出具的价格，是依据</w:t>
      </w:r>
      <w:r>
        <w:rPr>
          <w:rFonts w:ascii="仿宋_GB2312" w:hAnsi="仿宋" w:eastAsia="仿宋_GB2312" w:cs="宋体"/>
          <w:color w:val="auto"/>
          <w:spacing w:val="8"/>
          <w:szCs w:val="28"/>
        </w:rPr>
        <w:t>法定用途</w:t>
      </w:r>
      <w:r>
        <w:rPr>
          <w:rFonts w:hint="eastAsia" w:ascii="仿宋_GB2312" w:hAnsi="仿宋" w:eastAsia="仿宋_GB2312" w:cs="宋体"/>
          <w:color w:val="auto"/>
          <w:spacing w:val="8"/>
          <w:szCs w:val="28"/>
        </w:rPr>
        <w:t>在价值时点当时的市场状况下的房地产价值。市场价值</w:t>
      </w:r>
      <w:r>
        <w:rPr>
          <w:rFonts w:ascii="仿宋_GB2312" w:hAnsi="仿宋" w:eastAsia="仿宋_GB2312" w:cs="宋体"/>
          <w:color w:val="auto"/>
          <w:spacing w:val="8"/>
          <w:szCs w:val="28"/>
        </w:rPr>
        <w:t>是指</w:t>
      </w:r>
      <w:r>
        <w:rPr>
          <w:rFonts w:hint="eastAsia" w:ascii="仿宋_GB2312" w:hAnsi="仿宋" w:eastAsia="仿宋_GB2312" w:cs="宋体"/>
          <w:color w:val="auto"/>
          <w:spacing w:val="8"/>
          <w:szCs w:val="28"/>
        </w:rPr>
        <w:t>自愿</w:t>
      </w:r>
      <w:r>
        <w:rPr>
          <w:rFonts w:ascii="仿宋_GB2312" w:hAnsi="仿宋" w:eastAsia="仿宋_GB2312" w:cs="宋体"/>
          <w:color w:val="auto"/>
          <w:spacing w:val="8"/>
          <w:szCs w:val="28"/>
        </w:rPr>
        <w:t>买方和自愿卖方在各自</w:t>
      </w:r>
      <w:r>
        <w:rPr>
          <w:rFonts w:hint="eastAsia" w:ascii="仿宋_GB2312" w:hAnsi="仿宋" w:eastAsia="仿宋_GB2312" w:cs="宋体"/>
          <w:color w:val="auto"/>
          <w:spacing w:val="8"/>
          <w:szCs w:val="28"/>
        </w:rPr>
        <w:t>理性</w:t>
      </w:r>
      <w:r>
        <w:rPr>
          <w:rFonts w:ascii="仿宋_GB2312" w:hAnsi="仿宋" w:eastAsia="仿宋_GB2312" w:cs="宋体"/>
          <w:color w:val="auto"/>
          <w:spacing w:val="8"/>
          <w:szCs w:val="28"/>
        </w:rPr>
        <w:t>行事且未受任何</w:t>
      </w:r>
      <w:r>
        <w:rPr>
          <w:rFonts w:hint="eastAsia" w:ascii="仿宋_GB2312" w:hAnsi="仿宋" w:eastAsia="仿宋_GB2312" w:cs="宋体"/>
          <w:color w:val="auto"/>
          <w:spacing w:val="8"/>
          <w:szCs w:val="28"/>
        </w:rPr>
        <w:t>强迫</w:t>
      </w:r>
      <w:r>
        <w:rPr>
          <w:rFonts w:ascii="仿宋_GB2312" w:hAnsi="仿宋" w:eastAsia="仿宋_GB2312" w:cs="宋体"/>
          <w:color w:val="auto"/>
          <w:spacing w:val="8"/>
          <w:szCs w:val="28"/>
        </w:rPr>
        <w:t>的情况下，估价</w:t>
      </w:r>
      <w:r>
        <w:rPr>
          <w:rFonts w:hint="eastAsia" w:ascii="仿宋_GB2312" w:hAnsi="仿宋" w:eastAsia="仿宋_GB2312" w:cs="宋体"/>
          <w:color w:val="auto"/>
          <w:spacing w:val="8"/>
          <w:szCs w:val="28"/>
        </w:rPr>
        <w:t>对象</w:t>
      </w:r>
      <w:r>
        <w:rPr>
          <w:rFonts w:ascii="仿宋_GB2312" w:hAnsi="仿宋" w:eastAsia="仿宋_GB2312" w:cs="宋体"/>
          <w:color w:val="auto"/>
          <w:spacing w:val="8"/>
          <w:szCs w:val="28"/>
        </w:rPr>
        <w:t>在价值时点进行价值估计数额。</w:t>
      </w:r>
    </w:p>
    <w:p>
      <w:pPr>
        <w:pStyle w:val="3"/>
        <w:spacing w:before="312" w:after="312"/>
        <w:jc w:val="both"/>
        <w:rPr>
          <w:rFonts w:hint="default" w:ascii="仿宋" w:hAnsi="仿宋" w:eastAsia="仿宋" w:cs="仿宋_GB2312"/>
          <w:color w:val="auto"/>
        </w:rPr>
      </w:pPr>
      <w:bookmarkStart w:id="77" w:name="_Toc25881"/>
      <w:bookmarkStart w:id="78" w:name="_Toc19549217"/>
      <w:r>
        <w:rPr>
          <w:rFonts w:ascii="仿宋" w:hAnsi="仿宋" w:eastAsia="仿宋" w:cs="仿宋_GB2312"/>
          <w:color w:val="auto"/>
        </w:rPr>
        <w:t>七、估价原则</w:t>
      </w:r>
      <w:bookmarkEnd w:id="77"/>
      <w:bookmarkEnd w:id="78"/>
    </w:p>
    <w:p>
      <w:pPr>
        <w:spacing w:line="460" w:lineRule="exact"/>
        <w:rPr>
          <w:rFonts w:ascii="仿宋" w:hAnsi="仿宋" w:eastAsia="仿宋" w:cs="仿宋_GB2312"/>
          <w:color w:val="auto"/>
        </w:rPr>
      </w:pPr>
      <w:r>
        <w:rPr>
          <w:rFonts w:hint="eastAsia" w:ascii="仿宋" w:hAnsi="仿宋" w:eastAsia="仿宋" w:cs="仿宋_GB2312"/>
          <w:color w:val="auto"/>
        </w:rPr>
        <w:t>1.独立、客观、公正原则</w:t>
      </w:r>
    </w:p>
    <w:p>
      <w:pPr>
        <w:tabs>
          <w:tab w:val="left" w:pos="0"/>
        </w:tabs>
        <w:spacing w:line="460" w:lineRule="exact"/>
        <w:rPr>
          <w:rFonts w:ascii="仿宋" w:hAnsi="仿宋" w:eastAsia="仿宋" w:cs="仿宋_GB2312"/>
          <w:color w:val="auto"/>
        </w:rPr>
      </w:pPr>
      <w:r>
        <w:rPr>
          <w:rFonts w:hint="eastAsia" w:ascii="仿宋" w:hAnsi="仿宋" w:eastAsia="仿宋" w:cs="仿宋_GB2312"/>
          <w:color w:val="auto"/>
        </w:rPr>
        <w:t xml:space="preserve">    在房地产价格评估时，要求房地产估价师站在中立的立场上，评估出对各方当事人来说均是公平合理的价值。</w:t>
      </w:r>
    </w:p>
    <w:p>
      <w:pPr>
        <w:spacing w:line="460" w:lineRule="exact"/>
        <w:rPr>
          <w:rFonts w:ascii="仿宋" w:hAnsi="仿宋" w:eastAsia="仿宋" w:cs="仿宋_GB2312"/>
          <w:color w:val="auto"/>
        </w:rPr>
      </w:pPr>
      <w:r>
        <w:rPr>
          <w:rFonts w:hint="eastAsia" w:ascii="仿宋" w:hAnsi="仿宋" w:eastAsia="仿宋" w:cs="仿宋_GB2312"/>
          <w:color w:val="auto"/>
        </w:rPr>
        <w:t>2.合法原则</w:t>
      </w:r>
    </w:p>
    <w:p>
      <w:pPr>
        <w:spacing w:line="460" w:lineRule="exact"/>
        <w:rPr>
          <w:rFonts w:ascii="仿宋" w:hAnsi="仿宋" w:eastAsia="仿宋" w:cs="仿宋_GB2312"/>
          <w:color w:val="auto"/>
        </w:rPr>
      </w:pPr>
      <w:r>
        <w:rPr>
          <w:rFonts w:hint="eastAsia" w:ascii="仿宋" w:hAnsi="仿宋" w:eastAsia="仿宋" w:cs="仿宋_GB2312"/>
          <w:color w:val="auto"/>
        </w:rPr>
        <w:t xml:space="preserve">    在房地产价格评估时，必须确认估价对象有合法的产权，估价对象的用途必须合法，权利人对该房地产在法律上有处分的权利。</w:t>
      </w:r>
    </w:p>
    <w:p>
      <w:pPr>
        <w:spacing w:line="460" w:lineRule="exact"/>
        <w:rPr>
          <w:rFonts w:ascii="仿宋" w:hAnsi="仿宋" w:eastAsia="仿宋" w:cs="仿宋_GB2312"/>
          <w:color w:val="auto"/>
        </w:rPr>
      </w:pPr>
      <w:r>
        <w:rPr>
          <w:rFonts w:hint="eastAsia" w:ascii="仿宋" w:hAnsi="仿宋" w:eastAsia="仿宋" w:cs="仿宋_GB2312"/>
          <w:color w:val="auto"/>
        </w:rPr>
        <w:t>3.最高最佳利用原则</w:t>
      </w:r>
    </w:p>
    <w:p>
      <w:pPr>
        <w:spacing w:line="460" w:lineRule="exact"/>
        <w:ind w:firstLine="560" w:firstLineChars="200"/>
        <w:rPr>
          <w:rFonts w:ascii="仿宋" w:hAnsi="仿宋" w:eastAsia="仿宋" w:cs="仿宋_GB2312"/>
          <w:color w:val="auto"/>
        </w:rPr>
      </w:pPr>
      <w:r>
        <w:rPr>
          <w:rFonts w:hint="eastAsia" w:ascii="仿宋" w:hAnsi="仿宋" w:eastAsia="仿宋" w:cs="仿宋_GB2312"/>
          <w:color w:val="auto"/>
        </w:rPr>
        <w:t>对委估房地产的用途，要坚持在法律上许可、技术上可能、经济上可行、经过充分合理的论证，能使估价对象的价值达到最大化的一种使用。</w:t>
      </w:r>
    </w:p>
    <w:p>
      <w:pPr>
        <w:spacing w:line="460" w:lineRule="exact"/>
        <w:rPr>
          <w:rFonts w:ascii="仿宋" w:hAnsi="仿宋" w:eastAsia="仿宋" w:cs="仿宋_GB2312"/>
          <w:color w:val="auto"/>
        </w:rPr>
      </w:pPr>
      <w:r>
        <w:rPr>
          <w:rFonts w:hint="eastAsia" w:ascii="仿宋" w:hAnsi="仿宋" w:eastAsia="仿宋" w:cs="仿宋_GB2312"/>
          <w:color w:val="auto"/>
        </w:rPr>
        <w:t>4.替代原则</w:t>
      </w:r>
    </w:p>
    <w:p>
      <w:pPr>
        <w:spacing w:line="460" w:lineRule="exact"/>
        <w:rPr>
          <w:rFonts w:ascii="仿宋" w:hAnsi="仿宋" w:eastAsia="仿宋" w:cs="仿宋_GB2312"/>
          <w:color w:val="auto"/>
          <w:spacing w:val="-4"/>
        </w:rPr>
      </w:pPr>
      <w:r>
        <w:rPr>
          <w:rFonts w:hint="eastAsia" w:ascii="仿宋" w:hAnsi="仿宋" w:eastAsia="仿宋" w:cs="仿宋_GB2312"/>
          <w:color w:val="auto"/>
          <w:spacing w:val="-4"/>
        </w:rPr>
        <w:t xml:space="preserve">    在市场竞争机制作用下，某宗房地产的价格，受与其用途相同、区位相近、具有可替代性的其它房地产的价格的影响和牵制，价格趋于相同或一致。</w:t>
      </w:r>
    </w:p>
    <w:p>
      <w:pPr>
        <w:spacing w:line="460" w:lineRule="exact"/>
        <w:rPr>
          <w:rFonts w:ascii="仿宋" w:hAnsi="仿宋" w:eastAsia="仿宋" w:cs="仿宋_GB2312"/>
          <w:color w:val="auto"/>
        </w:rPr>
      </w:pPr>
      <w:r>
        <w:rPr>
          <w:rFonts w:hint="eastAsia" w:ascii="仿宋" w:hAnsi="仿宋" w:eastAsia="仿宋" w:cs="仿宋_GB2312"/>
          <w:color w:val="auto"/>
        </w:rPr>
        <w:t>5.价值时点原则</w:t>
      </w:r>
    </w:p>
    <w:p>
      <w:pPr>
        <w:spacing w:line="460" w:lineRule="exact"/>
        <w:rPr>
          <w:rFonts w:ascii="仿宋" w:hAnsi="仿宋" w:eastAsia="仿宋" w:cs="仿宋_GB2312"/>
          <w:color w:val="auto"/>
        </w:rPr>
      </w:pPr>
      <w:r>
        <w:rPr>
          <w:rFonts w:hint="eastAsia" w:ascii="仿宋" w:hAnsi="仿宋" w:eastAsia="仿宋" w:cs="仿宋_GB2312"/>
          <w:color w:val="auto"/>
        </w:rPr>
        <w:t xml:space="preserve">    价值时点原则要求房地产估价结果应是估价对象在价值时点时的客观合理价格或价值。</w:t>
      </w:r>
    </w:p>
    <w:p>
      <w:pPr>
        <w:spacing w:line="460" w:lineRule="exact"/>
        <w:rPr>
          <w:rFonts w:ascii="仿宋" w:hAnsi="仿宋" w:eastAsia="仿宋" w:cs="仿宋_GB2312"/>
          <w:color w:val="auto"/>
        </w:rPr>
      </w:pPr>
      <w:r>
        <w:rPr>
          <w:rFonts w:hint="eastAsia" w:ascii="仿宋" w:hAnsi="仿宋" w:eastAsia="仿宋" w:cs="仿宋_GB2312"/>
          <w:color w:val="auto"/>
        </w:rPr>
        <w:t>6.预期收益原则</w:t>
      </w:r>
    </w:p>
    <w:p>
      <w:pPr>
        <w:spacing w:line="500" w:lineRule="exact"/>
        <w:ind w:firstLine="560" w:firstLineChars="200"/>
        <w:rPr>
          <w:rFonts w:ascii="仿宋" w:hAnsi="仿宋" w:eastAsia="仿宋" w:cs="仿宋_GB2312"/>
          <w:color w:val="auto"/>
        </w:rPr>
      </w:pPr>
      <w:r>
        <w:rPr>
          <w:rFonts w:hint="eastAsia" w:ascii="仿宋" w:hAnsi="仿宋" w:eastAsia="仿宋" w:cs="仿宋_GB2312"/>
          <w:color w:val="auto"/>
        </w:rPr>
        <w:t>对于地价的评估，重要的并非是过去而是未来。过去收益的重要意义，在于推测未来收益变化的动向提供依据。估价人员必须了解土地的收益状况，并对土地市场现状、发展趋势、政治经济形势，以及政策规定等影响进行细致的分析，对预期收益作出准确判断。</w:t>
      </w:r>
    </w:p>
    <w:p>
      <w:pPr>
        <w:pStyle w:val="3"/>
        <w:spacing w:before="312" w:after="312"/>
        <w:jc w:val="both"/>
        <w:rPr>
          <w:rFonts w:hint="default" w:ascii="仿宋" w:hAnsi="仿宋" w:eastAsia="仿宋" w:cs="仿宋_GB2312"/>
          <w:color w:val="auto"/>
        </w:rPr>
      </w:pPr>
      <w:bookmarkStart w:id="79" w:name="_Toc19549218"/>
      <w:bookmarkStart w:id="80" w:name="_Toc6878"/>
      <w:bookmarkStart w:id="81" w:name="_Toc257272340"/>
      <w:r>
        <w:rPr>
          <w:rFonts w:ascii="仿宋" w:hAnsi="仿宋" w:eastAsia="仿宋" w:cs="仿宋_GB2312"/>
          <w:color w:val="auto"/>
        </w:rPr>
        <w:t>八、估价依据</w:t>
      </w:r>
      <w:bookmarkEnd w:id="79"/>
      <w:bookmarkEnd w:id="80"/>
    </w:p>
    <w:p>
      <w:pPr>
        <w:spacing w:line="500" w:lineRule="exact"/>
        <w:rPr>
          <w:rFonts w:ascii="仿宋" w:hAnsi="仿宋" w:eastAsia="仿宋" w:cs="仿宋_GB2312"/>
          <w:color w:val="auto"/>
          <w:szCs w:val="28"/>
        </w:rPr>
      </w:pPr>
      <w:r>
        <w:rPr>
          <w:rFonts w:hint="eastAsia" w:ascii="仿宋" w:hAnsi="仿宋" w:eastAsia="仿宋" w:cs="仿宋_GB2312"/>
          <w:color w:val="auto"/>
          <w:kern w:val="0"/>
          <w:szCs w:val="28"/>
        </w:rPr>
        <w:t>1、有关法律、法规和政策依据</w:t>
      </w:r>
    </w:p>
    <w:p>
      <w:pPr>
        <w:spacing w:line="500" w:lineRule="exact"/>
        <w:rPr>
          <w:rFonts w:ascii="仿宋" w:hAnsi="仿宋" w:eastAsia="仿宋" w:cs="仿宋_GB2312"/>
          <w:color w:val="auto"/>
          <w:szCs w:val="28"/>
        </w:rPr>
      </w:pPr>
      <w:r>
        <w:rPr>
          <w:rFonts w:hint="eastAsia" w:ascii="仿宋" w:hAnsi="仿宋" w:eastAsia="仿宋" w:cs="仿宋_GB2312"/>
          <w:color w:val="auto"/>
          <w:szCs w:val="28"/>
        </w:rPr>
        <w:t>（1）《中华人民共和国土地管理法》（2004年8月28日第十届全国人民代表大会常务委员会第十一次会议修订，公布之日起施行）；</w:t>
      </w:r>
    </w:p>
    <w:p>
      <w:pPr>
        <w:spacing w:line="500" w:lineRule="exact"/>
        <w:rPr>
          <w:rFonts w:ascii="仿宋" w:hAnsi="仿宋" w:eastAsia="仿宋" w:cs="仿宋_GB2312"/>
          <w:color w:val="auto"/>
          <w:szCs w:val="28"/>
        </w:rPr>
      </w:pPr>
      <w:r>
        <w:rPr>
          <w:rFonts w:hint="eastAsia" w:ascii="仿宋" w:hAnsi="仿宋" w:eastAsia="仿宋" w:cs="仿宋_GB2312"/>
          <w:color w:val="auto"/>
          <w:szCs w:val="28"/>
        </w:rPr>
        <w:t>（2）《中华人民共和国城市房地产管理法》（中华人民共和国主席令第29号，2007年8月30日）；</w:t>
      </w:r>
    </w:p>
    <w:p>
      <w:pPr>
        <w:spacing w:line="500" w:lineRule="exact"/>
        <w:rPr>
          <w:rFonts w:ascii="仿宋" w:hAnsi="仿宋" w:eastAsia="仿宋" w:cs="仿宋_GB2312"/>
          <w:color w:val="auto"/>
          <w:szCs w:val="28"/>
        </w:rPr>
      </w:pPr>
      <w:r>
        <w:rPr>
          <w:rFonts w:hint="eastAsia" w:ascii="仿宋" w:hAnsi="仿宋" w:eastAsia="仿宋" w:cs="仿宋_GB2312"/>
          <w:color w:val="auto"/>
          <w:szCs w:val="28"/>
        </w:rPr>
        <w:t>（3）《中华人民共和国物权法》（2007年3月16日第十届全国人民代表大会第五次会议通过，2007年10月1日起施行）；</w:t>
      </w:r>
    </w:p>
    <w:p>
      <w:pPr>
        <w:spacing w:line="500" w:lineRule="exact"/>
        <w:rPr>
          <w:rFonts w:ascii="仿宋" w:hAnsi="仿宋" w:eastAsia="仿宋" w:cs="仿宋_GB2312"/>
          <w:color w:val="auto"/>
          <w:szCs w:val="28"/>
        </w:rPr>
      </w:pPr>
      <w:r>
        <w:rPr>
          <w:rFonts w:hint="eastAsia" w:ascii="仿宋" w:hAnsi="仿宋" w:eastAsia="仿宋" w:cs="仿宋_GB2312"/>
          <w:color w:val="auto"/>
          <w:szCs w:val="28"/>
        </w:rPr>
        <w:t>（</w:t>
      </w:r>
      <w:r>
        <w:rPr>
          <w:rFonts w:ascii="仿宋" w:hAnsi="仿宋" w:eastAsia="仿宋" w:cs="仿宋_GB2312"/>
          <w:color w:val="auto"/>
          <w:szCs w:val="28"/>
        </w:rPr>
        <w:t>4</w:t>
      </w:r>
      <w:r>
        <w:rPr>
          <w:rFonts w:hint="eastAsia" w:ascii="仿宋" w:hAnsi="仿宋" w:eastAsia="仿宋" w:cs="仿宋_GB2312"/>
          <w:color w:val="auto"/>
          <w:szCs w:val="28"/>
        </w:rPr>
        <w:t>）《中华人民共和国资产评估法》</w:t>
      </w:r>
      <w:r>
        <w:rPr>
          <w:rFonts w:ascii="仿宋" w:hAnsi="仿宋" w:eastAsia="仿宋" w:cs="仿宋_GB2312"/>
          <w:color w:val="auto"/>
          <w:szCs w:val="28"/>
        </w:rPr>
        <w:t>(</w:t>
      </w:r>
      <w:r>
        <w:rPr>
          <w:rFonts w:hint="eastAsia" w:ascii="仿宋" w:hAnsi="仿宋" w:eastAsia="仿宋" w:cs="仿宋_GB2312"/>
          <w:color w:val="auto"/>
          <w:szCs w:val="28"/>
        </w:rPr>
        <w:t>中华人民共和国第十二届全国人民代表大会常务委员会第二十一次会议于</w:t>
      </w:r>
      <w:r>
        <w:rPr>
          <w:rFonts w:ascii="仿宋" w:hAnsi="仿宋" w:eastAsia="仿宋" w:cs="仿宋_GB2312"/>
          <w:color w:val="auto"/>
          <w:szCs w:val="28"/>
        </w:rPr>
        <w:t>2016</w:t>
      </w:r>
      <w:r>
        <w:rPr>
          <w:rFonts w:hint="eastAsia" w:ascii="仿宋" w:hAnsi="仿宋" w:eastAsia="仿宋" w:cs="仿宋_GB2312"/>
          <w:color w:val="auto"/>
          <w:szCs w:val="28"/>
        </w:rPr>
        <w:t>年</w:t>
      </w:r>
      <w:r>
        <w:rPr>
          <w:rFonts w:ascii="仿宋" w:hAnsi="仿宋" w:eastAsia="仿宋" w:cs="仿宋_GB2312"/>
          <w:color w:val="auto"/>
          <w:szCs w:val="28"/>
        </w:rPr>
        <w:t>7</w:t>
      </w:r>
      <w:r>
        <w:rPr>
          <w:rFonts w:hint="eastAsia" w:ascii="仿宋" w:hAnsi="仿宋" w:eastAsia="仿宋" w:cs="仿宋_GB2312"/>
          <w:color w:val="auto"/>
          <w:szCs w:val="28"/>
        </w:rPr>
        <w:t>月</w:t>
      </w:r>
      <w:r>
        <w:rPr>
          <w:rFonts w:ascii="仿宋" w:hAnsi="仿宋" w:eastAsia="仿宋" w:cs="仿宋_GB2312"/>
          <w:color w:val="auto"/>
          <w:szCs w:val="28"/>
        </w:rPr>
        <w:t>2</w:t>
      </w:r>
      <w:r>
        <w:rPr>
          <w:rFonts w:hint="eastAsia" w:ascii="仿宋" w:hAnsi="仿宋" w:eastAsia="仿宋" w:cs="仿宋_GB2312"/>
          <w:color w:val="auto"/>
          <w:szCs w:val="28"/>
        </w:rPr>
        <w:t>日通过，中华人民共和国主席令第</w:t>
      </w:r>
      <w:r>
        <w:rPr>
          <w:rFonts w:ascii="仿宋" w:hAnsi="仿宋" w:eastAsia="仿宋" w:cs="仿宋_GB2312"/>
          <w:color w:val="auto"/>
          <w:szCs w:val="28"/>
        </w:rPr>
        <w:t>46</w:t>
      </w:r>
      <w:r>
        <w:rPr>
          <w:rFonts w:hint="eastAsia" w:ascii="仿宋" w:hAnsi="仿宋" w:eastAsia="仿宋" w:cs="仿宋_GB2312"/>
          <w:color w:val="auto"/>
          <w:szCs w:val="28"/>
        </w:rPr>
        <w:t>号颁布，自</w:t>
      </w:r>
      <w:r>
        <w:rPr>
          <w:rFonts w:ascii="仿宋" w:hAnsi="仿宋" w:eastAsia="仿宋" w:cs="仿宋_GB2312"/>
          <w:color w:val="auto"/>
          <w:szCs w:val="28"/>
        </w:rPr>
        <w:t>2016</w:t>
      </w:r>
      <w:r>
        <w:rPr>
          <w:rFonts w:hint="eastAsia" w:ascii="仿宋" w:hAnsi="仿宋" w:eastAsia="仿宋" w:cs="仿宋_GB2312"/>
          <w:color w:val="auto"/>
          <w:szCs w:val="28"/>
        </w:rPr>
        <w:t>年</w:t>
      </w:r>
      <w:r>
        <w:rPr>
          <w:rFonts w:ascii="仿宋" w:hAnsi="仿宋" w:eastAsia="仿宋" w:cs="仿宋_GB2312"/>
          <w:color w:val="auto"/>
          <w:szCs w:val="28"/>
        </w:rPr>
        <w:t>12</w:t>
      </w:r>
      <w:r>
        <w:rPr>
          <w:rFonts w:hint="eastAsia" w:ascii="仿宋" w:hAnsi="仿宋" w:eastAsia="仿宋" w:cs="仿宋_GB2312"/>
          <w:color w:val="auto"/>
          <w:szCs w:val="28"/>
        </w:rPr>
        <w:t>月</w:t>
      </w:r>
      <w:r>
        <w:rPr>
          <w:rFonts w:ascii="仿宋" w:hAnsi="仿宋" w:eastAsia="仿宋" w:cs="仿宋_GB2312"/>
          <w:color w:val="auto"/>
          <w:szCs w:val="28"/>
        </w:rPr>
        <w:t>1</w:t>
      </w:r>
      <w:r>
        <w:rPr>
          <w:rFonts w:hint="eastAsia" w:ascii="仿宋" w:hAnsi="仿宋" w:eastAsia="仿宋" w:cs="仿宋_GB2312"/>
          <w:color w:val="auto"/>
          <w:szCs w:val="28"/>
        </w:rPr>
        <w:t>日起施行</w:t>
      </w:r>
      <w:r>
        <w:rPr>
          <w:rFonts w:ascii="仿宋" w:hAnsi="仿宋" w:eastAsia="仿宋" w:cs="仿宋_GB2312"/>
          <w:color w:val="auto"/>
          <w:szCs w:val="28"/>
        </w:rPr>
        <w:t>)</w:t>
      </w:r>
      <w:r>
        <w:rPr>
          <w:rFonts w:hint="eastAsia" w:ascii="仿宋" w:hAnsi="仿宋" w:eastAsia="仿宋" w:cs="仿宋_GB2312"/>
          <w:color w:val="auto"/>
          <w:szCs w:val="28"/>
        </w:rPr>
        <w:t>；</w:t>
      </w:r>
    </w:p>
    <w:p>
      <w:pPr>
        <w:spacing w:line="500" w:lineRule="exact"/>
        <w:rPr>
          <w:rFonts w:ascii="仿宋" w:hAnsi="仿宋" w:eastAsia="仿宋" w:cs="仿宋_GB2312"/>
          <w:color w:val="auto"/>
        </w:rPr>
      </w:pPr>
      <w:r>
        <w:rPr>
          <w:rFonts w:hint="eastAsia" w:ascii="仿宋" w:hAnsi="仿宋" w:eastAsia="仿宋" w:cs="仿宋_GB2312"/>
          <w:color w:val="auto"/>
        </w:rPr>
        <w:t>2、有关估价标准依据</w:t>
      </w:r>
    </w:p>
    <w:p>
      <w:pPr>
        <w:tabs>
          <w:tab w:val="left" w:pos="0"/>
        </w:tabs>
        <w:adjustRightInd w:val="0"/>
        <w:snapToGrid w:val="0"/>
        <w:spacing w:line="500" w:lineRule="exact"/>
        <w:rPr>
          <w:rFonts w:ascii="仿宋" w:hAnsi="仿宋" w:eastAsia="仿宋" w:cs="仿宋_GB2312"/>
          <w:color w:val="auto"/>
          <w:szCs w:val="28"/>
        </w:rPr>
      </w:pPr>
      <w:r>
        <w:rPr>
          <w:rFonts w:hint="eastAsia" w:ascii="仿宋" w:hAnsi="仿宋" w:eastAsia="仿宋" w:cs="仿宋_GB2312"/>
          <w:color w:val="auto"/>
        </w:rPr>
        <w:t>（1）</w:t>
      </w:r>
      <w:r>
        <w:rPr>
          <w:rFonts w:hint="eastAsia" w:ascii="仿宋" w:hAnsi="仿宋" w:eastAsia="仿宋" w:cs="仿宋_GB2312"/>
          <w:color w:val="auto"/>
          <w:szCs w:val="28"/>
        </w:rPr>
        <w:t>《房地产估价规范》</w:t>
      </w:r>
    </w:p>
    <w:p>
      <w:pPr>
        <w:tabs>
          <w:tab w:val="left" w:pos="0"/>
        </w:tabs>
        <w:adjustRightInd w:val="0"/>
        <w:snapToGrid w:val="0"/>
        <w:spacing w:line="500" w:lineRule="exact"/>
        <w:rPr>
          <w:rFonts w:ascii="仿宋" w:hAnsi="仿宋" w:eastAsia="仿宋" w:cs="仿宋_GB2312"/>
          <w:color w:val="auto"/>
          <w:szCs w:val="28"/>
        </w:rPr>
      </w:pPr>
      <w:r>
        <w:rPr>
          <w:rFonts w:hint="eastAsia" w:ascii="仿宋" w:hAnsi="仿宋" w:eastAsia="仿宋" w:cs="仿宋_GB2312"/>
          <w:color w:val="auto"/>
        </w:rPr>
        <w:t>（2）</w:t>
      </w:r>
      <w:r>
        <w:rPr>
          <w:rFonts w:hint="eastAsia" w:ascii="仿宋" w:hAnsi="仿宋" w:eastAsia="仿宋" w:cs="仿宋_GB2312"/>
          <w:color w:val="auto"/>
          <w:szCs w:val="28"/>
        </w:rPr>
        <w:t>《房地产估价基本术语标准》</w:t>
      </w:r>
    </w:p>
    <w:p>
      <w:pPr>
        <w:tabs>
          <w:tab w:val="left" w:pos="433"/>
        </w:tabs>
        <w:spacing w:line="460" w:lineRule="exact"/>
        <w:rPr>
          <w:rFonts w:ascii="仿宋" w:hAnsi="仿宋" w:eastAsia="仿宋" w:cs="仿宋_GB2312"/>
          <w:color w:val="auto"/>
        </w:rPr>
      </w:pPr>
      <w:r>
        <w:rPr>
          <w:rFonts w:hint="eastAsia" w:ascii="仿宋" w:hAnsi="仿宋" w:eastAsia="仿宋" w:cs="仿宋_GB2312"/>
          <w:color w:val="auto"/>
        </w:rPr>
        <w:t>3、估价委托书等估价委托人提供的资料依据</w:t>
      </w:r>
    </w:p>
    <w:p>
      <w:pPr>
        <w:spacing w:line="460" w:lineRule="exact"/>
        <w:rPr>
          <w:rFonts w:ascii="仿宋" w:hAnsi="仿宋" w:eastAsia="仿宋" w:cs="仿宋_GB2312"/>
          <w:color w:val="auto"/>
        </w:rPr>
      </w:pPr>
      <w:r>
        <w:rPr>
          <w:rFonts w:hint="eastAsia" w:ascii="仿宋" w:hAnsi="仿宋" w:eastAsia="仿宋" w:cs="仿宋_GB2312"/>
          <w:color w:val="auto"/>
        </w:rPr>
        <w:t>（1）《评估委托函》。</w:t>
      </w:r>
    </w:p>
    <w:p>
      <w:pPr>
        <w:spacing w:line="460" w:lineRule="exact"/>
        <w:rPr>
          <w:rFonts w:ascii="仿宋" w:hAnsi="仿宋" w:eastAsia="仿宋" w:cs="仿宋_GB2312"/>
          <w:color w:val="auto"/>
        </w:rPr>
      </w:pPr>
      <w:r>
        <w:rPr>
          <w:rFonts w:hint="eastAsia" w:ascii="仿宋" w:hAnsi="仿宋" w:eastAsia="仿宋" w:cs="仿宋_GB2312"/>
          <w:color w:val="auto"/>
        </w:rPr>
        <w:t>4、估价机构、估价师掌握和搜集的有关材料依据</w:t>
      </w:r>
    </w:p>
    <w:p>
      <w:pPr>
        <w:spacing w:line="460" w:lineRule="exact"/>
        <w:rPr>
          <w:rFonts w:ascii="仿宋" w:hAnsi="仿宋" w:eastAsia="仿宋" w:cs="仿宋_GB2312"/>
          <w:color w:val="auto"/>
        </w:rPr>
      </w:pPr>
      <w:r>
        <w:rPr>
          <w:rFonts w:hint="eastAsia" w:ascii="仿宋" w:hAnsi="仿宋" w:eastAsia="仿宋" w:cs="仿宋_GB2312"/>
          <w:color w:val="auto"/>
        </w:rPr>
        <w:t>（1）估价人员现场查看；</w:t>
      </w:r>
    </w:p>
    <w:p>
      <w:pPr>
        <w:spacing w:line="460" w:lineRule="exact"/>
        <w:rPr>
          <w:rFonts w:ascii="仿宋" w:hAnsi="仿宋" w:eastAsia="仿宋" w:cs="仿宋_GB2312"/>
          <w:color w:val="auto"/>
        </w:rPr>
      </w:pPr>
      <w:r>
        <w:rPr>
          <w:rFonts w:hint="eastAsia" w:ascii="仿宋" w:hAnsi="仿宋" w:eastAsia="仿宋" w:cs="仿宋_GB2312"/>
          <w:color w:val="auto"/>
        </w:rPr>
        <w:t>（2）估价人员调查、收集的相关资料。</w:t>
      </w:r>
      <w:bookmarkEnd w:id="81"/>
      <w:bookmarkStart w:id="82" w:name="_Toc257272341"/>
    </w:p>
    <w:bookmarkEnd w:id="82"/>
    <w:p>
      <w:pPr>
        <w:pStyle w:val="3"/>
        <w:spacing w:before="312" w:after="312"/>
        <w:jc w:val="both"/>
        <w:rPr>
          <w:rFonts w:hint="default" w:ascii="仿宋" w:hAnsi="仿宋" w:eastAsia="仿宋" w:cs="仿宋_GB2312"/>
          <w:color w:val="auto"/>
        </w:rPr>
      </w:pPr>
      <w:bookmarkStart w:id="83" w:name="_Toc20750"/>
      <w:bookmarkStart w:id="84" w:name="_Toc19549219"/>
      <w:bookmarkStart w:id="85" w:name="_Toc257272342"/>
      <w:r>
        <w:rPr>
          <w:rFonts w:ascii="仿宋" w:hAnsi="仿宋" w:eastAsia="仿宋" w:cs="仿宋_GB2312"/>
          <w:color w:val="auto"/>
        </w:rPr>
        <w:t>九、估价方法</w:t>
      </w:r>
      <w:bookmarkEnd w:id="83"/>
      <w:bookmarkEnd w:id="84"/>
      <w:bookmarkEnd w:id="85"/>
    </w:p>
    <w:p>
      <w:pPr>
        <w:spacing w:line="500" w:lineRule="exact"/>
        <w:rPr>
          <w:rFonts w:ascii="仿宋" w:hAnsi="仿宋" w:eastAsia="仿宋" w:cs="仿宋_GB2312"/>
          <w:color w:val="auto"/>
        </w:rPr>
      </w:pPr>
      <w:bookmarkStart w:id="86" w:name="_Toc19549220"/>
      <w:bookmarkStart w:id="87" w:name="_Toc257272343"/>
      <w:r>
        <w:rPr>
          <w:rFonts w:hint="eastAsia" w:ascii="仿宋" w:hAnsi="仿宋" w:eastAsia="仿宋" w:cs="仿宋_GB2312"/>
          <w:color w:val="auto"/>
        </w:rPr>
        <w:t>根据《房地产估价规范》，结合委托人提供的权属证明材料，以及估价对象的具体条件、评估目的，测算估价对象房地产的单位价值，根据建筑面积计算得到估价对象的房地产价值。</w:t>
      </w:r>
    </w:p>
    <w:p>
      <w:pPr>
        <w:spacing w:line="500" w:lineRule="exact"/>
        <w:rPr>
          <w:rFonts w:ascii="仿宋" w:hAnsi="仿宋" w:eastAsia="仿宋" w:cs="仿宋_GB2312"/>
          <w:color w:val="auto"/>
        </w:rPr>
      </w:pPr>
      <w:r>
        <w:rPr>
          <w:rFonts w:hint="eastAsia" w:ascii="仿宋" w:hAnsi="仿宋" w:eastAsia="仿宋" w:cs="仿宋_GB2312"/>
          <w:color w:val="auto"/>
        </w:rPr>
        <w:t xml:space="preserve">    房地产估价应在遵循估价原则的前提下，采用科学、合理的方法经行评估，房地产评估的主要方法有比较法、收益法、成本法、假设开发法、基准地价修正法、以及趋势分析法等其他辅助方法等。</w:t>
      </w:r>
    </w:p>
    <w:p>
      <w:pPr>
        <w:spacing w:line="500" w:lineRule="exact"/>
        <w:rPr>
          <w:rFonts w:ascii="仿宋" w:hAnsi="仿宋" w:eastAsia="仿宋" w:cs="仿宋_GB2312"/>
          <w:color w:val="auto"/>
        </w:rPr>
      </w:pPr>
      <w:r>
        <w:rPr>
          <w:rFonts w:hint="eastAsia" w:ascii="仿宋" w:hAnsi="仿宋" w:eastAsia="仿宋" w:cs="仿宋_GB2312"/>
          <w:color w:val="auto"/>
        </w:rPr>
        <w:t xml:space="preserve">   </w:t>
      </w:r>
      <w:r>
        <w:rPr>
          <w:rFonts w:hint="eastAsia" w:ascii="仿宋" w:hAnsi="仿宋" w:eastAsia="仿宋" w:cs="仿宋_GB2312"/>
          <w:color w:val="auto"/>
        </w:rPr>
        <w:t xml:space="preserve"> </w:t>
      </w:r>
      <w:r>
        <w:rPr>
          <w:rFonts w:hint="eastAsia" w:ascii="仿宋" w:hAnsi="仿宋" w:eastAsia="仿宋" w:cs="仿宋_GB2312"/>
          <w:color w:val="auto"/>
          <w:szCs w:val="28"/>
        </w:rPr>
        <w:t>根据估价对象的实际情况，选择适当的评估方法：估价师结合此次评估目的，</w:t>
      </w:r>
      <w:r>
        <w:rPr>
          <w:rFonts w:hint="eastAsia" w:ascii="仿宋" w:hAnsi="仿宋" w:eastAsia="仿宋" w:cs="仿宋_GB2312"/>
          <w:color w:val="auto"/>
        </w:rPr>
        <w:t>根据委托人提供的权属证明材料，经过实地勘查，认真的调查分析，选择适当的评估方法：委估房地产在估价时已建成，不适用假设开发法评估；估价对象的周边有较多的交易案例，市场交易相对比较跃度，故选用比较法作为估价方法；</w:t>
      </w:r>
      <w:r>
        <w:rPr>
          <w:rFonts w:hint="eastAsia" w:ascii="仿宋" w:hAnsi="仿宋" w:eastAsia="仿宋" w:cs="仿宋_GB2312"/>
          <w:snapToGrid w:val="0"/>
          <w:color w:val="auto"/>
          <w:kern w:val="0"/>
          <w:szCs w:val="28"/>
        </w:rPr>
        <w:t>收益法测算的收益价格为其未来净收益的现值之和，在房地产市场行情不稳定的情形下，存在各种不确定因素及非理性因素的作用，测算的收益价格会与市场价格相差较远，故本次评估不宜采用收益法进行评估。</w:t>
      </w:r>
      <w:r>
        <w:rPr>
          <w:rFonts w:hint="eastAsia" w:ascii="仿宋" w:hAnsi="仿宋" w:eastAsia="仿宋" w:cs="仿宋_GB2312"/>
          <w:color w:val="auto"/>
        </w:rPr>
        <w:t>同时成本法不能反映估价对象的市场价值，故不予采用</w:t>
      </w:r>
      <w:r>
        <w:rPr>
          <w:rFonts w:hint="eastAsia" w:ascii="仿宋" w:hAnsi="仿宋" w:eastAsia="仿宋" w:cs="仿宋_GB2312"/>
          <w:color w:val="auto"/>
        </w:rPr>
        <w:t>。</w:t>
      </w:r>
    </w:p>
    <w:p>
      <w:pPr>
        <w:spacing w:line="500" w:lineRule="exact"/>
        <w:rPr>
          <w:rFonts w:ascii="仿宋" w:hAnsi="仿宋" w:eastAsia="仿宋" w:cs="仿宋_GB2312"/>
          <w:b/>
          <w:color w:val="auto"/>
        </w:rPr>
      </w:pPr>
      <w:r>
        <w:rPr>
          <w:rFonts w:hint="eastAsia" w:ascii="仿宋" w:hAnsi="仿宋" w:eastAsia="仿宋" w:cs="仿宋_GB2312"/>
          <w:b/>
          <w:color w:val="auto"/>
        </w:rPr>
        <w:t>※比较法</w:t>
      </w:r>
    </w:p>
    <w:p>
      <w:pPr>
        <w:spacing w:line="500" w:lineRule="exact"/>
        <w:ind w:firstLine="560" w:firstLineChars="200"/>
        <w:rPr>
          <w:rFonts w:ascii="仿宋" w:hAnsi="仿宋" w:eastAsia="仿宋" w:cs="仿宋_GB2312"/>
          <w:color w:val="auto"/>
        </w:rPr>
      </w:pPr>
      <w:r>
        <w:rPr>
          <w:rFonts w:hint="eastAsia" w:ascii="仿宋" w:hAnsi="仿宋" w:eastAsia="仿宋" w:cs="仿宋_GB2312"/>
          <w:color w:val="auto"/>
        </w:rPr>
        <w:t>比较法是指在评估估价对象时，根据替代原则，将估价对象与在同一区域内较近时期内已发生交易的类似房地产交易案例进行对照比较，并根据后者已知的价格，参照该房地产的交易情况、期日、区域以及个别因素等差别，修正得出估价对象的价值时点的房地产价格的方法，通常把由市场法求得的价格称为比准价格。其计算公式为：</w:t>
      </w:r>
    </w:p>
    <w:p>
      <w:pPr>
        <w:pStyle w:val="8"/>
        <w:ind w:left="0" w:leftChars="0" w:right="0" w:rightChars="0" w:firstLine="0"/>
        <w:jc w:val="center"/>
        <w:rPr>
          <w:rFonts w:ascii="仿宋" w:hAnsi="仿宋" w:eastAsia="仿宋" w:cs="仿宋_GB2312"/>
          <w:color w:val="auto"/>
        </w:rPr>
      </w:pPr>
      <w:r>
        <w:rPr>
          <w:rFonts w:hint="eastAsia" w:ascii="仿宋" w:hAnsi="仿宋" w:eastAsia="仿宋" w:cs="仿宋_GB2312"/>
          <w:color w:val="auto"/>
        </w:rPr>
        <w:t>估价对象价格＝交易情况修正系数×市场状况调整调整系数×区位状况调整系数×实物状况调整系数×可比实例房地产价格</w:t>
      </w:r>
    </w:p>
    <w:p>
      <w:pPr>
        <w:pStyle w:val="3"/>
        <w:spacing w:before="312" w:after="312"/>
        <w:jc w:val="both"/>
        <w:rPr>
          <w:rFonts w:hint="default" w:ascii="仿宋" w:hAnsi="仿宋" w:eastAsia="仿宋" w:cs="仿宋_GB2312"/>
          <w:color w:val="auto"/>
        </w:rPr>
      </w:pPr>
      <w:bookmarkStart w:id="88" w:name="_Toc3509"/>
      <w:r>
        <w:rPr>
          <w:rFonts w:ascii="仿宋" w:hAnsi="仿宋" w:eastAsia="仿宋" w:cs="仿宋_GB2312"/>
          <w:color w:val="auto"/>
        </w:rPr>
        <w:t>十、估价结果</w:t>
      </w:r>
      <w:bookmarkEnd w:id="86"/>
      <w:bookmarkEnd w:id="87"/>
      <w:bookmarkEnd w:id="88"/>
    </w:p>
    <w:p>
      <w:pPr>
        <w:spacing w:line="500" w:lineRule="exact"/>
        <w:ind w:firstLine="560" w:firstLineChars="200"/>
        <w:rPr>
          <w:rFonts w:ascii="仿宋" w:hAnsi="仿宋" w:eastAsia="仿宋" w:cs="仿宋_GB2312"/>
          <w:color w:val="auto"/>
        </w:rPr>
      </w:pPr>
      <w:r>
        <w:rPr>
          <w:rFonts w:hint="eastAsia" w:ascii="仿宋" w:hAnsi="仿宋" w:eastAsia="仿宋" w:cs="仿宋_GB2312"/>
          <w:color w:val="auto"/>
        </w:rPr>
        <w:t>经估价人员现场查勘和对当地市场进行分析，按照房地产评估的基本原则和估价程序，根据估价对象房地产特点，采用</w:t>
      </w:r>
      <w:r>
        <w:rPr>
          <w:rFonts w:hint="eastAsia" w:ascii="仿宋" w:hAnsi="仿宋" w:eastAsia="仿宋" w:cs="仿宋_GB2312"/>
          <w:color w:val="auto"/>
        </w:rPr>
        <w:t>比较法</w:t>
      </w:r>
      <w:r>
        <w:rPr>
          <w:rFonts w:hint="eastAsia" w:ascii="仿宋" w:hAnsi="仿宋" w:eastAsia="仿宋" w:cs="仿宋_GB2312"/>
          <w:color w:val="auto"/>
        </w:rPr>
        <w:t>进行评估，得到估价对象房地产在价值时点法定用途为住宅于价值时点2020年4月3日的房地产市场价值为</w:t>
      </w:r>
      <w:r>
        <w:rPr>
          <w:rFonts w:hint="eastAsia" w:ascii="仿宋" w:hAnsi="仿宋" w:eastAsia="仿宋" w:cs="仿宋_GB2312"/>
          <w:color w:val="auto"/>
        </w:rPr>
        <w:t>：</w:t>
      </w:r>
    </w:p>
    <w:p>
      <w:pPr>
        <w:pStyle w:val="17"/>
        <w:snapToGrid w:val="0"/>
        <w:spacing w:line="240" w:lineRule="atLeast"/>
        <w:rPr>
          <w:rFonts w:ascii="仿宋" w:hAnsi="仿宋_GB2312" w:eastAsia="仿宋_GB2312"/>
          <w:color w:val="auto"/>
          <w:szCs w:val="28"/>
        </w:rPr>
      </w:pPr>
      <w:bookmarkStart w:id="89" w:name="_Toc19549221"/>
      <w:r>
        <w:rPr>
          <w:rFonts w:ascii="仿宋" w:hAnsi="仿宋" w:eastAsia="仿宋"/>
          <w:color w:val="auto"/>
          <w:szCs w:val="28"/>
        </w:rPr>
        <w:t>评估面积</w:t>
      </w:r>
      <w:r>
        <w:rPr>
          <w:rFonts w:hint="eastAsia" w:ascii="仿宋" w:hAnsi="仿宋" w:eastAsia="仿宋"/>
          <w:color w:val="auto"/>
          <w:szCs w:val="28"/>
        </w:rPr>
        <w:t>：138.74</w:t>
      </w:r>
      <w:r>
        <w:rPr>
          <w:rFonts w:ascii="仿宋" w:hAnsi="仿宋" w:eastAsia="仿宋"/>
          <w:b/>
          <w:color w:val="auto"/>
          <w:szCs w:val="28"/>
        </w:rPr>
        <w:t>平方米</w:t>
      </w:r>
      <w:r>
        <w:rPr>
          <w:rFonts w:ascii="仿宋" w:hAnsi="仿宋" w:eastAsia="仿宋"/>
          <w:color w:val="auto"/>
          <w:szCs w:val="28"/>
        </w:rPr>
        <w:t>；</w:t>
      </w:r>
    </w:p>
    <w:p>
      <w:pPr>
        <w:pStyle w:val="17"/>
        <w:snapToGrid w:val="0"/>
        <w:spacing w:line="240" w:lineRule="atLeast"/>
        <w:rPr>
          <w:rFonts w:ascii="仿宋" w:hAnsi="仿宋_GB2312" w:eastAsia="仿宋_GB2312"/>
          <w:color w:val="auto"/>
          <w:szCs w:val="28"/>
        </w:rPr>
      </w:pPr>
      <w:r>
        <w:rPr>
          <w:rFonts w:ascii="仿宋" w:hAnsi="仿宋" w:eastAsia="仿宋"/>
          <w:color w:val="auto"/>
          <w:szCs w:val="28"/>
        </w:rPr>
        <w:t>评估单价：</w:t>
      </w:r>
      <w:r>
        <w:rPr>
          <w:rFonts w:hint="eastAsia" w:ascii="仿宋" w:hAnsi="仿宋" w:eastAsia="仿宋"/>
          <w:color w:val="auto"/>
          <w:szCs w:val="28"/>
        </w:rPr>
        <w:t>7420</w:t>
      </w:r>
      <w:r>
        <w:rPr>
          <w:rFonts w:hint="eastAsia" w:ascii="仿宋" w:hAnsi="仿宋" w:eastAsia="仿宋"/>
          <w:b/>
          <w:color w:val="auto"/>
          <w:szCs w:val="28"/>
        </w:rPr>
        <w:t>元/平方米</w:t>
      </w:r>
      <w:r>
        <w:rPr>
          <w:rFonts w:hint="eastAsia" w:ascii="仿宋" w:hAnsi="仿宋_GB2312" w:eastAsia="仿宋_GB2312"/>
          <w:b/>
          <w:color w:val="auto"/>
          <w:szCs w:val="28"/>
        </w:rPr>
        <w:t>（取整</w:t>
      </w:r>
      <w:r>
        <w:rPr>
          <w:rFonts w:ascii="仿宋" w:hAnsi="仿宋_GB2312" w:eastAsia="仿宋_GB2312"/>
          <w:b/>
          <w:color w:val="auto"/>
          <w:szCs w:val="28"/>
        </w:rPr>
        <w:t>到</w:t>
      </w:r>
      <w:r>
        <w:rPr>
          <w:rFonts w:hint="eastAsia" w:ascii="仿宋" w:hAnsi="仿宋_GB2312" w:eastAsia="仿宋_GB2312"/>
          <w:b/>
          <w:color w:val="auto"/>
          <w:szCs w:val="28"/>
        </w:rPr>
        <w:t>十</w:t>
      </w:r>
      <w:r>
        <w:rPr>
          <w:rFonts w:ascii="仿宋" w:hAnsi="仿宋_GB2312" w:eastAsia="仿宋_GB2312"/>
          <w:b/>
          <w:color w:val="auto"/>
          <w:szCs w:val="28"/>
        </w:rPr>
        <w:t>位）</w:t>
      </w:r>
      <w:r>
        <w:rPr>
          <w:rFonts w:hint="eastAsia" w:ascii="仿宋" w:hAnsi="仿宋_GB2312" w:eastAsia="仿宋_GB2312"/>
          <w:color w:val="auto"/>
          <w:szCs w:val="28"/>
        </w:rPr>
        <w:t>；</w:t>
      </w:r>
    </w:p>
    <w:p>
      <w:pPr>
        <w:pStyle w:val="6"/>
        <w:spacing w:line="240" w:lineRule="atLeast"/>
        <w:ind w:left="0"/>
        <w:rPr>
          <w:rFonts w:ascii="仿宋" w:hAnsi="仿宋" w:eastAsia="仿宋" w:cs="仿宋_GB2312"/>
          <w:color w:val="auto"/>
          <w:sz w:val="13"/>
          <w:szCs w:val="13"/>
        </w:rPr>
      </w:pPr>
      <w:r>
        <w:rPr>
          <w:rFonts w:hint="eastAsia" w:ascii="仿宋" w:hAnsi="仿宋" w:eastAsia="仿宋" w:cs="仿宋_GB2312"/>
          <w:b/>
          <w:color w:val="auto"/>
          <w:sz w:val="28"/>
          <w:szCs w:val="28"/>
        </w:rPr>
        <w:t>评估总价</w:t>
      </w:r>
      <w:r>
        <w:rPr>
          <w:rFonts w:hint="eastAsia" w:ascii="仿宋" w:hAnsi="仿宋" w:eastAsia="仿宋" w:cs="仿宋_GB2312"/>
          <w:color w:val="auto"/>
          <w:sz w:val="28"/>
          <w:szCs w:val="28"/>
        </w:rPr>
        <w:t>：102.95</w:t>
      </w:r>
      <w:r>
        <w:rPr>
          <w:rFonts w:hint="eastAsia" w:ascii="仿宋" w:hAnsi="仿宋" w:eastAsia="仿宋" w:cs="仿宋_GB2312"/>
          <w:b/>
          <w:color w:val="auto"/>
          <w:sz w:val="28"/>
          <w:szCs w:val="28"/>
        </w:rPr>
        <w:t>万元（取整到百位）</w:t>
      </w:r>
      <w:r>
        <w:rPr>
          <w:rFonts w:hint="eastAsia" w:ascii="仿宋_GB2312" w:eastAsia="仿宋_GB2312"/>
          <w:b/>
          <w:color w:val="auto"/>
          <w:spacing w:val="8"/>
          <w:sz w:val="13"/>
          <w:szCs w:val="13"/>
        </w:rPr>
        <w:t>（大写：人民币壹佰零贰万玖仟伍佰</w:t>
      </w:r>
      <w:r>
        <w:rPr>
          <w:rFonts w:ascii="仿宋_GB2312" w:eastAsia="仿宋_GB2312"/>
          <w:b/>
          <w:color w:val="auto"/>
          <w:spacing w:val="8"/>
          <w:sz w:val="13"/>
          <w:szCs w:val="13"/>
        </w:rPr>
        <w:t>元</w:t>
      </w:r>
      <w:r>
        <w:rPr>
          <w:rFonts w:hint="eastAsia" w:ascii="仿宋_GB2312" w:eastAsia="仿宋_GB2312"/>
          <w:b/>
          <w:color w:val="auto"/>
          <w:spacing w:val="8"/>
          <w:sz w:val="13"/>
          <w:szCs w:val="13"/>
        </w:rPr>
        <w:t>整</w:t>
      </w:r>
      <w:r>
        <w:rPr>
          <w:rFonts w:hint="eastAsia" w:ascii="仿宋" w:hAnsi="仿宋" w:eastAsia="仿宋" w:cs="仿宋_GB2312"/>
          <w:color w:val="auto"/>
          <w:sz w:val="13"/>
          <w:szCs w:val="13"/>
        </w:rPr>
        <w:t>）</w:t>
      </w:r>
    </w:p>
    <w:p>
      <w:pPr>
        <w:pStyle w:val="3"/>
        <w:spacing w:before="312" w:after="312"/>
        <w:jc w:val="both"/>
        <w:rPr>
          <w:rFonts w:hint="default" w:ascii="仿宋" w:hAnsi="仿宋" w:eastAsia="仿宋" w:cs="仿宋_GB2312"/>
          <w:color w:val="auto"/>
        </w:rPr>
      </w:pPr>
      <w:bookmarkStart w:id="90" w:name="_Toc18699"/>
      <w:r>
        <w:rPr>
          <w:rFonts w:ascii="仿宋" w:hAnsi="仿宋" w:eastAsia="仿宋" w:cs="仿宋_GB2312"/>
          <w:color w:val="auto"/>
        </w:rPr>
        <w:t>十一、注册房地产估价师</w:t>
      </w:r>
      <w:bookmarkEnd w:id="89"/>
      <w:bookmarkEnd w:id="90"/>
    </w:p>
    <w:p>
      <w:pPr>
        <w:spacing w:line="460" w:lineRule="exact"/>
        <w:ind w:firstLine="280" w:firstLineChars="100"/>
        <w:rPr>
          <w:rFonts w:ascii="仿宋" w:hAnsi="仿宋" w:eastAsia="仿宋" w:cs="仿宋_GB2312"/>
          <w:color w:val="auto"/>
        </w:rPr>
      </w:pPr>
      <w:r>
        <w:rPr>
          <w:rFonts w:hint="eastAsia" w:ascii="仿宋" w:hAnsi="仿宋" w:eastAsia="仿宋" w:cs="仿宋_GB2312"/>
          <w:color w:val="auto"/>
        </w:rPr>
        <w:t>姓  名       注册证书号      签  名         日期</w:t>
      </w:r>
    </w:p>
    <w:p>
      <w:pPr>
        <w:spacing w:line="600" w:lineRule="exact"/>
        <w:ind w:right="-445" w:rightChars="-159" w:firstLine="280" w:firstLineChars="100"/>
        <w:rPr>
          <w:rFonts w:ascii="仿宋" w:hAnsi="仿宋" w:eastAsia="仿宋" w:cs="仿宋_GB2312"/>
          <w:b/>
          <w:color w:val="auto"/>
          <w:sz w:val="32"/>
        </w:rPr>
      </w:pPr>
      <w:r>
        <w:rPr>
          <w:rFonts w:hint="eastAsia" w:ascii="仿宋" w:hAnsi="仿宋" w:eastAsia="仿宋" w:cs="仿宋_GB2312"/>
          <w:color w:val="auto"/>
        </w:rPr>
        <w:t xml:space="preserve">常 波    </w:t>
      </w:r>
      <w:r>
        <w:rPr>
          <w:rFonts w:ascii="仿宋" w:hAnsi="仿宋" w:eastAsia="仿宋" w:cs="仿宋_GB2312"/>
          <w:color w:val="auto"/>
        </w:rPr>
        <w:t xml:space="preserve">  </w:t>
      </w:r>
      <w:r>
        <w:rPr>
          <w:rFonts w:hint="eastAsia" w:ascii="仿宋" w:hAnsi="仿宋" w:eastAsia="仿宋" w:cs="仿宋_GB2312"/>
          <w:color w:val="auto"/>
        </w:rPr>
        <w:t xml:space="preserve"> 5320110052             </w:t>
      </w:r>
      <w:r>
        <w:rPr>
          <w:rFonts w:ascii="仿宋" w:hAnsi="仿宋" w:eastAsia="仿宋" w:cs="仿宋_GB2312"/>
          <w:color w:val="auto"/>
        </w:rPr>
        <w:t xml:space="preserve"> </w:t>
      </w:r>
      <w:r>
        <w:rPr>
          <w:rFonts w:hint="eastAsia" w:ascii="仿宋" w:hAnsi="仿宋" w:eastAsia="仿宋" w:cs="仿宋_GB2312"/>
          <w:color w:val="auto"/>
        </w:rPr>
        <w:t xml:space="preserve"> 2020年4月10 日</w:t>
      </w:r>
    </w:p>
    <w:p>
      <w:pPr>
        <w:widowControl/>
        <w:ind w:firstLine="280" w:firstLineChars="100"/>
        <w:rPr>
          <w:rFonts w:ascii="仿宋" w:hAnsi="仿宋" w:eastAsia="仿宋" w:cs="仿宋_GB2312"/>
          <w:color w:val="auto"/>
        </w:rPr>
      </w:pPr>
      <w:r>
        <w:rPr>
          <w:rFonts w:hint="eastAsia" w:ascii="仿宋" w:hAnsi="仿宋" w:eastAsia="仿宋" w:cs="仿宋_GB2312"/>
          <w:color w:val="auto"/>
        </w:rPr>
        <w:t xml:space="preserve">张 强    </w:t>
      </w:r>
      <w:r>
        <w:rPr>
          <w:rFonts w:ascii="仿宋" w:hAnsi="仿宋" w:eastAsia="仿宋" w:cs="仿宋_GB2312"/>
          <w:color w:val="auto"/>
        </w:rPr>
        <w:t xml:space="preserve">   </w:t>
      </w:r>
      <w:r>
        <w:rPr>
          <w:rFonts w:hint="eastAsia" w:ascii="仿宋" w:hAnsi="仿宋" w:eastAsia="仿宋" w:cs="仿宋_GB2312"/>
          <w:color w:val="auto"/>
        </w:rPr>
        <w:t xml:space="preserve">5220180031             </w:t>
      </w:r>
      <w:r>
        <w:rPr>
          <w:rFonts w:ascii="仿宋" w:hAnsi="仿宋" w:eastAsia="仿宋" w:cs="仿宋_GB2312"/>
          <w:color w:val="auto"/>
        </w:rPr>
        <w:t xml:space="preserve"> </w:t>
      </w:r>
      <w:r>
        <w:rPr>
          <w:rFonts w:hint="eastAsia" w:ascii="仿宋" w:hAnsi="仿宋" w:eastAsia="仿宋" w:cs="仿宋_GB2312"/>
          <w:color w:val="auto"/>
        </w:rPr>
        <w:t xml:space="preserve"> 2020年4月10日</w:t>
      </w:r>
    </w:p>
    <w:p>
      <w:pPr>
        <w:pStyle w:val="3"/>
        <w:spacing w:before="312" w:after="312"/>
        <w:jc w:val="both"/>
        <w:rPr>
          <w:rFonts w:hint="default" w:ascii="仿宋" w:hAnsi="仿宋" w:eastAsia="仿宋" w:cs="仿宋_GB2312"/>
          <w:color w:val="auto"/>
        </w:rPr>
      </w:pPr>
      <w:bookmarkStart w:id="91" w:name="_Toc22103"/>
      <w:bookmarkStart w:id="92" w:name="_Toc19549222"/>
      <w:bookmarkStart w:id="93" w:name="_Toc257272345"/>
      <w:r>
        <w:rPr>
          <w:rFonts w:ascii="仿宋" w:hAnsi="仿宋" w:eastAsia="仿宋" w:cs="仿宋_GB2312"/>
          <w:color w:val="auto"/>
        </w:rPr>
        <w:t>十二、实地查勘期</w:t>
      </w:r>
      <w:bookmarkEnd w:id="91"/>
      <w:bookmarkEnd w:id="92"/>
    </w:p>
    <w:p>
      <w:pPr>
        <w:spacing w:line="500" w:lineRule="exact"/>
        <w:rPr>
          <w:rFonts w:ascii="仿宋" w:hAnsi="仿宋" w:eastAsia="仿宋" w:cs="仿宋_GB2312"/>
          <w:color w:val="auto"/>
        </w:rPr>
      </w:pPr>
      <w:r>
        <w:rPr>
          <w:rFonts w:hint="eastAsia" w:ascii="仿宋_GB2312" w:hAnsi="宋体" w:eastAsia="仿宋_GB2312" w:cs="宋体"/>
          <w:color w:val="auto"/>
          <w:spacing w:val="8"/>
          <w:kern w:val="0"/>
          <w:szCs w:val="28"/>
        </w:rPr>
        <w:t>实地查勘期：</w:t>
      </w:r>
      <w:r>
        <w:rPr>
          <w:rFonts w:hint="eastAsia" w:ascii="仿宋_GB2312" w:hAnsi="宋体" w:eastAsia="仿宋_GB2312" w:cs="宋体"/>
          <w:color w:val="auto"/>
          <w:spacing w:val="8"/>
          <w:kern w:val="0"/>
          <w:szCs w:val="28"/>
        </w:rPr>
        <w:t>2020年4月3日</w:t>
      </w:r>
      <w:r>
        <w:rPr>
          <w:rFonts w:ascii="仿宋_GB2312" w:hAnsi="宋体" w:eastAsia="仿宋_GB2312" w:cs="宋体"/>
          <w:color w:val="auto"/>
          <w:spacing w:val="8"/>
          <w:kern w:val="0"/>
          <w:szCs w:val="28"/>
        </w:rPr>
        <w:t>。</w:t>
      </w:r>
    </w:p>
    <w:p>
      <w:pPr>
        <w:pStyle w:val="3"/>
        <w:spacing w:before="312" w:after="312"/>
        <w:jc w:val="both"/>
        <w:rPr>
          <w:rFonts w:hint="default" w:ascii="仿宋" w:hAnsi="仿宋" w:eastAsia="仿宋" w:cs="仿宋_GB2312"/>
          <w:color w:val="auto"/>
        </w:rPr>
      </w:pPr>
      <w:bookmarkStart w:id="94" w:name="_Toc19549223"/>
      <w:bookmarkStart w:id="95" w:name="_Toc30456"/>
      <w:r>
        <w:rPr>
          <w:rFonts w:ascii="仿宋" w:hAnsi="仿宋" w:eastAsia="仿宋" w:cs="仿宋_GB2312"/>
          <w:color w:val="auto"/>
        </w:rPr>
        <w:t>十三、估价作业日期</w:t>
      </w:r>
      <w:bookmarkEnd w:id="93"/>
      <w:bookmarkEnd w:id="94"/>
      <w:bookmarkEnd w:id="95"/>
    </w:p>
    <w:p>
      <w:pPr>
        <w:spacing w:line="460" w:lineRule="exact"/>
        <w:rPr>
          <w:rFonts w:ascii="仿宋" w:hAnsi="仿宋" w:eastAsia="仿宋" w:cs="仿宋_GB2312"/>
          <w:color w:val="auto"/>
        </w:rPr>
      </w:pPr>
      <w:r>
        <w:rPr>
          <w:rFonts w:hint="eastAsia" w:ascii="仿宋_GB2312" w:hAnsi="宋体" w:eastAsia="仿宋_GB2312" w:cs="宋体"/>
          <w:color w:val="auto"/>
          <w:spacing w:val="8"/>
          <w:kern w:val="0"/>
          <w:szCs w:val="28"/>
        </w:rPr>
        <w:t>估价作业日期：2020年</w:t>
      </w:r>
      <w:r>
        <w:rPr>
          <w:rFonts w:ascii="仿宋_GB2312" w:hAnsi="宋体" w:eastAsia="仿宋_GB2312" w:cs="宋体"/>
          <w:color w:val="auto"/>
          <w:spacing w:val="8"/>
          <w:kern w:val="0"/>
          <w:szCs w:val="28"/>
        </w:rPr>
        <w:t>1</w:t>
      </w:r>
      <w:r>
        <w:rPr>
          <w:rFonts w:hint="eastAsia" w:ascii="仿宋_GB2312" w:hAnsi="宋体" w:eastAsia="仿宋_GB2312" w:cs="宋体"/>
          <w:color w:val="auto"/>
          <w:spacing w:val="8"/>
          <w:kern w:val="0"/>
          <w:szCs w:val="28"/>
        </w:rPr>
        <w:t>月</w:t>
      </w:r>
      <w:r>
        <w:rPr>
          <w:rFonts w:ascii="仿宋_GB2312" w:hAnsi="宋体" w:eastAsia="仿宋_GB2312" w:cs="宋体"/>
          <w:color w:val="auto"/>
          <w:spacing w:val="8"/>
          <w:kern w:val="0"/>
          <w:szCs w:val="28"/>
        </w:rPr>
        <w:t>3</w:t>
      </w:r>
      <w:r>
        <w:rPr>
          <w:rFonts w:hint="eastAsia" w:ascii="仿宋_GB2312" w:hAnsi="宋体" w:eastAsia="仿宋_GB2312" w:cs="宋体"/>
          <w:color w:val="auto"/>
          <w:spacing w:val="8"/>
          <w:kern w:val="0"/>
          <w:szCs w:val="28"/>
        </w:rPr>
        <w:t>日至2020年4月10日</w:t>
      </w:r>
    </w:p>
    <w:p>
      <w:pPr>
        <w:pStyle w:val="3"/>
        <w:spacing w:before="312" w:after="312"/>
        <w:jc w:val="both"/>
        <w:rPr>
          <w:rFonts w:hint="default" w:ascii="仿宋" w:hAnsi="仿宋" w:eastAsia="仿宋" w:cs="仿宋_GB2312"/>
          <w:color w:val="auto"/>
        </w:rPr>
      </w:pPr>
      <w:bookmarkStart w:id="96" w:name="_Toc19549224"/>
      <w:bookmarkStart w:id="97" w:name="_Toc26683"/>
      <w:bookmarkStart w:id="98" w:name="_Toc257272346"/>
      <w:r>
        <w:rPr>
          <w:rFonts w:ascii="仿宋" w:hAnsi="仿宋" w:eastAsia="仿宋" w:cs="仿宋_GB2312"/>
          <w:color w:val="auto"/>
        </w:rPr>
        <w:t>十四、估价报告应用的有效期</w:t>
      </w:r>
      <w:bookmarkEnd w:id="96"/>
      <w:bookmarkEnd w:id="97"/>
      <w:bookmarkEnd w:id="98"/>
    </w:p>
    <w:p>
      <w:pPr>
        <w:spacing w:line="460" w:lineRule="exact"/>
        <w:rPr>
          <w:rFonts w:ascii="仿宋" w:hAnsi="仿宋" w:eastAsia="仿宋" w:cs="仿宋_GB2312"/>
          <w:b/>
          <w:color w:val="auto"/>
          <w:sz w:val="24"/>
        </w:rPr>
      </w:pPr>
      <w:r>
        <w:rPr>
          <w:rFonts w:ascii="仿宋" w:hAnsi="仿宋" w:eastAsia="仿宋" w:cs="仿宋_GB2312"/>
          <w:color w:val="auto"/>
        </w:rPr>
        <w:t>自估价报告出具之日起计壹年内有效，即</w:t>
      </w:r>
      <w:r>
        <w:rPr>
          <w:rFonts w:hint="eastAsia" w:ascii="仿宋_GB2312" w:hAnsi="宋体" w:eastAsia="仿宋_GB2312" w:cs="宋体"/>
          <w:color w:val="auto"/>
          <w:spacing w:val="8"/>
          <w:kern w:val="0"/>
          <w:szCs w:val="28"/>
        </w:rPr>
        <w:t>2020年4月10日</w:t>
      </w:r>
      <w:r>
        <w:rPr>
          <w:rFonts w:ascii="仿宋" w:hAnsi="仿宋" w:eastAsia="仿宋" w:cs="仿宋_GB2312"/>
          <w:color w:val="auto"/>
        </w:rPr>
        <w:t>—2021年</w:t>
      </w:r>
      <w:r>
        <w:rPr>
          <w:rFonts w:hint="eastAsia" w:ascii="仿宋" w:hAnsi="仿宋" w:eastAsia="仿宋" w:cs="仿宋_GB2312"/>
          <w:color w:val="auto"/>
        </w:rPr>
        <w:t>4</w:t>
      </w:r>
      <w:r>
        <w:rPr>
          <w:rFonts w:ascii="仿宋" w:hAnsi="仿宋" w:eastAsia="仿宋" w:cs="仿宋_GB2312"/>
          <w:color w:val="auto"/>
        </w:rPr>
        <w:t>月</w:t>
      </w:r>
      <w:r>
        <w:rPr>
          <w:rFonts w:hint="eastAsia" w:ascii="仿宋" w:hAnsi="仿宋" w:eastAsia="仿宋" w:cs="仿宋_GB2312"/>
          <w:color w:val="auto"/>
        </w:rPr>
        <w:t>9</w:t>
      </w:r>
      <w:r>
        <w:rPr>
          <w:rFonts w:ascii="仿宋" w:hAnsi="仿宋" w:eastAsia="仿宋" w:cs="仿宋_GB2312"/>
          <w:color w:val="auto"/>
        </w:rPr>
        <w:t>日</w:t>
      </w:r>
      <w:r>
        <w:rPr>
          <w:rFonts w:hint="eastAsia" w:ascii="仿宋" w:hAnsi="仿宋" w:eastAsia="仿宋" w:cs="仿宋_GB2312"/>
          <w:color w:val="auto"/>
        </w:rPr>
        <w:t>。</w:t>
      </w:r>
    </w:p>
    <w:p>
      <w:pPr>
        <w:spacing w:line="460" w:lineRule="exact"/>
        <w:rPr>
          <w:rFonts w:ascii="仿宋" w:hAnsi="仿宋" w:eastAsia="仿宋" w:cs="仿宋_GB2312"/>
          <w:b/>
          <w:color w:val="auto"/>
          <w:sz w:val="24"/>
        </w:rPr>
      </w:pPr>
    </w:p>
    <w:p>
      <w:pPr>
        <w:spacing w:line="460" w:lineRule="exact"/>
        <w:outlineLvl w:val="0"/>
        <w:rPr>
          <w:rFonts w:ascii="仿宋" w:hAnsi="仿宋" w:eastAsia="仿宋" w:cs="仿宋_GB2312"/>
          <w:b/>
          <w:color w:val="auto"/>
          <w:sz w:val="24"/>
        </w:rPr>
      </w:pPr>
      <w:bookmarkStart w:id="99" w:name="_Toc21743"/>
      <w:r>
        <w:rPr>
          <w:rFonts w:hint="eastAsia" w:ascii="仿宋" w:hAnsi="仿宋" w:eastAsia="仿宋" w:cs="仿宋_GB2312"/>
          <w:b/>
          <w:color w:val="auto"/>
          <w:sz w:val="24"/>
        </w:rPr>
        <w:t>附件</w:t>
      </w:r>
      <w:r>
        <w:rPr>
          <w:rFonts w:ascii="仿宋" w:hAnsi="仿宋" w:eastAsia="仿宋" w:cs="仿宋_GB2312"/>
          <w:b/>
          <w:color w:val="auto"/>
          <w:sz w:val="24"/>
        </w:rPr>
        <w:t>：</w:t>
      </w:r>
      <w:bookmarkEnd w:id="99"/>
    </w:p>
    <w:p>
      <w:pPr>
        <w:spacing w:line="460" w:lineRule="exact"/>
        <w:ind w:firstLine="630" w:firstLineChars="300"/>
        <w:rPr>
          <w:rFonts w:ascii="仿宋" w:hAnsi="仿宋" w:eastAsia="仿宋" w:cs="仿宋_GB2312"/>
          <w:color w:val="auto"/>
          <w:sz w:val="21"/>
          <w:szCs w:val="21"/>
        </w:rPr>
      </w:pPr>
      <w:r>
        <w:rPr>
          <w:rFonts w:hint="eastAsia" w:ascii="仿宋" w:hAnsi="仿宋" w:eastAsia="仿宋" w:cs="仿宋_GB2312"/>
          <w:color w:val="auto"/>
          <w:sz w:val="21"/>
          <w:szCs w:val="21"/>
        </w:rPr>
        <w:t>附件1. 委估房地产位置示意图和</w:t>
      </w:r>
      <w:r>
        <w:rPr>
          <w:rFonts w:ascii="仿宋" w:hAnsi="仿宋" w:eastAsia="仿宋" w:cs="仿宋_GB2312"/>
          <w:color w:val="auto"/>
          <w:sz w:val="21"/>
          <w:szCs w:val="21"/>
        </w:rPr>
        <w:t>现场照片</w:t>
      </w:r>
      <w:r>
        <w:rPr>
          <w:rFonts w:hint="eastAsia" w:ascii="仿宋" w:hAnsi="仿宋" w:eastAsia="仿宋" w:cs="仿宋_GB2312"/>
          <w:color w:val="auto"/>
          <w:sz w:val="21"/>
          <w:szCs w:val="21"/>
        </w:rPr>
        <w:t>；</w:t>
      </w:r>
    </w:p>
    <w:p>
      <w:pPr>
        <w:spacing w:line="460" w:lineRule="exact"/>
        <w:ind w:firstLine="630" w:firstLineChars="300"/>
        <w:rPr>
          <w:rFonts w:ascii="仿宋" w:hAnsi="仿宋" w:eastAsia="仿宋" w:cs="仿宋_GB2312"/>
          <w:color w:val="auto"/>
          <w:sz w:val="21"/>
          <w:szCs w:val="21"/>
        </w:rPr>
      </w:pPr>
      <w:bookmarkStart w:id="100" w:name="_Toc257272348"/>
      <w:r>
        <w:rPr>
          <w:rFonts w:hint="eastAsia" w:ascii="仿宋" w:hAnsi="仿宋" w:eastAsia="仿宋" w:cs="仿宋_GB2312"/>
          <w:color w:val="auto"/>
          <w:sz w:val="21"/>
          <w:szCs w:val="21"/>
        </w:rPr>
        <w:t>附件2.</w:t>
      </w:r>
      <w:bookmarkEnd w:id="100"/>
      <w:r>
        <w:rPr>
          <w:rFonts w:hint="eastAsia" w:ascii="仿宋" w:hAnsi="仿宋" w:eastAsia="仿宋" w:cs="仿宋_GB2312"/>
          <w:color w:val="auto"/>
          <w:sz w:val="21"/>
          <w:szCs w:val="21"/>
        </w:rPr>
        <w:t xml:space="preserve"> 《委托书》（复印件）；</w:t>
      </w:r>
    </w:p>
    <w:p>
      <w:pPr>
        <w:spacing w:line="460" w:lineRule="exact"/>
        <w:ind w:firstLine="630" w:firstLineChars="300"/>
        <w:rPr>
          <w:rFonts w:ascii="仿宋" w:hAnsi="仿宋" w:eastAsia="仿宋" w:cs="仿宋_GB2312"/>
          <w:color w:val="auto"/>
          <w:sz w:val="21"/>
          <w:szCs w:val="21"/>
        </w:rPr>
      </w:pPr>
      <w:r>
        <w:rPr>
          <w:rFonts w:hint="eastAsia" w:ascii="仿宋" w:hAnsi="仿宋" w:eastAsia="仿宋" w:cs="仿宋_GB2312"/>
          <w:color w:val="auto"/>
          <w:sz w:val="21"/>
          <w:szCs w:val="21"/>
        </w:rPr>
        <w:t>附件3. 房地产价格评估机构营业执照（复印件）；</w:t>
      </w:r>
      <w:r>
        <w:rPr>
          <w:rFonts w:ascii="仿宋" w:hAnsi="仿宋" w:eastAsia="仿宋" w:cs="仿宋_GB2312"/>
          <w:color w:val="auto"/>
          <w:sz w:val="21"/>
          <w:szCs w:val="21"/>
        </w:rPr>
        <w:t xml:space="preserve"> </w:t>
      </w:r>
    </w:p>
    <w:p>
      <w:pPr>
        <w:spacing w:line="460" w:lineRule="exact"/>
        <w:ind w:firstLine="630" w:firstLineChars="300"/>
        <w:rPr>
          <w:rFonts w:ascii="仿宋" w:hAnsi="仿宋" w:eastAsia="仿宋" w:cs="仿宋_GB2312"/>
          <w:color w:val="auto"/>
          <w:sz w:val="21"/>
          <w:szCs w:val="21"/>
        </w:rPr>
      </w:pPr>
      <w:r>
        <w:rPr>
          <w:rFonts w:hint="eastAsia" w:ascii="仿宋" w:hAnsi="仿宋" w:eastAsia="仿宋" w:cs="仿宋_GB2312"/>
          <w:color w:val="auto"/>
          <w:sz w:val="21"/>
          <w:szCs w:val="21"/>
        </w:rPr>
        <w:t>附件4.</w:t>
      </w:r>
      <w:r>
        <w:rPr>
          <w:rFonts w:ascii="仿宋" w:hAnsi="仿宋" w:eastAsia="仿宋" w:cs="仿宋_GB2312"/>
          <w:color w:val="auto"/>
          <w:sz w:val="21"/>
          <w:szCs w:val="21"/>
        </w:rPr>
        <w:t xml:space="preserve"> </w:t>
      </w:r>
      <w:r>
        <w:rPr>
          <w:rFonts w:hint="eastAsia" w:ascii="仿宋" w:hAnsi="仿宋" w:eastAsia="仿宋" w:cs="仿宋_GB2312"/>
          <w:color w:val="auto"/>
          <w:sz w:val="21"/>
          <w:szCs w:val="21"/>
        </w:rPr>
        <w:t>房地产估价师注册证书（复印件）。</w:t>
      </w:r>
      <w:r>
        <w:rPr>
          <w:rFonts w:hint="eastAsia" w:ascii="仿宋" w:hAnsi="仿宋" w:eastAsia="仿宋" w:cs="仿宋_GB2312"/>
          <w:b/>
          <w:color w:val="auto"/>
          <w:sz w:val="21"/>
          <w:szCs w:val="21"/>
        </w:rPr>
        <w:t>（本页以下</w:t>
      </w:r>
      <w:r>
        <w:rPr>
          <w:rFonts w:ascii="仿宋" w:hAnsi="仿宋" w:eastAsia="仿宋" w:cs="仿宋_GB2312"/>
          <w:b/>
          <w:color w:val="auto"/>
          <w:sz w:val="21"/>
          <w:szCs w:val="21"/>
        </w:rPr>
        <w:t>无正文</w:t>
      </w:r>
      <w:r>
        <w:rPr>
          <w:rFonts w:hint="eastAsia" w:ascii="仿宋" w:hAnsi="仿宋" w:eastAsia="仿宋" w:cs="仿宋_GB2312"/>
          <w:b/>
          <w:color w:val="auto"/>
          <w:sz w:val="21"/>
          <w:szCs w:val="21"/>
        </w:rPr>
        <w:t>）</w:t>
      </w:r>
    </w:p>
    <w:p>
      <w:pPr>
        <w:snapToGrid w:val="0"/>
        <w:spacing w:line="240" w:lineRule="atLeast"/>
        <w:rPr>
          <w:rFonts w:ascii="仿宋_GB2312" w:hAnsi="宋体" w:eastAsia="仿宋_GB2312" w:cs="宋体"/>
          <w:color w:val="auto"/>
          <w:spacing w:val="8"/>
          <w:sz w:val="18"/>
          <w:szCs w:val="18"/>
        </w:rPr>
      </w:pPr>
      <w:r>
        <w:rPr>
          <w:rFonts w:hint="eastAsia" w:ascii="仿宋_GB2312" w:hAnsi="宋体" w:eastAsia="仿宋_GB2312" w:cs="宋体"/>
          <w:color w:val="auto"/>
          <w:spacing w:val="8"/>
          <w:sz w:val="18"/>
          <w:szCs w:val="18"/>
        </w:rPr>
        <w:t xml:space="preserve"> </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体">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G Times (W1)">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fldChar w:fldCharType="begin"/>
    </w:r>
    <w:r>
      <w:rPr>
        <w:rStyle w:val="27"/>
      </w:rPr>
      <w:instrText xml:space="preserve">PAGE  </w:instrText>
    </w:r>
    <w:r>
      <w:fldChar w:fldCharType="separate"/>
    </w:r>
    <w:r>
      <w:rPr>
        <w:rStyle w:val="27"/>
      </w:rPr>
      <w:t>0</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0365634"/>
      <w:showingPlcHdr/>
    </w:sdtPr>
    <w:sdtContent>
      <w:p>
        <w:pPr>
          <w:pStyle w:val="14"/>
        </w:pPr>
        <w:r>
          <w:t xml:space="preserve">     </w:t>
        </w:r>
      </w:p>
    </w:sdtContent>
  </w:sdt>
  <w:p>
    <w:pPr>
      <w:pStyle w:val="14"/>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ind w:right="105"/>
      <w:jc w:val="left"/>
      <w:rPr>
        <w:rFonts w:ascii="仿宋_GB2312" w:eastAsia="仿宋_GB2312"/>
        <w:color w:val="00000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仿宋_GB2312" w:eastAsia="仿宋_GB2312"/>
        <w:sz w:val="21"/>
        <w:szCs w:val="21"/>
      </w:rPr>
    </w:pPr>
    <w:r>
      <w:rPr>
        <w:rFonts w:hint="eastAsia" w:ascii="仿宋_GB2312" w:eastAsia="仿宋_GB2312"/>
        <w:sz w:val="21"/>
        <w:szCs w:val="21"/>
      </w:rPr>
      <w:t>广东金兰德房地产评估咨询有限公司</w:t>
    </w:r>
  </w:p>
  <w:p>
    <w:pPr>
      <w:pStyle w:val="15"/>
      <w:jc w:val="right"/>
      <w:rPr>
        <w:rFonts w:ascii="Arial" w:hAnsi="Arial" w:cs="Arial"/>
        <w:i/>
      </w:rPr>
    </w:pPr>
    <w:r>
      <w:rPr>
        <w:rFonts w:hint="eastAsia" w:ascii="仿宋_GB2312" w:eastAsia="仿宋_GB2312"/>
        <w:sz w:val="21"/>
        <w:szCs w:val="21"/>
      </w:rPr>
      <w:t>TEL:(020)87607630   FAX:(020)87697231</w:t>
    </w:r>
  </w:p>
  <w:p>
    <w:pPr>
      <w:pStyle w:val="15"/>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C5854"/>
    <w:multiLevelType w:val="singleLevel"/>
    <w:tmpl w:val="578C585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40"/>
  <w:drawingGridVerticalSpacing w:val="38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1EA15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qFormat="1"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楷体_GB2312" w:cstheme="minorBidi"/>
      <w:kern w:val="2"/>
      <w:sz w:val="28"/>
      <w:szCs w:val="24"/>
      <w:lang w:val="en-US" w:eastAsia="zh-CN" w:bidi="ar-SA"/>
    </w:rPr>
  </w:style>
  <w:style w:type="paragraph" w:styleId="2">
    <w:name w:val="heading 1"/>
    <w:basedOn w:val="1"/>
    <w:next w:val="1"/>
    <w:link w:val="47"/>
    <w:qFormat/>
    <w:uiPriority w:val="0"/>
    <w:pPr>
      <w:keepNext/>
      <w:autoSpaceDE w:val="0"/>
      <w:autoSpaceDN w:val="0"/>
      <w:adjustRightInd w:val="0"/>
      <w:spacing w:afterLines="100" w:line="312" w:lineRule="atLeast"/>
      <w:ind w:left="1272" w:right="-113" w:hanging="552"/>
      <w:jc w:val="center"/>
      <w:textAlignment w:val="bottom"/>
      <w:outlineLvl w:val="0"/>
    </w:pPr>
    <w:rPr>
      <w:rFonts w:ascii="仿宋体" w:hAnsi="仿宋体"/>
      <w:b/>
      <w:kern w:val="0"/>
      <w:sz w:val="30"/>
      <w:szCs w:val="20"/>
    </w:rPr>
  </w:style>
  <w:style w:type="paragraph" w:styleId="3">
    <w:name w:val="heading 2"/>
    <w:basedOn w:val="1"/>
    <w:next w:val="1"/>
    <w:link w:val="37"/>
    <w:unhideWhenUsed/>
    <w:qFormat/>
    <w:uiPriority w:val="0"/>
    <w:pPr>
      <w:spacing w:beforeLines="100" w:afterLines="100" w:line="500" w:lineRule="exact"/>
      <w:jc w:val="left"/>
      <w:outlineLvl w:val="1"/>
    </w:pPr>
    <w:rPr>
      <w:rFonts w:hint="eastAsia" w:ascii="宋体" w:hAnsi="宋体" w:cs="Times New Roman"/>
      <w:b/>
      <w:kern w:val="0"/>
      <w:szCs w:val="36"/>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45"/>
    <w:qFormat/>
    <w:uiPriority w:val="0"/>
    <w:rPr>
      <w:rFonts w:ascii="宋体" w:eastAsia="宋体" w:cs="Times New Roman"/>
      <w:sz w:val="18"/>
      <w:szCs w:val="18"/>
    </w:rPr>
  </w:style>
  <w:style w:type="paragraph" w:styleId="5">
    <w:name w:val="annotation text"/>
    <w:basedOn w:val="1"/>
    <w:link w:val="34"/>
    <w:qFormat/>
    <w:uiPriority w:val="0"/>
    <w:pPr>
      <w:jc w:val="left"/>
    </w:pPr>
    <w:rPr>
      <w:rFonts w:eastAsia="宋体" w:cs="Times New Roman"/>
      <w:sz w:val="21"/>
    </w:rPr>
  </w:style>
  <w:style w:type="paragraph" w:styleId="6">
    <w:name w:val="Body Text"/>
    <w:basedOn w:val="1"/>
    <w:qFormat/>
    <w:uiPriority w:val="0"/>
    <w:pPr>
      <w:ind w:left="127"/>
    </w:pPr>
    <w:rPr>
      <w:rFonts w:ascii="宋体" w:hAnsi="宋体" w:eastAsia="宋体" w:cs="宋体"/>
      <w:sz w:val="24"/>
    </w:rPr>
  </w:style>
  <w:style w:type="paragraph" w:styleId="7">
    <w:name w:val="Body Text Indent"/>
    <w:basedOn w:val="1"/>
    <w:link w:val="33"/>
    <w:qFormat/>
    <w:uiPriority w:val="0"/>
    <w:pPr>
      <w:spacing w:after="120"/>
      <w:ind w:left="420" w:leftChars="200"/>
    </w:pPr>
  </w:style>
  <w:style w:type="paragraph" w:styleId="8">
    <w:name w:val="Block Text"/>
    <w:basedOn w:val="1"/>
    <w:qFormat/>
    <w:uiPriority w:val="0"/>
    <w:pPr>
      <w:spacing w:line="500" w:lineRule="exact"/>
      <w:ind w:left="-540" w:leftChars="-257" w:right="-334" w:rightChars="-159" w:firstLine="560"/>
    </w:pPr>
    <w:rPr>
      <w:rFonts w:ascii="仿宋_GB2312" w:hAnsi="Courier New" w:eastAsia="仿宋_GB2312"/>
    </w:rPr>
  </w:style>
  <w:style w:type="paragraph" w:styleId="9">
    <w:name w:val="Plain Text"/>
    <w:basedOn w:val="1"/>
    <w:link w:val="59"/>
    <w:qFormat/>
    <w:uiPriority w:val="0"/>
    <w:pPr>
      <w:autoSpaceDE w:val="0"/>
      <w:autoSpaceDN w:val="0"/>
      <w:adjustRightInd w:val="0"/>
      <w:textAlignment w:val="baseline"/>
    </w:pPr>
    <w:rPr>
      <w:rFonts w:ascii="宋体" w:cs="Times New Roman"/>
      <w:szCs w:val="20"/>
    </w:rPr>
  </w:style>
  <w:style w:type="paragraph" w:styleId="10">
    <w:name w:val="Date"/>
    <w:basedOn w:val="1"/>
    <w:next w:val="1"/>
    <w:link w:val="39"/>
    <w:qFormat/>
    <w:uiPriority w:val="0"/>
    <w:pPr>
      <w:ind w:left="100" w:leftChars="2500"/>
    </w:pPr>
    <w:rPr>
      <w:rFonts w:eastAsia="仿宋_GB2312" w:cs="Times New Roman"/>
      <w:bCs/>
    </w:rPr>
  </w:style>
  <w:style w:type="paragraph" w:styleId="11">
    <w:name w:val="Body Text Indent 2"/>
    <w:basedOn w:val="1"/>
    <w:link w:val="54"/>
    <w:qFormat/>
    <w:uiPriority w:val="0"/>
    <w:pPr>
      <w:widowControl/>
      <w:tabs>
        <w:tab w:val="left" w:pos="7655"/>
      </w:tabs>
      <w:autoSpaceDE w:val="0"/>
      <w:autoSpaceDN w:val="0"/>
      <w:ind w:right="50" w:firstLine="567"/>
      <w:textAlignment w:val="bottom"/>
    </w:pPr>
    <w:rPr>
      <w:rFonts w:ascii="宋体" w:cs="Times New Roman"/>
    </w:rPr>
  </w:style>
  <w:style w:type="paragraph" w:styleId="12">
    <w:name w:val="List Continue 5"/>
    <w:basedOn w:val="1"/>
    <w:qFormat/>
    <w:uiPriority w:val="0"/>
    <w:pPr>
      <w:spacing w:after="120"/>
      <w:ind w:left="2100" w:leftChars="1000"/>
      <w:contextualSpacing/>
    </w:pPr>
    <w:rPr>
      <w:rFonts w:cs="Times New Roman"/>
    </w:rPr>
  </w:style>
  <w:style w:type="paragraph" w:styleId="13">
    <w:name w:val="Balloon Text"/>
    <w:basedOn w:val="1"/>
    <w:link w:val="32"/>
    <w:qFormat/>
    <w:uiPriority w:val="0"/>
    <w:rPr>
      <w:sz w:val="18"/>
      <w:szCs w:val="18"/>
    </w:rPr>
  </w:style>
  <w:style w:type="paragraph" w:styleId="14">
    <w:name w:val="footer"/>
    <w:basedOn w:val="1"/>
    <w:link w:val="67"/>
    <w:qFormat/>
    <w:uiPriority w:val="0"/>
    <w:pPr>
      <w:tabs>
        <w:tab w:val="center" w:pos="4153"/>
        <w:tab w:val="right" w:pos="8306"/>
      </w:tabs>
      <w:snapToGrid w:val="0"/>
      <w:jc w:val="left"/>
    </w:pPr>
    <w:rPr>
      <w:sz w:val="18"/>
      <w:szCs w:val="18"/>
    </w:rPr>
  </w:style>
  <w:style w:type="paragraph" w:styleId="15">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List"/>
    <w:basedOn w:val="1"/>
    <w:qFormat/>
    <w:uiPriority w:val="0"/>
    <w:pPr>
      <w:autoSpaceDE w:val="0"/>
      <w:autoSpaceDN w:val="0"/>
      <w:adjustRightInd w:val="0"/>
      <w:spacing w:line="312" w:lineRule="atLeast"/>
      <w:ind w:left="420" w:hanging="420"/>
      <w:textAlignment w:val="baseline"/>
    </w:pPr>
    <w:rPr>
      <w:kern w:val="0"/>
    </w:rPr>
  </w:style>
  <w:style w:type="paragraph" w:styleId="18">
    <w:name w:val="toc 2"/>
    <w:basedOn w:val="1"/>
    <w:next w:val="1"/>
    <w:qFormat/>
    <w:uiPriority w:val="39"/>
    <w:pPr>
      <w:ind w:left="420" w:leftChars="200"/>
    </w:pPr>
  </w:style>
  <w:style w:type="paragraph" w:styleId="19">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20">
    <w:name w:val="Normal (Web)"/>
    <w:basedOn w:val="1"/>
    <w:qFormat/>
    <w:uiPriority w:val="99"/>
    <w:pPr>
      <w:spacing w:before="100" w:beforeAutospacing="1" w:after="100" w:afterAutospacing="1"/>
      <w:jc w:val="left"/>
    </w:pPr>
    <w:rPr>
      <w:rFonts w:cs="Times New Roman"/>
      <w:kern w:val="0"/>
      <w:sz w:val="24"/>
    </w:rPr>
  </w:style>
  <w:style w:type="paragraph" w:styleId="21">
    <w:name w:val="Title"/>
    <w:basedOn w:val="1"/>
    <w:next w:val="1"/>
    <w:link w:val="66"/>
    <w:qFormat/>
    <w:uiPriority w:val="0"/>
    <w:pPr>
      <w:spacing w:before="209" w:after="209" w:line="0" w:lineRule="atLeast"/>
      <w:ind w:left="1"/>
      <w:jc w:val="center"/>
      <w:textAlignment w:val="bottom"/>
    </w:pPr>
    <w:rPr>
      <w:rFonts w:ascii="Arial" w:hAnsi="Arial" w:eastAsia="黑体" w:cs="Times New Roman"/>
      <w:kern w:val="0"/>
      <w:sz w:val="52"/>
      <w:szCs w:val="20"/>
    </w:rPr>
  </w:style>
  <w:style w:type="paragraph" w:styleId="22">
    <w:name w:val="annotation subject"/>
    <w:basedOn w:val="5"/>
    <w:next w:val="5"/>
    <w:link w:val="35"/>
    <w:qFormat/>
    <w:uiPriority w:val="0"/>
    <w:rPr>
      <w:b/>
      <w:bCs/>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rPr>
  </w:style>
  <w:style w:type="character" w:styleId="27">
    <w:name w:val="page number"/>
    <w:basedOn w:val="25"/>
    <w:qFormat/>
    <w:uiPriority w:val="0"/>
  </w:style>
  <w:style w:type="character" w:styleId="28">
    <w:name w:val="Emphasis"/>
    <w:qFormat/>
    <w:uiPriority w:val="0"/>
    <w:rPr>
      <w:color w:val="CC0033"/>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character" w:styleId="30">
    <w:name w:val="annotation reference"/>
    <w:qFormat/>
    <w:uiPriority w:val="0"/>
    <w:rPr>
      <w:sz w:val="21"/>
      <w:szCs w:val="21"/>
    </w:rPr>
  </w:style>
  <w:style w:type="character" w:customStyle="1" w:styleId="31">
    <w:name w:val="页眉 Char"/>
    <w:basedOn w:val="25"/>
    <w:link w:val="15"/>
    <w:qFormat/>
    <w:uiPriority w:val="0"/>
    <w:rPr>
      <w:rFonts w:ascii="Times New Roman" w:hAnsi="Times New Roman" w:eastAsia="楷体_GB2312"/>
      <w:kern w:val="2"/>
      <w:sz w:val="18"/>
      <w:szCs w:val="18"/>
    </w:rPr>
  </w:style>
  <w:style w:type="character" w:customStyle="1" w:styleId="32">
    <w:name w:val="批注框文本 Char"/>
    <w:basedOn w:val="25"/>
    <w:link w:val="13"/>
    <w:qFormat/>
    <w:uiPriority w:val="0"/>
    <w:rPr>
      <w:rFonts w:eastAsia="楷体_GB2312" w:cstheme="minorBidi"/>
      <w:kern w:val="2"/>
      <w:sz w:val="18"/>
      <w:szCs w:val="18"/>
    </w:rPr>
  </w:style>
  <w:style w:type="character" w:customStyle="1" w:styleId="33">
    <w:name w:val="正文文本缩进 Char"/>
    <w:basedOn w:val="25"/>
    <w:link w:val="7"/>
    <w:qFormat/>
    <w:uiPriority w:val="0"/>
    <w:rPr>
      <w:rFonts w:eastAsia="楷体_GB2312" w:cstheme="minorBidi"/>
      <w:kern w:val="2"/>
      <w:sz w:val="28"/>
      <w:szCs w:val="24"/>
    </w:rPr>
  </w:style>
  <w:style w:type="character" w:customStyle="1" w:styleId="34">
    <w:name w:val="批注文字 Char"/>
    <w:link w:val="5"/>
    <w:qFormat/>
    <w:uiPriority w:val="0"/>
    <w:rPr>
      <w:kern w:val="2"/>
      <w:sz w:val="21"/>
      <w:szCs w:val="24"/>
    </w:rPr>
  </w:style>
  <w:style w:type="character" w:customStyle="1" w:styleId="35">
    <w:name w:val="批注主题 Char"/>
    <w:link w:val="22"/>
    <w:qFormat/>
    <w:uiPriority w:val="0"/>
    <w:rPr>
      <w:b/>
      <w:bCs/>
      <w:kern w:val="2"/>
      <w:sz w:val="21"/>
      <w:szCs w:val="24"/>
    </w:rPr>
  </w:style>
  <w:style w:type="character" w:customStyle="1" w:styleId="36">
    <w:name w:val="font61"/>
    <w:qFormat/>
    <w:uiPriority w:val="0"/>
    <w:rPr>
      <w:rFonts w:hint="eastAsia" w:ascii="宋体" w:hAnsi="宋体" w:eastAsia="宋体" w:cs="宋体"/>
      <w:color w:val="000000"/>
      <w:sz w:val="24"/>
      <w:szCs w:val="24"/>
      <w:u w:val="none"/>
      <w:vertAlign w:val="superscript"/>
    </w:rPr>
  </w:style>
  <w:style w:type="character" w:customStyle="1" w:styleId="37">
    <w:name w:val="标题 2 Char"/>
    <w:link w:val="3"/>
    <w:qFormat/>
    <w:uiPriority w:val="0"/>
    <w:rPr>
      <w:rFonts w:ascii="宋体" w:hAnsi="宋体" w:eastAsia="楷体_GB2312"/>
      <w:b/>
      <w:sz w:val="28"/>
      <w:szCs w:val="36"/>
    </w:rPr>
  </w:style>
  <w:style w:type="character" w:customStyle="1" w:styleId="38">
    <w:name w:val="font11"/>
    <w:qFormat/>
    <w:uiPriority w:val="0"/>
    <w:rPr>
      <w:rFonts w:ascii="宋体" w:hAnsi="宋体" w:eastAsia="宋体" w:cs="宋体"/>
      <w:color w:val="000000"/>
      <w:sz w:val="24"/>
      <w:szCs w:val="24"/>
      <w:u w:val="none"/>
    </w:rPr>
  </w:style>
  <w:style w:type="character" w:customStyle="1" w:styleId="39">
    <w:name w:val="日期 Char"/>
    <w:link w:val="10"/>
    <w:qFormat/>
    <w:uiPriority w:val="0"/>
    <w:rPr>
      <w:rFonts w:eastAsia="仿宋_GB2312"/>
      <w:bCs/>
      <w:kern w:val="2"/>
      <w:sz w:val="28"/>
      <w:szCs w:val="24"/>
    </w:rPr>
  </w:style>
  <w:style w:type="character" w:customStyle="1" w:styleId="40">
    <w:name w:val="font51"/>
    <w:qFormat/>
    <w:uiPriority w:val="0"/>
    <w:rPr>
      <w:rFonts w:ascii="Wingdings" w:hAnsi="Wingdings" w:cs="Wingdings"/>
      <w:color w:val="000000"/>
      <w:sz w:val="24"/>
      <w:szCs w:val="24"/>
      <w:u w:val="none"/>
    </w:rPr>
  </w:style>
  <w:style w:type="character" w:customStyle="1" w:styleId="41">
    <w:name w:val="Plain Text Char"/>
    <w:link w:val="42"/>
    <w:qFormat/>
    <w:uiPriority w:val="0"/>
    <w:rPr>
      <w:rFonts w:ascii="宋体"/>
      <w:kern w:val="2"/>
      <w:sz w:val="28"/>
    </w:rPr>
  </w:style>
  <w:style w:type="paragraph" w:customStyle="1" w:styleId="42">
    <w:name w:val="纯文本1"/>
    <w:basedOn w:val="1"/>
    <w:link w:val="41"/>
    <w:qFormat/>
    <w:uiPriority w:val="0"/>
    <w:pPr>
      <w:autoSpaceDE w:val="0"/>
      <w:autoSpaceDN w:val="0"/>
      <w:adjustRightInd w:val="0"/>
    </w:pPr>
    <w:rPr>
      <w:rFonts w:ascii="宋体" w:eastAsia="宋体" w:cs="Times New Roman"/>
      <w:szCs w:val="20"/>
    </w:rPr>
  </w:style>
  <w:style w:type="character" w:customStyle="1" w:styleId="43">
    <w:name w:val="font41"/>
    <w:qFormat/>
    <w:uiPriority w:val="0"/>
    <w:rPr>
      <w:rFonts w:ascii="Arial" w:hAnsi="Arial" w:cs="Arial"/>
      <w:color w:val="000000"/>
      <w:sz w:val="24"/>
      <w:szCs w:val="24"/>
      <w:u w:val="none"/>
    </w:rPr>
  </w:style>
  <w:style w:type="character" w:customStyle="1" w:styleId="44">
    <w:name w:val="font31"/>
    <w:qFormat/>
    <w:uiPriority w:val="0"/>
    <w:rPr>
      <w:rFonts w:ascii="宋体" w:hAnsi="宋体" w:eastAsia="宋体" w:cs="宋体"/>
      <w:color w:val="000000"/>
      <w:sz w:val="24"/>
      <w:szCs w:val="24"/>
      <w:u w:val="none"/>
    </w:rPr>
  </w:style>
  <w:style w:type="character" w:customStyle="1" w:styleId="45">
    <w:name w:val="文档结构图 Char"/>
    <w:link w:val="4"/>
    <w:qFormat/>
    <w:uiPriority w:val="0"/>
    <w:rPr>
      <w:rFonts w:ascii="宋体"/>
      <w:kern w:val="2"/>
      <w:sz w:val="18"/>
      <w:szCs w:val="18"/>
    </w:rPr>
  </w:style>
  <w:style w:type="character" w:customStyle="1" w:styleId="46">
    <w:name w:val="font21"/>
    <w:qFormat/>
    <w:uiPriority w:val="0"/>
    <w:rPr>
      <w:rFonts w:hint="default" w:ascii="Arial" w:hAnsi="Arial" w:cs="Arial"/>
      <w:color w:val="000000"/>
      <w:sz w:val="24"/>
      <w:szCs w:val="24"/>
      <w:u w:val="none"/>
    </w:rPr>
  </w:style>
  <w:style w:type="character" w:customStyle="1" w:styleId="47">
    <w:name w:val="标题 1 Char"/>
    <w:link w:val="2"/>
    <w:qFormat/>
    <w:uiPriority w:val="0"/>
    <w:rPr>
      <w:rFonts w:ascii="仿宋体" w:hAnsi="仿宋体" w:eastAsia="楷体_GB2312" w:cstheme="minorBidi"/>
      <w:b/>
      <w:sz w:val="30"/>
    </w:rPr>
  </w:style>
  <w:style w:type="character" w:customStyle="1" w:styleId="48">
    <w:name w:val="font01"/>
    <w:qFormat/>
    <w:uiPriority w:val="0"/>
    <w:rPr>
      <w:rFonts w:hint="eastAsia" w:ascii="宋体" w:hAnsi="宋体" w:eastAsia="宋体" w:cs="宋体"/>
      <w:color w:val="000000"/>
      <w:sz w:val="24"/>
      <w:szCs w:val="24"/>
      <w:u w:val="none"/>
    </w:rPr>
  </w:style>
  <w:style w:type="character" w:customStyle="1" w:styleId="49">
    <w:name w:val="批注文字 Char1"/>
    <w:basedOn w:val="25"/>
    <w:qFormat/>
    <w:uiPriority w:val="0"/>
    <w:rPr>
      <w:rFonts w:eastAsia="楷体_GB2312" w:cstheme="minorBidi"/>
      <w:kern w:val="2"/>
      <w:sz w:val="28"/>
      <w:szCs w:val="24"/>
    </w:rPr>
  </w:style>
  <w:style w:type="character" w:customStyle="1" w:styleId="50">
    <w:name w:val="纯文本 Char"/>
    <w:basedOn w:val="25"/>
    <w:qFormat/>
    <w:uiPriority w:val="0"/>
    <w:rPr>
      <w:rFonts w:ascii="宋体" w:hAnsi="Courier New" w:cs="Courier New"/>
      <w:kern w:val="2"/>
      <w:sz w:val="21"/>
      <w:szCs w:val="21"/>
    </w:rPr>
  </w:style>
  <w:style w:type="character" w:customStyle="1" w:styleId="51">
    <w:name w:val="文档结构图 Char1"/>
    <w:basedOn w:val="25"/>
    <w:qFormat/>
    <w:uiPriority w:val="0"/>
    <w:rPr>
      <w:rFonts w:ascii="宋体" w:cstheme="minorBidi"/>
      <w:kern w:val="2"/>
      <w:sz w:val="18"/>
      <w:szCs w:val="18"/>
    </w:rPr>
  </w:style>
  <w:style w:type="character" w:customStyle="1" w:styleId="52">
    <w:name w:val="批注主题 Char1"/>
    <w:basedOn w:val="49"/>
    <w:qFormat/>
    <w:uiPriority w:val="0"/>
    <w:rPr>
      <w:rFonts w:eastAsia="楷体_GB2312" w:cstheme="minorBidi"/>
      <w:b/>
      <w:bCs/>
      <w:kern w:val="2"/>
      <w:sz w:val="28"/>
      <w:szCs w:val="24"/>
    </w:rPr>
  </w:style>
  <w:style w:type="character" w:customStyle="1" w:styleId="53">
    <w:name w:val="日期 Char1"/>
    <w:basedOn w:val="25"/>
    <w:qFormat/>
    <w:uiPriority w:val="0"/>
    <w:rPr>
      <w:rFonts w:eastAsia="楷体_GB2312" w:cstheme="minorBidi"/>
      <w:kern w:val="2"/>
      <w:sz w:val="28"/>
      <w:szCs w:val="24"/>
    </w:rPr>
  </w:style>
  <w:style w:type="character" w:customStyle="1" w:styleId="54">
    <w:name w:val="正文文本缩进 2 Char"/>
    <w:basedOn w:val="25"/>
    <w:link w:val="11"/>
    <w:qFormat/>
    <w:uiPriority w:val="0"/>
    <w:rPr>
      <w:rFonts w:ascii="宋体" w:eastAsia="楷体_GB2312"/>
      <w:kern w:val="2"/>
      <w:sz w:val="28"/>
      <w:szCs w:val="24"/>
    </w:rPr>
  </w:style>
  <w:style w:type="paragraph" w:customStyle="1" w:styleId="55">
    <w:name w:val="Char"/>
    <w:basedOn w:val="1"/>
    <w:qFormat/>
    <w:uiPriority w:val="0"/>
    <w:rPr>
      <w:rFonts w:cs="Times New Roman"/>
    </w:rPr>
  </w:style>
  <w:style w:type="paragraph" w:customStyle="1" w:styleId="56">
    <w:name w:val="p0"/>
    <w:basedOn w:val="1"/>
    <w:qFormat/>
    <w:uiPriority w:val="0"/>
    <w:pPr>
      <w:widowControl/>
    </w:pPr>
    <w:rPr>
      <w:rFonts w:ascii="Calibri" w:hAnsi="Calibri" w:cs="宋体"/>
      <w:kern w:val="0"/>
      <w:szCs w:val="21"/>
    </w:rPr>
  </w:style>
  <w:style w:type="paragraph" w:customStyle="1" w:styleId="57">
    <w:name w:val="列出段落1"/>
    <w:basedOn w:val="1"/>
    <w:qFormat/>
    <w:uiPriority w:val="0"/>
    <w:pPr>
      <w:ind w:firstLine="420" w:firstLineChars="200"/>
    </w:pPr>
    <w:rPr>
      <w:rFonts w:cs="Times New Roman"/>
    </w:rPr>
  </w:style>
  <w:style w:type="paragraph" w:customStyle="1" w:styleId="58">
    <w:name w:val="表格"/>
    <w:basedOn w:val="1"/>
    <w:qFormat/>
    <w:uiPriority w:val="0"/>
    <w:pPr>
      <w:autoSpaceDE w:val="0"/>
      <w:autoSpaceDN w:val="0"/>
      <w:snapToGrid w:val="0"/>
      <w:spacing w:line="240" w:lineRule="exact"/>
      <w:jc w:val="center"/>
      <w:textAlignment w:val="baseline"/>
    </w:pPr>
    <w:rPr>
      <w:rFonts w:ascii="仿宋_GB2312" w:hAnsi="CG Times (W1)" w:eastAsia="仿宋_GB2312" w:cs="Times New Roman"/>
      <w:color w:val="000000"/>
      <w:spacing w:val="-20"/>
      <w:kern w:val="0"/>
      <w:szCs w:val="20"/>
    </w:rPr>
  </w:style>
  <w:style w:type="character" w:customStyle="1" w:styleId="59">
    <w:name w:val="纯文本 Char1"/>
    <w:link w:val="9"/>
    <w:qFormat/>
    <w:uiPriority w:val="0"/>
    <w:rPr>
      <w:rFonts w:ascii="宋体" w:eastAsia="楷体_GB2312"/>
      <w:kern w:val="2"/>
      <w:sz w:val="28"/>
    </w:rPr>
  </w:style>
  <w:style w:type="paragraph" w:customStyle="1" w:styleId="60">
    <w:name w:val="Char1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61">
    <w:name w:val="页脚 Char"/>
    <w:basedOn w:val="25"/>
    <w:qFormat/>
    <w:uiPriority w:val="0"/>
    <w:rPr>
      <w:rFonts w:eastAsia="楷体_GB2312" w:cstheme="minorBidi"/>
      <w:kern w:val="2"/>
      <w:sz w:val="18"/>
      <w:szCs w:val="18"/>
    </w:rPr>
  </w:style>
  <w:style w:type="paragraph" w:styleId="62">
    <w:name w:val="List Paragraph"/>
    <w:basedOn w:val="1"/>
    <w:unhideWhenUsed/>
    <w:qFormat/>
    <w:uiPriority w:val="99"/>
    <w:pPr>
      <w:ind w:firstLine="420" w:firstLineChars="200"/>
    </w:pPr>
  </w:style>
  <w:style w:type="paragraph" w:customStyle="1" w:styleId="63">
    <w:name w:val="trs_preappend"/>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4">
    <w:name w:val="new"/>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65">
    <w:name w:val="apple-converted-space"/>
    <w:basedOn w:val="25"/>
    <w:qFormat/>
    <w:uiPriority w:val="0"/>
  </w:style>
  <w:style w:type="character" w:customStyle="1" w:styleId="66">
    <w:name w:val="标题 Char"/>
    <w:basedOn w:val="25"/>
    <w:link w:val="21"/>
    <w:qFormat/>
    <w:uiPriority w:val="0"/>
    <w:rPr>
      <w:rFonts w:ascii="Arial" w:hAnsi="Arial" w:eastAsia="黑体"/>
      <w:sz w:val="52"/>
      <w:lang w:val="en-US" w:eastAsia="zh-CN"/>
    </w:rPr>
  </w:style>
  <w:style w:type="character" w:customStyle="1" w:styleId="67">
    <w:name w:val="页脚 Char1"/>
    <w:basedOn w:val="25"/>
    <w:link w:val="14"/>
    <w:qFormat/>
    <w:uiPriority w:val="0"/>
    <w:rPr>
      <w:rFonts w:hint="eastAsia" w:ascii="楷体_GB2312" w:eastAsia="楷体_GB2312" w:cs="楷体_GB2312"/>
      <w:kern w:val="2"/>
      <w:sz w:val="18"/>
      <w:szCs w:val="18"/>
      <w:lang w:val="en-US" w:eastAsia="zh-CN"/>
    </w:rPr>
  </w:style>
  <w:style w:type="paragraph" w:customStyle="1" w:styleId="68">
    <w:name w:val="WPSOffice手动目录 1"/>
    <w:uiPriority w:val="0"/>
    <w:pPr>
      <w:spacing w:after="200" w:line="276" w:lineRule="auto"/>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055759-5E05-4E8F-852F-5CAC4F34BBE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4020</Words>
  <Characters>4222</Characters>
  <Lines>263</Lines>
  <Paragraphs>284</Paragraphs>
  <TotalTime>19</TotalTime>
  <ScaleCrop>false</ScaleCrop>
  <LinksUpToDate>false</LinksUpToDate>
  <CharactersWithSpaces>7958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2020-01-06T05:16:00Z</dcterms:created>
  <dc:creator>Administrator</dc:creator>
  <cp:lastModifiedBy>郑燕妮Yannie</cp:lastModifiedBy>
  <cp:lastPrinted>2019-09-24T02:19:00Z</cp:lastPrinted>
  <dcterms:modified xsi:type="dcterms:W3CDTF">2020-05-22T02:41:34Z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