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40"/>
        </w:tabs>
        <w:autoSpaceDE w:val="0"/>
        <w:autoSpaceDN w:val="0"/>
        <w:adjustRightInd w:val="0"/>
        <w:snapToGrid w:val="0"/>
        <w:textAlignment w:val="bottom"/>
        <w:rPr>
          <w:rFonts w:ascii="黑体" w:hAnsi="黑体" w:eastAsia="黑体" w:cs="黑体"/>
          <w:bCs/>
          <w:sz w:val="44"/>
          <w:szCs w:val="24"/>
        </w:rPr>
      </w:pPr>
      <w:bookmarkStart w:id="0" w:name="_Hlk38993821"/>
      <w:bookmarkEnd w:id="0"/>
    </w:p>
    <w:p>
      <w:pPr>
        <w:autoSpaceDE w:val="0"/>
        <w:autoSpaceDN w:val="0"/>
        <w:adjustRightInd w:val="0"/>
        <w:snapToGrid w:val="0"/>
        <w:jc w:val="center"/>
        <w:textAlignment w:val="bottom"/>
        <w:rPr>
          <w:rFonts w:ascii="仿宋_GB2312" w:eastAsia="仿宋_GB2312"/>
          <w:bCs/>
          <w:sz w:val="44"/>
          <w:szCs w:val="24"/>
        </w:rPr>
      </w:pPr>
      <w:r>
        <w:rPr>
          <w:rFonts w:hint="eastAsia" w:ascii="黑体" w:hAnsi="黑体" w:eastAsia="黑体" w:cs="黑体"/>
          <w:bCs/>
          <w:sz w:val="44"/>
          <w:szCs w:val="24"/>
        </w:rPr>
        <w:t>房 地 产 估 价 报 告</w:t>
      </w: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rPr>
          <w:rFonts w:ascii="仿宋_GB2312" w:eastAsia="仿宋_GB2312"/>
          <w:bCs/>
          <w:sz w:val="11"/>
          <w:szCs w:val="11"/>
        </w:rPr>
      </w:pP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杭州市淳安县人民法院因司法执行涉及</w:t>
      </w: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淳安县千岛湖书香名地公寓5幢2505室一处</w:t>
      </w: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住宅房地产市场价值评估</w:t>
      </w:r>
    </w:p>
    <w:p>
      <w:pPr>
        <w:autoSpaceDE w:val="0"/>
        <w:autoSpaceDN w:val="0"/>
        <w:adjustRightInd w:val="0"/>
        <w:snapToGrid w:val="0"/>
        <w:spacing w:line="600" w:lineRule="exact"/>
        <w:jc w:val="center"/>
        <w:textAlignment w:val="bottom"/>
        <w:rPr>
          <w:rFonts w:ascii="黑体" w:hAnsi="黑体" w:eastAsia="黑体" w:cs="黑体"/>
          <w:bCs/>
          <w:sz w:val="28"/>
          <w:szCs w:val="28"/>
        </w:rPr>
      </w:pPr>
      <w:r>
        <w:rPr>
          <w:rFonts w:hint="eastAsia" w:ascii="黑体" w:hAnsi="黑体" w:eastAsia="黑体" w:cs="黑体"/>
          <w:bCs/>
          <w:sz w:val="28"/>
          <w:szCs w:val="28"/>
        </w:rPr>
        <w:t>委托函号：（2020）淳法委评字第64号</w:t>
      </w:r>
    </w:p>
    <w:p>
      <w:pPr>
        <w:autoSpaceDE w:val="0"/>
        <w:autoSpaceDN w:val="0"/>
        <w:adjustRightInd w:val="0"/>
        <w:snapToGrid w:val="0"/>
        <w:spacing w:line="640" w:lineRule="exact"/>
        <w:textAlignment w:val="bottom"/>
        <w:rPr>
          <w:rFonts w:ascii="黑体" w:hAnsi="黑体" w:eastAsia="黑体" w:cs="黑体"/>
          <w:bCs/>
          <w:sz w:val="36"/>
          <w:szCs w:val="36"/>
        </w:rPr>
      </w:pPr>
    </w:p>
    <w:p>
      <w:pPr>
        <w:autoSpaceDE w:val="0"/>
        <w:autoSpaceDN w:val="0"/>
        <w:adjustRightInd w:val="0"/>
        <w:snapToGrid w:val="0"/>
        <w:spacing w:line="640" w:lineRule="exact"/>
        <w:textAlignment w:val="bottom"/>
        <w:rPr>
          <w:rFonts w:ascii="黑体" w:hAnsi="黑体" w:eastAsia="黑体" w:cs="黑体"/>
          <w:bCs/>
          <w:sz w:val="36"/>
          <w:szCs w:val="36"/>
        </w:rPr>
      </w:pP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估价委托人 ：杭州市淳安县人民法院</w:t>
      </w: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估价机构 ：杭州中立房地产土地评估规划咨询有限公司</w:t>
      </w: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 价 人 员：张晓冬（注册号：3320080022）</w:t>
      </w:r>
    </w:p>
    <w:p>
      <w:pPr>
        <w:autoSpaceDE w:val="0"/>
        <w:autoSpaceDN w:val="0"/>
        <w:adjustRightInd w:val="0"/>
        <w:snapToGrid w:val="0"/>
        <w:spacing w:line="800" w:lineRule="exact"/>
        <w:ind w:firstLine="2240" w:firstLineChars="700"/>
        <w:textAlignment w:val="bottom"/>
        <w:rPr>
          <w:rFonts w:ascii="黑体" w:hAnsi="黑体" w:eastAsia="黑体" w:cs="黑体"/>
          <w:bCs/>
          <w:sz w:val="32"/>
          <w:szCs w:val="24"/>
        </w:rPr>
      </w:pPr>
      <w:r>
        <w:rPr>
          <w:rFonts w:hint="eastAsia" w:ascii="黑体" w:hAnsi="黑体" w:eastAsia="黑体" w:cs="黑体"/>
          <w:bCs/>
          <w:sz w:val="32"/>
          <w:szCs w:val="24"/>
        </w:rPr>
        <w:t>陈如腾（注册号：3320130028）</w:t>
      </w:r>
      <w:bookmarkStart w:id="158" w:name="_GoBack"/>
      <w:bookmarkEnd w:id="158"/>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估价报告出具日期：二〇二〇年六月八日</w:t>
      </w: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估价报告编号：杭中立(2020)房(估)字第088号</w:t>
      </w: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sectPr>
          <w:headerReference r:id="rId3" w:type="default"/>
          <w:footerReference r:id="rId4" w:type="default"/>
          <w:pgSz w:w="11906" w:h="16838"/>
          <w:pgMar w:top="1440" w:right="1797" w:bottom="1440" w:left="1797" w:header="851" w:footer="907" w:gutter="0"/>
          <w:pgNumType w:start="1"/>
          <w:cols w:space="720" w:num="1"/>
          <w:docGrid w:type="lines" w:linePitch="312" w:charSpace="0"/>
        </w:sectPr>
      </w:pPr>
    </w:p>
    <w:p>
      <w:pPr>
        <w:spacing w:line="480" w:lineRule="exact"/>
        <w:ind w:right="-10" w:rightChars="-5" w:firstLine="723" w:firstLineChars="200"/>
        <w:jc w:val="center"/>
        <w:rPr>
          <w:rFonts w:ascii="仿宋_GB2312" w:eastAsia="仿宋_GB2312"/>
          <w:b/>
          <w:bCs/>
          <w:sz w:val="36"/>
          <w:szCs w:val="36"/>
        </w:rPr>
      </w:pPr>
      <w:r>
        <w:rPr>
          <w:rFonts w:hint="eastAsia" w:ascii="仿宋_GB2312" w:eastAsia="仿宋_GB2312"/>
          <w:b/>
          <w:bCs/>
          <w:sz w:val="36"/>
          <w:szCs w:val="36"/>
        </w:rPr>
        <w:t>致估价委托人函</w:t>
      </w:r>
    </w:p>
    <w:p>
      <w:pPr>
        <w:autoSpaceDE w:val="0"/>
        <w:autoSpaceDN w:val="0"/>
        <w:adjustRightInd w:val="0"/>
        <w:snapToGrid w:val="0"/>
        <w:spacing w:line="800" w:lineRule="exact"/>
        <w:textAlignment w:val="bottom"/>
        <w:rPr>
          <w:rFonts w:ascii="仿宋_GB2312" w:eastAsia="仿宋_GB2312"/>
          <w:b/>
          <w:sz w:val="28"/>
          <w:szCs w:val="28"/>
        </w:rPr>
      </w:pPr>
      <w:r>
        <w:rPr>
          <w:rFonts w:hint="eastAsia" w:ascii="仿宋_GB2312" w:eastAsia="仿宋_GB2312"/>
          <w:b/>
          <w:sz w:val="28"/>
          <w:szCs w:val="28"/>
        </w:rPr>
        <w:t>杭州市淳安县人民法院:</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本公司接受贵方委托,对贵院在执行申请人卢恩深与被执行人郑雄平、吴小珠民间借贷纠纷一案中涉及郑雄平、吴小珠所拥有的位于淳安县千岛湖书香名地公寓5幢2505室一处住宅房地产在现状利用条件下的市场价值进行评估。</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估价对象：郑雄平、吴小珠所拥有的位于淳安县千岛湖书香名地公寓5幢2505室一处住宅房地产，包括该处住宅房产所有权及其分摊土地使用权，以及室内固定装修及家具家电，建筑面积154.1平方米，</w:t>
      </w:r>
      <w:bookmarkStart w:id="1" w:name="_Hlk38998462"/>
      <w:r>
        <w:rPr>
          <w:rFonts w:hint="eastAsia" w:ascii="仿宋_GB2312" w:eastAsia="仿宋_GB2312"/>
          <w:sz w:val="28"/>
          <w:szCs w:val="24"/>
        </w:rPr>
        <w:t>土地使用权类型为出让，</w:t>
      </w:r>
      <w:bookmarkEnd w:id="1"/>
      <w:r>
        <w:rPr>
          <w:rFonts w:hint="eastAsia" w:ascii="仿宋_GB2312" w:eastAsia="仿宋_GB2312"/>
          <w:sz w:val="28"/>
          <w:szCs w:val="24"/>
        </w:rPr>
        <w:t>土地使用权面积为8.03平方米，土地剩余使用年限59.07年。</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估价目的：为杭州市淳安县人民法院司法鉴定提供价值参考依据。</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价值时点：2020年6月5日，为完成实地查勘之日。</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价值类型：市场价值，即</w:t>
      </w:r>
      <w:r>
        <w:rPr>
          <w:rFonts w:hint="eastAsia" w:eastAsia="仿宋_GB2312"/>
          <w:sz w:val="28"/>
          <w:szCs w:val="20"/>
        </w:rPr>
        <w:t>估价对象经适当营销后，由熟悉情况、谨慎行事且不受强迫的交易双方，以公平交易方式在价值时点自愿进行交易的金额。</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估价方法：比较法。</w:t>
      </w:r>
    </w:p>
    <w:p>
      <w:pPr>
        <w:spacing w:line="500" w:lineRule="exact"/>
        <w:ind w:right="-10" w:rightChars="-5" w:firstLine="560" w:firstLineChars="200"/>
        <w:rPr>
          <w:rFonts w:eastAsia="仿宋_GB2312"/>
          <w:spacing w:val="4"/>
          <w:sz w:val="28"/>
          <w:szCs w:val="24"/>
        </w:rPr>
      </w:pPr>
      <w:r>
        <w:rPr>
          <w:rFonts w:hint="eastAsia" w:ascii="仿宋_GB2312" w:hAnsi="宋体" w:eastAsia="仿宋_GB2312"/>
          <w:sz w:val="28"/>
          <w:szCs w:val="28"/>
        </w:rPr>
        <w:t>估价结果：估价</w:t>
      </w:r>
      <w:r>
        <w:rPr>
          <w:rFonts w:hint="eastAsia" w:ascii="仿宋_GB2312" w:hAnsi="宋体" w:eastAsia="仿宋_GB2312" w:cs="宋体"/>
          <w:sz w:val="28"/>
          <w:szCs w:val="28"/>
        </w:rPr>
        <w:t>人员根据中华人民共和国《房地产估价规范》（GB/T 50291-2015）的有关技术规定，</w:t>
      </w:r>
      <w:r>
        <w:rPr>
          <w:rFonts w:hint="eastAsia" w:ascii="仿宋_GB2312" w:eastAsia="仿宋_GB2312"/>
          <w:sz w:val="28"/>
          <w:szCs w:val="24"/>
        </w:rPr>
        <w:t>结合本次估价目的，遵循估价原则，按照估价</w:t>
      </w:r>
      <w:r>
        <w:rPr>
          <w:rFonts w:hint="eastAsia" w:ascii="仿宋_GB2312" w:hAnsi="宋体" w:eastAsia="仿宋_GB2312" w:cs="宋体"/>
          <w:sz w:val="28"/>
          <w:szCs w:val="28"/>
        </w:rPr>
        <w:t>工作程序，运用比较法，仔细考察估价对象的建筑特征及使用和维护情况，经过合理、全面、细致的分析与测算</w:t>
      </w:r>
      <w:r>
        <w:rPr>
          <w:rFonts w:hint="eastAsia" w:ascii="仿宋_GB2312" w:hAnsi="宋体" w:eastAsia="仿宋_GB2312" w:cs="宋体"/>
          <w:i/>
          <w:sz w:val="28"/>
          <w:szCs w:val="28"/>
        </w:rPr>
        <w:t>，</w:t>
      </w:r>
      <w:r>
        <w:rPr>
          <w:rFonts w:hint="eastAsia" w:ascii="仿宋_GB2312" w:hAnsi="宋体" w:eastAsia="仿宋_GB2312" w:cs="宋体"/>
          <w:sz w:val="28"/>
          <w:szCs w:val="28"/>
        </w:rPr>
        <w:t>并结合估价经验和对影响物业价值的因素综合分析，确定在本估价报告的假设和限制条件下，估价对象在</w:t>
      </w:r>
      <w:r>
        <w:rPr>
          <w:rFonts w:hint="eastAsia" w:eastAsia="仿宋_GB2312"/>
          <w:spacing w:val="4"/>
          <w:sz w:val="28"/>
          <w:szCs w:val="24"/>
        </w:rPr>
        <w:t>价值时点</w:t>
      </w:r>
      <w:r>
        <w:rPr>
          <w:rFonts w:hint="eastAsia" w:ascii="仿宋_GB2312" w:eastAsia="仿宋_GB2312"/>
          <w:sz w:val="28"/>
          <w:szCs w:val="24"/>
        </w:rPr>
        <w:t>2020年6月5日</w:t>
      </w:r>
      <w:r>
        <w:rPr>
          <w:rFonts w:hint="eastAsia" w:ascii="仿宋_GB2312" w:eastAsia="仿宋_GB2312"/>
          <w:spacing w:val="4"/>
          <w:sz w:val="28"/>
          <w:szCs w:val="24"/>
        </w:rPr>
        <w:t>的</w:t>
      </w:r>
      <w:r>
        <w:rPr>
          <w:rFonts w:hint="eastAsia" w:ascii="仿宋_GB2312" w:hAnsi="宋体" w:eastAsia="仿宋_GB2312" w:cs="宋体"/>
          <w:sz w:val="28"/>
          <w:szCs w:val="28"/>
        </w:rPr>
        <w:t>市场价值如下：</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br w:type="page"/>
      </w:r>
      <w:r>
        <w:rPr>
          <w:rFonts w:hint="eastAsia" w:ascii="仿宋_GB2312" w:hAnsi="宋体" w:eastAsia="仿宋_GB2312" w:cs="宋体"/>
          <w:b/>
          <w:bCs/>
          <w:sz w:val="28"/>
          <w:szCs w:val="28"/>
        </w:rPr>
        <w:t>房地产单价：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18350</w:t>
      </w:r>
      <w:r>
        <w:rPr>
          <w:rFonts w:hint="eastAsia" w:ascii="仿宋_GB2312" w:hAnsi="宋体" w:eastAsia="仿宋_GB2312" w:cs="宋体"/>
          <w:b/>
          <w:bCs/>
          <w:sz w:val="28"/>
          <w:szCs w:val="28"/>
        </w:rPr>
        <w:t>元/平方米</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房地产总价：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282.77</w:t>
      </w:r>
      <w:r>
        <w:rPr>
          <w:rFonts w:hint="eastAsia" w:ascii="仿宋_GB2312" w:hAnsi="宋体" w:eastAsia="仿宋_GB2312" w:cs="宋体"/>
          <w:b/>
          <w:bCs/>
          <w:sz w:val="28"/>
          <w:szCs w:val="28"/>
        </w:rPr>
        <w:t>元</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室内家具家电总价：￥</w:t>
      </w:r>
      <w:r>
        <w:rPr>
          <w:rFonts w:hint="eastAsia" w:ascii="仿宋_GB2312" w:hAnsi="宋体" w:eastAsia="仿宋_GB2312" w:cs="宋体"/>
          <w:b/>
          <w:bCs/>
          <w:sz w:val="28"/>
          <w:szCs w:val="28"/>
          <w:lang w:eastAsia="zh-CN"/>
        </w:rPr>
        <w:t>3.51</w:t>
      </w:r>
      <w:r>
        <w:rPr>
          <w:rFonts w:hint="eastAsia" w:ascii="仿宋_GB2312" w:hAnsi="宋体" w:eastAsia="仿宋_GB2312" w:cs="宋体"/>
          <w:b/>
          <w:bCs/>
          <w:sz w:val="28"/>
          <w:szCs w:val="28"/>
        </w:rPr>
        <w:t>万元</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合计：￥</w:t>
      </w:r>
      <w:r>
        <w:rPr>
          <w:rFonts w:hint="eastAsia" w:ascii="仿宋_GB2312" w:hAnsi="宋体" w:eastAsia="仿宋_GB2312" w:cs="宋体"/>
          <w:b/>
          <w:bCs/>
          <w:sz w:val="28"/>
          <w:szCs w:val="28"/>
          <w:lang w:eastAsia="zh-CN"/>
        </w:rPr>
        <w:t>286.28</w:t>
      </w:r>
      <w:r>
        <w:rPr>
          <w:rFonts w:hint="eastAsia" w:ascii="仿宋_GB2312" w:hAnsi="宋体" w:eastAsia="仿宋_GB2312" w:cs="宋体"/>
          <w:b/>
          <w:bCs/>
          <w:sz w:val="28"/>
          <w:szCs w:val="28"/>
        </w:rPr>
        <w:t>万元</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大写金额：人民币</w:t>
      </w:r>
      <w:r>
        <w:rPr>
          <w:rFonts w:hint="eastAsia" w:ascii="仿宋_GB2312" w:hAnsi="宋体" w:eastAsia="仿宋_GB2312" w:cs="宋体"/>
          <w:b/>
          <w:bCs/>
          <w:sz w:val="28"/>
          <w:szCs w:val="28"/>
          <w:lang w:eastAsia="zh-CN"/>
        </w:rPr>
        <w:t>贰佰捌拾陆万贰仟捌佰</w:t>
      </w:r>
      <w:r>
        <w:rPr>
          <w:rFonts w:hint="eastAsia" w:ascii="仿宋_GB2312" w:hAnsi="宋体" w:eastAsia="仿宋_GB2312" w:cs="宋体"/>
          <w:b/>
          <w:bCs/>
          <w:sz w:val="28"/>
          <w:szCs w:val="28"/>
        </w:rPr>
        <w:t>圆整</w:t>
      </w:r>
    </w:p>
    <w:p>
      <w:pPr>
        <w:pStyle w:val="2"/>
        <w:ind w:firstLine="560" w:firstLineChars="200"/>
        <w:rPr>
          <w:rFonts w:ascii="仿宋_GB2312" w:eastAsia="仿宋_GB2312"/>
          <w:sz w:val="28"/>
        </w:rPr>
      </w:pPr>
      <w:bookmarkStart w:id="2" w:name="_Hlk38998484"/>
      <w:r>
        <w:rPr>
          <w:rFonts w:hint="eastAsia" w:ascii="仿宋_GB2312" w:eastAsia="仿宋_GB2312"/>
          <w:sz w:val="28"/>
        </w:rPr>
        <w:t>本估价结果包含卖方应缴纳的各项税费。</w:t>
      </w:r>
    </w:p>
    <w:bookmarkEnd w:id="2"/>
    <w:p>
      <w:pPr>
        <w:spacing w:line="500" w:lineRule="exact"/>
        <w:ind w:right="-10" w:rightChars="-5" w:firstLine="480" w:firstLineChars="200"/>
        <w:rPr>
          <w:rFonts w:ascii="仿宋_GB2312" w:eastAsia="仿宋_GB2312"/>
          <w:sz w:val="24"/>
          <w:szCs w:val="24"/>
        </w:rPr>
      </w:pPr>
      <w:r>
        <w:rPr>
          <w:rFonts w:hint="eastAsia" w:ascii="仿宋_GB2312" w:eastAsia="仿宋_GB2312"/>
          <w:sz w:val="24"/>
          <w:szCs w:val="24"/>
        </w:rPr>
        <w:t>以上内容摘自房地产估价报告，欲了解本估价项目的全面情况，请认真阅读房地产估价报告全文，并提请报告使用者注意本报告的估价假设前提和限制条件。</w:t>
      </w:r>
    </w:p>
    <w:p>
      <w:pPr>
        <w:spacing w:line="500" w:lineRule="exact"/>
        <w:ind w:right="-10" w:rightChars="-5" w:firstLine="480" w:firstLineChars="200"/>
        <w:rPr>
          <w:rFonts w:ascii="仿宋_GB2312" w:eastAsia="仿宋_GB2312"/>
          <w:snapToGrid w:val="0"/>
          <w:sz w:val="24"/>
          <w:szCs w:val="24"/>
        </w:rPr>
      </w:pPr>
      <w:r>
        <w:rPr>
          <w:rFonts w:hint="eastAsia" w:ascii="仿宋_GB2312" w:eastAsia="仿宋_GB2312"/>
          <w:snapToGrid w:val="0"/>
          <w:sz w:val="24"/>
          <w:szCs w:val="24"/>
        </w:rPr>
        <w:t>注：本报告各项附件与报告书具同等效力。</w:t>
      </w:r>
    </w:p>
    <w:p>
      <w:pPr>
        <w:spacing w:line="500" w:lineRule="exact"/>
        <w:ind w:right="-10" w:rightChars="-5" w:firstLine="560" w:firstLineChars="200"/>
        <w:rPr>
          <w:szCs w:val="24"/>
        </w:rPr>
      </w:pPr>
      <w:r>
        <w:rPr>
          <w:rFonts w:hint="eastAsia" w:ascii="仿宋_GB2312" w:eastAsia="仿宋_GB2312"/>
          <w:sz w:val="28"/>
          <w:szCs w:val="28"/>
        </w:rPr>
        <w:t>特函告贵方。</w:t>
      </w: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500" w:lineRule="exact"/>
        <w:ind w:firstLine="560" w:firstLineChars="200"/>
        <w:jc w:val="right"/>
        <w:rPr>
          <w:rFonts w:ascii="仿宋_GB2312" w:eastAsia="仿宋_GB2312"/>
          <w:sz w:val="28"/>
          <w:szCs w:val="24"/>
        </w:rPr>
      </w:pPr>
      <w:r>
        <w:rPr>
          <w:rFonts w:hint="eastAsia" w:ascii="仿宋_GB2312" w:eastAsia="仿宋_GB2312"/>
          <w:sz w:val="28"/>
          <w:szCs w:val="24"/>
        </w:rPr>
        <w:t>杭州中立房地产土地评估规划咨询有限公司（盖章）</w:t>
      </w:r>
    </w:p>
    <w:p>
      <w:pPr>
        <w:spacing w:beforeLines="50" w:afterLines="50" w:line="500" w:lineRule="exact"/>
        <w:ind w:firstLine="5740" w:firstLineChars="2050"/>
        <w:rPr>
          <w:rFonts w:ascii="仿宋_GB2312" w:eastAsia="仿宋_GB2312"/>
          <w:sz w:val="28"/>
          <w:szCs w:val="24"/>
        </w:rPr>
      </w:pPr>
      <w:r>
        <w:rPr>
          <w:rFonts w:hint="eastAsia" w:ascii="仿宋_GB2312" w:eastAsia="仿宋_GB2312"/>
          <w:sz w:val="28"/>
          <w:szCs w:val="24"/>
        </w:rPr>
        <w:t xml:space="preserve">法定代表人：     </w:t>
      </w:r>
    </w:p>
    <w:p>
      <w:pPr>
        <w:tabs>
          <w:tab w:val="center" w:pos="4698"/>
        </w:tabs>
        <w:wordWrap w:val="0"/>
        <w:spacing w:line="500" w:lineRule="exact"/>
        <w:jc w:val="right"/>
        <w:rPr>
          <w:rFonts w:ascii="仿宋_GB2312" w:hAnsi="宋体" w:eastAsia="仿宋_GB2312"/>
          <w:b/>
          <w:bCs/>
          <w:kern w:val="44"/>
          <w:sz w:val="36"/>
          <w:szCs w:val="36"/>
        </w:rPr>
      </w:pPr>
      <w:r>
        <w:rPr>
          <w:rFonts w:hint="eastAsia" w:ascii="仿宋_GB2312" w:eastAsia="仿宋_GB2312"/>
          <w:sz w:val="28"/>
          <w:szCs w:val="24"/>
        </w:rPr>
        <w:t>二〇二〇年六月八日</w:t>
      </w:r>
    </w:p>
    <w:p>
      <w:pPr>
        <w:autoSpaceDE w:val="0"/>
        <w:autoSpaceDN w:val="0"/>
        <w:adjustRightInd w:val="0"/>
        <w:snapToGrid w:val="0"/>
        <w:spacing w:line="800" w:lineRule="exact"/>
        <w:ind w:firstLine="361" w:firstLineChars="100"/>
        <w:jc w:val="center"/>
        <w:textAlignment w:val="bottom"/>
        <w:rPr>
          <w:rFonts w:ascii="仿宋_GB2312" w:hAnsi="宋体" w:eastAsia="仿宋_GB2312"/>
          <w:b/>
          <w:bCs/>
          <w:kern w:val="44"/>
          <w:sz w:val="36"/>
          <w:szCs w:val="36"/>
        </w:rPr>
      </w:pPr>
    </w:p>
    <w:p>
      <w:pPr>
        <w:autoSpaceDE w:val="0"/>
        <w:autoSpaceDN w:val="0"/>
        <w:adjustRightInd w:val="0"/>
        <w:snapToGrid w:val="0"/>
        <w:spacing w:line="800" w:lineRule="exact"/>
        <w:textAlignment w:val="bottom"/>
        <w:rPr>
          <w:rFonts w:ascii="仿宋_GB2312" w:hAnsi="宋体" w:eastAsia="仿宋_GB2312"/>
          <w:b/>
          <w:bCs/>
          <w:kern w:val="44"/>
          <w:sz w:val="36"/>
          <w:szCs w:val="36"/>
        </w:rPr>
        <w:sectPr>
          <w:footerReference r:id="rId5" w:type="default"/>
          <w:pgSz w:w="11906" w:h="16838"/>
          <w:pgMar w:top="1440" w:right="1797" w:bottom="1440" w:left="1797" w:header="851" w:footer="907" w:gutter="0"/>
          <w:cols w:space="720" w:num="1"/>
          <w:docGrid w:type="lines" w:linePitch="312" w:charSpace="0"/>
        </w:sectPr>
      </w:pPr>
    </w:p>
    <w:p>
      <w:pPr>
        <w:pStyle w:val="6"/>
        <w:tabs>
          <w:tab w:val="right" w:leader="dot" w:pos="8302"/>
        </w:tabs>
        <w:jc w:val="center"/>
        <w:rPr>
          <w:rFonts w:ascii="仿宋_GB2312" w:hAnsi="宋体" w:eastAsia="仿宋_GB2312"/>
          <w:b/>
          <w:bCs/>
          <w:kern w:val="44"/>
          <w:sz w:val="36"/>
          <w:szCs w:val="36"/>
        </w:rPr>
      </w:pPr>
      <w:bookmarkStart w:id="3" w:name="_Toc8143"/>
      <w:bookmarkStart w:id="4" w:name="_Toc505262136"/>
      <w:bookmarkStart w:id="5" w:name="_Toc505004931"/>
      <w:bookmarkStart w:id="6" w:name="_Toc507681109"/>
      <w:bookmarkStart w:id="7" w:name="_Toc505330229"/>
      <w:r>
        <w:rPr>
          <w:rFonts w:hint="eastAsia" w:ascii="仿宋_GB2312" w:hAnsi="宋体" w:eastAsia="仿宋_GB2312"/>
          <w:b/>
          <w:bCs/>
          <w:kern w:val="44"/>
          <w:sz w:val="36"/>
          <w:szCs w:val="36"/>
        </w:rPr>
        <w:t>目  录</w:t>
      </w:r>
      <w:bookmarkEnd w:id="3"/>
      <w:bookmarkEnd w:id="4"/>
      <w:bookmarkEnd w:id="5"/>
      <w:bookmarkEnd w:id="6"/>
      <w:bookmarkEnd w:id="7"/>
    </w:p>
    <w:p>
      <w:pPr>
        <w:pStyle w:val="6"/>
        <w:tabs>
          <w:tab w:val="right" w:leader="dot" w:pos="8312"/>
        </w:tabs>
      </w:pPr>
      <w:r>
        <w:rPr>
          <w:rFonts w:ascii="仿宋_GB2312" w:eastAsia="仿宋_GB2312"/>
          <w:b/>
          <w:color w:val="000000" w:themeColor="text1"/>
          <w:sz w:val="44"/>
          <w:szCs w:val="44"/>
          <w:u w:val="single"/>
        </w:rPr>
        <w:fldChar w:fldCharType="begin"/>
      </w:r>
      <w:r>
        <w:rPr>
          <w:rFonts w:ascii="仿宋_GB2312" w:eastAsia="仿宋_GB2312"/>
          <w:b/>
          <w:color w:val="000000" w:themeColor="text1"/>
          <w:sz w:val="44"/>
          <w:szCs w:val="44"/>
          <w:u w:val="single"/>
        </w:rPr>
        <w:instrText xml:space="preserve"> TOC \o "1-3" \h \z \u </w:instrText>
      </w:r>
      <w:r>
        <w:rPr>
          <w:rFonts w:ascii="仿宋_GB2312" w:eastAsia="仿宋_GB2312"/>
          <w:b/>
          <w:color w:val="000000" w:themeColor="text1"/>
          <w:sz w:val="44"/>
          <w:szCs w:val="44"/>
          <w:u w:val="single"/>
        </w:rPr>
        <w:fldChar w:fldCharType="separate"/>
      </w:r>
      <w:r>
        <w:rPr>
          <w:rFonts w:ascii="仿宋_GB2312" w:eastAsia="仿宋_GB2312"/>
          <w:color w:val="000000" w:themeColor="text1"/>
          <w:szCs w:val="44"/>
          <w:u w:val="single"/>
        </w:rPr>
        <w:fldChar w:fldCharType="begin"/>
      </w:r>
      <w:r>
        <w:rPr>
          <w:rFonts w:ascii="仿宋_GB2312" w:eastAsia="仿宋_GB2312"/>
          <w:szCs w:val="44"/>
        </w:rPr>
        <w:instrText xml:space="preserve"> HYPERLINK \l _Toc573 </w:instrText>
      </w:r>
      <w:r>
        <w:rPr>
          <w:rFonts w:ascii="仿宋_GB2312" w:eastAsia="仿宋_GB2312"/>
          <w:szCs w:val="44"/>
        </w:rPr>
        <w:fldChar w:fldCharType="separate"/>
      </w:r>
      <w:r>
        <w:rPr>
          <w:rFonts w:hint="eastAsia" w:ascii="仿宋_GB2312" w:hAnsi="宋体" w:eastAsia="仿宋_GB2312"/>
          <w:bCs/>
          <w:kern w:val="44"/>
          <w:szCs w:val="36"/>
        </w:rPr>
        <w:t>注册房地产估价师声明</w:t>
      </w:r>
      <w:r>
        <w:tab/>
      </w:r>
      <w:r>
        <w:fldChar w:fldCharType="begin"/>
      </w:r>
      <w:r>
        <w:instrText xml:space="preserve"> PAGEREF _Toc573 </w:instrText>
      </w:r>
      <w:r>
        <w:fldChar w:fldCharType="separate"/>
      </w:r>
      <w:r>
        <w:t>1</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_Toc12963 </w:instrText>
      </w:r>
      <w:r>
        <w:rPr>
          <w:rFonts w:ascii="仿宋_GB2312" w:eastAsia="仿宋_GB2312"/>
          <w:szCs w:val="44"/>
        </w:rPr>
        <w:fldChar w:fldCharType="separate"/>
      </w:r>
      <w:r>
        <w:rPr>
          <w:rFonts w:hint="eastAsia" w:ascii="仿宋_GB2312" w:hAnsi="宋体" w:eastAsia="仿宋_GB2312"/>
          <w:bCs/>
          <w:kern w:val="44"/>
          <w:szCs w:val="36"/>
        </w:rPr>
        <w:t>估价假设和限制条件</w:t>
      </w:r>
      <w:r>
        <w:tab/>
      </w:r>
      <w:r>
        <w:fldChar w:fldCharType="begin"/>
      </w:r>
      <w:r>
        <w:instrText xml:space="preserve"> PAGEREF _Toc12963 </w:instrText>
      </w:r>
      <w:r>
        <w:fldChar w:fldCharType="separate"/>
      </w:r>
      <w:r>
        <w:t>2</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_Toc25746 </w:instrText>
      </w:r>
      <w:r>
        <w:rPr>
          <w:rFonts w:ascii="仿宋_GB2312" w:eastAsia="仿宋_GB2312"/>
          <w:szCs w:val="44"/>
        </w:rPr>
        <w:fldChar w:fldCharType="separate"/>
      </w:r>
      <w:r>
        <w:rPr>
          <w:rFonts w:hint="eastAsia" w:ascii="仿宋_GB2312" w:hAnsi="宋体" w:eastAsia="仿宋_GB2312"/>
          <w:bCs/>
          <w:kern w:val="44"/>
          <w:szCs w:val="36"/>
        </w:rPr>
        <w:t>房地产估价结果报告</w:t>
      </w:r>
      <w:r>
        <w:tab/>
      </w:r>
      <w:r>
        <w:fldChar w:fldCharType="begin"/>
      </w:r>
      <w:r>
        <w:instrText xml:space="preserve"> PAGEREF _Toc25746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_Toc18829 </w:instrText>
      </w:r>
      <w:r>
        <w:rPr>
          <w:rFonts w:ascii="仿宋_GB2312" w:eastAsia="仿宋_GB2312"/>
          <w:szCs w:val="44"/>
        </w:rPr>
        <w:fldChar w:fldCharType="separate"/>
      </w:r>
      <w:r>
        <w:rPr>
          <w:rFonts w:hint="eastAsia" w:ascii="仿宋_GB2312" w:hAnsi="宋体" w:eastAsia="仿宋_GB2312"/>
          <w:kern w:val="0"/>
          <w:szCs w:val="32"/>
        </w:rPr>
        <w:t>一、估价委托人</w:t>
      </w:r>
      <w:r>
        <w:tab/>
      </w:r>
      <w:r>
        <w:fldChar w:fldCharType="begin"/>
      </w:r>
      <w:r>
        <w:instrText xml:space="preserve"> PAGEREF _Toc18829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_Toc7610 </w:instrText>
      </w:r>
      <w:r>
        <w:rPr>
          <w:rFonts w:ascii="仿宋_GB2312" w:eastAsia="仿宋_GB2312"/>
          <w:szCs w:val="44"/>
        </w:rPr>
        <w:fldChar w:fldCharType="separate"/>
      </w:r>
      <w:r>
        <w:rPr>
          <w:rFonts w:hint="eastAsia" w:ascii="仿宋_GB2312" w:hAnsi="宋体" w:eastAsia="仿宋_GB2312"/>
          <w:kern w:val="0"/>
          <w:szCs w:val="32"/>
        </w:rPr>
        <w:t>二、估价机构</w:t>
      </w:r>
      <w:r>
        <w:tab/>
      </w:r>
      <w:r>
        <w:fldChar w:fldCharType="begin"/>
      </w:r>
      <w:r>
        <w:instrText xml:space="preserve"> PAGEREF _Toc7610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_Toc32138 </w:instrText>
      </w:r>
      <w:r>
        <w:rPr>
          <w:rFonts w:ascii="仿宋_GB2312" w:eastAsia="仿宋_GB2312"/>
          <w:szCs w:val="44"/>
        </w:rPr>
        <w:fldChar w:fldCharType="separate"/>
      </w:r>
      <w:r>
        <w:rPr>
          <w:rFonts w:hint="eastAsia" w:ascii="仿宋_GB2312" w:eastAsia="仿宋_GB2312"/>
          <w:szCs w:val="28"/>
        </w:rPr>
        <w:t>三、估价目的</w:t>
      </w:r>
      <w:r>
        <w:tab/>
      </w:r>
      <w:r>
        <w:fldChar w:fldCharType="begin"/>
      </w:r>
      <w:r>
        <w:instrText xml:space="preserve"> PAGEREF _Toc32138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_Toc22532 </w:instrText>
      </w:r>
      <w:r>
        <w:rPr>
          <w:rFonts w:ascii="仿宋_GB2312" w:eastAsia="仿宋_GB2312"/>
          <w:szCs w:val="44"/>
        </w:rPr>
        <w:fldChar w:fldCharType="separate"/>
      </w:r>
      <w:r>
        <w:rPr>
          <w:rFonts w:hint="eastAsia" w:ascii="仿宋_GB2312" w:hAnsi="宋体" w:eastAsia="仿宋_GB2312"/>
          <w:kern w:val="0"/>
          <w:szCs w:val="32"/>
        </w:rPr>
        <w:t>四、估价对象</w:t>
      </w:r>
      <w:r>
        <w:tab/>
      </w:r>
      <w:r>
        <w:fldChar w:fldCharType="begin"/>
      </w:r>
      <w:r>
        <w:instrText xml:space="preserve"> PAGEREF _Toc22532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_Toc28166 </w:instrText>
      </w:r>
      <w:r>
        <w:rPr>
          <w:rFonts w:ascii="仿宋_GB2312" w:eastAsia="仿宋_GB2312"/>
          <w:szCs w:val="44"/>
        </w:rPr>
        <w:fldChar w:fldCharType="separate"/>
      </w:r>
      <w:r>
        <w:rPr>
          <w:rFonts w:hint="eastAsia" w:ascii="仿宋_GB2312" w:hAnsi="宋体" w:eastAsia="仿宋_GB2312"/>
          <w:kern w:val="0"/>
          <w:szCs w:val="32"/>
        </w:rPr>
        <w:t>六、价值类型</w:t>
      </w:r>
      <w:r>
        <w:tab/>
      </w:r>
      <w:r>
        <w:fldChar w:fldCharType="begin"/>
      </w:r>
      <w:r>
        <w:instrText xml:space="preserve"> PAGEREF _Toc28166 </w:instrText>
      </w:r>
      <w:r>
        <w:fldChar w:fldCharType="separate"/>
      </w:r>
      <w:r>
        <w:t>9</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_Toc16930 </w:instrText>
      </w:r>
      <w:r>
        <w:rPr>
          <w:rFonts w:ascii="仿宋_GB2312" w:eastAsia="仿宋_GB2312"/>
          <w:szCs w:val="44"/>
        </w:rPr>
        <w:fldChar w:fldCharType="separate"/>
      </w:r>
      <w:r>
        <w:rPr>
          <w:rFonts w:hint="eastAsia" w:ascii="仿宋_GB2312" w:hAnsi="宋体" w:eastAsia="仿宋_GB2312"/>
          <w:kern w:val="0"/>
          <w:szCs w:val="32"/>
        </w:rPr>
        <w:t>七、估价原则</w:t>
      </w:r>
      <w:r>
        <w:tab/>
      </w:r>
      <w:r>
        <w:fldChar w:fldCharType="begin"/>
      </w:r>
      <w:r>
        <w:instrText xml:space="preserve"> PAGEREF _Toc16930 </w:instrText>
      </w:r>
      <w:r>
        <w:fldChar w:fldCharType="separate"/>
      </w:r>
      <w:r>
        <w:t>10</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_Toc12308 </w:instrText>
      </w:r>
      <w:r>
        <w:rPr>
          <w:rFonts w:ascii="仿宋_GB2312" w:eastAsia="仿宋_GB2312"/>
          <w:szCs w:val="44"/>
        </w:rPr>
        <w:fldChar w:fldCharType="separate"/>
      </w:r>
      <w:r>
        <w:rPr>
          <w:rFonts w:hint="eastAsia" w:ascii="仿宋_GB2312" w:hAnsi="宋体" w:eastAsia="仿宋_GB2312"/>
          <w:kern w:val="0"/>
          <w:szCs w:val="32"/>
        </w:rPr>
        <w:t>八、估价依据</w:t>
      </w:r>
      <w:r>
        <w:tab/>
      </w:r>
      <w:r>
        <w:fldChar w:fldCharType="begin"/>
      </w:r>
      <w:r>
        <w:instrText xml:space="preserve"> PAGEREF _Toc12308 </w:instrText>
      </w:r>
      <w:r>
        <w:fldChar w:fldCharType="separate"/>
      </w:r>
      <w:r>
        <w:t>11</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_Toc24925 </w:instrText>
      </w:r>
      <w:r>
        <w:rPr>
          <w:rFonts w:ascii="仿宋_GB2312" w:eastAsia="仿宋_GB2312"/>
          <w:szCs w:val="44"/>
        </w:rPr>
        <w:fldChar w:fldCharType="separate"/>
      </w:r>
      <w:r>
        <w:rPr>
          <w:rFonts w:hint="eastAsia" w:ascii="仿宋_GB2312" w:hAnsi="宋体" w:eastAsia="仿宋_GB2312"/>
          <w:kern w:val="0"/>
          <w:szCs w:val="32"/>
        </w:rPr>
        <w:t>九、估价方法</w:t>
      </w:r>
      <w:r>
        <w:tab/>
      </w:r>
      <w:r>
        <w:fldChar w:fldCharType="begin"/>
      </w:r>
      <w:r>
        <w:instrText xml:space="preserve"> PAGEREF _Toc24925 </w:instrText>
      </w:r>
      <w:r>
        <w:fldChar w:fldCharType="separate"/>
      </w:r>
      <w:r>
        <w:t>12</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_Toc28244 </w:instrText>
      </w:r>
      <w:r>
        <w:rPr>
          <w:rFonts w:ascii="仿宋_GB2312" w:eastAsia="仿宋_GB2312"/>
          <w:szCs w:val="44"/>
        </w:rPr>
        <w:fldChar w:fldCharType="separate"/>
      </w:r>
      <w:r>
        <w:rPr>
          <w:rFonts w:hint="eastAsia" w:ascii="仿宋_GB2312" w:eastAsia="仿宋_GB2312" w:cs="仿宋_GB2312"/>
          <w:szCs w:val="28"/>
        </w:rPr>
        <w:t>十</w:t>
      </w:r>
      <w:r>
        <w:rPr>
          <w:rFonts w:hint="eastAsia" w:ascii="仿宋_GB2312" w:eastAsia="仿宋_GB2312"/>
          <w:spacing w:val="4"/>
          <w:szCs w:val="20"/>
        </w:rPr>
        <w:t>、估价结果</w:t>
      </w:r>
      <w:r>
        <w:tab/>
      </w:r>
      <w:r>
        <w:fldChar w:fldCharType="begin"/>
      </w:r>
      <w:r>
        <w:instrText xml:space="preserve"> PAGEREF _Toc28244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_Toc28261 </w:instrText>
      </w:r>
      <w:r>
        <w:rPr>
          <w:rFonts w:ascii="仿宋_GB2312" w:eastAsia="仿宋_GB2312"/>
          <w:szCs w:val="44"/>
        </w:rPr>
        <w:fldChar w:fldCharType="separate"/>
      </w:r>
      <w:r>
        <w:rPr>
          <w:rFonts w:hint="eastAsia" w:ascii="仿宋_GB2312" w:eastAsia="仿宋_GB2312" w:cs="仿宋_GB2312"/>
          <w:szCs w:val="28"/>
        </w:rPr>
        <w:t>十一、注册房地产估价师</w:t>
      </w:r>
      <w:r>
        <w:tab/>
      </w:r>
      <w:r>
        <w:fldChar w:fldCharType="begin"/>
      </w:r>
      <w:r>
        <w:instrText xml:space="preserve"> PAGEREF _Toc28261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_Toc7429 </w:instrText>
      </w:r>
      <w:r>
        <w:rPr>
          <w:rFonts w:ascii="仿宋_GB2312" w:eastAsia="仿宋_GB2312"/>
          <w:szCs w:val="44"/>
        </w:rPr>
        <w:fldChar w:fldCharType="separate"/>
      </w:r>
      <w:r>
        <w:rPr>
          <w:rFonts w:hint="eastAsia" w:ascii="仿宋_GB2312" w:eastAsia="仿宋_GB2312" w:cs="仿宋_GB2312"/>
          <w:szCs w:val="28"/>
        </w:rPr>
        <w:t>十二、实地查勘期</w:t>
      </w:r>
      <w:r>
        <w:tab/>
      </w:r>
      <w:r>
        <w:fldChar w:fldCharType="begin"/>
      </w:r>
      <w:r>
        <w:instrText xml:space="preserve"> PAGEREF _Toc7429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_Toc22947 </w:instrText>
      </w:r>
      <w:r>
        <w:rPr>
          <w:rFonts w:ascii="仿宋_GB2312" w:eastAsia="仿宋_GB2312"/>
          <w:szCs w:val="44"/>
        </w:rPr>
        <w:fldChar w:fldCharType="separate"/>
      </w:r>
      <w:r>
        <w:rPr>
          <w:rFonts w:hint="eastAsia" w:ascii="仿宋_GB2312" w:eastAsia="仿宋_GB2312" w:cs="仿宋_GB2312"/>
          <w:szCs w:val="28"/>
        </w:rPr>
        <w:t>十三、估价作业日期</w:t>
      </w:r>
      <w:r>
        <w:tab/>
      </w:r>
      <w:r>
        <w:fldChar w:fldCharType="begin"/>
      </w:r>
      <w:r>
        <w:instrText xml:space="preserve"> PAGEREF _Toc22947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_Toc2940 </w:instrText>
      </w:r>
      <w:r>
        <w:rPr>
          <w:rFonts w:ascii="仿宋_GB2312" w:eastAsia="仿宋_GB2312"/>
          <w:szCs w:val="44"/>
        </w:rPr>
        <w:fldChar w:fldCharType="separate"/>
      </w:r>
      <w:r>
        <w:rPr>
          <w:rFonts w:hint="eastAsia" w:ascii="仿宋_GB2312" w:eastAsia="仿宋_GB2312" w:cs="仿宋_GB2312"/>
          <w:szCs w:val="28"/>
        </w:rPr>
        <w:t>十四、估价报告应用的有效期</w:t>
      </w:r>
      <w:r>
        <w:tab/>
      </w:r>
      <w:r>
        <w:fldChar w:fldCharType="begin"/>
      </w:r>
      <w:r>
        <w:instrText xml:space="preserve"> PAGEREF _Toc2940 </w:instrText>
      </w:r>
      <w:r>
        <w:fldChar w:fldCharType="separate"/>
      </w:r>
      <w:r>
        <w:t>15</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_Toc15171 </w:instrText>
      </w:r>
      <w:r>
        <w:rPr>
          <w:rFonts w:ascii="仿宋_GB2312" w:eastAsia="仿宋_GB2312"/>
          <w:szCs w:val="44"/>
        </w:rPr>
        <w:fldChar w:fldCharType="separate"/>
      </w:r>
      <w:r>
        <w:rPr>
          <w:rFonts w:hint="eastAsia" w:ascii="仿宋_GB2312" w:eastAsia="仿宋_GB2312"/>
          <w:kern w:val="0"/>
          <w:szCs w:val="36"/>
        </w:rPr>
        <w:t>附   件</w:t>
      </w:r>
      <w:r>
        <w:tab/>
      </w:r>
      <w:r>
        <w:fldChar w:fldCharType="begin"/>
      </w:r>
      <w:r>
        <w:instrText xml:space="preserve"> PAGEREF _Toc15171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_Toc9895 </w:instrText>
      </w:r>
      <w:r>
        <w:rPr>
          <w:rFonts w:ascii="仿宋_GB2312" w:eastAsia="仿宋_GB2312"/>
          <w:szCs w:val="44"/>
        </w:rPr>
        <w:fldChar w:fldCharType="separate"/>
      </w:r>
      <w:r>
        <w:rPr>
          <w:rFonts w:hint="eastAsia" w:ascii="仿宋_GB2312" w:eastAsia="仿宋_GB2312"/>
          <w:bCs/>
          <w:szCs w:val="28"/>
        </w:rPr>
        <w:t>附件一、 估价对象位置示意图</w:t>
      </w:r>
      <w:r>
        <w:tab/>
      </w:r>
      <w:r>
        <w:fldChar w:fldCharType="begin"/>
      </w:r>
      <w:r>
        <w:instrText xml:space="preserve"> PAGEREF _Toc9895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_Toc21573 </w:instrText>
      </w:r>
      <w:r>
        <w:rPr>
          <w:rFonts w:ascii="仿宋_GB2312" w:eastAsia="仿宋_GB2312"/>
          <w:szCs w:val="44"/>
        </w:rPr>
        <w:fldChar w:fldCharType="separate"/>
      </w:r>
      <w:r>
        <w:rPr>
          <w:rFonts w:hint="eastAsia" w:ascii="仿宋_GB2312" w:eastAsia="仿宋_GB2312"/>
          <w:bCs/>
          <w:szCs w:val="28"/>
        </w:rPr>
        <w:t>附件二、 估价对象现场勘查照片</w:t>
      </w:r>
      <w:r>
        <w:tab/>
      </w:r>
      <w:r>
        <w:fldChar w:fldCharType="begin"/>
      </w:r>
      <w:r>
        <w:instrText xml:space="preserve"> PAGEREF _Toc21573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_Toc7227 </w:instrText>
      </w:r>
      <w:r>
        <w:rPr>
          <w:rFonts w:ascii="仿宋_GB2312" w:eastAsia="仿宋_GB2312"/>
          <w:szCs w:val="44"/>
        </w:rPr>
        <w:fldChar w:fldCharType="separate"/>
      </w:r>
      <w:r>
        <w:rPr>
          <w:rFonts w:hint="eastAsia" w:ascii="仿宋_GB2312" w:eastAsia="仿宋_GB2312"/>
          <w:bCs/>
          <w:szCs w:val="28"/>
        </w:rPr>
        <w:t>附件三、《杭州市淳安县人民法院资产评估委托书》复印件</w:t>
      </w:r>
      <w:r>
        <w:tab/>
      </w:r>
      <w:r>
        <w:fldChar w:fldCharType="begin"/>
      </w:r>
      <w:r>
        <w:instrText xml:space="preserve"> PAGEREF _Toc7227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_Toc12630 </w:instrText>
      </w:r>
      <w:r>
        <w:rPr>
          <w:rFonts w:ascii="仿宋_GB2312" w:eastAsia="仿宋_GB2312"/>
          <w:szCs w:val="44"/>
        </w:rPr>
        <w:fldChar w:fldCharType="separate"/>
      </w:r>
      <w:r>
        <w:rPr>
          <w:rFonts w:hint="eastAsia" w:ascii="仿宋_GB2312" w:eastAsia="仿宋_GB2312"/>
          <w:szCs w:val="28"/>
        </w:rPr>
        <w:t>附件四、《淳安县不动产权属信息查询记录》复印件</w:t>
      </w:r>
      <w:r>
        <w:tab/>
      </w:r>
      <w:r>
        <w:fldChar w:fldCharType="begin"/>
      </w:r>
      <w:r>
        <w:instrText xml:space="preserve"> PAGEREF _Toc12630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_Toc19647 </w:instrText>
      </w:r>
      <w:r>
        <w:rPr>
          <w:rFonts w:ascii="仿宋_GB2312" w:eastAsia="仿宋_GB2312"/>
          <w:szCs w:val="44"/>
        </w:rPr>
        <w:fldChar w:fldCharType="separate"/>
      </w:r>
      <w:r>
        <w:rPr>
          <w:rFonts w:hint="eastAsia" w:ascii="仿宋_GB2312" w:eastAsia="仿宋_GB2312"/>
          <w:szCs w:val="28"/>
        </w:rPr>
        <w:t>附件五、</w:t>
      </w:r>
      <w:r>
        <w:rPr>
          <w:rFonts w:hint="eastAsia" w:ascii="仿宋_GB2312" w:eastAsia="仿宋_GB2312"/>
          <w:szCs w:val="24"/>
        </w:rPr>
        <w:t>《契证》</w:t>
      </w:r>
      <w:r>
        <w:rPr>
          <w:rFonts w:hint="eastAsia" w:ascii="仿宋_GB2312" w:eastAsia="仿宋_GB2312"/>
          <w:szCs w:val="28"/>
        </w:rPr>
        <w:t>复印件</w:t>
      </w:r>
      <w:r>
        <w:tab/>
      </w:r>
      <w:r>
        <w:fldChar w:fldCharType="begin"/>
      </w:r>
      <w:r>
        <w:instrText xml:space="preserve"> PAGEREF _Toc19647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_Toc17735 </w:instrText>
      </w:r>
      <w:r>
        <w:rPr>
          <w:rFonts w:ascii="仿宋_GB2312" w:eastAsia="仿宋_GB2312"/>
          <w:szCs w:val="44"/>
        </w:rPr>
        <w:fldChar w:fldCharType="separate"/>
      </w:r>
      <w:r>
        <w:rPr>
          <w:rFonts w:hint="eastAsia" w:ascii="仿宋_GB2312" w:eastAsia="仿宋_GB2312"/>
          <w:szCs w:val="28"/>
          <w:lang w:val="en-US" w:eastAsia="zh-CN"/>
        </w:rPr>
        <w:t>附件六、《证明》</w:t>
      </w:r>
      <w:r>
        <w:rPr>
          <w:rFonts w:hint="eastAsia" w:ascii="仿宋_GB2312" w:eastAsia="仿宋_GB2312"/>
          <w:szCs w:val="28"/>
        </w:rPr>
        <w:t>复印件</w:t>
      </w:r>
      <w:r>
        <w:tab/>
      </w:r>
      <w:r>
        <w:fldChar w:fldCharType="begin"/>
      </w:r>
      <w:r>
        <w:instrText xml:space="preserve"> PAGEREF _Toc17735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_Toc10906 </w:instrText>
      </w:r>
      <w:r>
        <w:rPr>
          <w:rFonts w:ascii="仿宋_GB2312" w:eastAsia="仿宋_GB2312"/>
          <w:szCs w:val="44"/>
        </w:rPr>
        <w:fldChar w:fldCharType="separate"/>
      </w:r>
      <w:r>
        <w:rPr>
          <w:rFonts w:hint="eastAsia" w:ascii="仿宋_GB2312" w:eastAsia="仿宋_GB2312"/>
          <w:szCs w:val="28"/>
          <w:lang w:val="en-US" w:eastAsia="zh-CN"/>
        </w:rPr>
        <w:t>附件七、《</w:t>
      </w:r>
      <w:r>
        <w:rPr>
          <w:rFonts w:hint="default" w:ascii="仿宋_GB2312" w:eastAsia="仿宋_GB2312"/>
          <w:szCs w:val="28"/>
          <w:lang w:val="en-US" w:eastAsia="zh-CN"/>
        </w:rPr>
        <w:t>家具家电明细表</w:t>
      </w:r>
      <w:r>
        <w:rPr>
          <w:rFonts w:hint="eastAsia" w:ascii="仿宋_GB2312" w:eastAsia="仿宋_GB2312"/>
          <w:szCs w:val="28"/>
          <w:lang w:val="en-US" w:eastAsia="zh-CN"/>
        </w:rPr>
        <w:t>》</w:t>
      </w:r>
      <w:r>
        <w:tab/>
      </w:r>
      <w:r>
        <w:fldChar w:fldCharType="begin"/>
      </w:r>
      <w:r>
        <w:instrText xml:space="preserve"> PAGEREF _Toc10906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_Toc16467 </w:instrText>
      </w:r>
      <w:r>
        <w:rPr>
          <w:rFonts w:ascii="仿宋_GB2312" w:eastAsia="仿宋_GB2312"/>
          <w:szCs w:val="44"/>
        </w:rPr>
        <w:fldChar w:fldCharType="separate"/>
      </w:r>
      <w:r>
        <w:rPr>
          <w:rFonts w:hint="eastAsia" w:ascii="仿宋_GB2312" w:eastAsia="仿宋_GB2312"/>
          <w:bCs/>
          <w:szCs w:val="28"/>
        </w:rPr>
        <w:t>附件</w:t>
      </w:r>
      <w:r>
        <w:rPr>
          <w:rFonts w:hint="eastAsia" w:ascii="仿宋_GB2312" w:eastAsia="仿宋_GB2312"/>
          <w:bCs/>
          <w:szCs w:val="28"/>
          <w:lang w:val="en-US" w:eastAsia="zh-CN"/>
        </w:rPr>
        <w:t>八</w:t>
      </w:r>
      <w:r>
        <w:rPr>
          <w:rFonts w:hint="eastAsia" w:ascii="仿宋_GB2312" w:eastAsia="仿宋_GB2312"/>
          <w:bCs/>
          <w:szCs w:val="28"/>
        </w:rPr>
        <w:t>、 估价机构营业执照复印件</w:t>
      </w:r>
      <w:r>
        <w:tab/>
      </w:r>
      <w:r>
        <w:fldChar w:fldCharType="begin"/>
      </w:r>
      <w:r>
        <w:instrText xml:space="preserve"> PAGEREF _Toc16467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_Toc22208 </w:instrText>
      </w:r>
      <w:r>
        <w:rPr>
          <w:rFonts w:ascii="仿宋_GB2312" w:eastAsia="仿宋_GB2312"/>
          <w:szCs w:val="44"/>
        </w:rPr>
        <w:fldChar w:fldCharType="separate"/>
      </w:r>
      <w:r>
        <w:rPr>
          <w:rFonts w:hint="eastAsia" w:ascii="仿宋_GB2312" w:eastAsia="仿宋_GB2312"/>
          <w:bCs/>
          <w:szCs w:val="28"/>
        </w:rPr>
        <w:t>附件</w:t>
      </w:r>
      <w:r>
        <w:rPr>
          <w:rFonts w:hint="eastAsia" w:ascii="仿宋_GB2312" w:eastAsia="仿宋_GB2312"/>
          <w:bCs/>
          <w:szCs w:val="28"/>
          <w:lang w:val="en-US" w:eastAsia="zh-CN"/>
        </w:rPr>
        <w:t>九</w:t>
      </w:r>
      <w:r>
        <w:rPr>
          <w:rFonts w:hint="eastAsia" w:ascii="仿宋_GB2312" w:eastAsia="仿宋_GB2312"/>
          <w:bCs/>
          <w:szCs w:val="28"/>
        </w:rPr>
        <w:t>、 估价机构资质证书复印件</w:t>
      </w:r>
      <w:r>
        <w:tab/>
      </w:r>
      <w:r>
        <w:fldChar w:fldCharType="begin"/>
      </w:r>
      <w:r>
        <w:instrText xml:space="preserve"> PAGEREF _Toc22208 </w:instrText>
      </w:r>
      <w:r>
        <w:fldChar w:fldCharType="separate"/>
      </w:r>
      <w:r>
        <w:t>16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_Toc21150 </w:instrText>
      </w:r>
      <w:r>
        <w:rPr>
          <w:rFonts w:ascii="仿宋_GB2312" w:eastAsia="仿宋_GB2312"/>
          <w:szCs w:val="44"/>
        </w:rPr>
        <w:fldChar w:fldCharType="separate"/>
      </w:r>
      <w:r>
        <w:rPr>
          <w:rFonts w:hint="eastAsia" w:ascii="仿宋_GB2312" w:eastAsia="仿宋_GB2312"/>
          <w:bCs/>
          <w:szCs w:val="28"/>
        </w:rPr>
        <w:t>附件</w:t>
      </w:r>
      <w:r>
        <w:rPr>
          <w:rFonts w:hint="eastAsia" w:ascii="仿宋_GB2312" w:eastAsia="仿宋_GB2312"/>
          <w:bCs/>
          <w:szCs w:val="28"/>
          <w:lang w:val="en-US" w:eastAsia="zh-CN"/>
        </w:rPr>
        <w:t>十</w:t>
      </w:r>
      <w:r>
        <w:rPr>
          <w:rFonts w:hint="eastAsia" w:ascii="仿宋_GB2312" w:eastAsia="仿宋_GB2312"/>
          <w:bCs/>
          <w:szCs w:val="28"/>
        </w:rPr>
        <w:t>、 注册房地产估价师注册证书复印件</w:t>
      </w:r>
      <w:r>
        <w:tab/>
      </w:r>
      <w:r>
        <w:fldChar w:fldCharType="begin"/>
      </w:r>
      <w:r>
        <w:instrText xml:space="preserve"> PAGEREF _Toc21150 </w:instrText>
      </w:r>
      <w:r>
        <w:fldChar w:fldCharType="separate"/>
      </w:r>
      <w:r>
        <w:t>16</w:t>
      </w:r>
      <w:r>
        <w:fldChar w:fldCharType="end"/>
      </w:r>
      <w:r>
        <w:rPr>
          <w:rFonts w:ascii="仿宋_GB2312" w:eastAsia="仿宋_GB2312"/>
          <w:color w:val="000000" w:themeColor="text1"/>
          <w:szCs w:val="44"/>
          <w:u w:val="single"/>
        </w:rPr>
        <w:fldChar w:fldCharType="end"/>
      </w:r>
    </w:p>
    <w:p>
      <w:pPr>
        <w:keepNext/>
        <w:autoSpaceDE w:val="0"/>
        <w:autoSpaceDN w:val="0"/>
        <w:adjustRightInd w:val="0"/>
        <w:snapToGrid w:val="0"/>
        <w:spacing w:line="360" w:lineRule="auto"/>
        <w:ind w:firstLine="210" w:firstLineChars="100"/>
        <w:jc w:val="center"/>
        <w:textAlignment w:val="bottom"/>
        <w:outlineLvl w:val="1"/>
        <w:rPr>
          <w:color w:val="000000" w:themeColor="text1"/>
          <w:szCs w:val="28"/>
          <w:u w:val="single"/>
        </w:rPr>
      </w:pPr>
      <w:r>
        <w:rPr>
          <w:rFonts w:ascii="仿宋_GB2312" w:eastAsia="仿宋_GB2312"/>
          <w:color w:val="000000" w:themeColor="text1"/>
          <w:szCs w:val="44"/>
          <w:u w:val="single"/>
        </w:rPr>
        <w:fldChar w:fldCharType="end"/>
      </w:r>
    </w:p>
    <w:p>
      <w:pPr>
        <w:autoSpaceDE w:val="0"/>
        <w:autoSpaceDN w:val="0"/>
        <w:adjustRightInd w:val="0"/>
        <w:snapToGrid w:val="0"/>
        <w:spacing w:line="800" w:lineRule="exact"/>
        <w:ind w:firstLine="321" w:firstLineChars="100"/>
        <w:jc w:val="center"/>
        <w:textAlignment w:val="bottom"/>
        <w:rPr>
          <w:rFonts w:ascii="仿宋_GB2312" w:eastAsia="仿宋_GB2312"/>
          <w:b/>
          <w:sz w:val="32"/>
          <w:szCs w:val="24"/>
        </w:rPr>
        <w:sectPr>
          <w:footerReference r:id="rId6" w:type="default"/>
          <w:pgSz w:w="11906" w:h="16838"/>
          <w:pgMar w:top="1440" w:right="1797" w:bottom="1440" w:left="1797" w:header="851" w:footer="907" w:gutter="0"/>
          <w:cols w:space="720" w:num="1"/>
          <w:docGrid w:type="lines" w:linePitch="312" w:charSpace="0"/>
        </w:sectPr>
      </w:pP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pPr>
      <w:bookmarkStart w:id="8" w:name="_Toc7060"/>
      <w:bookmarkStart w:id="9" w:name="_Toc293325688"/>
      <w:bookmarkStart w:id="10" w:name="_Toc288131925"/>
      <w:bookmarkStart w:id="11" w:name="_Toc293374875"/>
      <w:bookmarkStart w:id="12" w:name="_Toc205170831"/>
      <w:bookmarkStart w:id="13" w:name="_Toc573"/>
      <w:r>
        <w:rPr>
          <w:rFonts w:hint="eastAsia" w:ascii="仿宋_GB2312" w:hAnsi="宋体" w:eastAsia="仿宋_GB2312"/>
          <w:b/>
          <w:bCs/>
          <w:kern w:val="44"/>
          <w:sz w:val="36"/>
          <w:szCs w:val="36"/>
        </w:rPr>
        <w:t>注册房地产估价师声明</w:t>
      </w:r>
      <w:bookmarkEnd w:id="8"/>
      <w:bookmarkEnd w:id="9"/>
      <w:bookmarkEnd w:id="10"/>
      <w:bookmarkEnd w:id="11"/>
      <w:bookmarkEnd w:id="12"/>
      <w:bookmarkEnd w:id="13"/>
    </w:p>
    <w:p>
      <w:pPr>
        <w:spacing w:line="480" w:lineRule="exact"/>
        <w:ind w:firstLine="560" w:firstLineChars="200"/>
        <w:rPr>
          <w:rFonts w:ascii="仿宋_GB2312" w:eastAsia="仿宋_GB2312"/>
          <w:sz w:val="28"/>
          <w:szCs w:val="28"/>
        </w:rPr>
      </w:pPr>
      <w:bookmarkStart w:id="14" w:name="_Toc16457"/>
      <w:bookmarkStart w:id="15" w:name="_Toc63759838"/>
      <w:bookmarkStart w:id="16" w:name="_Toc205170832"/>
      <w:bookmarkStart w:id="17" w:name="_Toc63759914"/>
      <w:bookmarkStart w:id="18" w:name="_Toc293374876"/>
      <w:bookmarkStart w:id="19" w:name="_Toc288131926"/>
      <w:bookmarkStart w:id="20" w:name="_Toc293325689"/>
      <w:r>
        <w:rPr>
          <w:rFonts w:hint="eastAsia" w:ascii="仿宋_GB2312" w:eastAsia="仿宋_GB2312"/>
          <w:sz w:val="28"/>
          <w:szCs w:val="28"/>
        </w:rPr>
        <w:t>我们郑重声明：</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1、我们在本报告中陈述的事实是真实的和准确的，没有虚假记载、误导性陈述和重大遗漏。</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2、本估价报告中的分析、意见和结论是我们自己独立、客观、公正的专业分析、意见和结论，但受本报告中已说明的假设和限制条件的限制。</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3、注册房地产估价师与估价报告中的估价对象没有现实或潜在的利益，与估价委托人及估价利害关系人没有利害关系。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4、注册房地产估价师对估价报告中的估价对象、估价委托人及估价利害关系人没有偏见。</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5、我们依照中华人民共和国国家标准《房地产估价规范》、《房地产估价基本术语标准》等相关房地产估价专项标准进行分析，形成意见和结论，撰写本估价报告。</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6、我公司张晓冬、陈如腾于2020年6月5日对本估价报告中的估价对象进行了实地勘察，并对勘察的客观性、真实性、公证性承担负责，但我们对估价对象的现场勘察仅限于其外观和使用状况，对被遮盖、未暴露及难以接触到的部分，依据委托方提供的资料进行评估。除非另有协议，我们不承担对估价对象建筑结构质量进行调查的责任，也不承担其他被遮盖未暴露及难以接触到的部分进行查勘的责任。报告的使用人对房屋质量问题存疑，建议委托专业机构另行鉴定。</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7、没有人对本估价报告提供重要专业帮助。</w:t>
      </w: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pPr>
    </w:p>
    <w:p>
      <w:pPr>
        <w:keepNext/>
        <w:autoSpaceDE w:val="0"/>
        <w:autoSpaceDN w:val="0"/>
        <w:adjustRightInd w:val="0"/>
        <w:spacing w:line="312" w:lineRule="atLeast"/>
        <w:ind w:right="-113"/>
        <w:textAlignment w:val="bottom"/>
        <w:outlineLvl w:val="0"/>
        <w:rPr>
          <w:rFonts w:ascii="仿宋_GB2312" w:hAnsi="宋体" w:eastAsia="仿宋_GB2312"/>
          <w:b/>
          <w:bCs/>
          <w:kern w:val="44"/>
          <w:sz w:val="36"/>
          <w:szCs w:val="36"/>
        </w:rPr>
      </w:pPr>
    </w:p>
    <w:p>
      <w:pPr>
        <w:rPr>
          <w:rFonts w:ascii="仿宋_GB2312" w:hAnsi="宋体" w:eastAsia="仿宋_GB2312"/>
          <w:b/>
          <w:bCs/>
          <w:kern w:val="44"/>
          <w:sz w:val="36"/>
          <w:szCs w:val="36"/>
        </w:rPr>
      </w:pPr>
    </w:p>
    <w:p>
      <w:pPr>
        <w:rPr>
          <w:rFonts w:ascii="仿宋_GB2312" w:hAnsi="宋体" w:eastAsia="仿宋_GB2312"/>
          <w:b/>
          <w:bCs/>
          <w:kern w:val="44"/>
          <w:sz w:val="36"/>
          <w:szCs w:val="36"/>
        </w:rPr>
      </w:pPr>
    </w:p>
    <w:p>
      <w:pPr>
        <w:keepNext/>
        <w:autoSpaceDE w:val="0"/>
        <w:autoSpaceDN w:val="0"/>
        <w:adjustRightInd w:val="0"/>
        <w:spacing w:line="470" w:lineRule="exact"/>
        <w:ind w:right="-113"/>
        <w:jc w:val="center"/>
        <w:textAlignment w:val="bottom"/>
        <w:outlineLvl w:val="0"/>
        <w:rPr>
          <w:rFonts w:ascii="仿宋_GB2312" w:hAnsi="宋体" w:eastAsia="仿宋_GB2312"/>
          <w:b/>
          <w:bCs/>
          <w:kern w:val="44"/>
          <w:sz w:val="36"/>
          <w:szCs w:val="36"/>
        </w:rPr>
      </w:pPr>
      <w:bookmarkStart w:id="21" w:name="_Toc12963"/>
      <w:r>
        <w:rPr>
          <w:rFonts w:hint="eastAsia" w:ascii="仿宋_GB2312" w:hAnsi="宋体" w:eastAsia="仿宋_GB2312"/>
          <w:b/>
          <w:bCs/>
          <w:kern w:val="44"/>
          <w:sz w:val="36"/>
          <w:szCs w:val="36"/>
        </w:rPr>
        <w:t>估价假设和限制条件</w:t>
      </w:r>
      <w:bookmarkEnd w:id="14"/>
      <w:bookmarkEnd w:id="15"/>
      <w:bookmarkEnd w:id="16"/>
      <w:bookmarkEnd w:id="17"/>
      <w:bookmarkEnd w:id="18"/>
      <w:bookmarkEnd w:id="19"/>
      <w:bookmarkEnd w:id="20"/>
      <w:bookmarkEnd w:id="21"/>
    </w:p>
    <w:p>
      <w:pPr>
        <w:spacing w:line="500" w:lineRule="exact"/>
        <w:ind w:firstLine="546" w:firstLineChars="195"/>
        <w:rPr>
          <w:rFonts w:ascii="仿宋_GB2312" w:hAnsi="宋体" w:eastAsia="仿宋_GB2312"/>
          <w:b/>
          <w:sz w:val="28"/>
          <w:szCs w:val="28"/>
        </w:rPr>
      </w:pPr>
      <w:r>
        <w:rPr>
          <w:rFonts w:hint="eastAsia" w:ascii="仿宋_GB2312" w:hAnsi="宋体" w:eastAsia="仿宋_GB2312"/>
          <w:b/>
          <w:sz w:val="28"/>
          <w:szCs w:val="28"/>
        </w:rPr>
        <w:t>一、估价的一般性假设</w:t>
      </w:r>
    </w:p>
    <w:p>
      <w:pPr>
        <w:spacing w:line="5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本报告以</w:t>
      </w:r>
      <w:r>
        <w:rPr>
          <w:rFonts w:ascii="仿宋_GB2312" w:eastAsia="仿宋_GB2312"/>
          <w:sz w:val="28"/>
          <w:szCs w:val="28"/>
        </w:rPr>
        <w:t>《中华人民共和国城市房地产管理法》和《中华人民共和国土地管理法》等国家现行的各项房地产</w:t>
      </w:r>
      <w:r>
        <w:rPr>
          <w:rFonts w:hint="eastAsia" w:ascii="仿宋_GB2312" w:eastAsia="仿宋_GB2312"/>
          <w:sz w:val="28"/>
          <w:szCs w:val="28"/>
        </w:rPr>
        <w:t>法律、</w:t>
      </w:r>
      <w:r>
        <w:rPr>
          <w:rFonts w:ascii="仿宋_GB2312" w:eastAsia="仿宋_GB2312"/>
          <w:sz w:val="28"/>
          <w:szCs w:val="28"/>
        </w:rPr>
        <w:t>法规</w:t>
      </w:r>
      <w:r>
        <w:rPr>
          <w:rFonts w:hint="eastAsia" w:ascii="仿宋_GB2312" w:eastAsia="仿宋_GB2312"/>
          <w:sz w:val="28"/>
          <w:szCs w:val="28"/>
        </w:rPr>
        <w:t>及政策</w:t>
      </w:r>
      <w:r>
        <w:rPr>
          <w:rFonts w:ascii="仿宋_GB2312" w:eastAsia="仿宋_GB2312"/>
          <w:sz w:val="28"/>
          <w:szCs w:val="28"/>
        </w:rPr>
        <w:t>在价值时点后的相当一段时间内不进行重大修改</w:t>
      </w:r>
      <w:r>
        <w:rPr>
          <w:rFonts w:hint="eastAsia" w:ascii="仿宋_GB2312" w:eastAsia="仿宋_GB2312"/>
          <w:sz w:val="28"/>
          <w:szCs w:val="28"/>
        </w:rPr>
        <w:t>为前提。</w:t>
      </w:r>
    </w:p>
    <w:p>
      <w:pPr>
        <w:spacing w:line="500" w:lineRule="exact"/>
        <w:ind w:firstLine="560" w:firstLineChars="200"/>
        <w:rPr>
          <w:rFonts w:ascii="仿宋_GB2312" w:eastAsia="仿宋_GB2312"/>
          <w:sz w:val="28"/>
          <w:szCs w:val="28"/>
        </w:rPr>
      </w:pPr>
      <w:r>
        <w:rPr>
          <w:rFonts w:hint="eastAsia" w:ascii="仿宋_GB2312" w:eastAsia="仿宋_GB2312" w:cs="仿宋_GB2312"/>
          <w:sz w:val="28"/>
          <w:szCs w:val="28"/>
        </w:rPr>
        <w:t>2、</w:t>
      </w:r>
      <w:r>
        <w:rPr>
          <w:rFonts w:hint="eastAsia" w:ascii="仿宋_GB2312" w:eastAsia="仿宋_GB2312"/>
          <w:sz w:val="28"/>
          <w:szCs w:val="28"/>
        </w:rPr>
        <w:t>注册房地产估价师对估价所依据的估价对象的权属、面积、用途等资料进行了检查，且建筑面积经实地目测与权属证书上记载数字大体相当，在无理由怀疑其合法性、真实性、准确性和完整性且未予以核实的情况下，假设上述权属、面积、用途等资料是合法、真实、准确和完整的。</w:t>
      </w:r>
    </w:p>
    <w:p>
      <w:pPr>
        <w:spacing w:line="500" w:lineRule="exact"/>
        <w:ind w:firstLine="540"/>
        <w:rPr>
          <w:rFonts w:ascii="仿宋_GB2312" w:eastAsia="仿宋_GB2312"/>
          <w:sz w:val="28"/>
          <w:szCs w:val="28"/>
        </w:rPr>
      </w:pPr>
      <w:r>
        <w:rPr>
          <w:rFonts w:hint="eastAsia" w:ascii="仿宋_GB2312" w:eastAsia="仿宋_GB2312"/>
          <w:sz w:val="28"/>
          <w:szCs w:val="28"/>
        </w:rPr>
        <w:t>3、本次估价人员对估价对象进行了仔细实地查勘，对房屋安全、环境污染等影响估价对象价值的重大因素给予了关注，但因我公司是房地产估价机构而非房屋质量安全鉴定机构及环境检测机构，无相关鉴定仪器，也未接受鉴定委托，故对房屋质量、环境污染无鉴定义务，</w:t>
      </w:r>
      <w:r>
        <w:rPr>
          <w:rFonts w:hint="eastAsia" w:ascii="仿宋_GB2312" w:eastAsia="仿宋_GB2312"/>
          <w:spacing w:val="4"/>
          <w:sz w:val="28"/>
          <w:szCs w:val="24"/>
        </w:rPr>
        <w:t>对被遮盖、未暴露及难以接触到的部分，依据委托方提供的资料进行评</w:t>
      </w:r>
      <w:r>
        <w:rPr>
          <w:rFonts w:hint="eastAsia" w:ascii="仿宋_GB2312" w:eastAsia="仿宋_GB2312"/>
          <w:sz w:val="28"/>
          <w:szCs w:val="28"/>
        </w:rPr>
        <w:t>估。因此在无理由怀疑估价对象存在安全隐患且无相应的专业机构进行鉴定、检测的情况下，假设估价对象是安全的。</w:t>
      </w:r>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4、估价对象</w:t>
      </w:r>
      <w:r>
        <w:rPr>
          <w:rFonts w:hint="eastAsia" w:ascii="仿宋_GB2312" w:hAnsi="宋体" w:eastAsia="仿宋_GB2312"/>
          <w:sz w:val="28"/>
          <w:szCs w:val="28"/>
        </w:rPr>
        <w:t>以假定</w:t>
      </w:r>
      <w:r>
        <w:rPr>
          <w:rFonts w:hint="eastAsia" w:ascii="仿宋_GB2312" w:eastAsia="仿宋_GB2312"/>
          <w:spacing w:val="4"/>
          <w:sz w:val="28"/>
          <w:szCs w:val="24"/>
        </w:rPr>
        <w:t>在价值时点的房地产市场为公开、平等、自愿的交易市场</w:t>
      </w:r>
      <w:r>
        <w:rPr>
          <w:rFonts w:hint="eastAsia" w:ascii="仿宋_GB2312" w:hAnsi="宋体" w:eastAsia="仿宋_GB2312"/>
          <w:sz w:val="28"/>
          <w:szCs w:val="28"/>
        </w:rPr>
        <w:t>为假设前提</w:t>
      </w:r>
      <w:r>
        <w:rPr>
          <w:rFonts w:hint="eastAsia" w:ascii="仿宋_GB2312" w:eastAsia="仿宋_GB2312"/>
          <w:spacing w:val="4"/>
          <w:sz w:val="28"/>
          <w:szCs w:val="24"/>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5、估价对象在合法前提下，按其现状用途使用能够产生最高最佳效益，并在未来得以持续。</w:t>
      </w:r>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6、本估价报告中的估价结果基于估价对象完整的物质实体状况和权益状况</w:t>
      </w:r>
      <w:r>
        <w:rPr>
          <w:rFonts w:hint="eastAsia" w:ascii="仿宋_GB2312" w:hAnsi="宋体" w:eastAsia="仿宋_GB2312"/>
          <w:sz w:val="28"/>
          <w:szCs w:val="28"/>
        </w:rPr>
        <w:t>为假设前提</w:t>
      </w:r>
      <w:r>
        <w:rPr>
          <w:rFonts w:hint="eastAsia" w:ascii="仿宋_GB2312" w:eastAsia="仿宋_GB2312"/>
          <w:spacing w:val="4"/>
          <w:sz w:val="28"/>
          <w:szCs w:val="24"/>
        </w:rPr>
        <w:t>。</w:t>
      </w:r>
    </w:p>
    <w:p>
      <w:pPr>
        <w:spacing w:line="500" w:lineRule="exact"/>
        <w:ind w:firstLine="540"/>
        <w:rPr>
          <w:rFonts w:ascii="仿宋_GB2312" w:eastAsia="仿宋_GB2312"/>
          <w:spacing w:val="4"/>
          <w:sz w:val="28"/>
          <w:szCs w:val="24"/>
        </w:rPr>
      </w:pPr>
      <w:r>
        <w:rPr>
          <w:rFonts w:ascii="仿宋_GB2312" w:eastAsia="仿宋_GB2312"/>
          <w:spacing w:val="4"/>
          <w:sz w:val="28"/>
          <w:szCs w:val="24"/>
        </w:rPr>
        <w:t>7</w:t>
      </w:r>
      <w:r>
        <w:rPr>
          <w:rFonts w:hint="eastAsia" w:ascii="仿宋_GB2312" w:eastAsia="仿宋_GB2312"/>
          <w:spacing w:val="4"/>
          <w:sz w:val="28"/>
          <w:szCs w:val="24"/>
        </w:rPr>
        <w:t>、</w:t>
      </w:r>
      <w:r>
        <w:rPr>
          <w:rFonts w:hint="eastAsia" w:eastAsia="仿宋_GB2312"/>
          <w:sz w:val="28"/>
          <w:szCs w:val="28"/>
        </w:rPr>
        <w:t>本报告以在估价报告的使用有效期限不会出现国家宏观经济政策发生重大变化、市场供应关系及市场结构保持</w:t>
      </w:r>
      <w:r>
        <w:rPr>
          <w:rFonts w:hint="eastAsia" w:ascii="仿宋_GB2312" w:eastAsia="仿宋_GB2312"/>
          <w:spacing w:val="4"/>
          <w:sz w:val="28"/>
          <w:szCs w:val="24"/>
        </w:rPr>
        <w:t>稳定</w:t>
      </w:r>
      <w:r>
        <w:rPr>
          <w:rFonts w:hint="eastAsia" w:eastAsia="仿宋_GB2312"/>
          <w:sz w:val="28"/>
          <w:szCs w:val="28"/>
        </w:rPr>
        <w:t>、不会遇到自然力和其他不可抗力为前提</w:t>
      </w:r>
      <w:r>
        <w:rPr>
          <w:rFonts w:hint="eastAsia" w:ascii="仿宋_GB2312" w:eastAsia="仿宋_GB2312"/>
          <w:spacing w:val="4"/>
          <w:sz w:val="28"/>
          <w:szCs w:val="24"/>
        </w:rPr>
        <w:t>。</w:t>
      </w:r>
    </w:p>
    <w:p>
      <w:pPr>
        <w:spacing w:line="500" w:lineRule="exact"/>
        <w:ind w:firstLine="54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、估价中未考虑特殊交易方式对市场价值的影响。</w:t>
      </w:r>
    </w:p>
    <w:p>
      <w:pPr>
        <w:spacing w:line="500" w:lineRule="exact"/>
        <w:ind w:firstLine="54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、估价报告未考虑估价对象运营业主经营决策失误或市场动作失当对其价值的影响。</w:t>
      </w:r>
    </w:p>
    <w:p>
      <w:pPr>
        <w:spacing w:line="500" w:lineRule="exact"/>
        <w:ind w:firstLine="540"/>
        <w:rPr>
          <w:rFonts w:ascii="仿宋_GB2312" w:eastAsia="仿宋_GB2312" w:cs="仿宋_GB2312"/>
          <w:spacing w:val="4"/>
          <w:sz w:val="28"/>
          <w:szCs w:val="24"/>
        </w:rPr>
      </w:pPr>
      <w:r>
        <w:rPr>
          <w:rFonts w:ascii="仿宋_GB2312" w:eastAsia="仿宋_GB2312" w:cs="仿宋_GB2312"/>
          <w:spacing w:val="4"/>
          <w:sz w:val="28"/>
          <w:szCs w:val="24"/>
        </w:rPr>
        <w:t>10</w:t>
      </w:r>
      <w:r>
        <w:rPr>
          <w:rFonts w:hint="eastAsia" w:ascii="仿宋_GB2312" w:eastAsia="仿宋_GB2312" w:cs="仿宋_GB2312"/>
          <w:spacing w:val="4"/>
          <w:sz w:val="28"/>
          <w:szCs w:val="24"/>
        </w:rPr>
        <w:t>、本报告估价结果是在公开市场前提下求取的房地产市场价值，未考虑快速变现等处置方式带来的影响。</w:t>
      </w:r>
    </w:p>
    <w:p>
      <w:pPr>
        <w:spacing w:line="500" w:lineRule="exact"/>
        <w:ind w:firstLine="540"/>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、如果估价对象以司法拍卖进行处置，会发生较高数额的费</w:t>
      </w:r>
      <w:r>
        <w:rPr>
          <w:rFonts w:hint="eastAsia" w:ascii="仿宋_GB2312" w:eastAsia="仿宋_GB2312" w:cs="仿宋_GB2312"/>
          <w:spacing w:val="4"/>
          <w:sz w:val="28"/>
          <w:szCs w:val="24"/>
        </w:rPr>
        <w:t>用，本次评估仅为此次司法执行提供市场价值参考，不考虑未来在拍卖清偿过程中发生的有关费用。</w:t>
      </w:r>
    </w:p>
    <w:p>
      <w:pPr>
        <w:spacing w:line="500" w:lineRule="exact"/>
        <w:ind w:firstLine="564" w:firstLineChars="196"/>
        <w:rPr>
          <w:rFonts w:ascii="仿宋_GB2312" w:eastAsia="仿宋_GB2312"/>
          <w:b/>
          <w:spacing w:val="4"/>
          <w:sz w:val="28"/>
          <w:szCs w:val="24"/>
        </w:rPr>
      </w:pPr>
      <w:r>
        <w:rPr>
          <w:rFonts w:hint="eastAsia" w:ascii="仿宋_GB2312" w:eastAsia="仿宋_GB2312"/>
          <w:b/>
          <w:spacing w:val="4"/>
          <w:sz w:val="28"/>
          <w:szCs w:val="24"/>
        </w:rPr>
        <w:t>二、未定事项假设</w:t>
      </w:r>
    </w:p>
    <w:p>
      <w:pPr>
        <w:spacing w:line="48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估价对象建筑面积、土地面积、用途等数据齐全，权属资料齐全，本次根据情况设定估价无未定事项。</w:t>
      </w:r>
    </w:p>
    <w:p>
      <w:pPr>
        <w:spacing w:line="480" w:lineRule="exact"/>
        <w:ind w:firstLine="564" w:firstLineChars="196"/>
        <w:rPr>
          <w:rFonts w:ascii="仿宋_GB2312" w:eastAsia="仿宋_GB2312"/>
          <w:b/>
          <w:spacing w:val="4"/>
          <w:sz w:val="28"/>
          <w:szCs w:val="24"/>
        </w:rPr>
      </w:pPr>
      <w:r>
        <w:rPr>
          <w:rFonts w:hint="eastAsia" w:ascii="仿宋_GB2312" w:eastAsia="仿宋_GB2312"/>
          <w:b/>
          <w:spacing w:val="4"/>
          <w:sz w:val="28"/>
          <w:szCs w:val="24"/>
        </w:rPr>
        <w:t>三、背离事实假设</w:t>
      </w:r>
    </w:p>
    <w:p>
      <w:pPr>
        <w:spacing w:line="500" w:lineRule="exact"/>
        <w:ind w:firstLine="576" w:firstLineChars="200"/>
        <w:rPr>
          <w:rFonts w:ascii="仿宋_GB2312" w:eastAsia="仿宋_GB2312" w:cs="仿宋_GB2312"/>
          <w:color w:val="000000"/>
          <w:spacing w:val="4"/>
          <w:sz w:val="28"/>
        </w:rPr>
      </w:pPr>
      <w:r>
        <w:rPr>
          <w:rFonts w:hint="eastAsia" w:ascii="仿宋_GB2312" w:eastAsia="仿宋_GB2312" w:cs="仿宋_GB2312"/>
          <w:spacing w:val="4"/>
          <w:sz w:val="28"/>
          <w:szCs w:val="24"/>
        </w:rPr>
        <w:t>依据《淳安县不动产权属信息查询记录》（编号：CD20200605-0000550）显示，</w:t>
      </w:r>
      <w:r>
        <w:rPr>
          <w:rFonts w:hint="eastAsia" w:ascii="仿宋_GB2312" w:eastAsia="仿宋_GB2312" w:cs="仿宋_GB2312"/>
          <w:color w:val="000000"/>
          <w:spacing w:val="4"/>
          <w:sz w:val="28"/>
        </w:rPr>
        <w:t>估价对象存在查封、抵押情况（具体见估价结果报告），估价对象存在的查封、抵押情况于本次价值时点仍然存在。根据本次评估目的，通过司法处置后估价对象可达到正常权益状态，故本次评估不考虑以上查封、抵押情况对市场交易价值的影响。</w:t>
      </w:r>
    </w:p>
    <w:p>
      <w:pPr>
        <w:spacing w:line="500" w:lineRule="exact"/>
        <w:ind w:firstLine="560" w:firstLineChars="200"/>
        <w:rPr>
          <w:rFonts w:ascii="仿宋_GB2312" w:eastAsia="仿宋_GB2312" w:cs="仿宋_GB2312"/>
          <w:spacing w:val="4"/>
          <w:sz w:val="28"/>
          <w:szCs w:val="24"/>
        </w:rPr>
      </w:pPr>
      <w:r>
        <w:rPr>
          <w:rFonts w:hint="eastAsia" w:ascii="仿宋_GB2312" w:hAnsi="宋体" w:eastAsia="仿宋_GB2312"/>
          <w:b/>
          <w:sz w:val="28"/>
          <w:szCs w:val="28"/>
        </w:rPr>
        <w:t>四、不相一致假设</w:t>
      </w:r>
    </w:p>
    <w:p>
      <w:pPr>
        <w:spacing w:line="50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本估价项目不存在不相一致事项，故本估价报告无不相一致假设。</w:t>
      </w:r>
    </w:p>
    <w:p>
      <w:pPr>
        <w:spacing w:line="500" w:lineRule="exact"/>
        <w:ind w:firstLine="560" w:firstLineChars="200"/>
        <w:rPr>
          <w:rFonts w:ascii="仿宋_GB2312" w:hAnsi="宋体" w:eastAsia="仿宋_GB2312"/>
          <w:b/>
          <w:sz w:val="28"/>
          <w:szCs w:val="28"/>
        </w:rPr>
      </w:pPr>
      <w:r>
        <w:rPr>
          <w:rFonts w:hint="eastAsia" w:ascii="仿宋_GB2312" w:hAnsi="宋体" w:eastAsia="仿宋_GB2312"/>
          <w:b/>
          <w:sz w:val="28"/>
          <w:szCs w:val="28"/>
        </w:rPr>
        <w:t>五、依据不足假设</w:t>
      </w:r>
    </w:p>
    <w:p>
      <w:pPr>
        <w:spacing w:line="50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本次反应估价对象利用状况资料充分，不存在依据不足事项，本报告无依据不足假设。</w:t>
      </w:r>
    </w:p>
    <w:p>
      <w:pPr>
        <w:spacing w:line="500" w:lineRule="exact"/>
        <w:ind w:firstLine="560" w:firstLineChars="200"/>
        <w:rPr>
          <w:rFonts w:ascii="仿宋_GB2312" w:hAnsi="宋体" w:eastAsia="仿宋_GB2312"/>
          <w:b/>
          <w:sz w:val="28"/>
          <w:szCs w:val="28"/>
        </w:rPr>
      </w:pPr>
      <w:r>
        <w:rPr>
          <w:rFonts w:hint="eastAsia" w:ascii="仿宋_GB2312" w:hAnsi="宋体" w:eastAsia="仿宋_GB2312"/>
          <w:b/>
          <w:sz w:val="28"/>
          <w:szCs w:val="28"/>
        </w:rPr>
        <w:t>六、估价报告使用限制</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1、本报告的估价结果系根据上述假设及房地产估价的有关原则、方法得出，只有在上述假设存在的条件下成立。</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2、本次估价结果仅限于为委托方司法鉴定提供价值参考依据，若有其它用途，需根据指定目的另行评估。</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3、本次估价是以估价对象所处地块在价值时点符合规划部门的规划要求为基础进行的，若城建规划部门对该地块做出重大的规划变动，估价结果一般会失效。</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4、在市场状况变动不大的情况下，本次估价报告使用期限自估价报告出具之日起壹年内有效。估价报告有效期间因拆迁等重大政策导致估价结果与实际不符，或发生不可抗力对估价结果产生影响的，估价报告不得继续使用。</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5、本估价报告需经注册房地产估价师签名并加盖估价机构公章，并作为一个整体时有效，复印件无效。</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6、本房地产估价结果报告及估价技术报告中的内容不得向委托人和按规定报送的有关部门外的单位和个人提供，亦不得将全部或部分内容见诸于任何公开媒体。</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7、本估价报告由杭州中立房地产土地评估规划咨询有限公司负责解释。</w:t>
      </w:r>
    </w:p>
    <w:p>
      <w:pPr>
        <w:spacing w:line="500" w:lineRule="exact"/>
        <w:ind w:right="-10" w:rightChars="-5" w:firstLine="576" w:firstLineChars="200"/>
        <w:rPr>
          <w:rFonts w:ascii="仿宋_GB2312" w:eastAsia="仿宋_GB2312"/>
          <w:sz w:val="28"/>
          <w:szCs w:val="24"/>
        </w:rPr>
      </w:pPr>
      <w:r>
        <w:rPr>
          <w:rFonts w:hint="eastAsia" w:ascii="仿宋_GB2312" w:eastAsia="仿宋_GB2312" w:cs="仿宋_GB2312"/>
          <w:spacing w:val="4"/>
          <w:sz w:val="28"/>
          <w:szCs w:val="24"/>
        </w:rPr>
        <w:t>8、报告中数据全部采用电算化连续计算得出，由于在报告中计算的数据均按四舍五入保留小数或取整，因此，可能出现个别等式左右不相等的情况，但不影响计算结果及最终评估结论的准确性。</w:t>
      </w:r>
    </w:p>
    <w:p>
      <w:pPr>
        <w:spacing w:line="500" w:lineRule="exact"/>
        <w:ind w:firstLine="564" w:firstLineChars="196"/>
        <w:rPr>
          <w:rFonts w:ascii="仿宋_GB2312" w:eastAsia="仿宋_GB2312" w:cs="仿宋_GB2312"/>
          <w:b/>
          <w:spacing w:val="4"/>
          <w:sz w:val="28"/>
          <w:szCs w:val="24"/>
        </w:rPr>
      </w:pPr>
      <w:r>
        <w:rPr>
          <w:rFonts w:hint="eastAsia" w:ascii="仿宋_GB2312" w:eastAsia="仿宋_GB2312" w:cs="仿宋_GB2312"/>
          <w:b/>
          <w:spacing w:val="4"/>
          <w:sz w:val="28"/>
          <w:szCs w:val="24"/>
        </w:rPr>
        <w:t>七、其它特殊事项说明</w:t>
      </w:r>
    </w:p>
    <w:p>
      <w:pPr>
        <w:spacing w:line="500" w:lineRule="exact"/>
        <w:ind w:firstLine="576" w:firstLineChars="200"/>
        <w:rPr>
          <w:rFonts w:ascii="仿宋_GB2312" w:hAnsi="宋体" w:eastAsia="仿宋_GB2312"/>
          <w:b/>
          <w:color w:val="000000"/>
          <w:sz w:val="28"/>
          <w:szCs w:val="28"/>
        </w:rPr>
      </w:pPr>
      <w:r>
        <w:rPr>
          <w:rFonts w:hint="eastAsia" w:ascii="仿宋_GB2312" w:eastAsia="仿宋_GB2312" w:cs="仿宋_GB2312"/>
          <w:color w:val="000000"/>
          <w:spacing w:val="4"/>
          <w:sz w:val="28"/>
        </w:rPr>
        <w:t>1、</w:t>
      </w:r>
      <w:r>
        <w:rPr>
          <w:rFonts w:hint="eastAsia" w:ascii="仿宋_GB2312" w:eastAsia="仿宋_GB2312" w:cs="仿宋_GB2312"/>
          <w:spacing w:val="4"/>
          <w:sz w:val="28"/>
        </w:rPr>
        <w:t>根据书香名地物管处提供的《证明》显示，估价对象从2020年1月1日起至今（6月5日）欠缴物业费1045元.从2018年1月1日至今（6月5日）欠水费能耗费1416元，共计2461元。</w:t>
      </w:r>
      <w:r>
        <w:rPr>
          <w:rFonts w:hint="eastAsia" w:ascii="仿宋_GB2312" w:eastAsia="仿宋_GB2312"/>
          <w:color w:val="000000"/>
          <w:sz w:val="28"/>
        </w:rPr>
        <w:t>本次评估结果为估价对象在价值时点的市场价值，没有考虑</w:t>
      </w:r>
      <w:r>
        <w:rPr>
          <w:rFonts w:hint="eastAsia" w:ascii="仿宋_GB2312" w:eastAsia="仿宋_GB2312"/>
          <w:color w:val="000000"/>
          <w:sz w:val="28"/>
          <w:szCs w:val="28"/>
        </w:rPr>
        <w:t>估价对象可能存在的电费、煤气费、电信通讯费、宽带费以及其他等因物业使用而产生拖欠费用</w:t>
      </w:r>
      <w:r>
        <w:rPr>
          <w:rFonts w:hint="eastAsia" w:ascii="仿宋_GB2312" w:eastAsia="仿宋_GB2312"/>
          <w:color w:val="000000"/>
          <w:sz w:val="28"/>
        </w:rPr>
        <w:t>对其市场价值的影响</w:t>
      </w:r>
      <w:r>
        <w:rPr>
          <w:rFonts w:hint="eastAsia" w:ascii="仿宋_GB2312" w:eastAsia="仿宋_GB2312"/>
          <w:color w:val="000000"/>
          <w:sz w:val="28"/>
          <w:szCs w:val="28"/>
        </w:rPr>
        <w:t>。</w:t>
      </w:r>
      <w:r>
        <w:rPr>
          <w:rFonts w:hint="eastAsia" w:ascii="仿宋_GB2312" w:eastAsia="仿宋_GB2312"/>
          <w:b/>
          <w:color w:val="000000"/>
          <w:sz w:val="28"/>
        </w:rPr>
        <w:t>在此提醒报告使用方注意今后这些</w:t>
      </w:r>
      <w:r>
        <w:rPr>
          <w:rFonts w:hint="eastAsia" w:ascii="仿宋_GB2312" w:hAnsi="宋体" w:eastAsia="仿宋_GB2312"/>
          <w:b/>
          <w:color w:val="000000"/>
          <w:sz w:val="28"/>
          <w:szCs w:val="28"/>
        </w:rPr>
        <w:t>额外费用的发生。</w:t>
      </w:r>
    </w:p>
    <w:p>
      <w:pPr>
        <w:spacing w:line="500" w:lineRule="exact"/>
        <w:ind w:firstLine="576" w:firstLineChars="200"/>
        <w:rPr>
          <w:rFonts w:ascii="仿宋_GB2312" w:eastAsia="仿宋_GB2312" w:cs="仿宋_GB2312"/>
          <w:color w:val="000000"/>
          <w:spacing w:val="4"/>
          <w:sz w:val="28"/>
        </w:rPr>
      </w:pPr>
      <w:bookmarkStart w:id="22" w:name="_Hlk38998553"/>
      <w:r>
        <w:rPr>
          <w:rFonts w:hint="eastAsia" w:ascii="仿宋_GB2312" w:eastAsia="仿宋_GB2312" w:cs="仿宋_GB2312"/>
          <w:color w:val="000000"/>
          <w:spacing w:val="4"/>
          <w:sz w:val="28"/>
        </w:rPr>
        <w:t>2、根据《浙江省高级人民法院执行局关于规范不动产网络司法拍卖、变卖工作指引》（浙高法执[2020]6号），本次变价形成的税费各自负担，即本次估价结果包括被执行方需缴纳的各项税费，主要包括增值税、城市维护建设税、教育费附加、地方教育</w:t>
      </w:r>
      <w:r>
        <w:rPr>
          <w:rFonts w:hint="eastAsia" w:ascii="仿宋_GB2312" w:eastAsia="仿宋_GB2312" w:cs="仿宋_GB2312"/>
          <w:spacing w:val="4"/>
          <w:sz w:val="28"/>
        </w:rPr>
        <w:t>费附加、土地增值税、印花税、个人所得税等。上述税费税率及计算方法如下：</w:t>
      </w:r>
      <w:r>
        <w:rPr>
          <w:rFonts w:ascii="仿宋_GB2312" w:eastAsia="仿宋_GB2312" w:cs="仿宋_GB2312"/>
          <w:spacing w:val="4"/>
          <w:sz w:val="28"/>
        </w:rPr>
        <w:fldChar w:fldCharType="begin"/>
      </w:r>
      <w:r>
        <w:rPr>
          <w:rFonts w:hint="eastAsia" w:ascii="仿宋_GB2312" w:eastAsia="仿宋_GB2312" w:cs="仿宋_GB2312"/>
          <w:spacing w:val="4"/>
          <w:sz w:val="28"/>
        </w:rPr>
        <w:instrText xml:space="preserve">= 1 \* GB3</w:instrText>
      </w:r>
      <w:r>
        <w:rPr>
          <w:rFonts w:ascii="仿宋_GB2312" w:eastAsia="仿宋_GB2312" w:cs="仿宋_GB2312"/>
          <w:spacing w:val="4"/>
          <w:sz w:val="28"/>
        </w:rPr>
        <w:fldChar w:fldCharType="separate"/>
      </w:r>
      <w:r>
        <w:rPr>
          <w:rFonts w:hint="eastAsia" w:ascii="仿宋_GB2312" w:eastAsia="仿宋_GB2312" w:cs="仿宋_GB2312"/>
          <w:spacing w:val="4"/>
          <w:sz w:val="28"/>
        </w:rPr>
        <w:t>①</w:t>
      </w:r>
      <w:r>
        <w:rPr>
          <w:rFonts w:ascii="仿宋_GB2312" w:eastAsia="仿宋_GB2312" w:cs="仿宋_GB2312"/>
          <w:spacing w:val="4"/>
          <w:sz w:val="28"/>
        </w:rPr>
        <w:fldChar w:fldCharType="end"/>
      </w:r>
      <w:r>
        <w:rPr>
          <w:rFonts w:hint="eastAsia" w:ascii="仿宋_GB2312" w:eastAsia="仿宋_GB2312" w:cs="仿宋_GB2312"/>
          <w:spacing w:val="4"/>
          <w:sz w:val="28"/>
        </w:rPr>
        <w:t>增值税税率5%，以不含税转让收入为计算基数；</w:t>
      </w:r>
      <w:r>
        <w:rPr>
          <w:rFonts w:ascii="仿宋_GB2312" w:eastAsia="仿宋_GB2312" w:cs="仿宋_GB2312"/>
          <w:spacing w:val="4"/>
          <w:sz w:val="28"/>
        </w:rPr>
        <w:fldChar w:fldCharType="begin"/>
      </w:r>
      <w:r>
        <w:rPr>
          <w:rFonts w:hint="eastAsia" w:ascii="仿宋_GB2312" w:eastAsia="仿宋_GB2312" w:cs="仿宋_GB2312"/>
          <w:spacing w:val="4"/>
          <w:sz w:val="28"/>
        </w:rPr>
        <w:instrText xml:space="preserve">= 2 \* GB3</w:instrText>
      </w:r>
      <w:r>
        <w:rPr>
          <w:rFonts w:ascii="仿宋_GB2312" w:eastAsia="仿宋_GB2312" w:cs="仿宋_GB2312"/>
          <w:spacing w:val="4"/>
          <w:sz w:val="28"/>
        </w:rPr>
        <w:fldChar w:fldCharType="separate"/>
      </w:r>
      <w:r>
        <w:rPr>
          <w:rFonts w:hint="eastAsia" w:ascii="仿宋_GB2312" w:eastAsia="仿宋_GB2312" w:cs="仿宋_GB2312"/>
          <w:spacing w:val="4"/>
          <w:sz w:val="28"/>
        </w:rPr>
        <w:t>②</w:t>
      </w:r>
      <w:r>
        <w:rPr>
          <w:rFonts w:ascii="仿宋_GB2312" w:eastAsia="仿宋_GB2312" w:cs="仿宋_GB2312"/>
          <w:spacing w:val="4"/>
          <w:sz w:val="28"/>
        </w:rPr>
        <w:fldChar w:fldCharType="end"/>
      </w:r>
      <w:r>
        <w:rPr>
          <w:rFonts w:hint="eastAsia" w:ascii="仿宋_GB2312" w:eastAsia="仿宋_GB2312" w:cs="仿宋_GB2312"/>
          <w:spacing w:val="4"/>
          <w:sz w:val="28"/>
        </w:rPr>
        <w:t>增值税附加税，具体包括城建税、教育费附加、</w:t>
      </w:r>
      <w:r>
        <w:fldChar w:fldCharType="begin"/>
      </w:r>
      <w:r>
        <w:instrText xml:space="preserve"> HYPERLINK "http://www.so.com/s?q=%E5%9C%B0%E6%96%B9%E6%95%99%E8%82%B2%E8%B4%B9%E9%99%84%E5%8A%A0&amp;ie=utf-8&amp;src=internal_wenda_recommend_textn" \t "_blank" </w:instrText>
      </w:r>
      <w:r>
        <w:fldChar w:fldCharType="separate"/>
      </w:r>
      <w:r>
        <w:rPr>
          <w:rFonts w:hint="eastAsia" w:ascii="仿宋_GB2312" w:eastAsia="仿宋_GB2312" w:cs="仿宋_GB2312"/>
          <w:spacing w:val="4"/>
          <w:sz w:val="28"/>
        </w:rPr>
        <w:t>地方教育费附加</w:t>
      </w:r>
      <w:r>
        <w:rPr>
          <w:rFonts w:hint="eastAsia" w:ascii="仿宋_GB2312" w:eastAsia="仿宋_GB2312" w:cs="仿宋_GB2312"/>
          <w:spacing w:val="4"/>
          <w:sz w:val="28"/>
        </w:rPr>
        <w:fldChar w:fldCharType="end"/>
      </w:r>
      <w:r>
        <w:rPr>
          <w:rFonts w:hint="eastAsia" w:ascii="仿宋_GB2312" w:eastAsia="仿宋_GB2312" w:cs="仿宋_GB2312"/>
          <w:spacing w:val="4"/>
          <w:sz w:val="28"/>
        </w:rPr>
        <w:t>，以</w:t>
      </w:r>
      <w:r>
        <w:fldChar w:fldCharType="begin"/>
      </w:r>
      <w:r>
        <w:instrText xml:space="preserve"> HYPERLINK "http://www.so.com/s?q=%E5%AE%9E%E9%99%85&amp;ie=utf-8&amp;src=internal_wenda_recommend_textn" \t "_blank" </w:instrText>
      </w:r>
      <w:r>
        <w:fldChar w:fldCharType="separate"/>
      </w:r>
      <w:r>
        <w:rPr>
          <w:rFonts w:hint="eastAsia" w:ascii="仿宋_GB2312" w:eastAsia="仿宋_GB2312" w:cs="仿宋_GB2312"/>
          <w:spacing w:val="4"/>
          <w:sz w:val="28"/>
        </w:rPr>
        <w:t>实际</w:t>
      </w:r>
      <w:r>
        <w:rPr>
          <w:rFonts w:hint="eastAsia" w:ascii="仿宋_GB2312" w:eastAsia="仿宋_GB2312" w:cs="仿宋_GB2312"/>
          <w:spacing w:val="4"/>
          <w:sz w:val="28"/>
        </w:rPr>
        <w:fldChar w:fldCharType="end"/>
      </w:r>
      <w:r>
        <w:rPr>
          <w:rFonts w:hint="eastAsia" w:ascii="仿宋_GB2312" w:eastAsia="仿宋_GB2312" w:cs="仿宋_GB2312"/>
          <w:spacing w:val="4"/>
          <w:sz w:val="28"/>
        </w:rPr>
        <w:t>缴纳的增值税为</w:t>
      </w:r>
      <w:r>
        <w:fldChar w:fldCharType="begin"/>
      </w:r>
      <w:r>
        <w:instrText xml:space="preserve"> HYPERLINK "http://www.so.com/s?q=%E8%AE%A1%E7%A8%8E%E4%BE%9D%E6%8D%AE&amp;ie=utf-8&amp;src=internal_wenda_recommend_textn" \t "_blank" </w:instrText>
      </w:r>
      <w:r>
        <w:fldChar w:fldCharType="separate"/>
      </w:r>
      <w:r>
        <w:rPr>
          <w:rFonts w:hint="eastAsia" w:ascii="仿宋_GB2312" w:eastAsia="仿宋_GB2312" w:cs="仿宋_GB2312"/>
          <w:spacing w:val="4"/>
          <w:sz w:val="28"/>
        </w:rPr>
        <w:t>计税依据</w:t>
      </w:r>
      <w:r>
        <w:rPr>
          <w:rFonts w:hint="eastAsia" w:ascii="仿宋_GB2312" w:eastAsia="仿宋_GB2312" w:cs="仿宋_GB2312"/>
          <w:spacing w:val="4"/>
          <w:sz w:val="28"/>
        </w:rPr>
        <w:fldChar w:fldCharType="end"/>
      </w:r>
      <w:r>
        <w:rPr>
          <w:rFonts w:hint="eastAsia" w:ascii="仿宋_GB2312" w:eastAsia="仿宋_GB2312" w:cs="仿宋_GB2312"/>
          <w:spacing w:val="4"/>
          <w:sz w:val="28"/>
        </w:rPr>
        <w:t>。城市维护建设税税率如下：纳税人所在地在市区的，税率为7%，纳税人所在地在县城、镇的，税率为5%，纳税人所在地不在市区、县城或镇的，税率为1%；教育费附加率为3％；地方教育附加率为2%；</w:t>
      </w:r>
      <w:r>
        <w:rPr>
          <w:rFonts w:ascii="仿宋_GB2312" w:eastAsia="仿宋_GB2312" w:cs="仿宋_GB2312"/>
          <w:spacing w:val="4"/>
          <w:sz w:val="28"/>
        </w:rPr>
        <w:fldChar w:fldCharType="begin"/>
      </w:r>
      <w:r>
        <w:rPr>
          <w:rFonts w:hint="eastAsia" w:ascii="仿宋_GB2312" w:eastAsia="仿宋_GB2312" w:cs="仿宋_GB2312"/>
          <w:spacing w:val="4"/>
          <w:sz w:val="28"/>
        </w:rPr>
        <w:instrText xml:space="preserve">= 3 \* GB3</w:instrText>
      </w:r>
      <w:r>
        <w:rPr>
          <w:rFonts w:ascii="仿宋_GB2312" w:eastAsia="仿宋_GB2312" w:cs="仿宋_GB2312"/>
          <w:spacing w:val="4"/>
          <w:sz w:val="28"/>
        </w:rPr>
        <w:fldChar w:fldCharType="separate"/>
      </w:r>
      <w:r>
        <w:rPr>
          <w:rFonts w:hint="eastAsia" w:ascii="仿宋_GB2312" w:eastAsia="仿宋_GB2312" w:cs="仿宋_GB2312"/>
          <w:spacing w:val="4"/>
          <w:sz w:val="28"/>
        </w:rPr>
        <w:t>③</w:t>
      </w:r>
      <w:r>
        <w:rPr>
          <w:rFonts w:ascii="仿宋_GB2312" w:eastAsia="仿宋_GB2312" w:cs="仿宋_GB2312"/>
          <w:spacing w:val="4"/>
          <w:sz w:val="28"/>
        </w:rPr>
        <w:fldChar w:fldCharType="end"/>
      </w:r>
      <w:r>
        <w:rPr>
          <w:rFonts w:hint="eastAsia" w:ascii="仿宋_GB2312" w:eastAsia="仿宋_GB2312" w:cs="仿宋_GB2312"/>
          <w:spacing w:val="4"/>
          <w:sz w:val="28"/>
        </w:rPr>
        <w:t>土地增值税按（转让收入-扣除项目金额）×四级累进税率计算（增值额未超过扣除项目金额50%的部分，税率为30%；增值额超过扣除项目金额50%、未超过扣除项目金额100%的部分，税率为40%；增值额超过扣除项目金额100%、未超过扣除项目金额200%的部分，税率为50%；增值额超过扣除项目金额200%的部分，税率为60%），普通住宅免征；</w:t>
      </w:r>
      <w:r>
        <w:rPr>
          <w:rFonts w:ascii="仿宋_GB2312" w:eastAsia="仿宋_GB2312" w:cs="仿宋_GB2312"/>
          <w:spacing w:val="4"/>
          <w:sz w:val="28"/>
        </w:rPr>
        <w:fldChar w:fldCharType="begin"/>
      </w:r>
      <w:r>
        <w:rPr>
          <w:rFonts w:hint="eastAsia" w:ascii="仿宋_GB2312" w:eastAsia="仿宋_GB2312" w:cs="仿宋_GB2312"/>
          <w:spacing w:val="4"/>
          <w:sz w:val="28"/>
        </w:rPr>
        <w:instrText xml:space="preserve">= 4 \* GB3</w:instrText>
      </w:r>
      <w:r>
        <w:rPr>
          <w:rFonts w:ascii="仿宋_GB2312" w:eastAsia="仿宋_GB2312" w:cs="仿宋_GB2312"/>
          <w:spacing w:val="4"/>
          <w:sz w:val="28"/>
        </w:rPr>
        <w:fldChar w:fldCharType="separate"/>
      </w:r>
      <w:r>
        <w:rPr>
          <w:rFonts w:hint="eastAsia" w:ascii="仿宋_GB2312" w:eastAsia="仿宋_GB2312" w:cs="仿宋_GB2312"/>
          <w:spacing w:val="4"/>
          <w:sz w:val="28"/>
        </w:rPr>
        <w:t>④</w:t>
      </w:r>
      <w:r>
        <w:rPr>
          <w:rFonts w:ascii="仿宋_GB2312" w:eastAsia="仿宋_GB2312" w:cs="仿宋_GB2312"/>
          <w:spacing w:val="4"/>
          <w:sz w:val="28"/>
        </w:rPr>
        <w:fldChar w:fldCharType="end"/>
      </w:r>
      <w:r>
        <w:rPr>
          <w:rFonts w:hint="eastAsia" w:ascii="仿宋_GB2312" w:eastAsia="仿宋_GB2312" w:cs="仿宋_GB2312"/>
          <w:spacing w:val="4"/>
          <w:sz w:val="28"/>
        </w:rPr>
        <w:t>印花税，税率0.05%，普通住宅免征；</w:t>
      </w:r>
      <w:r>
        <w:rPr>
          <w:rFonts w:ascii="仿宋_GB2312" w:eastAsia="仿宋_GB2312" w:cs="仿宋_GB2312"/>
          <w:spacing w:val="4"/>
          <w:sz w:val="28"/>
        </w:rPr>
        <w:fldChar w:fldCharType="begin"/>
      </w:r>
      <w:r>
        <w:rPr>
          <w:rFonts w:hint="eastAsia" w:ascii="仿宋_GB2312" w:eastAsia="仿宋_GB2312" w:cs="仿宋_GB2312"/>
          <w:spacing w:val="4"/>
          <w:sz w:val="28"/>
        </w:rPr>
        <w:instrText xml:space="preserve">= 5 \* GB3</w:instrText>
      </w:r>
      <w:r>
        <w:rPr>
          <w:rFonts w:ascii="仿宋_GB2312" w:eastAsia="仿宋_GB2312" w:cs="仿宋_GB2312"/>
          <w:spacing w:val="4"/>
          <w:sz w:val="28"/>
        </w:rPr>
        <w:fldChar w:fldCharType="separate"/>
      </w:r>
      <w:r>
        <w:rPr>
          <w:rFonts w:hint="eastAsia" w:ascii="仿宋_GB2312" w:eastAsia="仿宋_GB2312" w:cs="仿宋_GB2312"/>
          <w:spacing w:val="4"/>
          <w:sz w:val="28"/>
        </w:rPr>
        <w:t>⑤</w:t>
      </w:r>
      <w:r>
        <w:rPr>
          <w:rFonts w:ascii="仿宋_GB2312" w:eastAsia="仿宋_GB2312" w:cs="仿宋_GB2312"/>
          <w:spacing w:val="4"/>
          <w:sz w:val="28"/>
        </w:rPr>
        <w:fldChar w:fldCharType="end"/>
      </w:r>
      <w:r>
        <w:rPr>
          <w:rFonts w:hint="eastAsia" w:ascii="仿宋_GB2312" w:eastAsia="仿宋_GB2312" w:cs="仿宋_GB2312"/>
          <w:spacing w:val="4"/>
          <w:sz w:val="28"/>
        </w:rPr>
        <w:t>个人所得税，一般按 (转让收入-财产原值-合理费用）×20%或转让收入的1%核定，具体以当地标准为准。因税费计算基数为成交金额，估价对象最终成交价格属于未定事项，因此</w:t>
      </w:r>
      <w:r>
        <w:rPr>
          <w:rFonts w:hint="eastAsia" w:ascii="仿宋_GB2312" w:eastAsia="仿宋_GB2312" w:cs="仿宋_GB2312"/>
          <w:color w:val="000000"/>
          <w:spacing w:val="4"/>
          <w:sz w:val="28"/>
        </w:rPr>
        <w:t>具体税费数额无法确定。未来估价对象拍卖成交后，具体有关房屋税费数额请自行向当地的财税、房管、国土等相关部门了解。</w:t>
      </w:r>
      <w:bookmarkEnd w:id="22"/>
    </w:p>
    <w:p>
      <w:pPr>
        <w:spacing w:line="500" w:lineRule="exact"/>
        <w:ind w:firstLine="560" w:firstLineChars="200"/>
        <w:rPr>
          <w:rFonts w:ascii="仿宋_GB2312" w:hAnsi="宋体" w:eastAsia="仿宋_GB2312"/>
          <w:b/>
          <w:sz w:val="28"/>
          <w:szCs w:val="28"/>
        </w:rPr>
      </w:pPr>
      <w:r>
        <w:rPr>
          <w:rFonts w:hint="eastAsia" w:ascii="仿宋_GB2312" w:eastAsia="仿宋_GB2312"/>
          <w:sz w:val="28"/>
          <w:szCs w:val="24"/>
        </w:rPr>
        <w:t>3、如果对估价报告有任何异议，例如：估价对象、估价目的、价值时点、价值定义、估价技术路线、估价结果等，或者发现估价报告中的文字或数字因校对或其他类似原因出现差错时，可于估价报告出具之日起十五日内来本估价机构咨询或提出复核。</w:t>
      </w:r>
    </w:p>
    <w:p>
      <w:pPr>
        <w:keepNext/>
        <w:autoSpaceDE w:val="0"/>
        <w:autoSpaceDN w:val="0"/>
        <w:adjustRightInd w:val="0"/>
        <w:spacing w:line="480" w:lineRule="exact"/>
        <w:ind w:firstLine="560" w:firstLineChars="200"/>
        <w:jc w:val="center"/>
        <w:textAlignment w:val="bottom"/>
        <w:outlineLvl w:val="0"/>
        <w:rPr>
          <w:rFonts w:ascii="仿宋_GB2312" w:hAnsi="宋体" w:eastAsia="仿宋_GB2312"/>
          <w:b/>
          <w:bCs/>
          <w:kern w:val="44"/>
          <w:sz w:val="36"/>
          <w:szCs w:val="36"/>
        </w:rPr>
      </w:pPr>
      <w:r>
        <w:rPr>
          <w:rFonts w:hint="eastAsia" w:ascii="仿宋_GB2312" w:eastAsia="仿宋_GB2312"/>
          <w:kern w:val="0"/>
          <w:sz w:val="28"/>
          <w:szCs w:val="28"/>
        </w:rPr>
        <w:br w:type="page"/>
      </w:r>
      <w:bookmarkStart w:id="23" w:name="_Toc160877946"/>
      <w:bookmarkStart w:id="24" w:name="_Toc293325690"/>
      <w:bookmarkStart w:id="25" w:name="_Toc293374877"/>
      <w:bookmarkStart w:id="26" w:name="_Toc63759915"/>
      <w:bookmarkStart w:id="27" w:name="_Toc63759839"/>
      <w:bookmarkStart w:id="28" w:name="_Toc205170833"/>
      <w:bookmarkStart w:id="29" w:name="_Toc2171"/>
      <w:bookmarkStart w:id="30" w:name="_Toc25746"/>
      <w:r>
        <w:rPr>
          <w:rFonts w:hint="eastAsia" w:ascii="仿宋_GB2312" w:hAnsi="宋体" w:eastAsia="仿宋_GB2312"/>
          <w:b/>
          <w:bCs/>
          <w:kern w:val="44"/>
          <w:sz w:val="36"/>
          <w:szCs w:val="36"/>
        </w:rPr>
        <w:t>房地产估价结果报告</w:t>
      </w:r>
      <w:bookmarkEnd w:id="23"/>
      <w:bookmarkEnd w:id="24"/>
      <w:bookmarkEnd w:id="25"/>
      <w:bookmarkEnd w:id="26"/>
      <w:bookmarkEnd w:id="27"/>
      <w:bookmarkEnd w:id="28"/>
      <w:bookmarkEnd w:id="29"/>
      <w:bookmarkEnd w:id="30"/>
    </w:p>
    <w:p>
      <w:pPr>
        <w:keepNext/>
        <w:adjustRightInd w:val="0"/>
        <w:snapToGrid w:val="0"/>
        <w:spacing w:line="480" w:lineRule="exact"/>
        <w:ind w:firstLine="560" w:firstLineChars="200"/>
        <w:outlineLvl w:val="1"/>
        <w:rPr>
          <w:rFonts w:ascii="仿宋_GB2312" w:hAnsi="宋体" w:eastAsia="仿宋_GB2312"/>
          <w:b/>
          <w:kern w:val="0"/>
          <w:sz w:val="28"/>
          <w:szCs w:val="32"/>
        </w:rPr>
      </w:pPr>
      <w:bookmarkStart w:id="31" w:name="_Toc27047"/>
      <w:bookmarkStart w:id="32" w:name="_Toc293325691"/>
      <w:bookmarkStart w:id="33" w:name="_Toc205170834"/>
      <w:bookmarkStart w:id="34" w:name="_Toc288131927"/>
      <w:bookmarkStart w:id="35" w:name="_Toc63759916"/>
      <w:bookmarkStart w:id="36" w:name="_Toc293374878"/>
      <w:bookmarkStart w:id="37" w:name="_Toc63759840"/>
      <w:bookmarkStart w:id="38" w:name="_Toc18829"/>
      <w:r>
        <w:rPr>
          <w:rFonts w:hint="eastAsia" w:ascii="仿宋_GB2312" w:hAnsi="宋体" w:eastAsia="仿宋_GB2312"/>
          <w:b/>
          <w:kern w:val="0"/>
          <w:sz w:val="28"/>
          <w:szCs w:val="32"/>
        </w:rPr>
        <w:t>一、</w:t>
      </w:r>
      <w:bookmarkEnd w:id="31"/>
      <w:bookmarkEnd w:id="32"/>
      <w:bookmarkEnd w:id="33"/>
      <w:bookmarkEnd w:id="34"/>
      <w:bookmarkEnd w:id="35"/>
      <w:bookmarkEnd w:id="36"/>
      <w:bookmarkEnd w:id="37"/>
      <w:r>
        <w:rPr>
          <w:rFonts w:hint="eastAsia" w:ascii="仿宋_GB2312" w:hAnsi="宋体" w:eastAsia="仿宋_GB2312"/>
          <w:b/>
          <w:kern w:val="0"/>
          <w:sz w:val="28"/>
          <w:szCs w:val="32"/>
        </w:rPr>
        <w:t>估价委托人</w:t>
      </w:r>
      <w:bookmarkEnd w:id="38"/>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估价委托人：杭州市淳安县人民法院</w:t>
      </w:r>
    </w:p>
    <w:p>
      <w:pPr>
        <w:spacing w:line="480" w:lineRule="exact"/>
        <w:ind w:firstLine="560" w:firstLineChars="200"/>
        <w:rPr>
          <w:rFonts w:ascii="仿宋_GB2312" w:hAnsi="宋体" w:eastAsia="仿宋_GB2312"/>
          <w:sz w:val="28"/>
          <w:szCs w:val="28"/>
        </w:rPr>
      </w:pPr>
      <w:bookmarkStart w:id="39" w:name="_Toc63759917"/>
      <w:bookmarkStart w:id="40" w:name="_Toc63759841"/>
      <w:bookmarkStart w:id="41" w:name="_Toc293325692"/>
      <w:bookmarkStart w:id="42" w:name="_Toc288131928"/>
      <w:bookmarkStart w:id="43" w:name="_Toc17100"/>
      <w:bookmarkStart w:id="44" w:name="_Toc205170835"/>
      <w:bookmarkStart w:id="45" w:name="_Toc293374879"/>
      <w:r>
        <w:rPr>
          <w:rFonts w:hint="eastAsia" w:ascii="仿宋_GB2312" w:hAnsi="宋体" w:eastAsia="仿宋_GB2312"/>
          <w:sz w:val="28"/>
          <w:szCs w:val="28"/>
        </w:rPr>
        <w:t>联系地址：杭州市淳安县人民法院千岛湖镇曙光路59号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联系人：朱法官</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联系电话：13754317629</w:t>
      </w:r>
    </w:p>
    <w:p>
      <w:pPr>
        <w:keepNext/>
        <w:adjustRightInd w:val="0"/>
        <w:snapToGrid w:val="0"/>
        <w:spacing w:line="480" w:lineRule="exact"/>
        <w:ind w:firstLine="560" w:firstLineChars="200"/>
        <w:outlineLvl w:val="1"/>
        <w:rPr>
          <w:rFonts w:ascii="仿宋_GB2312" w:hAnsi="宋体" w:eastAsia="仿宋_GB2312"/>
          <w:b/>
          <w:kern w:val="0"/>
          <w:sz w:val="28"/>
          <w:szCs w:val="32"/>
        </w:rPr>
      </w:pPr>
      <w:bookmarkStart w:id="46" w:name="_Toc7610"/>
      <w:r>
        <w:rPr>
          <w:rFonts w:hint="eastAsia" w:ascii="仿宋_GB2312" w:hAnsi="宋体" w:eastAsia="仿宋_GB2312"/>
          <w:b/>
          <w:kern w:val="0"/>
          <w:sz w:val="28"/>
          <w:szCs w:val="32"/>
        </w:rPr>
        <w:t>二、</w:t>
      </w:r>
      <w:bookmarkEnd w:id="39"/>
      <w:bookmarkEnd w:id="40"/>
      <w:bookmarkEnd w:id="41"/>
      <w:bookmarkEnd w:id="42"/>
      <w:bookmarkEnd w:id="43"/>
      <w:bookmarkEnd w:id="44"/>
      <w:bookmarkEnd w:id="45"/>
      <w:r>
        <w:rPr>
          <w:rFonts w:hint="eastAsia" w:ascii="仿宋_GB2312" w:hAnsi="宋体" w:eastAsia="仿宋_GB2312"/>
          <w:b/>
          <w:kern w:val="0"/>
          <w:sz w:val="28"/>
          <w:szCs w:val="32"/>
        </w:rPr>
        <w:t>估价机构</w:t>
      </w:r>
      <w:bookmarkEnd w:id="46"/>
    </w:p>
    <w:p>
      <w:pPr>
        <w:spacing w:line="480" w:lineRule="exact"/>
        <w:ind w:firstLine="560" w:firstLineChars="200"/>
        <w:rPr>
          <w:rFonts w:ascii="仿宋_GB2312" w:eastAsia="仿宋_GB2312"/>
          <w:spacing w:val="4"/>
          <w:sz w:val="28"/>
          <w:szCs w:val="24"/>
        </w:rPr>
      </w:pPr>
      <w:bookmarkStart w:id="47" w:name="_Toc373337715"/>
      <w:bookmarkStart w:id="48" w:name="_Toc445106077"/>
      <w:bookmarkStart w:id="49" w:name="_Toc63759842"/>
      <w:bookmarkStart w:id="50" w:name="_Toc63759918"/>
      <w:r>
        <w:rPr>
          <w:rFonts w:hint="eastAsia" w:ascii="仿宋_GB2312" w:hAnsi="宋体" w:eastAsia="仿宋_GB2312"/>
          <w:sz w:val="28"/>
          <w:szCs w:val="28"/>
        </w:rPr>
        <w:t>估价机构</w:t>
      </w:r>
      <w:r>
        <w:rPr>
          <w:rFonts w:hint="eastAsia" w:ascii="仿宋_GB2312" w:eastAsia="仿宋_GB2312"/>
          <w:spacing w:val="4"/>
          <w:sz w:val="28"/>
          <w:szCs w:val="24"/>
        </w:rPr>
        <w:t>：杭州中立房地产土地评估规划咨询有限公司</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估价机构地址：杭州市滨江区丹枫路1075号雪锋银座1504室</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法定代表人  ：张晓冬</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备 案 等 级 ：壹级</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证 书 编 号 ：浙建房估证字[2009]016号</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营业执照注册号：</w:t>
      </w:r>
      <w:r>
        <w:rPr>
          <w:rFonts w:hint="eastAsia" w:ascii="仿宋_GB2312" w:eastAsia="仿宋_GB2312"/>
          <w:spacing w:val="4"/>
          <w:sz w:val="28"/>
          <w:szCs w:val="24"/>
        </w:rPr>
        <w:t>91330108779274688X</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联系人：陈如腾</w:t>
      </w:r>
    </w:p>
    <w:p>
      <w:pPr>
        <w:spacing w:line="48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联系电话：0571-86415812</w:t>
      </w:r>
    </w:p>
    <w:p>
      <w:pPr>
        <w:keepNext/>
        <w:adjustRightInd w:val="0"/>
        <w:snapToGrid w:val="0"/>
        <w:spacing w:line="480" w:lineRule="exact"/>
        <w:ind w:firstLine="560" w:firstLineChars="200"/>
        <w:outlineLvl w:val="1"/>
        <w:rPr>
          <w:rFonts w:ascii="仿宋_GB2312" w:eastAsia="仿宋_GB2312"/>
          <w:b/>
          <w:sz w:val="28"/>
          <w:szCs w:val="28"/>
        </w:rPr>
      </w:pPr>
      <w:bookmarkStart w:id="51" w:name="_Toc32138"/>
      <w:r>
        <w:rPr>
          <w:rFonts w:hint="eastAsia" w:ascii="仿宋_GB2312" w:eastAsia="仿宋_GB2312"/>
          <w:b/>
          <w:sz w:val="28"/>
          <w:szCs w:val="28"/>
        </w:rPr>
        <w:t>三、估价目的</w:t>
      </w:r>
      <w:bookmarkEnd w:id="47"/>
      <w:bookmarkEnd w:id="48"/>
      <w:bookmarkEnd w:id="51"/>
    </w:p>
    <w:p>
      <w:pPr>
        <w:spacing w:line="480" w:lineRule="exact"/>
        <w:ind w:firstLine="560" w:firstLineChars="200"/>
        <w:rPr>
          <w:rFonts w:ascii="仿宋_GB2312" w:eastAsia="仿宋_GB2312"/>
          <w:spacing w:val="4"/>
          <w:sz w:val="28"/>
          <w:szCs w:val="24"/>
        </w:rPr>
      </w:pPr>
      <w:r>
        <w:rPr>
          <w:rFonts w:hint="eastAsia" w:eastAsia="仿宋_GB2312"/>
          <w:sz w:val="28"/>
          <w:szCs w:val="28"/>
        </w:rPr>
        <w:t>杭州市淳安县人民法院因</w:t>
      </w:r>
      <w:r>
        <w:rPr>
          <w:rFonts w:hint="eastAsia" w:ascii="仿宋_GB2312" w:eastAsia="仿宋_GB2312"/>
          <w:sz w:val="28"/>
          <w:szCs w:val="24"/>
        </w:rPr>
        <w:t>申请人卢恩深与被执行人郑雄平、吴小珠民间借贷</w:t>
      </w:r>
      <w:r>
        <w:rPr>
          <w:rFonts w:hint="eastAsia" w:eastAsia="仿宋_GB2312"/>
          <w:sz w:val="28"/>
          <w:szCs w:val="28"/>
        </w:rPr>
        <w:t>纠纷一案</w:t>
      </w:r>
      <w:r>
        <w:rPr>
          <w:rFonts w:hint="eastAsia" w:ascii="仿宋_GB2312" w:eastAsia="仿宋_GB2312"/>
          <w:sz w:val="28"/>
          <w:szCs w:val="24"/>
        </w:rPr>
        <w:t>，</w:t>
      </w:r>
      <w:r>
        <w:rPr>
          <w:rFonts w:hint="eastAsia" w:eastAsia="仿宋_GB2312"/>
          <w:sz w:val="28"/>
          <w:szCs w:val="28"/>
        </w:rPr>
        <w:t>特委托本公司</w:t>
      </w:r>
      <w:r>
        <w:rPr>
          <w:rFonts w:hint="eastAsia" w:ascii="仿宋_GB2312" w:eastAsia="仿宋_GB2312"/>
          <w:spacing w:val="4"/>
          <w:sz w:val="28"/>
          <w:szCs w:val="24"/>
        </w:rPr>
        <w:t>对位于</w:t>
      </w:r>
      <w:r>
        <w:rPr>
          <w:rFonts w:hint="eastAsia" w:ascii="仿宋_GB2312" w:eastAsia="仿宋_GB2312"/>
          <w:sz w:val="28"/>
          <w:szCs w:val="24"/>
        </w:rPr>
        <w:t>淳安县千岛湖书香名地公寓5幢2505室一处住宅房地产</w:t>
      </w:r>
      <w:r>
        <w:rPr>
          <w:rFonts w:hint="eastAsia" w:ascii="仿宋_GB2312" w:eastAsia="仿宋_GB2312"/>
          <w:spacing w:val="4"/>
          <w:sz w:val="28"/>
          <w:szCs w:val="24"/>
        </w:rPr>
        <w:t>进行市场价值评估，为杭州市淳安县人民法院司法鉴定提供价值参考依据</w:t>
      </w:r>
      <w:r>
        <w:rPr>
          <w:rFonts w:hint="eastAsia" w:ascii="仿宋_GB2312" w:hAnsi="宋体" w:eastAsia="仿宋_GB2312"/>
          <w:sz w:val="28"/>
          <w:szCs w:val="28"/>
        </w:rPr>
        <w:t>。</w:t>
      </w:r>
    </w:p>
    <w:p>
      <w:pPr>
        <w:keepNext/>
        <w:adjustRightInd w:val="0"/>
        <w:snapToGrid w:val="0"/>
        <w:spacing w:line="480" w:lineRule="exact"/>
        <w:ind w:firstLine="560" w:firstLineChars="200"/>
        <w:outlineLvl w:val="1"/>
        <w:rPr>
          <w:rFonts w:ascii="仿宋_GB2312" w:hAnsi="宋体" w:eastAsia="仿宋_GB2312"/>
          <w:b/>
          <w:kern w:val="0"/>
          <w:sz w:val="28"/>
          <w:szCs w:val="32"/>
        </w:rPr>
      </w:pPr>
      <w:bookmarkStart w:id="52" w:name="_Toc288131930"/>
      <w:bookmarkStart w:id="53" w:name="_Toc293374881"/>
      <w:bookmarkStart w:id="54" w:name="_Toc293325694"/>
      <w:bookmarkStart w:id="55" w:name="_Toc205170836"/>
      <w:bookmarkStart w:id="56" w:name="_Toc910"/>
      <w:bookmarkStart w:id="57" w:name="_Toc22532"/>
      <w:r>
        <w:rPr>
          <w:rFonts w:hint="eastAsia" w:ascii="仿宋_GB2312" w:hAnsi="宋体" w:eastAsia="仿宋_GB2312"/>
          <w:b/>
          <w:kern w:val="0"/>
          <w:sz w:val="28"/>
          <w:szCs w:val="32"/>
        </w:rPr>
        <w:t>四、估价对象</w:t>
      </w:r>
      <w:bookmarkEnd w:id="49"/>
      <w:bookmarkEnd w:id="50"/>
      <w:bookmarkEnd w:id="52"/>
      <w:bookmarkEnd w:id="53"/>
      <w:bookmarkEnd w:id="54"/>
      <w:bookmarkEnd w:id="55"/>
      <w:bookmarkEnd w:id="56"/>
      <w:bookmarkEnd w:id="57"/>
    </w:p>
    <w:p>
      <w:pPr>
        <w:spacing w:line="480" w:lineRule="exact"/>
        <w:ind w:firstLine="560" w:firstLineChars="200"/>
        <w:rPr>
          <w:rFonts w:ascii="仿宋_GB2312" w:hAnsi="宋体" w:eastAsia="仿宋_GB2312"/>
          <w:bCs/>
          <w:sz w:val="28"/>
          <w:szCs w:val="28"/>
        </w:rPr>
      </w:pPr>
      <w:bookmarkStart w:id="58" w:name="_Toc205170837"/>
      <w:r>
        <w:rPr>
          <w:rFonts w:hint="eastAsia" w:ascii="仿宋_GB2312" w:hAnsi="宋体" w:eastAsia="仿宋_GB2312"/>
          <w:bCs/>
          <w:sz w:val="28"/>
          <w:szCs w:val="28"/>
        </w:rPr>
        <w:t>1、估价对象范围界定</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本次估价对象为郑雄平、吴小珠所拥有的位于淳安县千岛湖书香名地公寓5幢2505室一处住宅房地产，建筑面积154.1平方米，</w:t>
      </w:r>
      <w:bookmarkStart w:id="59" w:name="_Hlk38998639"/>
      <w:r>
        <w:rPr>
          <w:rFonts w:hint="eastAsia" w:ascii="仿宋_GB2312" w:eastAsia="仿宋_GB2312"/>
          <w:sz w:val="28"/>
          <w:szCs w:val="24"/>
        </w:rPr>
        <w:t>出让土地使用权面积8.03平方米</w:t>
      </w:r>
      <w:r>
        <w:rPr>
          <w:rFonts w:hint="eastAsia" w:ascii="仿宋_GB2312" w:eastAsia="仿宋_GB2312"/>
          <w:spacing w:val="4"/>
          <w:sz w:val="28"/>
          <w:szCs w:val="24"/>
        </w:rPr>
        <w:t>，</w:t>
      </w:r>
      <w:bookmarkEnd w:id="59"/>
      <w:r>
        <w:rPr>
          <w:rFonts w:hint="eastAsia" w:ascii="仿宋_GB2312" w:eastAsia="仿宋_GB2312"/>
          <w:sz w:val="28"/>
          <w:szCs w:val="24"/>
        </w:rPr>
        <w:t>土地剩余使用年限59.07年，</w:t>
      </w:r>
      <w:r>
        <w:rPr>
          <w:rFonts w:hint="eastAsia" w:ascii="仿宋_GB2312" w:eastAsia="仿宋_GB2312"/>
          <w:spacing w:val="4"/>
          <w:sz w:val="28"/>
          <w:szCs w:val="24"/>
        </w:rPr>
        <w:t>本次估价的范围包括该处住宅房产所有权及其分摊土地使用权，以及室内固定装修及家具家电。</w:t>
      </w:r>
    </w:p>
    <w:p>
      <w:pPr>
        <w:spacing w:line="48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2、估价对象基本情况</w:t>
      </w:r>
    </w:p>
    <w:p>
      <w:pPr>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权益状况：依据估价人员于2020年6月5日查询的《淳安县不动产权属信息查询记录》（编号：CD20200605-0000550）以及估价人员的实地查勘，估价对象权利人为郑雄平、吴小珠，房屋所有权证权证号（证明号）为淳房权证千岛湖镇字第233970号、淳房权证千岛湖镇字第233969号，登记日期为2014年03月04日</w:t>
      </w:r>
      <w:r>
        <w:rPr>
          <w:rFonts w:hint="eastAsia" w:ascii="仿宋_GB2312" w:eastAsia="仿宋_GB2312"/>
          <w:sz w:val="28"/>
          <w:szCs w:val="24"/>
          <w:lang w:eastAsia="zh-CN"/>
        </w:rPr>
        <w:t>，</w:t>
      </w:r>
      <w:r>
        <w:rPr>
          <w:rFonts w:hint="eastAsia" w:ascii="仿宋_GB2312" w:eastAsia="仿宋_GB2312"/>
          <w:sz w:val="28"/>
          <w:szCs w:val="24"/>
        </w:rPr>
        <w:t>国有土地使用证权证号（证明号）为</w:t>
      </w:r>
      <w:r>
        <w:rPr>
          <w:rFonts w:hint="eastAsia" w:ascii="仿宋_GB2312" w:eastAsia="仿宋_GB2312"/>
          <w:sz w:val="28"/>
          <w:szCs w:val="24"/>
          <w:lang w:val="en-US" w:eastAsia="zh-CN"/>
        </w:rPr>
        <w:t>淳安国用（2014）第000804号，</w:t>
      </w:r>
      <w:r>
        <w:rPr>
          <w:rFonts w:hint="eastAsia" w:ascii="仿宋_GB2312" w:eastAsia="仿宋_GB2312"/>
          <w:sz w:val="28"/>
          <w:szCs w:val="24"/>
        </w:rPr>
        <w:t>用途为城镇住宅用地/住宅，建筑面积154.1平方米，土地使用权面积8.03平方米，权利类型为国有建设用地使用权/房屋（构筑物）所有权，权利性质为出让/存量房产，共有情况为共同共有，权利状态为现状。附记：该房属吴小珠和郑雄平共同共有。</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根据估价人员查询的《契证》，估价对象于2014年3月3日已办理契税完税手续，契证编号：</w:t>
      </w:r>
      <w:r>
        <w:rPr>
          <w:rFonts w:hint="eastAsia" w:ascii="仿宋_GB2312" w:eastAsia="仿宋_GB2312"/>
          <w:sz w:val="28"/>
          <w:szCs w:val="28"/>
        </w:rPr>
        <w:t>3301272014000883</w:t>
      </w:r>
      <w:r>
        <w:rPr>
          <w:rFonts w:hint="eastAsia" w:ascii="仿宋_GB2312" w:eastAsia="仿宋_GB2312"/>
          <w:sz w:val="28"/>
          <w:szCs w:val="24"/>
        </w:rPr>
        <w:t>。估价对象产权明晰、合法。</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（1）建筑物基本情况</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不动产坐落：淳安县千岛湖书香名地公寓5幢2单元2505室。</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建筑面积：建筑面积为154.1平方米。</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建筑结构：钢筋混凝土结构。</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规划用途：设计用途为住宅，现状利用为住宅。</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楼层：房屋总层数为地上26层，地下1层，估价对象所在层数为第25～26层。</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建筑功能：估价对象防水、保温、隔热等功能均为一般，日照、通风、采光等功能较好。</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建筑外观：估价对象所在建筑物为现代风格。</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建成年份：估价对象建成年份为2013年。</w:t>
      </w:r>
    </w:p>
    <w:p>
      <w:pPr>
        <w:spacing w:line="480" w:lineRule="exact"/>
        <w:ind w:firstLine="501" w:firstLineChars="179"/>
        <w:rPr>
          <w:rFonts w:ascii="仿宋_GB2312" w:eastAsia="仿宋_GB2312"/>
          <w:color w:val="000000"/>
          <w:sz w:val="28"/>
        </w:rPr>
      </w:pPr>
      <w:r>
        <w:rPr>
          <w:rFonts w:hint="eastAsia" w:ascii="仿宋_GB2312" w:eastAsia="仿宋_GB2312"/>
          <w:sz w:val="28"/>
          <w:szCs w:val="24"/>
        </w:rPr>
        <w:t>装饰装修、设施设备、空间布局：</w:t>
      </w:r>
      <w:r>
        <w:rPr>
          <w:rFonts w:hint="eastAsia" w:ascii="仿宋_GB2312" w:eastAsia="仿宋_GB2312"/>
          <w:sz w:val="28"/>
          <w:szCs w:val="24"/>
        </w:rPr>
        <w:fldChar w:fldCharType="begin"/>
      </w:r>
      <w:r>
        <w:rPr>
          <w:rFonts w:hint="eastAsia" w:ascii="仿宋_GB2312" w:eastAsia="仿宋_GB2312"/>
          <w:sz w:val="28"/>
          <w:szCs w:val="24"/>
        </w:rPr>
        <w:instrText xml:space="preserve"> = 1 \* GB3 </w:instrText>
      </w:r>
      <w:r>
        <w:rPr>
          <w:rFonts w:hint="eastAsia" w:ascii="仿宋_GB2312" w:eastAsia="仿宋_GB2312"/>
          <w:sz w:val="28"/>
          <w:szCs w:val="24"/>
        </w:rPr>
        <w:fldChar w:fldCharType="separate"/>
      </w:r>
      <w:r>
        <w:rPr>
          <w:rFonts w:hint="eastAsia" w:ascii="仿宋_GB2312" w:eastAsia="仿宋_GB2312"/>
          <w:sz w:val="28"/>
          <w:szCs w:val="24"/>
        </w:rPr>
        <w:t>①</w:t>
      </w:r>
      <w:r>
        <w:rPr>
          <w:rFonts w:hint="eastAsia" w:ascii="仿宋_GB2312" w:eastAsia="仿宋_GB2312"/>
          <w:sz w:val="28"/>
          <w:szCs w:val="24"/>
        </w:rPr>
        <w:fldChar w:fldCharType="end"/>
      </w:r>
      <w:r>
        <w:rPr>
          <w:rFonts w:hint="eastAsia" w:ascii="仿宋_GB2312" w:eastAsia="仿宋_GB2312"/>
          <w:sz w:val="28"/>
          <w:szCs w:val="24"/>
        </w:rPr>
        <w:t>空间布局。</w:t>
      </w:r>
      <w:r>
        <w:rPr>
          <w:rFonts w:hint="eastAsia" w:ascii="仿宋_GB2312" w:hAnsi="宋体" w:eastAsia="仿宋_GB2312"/>
          <w:sz w:val="28"/>
          <w:szCs w:val="28"/>
        </w:rPr>
        <w:t>根据评估人员实地勘查，估价对象所在建筑物主体朝南。</w:t>
      </w:r>
      <w:r>
        <w:rPr>
          <w:rFonts w:hint="eastAsia" w:ascii="仿宋_GB2312" w:eastAsia="仿宋_GB2312"/>
          <w:sz w:val="28"/>
          <w:szCs w:val="24"/>
        </w:rPr>
        <w:fldChar w:fldCharType="begin"/>
      </w:r>
      <w:r>
        <w:rPr>
          <w:rFonts w:hint="eastAsia" w:ascii="仿宋_GB2312" w:eastAsia="仿宋_GB2312"/>
          <w:sz w:val="28"/>
          <w:szCs w:val="24"/>
        </w:rPr>
        <w:instrText xml:space="preserve"> = 2 \* GB3 </w:instrText>
      </w:r>
      <w:r>
        <w:rPr>
          <w:rFonts w:hint="eastAsia" w:ascii="仿宋_GB2312" w:eastAsia="仿宋_GB2312"/>
          <w:sz w:val="28"/>
          <w:szCs w:val="24"/>
        </w:rPr>
        <w:fldChar w:fldCharType="separate"/>
      </w:r>
      <w:r>
        <w:rPr>
          <w:rFonts w:hint="eastAsia" w:ascii="仿宋_GB2312" w:eastAsia="仿宋_GB2312"/>
          <w:sz w:val="28"/>
          <w:szCs w:val="24"/>
        </w:rPr>
        <w:t>②</w:t>
      </w:r>
      <w:r>
        <w:rPr>
          <w:rFonts w:hint="eastAsia" w:ascii="仿宋_GB2312" w:eastAsia="仿宋_GB2312"/>
          <w:sz w:val="28"/>
          <w:szCs w:val="24"/>
        </w:rPr>
        <w:fldChar w:fldCharType="end"/>
      </w:r>
      <w:r>
        <w:rPr>
          <w:rFonts w:hint="eastAsia" w:ascii="仿宋_GB2312" w:eastAsia="仿宋_GB2312"/>
          <w:sz w:val="28"/>
          <w:szCs w:val="24"/>
        </w:rPr>
        <w:t>装饰装修。估价对象所在建筑物外立面保养维护状况较好；估价对象入户大门</w:t>
      </w:r>
      <w:r>
        <w:rPr>
          <w:rFonts w:hint="eastAsia" w:ascii="仿宋_GB2312" w:eastAsia="仿宋_GB2312"/>
          <w:sz w:val="28"/>
        </w:rPr>
        <w:t>为防盗门，窗为铝合金窗，</w:t>
      </w:r>
      <w:r>
        <w:rPr>
          <w:rFonts w:hint="eastAsia" w:ascii="仿宋_GB2312" w:eastAsia="仿宋_GB2312"/>
          <w:sz w:val="28"/>
          <w:szCs w:val="24"/>
        </w:rPr>
        <w:t>内部装修为精装修，估价对象第25层客厅、过道等地面铺有地砖，墙面为乳胶漆刷白，天花板为造型吊顶；卫生间地面铺有地砖，墙面贴墙砖，天花板为集成吊顶；卧室地面铺有木地板，墙面贴有壁纸，天花板为乳胶漆；其中一书房、阳台地面铺有地砖。估价对象第26层餐厅、过道等地面铺有地砖，墙面为乳胶漆刷白，天花板为造型吊顶；厨、卫地面铺有地砖，墙面贴墙砖至顶；其中洗衣</w:t>
      </w:r>
      <w:r>
        <w:rPr>
          <w:rFonts w:hint="eastAsia" w:ascii="仿宋_GB2312" w:eastAsia="仿宋_GB2312"/>
          <w:sz w:val="28"/>
          <w:szCs w:val="24"/>
          <w:lang w:val="en-US" w:eastAsia="zh-CN"/>
        </w:rPr>
        <w:t>房</w:t>
      </w:r>
      <w:r>
        <w:rPr>
          <w:rFonts w:hint="eastAsia" w:ascii="仿宋_GB2312" w:eastAsia="仿宋_GB2312"/>
          <w:sz w:val="28"/>
          <w:szCs w:val="24"/>
        </w:rPr>
        <w:t>地面铺有地砖。</w:t>
      </w:r>
      <w:r>
        <w:rPr>
          <w:rFonts w:hint="eastAsia" w:ascii="仿宋_GB2312" w:eastAsia="仿宋_GB2312"/>
          <w:sz w:val="28"/>
          <w:szCs w:val="24"/>
        </w:rPr>
        <w:fldChar w:fldCharType="begin"/>
      </w:r>
      <w:r>
        <w:rPr>
          <w:rFonts w:hint="eastAsia" w:ascii="仿宋_GB2312" w:eastAsia="仿宋_GB2312"/>
          <w:sz w:val="28"/>
          <w:szCs w:val="24"/>
        </w:rPr>
        <w:instrText xml:space="preserve"> = 3 \* GB3 </w:instrText>
      </w:r>
      <w:r>
        <w:rPr>
          <w:rFonts w:hint="eastAsia" w:ascii="仿宋_GB2312" w:eastAsia="仿宋_GB2312"/>
          <w:sz w:val="28"/>
          <w:szCs w:val="24"/>
        </w:rPr>
        <w:fldChar w:fldCharType="separate"/>
      </w:r>
      <w:r>
        <w:rPr>
          <w:rFonts w:hint="eastAsia" w:ascii="仿宋_GB2312" w:eastAsia="仿宋_GB2312"/>
          <w:sz w:val="28"/>
          <w:szCs w:val="24"/>
        </w:rPr>
        <w:t>③</w:t>
      </w:r>
      <w:r>
        <w:rPr>
          <w:rFonts w:hint="eastAsia" w:ascii="仿宋_GB2312" w:eastAsia="仿宋_GB2312"/>
          <w:sz w:val="28"/>
          <w:szCs w:val="24"/>
        </w:rPr>
        <w:fldChar w:fldCharType="end"/>
      </w:r>
      <w:r>
        <w:rPr>
          <w:rFonts w:hint="eastAsia" w:ascii="仿宋_GB2312" w:eastAsia="仿宋_GB2312"/>
          <w:sz w:val="28"/>
          <w:szCs w:val="24"/>
        </w:rPr>
        <w:t>设施设备。至价值时点，估价对象管线通畅；建筑物地基无不均匀沉降，房屋承重结构构件和围护墙完好，楼面和地面平整。</w:t>
      </w:r>
      <w:r>
        <w:rPr>
          <w:rFonts w:hint="eastAsia" w:ascii="仿宋_GB2312" w:eastAsia="仿宋_GB2312"/>
          <w:sz w:val="28"/>
        </w:rPr>
        <w:t>至价值时点，根据评估人员</w:t>
      </w:r>
      <w:r>
        <w:rPr>
          <w:rFonts w:hint="eastAsia" w:ascii="仿宋_GB2312" w:eastAsia="仿宋_GB2312"/>
          <w:color w:val="000000"/>
          <w:sz w:val="28"/>
        </w:rPr>
        <w:t>实地勘查估价对象卧室天花板存在掉漆现象，维护状况较差（详见附件照片）。</w:t>
      </w:r>
    </w:p>
    <w:p>
      <w:pPr>
        <w:spacing w:line="480" w:lineRule="exact"/>
        <w:ind w:firstLine="540"/>
        <w:rPr>
          <w:rFonts w:ascii="仿宋_GB2312" w:eastAsia="仿宋_GB2312"/>
          <w:sz w:val="28"/>
          <w:szCs w:val="24"/>
        </w:rPr>
      </w:pPr>
      <w:r>
        <w:rPr>
          <w:rFonts w:hint="eastAsia" w:ascii="仿宋_GB2312" w:eastAsia="仿宋_GB2312"/>
          <w:sz w:val="28"/>
          <w:szCs w:val="24"/>
        </w:rPr>
        <w:t>本次估价对象还包括室内家具家电，具体详见附件《家电家具明细单》。</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（2）土地基本状况</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依据估价人员于2020年6月5日查询的《淳安县不动产权属信息查询记录》（编号：CD20200605-0000550）以及估价人员的实地查勘，估价对象土地基本情况如下：</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用途（地类）：住宅。</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不动产坐落：淳安县千岛湖书香名地公寓5幢2505室。</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使用期限：土地使用期限至2079年06月30日，至价值时点剩余土地使用年限59.07年。</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四至：估价对象所在小区宗地四至为东至山地，南至淳安县千岛湖南山学校，西至开发路，北至紫荆湖滨公寓。</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形状：估价对象所属宗地形状呈较规则多边形。</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地势：较平坦。</w:t>
      </w:r>
    </w:p>
    <w:p>
      <w:pPr>
        <w:spacing w:line="480" w:lineRule="exact"/>
        <w:ind w:firstLine="560" w:firstLineChars="200"/>
        <w:rPr>
          <w:rFonts w:ascii="仿宋_GB2312" w:eastAsia="仿宋_GB2312"/>
          <w:sz w:val="28"/>
          <w:szCs w:val="28"/>
        </w:rPr>
      </w:pPr>
      <w:r>
        <w:rPr>
          <w:rFonts w:hint="eastAsia" w:ascii="仿宋_GB2312" w:eastAsia="仿宋_GB2312"/>
          <w:sz w:val="28"/>
          <w:szCs w:val="24"/>
        </w:rPr>
        <w:t>开发程度：具备了外围六通（即通水、通电、通路、通讯、排水、通气）、内部“六通一平” （即通水、通电、通路、通讯、排水、通气及场地平整）的条件</w:t>
      </w:r>
      <w:r>
        <w:rPr>
          <w:rFonts w:hint="eastAsia" w:ascii="仿宋_GB2312" w:eastAsia="仿宋_GB2312"/>
          <w:sz w:val="28"/>
          <w:szCs w:val="28"/>
        </w:rPr>
        <w:t>。</w:t>
      </w:r>
    </w:p>
    <w:p>
      <w:pPr>
        <w:spacing w:line="480" w:lineRule="exact"/>
        <w:ind w:firstLine="560" w:firstLineChars="200"/>
        <w:rPr>
          <w:rFonts w:ascii="仿宋_GB2312" w:eastAsia="仿宋_GB2312"/>
          <w:spacing w:val="4"/>
          <w:sz w:val="28"/>
          <w:szCs w:val="24"/>
        </w:rPr>
      </w:pPr>
      <w:r>
        <w:rPr>
          <w:rFonts w:hint="eastAsia" w:ascii="仿宋_GB2312" w:hAnsi="宋体" w:eastAsia="仿宋_GB2312"/>
          <w:bCs/>
          <w:sz w:val="28"/>
          <w:szCs w:val="28"/>
        </w:rPr>
        <w:t>3、他项权利状况及查封状况</w:t>
      </w:r>
    </w:p>
    <w:bookmarkEnd w:id="58"/>
    <w:p>
      <w:pPr>
        <w:spacing w:line="480" w:lineRule="exact"/>
        <w:ind w:firstLine="560" w:firstLineChars="200"/>
        <w:rPr>
          <w:rFonts w:ascii="仿宋_GB2312" w:eastAsia="仿宋_GB2312"/>
          <w:sz w:val="28"/>
          <w:szCs w:val="28"/>
        </w:rPr>
      </w:pPr>
      <w:bookmarkStart w:id="60" w:name="_Toc29537"/>
      <w:bookmarkStart w:id="61" w:name="_Toc288131931"/>
      <w:bookmarkStart w:id="62" w:name="_Toc293374882"/>
      <w:bookmarkStart w:id="63" w:name="_Toc205170838"/>
      <w:bookmarkStart w:id="64" w:name="_Toc293325695"/>
      <w:r>
        <w:rPr>
          <w:rFonts w:hint="eastAsia" w:ascii="仿宋_GB2312" w:eastAsia="仿宋_GB2312"/>
          <w:sz w:val="28"/>
          <w:szCs w:val="24"/>
        </w:rPr>
        <w:t>根据估价人员于2020年6月5日查询的《淳安县不动产权属信息查询记录》（查询编号：CD20200605-0000550），估价对象存在查封状况，且设有抵押他项权利</w:t>
      </w:r>
      <w:r>
        <w:rPr>
          <w:rFonts w:hint="eastAsia" w:ascii="仿宋_GB2312" w:eastAsia="仿宋_GB2312"/>
          <w:color w:val="000000"/>
          <w:sz w:val="28"/>
          <w:szCs w:val="28"/>
        </w:rPr>
        <w:t>，详见下表：</w:t>
      </w:r>
    </w:p>
    <w:p>
      <w:pPr>
        <w:spacing w:line="480" w:lineRule="exact"/>
        <w:ind w:right="-10" w:rightChars="-5" w:firstLine="560" w:firstLineChars="200"/>
        <w:jc w:val="center"/>
        <w:rPr>
          <w:rFonts w:ascii="仿宋_GB2312" w:eastAsia="仿宋_GB2312"/>
          <w:sz w:val="28"/>
          <w:szCs w:val="28"/>
        </w:rPr>
      </w:pPr>
      <w:r>
        <w:rPr>
          <w:rFonts w:hint="eastAsia" w:ascii="仿宋_GB2312" w:eastAsia="仿宋_GB2312"/>
          <w:sz w:val="28"/>
          <w:szCs w:val="28"/>
        </w:rPr>
        <w:t>估价对象查封状况和他项权利状况一览表</w:t>
      </w:r>
    </w:p>
    <w:tbl>
      <w:tblPr>
        <w:tblStyle w:val="10"/>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202"/>
        <w:gridCol w:w="3001"/>
        <w:gridCol w:w="1552"/>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restart"/>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抵押权状况</w:t>
            </w:r>
          </w:p>
        </w:tc>
        <w:tc>
          <w:tcPr>
            <w:tcW w:w="120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抵押权人</w:t>
            </w:r>
          </w:p>
        </w:tc>
        <w:tc>
          <w:tcPr>
            <w:tcW w:w="300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交通银行股份有限公司杭州淳安支行</w:t>
            </w:r>
          </w:p>
        </w:tc>
        <w:tc>
          <w:tcPr>
            <w:tcW w:w="1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登记证明号</w:t>
            </w:r>
          </w:p>
        </w:tc>
        <w:tc>
          <w:tcPr>
            <w:tcW w:w="254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淳房千岛湖镇他字第66521号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42"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抵押方式</w:t>
            </w:r>
          </w:p>
        </w:tc>
        <w:tc>
          <w:tcPr>
            <w:tcW w:w="300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一般抵押</w:t>
            </w:r>
          </w:p>
        </w:tc>
        <w:tc>
          <w:tcPr>
            <w:tcW w:w="1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债权数额</w:t>
            </w:r>
          </w:p>
        </w:tc>
        <w:tc>
          <w:tcPr>
            <w:tcW w:w="254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登记日期</w:t>
            </w:r>
          </w:p>
        </w:tc>
        <w:tc>
          <w:tcPr>
            <w:tcW w:w="300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2014年03月04日</w:t>
            </w:r>
          </w:p>
        </w:tc>
        <w:tc>
          <w:tcPr>
            <w:tcW w:w="1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债务履行期限（债权确定期间）</w:t>
            </w:r>
          </w:p>
        </w:tc>
        <w:tc>
          <w:tcPr>
            <w:tcW w:w="254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2013年08月02日起2027年08月01日止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42"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附记</w:t>
            </w:r>
          </w:p>
        </w:tc>
        <w:tc>
          <w:tcPr>
            <w:tcW w:w="7094" w:type="dxa"/>
            <w:gridSpan w:val="3"/>
            <w:vAlign w:val="center"/>
          </w:tcPr>
          <w:p>
            <w:pPr>
              <w:widowControl/>
              <w:jc w:val="center"/>
              <w:textAlignment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42" w:type="dxa"/>
            <w:vMerge w:val="restart"/>
            <w:vAlign w:val="center"/>
          </w:tcPr>
          <w:p>
            <w:pPr>
              <w:widowControl/>
              <w:jc w:val="center"/>
              <w:textAlignment w:val="center"/>
              <w:rPr>
                <w:rFonts w:ascii="仿宋_GB2312" w:hAnsi="仿宋_GB2312" w:eastAsia="仿宋_GB2312" w:cs="仿宋_GB2312"/>
                <w:color w:val="000000"/>
                <w:kern w:val="0"/>
                <w:sz w:val="24"/>
                <w:szCs w:val="24"/>
              </w:rPr>
            </w:pPr>
            <w:bookmarkStart w:id="65" w:name="_Toc9049"/>
            <w:bookmarkStart w:id="66" w:name="_Toc519415287"/>
            <w:r>
              <w:rPr>
                <w:rFonts w:hint="eastAsia" w:ascii="仿宋_GB2312" w:hAnsi="仿宋_GB2312" w:eastAsia="仿宋_GB2312" w:cs="仿宋_GB2312"/>
                <w:color w:val="000000"/>
                <w:kern w:val="0"/>
                <w:sz w:val="24"/>
                <w:szCs w:val="24"/>
              </w:rPr>
              <w:t>查封状况</w:t>
            </w: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（2018）浙0127执3095号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42"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淳安县人民法院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42"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2"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2018年11月12日起2021年11月11日止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42"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（2019）浙0127民初5067号，（2019）浙0127执保575号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42"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淳安县人民法院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2"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2"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2019年10月17日起2022年10月16日止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2"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（2020）浙</w:t>
            </w:r>
            <w:r>
              <w:rPr>
                <w:rFonts w:hint="eastAsia" w:ascii="仿宋_GB2312" w:hAnsi="仿宋_GB2312" w:eastAsia="仿宋_GB2312" w:cs="仿宋_GB2312"/>
                <w:color w:val="000000"/>
                <w:kern w:val="0"/>
                <w:sz w:val="24"/>
                <w:szCs w:val="24"/>
                <w:lang w:val="en-US" w:eastAsia="zh-CN"/>
              </w:rPr>
              <w:t>0127</w:t>
            </w:r>
            <w:r>
              <w:rPr>
                <w:rFonts w:hint="eastAsia" w:ascii="仿宋_GB2312" w:hAnsi="仿宋_GB2312" w:eastAsia="仿宋_GB2312" w:cs="仿宋_GB2312"/>
                <w:color w:val="000000"/>
                <w:kern w:val="0"/>
                <w:sz w:val="24"/>
                <w:szCs w:val="24"/>
              </w:rPr>
              <w:t>民初768号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2"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淳安县人民法院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2"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2"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2020年03月17日起2023年03月16日止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2"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（2020）浙0104民初2030号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2"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杭州市江干区人民法院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2"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2"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查封期限</w:t>
            </w:r>
          </w:p>
        </w:tc>
        <w:tc>
          <w:tcPr>
            <w:tcW w:w="7094"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2020年04月21日起2023年04月20日止</w:t>
            </w:r>
          </w:p>
        </w:tc>
      </w:tr>
      <w:bookmarkEnd w:id="65"/>
      <w:bookmarkEnd w:id="66"/>
    </w:tbl>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根据实地踏勘及估价人员调查所得到的信息，估价对象不存在其他他项权利。</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b/>
          <w:kern w:val="0"/>
          <w:sz w:val="28"/>
          <w:szCs w:val="32"/>
        </w:rPr>
      </w:pPr>
      <w:r>
        <w:rPr>
          <w:rFonts w:hint="eastAsia" w:ascii="仿宋_GB2312" w:hAnsi="宋体" w:eastAsia="仿宋_GB2312"/>
          <w:b/>
          <w:kern w:val="0"/>
          <w:sz w:val="28"/>
          <w:szCs w:val="32"/>
        </w:rPr>
        <w:t>五、</w:t>
      </w:r>
      <w:bookmarkEnd w:id="60"/>
      <w:bookmarkEnd w:id="61"/>
      <w:bookmarkEnd w:id="62"/>
      <w:bookmarkEnd w:id="63"/>
      <w:bookmarkEnd w:id="64"/>
      <w:r>
        <w:rPr>
          <w:rFonts w:hint="eastAsia" w:ascii="仿宋_GB2312" w:hAnsi="宋体" w:eastAsia="仿宋_GB2312"/>
          <w:b/>
          <w:kern w:val="0"/>
          <w:sz w:val="28"/>
          <w:szCs w:val="32"/>
        </w:rPr>
        <w:t>价值时点</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eastAsia="仿宋_GB2312"/>
          <w:spacing w:val="4"/>
          <w:sz w:val="28"/>
          <w:szCs w:val="24"/>
        </w:rPr>
      </w:pPr>
      <w:bookmarkStart w:id="67" w:name="_Toc63759845"/>
      <w:bookmarkStart w:id="68" w:name="_Toc205170839"/>
      <w:bookmarkStart w:id="69" w:name="_Toc63759921"/>
      <w:bookmarkStart w:id="70" w:name="_Toc8583"/>
      <w:bookmarkStart w:id="71" w:name="_Toc293325696"/>
      <w:bookmarkStart w:id="72" w:name="_Toc293374883"/>
      <w:bookmarkStart w:id="73" w:name="_Toc288131932"/>
      <w:r>
        <w:rPr>
          <w:rFonts w:hint="eastAsia" w:ascii="仿宋_GB2312" w:hAnsi="宋体" w:eastAsia="仿宋_GB2312" w:cs="宋体"/>
          <w:sz w:val="28"/>
          <w:szCs w:val="28"/>
        </w:rPr>
        <w:t>本报告价值时点为</w:t>
      </w:r>
      <w:r>
        <w:rPr>
          <w:rFonts w:hint="eastAsia" w:ascii="仿宋_GB2312" w:eastAsia="仿宋_GB2312"/>
          <w:spacing w:val="4"/>
          <w:sz w:val="28"/>
          <w:szCs w:val="24"/>
        </w:rPr>
        <w:t>2020年6月5日，</w:t>
      </w:r>
      <w:r>
        <w:rPr>
          <w:rFonts w:hint="eastAsia" w:ascii="仿宋_GB2312" w:hAnsi="宋体" w:eastAsia="仿宋_GB2312" w:cs="宋体"/>
          <w:sz w:val="28"/>
          <w:szCs w:val="28"/>
        </w:rPr>
        <w:t>是根据估价目的要求经估价委托人认可后设定的，是估价师完成对估价对象实地查勘的日期。</w:t>
      </w:r>
    </w:p>
    <w:p>
      <w:pPr>
        <w:keepNext/>
        <w:keepLines w:val="0"/>
        <w:pageBreakBefore w:val="0"/>
        <w:kinsoku/>
        <w:wordWrap/>
        <w:overflowPunct/>
        <w:topLinePunct w:val="0"/>
        <w:autoSpaceDE/>
        <w:bidi w:val="0"/>
        <w:adjustRightInd w:val="0"/>
        <w:snapToGrid w:val="0"/>
        <w:spacing w:line="500" w:lineRule="exact"/>
        <w:ind w:right="0" w:rightChars="0" w:firstLine="560" w:firstLineChars="200"/>
        <w:textAlignment w:val="auto"/>
        <w:outlineLvl w:val="1"/>
        <w:rPr>
          <w:rFonts w:ascii="仿宋_GB2312" w:hAnsi="宋体" w:eastAsia="仿宋_GB2312"/>
          <w:b/>
          <w:kern w:val="0"/>
          <w:sz w:val="28"/>
          <w:szCs w:val="32"/>
        </w:rPr>
      </w:pPr>
      <w:bookmarkStart w:id="74" w:name="_Toc28166"/>
      <w:r>
        <w:rPr>
          <w:rFonts w:hint="eastAsia" w:ascii="仿宋_GB2312" w:hAnsi="宋体" w:eastAsia="仿宋_GB2312"/>
          <w:b/>
          <w:kern w:val="0"/>
          <w:sz w:val="28"/>
          <w:szCs w:val="32"/>
        </w:rPr>
        <w:t>六、</w:t>
      </w:r>
      <w:bookmarkEnd w:id="67"/>
      <w:bookmarkEnd w:id="68"/>
      <w:bookmarkEnd w:id="69"/>
      <w:bookmarkStart w:id="75" w:name="_Toc63759922"/>
      <w:bookmarkStart w:id="76" w:name="_Toc63759846"/>
      <w:r>
        <w:rPr>
          <w:rFonts w:hint="eastAsia" w:ascii="仿宋_GB2312" w:hAnsi="宋体" w:eastAsia="仿宋_GB2312"/>
          <w:b/>
          <w:kern w:val="0"/>
          <w:sz w:val="28"/>
          <w:szCs w:val="32"/>
        </w:rPr>
        <w:t>价值类型</w:t>
      </w:r>
      <w:bookmarkEnd w:id="70"/>
      <w:bookmarkEnd w:id="71"/>
      <w:bookmarkEnd w:id="72"/>
      <w:bookmarkEnd w:id="73"/>
      <w:bookmarkEnd w:id="74"/>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sz w:val="28"/>
          <w:szCs w:val="28"/>
        </w:rPr>
      </w:pPr>
      <w:bookmarkStart w:id="77" w:name="_Toc293374884"/>
      <w:bookmarkStart w:id="78" w:name="_Toc288131933"/>
      <w:bookmarkStart w:id="79" w:name="_Toc293325697"/>
      <w:bookmarkStart w:id="80" w:name="_Toc205170840"/>
      <w:bookmarkStart w:id="81" w:name="_Toc30438"/>
      <w:r>
        <w:rPr>
          <w:rFonts w:hint="eastAsia" w:ascii="仿宋_GB2312" w:hAnsi="宋体" w:eastAsia="仿宋_GB2312"/>
          <w:sz w:val="28"/>
          <w:szCs w:val="28"/>
        </w:rPr>
        <w:t>本次估价的房地产价格为估价对象在价值时点</w:t>
      </w:r>
      <w:r>
        <w:rPr>
          <w:rFonts w:hint="eastAsia" w:ascii="仿宋_GB2312" w:eastAsia="仿宋_GB2312"/>
          <w:spacing w:val="4"/>
          <w:sz w:val="28"/>
          <w:szCs w:val="24"/>
        </w:rPr>
        <w:t>2020年6月5日</w:t>
      </w:r>
      <w:r>
        <w:rPr>
          <w:rFonts w:hint="eastAsia" w:ascii="仿宋_GB2312" w:hAnsi="宋体" w:eastAsia="仿宋_GB2312"/>
          <w:sz w:val="28"/>
          <w:szCs w:val="28"/>
        </w:rPr>
        <w:t>的市场价值。</w:t>
      </w:r>
    </w:p>
    <w:p>
      <w:pPr>
        <w:keepLines w:val="0"/>
        <w:pageBreakBefore w:val="0"/>
        <w:kinsoku/>
        <w:wordWrap/>
        <w:overflowPunct/>
        <w:topLinePunct w:val="0"/>
        <w:autoSpaceDE/>
        <w:bidi w:val="0"/>
        <w:adjustRightInd w:val="0"/>
        <w:snapToGrid w:val="0"/>
        <w:spacing w:line="500" w:lineRule="exact"/>
        <w:ind w:right="0" w:rightChars="0" w:firstLine="560" w:firstLineChars="200"/>
        <w:textAlignment w:val="auto"/>
        <w:rPr>
          <w:rFonts w:ascii="仿宋_GB2312" w:eastAsia="仿宋_GB2312"/>
          <w:sz w:val="28"/>
          <w:szCs w:val="28"/>
        </w:rPr>
      </w:pPr>
      <w:r>
        <w:rPr>
          <w:rFonts w:hint="eastAsia" w:ascii="仿宋_GB2312" w:hAnsi="宋体" w:eastAsia="仿宋_GB2312"/>
          <w:sz w:val="28"/>
          <w:szCs w:val="28"/>
        </w:rPr>
        <w:t>市场价值是指</w:t>
      </w:r>
      <w:r>
        <w:rPr>
          <w:rFonts w:hint="eastAsia" w:eastAsia="仿宋_GB2312"/>
          <w:sz w:val="28"/>
          <w:szCs w:val="20"/>
        </w:rPr>
        <w:t>估价对象经适当营销后，由熟悉情况、谨慎行事且不受强迫的交易双方，以公平交易方式在价值时点自愿进行交易的金额</w:t>
      </w:r>
      <w:r>
        <w:rPr>
          <w:rFonts w:hint="eastAsia" w:ascii="仿宋_GB2312" w:hAnsi="宋体" w:eastAsia="仿宋_GB2312" w:cs="宋体"/>
          <w:kern w:val="0"/>
          <w:sz w:val="28"/>
          <w:szCs w:val="28"/>
        </w:rPr>
        <w:t>。</w:t>
      </w:r>
    </w:p>
    <w:p>
      <w:pPr>
        <w:keepNext/>
        <w:keepLines w:val="0"/>
        <w:pageBreakBefore w:val="0"/>
        <w:kinsoku/>
        <w:wordWrap/>
        <w:overflowPunct/>
        <w:topLinePunct w:val="0"/>
        <w:autoSpaceDE/>
        <w:bidi w:val="0"/>
        <w:adjustRightInd w:val="0"/>
        <w:snapToGrid w:val="0"/>
        <w:spacing w:line="500" w:lineRule="exact"/>
        <w:ind w:right="0" w:rightChars="0" w:firstLine="560" w:firstLineChars="200"/>
        <w:textAlignment w:val="auto"/>
        <w:outlineLvl w:val="1"/>
        <w:rPr>
          <w:rFonts w:ascii="仿宋_GB2312" w:hAnsi="宋体" w:eastAsia="仿宋_GB2312"/>
          <w:b/>
          <w:kern w:val="0"/>
          <w:sz w:val="28"/>
          <w:szCs w:val="32"/>
        </w:rPr>
      </w:pPr>
      <w:bookmarkStart w:id="82" w:name="_Toc16930"/>
      <w:r>
        <w:rPr>
          <w:rFonts w:hint="eastAsia" w:ascii="仿宋_GB2312" w:hAnsi="宋体" w:eastAsia="仿宋_GB2312"/>
          <w:b/>
          <w:kern w:val="0"/>
          <w:sz w:val="28"/>
          <w:szCs w:val="32"/>
        </w:rPr>
        <w:t>七、估价原则</w:t>
      </w:r>
      <w:bookmarkEnd w:id="82"/>
    </w:p>
    <w:p>
      <w:pPr>
        <w:keepLines w:val="0"/>
        <w:pageBreakBefore w:val="0"/>
        <w:widowControl/>
        <w:kinsoku/>
        <w:wordWrap/>
        <w:overflowPunct/>
        <w:topLinePunct w:val="0"/>
        <w:autoSpaceDE/>
        <w:bidi w:val="0"/>
        <w:spacing w:line="500" w:lineRule="exact"/>
        <w:ind w:right="0" w:rightChars="0" w:firstLine="576" w:firstLineChars="200"/>
        <w:textAlignment w:val="auto"/>
        <w:rPr>
          <w:rFonts w:ascii="仿宋_GB2312" w:eastAsia="仿宋_GB2312"/>
          <w:spacing w:val="4"/>
          <w:sz w:val="28"/>
          <w:szCs w:val="24"/>
        </w:rPr>
      </w:pPr>
      <w:r>
        <w:rPr>
          <w:rFonts w:hint="eastAsia" w:ascii="仿宋_GB2312" w:eastAsia="仿宋_GB2312"/>
          <w:spacing w:val="4"/>
          <w:sz w:val="28"/>
          <w:szCs w:val="24"/>
        </w:rPr>
        <w:t>本次估价遵循独立、客观、公正原则、合法原则、最高最佳使用原则、价值时点原则、替代原则。</w:t>
      </w:r>
    </w:p>
    <w:p>
      <w:pPr>
        <w:keepLines w:val="0"/>
        <w:pageBreakBefore w:val="0"/>
        <w:widowControl/>
        <w:kinsoku/>
        <w:wordWrap/>
        <w:overflowPunct/>
        <w:topLinePunct w:val="0"/>
        <w:autoSpaceDE/>
        <w:bidi w:val="0"/>
        <w:spacing w:line="500" w:lineRule="exact"/>
        <w:ind w:right="0" w:rightChars="0" w:firstLine="576" w:firstLineChars="200"/>
        <w:textAlignment w:val="auto"/>
        <w:rPr>
          <w:rFonts w:ascii="仿宋_GB2312" w:eastAsia="仿宋_GB2312"/>
          <w:spacing w:val="4"/>
          <w:sz w:val="28"/>
          <w:szCs w:val="24"/>
        </w:rPr>
      </w:pPr>
      <w:r>
        <w:rPr>
          <w:rFonts w:hint="eastAsia" w:ascii="仿宋_GB2312" w:eastAsia="仿宋_GB2312"/>
          <w:spacing w:val="4"/>
          <w:sz w:val="28"/>
          <w:szCs w:val="24"/>
        </w:rPr>
        <w:t>1、独立、客观、公正原则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eastAsia="仿宋_GB2312"/>
          <w:spacing w:val="4"/>
          <w:sz w:val="28"/>
          <w:szCs w:val="24"/>
        </w:rPr>
      </w:pPr>
      <w:r>
        <w:rPr>
          <w:rFonts w:hint="eastAsia" w:ascii="仿宋_GB2312" w:hAnsi="宋体" w:eastAsia="仿宋_GB2312"/>
          <w:kern w:val="0"/>
          <w:sz w:val="28"/>
          <w:szCs w:val="28"/>
        </w:rPr>
        <w:t>要求估价机构有完全独立性，估价机构和估价人员与估价对象及相关当事人没有利害关系，不受外部干扰因素影响，从实际出发，公平合理地进行估价。</w:t>
      </w:r>
      <w:r>
        <w:rPr>
          <w:rFonts w:hint="eastAsia" w:ascii="仿宋_GB2312" w:eastAsia="仿宋_GB2312" w:cs="仿宋_GB2312"/>
          <w:bCs/>
          <w:kern w:val="0"/>
          <w:sz w:val="28"/>
          <w:szCs w:val="28"/>
        </w:rPr>
        <w:t>独立、客观、公正原则是房地产估价的最高行为准则。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2、合法原则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房地产价格是房地产权益的价格，国家和地方现行有关房地产政策、法律、规定、城市规划为影响房地产使用状况的前提条件。只有当房地产合法使用时，其权益才受法律保障。因此估价中以估价对象的合法使用、合法处分为前提。合法原则是房地产估价的前提，属于房地产价格形成的基本性原则，是最高最佳利用原则和替代原则的基础。估价对象房地产四至清楚，面积准确，权属来源合法，符合合法原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3、替代原则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估价结果不得明显偏离类似房地产在同等条件下的正常价格。同一供求范围内，在用途、规模、档次、建筑结构等方面类似的房地产之间具有相互影响作用，其价格会相互牵掣而趋于一致。</w:t>
      </w:r>
      <w:r>
        <w:rPr>
          <w:rFonts w:hint="eastAsia" w:ascii="仿宋_GB2312" w:eastAsia="仿宋_GB2312" w:cs="仿宋_GB2312"/>
          <w:bCs/>
          <w:kern w:val="0"/>
          <w:sz w:val="28"/>
          <w:szCs w:val="28"/>
        </w:rPr>
        <w:t>本次评估使用比较法求取房地产价格是以替代原则为基础的。</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4、最高最佳利用原则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eastAsia="仿宋_GB2312"/>
          <w:spacing w:val="4"/>
          <w:sz w:val="28"/>
          <w:szCs w:val="24"/>
        </w:rPr>
      </w:pPr>
      <w:r>
        <w:rPr>
          <w:rFonts w:hint="eastAsia" w:ascii="仿宋_GB2312" w:hAnsi="宋体" w:eastAsia="仿宋_GB2312"/>
          <w:kern w:val="0"/>
          <w:sz w:val="28"/>
          <w:szCs w:val="28"/>
        </w:rPr>
        <w:t>在合法使用前提下，房地产只有在最高最佳利用状态下才能发挥最大效用。最高最佳利用应是法律上允许、技术上可能、经济上可行，经过充分合理的论证，能使估价对象的价值达到最大的一种最可能的使用。</w:t>
      </w:r>
      <w:r>
        <w:rPr>
          <w:rFonts w:hint="eastAsia" w:ascii="仿宋_GB2312" w:eastAsia="仿宋_GB2312" w:cs="仿宋_GB2312"/>
          <w:bCs/>
          <w:kern w:val="0"/>
          <w:sz w:val="28"/>
          <w:szCs w:val="28"/>
        </w:rPr>
        <w:t>本次估价以此原则为估价的前提进行测算。</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5、价值时点原则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由于房地产市场是不断变化的，在不同的价值时点，同一宗房地产往往具有不同的价格水平，对估价对象房地产市场情况及其自身情况的界定，均以其在价值时点已知或假设状况为准。</w:t>
      </w:r>
      <w:r>
        <w:rPr>
          <w:rFonts w:hint="eastAsia" w:ascii="仿宋_GB2312" w:eastAsia="仿宋_GB2312" w:cs="仿宋_GB2312"/>
          <w:bCs/>
          <w:kern w:val="0"/>
          <w:sz w:val="28"/>
          <w:szCs w:val="28"/>
        </w:rPr>
        <w:t>在比较法中价值时点原则得到了应用。</w:t>
      </w:r>
    </w:p>
    <w:p>
      <w:pPr>
        <w:keepNext/>
        <w:keepLines w:val="0"/>
        <w:pageBreakBefore w:val="0"/>
        <w:kinsoku/>
        <w:wordWrap/>
        <w:overflowPunct/>
        <w:topLinePunct w:val="0"/>
        <w:autoSpaceDE/>
        <w:bidi w:val="0"/>
        <w:adjustRightInd w:val="0"/>
        <w:snapToGrid w:val="0"/>
        <w:spacing w:line="500" w:lineRule="exact"/>
        <w:ind w:right="0" w:rightChars="0" w:firstLine="560" w:firstLineChars="200"/>
        <w:textAlignment w:val="auto"/>
        <w:outlineLvl w:val="1"/>
        <w:rPr>
          <w:rFonts w:ascii="仿宋_GB2312" w:hAnsi="宋体" w:eastAsia="仿宋_GB2312"/>
          <w:b/>
          <w:kern w:val="0"/>
          <w:sz w:val="28"/>
          <w:szCs w:val="32"/>
        </w:rPr>
      </w:pPr>
      <w:bookmarkStart w:id="83" w:name="_Toc12308"/>
      <w:r>
        <w:rPr>
          <w:rFonts w:hint="eastAsia" w:ascii="仿宋_GB2312" w:hAnsi="宋体" w:eastAsia="仿宋_GB2312"/>
          <w:b/>
          <w:kern w:val="0"/>
          <w:sz w:val="28"/>
          <w:szCs w:val="32"/>
        </w:rPr>
        <w:t>八、估价依据</w:t>
      </w:r>
      <w:bookmarkEnd w:id="75"/>
      <w:bookmarkEnd w:id="76"/>
      <w:bookmarkEnd w:id="77"/>
      <w:bookmarkEnd w:id="78"/>
      <w:bookmarkEnd w:id="79"/>
      <w:bookmarkEnd w:id="80"/>
      <w:bookmarkEnd w:id="81"/>
      <w:bookmarkEnd w:id="83"/>
    </w:p>
    <w:p>
      <w:pPr>
        <w:keepLines w:val="0"/>
        <w:pageBreakBefore w:val="0"/>
        <w:kinsoku/>
        <w:wordWrap/>
        <w:overflowPunct/>
        <w:topLinePunct w:val="0"/>
        <w:autoSpaceDE/>
        <w:bidi w:val="0"/>
        <w:adjustRightInd w:val="0"/>
        <w:snapToGrid w:val="0"/>
        <w:spacing w:line="500" w:lineRule="exact"/>
        <w:ind w:right="0" w:rightChars="0" w:firstLine="560" w:firstLineChars="200"/>
        <w:textAlignment w:val="auto"/>
        <w:rPr>
          <w:rFonts w:ascii="仿宋_GB2312" w:hAnsi="宋体" w:eastAsia="仿宋_GB2312"/>
          <w:sz w:val="28"/>
          <w:szCs w:val="28"/>
        </w:rPr>
      </w:pPr>
      <w:bookmarkStart w:id="84" w:name="_Hlk38998945"/>
      <w:bookmarkStart w:id="85" w:name="_Toc17351"/>
      <w:bookmarkStart w:id="86" w:name="_Toc293325698"/>
      <w:bookmarkStart w:id="87" w:name="_Toc63759923"/>
      <w:bookmarkStart w:id="88" w:name="_Toc205170841"/>
      <w:bookmarkStart w:id="89" w:name="_Toc293374885"/>
      <w:bookmarkStart w:id="90" w:name="_Toc288131934"/>
      <w:bookmarkStart w:id="91" w:name="_Toc63759847"/>
      <w:r>
        <w:rPr>
          <w:rFonts w:hint="eastAsia" w:eastAsia="仿宋_GB2312"/>
          <w:sz w:val="28"/>
          <w:szCs w:val="20"/>
        </w:rPr>
        <w:t>（一）本次估价所依据的有关法律、法规和部门规章</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1、《中华人民共和国物权法》</w:t>
      </w:r>
      <w:r>
        <w:rPr>
          <w:rFonts w:hint="eastAsia" w:ascii="仿宋_GB2312" w:eastAsia="仿宋_GB2312"/>
          <w:bCs/>
          <w:kern w:val="0"/>
          <w:sz w:val="28"/>
          <w:szCs w:val="20"/>
        </w:rPr>
        <w:t>（</w:t>
      </w:r>
      <w:r>
        <w:rPr>
          <w:rFonts w:hint="eastAsia" w:ascii="仿宋_GB2312" w:hAnsi="宋体" w:eastAsia="仿宋_GB2312"/>
          <w:kern w:val="0"/>
          <w:sz w:val="28"/>
          <w:szCs w:val="28"/>
        </w:rPr>
        <w:t>2007年中华人民共和国主席令第62号）；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2、《中华人民共和国城市房地产管理法》（2007年中华人民共和国主席令第72号）；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3、《中华人民共和国土地管理法》（第十届全国人民代表大会常务委员会第十一次会议通过修改，2004年8月28日公布施行）；</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4、《中华人民共和国资产评估法》（第十二届全国人民代表大会常务委员会第二十一次会议表决通过，2016年12月1日起施行）；</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5、《全国人民代表大会常务委员会关于司法鉴定管理问题的决定》（2005年2月28日） ；</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6、最高人民法院、国土资源部、建设部《关于依法规范人民法院执行和国土资源房地产管理部门协助执行若干问题的通知》(法发[2004]5号)；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7、最高人民法院关于审理涉及国有土地使用权合同纠纷案件适用法律问题的解释（2005年8月1日起施行）；</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8、《司法鉴定程序通则》（2007年8月7日，司法部令第107号）；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9、《最高人民法院对外委托鉴定、评估、拍卖等工作管理规定》（2007年8月23日，法办〔2007〕5号）；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10、《最高人民法院关于人民法院委托评估、拍卖工作的若干规定》（法释〔2011〕21号）；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11、《最高人民法院关于人民法院网络司法拍卖若干问题的规定》（法释〔2016〕18号）；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2</w:t>
      </w:r>
      <w:r>
        <w:rPr>
          <w:rFonts w:hint="eastAsia" w:ascii="仿宋_GB2312" w:hAnsi="宋体" w:eastAsia="仿宋_GB2312"/>
          <w:kern w:val="0"/>
          <w:sz w:val="28"/>
          <w:szCs w:val="28"/>
        </w:rPr>
        <w:t>、《浙江省高级人民法院执行局关于规范不动产网络司法拍卖、变卖工作指引》（浙高法执[2020]6号）；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3</w:t>
      </w:r>
      <w:r>
        <w:rPr>
          <w:rFonts w:hint="eastAsia" w:ascii="仿宋_GB2312" w:hAnsi="宋体" w:eastAsia="仿宋_GB2312"/>
          <w:kern w:val="0"/>
          <w:sz w:val="28"/>
          <w:szCs w:val="28"/>
        </w:rPr>
        <w:t>、全国人大、国务院、住房和城乡建设部、最高人民法院、浙江省人民政府有关部门颁布的其他有关法律、法规和部门规章等政策文件。</w:t>
      </w:r>
    </w:p>
    <w:bookmarkEnd w:id="84"/>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（二）本次估价采用的技术规程</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1、《房地产估价规范》（国家标准GB/T50291-2015）；</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 《房地产估价基本术语标准》（国家标准GB/T50899-2013）；</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3、《城镇土地估价规程》（GB/T 18508-2014）。</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（三）委托人提供的有关资料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1、《杭州市淳安县人民法院资产评估委托书》（（2020）淳法委评字第64号）。</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（四）估价机构和估价人员搜集掌握的有关资料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1、估价对象所在地自然条件、社会经济条件、行政区划人口等方面的基本情况资料；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2、估价人员现场核实、实地查勘、拍照等资料；</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3、《淳安县不动产权属信息查询记录》（编号</w:t>
      </w:r>
      <w:r>
        <w:rPr>
          <w:rFonts w:hint="eastAsia" w:ascii="仿宋_GB2312" w:eastAsia="仿宋_GB2312"/>
          <w:kern w:val="0"/>
          <w:sz w:val="28"/>
          <w:szCs w:val="20"/>
        </w:rPr>
        <w:t>：CD20200605-0000550）</w:t>
      </w:r>
      <w:r>
        <w:rPr>
          <w:rFonts w:hint="eastAsia" w:ascii="仿宋_GB2312" w:hAnsi="宋体" w:eastAsia="仿宋_GB2312"/>
          <w:kern w:val="0"/>
          <w:sz w:val="28"/>
          <w:szCs w:val="28"/>
        </w:rPr>
        <w:t>；</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w:t>
      </w:r>
      <w:r>
        <w:rPr>
          <w:rFonts w:hint="eastAsia" w:ascii="仿宋_GB2312" w:eastAsia="仿宋_GB2312"/>
          <w:sz w:val="28"/>
          <w:szCs w:val="24"/>
        </w:rPr>
        <w:t>《契证》</w:t>
      </w:r>
      <w:r>
        <w:rPr>
          <w:rFonts w:hint="eastAsia" w:ascii="仿宋_GB2312" w:eastAsia="仿宋_GB2312"/>
          <w:color w:val="000000"/>
          <w:sz w:val="28"/>
          <w:szCs w:val="28"/>
        </w:rPr>
        <w:t>复印件</w:t>
      </w:r>
    </w:p>
    <w:p>
      <w:pPr>
        <w:keepLines w:val="0"/>
        <w:pageBreakBefore w:val="0"/>
        <w:widowControl/>
        <w:kinsoku/>
        <w:wordWrap/>
        <w:overflowPunct/>
        <w:topLinePunct w:val="0"/>
        <w:autoSpaceDE/>
        <w:bidi w:val="0"/>
        <w:spacing w:line="500" w:lineRule="exact"/>
        <w:ind w:right="0" w:rightChars="0"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5、本公司估价人员掌握和搜集的其他相关资料。</w:t>
      </w:r>
    </w:p>
    <w:bookmarkEnd w:id="85"/>
    <w:bookmarkEnd w:id="86"/>
    <w:bookmarkEnd w:id="87"/>
    <w:bookmarkEnd w:id="88"/>
    <w:bookmarkEnd w:id="89"/>
    <w:bookmarkEnd w:id="90"/>
    <w:bookmarkEnd w:id="91"/>
    <w:p>
      <w:pPr>
        <w:keepNext/>
        <w:keepLines w:val="0"/>
        <w:pageBreakBefore w:val="0"/>
        <w:kinsoku/>
        <w:wordWrap/>
        <w:overflowPunct/>
        <w:topLinePunct w:val="0"/>
        <w:autoSpaceDE/>
        <w:bidi w:val="0"/>
        <w:adjustRightInd w:val="0"/>
        <w:snapToGrid w:val="0"/>
        <w:spacing w:line="500" w:lineRule="exact"/>
        <w:ind w:right="0" w:rightChars="0" w:firstLine="560" w:firstLineChars="200"/>
        <w:textAlignment w:val="auto"/>
        <w:outlineLvl w:val="1"/>
        <w:rPr>
          <w:rFonts w:ascii="仿宋_GB2312" w:hAnsi="宋体" w:eastAsia="仿宋_GB2312"/>
          <w:b/>
          <w:kern w:val="0"/>
          <w:sz w:val="28"/>
          <w:szCs w:val="32"/>
        </w:rPr>
      </w:pPr>
      <w:bookmarkStart w:id="92" w:name="_Toc288131935"/>
      <w:bookmarkStart w:id="93" w:name="_Toc63759924"/>
      <w:bookmarkStart w:id="94" w:name="_Toc293374886"/>
      <w:bookmarkStart w:id="95" w:name="_Toc63759848"/>
      <w:bookmarkStart w:id="96" w:name="_Toc205170842"/>
      <w:bookmarkStart w:id="97" w:name="_Toc28888"/>
      <w:bookmarkStart w:id="98" w:name="_Toc293325699"/>
      <w:bookmarkStart w:id="99" w:name="_Toc24925"/>
      <w:r>
        <w:rPr>
          <w:rFonts w:hint="eastAsia" w:ascii="仿宋_GB2312" w:hAnsi="宋体" w:eastAsia="仿宋_GB2312"/>
          <w:b/>
          <w:kern w:val="0"/>
          <w:sz w:val="28"/>
          <w:szCs w:val="32"/>
        </w:rPr>
        <w:t>九、估价方法</w:t>
      </w:r>
      <w:bookmarkEnd w:id="92"/>
      <w:bookmarkEnd w:id="93"/>
      <w:bookmarkEnd w:id="94"/>
      <w:bookmarkEnd w:id="95"/>
      <w:bookmarkEnd w:id="96"/>
      <w:bookmarkEnd w:id="97"/>
      <w:bookmarkEnd w:id="98"/>
      <w:bookmarkEnd w:id="99"/>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sz w:val="28"/>
          <w:szCs w:val="28"/>
        </w:rPr>
      </w:pPr>
      <w:bookmarkStart w:id="100" w:name="_Toc32377"/>
      <w:bookmarkStart w:id="101" w:name="_Toc288131936"/>
      <w:bookmarkStart w:id="102" w:name="_Toc205170843"/>
      <w:bookmarkStart w:id="103" w:name="_Toc293325700"/>
      <w:bookmarkStart w:id="104" w:name="_Toc293374887"/>
      <w:r>
        <w:rPr>
          <w:rFonts w:hint="eastAsia" w:ascii="仿宋_GB2312" w:hAnsi="宋体" w:eastAsia="仿宋_GB2312" w:cs="宋体"/>
          <w:sz w:val="28"/>
          <w:szCs w:val="28"/>
        </w:rPr>
        <w:t>1、估价方法的选取</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估价人员按照《房地产估价规范》（</w:t>
      </w:r>
      <w:r>
        <w:rPr>
          <w:rFonts w:hint="eastAsia" w:ascii="仿宋_GB2312" w:hAnsi="宋体" w:eastAsia="仿宋_GB2312" w:cs="仿宋_GB2312"/>
          <w:sz w:val="28"/>
          <w:szCs w:val="28"/>
        </w:rPr>
        <w:t>GB/T 50291-2015</w:t>
      </w:r>
      <w:r>
        <w:rPr>
          <w:rFonts w:hint="eastAsia" w:ascii="仿宋_GB2312" w:hAnsi="宋体" w:eastAsia="仿宋_GB2312" w:cs="宋体"/>
          <w:sz w:val="28"/>
          <w:szCs w:val="28"/>
        </w:rPr>
        <w:t>）及《房地产估价基本术语标准》（国标GB/T 50899-2013)等技术标准，根据估价对象所在区域房地产市场状况并结合估价对象具体特点及估价目的等，结合估价经验，经过反复研究推敲，选用适当的估价方法。</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房地产估价常用的方法有比较法、收益法、成本法、假设开发法、基准地价修正法等。</w:t>
      </w:r>
    </w:p>
    <w:p>
      <w:pPr>
        <w:keepLines w:val="0"/>
        <w:pageBreakBefore w:val="0"/>
        <w:kinsoku/>
        <w:wordWrap/>
        <w:overflowPunct/>
        <w:topLinePunct w:val="0"/>
        <w:autoSpaceDE/>
        <w:bidi w:val="0"/>
        <w:spacing w:line="500" w:lineRule="exact"/>
        <w:ind w:right="0" w:rightChars="0" w:firstLine="576" w:firstLineChars="200"/>
        <w:textAlignment w:val="auto"/>
        <w:rPr>
          <w:rFonts w:eastAsia="仿宋_GB2312"/>
          <w:spacing w:val="4"/>
          <w:sz w:val="28"/>
          <w:szCs w:val="24"/>
        </w:rPr>
      </w:pPr>
      <w:r>
        <w:rPr>
          <w:rFonts w:hint="eastAsia" w:eastAsia="仿宋_GB2312" w:cs="仿宋_GB2312"/>
          <w:spacing w:val="4"/>
          <w:sz w:val="28"/>
          <w:szCs w:val="24"/>
        </w:rPr>
        <w:t>比较法适用于同类房地产有较多交易案例的房地产估价，经踏勘，估价对象为住宅房地产，区域内同类房地产交易较活跃，有较多交易案例，且交易案例较易获得，故可以采用比较法。</w:t>
      </w:r>
    </w:p>
    <w:p>
      <w:pPr>
        <w:keepLines w:val="0"/>
        <w:pageBreakBefore w:val="0"/>
        <w:kinsoku/>
        <w:wordWrap/>
        <w:overflowPunct/>
        <w:topLinePunct w:val="0"/>
        <w:autoSpaceDE/>
        <w:bidi w:val="0"/>
        <w:spacing w:line="500" w:lineRule="exact"/>
        <w:ind w:right="0" w:rightChars="0" w:firstLine="576" w:firstLineChars="200"/>
        <w:textAlignment w:val="auto"/>
        <w:rPr>
          <w:rFonts w:eastAsia="仿宋_GB2312"/>
          <w:spacing w:val="4"/>
          <w:sz w:val="28"/>
          <w:szCs w:val="24"/>
        </w:rPr>
      </w:pPr>
      <w:r>
        <w:rPr>
          <w:rFonts w:hint="eastAsia" w:eastAsia="仿宋_GB2312" w:cs="仿宋_GB2312"/>
          <w:spacing w:val="4"/>
          <w:sz w:val="28"/>
          <w:szCs w:val="24"/>
        </w:rPr>
        <w:t>收益法</w:t>
      </w:r>
      <w:r>
        <w:rPr>
          <w:rFonts w:hint="eastAsia" w:ascii="仿宋_GB2312" w:hAnsi="宋体" w:eastAsia="仿宋_GB2312" w:cs="宋体"/>
          <w:sz w:val="28"/>
          <w:szCs w:val="28"/>
        </w:rPr>
        <w:t>适用于有收益或有潜在收益的房地产估价。</w:t>
      </w:r>
      <w:r>
        <w:rPr>
          <w:rFonts w:hint="eastAsia" w:eastAsia="仿宋_GB2312" w:cs="仿宋_GB2312"/>
          <w:spacing w:val="4"/>
          <w:sz w:val="28"/>
          <w:szCs w:val="24"/>
        </w:rPr>
        <w:t>收益法是从租赁市场的角度出发，反映的是长期收益，本次评估确定估价对象房地产市场交易价值，体现的是一次性买断的市场价，且考虑到估价对象周边类似物业由于建成年代、楼盘品质、装修档次不同，其租金差异较大且目前区域住宅房地产租售比不成比例，因此本次不采用收益法。</w:t>
      </w:r>
    </w:p>
    <w:p>
      <w:pPr>
        <w:keepLines w:val="0"/>
        <w:pageBreakBefore w:val="0"/>
        <w:kinsoku/>
        <w:wordWrap/>
        <w:overflowPunct/>
        <w:topLinePunct w:val="0"/>
        <w:autoSpaceDE/>
        <w:bidi w:val="0"/>
        <w:spacing w:line="500" w:lineRule="exact"/>
        <w:ind w:right="0" w:rightChars="0" w:firstLine="576" w:firstLineChars="200"/>
        <w:textAlignment w:val="auto"/>
        <w:rPr>
          <w:rFonts w:eastAsia="仿宋_GB2312"/>
          <w:spacing w:val="4"/>
          <w:sz w:val="28"/>
          <w:szCs w:val="24"/>
        </w:rPr>
      </w:pPr>
      <w:r>
        <w:rPr>
          <w:rFonts w:hint="eastAsia" w:eastAsia="仿宋_GB2312" w:cs="仿宋_GB2312"/>
          <w:spacing w:val="4"/>
          <w:sz w:val="28"/>
          <w:szCs w:val="24"/>
        </w:rPr>
        <w:t>假设开发法适用于具有开发或再开发潜力且开发完成后的价值可采用除成本法以外的方法测算的房地产的估价，一般适用于在建工程或待开发项目，本次评估不予采用。</w:t>
      </w:r>
    </w:p>
    <w:p>
      <w:pPr>
        <w:keepLines w:val="0"/>
        <w:pageBreakBefore w:val="0"/>
        <w:kinsoku/>
        <w:wordWrap/>
        <w:overflowPunct/>
        <w:topLinePunct w:val="0"/>
        <w:autoSpaceDE/>
        <w:bidi w:val="0"/>
        <w:spacing w:line="500" w:lineRule="exact"/>
        <w:ind w:right="0" w:rightChars="0" w:firstLine="576" w:firstLineChars="200"/>
        <w:textAlignment w:val="auto"/>
        <w:rPr>
          <w:rFonts w:eastAsia="仿宋_GB2312"/>
          <w:spacing w:val="4"/>
          <w:sz w:val="28"/>
          <w:szCs w:val="24"/>
        </w:rPr>
      </w:pPr>
      <w:r>
        <w:rPr>
          <w:rFonts w:hint="eastAsia" w:eastAsia="仿宋_GB2312" w:cs="仿宋_GB2312"/>
          <w:spacing w:val="4"/>
          <w:sz w:val="28"/>
          <w:szCs w:val="24"/>
        </w:rPr>
        <w:t>成本法适用于可假定为独立的开发建设项目进行重新开发建设的，或同类房地产没有交易或交易很少，且估价对象或其同类房地产没有租金等经济收入情况下的房地产估价，考虑到成本法所测算的计算价格是从成本的角度反映估价对象的成本价值，不能很好地反映估价对象的市场价值，本次评估不予采用。</w:t>
      </w:r>
    </w:p>
    <w:p>
      <w:pPr>
        <w:keepLines w:val="0"/>
        <w:pageBreakBefore w:val="0"/>
        <w:kinsoku/>
        <w:wordWrap/>
        <w:overflowPunct/>
        <w:topLinePunct w:val="0"/>
        <w:autoSpaceDE/>
        <w:bidi w:val="0"/>
        <w:spacing w:line="500" w:lineRule="exact"/>
        <w:ind w:right="0" w:rightChars="0" w:firstLine="560" w:firstLineChars="200"/>
        <w:textAlignment w:val="auto"/>
        <w:rPr>
          <w:rFonts w:eastAsia="仿宋_GB2312"/>
          <w:spacing w:val="4"/>
          <w:sz w:val="28"/>
          <w:szCs w:val="24"/>
        </w:rPr>
      </w:pPr>
      <w:r>
        <w:rPr>
          <w:rFonts w:hint="eastAsia" w:ascii="仿宋_GB2312" w:hAnsi="宋体" w:eastAsia="仿宋_GB2312" w:cs="仿宋_GB2312"/>
          <w:sz w:val="28"/>
          <w:szCs w:val="28"/>
        </w:rPr>
        <w:t>基准地价系数修正法适用于土地价值的评估，主要应用在成本法中土地取得成本或重置价值的测算，本次不适宜选用成本法，所以亦不适宜选用基准地价系数修正法。</w:t>
      </w:r>
    </w:p>
    <w:p>
      <w:pPr>
        <w:keepLines w:val="0"/>
        <w:pageBreakBefore w:val="0"/>
        <w:kinsoku/>
        <w:wordWrap/>
        <w:overflowPunct/>
        <w:topLinePunct w:val="0"/>
        <w:autoSpaceDE/>
        <w:bidi w:val="0"/>
        <w:spacing w:line="500" w:lineRule="exact"/>
        <w:ind w:right="0" w:rightChars="0" w:firstLine="576" w:firstLineChars="200"/>
        <w:textAlignment w:val="auto"/>
        <w:rPr>
          <w:rFonts w:eastAsia="仿宋_GB2312"/>
          <w:spacing w:val="4"/>
          <w:sz w:val="28"/>
          <w:szCs w:val="24"/>
        </w:rPr>
      </w:pPr>
      <w:r>
        <w:rPr>
          <w:rFonts w:hint="eastAsia" w:eastAsia="仿宋_GB2312" w:cs="仿宋_GB2312"/>
          <w:spacing w:val="4"/>
          <w:sz w:val="28"/>
          <w:szCs w:val="24"/>
        </w:rPr>
        <w:t>综上所述，根据估价对象的特点，可采用比较法测算，收益法、假设开发法、成本法和基准地价系数修正法均缺乏可操作性。故本次评估以比较法为主进行价格试算，在此试算结果基础上结合估价对象区位特点进一步分析，从而得到估价对象较为准确、合理的估价结果。</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2、估价方法的定义</w:t>
      </w:r>
    </w:p>
    <w:p>
      <w:pPr>
        <w:keepLines w:val="0"/>
        <w:pageBreakBefore w:val="0"/>
        <w:kinsoku/>
        <w:wordWrap/>
        <w:overflowPunct/>
        <w:topLinePunct w:val="0"/>
        <w:autoSpaceDE/>
        <w:bidi w:val="0"/>
        <w:spacing w:line="500" w:lineRule="exact"/>
        <w:ind w:right="0" w:rightChars="0" w:firstLine="576" w:firstLineChars="200"/>
        <w:textAlignment w:val="auto"/>
        <w:rPr>
          <w:rFonts w:eastAsia="仿宋_GB2312" w:cs="仿宋_GB2312"/>
          <w:spacing w:val="4"/>
          <w:sz w:val="28"/>
          <w:szCs w:val="24"/>
        </w:rPr>
      </w:pPr>
      <w:r>
        <w:rPr>
          <w:rFonts w:hint="eastAsia" w:eastAsia="仿宋_GB2312" w:cs="仿宋_GB2312"/>
          <w:spacing w:val="4"/>
          <w:sz w:val="28"/>
          <w:szCs w:val="24"/>
        </w:rPr>
        <w:t>（1）比较法</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比较法是根据替代原则，将估价对象与可比实例进行比较，对可比实例的成交价格进行交易情况修正、市场状况调整、房地产状况调整（包括区位状况调整、权益状况调整、实物状况调整），以此得出估价对象的</w:t>
      </w:r>
      <w:r>
        <w:rPr>
          <w:rFonts w:hint="eastAsia" w:eastAsia="仿宋_GB2312"/>
          <w:spacing w:val="4"/>
          <w:sz w:val="28"/>
          <w:szCs w:val="24"/>
        </w:rPr>
        <w:t>比较</w:t>
      </w:r>
      <w:r>
        <w:rPr>
          <w:rFonts w:hint="eastAsia" w:ascii="仿宋_GB2312" w:hAnsi="宋体" w:eastAsia="仿宋_GB2312" w:cs="宋体"/>
          <w:sz w:val="28"/>
          <w:szCs w:val="28"/>
        </w:rPr>
        <w:t>价格，其计算公式为：</w:t>
      </w:r>
    </w:p>
    <w:p>
      <w:pPr>
        <w:keepLines w:val="0"/>
        <w:pageBreakBefore w:val="0"/>
        <w:kinsoku/>
        <w:wordWrap/>
        <w:overflowPunct/>
        <w:topLinePunct w:val="0"/>
        <w:autoSpaceDE/>
        <w:bidi w:val="0"/>
        <w:spacing w:line="500" w:lineRule="exact"/>
        <w:ind w:right="0" w:rightChars="0" w:firstLine="576" w:firstLineChars="200"/>
        <w:textAlignment w:val="auto"/>
        <w:rPr>
          <w:rFonts w:eastAsia="仿宋_GB2312"/>
          <w:spacing w:val="4"/>
          <w:sz w:val="28"/>
          <w:szCs w:val="24"/>
        </w:rPr>
      </w:pPr>
      <w:r>
        <w:rPr>
          <w:rFonts w:hint="eastAsia" w:eastAsia="仿宋_GB2312"/>
          <w:spacing w:val="4"/>
          <w:sz w:val="28"/>
          <w:szCs w:val="24"/>
        </w:rPr>
        <w:t>估价对象比较价格</w:t>
      </w:r>
      <w:r>
        <w:rPr>
          <w:rFonts w:eastAsia="仿宋_GB2312"/>
          <w:spacing w:val="4"/>
          <w:sz w:val="28"/>
          <w:szCs w:val="24"/>
        </w:rPr>
        <w:t>=</w:t>
      </w:r>
      <w:r>
        <w:rPr>
          <w:rFonts w:hint="eastAsia" w:eastAsia="仿宋_GB2312"/>
          <w:spacing w:val="4"/>
          <w:sz w:val="28"/>
          <w:szCs w:val="24"/>
        </w:rPr>
        <w:t>可比实例成交价格×交易情况修正指数×市场状况调整系数×房地产状况调整系数。</w:t>
      </w:r>
    </w:p>
    <w:p>
      <w:pPr>
        <w:keepNext/>
        <w:keepLines w:val="0"/>
        <w:pageBreakBefore w:val="0"/>
        <w:widowControl/>
        <w:kinsoku/>
        <w:wordWrap/>
        <w:overflowPunct/>
        <w:topLinePunct w:val="0"/>
        <w:autoSpaceDE/>
        <w:autoSpaceDN w:val="0"/>
        <w:bidi w:val="0"/>
        <w:adjustRightInd w:val="0"/>
        <w:snapToGrid w:val="0"/>
        <w:spacing w:line="500" w:lineRule="exact"/>
        <w:ind w:right="0" w:rightChars="0" w:firstLine="560" w:firstLineChars="200"/>
        <w:textAlignment w:val="auto"/>
        <w:outlineLvl w:val="1"/>
        <w:rPr>
          <w:rFonts w:ascii="仿宋_GB2312" w:eastAsia="仿宋_GB2312"/>
          <w:b/>
          <w:spacing w:val="4"/>
          <w:sz w:val="28"/>
          <w:szCs w:val="20"/>
        </w:rPr>
      </w:pPr>
      <w:bookmarkStart w:id="105" w:name="_Toc28244"/>
      <w:r>
        <w:rPr>
          <w:rFonts w:hint="eastAsia" w:ascii="仿宋_GB2312" w:eastAsia="仿宋_GB2312" w:cs="仿宋_GB2312"/>
          <w:b/>
          <w:sz w:val="28"/>
          <w:szCs w:val="28"/>
        </w:rPr>
        <w:t>十</w:t>
      </w:r>
      <w:r>
        <w:rPr>
          <w:rFonts w:hint="eastAsia" w:ascii="仿宋_GB2312" w:eastAsia="仿宋_GB2312"/>
          <w:b/>
          <w:spacing w:val="4"/>
          <w:sz w:val="28"/>
          <w:szCs w:val="20"/>
        </w:rPr>
        <w:t>、估价结果</w:t>
      </w:r>
      <w:bookmarkEnd w:id="100"/>
      <w:bookmarkEnd w:id="101"/>
      <w:bookmarkEnd w:id="102"/>
      <w:bookmarkEnd w:id="103"/>
      <w:bookmarkEnd w:id="104"/>
      <w:bookmarkEnd w:id="105"/>
    </w:p>
    <w:p>
      <w:pPr>
        <w:keepLines w:val="0"/>
        <w:pageBreakBefore w:val="0"/>
        <w:kinsoku/>
        <w:wordWrap/>
        <w:overflowPunct/>
        <w:topLinePunct w:val="0"/>
        <w:autoSpaceDE/>
        <w:bidi w:val="0"/>
        <w:spacing w:line="500" w:lineRule="exact"/>
        <w:ind w:right="0" w:rightChars="0" w:firstLine="576" w:firstLineChars="200"/>
        <w:textAlignment w:val="auto"/>
        <w:rPr>
          <w:rFonts w:ascii="仿宋_GB2312" w:hAnsi="宋体" w:eastAsia="仿宋_GB2312" w:cs="宋体"/>
          <w:b/>
          <w:bCs/>
          <w:sz w:val="28"/>
          <w:szCs w:val="28"/>
        </w:rPr>
      </w:pPr>
      <w:bookmarkStart w:id="106" w:name="_Toc293374888"/>
      <w:bookmarkStart w:id="107" w:name="_Toc63759926"/>
      <w:bookmarkStart w:id="108" w:name="_Toc288131937"/>
      <w:bookmarkStart w:id="109" w:name="_Toc18253"/>
      <w:bookmarkStart w:id="110" w:name="_Toc293325701"/>
      <w:bookmarkStart w:id="111" w:name="_Toc63759850"/>
      <w:bookmarkStart w:id="112" w:name="_Toc205170844"/>
      <w:r>
        <w:rPr>
          <w:rFonts w:hint="eastAsia" w:eastAsia="仿宋_GB2312"/>
          <w:spacing w:val="4"/>
          <w:sz w:val="28"/>
          <w:szCs w:val="24"/>
        </w:rPr>
        <w:t>评估人员根据估价目的，遵循估价原则，按照评估工作程序，运用科学的评估方法，在认真分析现有资料的基础上，经过周密准确的测算，并详细考虑了影响房地产价值的各项因素，确定估价对象在价值时点</w:t>
      </w:r>
      <w:r>
        <w:rPr>
          <w:rFonts w:hint="eastAsia" w:ascii="仿宋_GB2312" w:eastAsia="仿宋_GB2312"/>
          <w:spacing w:val="4"/>
          <w:sz w:val="28"/>
          <w:szCs w:val="24"/>
        </w:rPr>
        <w:t>2020年6月5日的</w:t>
      </w:r>
      <w:r>
        <w:rPr>
          <w:rFonts w:hint="eastAsia" w:ascii="仿宋_GB2312" w:hAnsi="宋体" w:eastAsia="仿宋_GB2312" w:cs="宋体"/>
          <w:sz w:val="28"/>
          <w:szCs w:val="28"/>
        </w:rPr>
        <w:t>市场价值如下</w:t>
      </w:r>
      <w:r>
        <w:rPr>
          <w:rFonts w:hint="eastAsia" w:eastAsia="仿宋_GB2312"/>
          <w:spacing w:val="4"/>
          <w:sz w:val="28"/>
          <w:szCs w:val="24"/>
        </w:rPr>
        <w:t>：</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b/>
          <w:bCs/>
          <w:sz w:val="28"/>
          <w:szCs w:val="28"/>
        </w:rPr>
      </w:pPr>
      <w:r>
        <w:rPr>
          <w:rFonts w:hint="eastAsia" w:ascii="仿宋_GB2312" w:hAnsi="宋体" w:eastAsia="仿宋_GB2312" w:cs="宋体"/>
          <w:b/>
          <w:bCs/>
          <w:sz w:val="28"/>
          <w:szCs w:val="28"/>
        </w:rPr>
        <w:t>房地产单价：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18350</w:t>
      </w:r>
      <w:r>
        <w:rPr>
          <w:rFonts w:hint="eastAsia" w:ascii="仿宋_GB2312" w:hAnsi="宋体" w:eastAsia="仿宋_GB2312" w:cs="宋体"/>
          <w:b/>
          <w:bCs/>
          <w:sz w:val="28"/>
          <w:szCs w:val="28"/>
        </w:rPr>
        <w:t>元/平方米</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b/>
          <w:bCs/>
          <w:sz w:val="28"/>
          <w:szCs w:val="28"/>
        </w:rPr>
      </w:pPr>
      <w:r>
        <w:rPr>
          <w:rFonts w:hint="eastAsia" w:ascii="仿宋_GB2312" w:hAnsi="宋体" w:eastAsia="仿宋_GB2312" w:cs="宋体"/>
          <w:b/>
          <w:bCs/>
          <w:sz w:val="28"/>
          <w:szCs w:val="28"/>
        </w:rPr>
        <w:t>房地产总价：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282.77</w:t>
      </w:r>
      <w:r>
        <w:rPr>
          <w:rFonts w:hint="eastAsia" w:ascii="仿宋_GB2312" w:hAnsi="宋体" w:eastAsia="仿宋_GB2312" w:cs="宋体"/>
          <w:b/>
          <w:bCs/>
          <w:sz w:val="28"/>
          <w:szCs w:val="28"/>
        </w:rPr>
        <w:t>元</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b/>
          <w:bCs/>
          <w:sz w:val="28"/>
          <w:szCs w:val="28"/>
        </w:rPr>
      </w:pPr>
      <w:r>
        <w:rPr>
          <w:rFonts w:hint="eastAsia" w:ascii="仿宋_GB2312" w:hAnsi="宋体" w:eastAsia="仿宋_GB2312" w:cs="宋体"/>
          <w:b/>
          <w:bCs/>
          <w:sz w:val="28"/>
          <w:szCs w:val="28"/>
        </w:rPr>
        <w:t>室内家具家电总价：￥</w:t>
      </w:r>
      <w:r>
        <w:rPr>
          <w:rFonts w:hint="eastAsia" w:ascii="仿宋_GB2312" w:hAnsi="宋体" w:eastAsia="仿宋_GB2312" w:cs="宋体"/>
          <w:b/>
          <w:bCs/>
          <w:sz w:val="28"/>
          <w:szCs w:val="28"/>
          <w:lang w:eastAsia="zh-CN"/>
        </w:rPr>
        <w:t>3.51</w:t>
      </w:r>
      <w:r>
        <w:rPr>
          <w:rFonts w:hint="eastAsia" w:ascii="仿宋_GB2312" w:hAnsi="宋体" w:eastAsia="仿宋_GB2312" w:cs="宋体"/>
          <w:b/>
          <w:bCs/>
          <w:sz w:val="28"/>
          <w:szCs w:val="28"/>
        </w:rPr>
        <w:t>万元</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b/>
          <w:bCs/>
          <w:sz w:val="28"/>
          <w:szCs w:val="28"/>
        </w:rPr>
      </w:pPr>
      <w:r>
        <w:rPr>
          <w:rFonts w:hint="eastAsia" w:ascii="仿宋_GB2312" w:hAnsi="宋体" w:eastAsia="仿宋_GB2312" w:cs="宋体"/>
          <w:b/>
          <w:bCs/>
          <w:sz w:val="28"/>
          <w:szCs w:val="28"/>
        </w:rPr>
        <w:t>合计：￥</w:t>
      </w:r>
      <w:r>
        <w:rPr>
          <w:rFonts w:hint="eastAsia" w:ascii="仿宋_GB2312" w:hAnsi="宋体" w:eastAsia="仿宋_GB2312" w:cs="宋体"/>
          <w:b/>
          <w:bCs/>
          <w:sz w:val="28"/>
          <w:szCs w:val="28"/>
          <w:lang w:eastAsia="zh-CN"/>
        </w:rPr>
        <w:t>286.28</w:t>
      </w:r>
      <w:r>
        <w:rPr>
          <w:rFonts w:hint="eastAsia" w:ascii="仿宋_GB2312" w:hAnsi="宋体" w:eastAsia="仿宋_GB2312" w:cs="宋体"/>
          <w:b/>
          <w:bCs/>
          <w:sz w:val="28"/>
          <w:szCs w:val="28"/>
        </w:rPr>
        <w:t>万元</w:t>
      </w:r>
    </w:p>
    <w:p>
      <w:pPr>
        <w:keepLines w:val="0"/>
        <w:pageBreakBefore w:val="0"/>
        <w:kinsoku/>
        <w:wordWrap/>
        <w:overflowPunct/>
        <w:topLinePunct w:val="0"/>
        <w:autoSpaceDE/>
        <w:bidi w:val="0"/>
        <w:spacing w:line="500" w:lineRule="exact"/>
        <w:ind w:right="0" w:rightChars="0" w:firstLine="560" w:firstLineChars="200"/>
        <w:textAlignment w:val="auto"/>
        <w:rPr>
          <w:rFonts w:ascii="仿宋_GB2312" w:hAnsi="宋体" w:eastAsia="仿宋_GB2312" w:cs="宋体"/>
          <w:b/>
          <w:bCs/>
          <w:sz w:val="28"/>
          <w:szCs w:val="28"/>
        </w:rPr>
      </w:pPr>
      <w:r>
        <w:rPr>
          <w:rFonts w:hint="eastAsia" w:ascii="仿宋_GB2312" w:hAnsi="宋体" w:eastAsia="仿宋_GB2312" w:cs="宋体"/>
          <w:b/>
          <w:bCs/>
          <w:sz w:val="28"/>
          <w:szCs w:val="28"/>
        </w:rPr>
        <w:t>大写金额：人民币</w:t>
      </w:r>
      <w:r>
        <w:rPr>
          <w:rFonts w:hint="eastAsia" w:ascii="仿宋_GB2312" w:hAnsi="宋体" w:eastAsia="仿宋_GB2312" w:cs="宋体"/>
          <w:b/>
          <w:bCs/>
          <w:sz w:val="28"/>
          <w:szCs w:val="28"/>
          <w:lang w:eastAsia="zh-CN"/>
        </w:rPr>
        <w:t>贰佰捌拾陆万贰仟捌佰</w:t>
      </w:r>
      <w:r>
        <w:rPr>
          <w:rFonts w:hint="eastAsia" w:ascii="仿宋_GB2312" w:hAnsi="宋体" w:eastAsia="仿宋_GB2312" w:cs="宋体"/>
          <w:b/>
          <w:bCs/>
          <w:sz w:val="28"/>
          <w:szCs w:val="28"/>
        </w:rPr>
        <w:t>圆整</w:t>
      </w:r>
    </w:p>
    <w:p>
      <w:pPr>
        <w:spacing w:line="440" w:lineRule="exact"/>
        <w:ind w:left="564" w:leftChars="269" w:right="-10" w:rightChars="-5"/>
        <w:jc w:val="center"/>
        <w:rPr>
          <w:rFonts w:ascii="仿宋_GB2312" w:hAnsi="宋体" w:eastAsia="仿宋_GB2312" w:cs="宋体"/>
          <w:spacing w:val="4"/>
          <w:sz w:val="28"/>
          <w:szCs w:val="24"/>
        </w:rPr>
      </w:pPr>
      <w:r>
        <w:rPr>
          <w:rFonts w:hint="eastAsia" w:ascii="仿宋_GB2312" w:hAnsi="宋体" w:eastAsia="仿宋_GB2312" w:cs="宋体"/>
          <w:spacing w:val="4"/>
          <w:sz w:val="24"/>
          <w:szCs w:val="24"/>
        </w:rPr>
        <w:t>估价结果汇总表</w:t>
      </w:r>
    </w:p>
    <w:p>
      <w:pPr>
        <w:ind w:left="566" w:leftChars="269" w:right="-10" w:rightChars="-5" w:hanging="2" w:hangingChars="1"/>
        <w:jc w:val="right"/>
        <w:rPr>
          <w:rFonts w:ascii="仿宋_GB2312" w:hAnsi="宋体" w:eastAsia="仿宋_GB2312" w:cs="宋体"/>
          <w:spacing w:val="4"/>
          <w:szCs w:val="21"/>
        </w:rPr>
      </w:pPr>
      <w:r>
        <w:rPr>
          <w:rFonts w:hint="eastAsia" w:ascii="仿宋_GB2312" w:hAnsi="宋体" w:eastAsia="仿宋_GB2312" w:cs="宋体"/>
          <w:spacing w:val="4"/>
          <w:sz w:val="24"/>
          <w:szCs w:val="24"/>
        </w:rPr>
        <w:t>币种：人民币</w:t>
      </w:r>
    </w:p>
    <w:tbl>
      <w:tblPr>
        <w:tblStyle w:val="10"/>
        <w:tblW w:w="8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2283"/>
        <w:gridCol w:w="3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46" w:type="dxa"/>
            <w:gridSpan w:val="2"/>
            <w:vMerge w:val="restart"/>
            <w:tcBorders>
              <w:tl2br w:val="single" w:color="auto" w:sz="4" w:space="0"/>
            </w:tcBorders>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估计方法</w:t>
            </w: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rPr>
              <w:t>相关结果</w:t>
            </w:r>
          </w:p>
        </w:tc>
        <w:tc>
          <w:tcPr>
            <w:tcW w:w="3613" w:type="dxa"/>
            <w:vMerge w:val="restart"/>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46" w:type="dxa"/>
            <w:gridSpan w:val="2"/>
            <w:vMerge w:val="continue"/>
            <w:tcBorders>
              <w:tl2br w:val="single" w:color="auto" w:sz="4" w:space="0"/>
            </w:tcBorders>
          </w:tcPr>
          <w:p>
            <w:pPr>
              <w:widowControl/>
              <w:jc w:val="center"/>
              <w:textAlignment w:val="center"/>
              <w:rPr>
                <w:rFonts w:ascii="仿宋_GB2312" w:hAnsi="仿宋_GB2312" w:eastAsia="仿宋_GB2312" w:cs="仿宋_GB2312"/>
                <w:kern w:val="0"/>
                <w:sz w:val="24"/>
                <w:szCs w:val="24"/>
              </w:rPr>
            </w:pPr>
          </w:p>
        </w:tc>
        <w:tc>
          <w:tcPr>
            <w:tcW w:w="3613" w:type="dxa"/>
            <w:vMerge w:val="continue"/>
          </w:tcPr>
          <w:p>
            <w:pPr>
              <w:widowControl/>
              <w:jc w:val="center"/>
              <w:textAlignment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2163" w:type="dxa"/>
            <w:vMerge w:val="restart"/>
            <w:vAlign w:val="center"/>
          </w:tcPr>
          <w:p>
            <w:pPr>
              <w:pStyle w:val="2"/>
              <w:ind w:firstLine="420" w:firstLineChars="200"/>
              <w:rPr>
                <w:rFonts w:ascii="仿宋_GB2312" w:hAnsi="仿宋_GB2312" w:eastAsia="仿宋_GB2312" w:cs="仿宋_GB2312"/>
              </w:rPr>
            </w:pPr>
            <w:r>
              <w:rPr>
                <w:rFonts w:hint="eastAsia" w:ascii="仿宋_GB2312" w:hAnsi="仿宋_GB2312" w:eastAsia="仿宋_GB2312" w:cs="仿宋_GB2312"/>
              </w:rPr>
              <w:t>测算结果</w:t>
            </w:r>
          </w:p>
          <w:p>
            <w:pPr>
              <w:widowControl/>
              <w:jc w:val="center"/>
              <w:textAlignment w:val="center"/>
              <w:rPr>
                <w:rFonts w:ascii="仿宋_GB2312" w:hAnsi="仿宋_GB2312" w:eastAsia="仿宋_GB2312" w:cs="仿宋_GB2312"/>
                <w:kern w:val="0"/>
                <w:sz w:val="24"/>
                <w:szCs w:val="24"/>
              </w:rPr>
            </w:pPr>
          </w:p>
        </w:tc>
        <w:tc>
          <w:tcPr>
            <w:tcW w:w="228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rPr>
              <w:t>总价（万元）</w:t>
            </w:r>
          </w:p>
        </w:tc>
        <w:tc>
          <w:tcPr>
            <w:tcW w:w="3613"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282.77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2163"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228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rPr>
              <w:t>单价（元/m</w:t>
            </w:r>
            <w:r>
              <w:rPr>
                <w:rFonts w:hint="eastAsia" w:ascii="仿宋_GB2312" w:hAnsi="仿宋_GB2312" w:eastAsia="仿宋_GB2312" w:cs="仿宋_GB2312"/>
                <w:kern w:val="0"/>
                <w:sz w:val="24"/>
                <w:vertAlign w:val="superscript"/>
              </w:rPr>
              <w:t>2</w:t>
            </w:r>
            <w:r>
              <w:rPr>
                <w:rFonts w:hint="eastAsia" w:ascii="仿宋_GB2312" w:hAnsi="仿宋_GB2312" w:eastAsia="仿宋_GB2312" w:cs="仿宋_GB2312"/>
                <w:kern w:val="0"/>
                <w:sz w:val="24"/>
              </w:rPr>
              <w:t>)</w:t>
            </w:r>
          </w:p>
        </w:tc>
        <w:tc>
          <w:tcPr>
            <w:tcW w:w="3613"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18350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216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rPr>
              <w:t>室内家具家电</w:t>
            </w:r>
          </w:p>
        </w:tc>
        <w:tc>
          <w:tcPr>
            <w:tcW w:w="228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rPr>
              <w:t>总价（万元）</w:t>
            </w:r>
          </w:p>
        </w:tc>
        <w:tc>
          <w:tcPr>
            <w:tcW w:w="3613"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16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rPr>
              <w:t>评估总价值</w:t>
            </w:r>
          </w:p>
        </w:tc>
        <w:tc>
          <w:tcPr>
            <w:tcW w:w="228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rPr>
              <w:t>总价（万元）</w:t>
            </w:r>
          </w:p>
        </w:tc>
        <w:tc>
          <w:tcPr>
            <w:tcW w:w="3613"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286.28</w:t>
            </w:r>
          </w:p>
        </w:tc>
      </w:tr>
    </w:tbl>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3" w:name="_Toc28261"/>
      <w:r>
        <w:rPr>
          <w:rFonts w:hint="eastAsia" w:ascii="仿宋_GB2312" w:eastAsia="仿宋_GB2312" w:cs="仿宋_GB2312"/>
          <w:b/>
          <w:sz w:val="28"/>
          <w:szCs w:val="28"/>
        </w:rPr>
        <w:t>十一、注册房地产估价师</w:t>
      </w:r>
      <w:bookmarkEnd w:id="113"/>
    </w:p>
    <w:p>
      <w:pPr>
        <w:widowControl/>
        <w:jc w:val="left"/>
        <w:rPr>
          <w:rFonts w:eastAsia="仿宋_GB2312"/>
          <w:color w:val="000000"/>
          <w:spacing w:val="4"/>
          <w:sz w:val="28"/>
          <w:szCs w:val="24"/>
        </w:rPr>
      </w:pPr>
      <w:r>
        <w:rPr>
          <w:rFonts w:eastAsia="仿宋_GB2312"/>
          <w:color w:val="000000"/>
          <w:spacing w:val="4"/>
          <w:sz w:val="28"/>
          <w:szCs w:val="24"/>
        </w:rPr>
        <w:br w:type="page"/>
      </w:r>
    </w:p>
    <w:p>
      <w:pPr>
        <w:tabs>
          <w:tab w:val="left" w:pos="5020"/>
        </w:tabs>
        <w:spacing w:line="480" w:lineRule="exact"/>
        <w:jc w:val="center"/>
        <w:rPr>
          <w:rFonts w:ascii="仿宋_GB2312" w:eastAsia="仿宋_GB2312"/>
          <w:b/>
          <w:color w:val="000000"/>
          <w:sz w:val="28"/>
          <w:szCs w:val="28"/>
        </w:rPr>
      </w:pPr>
      <w:r>
        <w:rPr>
          <w:rFonts w:hint="eastAsia" w:eastAsia="仿宋_GB2312"/>
          <w:color w:val="000000"/>
          <w:spacing w:val="4"/>
          <w:sz w:val="28"/>
          <w:szCs w:val="24"/>
        </w:rPr>
        <w:t>参加估价的注册房地产估价师</w:t>
      </w:r>
    </w:p>
    <w:tbl>
      <w:tblPr>
        <w:tblStyle w:val="10"/>
        <w:tblW w:w="88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3"/>
        <w:gridCol w:w="1565"/>
        <w:gridCol w:w="3648"/>
        <w:gridCol w:w="2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1253"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姓名</w:t>
            </w:r>
          </w:p>
        </w:tc>
        <w:tc>
          <w:tcPr>
            <w:tcW w:w="1565"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注册号</w:t>
            </w:r>
          </w:p>
        </w:tc>
        <w:tc>
          <w:tcPr>
            <w:tcW w:w="3648"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签名</w:t>
            </w:r>
          </w:p>
        </w:tc>
        <w:tc>
          <w:tcPr>
            <w:tcW w:w="2372"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253" w:type="dxa"/>
            <w:vAlign w:val="center"/>
          </w:tcPr>
          <w:p>
            <w:pPr>
              <w:spacing w:line="360" w:lineRule="auto"/>
              <w:jc w:val="center"/>
              <w:textAlignment w:val="bottom"/>
              <w:rPr>
                <w:rFonts w:hAnsi="仿宋" w:cs="宋体"/>
                <w:szCs w:val="28"/>
              </w:rPr>
            </w:pPr>
            <w:r>
              <w:rPr>
                <w:rFonts w:hint="eastAsia" w:hAnsi="仿宋" w:cs="宋体"/>
                <w:szCs w:val="28"/>
              </w:rPr>
              <w:t>陈如腾</w:t>
            </w:r>
          </w:p>
        </w:tc>
        <w:tc>
          <w:tcPr>
            <w:tcW w:w="1565" w:type="dxa"/>
            <w:vAlign w:val="center"/>
          </w:tcPr>
          <w:p>
            <w:pPr>
              <w:spacing w:line="360" w:lineRule="auto"/>
              <w:jc w:val="center"/>
              <w:textAlignment w:val="bottom"/>
              <w:rPr>
                <w:rFonts w:hAnsi="仿宋" w:cs="宋体"/>
                <w:szCs w:val="28"/>
              </w:rPr>
            </w:pPr>
            <w:r>
              <w:rPr>
                <w:rFonts w:hint="eastAsia" w:hAnsi="仿宋" w:cs="宋体"/>
                <w:szCs w:val="28"/>
              </w:rPr>
              <w:t>3320130028</w:t>
            </w:r>
          </w:p>
        </w:tc>
        <w:tc>
          <w:tcPr>
            <w:tcW w:w="3648" w:type="dxa"/>
            <w:vAlign w:val="center"/>
          </w:tcPr>
          <w:p>
            <w:pPr>
              <w:spacing w:line="360" w:lineRule="auto"/>
              <w:jc w:val="center"/>
              <w:textAlignment w:val="bottom"/>
              <w:rPr>
                <w:rFonts w:hAnsi="仿宋" w:cs="宋体"/>
                <w:szCs w:val="28"/>
              </w:rPr>
            </w:pPr>
          </w:p>
        </w:tc>
        <w:tc>
          <w:tcPr>
            <w:tcW w:w="2372" w:type="dxa"/>
            <w:vAlign w:val="center"/>
          </w:tcPr>
          <w:p>
            <w:pPr>
              <w:spacing w:line="360" w:lineRule="auto"/>
              <w:jc w:val="center"/>
              <w:textAlignment w:val="bottom"/>
              <w:rPr>
                <w:rFonts w:hAnsi="仿宋" w:cs="宋体"/>
                <w:color w:val="000000"/>
                <w:szCs w:val="28"/>
              </w:rPr>
            </w:pPr>
            <w:r>
              <w:rPr>
                <w:rFonts w:hint="eastAsia" w:hAnsi="仿宋" w:cs="宋体"/>
                <w:color w:val="000000"/>
                <w:szCs w:val="28"/>
              </w:rPr>
              <w:t>2020年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253" w:type="dxa"/>
            <w:vAlign w:val="center"/>
          </w:tcPr>
          <w:p>
            <w:pPr>
              <w:spacing w:line="360" w:lineRule="auto"/>
              <w:jc w:val="center"/>
              <w:textAlignment w:val="bottom"/>
              <w:rPr>
                <w:rFonts w:hAnsi="仿宋" w:cs="宋体"/>
                <w:szCs w:val="28"/>
              </w:rPr>
            </w:pPr>
            <w:r>
              <w:rPr>
                <w:rFonts w:hint="eastAsia" w:hAnsi="仿宋" w:cs="宋体"/>
                <w:szCs w:val="28"/>
              </w:rPr>
              <w:t>张晓冬</w:t>
            </w:r>
          </w:p>
        </w:tc>
        <w:tc>
          <w:tcPr>
            <w:tcW w:w="1565" w:type="dxa"/>
            <w:vAlign w:val="center"/>
          </w:tcPr>
          <w:p>
            <w:pPr>
              <w:spacing w:line="360" w:lineRule="auto"/>
              <w:jc w:val="center"/>
              <w:textAlignment w:val="bottom"/>
              <w:rPr>
                <w:rFonts w:hAnsi="仿宋" w:cs="宋体"/>
                <w:szCs w:val="28"/>
              </w:rPr>
            </w:pPr>
            <w:r>
              <w:rPr>
                <w:rFonts w:hint="eastAsia" w:hAnsi="仿宋" w:cs="宋体"/>
                <w:szCs w:val="28"/>
              </w:rPr>
              <w:t>3320080022</w:t>
            </w:r>
          </w:p>
        </w:tc>
        <w:tc>
          <w:tcPr>
            <w:tcW w:w="3648" w:type="dxa"/>
            <w:vAlign w:val="center"/>
          </w:tcPr>
          <w:p>
            <w:pPr>
              <w:spacing w:line="360" w:lineRule="auto"/>
              <w:jc w:val="center"/>
              <w:textAlignment w:val="bottom"/>
              <w:rPr>
                <w:rFonts w:hAnsi="仿宋" w:cs="宋体"/>
                <w:szCs w:val="28"/>
              </w:rPr>
            </w:pPr>
          </w:p>
        </w:tc>
        <w:tc>
          <w:tcPr>
            <w:tcW w:w="2372" w:type="dxa"/>
            <w:vAlign w:val="center"/>
          </w:tcPr>
          <w:p>
            <w:pPr>
              <w:spacing w:line="360" w:lineRule="auto"/>
              <w:jc w:val="center"/>
              <w:textAlignment w:val="bottom"/>
              <w:rPr>
                <w:rFonts w:hAnsi="仿宋" w:cs="宋体"/>
                <w:color w:val="000000"/>
                <w:szCs w:val="28"/>
              </w:rPr>
            </w:pPr>
            <w:r>
              <w:rPr>
                <w:rFonts w:hint="eastAsia" w:hAnsi="仿宋" w:cs="宋体"/>
                <w:color w:val="000000"/>
                <w:szCs w:val="28"/>
              </w:rPr>
              <w:t>2020年   月   日</w:t>
            </w:r>
          </w:p>
        </w:tc>
      </w:tr>
    </w:tbl>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4" w:name="_Toc7429"/>
      <w:r>
        <w:rPr>
          <w:rFonts w:hint="eastAsia" w:ascii="仿宋_GB2312" w:eastAsia="仿宋_GB2312" w:cs="仿宋_GB2312"/>
          <w:b/>
          <w:sz w:val="28"/>
          <w:szCs w:val="28"/>
        </w:rPr>
        <w:t>十二、实地查勘期</w:t>
      </w:r>
      <w:bookmarkEnd w:id="114"/>
    </w:p>
    <w:p>
      <w:pPr>
        <w:spacing w:line="50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2020年6月5日至2020年6月5日</w:t>
      </w:r>
    </w:p>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5" w:name="_Toc22947"/>
      <w:r>
        <w:rPr>
          <w:rFonts w:hint="eastAsia" w:ascii="仿宋_GB2312" w:eastAsia="仿宋_GB2312" w:cs="仿宋_GB2312"/>
          <w:b/>
          <w:sz w:val="28"/>
          <w:szCs w:val="28"/>
        </w:rPr>
        <w:t>十三、估价作业日期</w:t>
      </w:r>
      <w:bookmarkEnd w:id="115"/>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2020年6月5日至</w:t>
      </w:r>
      <w:r>
        <w:rPr>
          <w:rFonts w:hint="eastAsia" w:ascii="仿宋_GB2312" w:eastAsia="仿宋_GB2312" w:cs="仿宋_GB2312"/>
          <w:spacing w:val="4"/>
          <w:sz w:val="28"/>
          <w:szCs w:val="28"/>
        </w:rPr>
        <w:t>2020年6月8日</w:t>
      </w:r>
    </w:p>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6" w:name="_Toc445106089"/>
      <w:bookmarkStart w:id="117" w:name="_Toc293325703"/>
      <w:bookmarkStart w:id="118" w:name="_Toc293374890"/>
      <w:bookmarkStart w:id="119" w:name="_Toc288131939"/>
      <w:bookmarkStart w:id="120" w:name="_Toc205170847"/>
      <w:bookmarkStart w:id="121" w:name="_Toc2940"/>
      <w:r>
        <w:rPr>
          <w:rFonts w:hint="eastAsia" w:ascii="仿宋_GB2312" w:eastAsia="仿宋_GB2312" w:cs="仿宋_GB2312"/>
          <w:b/>
          <w:sz w:val="28"/>
          <w:szCs w:val="28"/>
        </w:rPr>
        <w:t>十四、估价报告应用的有效期</w:t>
      </w:r>
      <w:bookmarkEnd w:id="116"/>
      <w:bookmarkEnd w:id="117"/>
      <w:bookmarkEnd w:id="118"/>
      <w:bookmarkEnd w:id="119"/>
      <w:bookmarkEnd w:id="120"/>
      <w:bookmarkEnd w:id="121"/>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本报告的有效期自估价报告提交之日起壹年内有效。即自</w:t>
      </w:r>
      <w:r>
        <w:rPr>
          <w:rFonts w:hint="eastAsia" w:ascii="仿宋_GB2312" w:eastAsia="仿宋_GB2312" w:cs="仿宋_GB2312"/>
          <w:spacing w:val="4"/>
          <w:sz w:val="28"/>
          <w:szCs w:val="28"/>
        </w:rPr>
        <w:t>2020年6月8日</w:t>
      </w:r>
      <w:r>
        <w:rPr>
          <w:rFonts w:hint="eastAsia" w:ascii="仿宋_GB2312" w:eastAsia="仿宋_GB2312"/>
          <w:spacing w:val="4"/>
          <w:sz w:val="28"/>
          <w:szCs w:val="24"/>
        </w:rPr>
        <w:t>至2021年6月7日止。但市场状况变化很大时，估价报告应用的有效期不超过半年。有效期满后，需重新估价。</w:t>
      </w:r>
    </w:p>
    <w:bookmarkEnd w:id="106"/>
    <w:bookmarkEnd w:id="107"/>
    <w:bookmarkEnd w:id="108"/>
    <w:bookmarkEnd w:id="109"/>
    <w:bookmarkEnd w:id="110"/>
    <w:bookmarkEnd w:id="111"/>
    <w:bookmarkEnd w:id="112"/>
    <w:p>
      <w:pPr>
        <w:rPr>
          <w:rFonts w:ascii="仿宋_GB2312" w:eastAsia="仿宋_GB2312"/>
          <w:sz w:val="28"/>
          <w:szCs w:val="24"/>
        </w:rPr>
        <w:sectPr>
          <w:headerReference r:id="rId7" w:type="default"/>
          <w:footerReference r:id="rId8" w:type="default"/>
          <w:pgSz w:w="11906" w:h="16838"/>
          <w:pgMar w:top="1440" w:right="1797" w:bottom="1440" w:left="1797" w:header="851" w:footer="850" w:gutter="0"/>
          <w:pgNumType w:start="1"/>
          <w:cols w:space="720" w:num="1"/>
          <w:docGrid w:type="linesAndChars" w:linePitch="312" w:charSpace="0"/>
        </w:sectPr>
      </w:pPr>
      <w:bookmarkStart w:id="122" w:name="_Toc154819862"/>
      <w:bookmarkStart w:id="123" w:name="_Toc63759852"/>
      <w:bookmarkStart w:id="124" w:name="_Toc288131949"/>
      <w:bookmarkStart w:id="125" w:name="_Toc63759928"/>
      <w:bookmarkStart w:id="126" w:name="_Toc205170848"/>
      <w:bookmarkStart w:id="127" w:name="_Toc63758261"/>
    </w:p>
    <w:p>
      <w:pPr>
        <w:keepNext/>
        <w:keepLines/>
        <w:adjustRightInd w:val="0"/>
        <w:spacing w:before="340" w:after="330" w:line="440" w:lineRule="exact"/>
        <w:jc w:val="center"/>
        <w:textAlignment w:val="baseline"/>
        <w:outlineLvl w:val="0"/>
        <w:rPr>
          <w:rFonts w:ascii="仿宋_GB2312" w:eastAsia="仿宋_GB2312"/>
          <w:b/>
          <w:kern w:val="0"/>
          <w:sz w:val="36"/>
          <w:szCs w:val="36"/>
        </w:rPr>
      </w:pPr>
      <w:bookmarkStart w:id="128" w:name="_Toc20051"/>
      <w:bookmarkStart w:id="129" w:name="_Toc15171"/>
      <w:r>
        <w:rPr>
          <w:rFonts w:hint="eastAsia" w:ascii="仿宋_GB2312" w:eastAsia="仿宋_GB2312"/>
          <w:b/>
          <w:kern w:val="0"/>
          <w:sz w:val="36"/>
          <w:szCs w:val="36"/>
        </w:rPr>
        <w:t>附   件</w:t>
      </w:r>
      <w:bookmarkEnd w:id="122"/>
      <w:bookmarkEnd w:id="123"/>
      <w:bookmarkEnd w:id="124"/>
      <w:bookmarkEnd w:id="125"/>
      <w:bookmarkEnd w:id="126"/>
      <w:bookmarkEnd w:id="127"/>
      <w:bookmarkEnd w:id="128"/>
      <w:bookmarkEnd w:id="129"/>
    </w:p>
    <w:p>
      <w:pPr>
        <w:keepNext/>
        <w:adjustRightInd w:val="0"/>
        <w:snapToGrid w:val="0"/>
        <w:spacing w:line="480" w:lineRule="exact"/>
        <w:ind w:firstLine="560" w:firstLineChars="200"/>
        <w:jc w:val="left"/>
        <w:outlineLvl w:val="1"/>
        <w:rPr>
          <w:rFonts w:ascii="仿宋_GB2312" w:eastAsia="仿宋_GB2312"/>
          <w:bCs/>
          <w:sz w:val="28"/>
          <w:szCs w:val="28"/>
        </w:rPr>
      </w:pPr>
      <w:bookmarkStart w:id="130" w:name="_Toc14601"/>
      <w:bookmarkStart w:id="131" w:name="_Toc445106098"/>
      <w:bookmarkStart w:id="132" w:name="_Toc288131950"/>
      <w:bookmarkStart w:id="133" w:name="_Toc9895"/>
      <w:r>
        <w:rPr>
          <w:rFonts w:hint="eastAsia" w:ascii="仿宋_GB2312" w:eastAsia="仿宋_GB2312"/>
          <w:bCs/>
          <w:sz w:val="28"/>
          <w:szCs w:val="28"/>
        </w:rPr>
        <w:t>附件一、 估价对象位置示意图</w:t>
      </w:r>
      <w:bookmarkEnd w:id="130"/>
      <w:bookmarkEnd w:id="131"/>
      <w:bookmarkEnd w:id="132"/>
      <w:bookmarkEnd w:id="133"/>
    </w:p>
    <w:p>
      <w:pPr>
        <w:keepNext/>
        <w:adjustRightInd w:val="0"/>
        <w:snapToGrid w:val="0"/>
        <w:spacing w:line="480" w:lineRule="exact"/>
        <w:ind w:firstLine="560" w:firstLineChars="200"/>
        <w:jc w:val="left"/>
        <w:outlineLvl w:val="1"/>
        <w:rPr>
          <w:rFonts w:ascii="仿宋_GB2312" w:eastAsia="仿宋_GB2312"/>
          <w:bCs/>
          <w:sz w:val="28"/>
          <w:szCs w:val="28"/>
        </w:rPr>
      </w:pPr>
      <w:bookmarkStart w:id="134" w:name="_Toc288131951"/>
      <w:bookmarkStart w:id="135" w:name="_Toc445106099"/>
      <w:bookmarkStart w:id="136" w:name="_Toc7587"/>
      <w:bookmarkStart w:id="137" w:name="_Toc21573"/>
      <w:r>
        <w:rPr>
          <w:rFonts w:hint="eastAsia" w:ascii="仿宋_GB2312" w:eastAsia="仿宋_GB2312"/>
          <w:bCs/>
          <w:sz w:val="28"/>
          <w:szCs w:val="28"/>
        </w:rPr>
        <w:t>附件二、 估价对象现场勘查照片</w:t>
      </w:r>
      <w:bookmarkEnd w:id="134"/>
      <w:bookmarkEnd w:id="135"/>
      <w:bookmarkEnd w:id="136"/>
      <w:bookmarkEnd w:id="137"/>
    </w:p>
    <w:p>
      <w:pPr>
        <w:keepNext/>
        <w:adjustRightInd w:val="0"/>
        <w:snapToGrid w:val="0"/>
        <w:spacing w:line="480" w:lineRule="exact"/>
        <w:ind w:firstLine="560" w:firstLineChars="200"/>
        <w:jc w:val="left"/>
        <w:outlineLvl w:val="1"/>
        <w:rPr>
          <w:rFonts w:ascii="仿宋_GB2312" w:eastAsia="仿宋_GB2312"/>
          <w:bCs/>
          <w:sz w:val="28"/>
          <w:szCs w:val="28"/>
        </w:rPr>
      </w:pPr>
      <w:bookmarkStart w:id="138" w:name="_Toc445106100"/>
      <w:bookmarkStart w:id="139" w:name="_Toc288131952"/>
      <w:bookmarkStart w:id="140" w:name="_Toc17458"/>
      <w:bookmarkStart w:id="141" w:name="_Toc7227"/>
      <w:r>
        <w:rPr>
          <w:rFonts w:hint="eastAsia" w:ascii="仿宋_GB2312" w:eastAsia="仿宋_GB2312"/>
          <w:bCs/>
          <w:sz w:val="28"/>
          <w:szCs w:val="28"/>
        </w:rPr>
        <w:t>附件三、《杭州市淳安县人民法院资产评估委托书》复印件</w:t>
      </w:r>
      <w:bookmarkEnd w:id="138"/>
      <w:bookmarkEnd w:id="139"/>
      <w:bookmarkEnd w:id="140"/>
      <w:bookmarkEnd w:id="141"/>
    </w:p>
    <w:p>
      <w:pPr>
        <w:keepNext/>
        <w:adjustRightInd w:val="0"/>
        <w:snapToGrid w:val="0"/>
        <w:spacing w:line="480" w:lineRule="exact"/>
        <w:ind w:firstLine="560"/>
        <w:jc w:val="left"/>
        <w:outlineLvl w:val="1"/>
        <w:rPr>
          <w:rFonts w:ascii="仿宋_GB2312" w:eastAsia="仿宋_GB2312"/>
          <w:color w:val="000000"/>
          <w:sz w:val="28"/>
          <w:szCs w:val="28"/>
        </w:rPr>
      </w:pPr>
      <w:bookmarkStart w:id="142" w:name="_Toc6487"/>
      <w:bookmarkStart w:id="143" w:name="_Toc23339"/>
      <w:bookmarkStart w:id="144" w:name="_Toc12630"/>
      <w:bookmarkStart w:id="145" w:name="_Toc288131953"/>
      <w:bookmarkStart w:id="146" w:name="_Toc5511"/>
      <w:bookmarkStart w:id="147" w:name="_Toc445106101"/>
      <w:r>
        <w:rPr>
          <w:rFonts w:hint="eastAsia" w:ascii="仿宋_GB2312" w:eastAsia="仿宋_GB2312"/>
          <w:color w:val="000000"/>
          <w:sz w:val="28"/>
          <w:szCs w:val="28"/>
        </w:rPr>
        <w:t>附件四、《淳安县不动产权属信息查询记录》复印件</w:t>
      </w:r>
      <w:bookmarkEnd w:id="142"/>
      <w:bookmarkEnd w:id="143"/>
      <w:bookmarkEnd w:id="144"/>
    </w:p>
    <w:p>
      <w:pPr>
        <w:keepNext/>
        <w:adjustRightInd w:val="0"/>
        <w:snapToGrid w:val="0"/>
        <w:spacing w:line="480" w:lineRule="exact"/>
        <w:ind w:firstLine="560"/>
        <w:jc w:val="left"/>
        <w:outlineLvl w:val="1"/>
        <w:rPr>
          <w:rFonts w:hint="eastAsia" w:ascii="仿宋_GB2312" w:eastAsia="仿宋_GB2312"/>
          <w:color w:val="000000"/>
          <w:sz w:val="28"/>
          <w:szCs w:val="28"/>
        </w:rPr>
      </w:pPr>
      <w:bookmarkStart w:id="148" w:name="_Toc19647"/>
      <w:r>
        <w:rPr>
          <w:rFonts w:hint="eastAsia" w:ascii="仿宋_GB2312" w:eastAsia="仿宋_GB2312"/>
          <w:color w:val="000000"/>
          <w:sz w:val="28"/>
          <w:szCs w:val="28"/>
        </w:rPr>
        <w:t>附件五、</w:t>
      </w:r>
      <w:r>
        <w:rPr>
          <w:rFonts w:hint="eastAsia" w:ascii="仿宋_GB2312" w:eastAsia="仿宋_GB2312"/>
          <w:sz w:val="28"/>
          <w:szCs w:val="24"/>
        </w:rPr>
        <w:t>《契证》</w:t>
      </w:r>
      <w:r>
        <w:rPr>
          <w:rFonts w:hint="eastAsia" w:ascii="仿宋_GB2312" w:eastAsia="仿宋_GB2312"/>
          <w:color w:val="000000"/>
          <w:sz w:val="28"/>
          <w:szCs w:val="28"/>
        </w:rPr>
        <w:t>复印件</w:t>
      </w:r>
      <w:bookmarkEnd w:id="148"/>
    </w:p>
    <w:p>
      <w:pPr>
        <w:keepNext/>
        <w:adjustRightInd w:val="0"/>
        <w:snapToGrid w:val="0"/>
        <w:spacing w:line="480" w:lineRule="exact"/>
        <w:ind w:firstLine="560"/>
        <w:jc w:val="left"/>
        <w:outlineLvl w:val="1"/>
        <w:rPr>
          <w:rFonts w:hint="eastAsia" w:ascii="仿宋_GB2312" w:eastAsia="仿宋_GB2312"/>
          <w:color w:val="000000"/>
          <w:sz w:val="28"/>
          <w:szCs w:val="28"/>
        </w:rPr>
      </w:pPr>
      <w:bookmarkStart w:id="149" w:name="_Toc17735"/>
      <w:r>
        <w:rPr>
          <w:rFonts w:hint="eastAsia" w:ascii="仿宋_GB2312" w:eastAsia="仿宋_GB2312"/>
          <w:color w:val="000000"/>
          <w:sz w:val="28"/>
          <w:szCs w:val="28"/>
          <w:lang w:val="en-US" w:eastAsia="zh-CN"/>
        </w:rPr>
        <w:t>附件六、《证明》</w:t>
      </w:r>
      <w:r>
        <w:rPr>
          <w:rFonts w:hint="eastAsia" w:ascii="仿宋_GB2312" w:eastAsia="仿宋_GB2312"/>
          <w:color w:val="000000"/>
          <w:sz w:val="28"/>
          <w:szCs w:val="28"/>
        </w:rPr>
        <w:t>复印件</w:t>
      </w:r>
      <w:bookmarkEnd w:id="149"/>
    </w:p>
    <w:p>
      <w:pPr>
        <w:keepNext/>
        <w:adjustRightInd w:val="0"/>
        <w:snapToGrid w:val="0"/>
        <w:spacing w:line="480" w:lineRule="exact"/>
        <w:ind w:firstLine="560"/>
        <w:jc w:val="left"/>
        <w:outlineLvl w:val="1"/>
        <w:rPr>
          <w:rFonts w:hint="default" w:ascii="仿宋_GB2312" w:eastAsia="仿宋_GB2312"/>
          <w:color w:val="000000"/>
          <w:sz w:val="28"/>
          <w:szCs w:val="28"/>
          <w:lang w:val="en-US" w:eastAsia="zh-CN"/>
        </w:rPr>
      </w:pPr>
      <w:bookmarkStart w:id="150" w:name="_Toc10906"/>
      <w:r>
        <w:rPr>
          <w:rFonts w:hint="eastAsia" w:ascii="仿宋_GB2312" w:eastAsia="仿宋_GB2312"/>
          <w:color w:val="000000"/>
          <w:sz w:val="28"/>
          <w:szCs w:val="28"/>
          <w:lang w:val="en-US" w:eastAsia="zh-CN"/>
        </w:rPr>
        <w:t>附件七、《</w:t>
      </w:r>
      <w:r>
        <w:rPr>
          <w:rFonts w:hint="default" w:ascii="仿宋_GB2312" w:eastAsia="仿宋_GB2312"/>
          <w:color w:val="000000"/>
          <w:sz w:val="28"/>
          <w:szCs w:val="28"/>
          <w:lang w:val="en-US" w:eastAsia="zh-CN"/>
        </w:rPr>
        <w:t>家具家电明细表</w:t>
      </w:r>
      <w:r>
        <w:rPr>
          <w:rFonts w:hint="eastAsia" w:ascii="仿宋_GB2312" w:eastAsia="仿宋_GB2312"/>
          <w:color w:val="000000"/>
          <w:sz w:val="28"/>
          <w:szCs w:val="28"/>
          <w:lang w:val="en-US" w:eastAsia="zh-CN"/>
        </w:rPr>
        <w:t>》</w:t>
      </w:r>
      <w:bookmarkEnd w:id="150"/>
    </w:p>
    <w:p>
      <w:pPr>
        <w:keepNext/>
        <w:adjustRightInd w:val="0"/>
        <w:snapToGrid w:val="0"/>
        <w:spacing w:line="480" w:lineRule="exact"/>
        <w:ind w:firstLine="560" w:firstLineChars="200"/>
        <w:jc w:val="left"/>
        <w:outlineLvl w:val="1"/>
        <w:rPr>
          <w:rFonts w:ascii="仿宋_GB2312" w:eastAsia="仿宋_GB2312"/>
          <w:bCs/>
          <w:sz w:val="28"/>
          <w:szCs w:val="28"/>
        </w:rPr>
      </w:pPr>
      <w:bookmarkStart w:id="151" w:name="_Toc16467"/>
      <w:r>
        <w:rPr>
          <w:rFonts w:hint="eastAsia" w:ascii="仿宋_GB2312" w:eastAsia="仿宋_GB2312"/>
          <w:bCs/>
          <w:sz w:val="28"/>
          <w:szCs w:val="28"/>
        </w:rPr>
        <w:t>附件</w:t>
      </w:r>
      <w:r>
        <w:rPr>
          <w:rFonts w:hint="eastAsia" w:ascii="仿宋_GB2312" w:eastAsia="仿宋_GB2312"/>
          <w:bCs/>
          <w:sz w:val="28"/>
          <w:szCs w:val="28"/>
          <w:lang w:val="en-US" w:eastAsia="zh-CN"/>
        </w:rPr>
        <w:t>八</w:t>
      </w:r>
      <w:r>
        <w:rPr>
          <w:rFonts w:hint="eastAsia" w:ascii="仿宋_GB2312" w:eastAsia="仿宋_GB2312"/>
          <w:bCs/>
          <w:sz w:val="28"/>
          <w:szCs w:val="28"/>
        </w:rPr>
        <w:t>、</w:t>
      </w:r>
      <w:bookmarkEnd w:id="145"/>
      <w:bookmarkEnd w:id="146"/>
      <w:bookmarkEnd w:id="147"/>
      <w:bookmarkStart w:id="152" w:name="_Toc27519"/>
      <w:bookmarkStart w:id="153" w:name="_Toc445106102"/>
      <w:r>
        <w:rPr>
          <w:rFonts w:hint="eastAsia" w:ascii="仿宋_GB2312" w:eastAsia="仿宋_GB2312"/>
          <w:bCs/>
          <w:sz w:val="28"/>
          <w:szCs w:val="28"/>
        </w:rPr>
        <w:t xml:space="preserve"> 估价机构营业执照复印件</w:t>
      </w:r>
      <w:bookmarkEnd w:id="151"/>
      <w:bookmarkEnd w:id="152"/>
    </w:p>
    <w:p>
      <w:pPr>
        <w:keepNext/>
        <w:adjustRightInd w:val="0"/>
        <w:snapToGrid w:val="0"/>
        <w:spacing w:line="480" w:lineRule="exact"/>
        <w:ind w:firstLine="560" w:firstLineChars="200"/>
        <w:jc w:val="left"/>
        <w:outlineLvl w:val="1"/>
        <w:rPr>
          <w:rFonts w:ascii="仿宋_GB2312" w:eastAsia="仿宋_GB2312"/>
          <w:bCs/>
          <w:sz w:val="28"/>
          <w:szCs w:val="28"/>
        </w:rPr>
      </w:pPr>
      <w:bookmarkStart w:id="154" w:name="_Toc1585"/>
      <w:bookmarkStart w:id="155" w:name="_Toc22208"/>
      <w:r>
        <w:rPr>
          <w:rFonts w:hint="eastAsia" w:ascii="仿宋_GB2312" w:eastAsia="仿宋_GB2312"/>
          <w:bCs/>
          <w:sz w:val="28"/>
          <w:szCs w:val="28"/>
        </w:rPr>
        <w:t>附件</w:t>
      </w:r>
      <w:r>
        <w:rPr>
          <w:rFonts w:hint="eastAsia" w:ascii="仿宋_GB2312" w:eastAsia="仿宋_GB2312"/>
          <w:bCs/>
          <w:sz w:val="28"/>
          <w:szCs w:val="28"/>
          <w:lang w:val="en-US" w:eastAsia="zh-CN"/>
        </w:rPr>
        <w:t>九</w:t>
      </w:r>
      <w:r>
        <w:rPr>
          <w:rFonts w:hint="eastAsia" w:ascii="仿宋_GB2312" w:eastAsia="仿宋_GB2312"/>
          <w:bCs/>
          <w:sz w:val="28"/>
          <w:szCs w:val="28"/>
        </w:rPr>
        <w:t>、</w:t>
      </w:r>
      <w:bookmarkEnd w:id="153"/>
      <w:r>
        <w:rPr>
          <w:rFonts w:hint="eastAsia" w:ascii="仿宋_GB2312" w:eastAsia="仿宋_GB2312"/>
          <w:bCs/>
          <w:sz w:val="28"/>
          <w:szCs w:val="28"/>
        </w:rPr>
        <w:t xml:space="preserve"> 估价机构资质证书复印件</w:t>
      </w:r>
      <w:bookmarkEnd w:id="154"/>
      <w:bookmarkEnd w:id="155"/>
    </w:p>
    <w:p>
      <w:pPr>
        <w:keepNext/>
        <w:adjustRightInd w:val="0"/>
        <w:snapToGrid w:val="0"/>
        <w:spacing w:line="480" w:lineRule="exact"/>
        <w:ind w:firstLine="560" w:firstLineChars="200"/>
        <w:jc w:val="left"/>
        <w:outlineLvl w:val="1"/>
        <w:rPr>
          <w:rFonts w:ascii="仿宋_GB2312" w:eastAsia="仿宋_GB2312"/>
          <w:bCs/>
          <w:sz w:val="28"/>
          <w:szCs w:val="28"/>
        </w:rPr>
      </w:pPr>
      <w:bookmarkStart w:id="156" w:name="_Toc9098"/>
      <w:bookmarkStart w:id="157" w:name="_Toc21150"/>
      <w:r>
        <w:rPr>
          <w:rFonts w:hint="eastAsia" w:ascii="仿宋_GB2312" w:eastAsia="仿宋_GB2312"/>
          <w:bCs/>
          <w:sz w:val="28"/>
          <w:szCs w:val="28"/>
        </w:rPr>
        <w:t>附件</w:t>
      </w:r>
      <w:r>
        <w:rPr>
          <w:rFonts w:hint="eastAsia" w:ascii="仿宋_GB2312" w:eastAsia="仿宋_GB2312"/>
          <w:bCs/>
          <w:sz w:val="28"/>
          <w:szCs w:val="28"/>
          <w:lang w:val="en-US" w:eastAsia="zh-CN"/>
        </w:rPr>
        <w:t>十</w:t>
      </w:r>
      <w:r>
        <w:rPr>
          <w:rFonts w:hint="eastAsia" w:ascii="仿宋_GB2312" w:eastAsia="仿宋_GB2312"/>
          <w:bCs/>
          <w:sz w:val="28"/>
          <w:szCs w:val="28"/>
        </w:rPr>
        <w:t>、 注册房地产估价师注册证书复印件</w:t>
      </w:r>
      <w:bookmarkEnd w:id="156"/>
      <w:bookmarkEnd w:id="157"/>
    </w:p>
    <w:p>
      <w:pPr>
        <w:tabs>
          <w:tab w:val="left" w:pos="2310"/>
        </w:tabs>
        <w:spacing w:line="560" w:lineRule="exact"/>
        <w:ind w:right="-10" w:rightChars="-5" w:firstLine="576" w:firstLineChars="200"/>
        <w:rPr>
          <w:rFonts w:ascii="仿宋_GB2312" w:eastAsia="仿宋_GB2312"/>
          <w:spacing w:val="4"/>
          <w:sz w:val="28"/>
          <w:szCs w:val="24"/>
        </w:rPr>
      </w:pPr>
      <w:r>
        <w:rPr>
          <w:rFonts w:ascii="仿宋_GB2312" w:eastAsia="仿宋_GB2312"/>
          <w:spacing w:val="4"/>
          <w:sz w:val="28"/>
          <w:szCs w:val="24"/>
        </w:rPr>
        <w:tab/>
      </w:r>
    </w:p>
    <w:p>
      <w:pPr>
        <w:rPr>
          <w:szCs w:val="24"/>
        </w:rPr>
      </w:pPr>
    </w:p>
    <w:p>
      <w:pPr>
        <w:rPr>
          <w:szCs w:val="24"/>
        </w:rPr>
      </w:pPr>
    </w:p>
    <w:p>
      <w:pPr>
        <w:rPr>
          <w:szCs w:val="24"/>
        </w:rPr>
      </w:pPr>
    </w:p>
    <w:p/>
    <w:sectPr>
      <w:pgSz w:w="11906" w:h="16838"/>
      <w:pgMar w:top="1440" w:right="1797" w:bottom="1440" w:left="1797" w:header="851" w:footer="85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1" o:spid="_x0000_s4097" o:spt="20" style="position:absolute;left:0pt;margin-left:0pt;margin-top:8.05pt;height:0pt;width:414pt;z-index:251656192;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KvUvdIAAAAGAQAADwAAAAAAAAABACAAAAAiAAAAZHJzL2Rvd25yZXYu&#10;eG1sUEsBAhQAFAAAAAgAh07iQP2FAiLIAQAAjwMAAA4AAAAAAAAAAQAgAAAAIQEAAGRycy9lMm9E&#10;b2MueG1sUEsFBgAAAAAGAAYAWQEAAFsFA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2" o:spid="_x0000_s4098" o:spt="20" style="position:absolute;left:0pt;margin-left:0pt;margin-top:8.05pt;height:0pt;width:414pt;z-index:251658240;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Sr1L3SAAAABgEAAA8AAAAAAAAAAQAgAAAAIgAAAGRycy9kb3ducmV2&#10;LnhtbFBLAQIUABQAAAAIAIdO4kB9RXC3yQEAAI8DAAAOAAAAAAAAAAEAIAAAACEBAABkcnMvZTJv&#10;RG9jLnhtbFBLBQYAAAAABgAGAFkBAABc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3" o:spid="_x0000_s4099" o:spt="20" style="position:absolute;left:0pt;margin-left:0pt;margin-top:8.05pt;height:0pt;width:414pt;z-index:251660288;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Sr1L3SAAAABgEAAA8AAAAAAAAAAQAgAAAAIgAAAGRycy9kb3ducmV2&#10;LnhtbFBLAQIUABQAAAAIAIdO4kCIVQr2yQEAAI8DAAAOAAAAAAAAAAEAIAAAACEBAABkcnMvZTJv&#10;RG9jLnhtbFBLBQYAAAAABgAGAFkBAABc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shape id="_x0000_s4100" o:spid="_x0000_s4100"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AzHgNQAAAADAQAADwAAAAAAAAABACAAAAAiAAAAZHJzL2Rvd25yZXYueG1sUEsBAhQAFAAA&#10;AAgAh07iQObBNKC6AQAAVQ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r>
                  <w:rPr>
                    <w:rFonts w:hint="eastAsia"/>
                    <w:sz w:val="18"/>
                  </w:rPr>
                  <w:t xml:space="preserve"> -</w:t>
                </w:r>
              </w:p>
            </w:txbxContent>
          </v:textbox>
        </v:shape>
      </w:pict>
    </w:r>
    <w:r>
      <w:rPr>
        <w:sz w:val="20"/>
      </w:rPr>
      <w:pict>
        <v:line id="Line 9" o:spid="_x0000_s4101" o:spt="20" style="position:absolute;left:0pt;margin-left:1.5pt;margin-top:8.8pt;height:0pt;width:414pt;z-index:251654144;mso-width-relative:page;mso-height-relative:page;" coordsize="21600,21600" o:gfxdata="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PKoJ/TAAAABwEAAA8AAAAAAAAAAQAgAAAAIgAAAGRycy9kb3ducmV2LnhtbFBLAQIUABQA&#10;AAAIAIdO4kBAR7X1vAEAAI0DAAAOAAAAAAAAAAEAIAAAACIBAABkcnMvZTJvRG9jLnhtbFBLBQYA&#10;AAAABgAGAFkBAABQ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eastAsia="楷体_GB2312"/>
      </w:rPr>
    </w:pPr>
    <w:r>
      <w:rPr>
        <w:rFonts w:hint="eastAsia" w:eastAsia="楷体_GB2312"/>
      </w:rPr>
      <w:t>杭州中立房地产土地评估规划咨询有限公司房地产估价报告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eastAsia="楷体_GB2312"/>
      </w:rPr>
    </w:pPr>
    <w:r>
      <w:rPr>
        <w:rFonts w:hint="eastAsia" w:eastAsia="楷体_GB2312"/>
      </w:rPr>
      <w:t xml:space="preserve">                                        杭州中立房地产土地评估规划咨询有限公司房地产估价报告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16B3"/>
    <w:rsid w:val="00004951"/>
    <w:rsid w:val="00006825"/>
    <w:rsid w:val="0007173A"/>
    <w:rsid w:val="00086D10"/>
    <w:rsid w:val="000B3502"/>
    <w:rsid w:val="00114E4B"/>
    <w:rsid w:val="00127F78"/>
    <w:rsid w:val="001434C9"/>
    <w:rsid w:val="00165056"/>
    <w:rsid w:val="0017523A"/>
    <w:rsid w:val="00187DD9"/>
    <w:rsid w:val="001B0F82"/>
    <w:rsid w:val="001B4FED"/>
    <w:rsid w:val="001B5D92"/>
    <w:rsid w:val="001B7560"/>
    <w:rsid w:val="001C73D1"/>
    <w:rsid w:val="00227854"/>
    <w:rsid w:val="002321CC"/>
    <w:rsid w:val="00242D9E"/>
    <w:rsid w:val="002737F2"/>
    <w:rsid w:val="00284B85"/>
    <w:rsid w:val="002B1762"/>
    <w:rsid w:val="002B35CA"/>
    <w:rsid w:val="002D1E23"/>
    <w:rsid w:val="002D611F"/>
    <w:rsid w:val="0030024C"/>
    <w:rsid w:val="00323DEC"/>
    <w:rsid w:val="0035089A"/>
    <w:rsid w:val="003812E9"/>
    <w:rsid w:val="00381767"/>
    <w:rsid w:val="00384E4C"/>
    <w:rsid w:val="0039610C"/>
    <w:rsid w:val="003A51D5"/>
    <w:rsid w:val="003B03E1"/>
    <w:rsid w:val="003B1008"/>
    <w:rsid w:val="003D4B71"/>
    <w:rsid w:val="0041585C"/>
    <w:rsid w:val="0042119F"/>
    <w:rsid w:val="00421238"/>
    <w:rsid w:val="00423B9B"/>
    <w:rsid w:val="00447EAC"/>
    <w:rsid w:val="004530E1"/>
    <w:rsid w:val="004758B4"/>
    <w:rsid w:val="00485CB3"/>
    <w:rsid w:val="004B3310"/>
    <w:rsid w:val="004C66C5"/>
    <w:rsid w:val="00503CC7"/>
    <w:rsid w:val="005170CF"/>
    <w:rsid w:val="005641FE"/>
    <w:rsid w:val="00566A38"/>
    <w:rsid w:val="00573243"/>
    <w:rsid w:val="00584AC0"/>
    <w:rsid w:val="005956F9"/>
    <w:rsid w:val="005B2322"/>
    <w:rsid w:val="005B403E"/>
    <w:rsid w:val="005C0432"/>
    <w:rsid w:val="005C0BC3"/>
    <w:rsid w:val="005E018C"/>
    <w:rsid w:val="00617502"/>
    <w:rsid w:val="0064687A"/>
    <w:rsid w:val="00654DAF"/>
    <w:rsid w:val="006719B6"/>
    <w:rsid w:val="00676172"/>
    <w:rsid w:val="00676D29"/>
    <w:rsid w:val="006C4853"/>
    <w:rsid w:val="006E25A4"/>
    <w:rsid w:val="006F6F2B"/>
    <w:rsid w:val="007223EA"/>
    <w:rsid w:val="00725176"/>
    <w:rsid w:val="00760972"/>
    <w:rsid w:val="00780F8D"/>
    <w:rsid w:val="00787610"/>
    <w:rsid w:val="007916B3"/>
    <w:rsid w:val="007A34FE"/>
    <w:rsid w:val="00807C73"/>
    <w:rsid w:val="00816324"/>
    <w:rsid w:val="00833147"/>
    <w:rsid w:val="00833227"/>
    <w:rsid w:val="00850406"/>
    <w:rsid w:val="00863B38"/>
    <w:rsid w:val="00895C1C"/>
    <w:rsid w:val="008A3595"/>
    <w:rsid w:val="00917F3D"/>
    <w:rsid w:val="0093174C"/>
    <w:rsid w:val="00946622"/>
    <w:rsid w:val="00962C6C"/>
    <w:rsid w:val="009937BD"/>
    <w:rsid w:val="009A169B"/>
    <w:rsid w:val="009A7B6D"/>
    <w:rsid w:val="009B2C85"/>
    <w:rsid w:val="009D2993"/>
    <w:rsid w:val="009E2009"/>
    <w:rsid w:val="00A21726"/>
    <w:rsid w:val="00A34F0E"/>
    <w:rsid w:val="00A366C1"/>
    <w:rsid w:val="00A41391"/>
    <w:rsid w:val="00A65EF0"/>
    <w:rsid w:val="00AA6ED8"/>
    <w:rsid w:val="00AB1362"/>
    <w:rsid w:val="00AE2A06"/>
    <w:rsid w:val="00AF5E97"/>
    <w:rsid w:val="00B32809"/>
    <w:rsid w:val="00B70E8D"/>
    <w:rsid w:val="00BA03B0"/>
    <w:rsid w:val="00BB4F6D"/>
    <w:rsid w:val="00BE060E"/>
    <w:rsid w:val="00C316EF"/>
    <w:rsid w:val="00C33570"/>
    <w:rsid w:val="00C43C1C"/>
    <w:rsid w:val="00C449D1"/>
    <w:rsid w:val="00C65FC1"/>
    <w:rsid w:val="00C67BA3"/>
    <w:rsid w:val="00C73D61"/>
    <w:rsid w:val="00C9065A"/>
    <w:rsid w:val="00C9679E"/>
    <w:rsid w:val="00CD237D"/>
    <w:rsid w:val="00CD4CAC"/>
    <w:rsid w:val="00CE71A7"/>
    <w:rsid w:val="00D42321"/>
    <w:rsid w:val="00D42834"/>
    <w:rsid w:val="00D57987"/>
    <w:rsid w:val="00D61837"/>
    <w:rsid w:val="00D61B64"/>
    <w:rsid w:val="00D65A75"/>
    <w:rsid w:val="00D82B60"/>
    <w:rsid w:val="00DB0ED9"/>
    <w:rsid w:val="00DC61EA"/>
    <w:rsid w:val="00DC7DE8"/>
    <w:rsid w:val="00DD1625"/>
    <w:rsid w:val="00DE50D9"/>
    <w:rsid w:val="00E66B59"/>
    <w:rsid w:val="00EB615E"/>
    <w:rsid w:val="00EB61AA"/>
    <w:rsid w:val="00EE2714"/>
    <w:rsid w:val="00EF184B"/>
    <w:rsid w:val="00F14A26"/>
    <w:rsid w:val="00F25A75"/>
    <w:rsid w:val="00F27A8F"/>
    <w:rsid w:val="00F35B99"/>
    <w:rsid w:val="00F540DC"/>
    <w:rsid w:val="00F55B90"/>
    <w:rsid w:val="00F72381"/>
    <w:rsid w:val="00FA51FC"/>
    <w:rsid w:val="00FD14B5"/>
    <w:rsid w:val="00FE4145"/>
    <w:rsid w:val="01AD1B24"/>
    <w:rsid w:val="01DC00AD"/>
    <w:rsid w:val="0352791F"/>
    <w:rsid w:val="04940129"/>
    <w:rsid w:val="076C7AD5"/>
    <w:rsid w:val="094B6387"/>
    <w:rsid w:val="09502CD5"/>
    <w:rsid w:val="0B9C4758"/>
    <w:rsid w:val="0C22605A"/>
    <w:rsid w:val="0C823B11"/>
    <w:rsid w:val="0E203FB5"/>
    <w:rsid w:val="0EE070C1"/>
    <w:rsid w:val="0F43024D"/>
    <w:rsid w:val="10F122C7"/>
    <w:rsid w:val="128E585F"/>
    <w:rsid w:val="129D12C4"/>
    <w:rsid w:val="12A23179"/>
    <w:rsid w:val="13135219"/>
    <w:rsid w:val="14141AC1"/>
    <w:rsid w:val="148E7152"/>
    <w:rsid w:val="14C97665"/>
    <w:rsid w:val="172528EF"/>
    <w:rsid w:val="176205EB"/>
    <w:rsid w:val="17A17D9B"/>
    <w:rsid w:val="17D20AB3"/>
    <w:rsid w:val="18E30650"/>
    <w:rsid w:val="194D2931"/>
    <w:rsid w:val="19957CCA"/>
    <w:rsid w:val="1B5A3DE0"/>
    <w:rsid w:val="1BD45746"/>
    <w:rsid w:val="1DDA22C7"/>
    <w:rsid w:val="1E1E2F88"/>
    <w:rsid w:val="1F5C77D2"/>
    <w:rsid w:val="1FD73C93"/>
    <w:rsid w:val="2116200A"/>
    <w:rsid w:val="22BF16B9"/>
    <w:rsid w:val="23117C3B"/>
    <w:rsid w:val="24606102"/>
    <w:rsid w:val="24E07484"/>
    <w:rsid w:val="24FE51E8"/>
    <w:rsid w:val="25245F20"/>
    <w:rsid w:val="25F85A82"/>
    <w:rsid w:val="262D1708"/>
    <w:rsid w:val="26DD57EF"/>
    <w:rsid w:val="26EE1571"/>
    <w:rsid w:val="2706755D"/>
    <w:rsid w:val="28BB5668"/>
    <w:rsid w:val="29114140"/>
    <w:rsid w:val="29E20413"/>
    <w:rsid w:val="2A703FB4"/>
    <w:rsid w:val="2B79447F"/>
    <w:rsid w:val="2B9A025F"/>
    <w:rsid w:val="2BD54295"/>
    <w:rsid w:val="2C044FC6"/>
    <w:rsid w:val="2D3E5159"/>
    <w:rsid w:val="2D5610BE"/>
    <w:rsid w:val="2E0B7197"/>
    <w:rsid w:val="2E9C4EA8"/>
    <w:rsid w:val="2F0821FD"/>
    <w:rsid w:val="2F133C7B"/>
    <w:rsid w:val="30F73119"/>
    <w:rsid w:val="31CE737C"/>
    <w:rsid w:val="322D0B15"/>
    <w:rsid w:val="323E4A2B"/>
    <w:rsid w:val="33723C69"/>
    <w:rsid w:val="34845CDF"/>
    <w:rsid w:val="34F37CB3"/>
    <w:rsid w:val="36065F81"/>
    <w:rsid w:val="377B63AD"/>
    <w:rsid w:val="38277E24"/>
    <w:rsid w:val="386413E4"/>
    <w:rsid w:val="390A3446"/>
    <w:rsid w:val="3B7F4183"/>
    <w:rsid w:val="3CAB4720"/>
    <w:rsid w:val="3E9A6E68"/>
    <w:rsid w:val="3F9918B7"/>
    <w:rsid w:val="3FB32DA6"/>
    <w:rsid w:val="3FBA7726"/>
    <w:rsid w:val="418115FA"/>
    <w:rsid w:val="42AB519E"/>
    <w:rsid w:val="42AF1F64"/>
    <w:rsid w:val="43815886"/>
    <w:rsid w:val="459275F3"/>
    <w:rsid w:val="462E267A"/>
    <w:rsid w:val="46457D6D"/>
    <w:rsid w:val="46FE2009"/>
    <w:rsid w:val="48495D4A"/>
    <w:rsid w:val="48AC06DA"/>
    <w:rsid w:val="49423848"/>
    <w:rsid w:val="49913AE2"/>
    <w:rsid w:val="4B3A09C7"/>
    <w:rsid w:val="4CC74350"/>
    <w:rsid w:val="4E03665F"/>
    <w:rsid w:val="4E216BFE"/>
    <w:rsid w:val="508A6F1C"/>
    <w:rsid w:val="50B9250E"/>
    <w:rsid w:val="50EE63E2"/>
    <w:rsid w:val="514D7948"/>
    <w:rsid w:val="51694DFE"/>
    <w:rsid w:val="52642F3E"/>
    <w:rsid w:val="52F32BC3"/>
    <w:rsid w:val="54364308"/>
    <w:rsid w:val="54DA4C72"/>
    <w:rsid w:val="54FC6F8F"/>
    <w:rsid w:val="55CE2556"/>
    <w:rsid w:val="55F20E69"/>
    <w:rsid w:val="56482E94"/>
    <w:rsid w:val="569D326B"/>
    <w:rsid w:val="57713A89"/>
    <w:rsid w:val="57B00C9C"/>
    <w:rsid w:val="58B00F9D"/>
    <w:rsid w:val="59353461"/>
    <w:rsid w:val="596262EC"/>
    <w:rsid w:val="5A4F0A0E"/>
    <w:rsid w:val="5B2606C2"/>
    <w:rsid w:val="5D735479"/>
    <w:rsid w:val="5DA25066"/>
    <w:rsid w:val="61160065"/>
    <w:rsid w:val="61733DF9"/>
    <w:rsid w:val="61D8013C"/>
    <w:rsid w:val="63505FCA"/>
    <w:rsid w:val="635A6123"/>
    <w:rsid w:val="63DB6478"/>
    <w:rsid w:val="64A74D0B"/>
    <w:rsid w:val="650422FF"/>
    <w:rsid w:val="6581501B"/>
    <w:rsid w:val="67635551"/>
    <w:rsid w:val="6BBD3E4E"/>
    <w:rsid w:val="6CED6794"/>
    <w:rsid w:val="6D613DE5"/>
    <w:rsid w:val="6DCC2459"/>
    <w:rsid w:val="6E2A4AB7"/>
    <w:rsid w:val="6FE22874"/>
    <w:rsid w:val="70FE4171"/>
    <w:rsid w:val="713E6136"/>
    <w:rsid w:val="71A41F7F"/>
    <w:rsid w:val="71ED41AB"/>
    <w:rsid w:val="71ED7086"/>
    <w:rsid w:val="721D21CA"/>
    <w:rsid w:val="73351218"/>
    <w:rsid w:val="7531576B"/>
    <w:rsid w:val="78542C12"/>
    <w:rsid w:val="78B965CB"/>
    <w:rsid w:val="79035454"/>
    <w:rsid w:val="79F24CCC"/>
    <w:rsid w:val="7C032417"/>
    <w:rsid w:val="7C1D439D"/>
    <w:rsid w:val="7C380C2E"/>
    <w:rsid w:val="7CF25952"/>
    <w:rsid w:val="7D6055C1"/>
    <w:rsid w:val="7DE21A57"/>
    <w:rsid w:val="7E383073"/>
    <w:rsid w:val="7E6F0F65"/>
    <w:rsid w:val="7E734250"/>
    <w:rsid w:val="7EAE12D0"/>
    <w:rsid w:val="7FB440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rPr>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2"/>
    <w:next w:val="2"/>
    <w:link w:val="18"/>
    <w:semiHidden/>
    <w:unhideWhenUsed/>
    <w:qFormat/>
    <w:uiPriority w:val="99"/>
    <w:rPr>
      <w:b/>
      <w:bCs/>
      <w:szCs w:val="22"/>
    </w:r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5"/>
    <w:qFormat/>
    <w:uiPriority w:val="99"/>
    <w:rPr>
      <w:sz w:val="18"/>
      <w:szCs w:val="18"/>
    </w:rPr>
  </w:style>
  <w:style w:type="character" w:customStyle="1" w:styleId="15">
    <w:name w:val="页脚 Char"/>
    <w:basedOn w:val="11"/>
    <w:link w:val="4"/>
    <w:qFormat/>
    <w:uiPriority w:val="99"/>
    <w:rPr>
      <w:sz w:val="18"/>
      <w:szCs w:val="18"/>
    </w:rPr>
  </w:style>
  <w:style w:type="character" w:customStyle="1" w:styleId="16">
    <w:name w:val="批注文字 Char"/>
    <w:basedOn w:val="11"/>
    <w:link w:val="2"/>
    <w:semiHidden/>
    <w:qFormat/>
    <w:uiPriority w:val="99"/>
    <w:rPr>
      <w:szCs w:val="24"/>
    </w:rPr>
  </w:style>
  <w:style w:type="character" w:customStyle="1" w:styleId="17">
    <w:name w:val="批注框文本 Char"/>
    <w:basedOn w:val="11"/>
    <w:link w:val="3"/>
    <w:semiHidden/>
    <w:qFormat/>
    <w:uiPriority w:val="99"/>
    <w:rPr>
      <w:sz w:val="18"/>
      <w:szCs w:val="18"/>
    </w:rPr>
  </w:style>
  <w:style w:type="character" w:customStyle="1" w:styleId="18">
    <w:name w:val="批注主题 Char"/>
    <w:basedOn w:val="16"/>
    <w:link w:val="9"/>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20</Pages>
  <Words>1853</Words>
  <Characters>10567</Characters>
  <Lines>88</Lines>
  <Paragraphs>24</Paragraphs>
  <TotalTime>2</TotalTime>
  <ScaleCrop>false</ScaleCrop>
  <LinksUpToDate>false</LinksUpToDate>
  <CharactersWithSpaces>12396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2018-03-05T06:28:00Z</dcterms:created>
  <dc:creator>Micorosoft</dc:creator>
  <cp:lastModifiedBy>Better Man</cp:lastModifiedBy>
  <cp:lastPrinted>2020-06-16T03:00:22Z</cp:lastPrinted>
  <dcterms:modified xsi:type="dcterms:W3CDTF">2020-06-16T03:00:49Z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