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s>
        <w:autoSpaceDE w:val="0"/>
        <w:autoSpaceDN w:val="0"/>
        <w:adjustRightInd w:val="0"/>
        <w:snapToGrid w:val="0"/>
        <w:textAlignment w:val="bottom"/>
        <w:rPr>
          <w:rFonts w:ascii="黑体" w:hAnsi="黑体" w:eastAsia="黑体" w:cs="黑体"/>
          <w:bCs/>
          <w:sz w:val="44"/>
          <w:szCs w:val="24"/>
        </w:rPr>
      </w:pPr>
      <w:bookmarkStart w:id="0" w:name="_Hlk38993821"/>
      <w:bookmarkEnd w:id="0"/>
    </w:p>
    <w:p>
      <w:pPr>
        <w:autoSpaceDE w:val="0"/>
        <w:autoSpaceDN w:val="0"/>
        <w:adjustRightInd w:val="0"/>
        <w:snapToGrid w:val="0"/>
        <w:jc w:val="center"/>
        <w:textAlignment w:val="bottom"/>
        <w:rPr>
          <w:rFonts w:ascii="仿宋_GB2312" w:eastAsia="仿宋_GB2312"/>
          <w:bCs/>
          <w:sz w:val="44"/>
          <w:szCs w:val="24"/>
        </w:rPr>
      </w:pPr>
      <w:r>
        <w:rPr>
          <w:rFonts w:hint="eastAsia" w:ascii="黑体" w:hAnsi="黑体" w:eastAsia="黑体" w:cs="黑体"/>
          <w:bCs/>
          <w:sz w:val="44"/>
          <w:szCs w:val="24"/>
        </w:rPr>
        <w:t>房 地 产 估 价 报 告</w:t>
      </w: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rPr>
          <w:rFonts w:ascii="仿宋_GB2312" w:eastAsia="仿宋_GB2312"/>
          <w:bCs/>
          <w:sz w:val="11"/>
          <w:szCs w:val="11"/>
        </w:rPr>
      </w:pP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杭州市拱墅区人民法院因司法执行涉及</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杭州市桐庐县富春江镇大洋坪9幢1单元401室一处住宅</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房地产市场价值评估</w:t>
      </w:r>
    </w:p>
    <w:p>
      <w:pPr>
        <w:autoSpaceDE w:val="0"/>
        <w:autoSpaceDN w:val="0"/>
        <w:adjustRightInd w:val="0"/>
        <w:snapToGrid w:val="0"/>
        <w:spacing w:line="600" w:lineRule="exact"/>
        <w:jc w:val="center"/>
        <w:textAlignment w:val="bottom"/>
        <w:rPr>
          <w:rFonts w:ascii="黑体" w:hAnsi="黑体" w:eastAsia="黑体" w:cs="黑体"/>
          <w:bCs/>
          <w:sz w:val="28"/>
          <w:szCs w:val="28"/>
        </w:rPr>
      </w:pPr>
      <w:r>
        <w:rPr>
          <w:rFonts w:hint="eastAsia" w:ascii="黑体" w:hAnsi="黑体" w:eastAsia="黑体" w:cs="黑体"/>
          <w:bCs/>
          <w:sz w:val="28"/>
          <w:szCs w:val="28"/>
        </w:rPr>
        <w:t>委托函号：（2020）拱法委评字第111号</w:t>
      </w: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估价委托人 ：杭州市拱墅区人民法院</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 价 人 员：张晓冬（注册号：3320080022）</w:t>
      </w:r>
    </w:p>
    <w:p>
      <w:pPr>
        <w:autoSpaceDE w:val="0"/>
        <w:autoSpaceDN w:val="0"/>
        <w:adjustRightInd w:val="0"/>
        <w:snapToGrid w:val="0"/>
        <w:spacing w:line="800" w:lineRule="exact"/>
        <w:ind w:firstLine="2240" w:firstLineChars="700"/>
        <w:textAlignment w:val="bottom"/>
        <w:rPr>
          <w:rFonts w:ascii="黑体" w:hAnsi="黑体" w:eastAsia="黑体" w:cs="黑体"/>
          <w:bCs/>
          <w:sz w:val="32"/>
          <w:szCs w:val="24"/>
        </w:rPr>
      </w:pPr>
      <w:r>
        <w:rPr>
          <w:rFonts w:hint="eastAsia" w:ascii="黑体" w:hAnsi="黑体" w:eastAsia="黑体" w:cs="黑体"/>
          <w:bCs/>
          <w:sz w:val="32"/>
          <w:szCs w:val="24"/>
          <w:lang w:eastAsia="zh-CN"/>
        </w:rPr>
        <w:t>陈如腾</w:t>
      </w:r>
      <w:r>
        <w:rPr>
          <w:rFonts w:hint="eastAsia" w:ascii="黑体" w:hAnsi="黑体" w:eastAsia="黑体" w:cs="黑体"/>
          <w:bCs/>
          <w:sz w:val="32"/>
          <w:szCs w:val="24"/>
        </w:rPr>
        <w:t>（注册号：3320130028</w:t>
      </w:r>
      <w:r>
        <w:rPr>
          <w:rFonts w:hint="eastAsia" w:ascii="黑体" w:hAnsi="黑体" w:eastAsia="黑体" w:cs="黑体"/>
          <w:bCs/>
          <w:sz w:val="32"/>
          <w:szCs w:val="24"/>
        </w:rPr>
        <w:t>）</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ascii="黑体" w:hAnsi="黑体" w:eastAsia="黑体" w:cs="黑体"/>
          <w:bCs/>
          <w:sz w:val="32"/>
          <w:szCs w:val="24"/>
        </w:rPr>
        <w:t>估价</w:t>
      </w:r>
      <w:r>
        <w:rPr>
          <w:rFonts w:hint="eastAsia" w:ascii="黑体" w:hAnsi="黑体" w:eastAsia="黑体" w:cs="黑体"/>
          <w:bCs/>
          <w:sz w:val="32"/>
          <w:szCs w:val="24"/>
        </w:rPr>
        <w:t>报告出具</w:t>
      </w:r>
      <w:r>
        <w:rPr>
          <w:rFonts w:ascii="黑体" w:hAnsi="黑体" w:eastAsia="黑体" w:cs="黑体"/>
          <w:bCs/>
          <w:sz w:val="32"/>
          <w:szCs w:val="24"/>
        </w:rPr>
        <w:t>日期</w:t>
      </w:r>
      <w:r>
        <w:rPr>
          <w:rFonts w:hint="eastAsia" w:ascii="黑体" w:hAnsi="黑体" w:eastAsia="黑体" w:cs="黑体"/>
          <w:bCs/>
          <w:sz w:val="32"/>
          <w:szCs w:val="24"/>
        </w:rPr>
        <w:t>：二〇二〇年五月二十五日</w:t>
      </w:r>
    </w:p>
    <w:p>
      <w:pPr>
        <w:autoSpaceDE w:val="0"/>
        <w:autoSpaceDN w:val="0"/>
        <w:adjustRightInd w:val="0"/>
        <w:snapToGrid w:val="0"/>
        <w:spacing w:line="800" w:lineRule="exact"/>
        <w:ind w:firstLine="179" w:firstLineChars="56"/>
        <w:textAlignment w:val="bottom"/>
        <w:rPr>
          <w:rFonts w:ascii="黑体" w:hAnsi="黑体" w:eastAsia="黑体" w:cs="黑体"/>
          <w:bCs/>
          <w:sz w:val="32"/>
          <w:szCs w:val="24"/>
        </w:rPr>
      </w:pPr>
      <w:r>
        <w:rPr>
          <w:rFonts w:hint="eastAsia" w:ascii="黑体" w:hAnsi="黑体" w:eastAsia="黑体" w:cs="黑体"/>
          <w:bCs/>
          <w:sz w:val="32"/>
          <w:szCs w:val="24"/>
        </w:rPr>
        <w:t>估价报告编号：杭中立(2020)房(估)字第079号</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sz w:val="36"/>
          <w:szCs w:val="36"/>
        </w:rPr>
      </w:pPr>
      <w:r>
        <w:rPr>
          <w:rFonts w:hint="eastAsia" w:ascii="仿宋_GB2312" w:eastAsia="仿宋_GB2312"/>
          <w:b/>
          <w:bCs/>
          <w:sz w:val="36"/>
          <w:szCs w:val="36"/>
        </w:rPr>
        <w:t>致估价委托人函</w:t>
      </w:r>
    </w:p>
    <w:p>
      <w:pPr>
        <w:autoSpaceDE w:val="0"/>
        <w:autoSpaceDN w:val="0"/>
        <w:adjustRightInd w:val="0"/>
        <w:snapToGrid w:val="0"/>
        <w:spacing w:line="800" w:lineRule="exact"/>
        <w:textAlignment w:val="bottom"/>
        <w:rPr>
          <w:rFonts w:ascii="仿宋_GB2312" w:eastAsia="仿宋_GB2312"/>
          <w:b/>
          <w:sz w:val="28"/>
          <w:szCs w:val="28"/>
        </w:rPr>
      </w:pPr>
      <w:r>
        <w:rPr>
          <w:rFonts w:hint="eastAsia" w:ascii="仿宋_GB2312" w:eastAsia="仿宋_GB2312"/>
          <w:b/>
          <w:sz w:val="28"/>
          <w:szCs w:val="28"/>
        </w:rPr>
        <w:t>杭州市拱墅区人民法院:</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本公司接受贵方委托,对贵院在执行（2019）浙0105执3900、3902号申请人江钦钦与被执行人钟屾民间借贷纠纷一案中涉及钟屾所拥有的位于杭州市桐庐县富春江镇大洋坪9幢1单元401室一处住宅房地产在现状利用条件下的市场价值进行评估。</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估价对象：钟屾所拥有的位于杭州市桐庐县富春江镇大洋坪9幢1单元401室一处住宅房地产，包括该处住宅房产所有权及其分摊土地使用权，以及室内固定装修，建筑面积56.02平方米，</w:t>
      </w:r>
      <w:bookmarkStart w:id="1" w:name="_Hlk38998462"/>
      <w:r>
        <w:rPr>
          <w:rFonts w:hint="eastAsia" w:ascii="仿宋_GB2312" w:eastAsia="仿宋_GB2312"/>
          <w:sz w:val="28"/>
          <w:szCs w:val="24"/>
        </w:rPr>
        <w:t>土地使用权类型为出让，</w:t>
      </w:r>
      <w:bookmarkEnd w:id="1"/>
      <w:r>
        <w:rPr>
          <w:rFonts w:hint="eastAsia" w:ascii="仿宋_GB2312" w:eastAsia="仿宋_GB2312"/>
          <w:sz w:val="28"/>
          <w:szCs w:val="24"/>
        </w:rPr>
        <w:t>土地使用权面积为14.0平方米，土地剩余使用年限68.11年。</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估价目的：为杭州市拱墅区人民法院司法鉴定提供价值参考依据。</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价值时点：2020年5月20日，为完成实地查勘之日。</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价值类型：市场价值，即</w:t>
      </w:r>
      <w:r>
        <w:rPr>
          <w:rFonts w:hint="eastAsia" w:eastAsia="仿宋_GB2312"/>
          <w:sz w:val="28"/>
          <w:szCs w:val="20"/>
        </w:rPr>
        <w:t>估价对象经适当营销后，由熟悉情况、谨慎行事且不受强迫的交易双方，以公平交易方式在价值时点自愿进行交易的金额。</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估价方法：比较法。</w:t>
      </w:r>
    </w:p>
    <w:p>
      <w:pPr>
        <w:spacing w:line="500" w:lineRule="exact"/>
        <w:ind w:right="-10" w:rightChars="-5" w:firstLine="560" w:firstLineChars="200"/>
        <w:rPr>
          <w:rFonts w:eastAsia="仿宋_GB2312"/>
          <w:spacing w:val="4"/>
          <w:sz w:val="28"/>
          <w:szCs w:val="24"/>
        </w:rPr>
      </w:pPr>
      <w:r>
        <w:rPr>
          <w:rFonts w:hint="eastAsia" w:ascii="仿宋_GB2312" w:hAnsi="宋体" w:eastAsia="仿宋_GB2312"/>
          <w:sz w:val="28"/>
          <w:szCs w:val="28"/>
        </w:rPr>
        <w:t>估价结果：估价</w:t>
      </w:r>
      <w:r>
        <w:rPr>
          <w:rFonts w:hint="eastAsia" w:ascii="仿宋_GB2312" w:hAnsi="宋体" w:eastAsia="仿宋_GB2312" w:cs="宋体"/>
          <w:sz w:val="28"/>
          <w:szCs w:val="28"/>
        </w:rPr>
        <w:t>人员根据中华人民共和国《房地产估价规范》（GB/T 50291-2015）的有关技术规定，</w:t>
      </w:r>
      <w:r>
        <w:rPr>
          <w:rFonts w:hint="eastAsia" w:ascii="仿宋_GB2312" w:eastAsia="仿宋_GB2312"/>
          <w:sz w:val="28"/>
          <w:szCs w:val="24"/>
        </w:rPr>
        <w:t>结合本次估价目的，遵循估价原则，按照估价</w:t>
      </w:r>
      <w:r>
        <w:rPr>
          <w:rFonts w:hint="eastAsia" w:ascii="仿宋_GB2312" w:hAnsi="宋体" w:eastAsia="仿宋_GB2312" w:cs="宋体"/>
          <w:sz w:val="28"/>
          <w:szCs w:val="28"/>
        </w:rPr>
        <w:t>工作程序，运用比较法，仔细考察估价对象的建筑特征及使用和维护情况，经过合理、全面、细致的分析与测算</w:t>
      </w:r>
      <w:r>
        <w:rPr>
          <w:rFonts w:hint="eastAsia" w:ascii="仿宋_GB2312" w:hAnsi="宋体" w:eastAsia="仿宋_GB2312" w:cs="宋体"/>
          <w:i/>
          <w:sz w:val="28"/>
          <w:szCs w:val="28"/>
        </w:rPr>
        <w:t>，</w:t>
      </w:r>
      <w:r>
        <w:rPr>
          <w:rFonts w:hint="eastAsia" w:ascii="仿宋_GB2312" w:hAnsi="宋体" w:eastAsia="仿宋_GB2312" w:cs="宋体"/>
          <w:sz w:val="28"/>
          <w:szCs w:val="28"/>
        </w:rPr>
        <w:t>并结合估价经验和对影响物业价值的因素综合分析，确定在本估价报告的假设和限制条件下，估价对象在</w:t>
      </w:r>
      <w:r>
        <w:rPr>
          <w:rFonts w:hint="eastAsia" w:eastAsia="仿宋_GB2312"/>
          <w:spacing w:val="4"/>
          <w:sz w:val="28"/>
          <w:szCs w:val="24"/>
        </w:rPr>
        <w:t>价值时点</w:t>
      </w:r>
      <w:r>
        <w:rPr>
          <w:rFonts w:hint="eastAsia" w:ascii="仿宋_GB2312" w:eastAsia="仿宋_GB2312"/>
          <w:sz w:val="28"/>
          <w:szCs w:val="24"/>
        </w:rPr>
        <w:t>2020年5月20日</w:t>
      </w:r>
      <w:r>
        <w:rPr>
          <w:rFonts w:hint="eastAsia" w:ascii="仿宋_GB2312" w:eastAsia="仿宋_GB2312"/>
          <w:spacing w:val="4"/>
          <w:sz w:val="28"/>
          <w:szCs w:val="24"/>
        </w:rPr>
        <w:t>的</w:t>
      </w:r>
      <w:r>
        <w:rPr>
          <w:rFonts w:hint="eastAsia" w:ascii="仿宋_GB2312" w:hAnsi="宋体" w:eastAsia="仿宋_GB2312" w:cs="宋体"/>
          <w:sz w:val="28"/>
          <w:szCs w:val="28"/>
        </w:rPr>
        <w:t>市场价值如下：</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br w:type="page"/>
      </w: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4394</w:t>
      </w:r>
      <w:r>
        <w:rPr>
          <w:rFonts w:hint="eastAsia" w:ascii="仿宋_GB2312" w:hAnsi="宋体" w:eastAsia="仿宋_GB2312" w:cs="宋体"/>
          <w:b/>
          <w:bCs/>
          <w:sz w:val="28"/>
          <w:szCs w:val="28"/>
        </w:rPr>
        <w:t>元/平方米</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24.62</w:t>
      </w:r>
      <w:r>
        <w:rPr>
          <w:rFonts w:hint="eastAsia" w:ascii="仿宋_GB2312" w:hAnsi="宋体" w:eastAsia="仿宋_GB2312" w:cs="宋体"/>
          <w:b/>
          <w:bCs/>
          <w:sz w:val="28"/>
          <w:szCs w:val="28"/>
        </w:rPr>
        <w:t>万元</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eastAsia="zh-CN"/>
        </w:rPr>
        <w:t>贰拾肆万陆仟贰佰</w:t>
      </w:r>
      <w:r>
        <w:rPr>
          <w:rFonts w:hint="eastAsia" w:ascii="仿宋_GB2312" w:hAnsi="宋体" w:eastAsia="仿宋_GB2312" w:cs="宋体"/>
          <w:b/>
          <w:bCs/>
          <w:sz w:val="28"/>
          <w:szCs w:val="28"/>
        </w:rPr>
        <w:t>圆整</w:t>
      </w:r>
    </w:p>
    <w:p>
      <w:pPr>
        <w:pStyle w:val="2"/>
        <w:ind w:firstLine="560" w:firstLineChars="200"/>
        <w:rPr>
          <w:rFonts w:ascii="仿宋_GB2312" w:eastAsia="仿宋_GB2312"/>
          <w:sz w:val="28"/>
        </w:rPr>
      </w:pPr>
      <w:bookmarkStart w:id="2" w:name="_Hlk38998484"/>
      <w:r>
        <w:rPr>
          <w:rFonts w:hint="eastAsia" w:ascii="仿宋_GB2312" w:eastAsia="仿宋_GB2312"/>
          <w:sz w:val="28"/>
        </w:rPr>
        <w:t>本估价结果包含卖方应缴纳的各项税费。</w:t>
      </w:r>
    </w:p>
    <w:bookmarkEnd w:id="2"/>
    <w:p>
      <w:pPr>
        <w:spacing w:line="500" w:lineRule="exact"/>
        <w:ind w:right="-10" w:rightChars="-5" w:firstLine="480" w:firstLineChars="200"/>
        <w:rPr>
          <w:rFonts w:ascii="仿宋_GB2312" w:eastAsia="仿宋_GB2312"/>
          <w:sz w:val="24"/>
          <w:szCs w:val="24"/>
        </w:rPr>
      </w:pPr>
      <w:r>
        <w:rPr>
          <w:rFonts w:hint="eastAsia" w:ascii="仿宋_GB2312" w:eastAsia="仿宋_GB2312"/>
          <w:sz w:val="24"/>
          <w:szCs w:val="24"/>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sz w:val="24"/>
          <w:szCs w:val="24"/>
        </w:rPr>
      </w:pPr>
      <w:r>
        <w:rPr>
          <w:rFonts w:hint="eastAsia" w:ascii="仿宋_GB2312" w:eastAsia="仿宋_GB2312"/>
          <w:snapToGrid w:val="0"/>
          <w:sz w:val="24"/>
          <w:szCs w:val="24"/>
        </w:rPr>
        <w:t>注：本报告各项附件与报告书具同等效力。</w:t>
      </w:r>
    </w:p>
    <w:p>
      <w:pPr>
        <w:spacing w:line="500" w:lineRule="exact"/>
        <w:ind w:right="-10" w:rightChars="-5" w:firstLine="560" w:firstLineChars="200"/>
        <w:rPr>
          <w:szCs w:val="24"/>
        </w:rPr>
      </w:pPr>
      <w:r>
        <w:rPr>
          <w:rFonts w:hint="eastAsia" w:ascii="仿宋_GB2312" w:eastAsia="仿宋_GB2312"/>
          <w:sz w:val="28"/>
          <w:szCs w:val="28"/>
        </w:rPr>
        <w:t>特函告贵方。</w:t>
      </w: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500" w:lineRule="exact"/>
        <w:ind w:firstLine="560" w:firstLineChars="200"/>
        <w:jc w:val="right"/>
        <w:rPr>
          <w:rFonts w:ascii="仿宋_GB2312" w:eastAsia="仿宋_GB2312"/>
          <w:sz w:val="28"/>
          <w:szCs w:val="24"/>
        </w:rPr>
      </w:pPr>
      <w:r>
        <w:rPr>
          <w:rFonts w:hint="eastAsia" w:ascii="仿宋_GB2312" w:eastAsia="仿宋_GB2312"/>
          <w:sz w:val="28"/>
          <w:szCs w:val="24"/>
        </w:rPr>
        <w:t>杭州中立房地产土地评估规划咨询有限公司（盖章）</w:t>
      </w:r>
    </w:p>
    <w:p>
      <w:pPr>
        <w:spacing w:beforeLines="50" w:afterLines="50" w:line="500" w:lineRule="exact"/>
        <w:ind w:firstLine="5740" w:firstLineChars="2050"/>
        <w:rPr>
          <w:rFonts w:ascii="仿宋_GB2312" w:eastAsia="仿宋_GB2312"/>
          <w:sz w:val="28"/>
          <w:szCs w:val="24"/>
        </w:rPr>
      </w:pPr>
      <w:r>
        <w:rPr>
          <w:rFonts w:hint="eastAsia" w:ascii="仿宋_GB2312" w:eastAsia="仿宋_GB2312"/>
          <w:sz w:val="28"/>
          <w:szCs w:val="24"/>
        </w:rPr>
        <w:t xml:space="preserve">法定代表人：     </w:t>
      </w:r>
    </w:p>
    <w:p>
      <w:pPr>
        <w:tabs>
          <w:tab w:val="center" w:pos="4698"/>
        </w:tabs>
        <w:wordWrap w:val="0"/>
        <w:spacing w:line="500" w:lineRule="exact"/>
        <w:jc w:val="right"/>
        <w:rPr>
          <w:rFonts w:ascii="仿宋_GB2312" w:hAnsi="宋体" w:eastAsia="仿宋_GB2312"/>
          <w:b/>
          <w:bCs/>
          <w:kern w:val="44"/>
          <w:sz w:val="36"/>
          <w:szCs w:val="36"/>
        </w:rPr>
      </w:pPr>
      <w:r>
        <w:rPr>
          <w:rFonts w:hint="eastAsia" w:ascii="仿宋_GB2312" w:eastAsia="仿宋_GB2312"/>
          <w:sz w:val="28"/>
          <w:szCs w:val="24"/>
        </w:rPr>
        <w:t>二〇二〇年五月二十五日</w:t>
      </w:r>
    </w:p>
    <w:p>
      <w:pPr>
        <w:autoSpaceDE w:val="0"/>
        <w:autoSpaceDN w:val="0"/>
        <w:adjustRightInd w:val="0"/>
        <w:snapToGrid w:val="0"/>
        <w:spacing w:line="800" w:lineRule="exact"/>
        <w:ind w:firstLine="361" w:firstLineChars="100"/>
        <w:jc w:val="center"/>
        <w:textAlignment w:val="bottom"/>
        <w:rPr>
          <w:rFonts w:ascii="仿宋_GB2312" w:hAnsi="宋体" w:eastAsia="仿宋_GB2312"/>
          <w:b/>
          <w:bCs/>
          <w:kern w:val="44"/>
          <w:sz w:val="36"/>
          <w:szCs w:val="36"/>
        </w:rPr>
      </w:pPr>
    </w:p>
    <w:p>
      <w:pPr>
        <w:autoSpaceDE w:val="0"/>
        <w:autoSpaceDN w:val="0"/>
        <w:adjustRightInd w:val="0"/>
        <w:snapToGrid w:val="0"/>
        <w:spacing w:line="800" w:lineRule="exact"/>
        <w:textAlignment w:val="bottom"/>
        <w:rPr>
          <w:rFonts w:ascii="仿宋_GB2312" w:hAnsi="宋体" w:eastAsia="仿宋_GB2312"/>
          <w:b/>
          <w:bCs/>
          <w:kern w:val="44"/>
          <w:sz w:val="36"/>
          <w:szCs w:val="36"/>
        </w:rPr>
        <w:sectPr>
          <w:footerReference r:id="rId5" w:type="default"/>
          <w:pgSz w:w="11906" w:h="16838"/>
          <w:pgMar w:top="1440" w:right="1797" w:bottom="1440" w:left="1797" w:header="851" w:footer="907" w:gutter="0"/>
          <w:cols w:space="720" w:num="1"/>
          <w:docGrid w:type="lines" w:linePitch="312" w:charSpace="0"/>
        </w:sectPr>
      </w:pPr>
    </w:p>
    <w:p>
      <w:pPr>
        <w:pStyle w:val="6"/>
        <w:tabs>
          <w:tab w:val="right" w:leader="dot" w:pos="8302"/>
        </w:tabs>
        <w:jc w:val="center"/>
        <w:rPr>
          <w:rFonts w:ascii="仿宋_GB2312" w:hAnsi="宋体" w:eastAsia="仿宋_GB2312"/>
          <w:b/>
          <w:bCs/>
          <w:kern w:val="44"/>
          <w:sz w:val="36"/>
          <w:szCs w:val="36"/>
        </w:rPr>
      </w:pPr>
      <w:bookmarkStart w:id="3" w:name="_Toc505262136"/>
      <w:bookmarkStart w:id="4" w:name="_Toc505004931"/>
      <w:bookmarkStart w:id="5" w:name="_Toc507681109"/>
      <w:bookmarkStart w:id="6" w:name="_Toc505330229"/>
      <w:bookmarkStart w:id="7" w:name="_Toc8143"/>
      <w:r>
        <w:rPr>
          <w:rFonts w:hint="eastAsia" w:ascii="仿宋_GB2312" w:hAnsi="宋体" w:eastAsia="仿宋_GB2312"/>
          <w:b/>
          <w:bCs/>
          <w:kern w:val="44"/>
          <w:sz w:val="36"/>
          <w:szCs w:val="36"/>
        </w:rPr>
        <w:t>目  录</w:t>
      </w:r>
      <w:bookmarkEnd w:id="3"/>
      <w:bookmarkEnd w:id="4"/>
      <w:bookmarkEnd w:id="5"/>
      <w:bookmarkEnd w:id="6"/>
      <w:bookmarkEnd w:id="7"/>
    </w:p>
    <w:p>
      <w:pPr>
        <w:pStyle w:val="6"/>
        <w:tabs>
          <w:tab w:val="right" w:leader="dot" w:pos="8312"/>
        </w:tabs>
      </w:pPr>
      <w:r>
        <w:rPr>
          <w:rFonts w:ascii="仿宋_GB2312" w:eastAsia="仿宋_GB2312"/>
          <w:b/>
          <w:color w:val="000000" w:themeColor="text1"/>
          <w:sz w:val="44"/>
          <w:szCs w:val="44"/>
          <w:u w:val="single"/>
        </w:rPr>
        <w:fldChar w:fldCharType="begin"/>
      </w:r>
      <w:r>
        <w:rPr>
          <w:rFonts w:ascii="仿宋_GB2312" w:eastAsia="仿宋_GB2312"/>
          <w:b/>
          <w:color w:val="000000" w:themeColor="text1"/>
          <w:sz w:val="44"/>
          <w:szCs w:val="44"/>
          <w:u w:val="single"/>
        </w:rPr>
        <w:instrText xml:space="preserve"> TOC \o "1-3" \h \z \u </w:instrText>
      </w:r>
      <w:r>
        <w:rPr>
          <w:rFonts w:ascii="仿宋_GB2312" w:eastAsia="仿宋_GB2312"/>
          <w:b/>
          <w:color w:val="000000" w:themeColor="text1"/>
          <w:sz w:val="44"/>
          <w:szCs w:val="44"/>
          <w:u w:val="single"/>
        </w:rPr>
        <w:fldChar w:fldCharType="separate"/>
      </w: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_Toc11884 </w:instrText>
      </w:r>
      <w:r>
        <w:rPr>
          <w:rFonts w:ascii="仿宋_GB2312" w:eastAsia="仿宋_GB2312"/>
          <w:szCs w:val="44"/>
        </w:rPr>
        <w:fldChar w:fldCharType="separate"/>
      </w:r>
      <w:r>
        <w:rPr>
          <w:rFonts w:hint="eastAsia" w:ascii="仿宋_GB2312" w:hAnsi="宋体" w:eastAsia="仿宋_GB2312"/>
          <w:bCs/>
          <w:kern w:val="44"/>
          <w:szCs w:val="36"/>
        </w:rPr>
        <w:t>注册房地产估价师声明</w:t>
      </w:r>
      <w:r>
        <w:tab/>
      </w:r>
      <w:r>
        <w:fldChar w:fldCharType="begin"/>
      </w:r>
      <w:r>
        <w:instrText xml:space="preserve"> PAGEREF _Toc11884 </w:instrText>
      </w:r>
      <w:r>
        <w:fldChar w:fldCharType="separate"/>
      </w:r>
      <w:r>
        <w:t>1</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_Toc16242 </w:instrText>
      </w:r>
      <w:r>
        <w:rPr>
          <w:rFonts w:ascii="仿宋_GB2312" w:eastAsia="仿宋_GB2312"/>
          <w:szCs w:val="44"/>
        </w:rPr>
        <w:fldChar w:fldCharType="separate"/>
      </w:r>
      <w:r>
        <w:rPr>
          <w:rFonts w:hint="eastAsia" w:ascii="仿宋_GB2312" w:hAnsi="宋体" w:eastAsia="仿宋_GB2312"/>
          <w:bCs/>
          <w:kern w:val="44"/>
          <w:szCs w:val="36"/>
        </w:rPr>
        <w:t>估价假设和限制条件</w:t>
      </w:r>
      <w:r>
        <w:tab/>
      </w:r>
      <w:r>
        <w:fldChar w:fldCharType="begin"/>
      </w:r>
      <w:r>
        <w:instrText xml:space="preserve"> PAGEREF _Toc16242 </w:instrText>
      </w:r>
      <w:r>
        <w:fldChar w:fldCharType="separate"/>
      </w:r>
      <w:r>
        <w:t>2</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_Toc3841 </w:instrText>
      </w:r>
      <w:r>
        <w:rPr>
          <w:rFonts w:ascii="仿宋_GB2312" w:eastAsia="仿宋_GB2312"/>
          <w:szCs w:val="44"/>
        </w:rPr>
        <w:fldChar w:fldCharType="separate"/>
      </w:r>
      <w:r>
        <w:rPr>
          <w:rFonts w:hint="eastAsia" w:ascii="仿宋_GB2312" w:hAnsi="宋体" w:eastAsia="仿宋_GB2312"/>
          <w:bCs/>
          <w:kern w:val="44"/>
          <w:szCs w:val="36"/>
        </w:rPr>
        <w:t>房地产估价结果报告</w:t>
      </w:r>
      <w:r>
        <w:tab/>
      </w:r>
      <w:r>
        <w:fldChar w:fldCharType="begin"/>
      </w:r>
      <w:r>
        <w:instrText xml:space="preserve"> PAGEREF _Toc3841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_Toc2272 </w:instrText>
      </w:r>
      <w:r>
        <w:rPr>
          <w:rFonts w:ascii="仿宋_GB2312" w:eastAsia="仿宋_GB2312"/>
          <w:szCs w:val="44"/>
        </w:rPr>
        <w:fldChar w:fldCharType="separate"/>
      </w:r>
      <w:r>
        <w:rPr>
          <w:rFonts w:hint="eastAsia" w:ascii="仿宋_GB2312" w:hAnsi="宋体" w:eastAsia="仿宋_GB2312"/>
          <w:kern w:val="0"/>
          <w:szCs w:val="32"/>
        </w:rPr>
        <w:t>一、估价委托人</w:t>
      </w:r>
      <w:r>
        <w:tab/>
      </w:r>
      <w:r>
        <w:fldChar w:fldCharType="begin"/>
      </w:r>
      <w:r>
        <w:instrText xml:space="preserve"> PAGEREF _Toc2272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_Toc20559 </w:instrText>
      </w:r>
      <w:r>
        <w:rPr>
          <w:rFonts w:ascii="仿宋_GB2312" w:eastAsia="仿宋_GB2312"/>
          <w:szCs w:val="44"/>
        </w:rPr>
        <w:fldChar w:fldCharType="separate"/>
      </w:r>
      <w:r>
        <w:rPr>
          <w:rFonts w:hint="eastAsia" w:ascii="仿宋_GB2312" w:hAnsi="宋体" w:eastAsia="仿宋_GB2312"/>
          <w:kern w:val="0"/>
          <w:szCs w:val="32"/>
        </w:rPr>
        <w:t>二、估价机构</w:t>
      </w:r>
      <w:r>
        <w:tab/>
      </w:r>
      <w:r>
        <w:fldChar w:fldCharType="begin"/>
      </w:r>
      <w:r>
        <w:instrText xml:space="preserve"> PAGEREF _Toc20559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_Toc20173 </w:instrText>
      </w:r>
      <w:r>
        <w:rPr>
          <w:rFonts w:ascii="仿宋_GB2312" w:eastAsia="仿宋_GB2312"/>
          <w:szCs w:val="44"/>
        </w:rPr>
        <w:fldChar w:fldCharType="separate"/>
      </w:r>
      <w:r>
        <w:rPr>
          <w:rFonts w:hint="eastAsia" w:ascii="仿宋_GB2312" w:eastAsia="仿宋_GB2312"/>
          <w:szCs w:val="28"/>
        </w:rPr>
        <w:t>三、估价目的</w:t>
      </w:r>
      <w:r>
        <w:tab/>
      </w:r>
      <w:r>
        <w:fldChar w:fldCharType="begin"/>
      </w:r>
      <w:r>
        <w:instrText xml:space="preserve"> PAGEREF _Toc20173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_Toc14626 </w:instrText>
      </w:r>
      <w:r>
        <w:rPr>
          <w:rFonts w:ascii="仿宋_GB2312" w:eastAsia="仿宋_GB2312"/>
          <w:szCs w:val="44"/>
        </w:rPr>
        <w:fldChar w:fldCharType="separate"/>
      </w:r>
      <w:r>
        <w:rPr>
          <w:rFonts w:hint="eastAsia" w:ascii="仿宋_GB2312" w:hAnsi="宋体" w:eastAsia="仿宋_GB2312"/>
          <w:kern w:val="0"/>
          <w:szCs w:val="32"/>
        </w:rPr>
        <w:t>四、估价对象</w:t>
      </w:r>
      <w:r>
        <w:tab/>
      </w:r>
      <w:r>
        <w:fldChar w:fldCharType="begin"/>
      </w:r>
      <w:r>
        <w:instrText xml:space="preserve"> PAGEREF _Toc14626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_Toc23591 </w:instrText>
      </w:r>
      <w:r>
        <w:rPr>
          <w:rFonts w:ascii="仿宋_GB2312" w:eastAsia="仿宋_GB2312"/>
          <w:szCs w:val="44"/>
        </w:rPr>
        <w:fldChar w:fldCharType="separate"/>
      </w:r>
      <w:r>
        <w:rPr>
          <w:rFonts w:hint="eastAsia" w:ascii="仿宋_GB2312" w:hAnsi="宋体" w:eastAsia="仿宋_GB2312"/>
          <w:kern w:val="0"/>
          <w:szCs w:val="32"/>
        </w:rPr>
        <w:t>六、价值类型</w:t>
      </w:r>
      <w:r>
        <w:tab/>
      </w:r>
      <w:r>
        <w:fldChar w:fldCharType="begin"/>
      </w:r>
      <w:r>
        <w:instrText xml:space="preserve"> PAGEREF _Toc23591 </w:instrText>
      </w:r>
      <w:r>
        <w:fldChar w:fldCharType="separate"/>
      </w:r>
      <w:r>
        <w:t>9</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_Toc21175 </w:instrText>
      </w:r>
      <w:r>
        <w:rPr>
          <w:rFonts w:ascii="仿宋_GB2312" w:eastAsia="仿宋_GB2312"/>
          <w:szCs w:val="44"/>
        </w:rPr>
        <w:fldChar w:fldCharType="separate"/>
      </w:r>
      <w:r>
        <w:rPr>
          <w:rFonts w:hint="eastAsia" w:ascii="仿宋_GB2312" w:hAnsi="宋体" w:eastAsia="仿宋_GB2312"/>
          <w:kern w:val="0"/>
          <w:szCs w:val="32"/>
        </w:rPr>
        <w:t>七、估价原则</w:t>
      </w:r>
      <w:r>
        <w:tab/>
      </w:r>
      <w:r>
        <w:fldChar w:fldCharType="begin"/>
      </w:r>
      <w:r>
        <w:instrText xml:space="preserve"> PAGEREF _Toc21175 </w:instrText>
      </w:r>
      <w:r>
        <w:fldChar w:fldCharType="separate"/>
      </w:r>
      <w:r>
        <w:t>9</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_Toc32538 </w:instrText>
      </w:r>
      <w:r>
        <w:rPr>
          <w:rFonts w:ascii="仿宋_GB2312" w:eastAsia="仿宋_GB2312"/>
          <w:szCs w:val="44"/>
        </w:rPr>
        <w:fldChar w:fldCharType="separate"/>
      </w:r>
      <w:r>
        <w:rPr>
          <w:rFonts w:hint="eastAsia" w:ascii="仿宋_GB2312" w:hAnsi="宋体" w:eastAsia="仿宋_GB2312"/>
          <w:kern w:val="0"/>
          <w:szCs w:val="32"/>
        </w:rPr>
        <w:t>八、估价依据</w:t>
      </w:r>
      <w:r>
        <w:tab/>
      </w:r>
      <w:r>
        <w:fldChar w:fldCharType="begin"/>
      </w:r>
      <w:r>
        <w:instrText xml:space="preserve"> PAGEREF _Toc32538 </w:instrText>
      </w:r>
      <w:r>
        <w:fldChar w:fldCharType="separate"/>
      </w:r>
      <w:r>
        <w:t>10</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_Toc31976 </w:instrText>
      </w:r>
      <w:r>
        <w:rPr>
          <w:rFonts w:ascii="仿宋_GB2312" w:eastAsia="仿宋_GB2312"/>
          <w:szCs w:val="44"/>
        </w:rPr>
        <w:fldChar w:fldCharType="separate"/>
      </w:r>
      <w:r>
        <w:rPr>
          <w:rFonts w:hint="eastAsia" w:ascii="仿宋_GB2312" w:hAnsi="宋体" w:eastAsia="仿宋_GB2312"/>
          <w:kern w:val="0"/>
          <w:szCs w:val="32"/>
        </w:rPr>
        <w:t>九、估价方法</w:t>
      </w:r>
      <w:r>
        <w:tab/>
      </w:r>
      <w:r>
        <w:fldChar w:fldCharType="begin"/>
      </w:r>
      <w:r>
        <w:instrText xml:space="preserve"> PAGEREF _Toc31976 </w:instrText>
      </w:r>
      <w:r>
        <w:fldChar w:fldCharType="separate"/>
      </w:r>
      <w:r>
        <w:t>12</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_Toc8459 </w:instrText>
      </w:r>
      <w:r>
        <w:rPr>
          <w:rFonts w:ascii="仿宋_GB2312" w:eastAsia="仿宋_GB2312"/>
          <w:szCs w:val="44"/>
        </w:rPr>
        <w:fldChar w:fldCharType="separate"/>
      </w:r>
      <w:r>
        <w:rPr>
          <w:rFonts w:hint="eastAsia" w:ascii="仿宋_GB2312" w:eastAsia="仿宋_GB2312" w:cs="仿宋_GB2312"/>
          <w:szCs w:val="28"/>
        </w:rPr>
        <w:t>十</w:t>
      </w:r>
      <w:r>
        <w:rPr>
          <w:rFonts w:hint="eastAsia" w:ascii="仿宋_GB2312" w:eastAsia="仿宋_GB2312"/>
          <w:spacing w:val="4"/>
          <w:szCs w:val="20"/>
        </w:rPr>
        <w:t>、估价结果</w:t>
      </w:r>
      <w:r>
        <w:tab/>
      </w:r>
      <w:r>
        <w:fldChar w:fldCharType="begin"/>
      </w:r>
      <w:r>
        <w:instrText xml:space="preserve"> PAGEREF _Toc8459 </w:instrText>
      </w:r>
      <w:r>
        <w:fldChar w:fldCharType="separate"/>
      </w:r>
      <w:r>
        <w:t>13</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_Toc10414 </w:instrText>
      </w:r>
      <w:r>
        <w:rPr>
          <w:rFonts w:ascii="仿宋_GB2312" w:eastAsia="仿宋_GB2312"/>
          <w:szCs w:val="44"/>
        </w:rPr>
        <w:fldChar w:fldCharType="separate"/>
      </w:r>
      <w:r>
        <w:rPr>
          <w:rFonts w:hint="eastAsia" w:ascii="仿宋_GB2312" w:eastAsia="仿宋_GB2312" w:cs="仿宋_GB2312"/>
          <w:szCs w:val="28"/>
        </w:rPr>
        <w:t>十一、注册房地产估价师</w:t>
      </w:r>
      <w:r>
        <w:tab/>
      </w:r>
      <w:r>
        <w:fldChar w:fldCharType="begin"/>
      </w:r>
      <w:r>
        <w:instrText xml:space="preserve"> PAGEREF _Toc10414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_Toc3982 </w:instrText>
      </w:r>
      <w:r>
        <w:rPr>
          <w:rFonts w:ascii="仿宋_GB2312" w:eastAsia="仿宋_GB2312"/>
          <w:szCs w:val="44"/>
        </w:rPr>
        <w:fldChar w:fldCharType="separate"/>
      </w:r>
      <w:r>
        <w:rPr>
          <w:rFonts w:hint="eastAsia" w:ascii="仿宋_GB2312" w:eastAsia="仿宋_GB2312" w:cs="仿宋_GB2312"/>
          <w:szCs w:val="28"/>
        </w:rPr>
        <w:t>十二、实地查勘期</w:t>
      </w:r>
      <w:r>
        <w:tab/>
      </w:r>
      <w:r>
        <w:fldChar w:fldCharType="begin"/>
      </w:r>
      <w:r>
        <w:instrText xml:space="preserve"> PAGEREF _Toc3982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_Toc5066 </w:instrText>
      </w:r>
      <w:r>
        <w:rPr>
          <w:rFonts w:ascii="仿宋_GB2312" w:eastAsia="仿宋_GB2312"/>
          <w:szCs w:val="44"/>
        </w:rPr>
        <w:fldChar w:fldCharType="separate"/>
      </w:r>
      <w:r>
        <w:rPr>
          <w:rFonts w:hint="eastAsia" w:ascii="仿宋_GB2312" w:eastAsia="仿宋_GB2312" w:cs="仿宋_GB2312"/>
          <w:szCs w:val="28"/>
        </w:rPr>
        <w:t>十三、估价作业日期</w:t>
      </w:r>
      <w:r>
        <w:tab/>
      </w:r>
      <w:r>
        <w:fldChar w:fldCharType="begin"/>
      </w:r>
      <w:r>
        <w:instrText xml:space="preserve"> PAGEREF _Toc5066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_Toc1523 </w:instrText>
      </w:r>
      <w:r>
        <w:rPr>
          <w:rFonts w:ascii="仿宋_GB2312" w:eastAsia="仿宋_GB2312"/>
          <w:szCs w:val="44"/>
        </w:rPr>
        <w:fldChar w:fldCharType="separate"/>
      </w:r>
      <w:r>
        <w:rPr>
          <w:rFonts w:hint="eastAsia" w:ascii="仿宋_GB2312" w:eastAsia="仿宋_GB2312" w:cs="仿宋_GB2312"/>
          <w:szCs w:val="28"/>
        </w:rPr>
        <w:t>十四、估价报告应用的有效期</w:t>
      </w:r>
      <w:r>
        <w:tab/>
      </w:r>
      <w:r>
        <w:fldChar w:fldCharType="begin"/>
      </w:r>
      <w:r>
        <w:instrText xml:space="preserve"> PAGEREF _Toc1523 </w:instrText>
      </w:r>
      <w:r>
        <w:fldChar w:fldCharType="separate"/>
      </w:r>
      <w:r>
        <w:t>14</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_Toc30351 </w:instrText>
      </w:r>
      <w:r>
        <w:rPr>
          <w:rFonts w:ascii="仿宋_GB2312" w:eastAsia="仿宋_GB2312"/>
          <w:szCs w:val="44"/>
        </w:rPr>
        <w:fldChar w:fldCharType="separate"/>
      </w:r>
      <w:r>
        <w:rPr>
          <w:rFonts w:hint="eastAsia" w:ascii="仿宋_GB2312" w:eastAsia="仿宋_GB2312"/>
          <w:kern w:val="0"/>
          <w:szCs w:val="36"/>
        </w:rPr>
        <w:t>附   件</w:t>
      </w:r>
      <w:r>
        <w:tab/>
      </w:r>
      <w:r>
        <w:fldChar w:fldCharType="begin"/>
      </w:r>
      <w:r>
        <w:instrText xml:space="preserve"> PAGEREF _Toc30351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_Toc17506 </w:instrText>
      </w:r>
      <w:r>
        <w:rPr>
          <w:rFonts w:ascii="仿宋_GB2312" w:eastAsia="仿宋_GB2312"/>
          <w:szCs w:val="44"/>
        </w:rPr>
        <w:fldChar w:fldCharType="separate"/>
      </w:r>
      <w:r>
        <w:rPr>
          <w:rFonts w:hint="eastAsia" w:ascii="仿宋_GB2312" w:eastAsia="仿宋_GB2312"/>
          <w:bCs/>
          <w:szCs w:val="28"/>
        </w:rPr>
        <w:t>附件一、 估价对象位置示意图</w:t>
      </w:r>
      <w:r>
        <w:tab/>
      </w:r>
      <w:r>
        <w:fldChar w:fldCharType="begin"/>
      </w:r>
      <w:r>
        <w:instrText xml:space="preserve"> PAGEREF _Toc17506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_Toc23845 </w:instrText>
      </w:r>
      <w:r>
        <w:rPr>
          <w:rFonts w:ascii="仿宋_GB2312" w:eastAsia="仿宋_GB2312"/>
          <w:szCs w:val="44"/>
        </w:rPr>
        <w:fldChar w:fldCharType="separate"/>
      </w:r>
      <w:r>
        <w:rPr>
          <w:rFonts w:hint="eastAsia" w:ascii="仿宋_GB2312" w:eastAsia="仿宋_GB2312"/>
          <w:bCs/>
          <w:szCs w:val="28"/>
        </w:rPr>
        <w:t>附件二、 估价对象现场勘查照片</w:t>
      </w:r>
      <w:r>
        <w:tab/>
      </w:r>
      <w:r>
        <w:fldChar w:fldCharType="begin"/>
      </w:r>
      <w:r>
        <w:instrText xml:space="preserve"> PAGEREF _Toc23845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_Toc10392 </w:instrText>
      </w:r>
      <w:r>
        <w:rPr>
          <w:rFonts w:ascii="仿宋_GB2312" w:eastAsia="仿宋_GB2312"/>
          <w:szCs w:val="44"/>
        </w:rPr>
        <w:fldChar w:fldCharType="separate"/>
      </w:r>
      <w:r>
        <w:rPr>
          <w:rFonts w:hint="eastAsia" w:ascii="仿宋_GB2312" w:eastAsia="仿宋_GB2312"/>
          <w:bCs/>
          <w:szCs w:val="28"/>
        </w:rPr>
        <w:t>附件三、《杭州市拱墅区人民法院资产评估委托书》复印件</w:t>
      </w:r>
      <w:r>
        <w:tab/>
      </w:r>
      <w:r>
        <w:fldChar w:fldCharType="begin"/>
      </w:r>
      <w:r>
        <w:instrText xml:space="preserve"> PAGEREF _Toc10392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_Toc28605 </w:instrText>
      </w:r>
      <w:r>
        <w:rPr>
          <w:rFonts w:ascii="仿宋_GB2312" w:eastAsia="仿宋_GB2312"/>
          <w:szCs w:val="44"/>
        </w:rPr>
        <w:fldChar w:fldCharType="separate"/>
      </w:r>
      <w:r>
        <w:rPr>
          <w:rFonts w:hint="eastAsia" w:ascii="仿宋_GB2312" w:eastAsia="仿宋_GB2312"/>
          <w:szCs w:val="28"/>
        </w:rPr>
        <w:t>附件四、《桐庐县不动产权属信息查询记录》复印件</w:t>
      </w:r>
      <w:r>
        <w:tab/>
      </w:r>
      <w:r>
        <w:fldChar w:fldCharType="begin"/>
      </w:r>
      <w:r>
        <w:instrText xml:space="preserve"> PAGEREF _Toc28605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_Toc7617 </w:instrText>
      </w:r>
      <w:r>
        <w:rPr>
          <w:rFonts w:ascii="仿宋_GB2312" w:eastAsia="仿宋_GB2312"/>
          <w:szCs w:val="44"/>
        </w:rPr>
        <w:fldChar w:fldCharType="separate"/>
      </w:r>
      <w:r>
        <w:rPr>
          <w:rFonts w:hint="eastAsia" w:ascii="仿宋_GB2312" w:eastAsia="仿宋_GB2312"/>
          <w:bCs/>
          <w:szCs w:val="28"/>
        </w:rPr>
        <w:t>附件五、 估价机构营业执照复印件</w:t>
      </w:r>
      <w:r>
        <w:tab/>
      </w:r>
      <w:r>
        <w:fldChar w:fldCharType="begin"/>
      </w:r>
      <w:r>
        <w:instrText xml:space="preserve"> PAGEREF _Toc7617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_Toc18830 </w:instrText>
      </w:r>
      <w:r>
        <w:rPr>
          <w:rFonts w:ascii="仿宋_GB2312" w:eastAsia="仿宋_GB2312"/>
          <w:szCs w:val="44"/>
        </w:rPr>
        <w:fldChar w:fldCharType="separate"/>
      </w:r>
      <w:r>
        <w:rPr>
          <w:rFonts w:hint="eastAsia" w:ascii="仿宋_GB2312" w:eastAsia="仿宋_GB2312"/>
          <w:bCs/>
          <w:szCs w:val="28"/>
        </w:rPr>
        <w:t>附件六、 估价机构资质证书复印件</w:t>
      </w:r>
      <w:r>
        <w:tab/>
      </w:r>
      <w:r>
        <w:fldChar w:fldCharType="begin"/>
      </w:r>
      <w:r>
        <w:instrText xml:space="preserve"> PAGEREF _Toc18830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_Toc9228 </w:instrText>
      </w:r>
      <w:r>
        <w:rPr>
          <w:rFonts w:ascii="仿宋_GB2312" w:eastAsia="仿宋_GB2312"/>
          <w:szCs w:val="44"/>
        </w:rPr>
        <w:fldChar w:fldCharType="separate"/>
      </w:r>
      <w:r>
        <w:rPr>
          <w:rFonts w:hint="eastAsia" w:ascii="仿宋_GB2312" w:eastAsia="仿宋_GB2312"/>
          <w:bCs/>
          <w:szCs w:val="28"/>
        </w:rPr>
        <w:t>附件七、 注册房地产估价师注册证书复印件</w:t>
      </w:r>
      <w:r>
        <w:tab/>
      </w:r>
      <w:r>
        <w:fldChar w:fldCharType="begin"/>
      </w:r>
      <w:r>
        <w:instrText xml:space="preserve"> PAGEREF _Toc9228 </w:instrText>
      </w:r>
      <w:r>
        <w:fldChar w:fldCharType="separate"/>
      </w:r>
      <w:r>
        <w:t>15</w:t>
      </w:r>
      <w:r>
        <w:fldChar w:fldCharType="end"/>
      </w:r>
      <w:r>
        <w:rPr>
          <w:rFonts w:ascii="仿宋_GB2312" w:eastAsia="仿宋_GB2312"/>
          <w:color w:val="000000" w:themeColor="text1"/>
          <w:szCs w:val="44"/>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000000" w:themeColor="text1"/>
          <w:szCs w:val="28"/>
          <w:u w:val="single"/>
        </w:rPr>
      </w:pPr>
      <w:r>
        <w:rPr>
          <w:rFonts w:ascii="仿宋_GB2312" w:eastAsia="仿宋_GB2312"/>
          <w:color w:val="000000" w:themeColor="text1"/>
          <w:szCs w:val="44"/>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sz w:val="32"/>
          <w:szCs w:val="24"/>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bookmarkStart w:id="8" w:name="_Toc288131925"/>
      <w:bookmarkStart w:id="9" w:name="_Toc7060"/>
      <w:bookmarkStart w:id="10" w:name="_Toc205170831"/>
      <w:bookmarkStart w:id="11" w:name="_Toc293325688"/>
      <w:bookmarkStart w:id="12" w:name="_Toc293374875"/>
      <w:bookmarkStart w:id="13" w:name="_Toc11884"/>
      <w:r>
        <w:rPr>
          <w:rFonts w:hint="eastAsia" w:ascii="仿宋_GB2312" w:hAnsi="宋体" w:eastAsia="仿宋_GB2312"/>
          <w:b/>
          <w:bCs/>
          <w:kern w:val="44"/>
          <w:sz w:val="36"/>
          <w:szCs w:val="36"/>
        </w:rPr>
        <w:t>注册房地产估价师声明</w:t>
      </w:r>
      <w:bookmarkEnd w:id="8"/>
      <w:bookmarkEnd w:id="9"/>
      <w:bookmarkEnd w:id="10"/>
      <w:bookmarkEnd w:id="11"/>
      <w:bookmarkEnd w:id="12"/>
      <w:bookmarkEnd w:id="13"/>
    </w:p>
    <w:p>
      <w:pPr>
        <w:spacing w:line="480" w:lineRule="exact"/>
        <w:ind w:firstLine="560" w:firstLineChars="200"/>
        <w:rPr>
          <w:rFonts w:ascii="仿宋_GB2312" w:eastAsia="仿宋_GB2312"/>
          <w:sz w:val="28"/>
          <w:szCs w:val="28"/>
        </w:rPr>
      </w:pPr>
      <w:bookmarkStart w:id="14" w:name="_Toc288131926"/>
      <w:bookmarkStart w:id="15" w:name="_Toc205170832"/>
      <w:bookmarkStart w:id="16" w:name="_Toc63759838"/>
      <w:bookmarkStart w:id="17" w:name="_Toc16457"/>
      <w:bookmarkStart w:id="18" w:name="_Toc293325689"/>
      <w:bookmarkStart w:id="19" w:name="_Toc63759914"/>
      <w:bookmarkStart w:id="20" w:name="_Toc293374876"/>
      <w:r>
        <w:rPr>
          <w:rFonts w:hint="eastAsia" w:ascii="仿宋_GB2312" w:eastAsia="仿宋_GB2312"/>
          <w:sz w:val="28"/>
          <w:szCs w:val="28"/>
        </w:rPr>
        <w:t>我们郑重声明：</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1、我们在本报告中陈述的事实是真实的和准确的，没有虚假记载、误导性陈述和重大遗漏。</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4、注册房地产估价师对估价报告中的估价对象、估价委托人及估价利害关系人没有偏见。</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5、我们依照中华人民共和国国家标准《房地产估价规范》、《房地产估价基本术语标准》等相关房地产估价专项标准进行分析，形成意见和结论，撰写本估价报告。</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6、我公司张晓冬、</w:t>
      </w:r>
      <w:r>
        <w:rPr>
          <w:rFonts w:hint="eastAsia" w:ascii="仿宋_GB2312" w:eastAsia="仿宋_GB2312"/>
          <w:sz w:val="28"/>
          <w:szCs w:val="28"/>
          <w:lang w:eastAsia="zh-CN"/>
        </w:rPr>
        <w:t>陈如腾</w:t>
      </w:r>
      <w:r>
        <w:rPr>
          <w:rFonts w:hint="eastAsia" w:ascii="仿宋_GB2312" w:eastAsia="仿宋_GB2312"/>
          <w:sz w:val="28"/>
          <w:szCs w:val="28"/>
        </w:rPr>
        <w:t>于2020年5月20日对本估价报告中的估价对象进行了实地勘察，并对勘察的客观性、真实性、公证性承担负责，但我们对估价对象的现场勘察仅限于其外观和使用状况，对被遮盖、未暴露及难以接触到的部分，依据委托方提供的资料进行评估。除非另有协议，我们不承担对估价对象建筑结构质量进行调查的责任，也不承担其他被遮盖未暴露及难以接触到的部分进行查勘的责任。报告的使用人对房屋质量问题存疑，建议委托专业机构另行鉴定。</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7、没有人对本估价报告提供重要专业帮助。</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p>
    <w:p>
      <w:pPr>
        <w:keepNext/>
        <w:autoSpaceDE w:val="0"/>
        <w:autoSpaceDN w:val="0"/>
        <w:adjustRightInd w:val="0"/>
        <w:spacing w:line="312" w:lineRule="atLeast"/>
        <w:ind w:right="-113"/>
        <w:textAlignment w:val="bottom"/>
        <w:outlineLvl w:val="0"/>
        <w:rPr>
          <w:rFonts w:ascii="仿宋_GB2312" w:hAnsi="宋体" w:eastAsia="仿宋_GB2312"/>
          <w:b/>
          <w:bCs/>
          <w:kern w:val="44"/>
          <w:sz w:val="36"/>
          <w:szCs w:val="36"/>
        </w:rPr>
      </w:pPr>
    </w:p>
    <w:p>
      <w:pPr>
        <w:rPr>
          <w:rFonts w:ascii="仿宋_GB2312" w:hAnsi="宋体" w:eastAsia="仿宋_GB2312"/>
          <w:b/>
          <w:bCs/>
          <w:kern w:val="44"/>
          <w:sz w:val="36"/>
          <w:szCs w:val="36"/>
        </w:rPr>
      </w:pPr>
    </w:p>
    <w:p>
      <w:pPr>
        <w:rPr>
          <w:rFonts w:ascii="仿宋_GB2312" w:hAnsi="宋体" w:eastAsia="仿宋_GB2312"/>
          <w:b/>
          <w:bCs/>
          <w:kern w:val="44"/>
          <w:sz w:val="36"/>
          <w:szCs w:val="36"/>
        </w:rPr>
      </w:pPr>
    </w:p>
    <w:p>
      <w:pPr>
        <w:keepNext/>
        <w:autoSpaceDE w:val="0"/>
        <w:autoSpaceDN w:val="0"/>
        <w:adjustRightInd w:val="0"/>
        <w:spacing w:line="470" w:lineRule="exact"/>
        <w:ind w:right="-113"/>
        <w:jc w:val="center"/>
        <w:textAlignment w:val="bottom"/>
        <w:outlineLvl w:val="0"/>
        <w:rPr>
          <w:rFonts w:ascii="仿宋_GB2312" w:hAnsi="宋体" w:eastAsia="仿宋_GB2312"/>
          <w:b/>
          <w:bCs/>
          <w:kern w:val="44"/>
          <w:sz w:val="36"/>
          <w:szCs w:val="36"/>
        </w:rPr>
      </w:pPr>
      <w:bookmarkStart w:id="21" w:name="_Toc16242"/>
      <w:r>
        <w:rPr>
          <w:rFonts w:hint="eastAsia" w:ascii="仿宋_GB2312" w:hAnsi="宋体" w:eastAsia="仿宋_GB2312"/>
          <w:b/>
          <w:bCs/>
          <w:kern w:val="44"/>
          <w:sz w:val="36"/>
          <w:szCs w:val="36"/>
        </w:rPr>
        <w:t>估价假设和限制条件</w:t>
      </w:r>
      <w:bookmarkEnd w:id="14"/>
      <w:bookmarkEnd w:id="15"/>
      <w:bookmarkEnd w:id="16"/>
      <w:bookmarkEnd w:id="17"/>
      <w:bookmarkEnd w:id="18"/>
      <w:bookmarkEnd w:id="19"/>
      <w:bookmarkEnd w:id="20"/>
      <w:bookmarkEnd w:id="21"/>
    </w:p>
    <w:p>
      <w:pPr>
        <w:spacing w:line="500" w:lineRule="exact"/>
        <w:ind w:firstLine="546" w:firstLineChars="195"/>
        <w:rPr>
          <w:rFonts w:ascii="仿宋_GB2312" w:hAnsi="宋体" w:eastAsia="仿宋_GB2312"/>
          <w:b/>
          <w:sz w:val="28"/>
          <w:szCs w:val="28"/>
        </w:rPr>
      </w:pPr>
      <w:r>
        <w:rPr>
          <w:rFonts w:hint="eastAsia" w:ascii="仿宋_GB2312" w:hAnsi="宋体" w:eastAsia="仿宋_GB2312"/>
          <w:b/>
          <w:sz w:val="28"/>
          <w:szCs w:val="28"/>
        </w:rPr>
        <w:t>一、估价的一般性假设</w:t>
      </w:r>
    </w:p>
    <w:p>
      <w:pPr>
        <w:spacing w:line="5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本报告以</w:t>
      </w:r>
      <w:r>
        <w:rPr>
          <w:rFonts w:ascii="仿宋_GB2312" w:eastAsia="仿宋_GB2312"/>
          <w:sz w:val="28"/>
          <w:szCs w:val="28"/>
        </w:rPr>
        <w:t>《中华人民共和国城市房地产管理法》和《中华人民共和国土地管理法》等国家现行的各项房地产</w:t>
      </w:r>
      <w:r>
        <w:rPr>
          <w:rFonts w:hint="eastAsia" w:ascii="仿宋_GB2312" w:eastAsia="仿宋_GB2312"/>
          <w:sz w:val="28"/>
          <w:szCs w:val="28"/>
        </w:rPr>
        <w:t>法律、</w:t>
      </w:r>
      <w:r>
        <w:rPr>
          <w:rFonts w:ascii="仿宋_GB2312" w:eastAsia="仿宋_GB2312"/>
          <w:sz w:val="28"/>
          <w:szCs w:val="28"/>
        </w:rPr>
        <w:t>法规</w:t>
      </w:r>
      <w:r>
        <w:rPr>
          <w:rFonts w:hint="eastAsia" w:ascii="仿宋_GB2312" w:eastAsia="仿宋_GB2312"/>
          <w:sz w:val="28"/>
          <w:szCs w:val="28"/>
        </w:rPr>
        <w:t>及政策</w:t>
      </w:r>
      <w:r>
        <w:rPr>
          <w:rFonts w:ascii="仿宋_GB2312" w:eastAsia="仿宋_GB2312"/>
          <w:sz w:val="28"/>
          <w:szCs w:val="28"/>
        </w:rPr>
        <w:t>在价值时点后的相当一段时间内不进行重大修改</w:t>
      </w:r>
      <w:r>
        <w:rPr>
          <w:rFonts w:hint="eastAsia" w:ascii="仿宋_GB2312" w:eastAsia="仿宋_GB2312"/>
          <w:sz w:val="28"/>
          <w:szCs w:val="28"/>
        </w:rPr>
        <w:t>为前提。</w:t>
      </w:r>
    </w:p>
    <w:p>
      <w:pPr>
        <w:spacing w:line="500" w:lineRule="exact"/>
        <w:ind w:firstLine="560" w:firstLineChars="200"/>
        <w:rPr>
          <w:rFonts w:ascii="仿宋_GB2312" w:eastAsia="仿宋_GB2312"/>
          <w:sz w:val="28"/>
          <w:szCs w:val="28"/>
        </w:rPr>
      </w:pPr>
      <w:r>
        <w:rPr>
          <w:rFonts w:hint="eastAsia" w:ascii="仿宋_GB2312" w:eastAsia="仿宋_GB2312" w:cs="仿宋_GB2312"/>
          <w:sz w:val="28"/>
          <w:szCs w:val="28"/>
        </w:rPr>
        <w:t>2、</w:t>
      </w:r>
      <w:r>
        <w:rPr>
          <w:rFonts w:hint="eastAsia" w:ascii="仿宋_GB2312" w:eastAsia="仿宋_GB2312"/>
          <w:sz w:val="28"/>
          <w:szCs w:val="28"/>
        </w:rPr>
        <w:t>注册房地产估价师对估价所依据的估价对象的权属、面积、用途等资料进行了检查，且建筑面积经实地目测与权属证书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sz w:val="28"/>
          <w:szCs w:val="28"/>
        </w:rPr>
      </w:pPr>
      <w:r>
        <w:rPr>
          <w:rFonts w:hint="eastAsia" w:ascii="仿宋_GB2312" w:eastAsia="仿宋_GB2312"/>
          <w:sz w:val="28"/>
          <w:szCs w:val="28"/>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spacing w:val="4"/>
          <w:sz w:val="28"/>
          <w:szCs w:val="24"/>
        </w:rPr>
        <w:t>对被遮盖、未暴露及难以接触到的部分，依据委托方提供的资料进行评</w:t>
      </w:r>
      <w:r>
        <w:rPr>
          <w:rFonts w:hint="eastAsia" w:ascii="仿宋_GB2312" w:eastAsia="仿宋_GB2312"/>
          <w:sz w:val="28"/>
          <w:szCs w:val="28"/>
        </w:rPr>
        <w:t>估。因此在无理由怀疑估价对象存在安全隐患且无相应的专业机构进行鉴定、检测的情况下，假设估价对象是安全的。</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4、估价对象</w:t>
      </w:r>
      <w:r>
        <w:rPr>
          <w:rFonts w:hint="eastAsia" w:ascii="仿宋_GB2312" w:hAnsi="宋体" w:eastAsia="仿宋_GB2312"/>
          <w:sz w:val="28"/>
          <w:szCs w:val="28"/>
        </w:rPr>
        <w:t>以假定</w:t>
      </w:r>
      <w:r>
        <w:rPr>
          <w:rFonts w:hint="eastAsia" w:ascii="仿宋_GB2312" w:eastAsia="仿宋_GB2312"/>
          <w:spacing w:val="4"/>
          <w:sz w:val="28"/>
          <w:szCs w:val="24"/>
        </w:rPr>
        <w:t>在价值时点的房地产市场为公开、平等、自愿的交易市场</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5、估价对象在合法前提下，按其现状用途使用能够产生最高最佳效益，并在未来得以持续。</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6、本估价报告中的估价结果基于估价对象完整的物质实体状况和权益状况</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40"/>
        <w:rPr>
          <w:rFonts w:ascii="仿宋_GB2312" w:eastAsia="仿宋_GB2312"/>
          <w:spacing w:val="4"/>
          <w:sz w:val="28"/>
          <w:szCs w:val="24"/>
        </w:rPr>
      </w:pPr>
      <w:r>
        <w:rPr>
          <w:rFonts w:ascii="仿宋_GB2312" w:eastAsia="仿宋_GB2312"/>
          <w:spacing w:val="4"/>
          <w:sz w:val="28"/>
          <w:szCs w:val="24"/>
        </w:rPr>
        <w:t>7</w:t>
      </w:r>
      <w:r>
        <w:rPr>
          <w:rFonts w:hint="eastAsia" w:ascii="仿宋_GB2312" w:eastAsia="仿宋_GB2312"/>
          <w:spacing w:val="4"/>
          <w:sz w:val="28"/>
          <w:szCs w:val="24"/>
        </w:rPr>
        <w:t>、</w:t>
      </w:r>
      <w:r>
        <w:rPr>
          <w:rFonts w:hint="eastAsia" w:eastAsia="仿宋_GB2312"/>
          <w:sz w:val="28"/>
          <w:szCs w:val="28"/>
        </w:rPr>
        <w:t>本报告以在估价报告的使用有效期限不会出现国家宏观经济政策发生重大变化、市场供应关系及市场结构保持</w:t>
      </w:r>
      <w:r>
        <w:rPr>
          <w:rFonts w:hint="eastAsia" w:ascii="仿宋_GB2312" w:eastAsia="仿宋_GB2312"/>
          <w:spacing w:val="4"/>
          <w:sz w:val="28"/>
          <w:szCs w:val="24"/>
        </w:rPr>
        <w:t>稳定</w:t>
      </w:r>
      <w:r>
        <w:rPr>
          <w:rFonts w:hint="eastAsia" w:eastAsia="仿宋_GB2312"/>
          <w:sz w:val="28"/>
          <w:szCs w:val="28"/>
        </w:rPr>
        <w:t>、不会遇到自然力和其他不可抗力为前提</w:t>
      </w:r>
      <w:r>
        <w:rPr>
          <w:rFonts w:hint="eastAsia" w:ascii="仿宋_GB2312" w:eastAsia="仿宋_GB2312"/>
          <w:spacing w:val="4"/>
          <w:sz w:val="28"/>
          <w:szCs w:val="24"/>
        </w:rPr>
        <w:t>。</w:t>
      </w:r>
    </w:p>
    <w:p>
      <w:pPr>
        <w:spacing w:line="500" w:lineRule="exact"/>
        <w:ind w:firstLine="54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、估价中未考虑特殊交易方式对市场价值的影响。</w:t>
      </w:r>
    </w:p>
    <w:p>
      <w:pPr>
        <w:spacing w:line="500" w:lineRule="exact"/>
        <w:ind w:firstLine="54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、估价报告未考虑估价对象运营业主经营决策失误或市场动作失当对其价值的影响。</w:t>
      </w:r>
    </w:p>
    <w:p>
      <w:pPr>
        <w:spacing w:line="500" w:lineRule="exact"/>
        <w:ind w:firstLine="540"/>
        <w:rPr>
          <w:rFonts w:ascii="仿宋_GB2312" w:eastAsia="仿宋_GB2312" w:cs="仿宋_GB2312"/>
          <w:spacing w:val="4"/>
          <w:sz w:val="28"/>
          <w:szCs w:val="24"/>
        </w:rPr>
      </w:pPr>
      <w:r>
        <w:rPr>
          <w:rFonts w:ascii="仿宋_GB2312" w:eastAsia="仿宋_GB2312" w:cs="仿宋_GB2312"/>
          <w:spacing w:val="4"/>
          <w:sz w:val="28"/>
          <w:szCs w:val="24"/>
        </w:rPr>
        <w:t>10</w:t>
      </w:r>
      <w:r>
        <w:rPr>
          <w:rFonts w:hint="eastAsia" w:ascii="仿宋_GB2312" w:eastAsia="仿宋_GB2312" w:cs="仿宋_GB2312"/>
          <w:spacing w:val="4"/>
          <w:sz w:val="28"/>
          <w:szCs w:val="24"/>
        </w:rPr>
        <w:t>、本报告估价结果是在公开市场前提下求取的房地产市场价值，未考虑快速变现等处置方式带来的影响。</w:t>
      </w:r>
    </w:p>
    <w:p>
      <w:pPr>
        <w:spacing w:line="500" w:lineRule="exact"/>
        <w:ind w:firstLine="54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、如果估价对象以司法拍卖进行处置，会发生较高数额的费</w:t>
      </w:r>
      <w:r>
        <w:rPr>
          <w:rFonts w:hint="eastAsia" w:ascii="仿宋_GB2312" w:eastAsia="仿宋_GB2312" w:cs="仿宋_GB2312"/>
          <w:spacing w:val="4"/>
          <w:sz w:val="28"/>
          <w:szCs w:val="24"/>
        </w:rPr>
        <w:t>用，本次评估仅为此次司法执行提供市场价值参考，不考虑未来在拍卖清偿过程中发生的有关费用。</w:t>
      </w:r>
    </w:p>
    <w:p>
      <w:pPr>
        <w:spacing w:line="50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二、未定事项假设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估价对象建筑面积、土地面积、用途等数据齐全，权属资料齐全，本次根据情况设定估价无未定事项。</w:t>
      </w:r>
    </w:p>
    <w:p>
      <w:pPr>
        <w:spacing w:line="48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三、背离事实假设</w:t>
      </w:r>
    </w:p>
    <w:p>
      <w:pPr>
        <w:spacing w:line="500" w:lineRule="exact"/>
        <w:ind w:firstLine="576" w:firstLineChars="200"/>
        <w:rPr>
          <w:rFonts w:ascii="仿宋_GB2312" w:eastAsia="仿宋_GB2312" w:cs="仿宋_GB2312"/>
          <w:color w:val="000000"/>
          <w:spacing w:val="4"/>
          <w:sz w:val="28"/>
        </w:rPr>
      </w:pPr>
      <w:r>
        <w:rPr>
          <w:rFonts w:hint="eastAsia" w:ascii="仿宋_GB2312" w:eastAsia="仿宋_GB2312" w:cs="仿宋_GB2312"/>
          <w:spacing w:val="4"/>
          <w:sz w:val="28"/>
          <w:szCs w:val="24"/>
        </w:rPr>
        <w:t>依据《桐庐县不动产权属信息查询记录》（编号：TQ20200520-0000482）显示，</w:t>
      </w:r>
      <w:r>
        <w:rPr>
          <w:rFonts w:hint="eastAsia" w:ascii="仿宋_GB2312" w:eastAsia="仿宋_GB2312" w:cs="仿宋_GB2312"/>
          <w:color w:val="000000"/>
          <w:spacing w:val="4"/>
          <w:sz w:val="28"/>
        </w:rPr>
        <w:t>估价对象存在查封、抵押情况（具体见估价结果报告），估价对象存在的查封、抵押情况于本次价值时点仍然存在。根据本次评估目的，通过司法处置后估价对象可达到正常权益状态，故本次评估不考虑以上查封、抵押情况对市场交易价值的影响。</w:t>
      </w:r>
    </w:p>
    <w:p>
      <w:pPr>
        <w:spacing w:line="500" w:lineRule="exact"/>
        <w:ind w:firstLine="560" w:firstLineChars="200"/>
        <w:rPr>
          <w:rFonts w:ascii="仿宋_GB2312" w:eastAsia="仿宋_GB2312" w:cs="仿宋_GB2312"/>
          <w:spacing w:val="4"/>
          <w:sz w:val="28"/>
          <w:szCs w:val="24"/>
        </w:rPr>
      </w:pPr>
      <w:r>
        <w:rPr>
          <w:rFonts w:hint="eastAsia" w:ascii="仿宋_GB2312" w:hAnsi="宋体" w:eastAsia="仿宋_GB2312"/>
          <w:b/>
          <w:sz w:val="28"/>
          <w:szCs w:val="28"/>
        </w:rPr>
        <w:t>四、不相一致假设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本估价项目不存在不相一致事项，故本估价报告无不相一致假设。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五、依据不足假设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本次反应估价对象利用状况资料充分，不存在依据不足事项，本报告无依据不足假设。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六、估价报告使用限制</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1、本报告的估价结果系根据上述假设及房地产估价的有关原则、方法得出，只有在上述假设存在的条件下成立。</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2、本次估价结果仅限于为委托方司法鉴定提供价值参考依据，若有其它用途，需根据指定目的另行评估。</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5、本估价报告需经注册房地产估价师签名并加盖估价机构公章，并作为一个整体时有效，复印件无效。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7、本估价报告由杭州中立房地产土地评估规划咨询有限公司负责解释。</w:t>
      </w:r>
    </w:p>
    <w:p>
      <w:pPr>
        <w:spacing w:line="500" w:lineRule="exact"/>
        <w:ind w:right="-10" w:rightChars="-5" w:firstLine="576" w:firstLineChars="200"/>
        <w:rPr>
          <w:rFonts w:ascii="仿宋_GB2312" w:eastAsia="仿宋_GB2312"/>
          <w:sz w:val="28"/>
          <w:szCs w:val="24"/>
        </w:rPr>
      </w:pPr>
      <w:r>
        <w:rPr>
          <w:rFonts w:hint="eastAsia" w:ascii="仿宋_GB2312" w:eastAsia="仿宋_GB2312" w:cs="仿宋_GB2312"/>
          <w:spacing w:val="4"/>
          <w:sz w:val="28"/>
          <w:szCs w:val="24"/>
        </w:rPr>
        <w:t>8、报告中数据全部采用电算化连续计算得出，由于在报告中计算的数据均按四舍五入保留小数或取整，因此，可能出现个别等式左右不相等的情况，但不影响计算结果及最终评估结论的准确性。</w:t>
      </w:r>
    </w:p>
    <w:p>
      <w:pPr>
        <w:spacing w:line="500" w:lineRule="exact"/>
        <w:ind w:firstLine="564" w:firstLineChars="196"/>
        <w:rPr>
          <w:rFonts w:ascii="仿宋_GB2312" w:eastAsia="仿宋_GB2312" w:cs="仿宋_GB2312"/>
          <w:b/>
          <w:spacing w:val="4"/>
          <w:sz w:val="28"/>
          <w:szCs w:val="24"/>
        </w:rPr>
      </w:pPr>
      <w:r>
        <w:rPr>
          <w:rFonts w:hint="eastAsia" w:ascii="仿宋_GB2312" w:eastAsia="仿宋_GB2312" w:cs="仿宋_GB2312"/>
          <w:b/>
          <w:spacing w:val="4"/>
          <w:sz w:val="28"/>
          <w:szCs w:val="24"/>
        </w:rPr>
        <w:t>七、其它特殊事项说明</w:t>
      </w:r>
    </w:p>
    <w:p>
      <w:pPr>
        <w:spacing w:line="500" w:lineRule="exact"/>
        <w:ind w:firstLine="576" w:firstLineChars="200"/>
        <w:rPr>
          <w:rFonts w:ascii="仿宋_GB2312" w:hAnsi="宋体" w:eastAsia="仿宋_GB2312"/>
          <w:b/>
          <w:color w:val="000000"/>
          <w:sz w:val="28"/>
          <w:szCs w:val="28"/>
        </w:rPr>
      </w:pPr>
      <w:r>
        <w:rPr>
          <w:rFonts w:hint="eastAsia" w:ascii="仿宋_GB2312" w:eastAsia="仿宋_GB2312" w:cs="仿宋_GB2312"/>
          <w:color w:val="000000"/>
          <w:spacing w:val="4"/>
          <w:sz w:val="28"/>
        </w:rPr>
        <w:t>1、</w:t>
      </w:r>
      <w:r>
        <w:rPr>
          <w:rFonts w:hint="eastAsia" w:ascii="仿宋_GB2312" w:eastAsia="仿宋_GB2312"/>
          <w:color w:val="000000"/>
          <w:sz w:val="28"/>
        </w:rPr>
        <w:t>本次评估结果为估价对象在价值时点的市场价值，没有考虑</w:t>
      </w:r>
      <w:r>
        <w:rPr>
          <w:rFonts w:hint="eastAsia" w:ascii="仿宋_GB2312" w:eastAsia="仿宋_GB2312"/>
          <w:color w:val="000000"/>
          <w:sz w:val="28"/>
          <w:szCs w:val="28"/>
        </w:rPr>
        <w:t>估价对象可能存在的电费、煤气费、电信通讯费、宽带费以及其他等因物业使用而产生拖欠费用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000000"/>
          <w:sz w:val="28"/>
        </w:rPr>
        <w:t>在此提醒报告使用方注意今后这些</w:t>
      </w:r>
      <w:r>
        <w:rPr>
          <w:rFonts w:hint="eastAsia" w:ascii="仿宋_GB2312" w:hAnsi="宋体" w:eastAsia="仿宋_GB2312"/>
          <w:b/>
          <w:color w:val="000000"/>
          <w:sz w:val="28"/>
          <w:szCs w:val="28"/>
        </w:rPr>
        <w:t>额外费用的发生。</w:t>
      </w:r>
    </w:p>
    <w:p>
      <w:pPr>
        <w:spacing w:line="500" w:lineRule="exact"/>
        <w:ind w:firstLine="576" w:firstLineChars="200"/>
        <w:rPr>
          <w:rFonts w:hint="eastAsia" w:ascii="仿宋_GB2312" w:eastAsia="仿宋_GB2312" w:cs="仿宋_GB2312"/>
          <w:color w:val="000000"/>
          <w:spacing w:val="4"/>
          <w:sz w:val="28"/>
        </w:rPr>
      </w:pPr>
      <w:bookmarkStart w:id="22" w:name="_Hlk38998553"/>
      <w:r>
        <w:rPr>
          <w:rFonts w:hint="eastAsia" w:ascii="仿宋_GB2312" w:eastAsia="仿宋_GB2312" w:cs="仿宋_GB2312"/>
          <w:color w:val="000000"/>
          <w:spacing w:val="4"/>
          <w:sz w:val="28"/>
        </w:rPr>
        <w:t>2、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w:t>
      </w:r>
      <w:r>
        <w:rPr>
          <w:rFonts w:hint="eastAsia" w:ascii="仿宋_GB2312" w:eastAsia="仿宋_GB2312" w:cs="仿宋_GB2312"/>
          <w:color w:val="auto"/>
          <w:spacing w:val="4"/>
          <w:sz w:val="28"/>
        </w:rPr>
        <w:t>费附加、土地增值税、印花税、个人所得税等。上述税费税率及计算方法如下：</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1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①</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增值税税率5%，以不含税转让收入为计算基数；</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2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②</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增值税附加税，具体包括城建税、教育费附加、</w:t>
      </w:r>
      <w:r>
        <w:rPr>
          <w:color w:val="auto"/>
        </w:rPr>
        <w:fldChar w:fldCharType="begin"/>
      </w:r>
      <w:r>
        <w:rPr>
          <w:color w:val="auto"/>
        </w:rPr>
        <w:instrText xml:space="preserve"> HYPERLINK "http://www.so.com/s?q=%E5%9C%B0%E6%96%B9%E6%95%99%E8%82%B2%E8%B4%B9%E9%99%84%E5%8A%A0&amp;ie=utf-8&amp;src=internal_wenda_recommend_textn" \t "_blank" </w:instrText>
      </w:r>
      <w:r>
        <w:rPr>
          <w:color w:val="auto"/>
        </w:rPr>
        <w:fldChar w:fldCharType="separate"/>
      </w:r>
      <w:r>
        <w:rPr>
          <w:rFonts w:hint="eastAsia" w:ascii="仿宋_GB2312" w:eastAsia="仿宋_GB2312" w:cs="仿宋_GB2312"/>
          <w:color w:val="auto"/>
          <w:spacing w:val="4"/>
          <w:sz w:val="28"/>
        </w:rPr>
        <w:t>地方教育费附加</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，以</w:t>
      </w:r>
      <w:r>
        <w:rPr>
          <w:color w:val="auto"/>
        </w:rPr>
        <w:fldChar w:fldCharType="begin"/>
      </w:r>
      <w:r>
        <w:rPr>
          <w:color w:val="auto"/>
        </w:rPr>
        <w:instrText xml:space="preserve"> HYPERLINK "http://www.so.com/s?q=%E5%AE%9E%E9%99%85&amp;ie=utf-8&amp;src=internal_wenda_recommend_textn" \t "_blank" </w:instrText>
      </w:r>
      <w:r>
        <w:rPr>
          <w:color w:val="auto"/>
        </w:rPr>
        <w:fldChar w:fldCharType="separate"/>
      </w:r>
      <w:r>
        <w:rPr>
          <w:rFonts w:hint="eastAsia" w:ascii="仿宋_GB2312" w:eastAsia="仿宋_GB2312" w:cs="仿宋_GB2312"/>
          <w:color w:val="auto"/>
          <w:spacing w:val="4"/>
          <w:sz w:val="28"/>
        </w:rPr>
        <w:t>实际</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缴纳的增值税为</w:t>
      </w:r>
      <w:r>
        <w:rPr>
          <w:color w:val="auto"/>
        </w:rPr>
        <w:fldChar w:fldCharType="begin"/>
      </w:r>
      <w:r>
        <w:rPr>
          <w:color w:val="auto"/>
        </w:rPr>
        <w:instrText xml:space="preserve"> HYPERLINK "http://www.so.com/s?q=%E8%AE%A1%E7%A8%8E%E4%BE%9D%E6%8D%AE&amp;ie=utf-8&amp;src=internal_wenda_recommend_textn" \t "_blank" </w:instrText>
      </w:r>
      <w:r>
        <w:rPr>
          <w:color w:val="auto"/>
        </w:rPr>
        <w:fldChar w:fldCharType="separate"/>
      </w:r>
      <w:r>
        <w:rPr>
          <w:rFonts w:hint="eastAsia" w:ascii="仿宋_GB2312" w:eastAsia="仿宋_GB2312" w:cs="仿宋_GB2312"/>
          <w:color w:val="auto"/>
          <w:spacing w:val="4"/>
          <w:sz w:val="28"/>
        </w:rPr>
        <w:t>计税依据</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。城市维护建设税税率如下：纳税人所在地在市区的，税率为7%，纳税人所在地在县城、镇的，税率为5%，纳税人所在地不在市区、县城或镇的，税率为1%；教育费附加率为3％；地方教育附加率为2%；</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3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③</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土地增值税按（转让收入-扣除项目金额）×四级累进税率计算（增值额未超过扣除项目金额50%的部分，税率为30%；增值额超过扣除项目金额50%、未超过扣除项目金额100%的部分，税率为40%；增值额超过扣除项目金额100%、未超过扣除项目金额200%的部分，税率为50%；增值额超过扣除项目金额200%的部分，税率为60%），普通住宅免征；</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4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④</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印花税，税率0.05%，普通住宅免征；</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5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⑤</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个人所得税，一般按 (转让收入-财产原值-合理费用）×20%或转让收入的1%核定，具体以当地标准为准。因税费计算基数为成交金额，估价对象最终成交价格属于未定事项，因此</w:t>
      </w:r>
      <w:r>
        <w:rPr>
          <w:rFonts w:hint="eastAsia" w:ascii="仿宋_GB2312" w:eastAsia="仿宋_GB2312" w:cs="仿宋_GB2312"/>
          <w:color w:val="000000"/>
          <w:spacing w:val="4"/>
          <w:sz w:val="28"/>
        </w:rPr>
        <w:t>具体税费数额无法确定。未来估价对象拍卖成交后，具体有关房屋税费数额请自行向当地的财税、房管、国土等相关部门了解。</w:t>
      </w:r>
      <w:bookmarkEnd w:id="22"/>
    </w:p>
    <w:p>
      <w:pPr>
        <w:spacing w:line="500" w:lineRule="exact"/>
        <w:ind w:firstLine="560" w:firstLineChars="200"/>
        <w:rPr>
          <w:rFonts w:ascii="仿宋_GB2312" w:hAnsi="宋体" w:eastAsia="仿宋_GB2312"/>
          <w:b/>
          <w:sz w:val="28"/>
          <w:szCs w:val="28"/>
        </w:rPr>
      </w:pPr>
      <w:r>
        <w:rPr>
          <w:rFonts w:hint="eastAsia" w:ascii="仿宋_GB2312" w:eastAsia="仿宋_GB2312"/>
          <w:sz w:val="28"/>
          <w:szCs w:val="24"/>
        </w:rPr>
        <w:t>3、如果对估价报告有任何异议，例如：估价对象、估价目的、价值时点、价值定义、估价技术路线、估价结果等，或者发现估价报告中的文字或数字因校对或其他类似原因出现差错时，可于估价报告出具之日起十五日内来本估价机构咨询或提出复核。</w:t>
      </w:r>
    </w:p>
    <w:p>
      <w:pPr>
        <w:spacing w:line="500" w:lineRule="exact"/>
        <w:ind w:firstLine="560" w:firstLineChars="200"/>
        <w:rPr>
          <w:rFonts w:ascii="仿宋_GB2312" w:hAnsi="宋体" w:eastAsia="仿宋_GB2312"/>
          <w:b/>
          <w:sz w:val="28"/>
          <w:szCs w:val="28"/>
        </w:rPr>
      </w:pP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r>
        <w:rPr>
          <w:rFonts w:hint="eastAsia" w:ascii="仿宋_GB2312" w:eastAsia="仿宋_GB2312"/>
          <w:kern w:val="0"/>
          <w:sz w:val="28"/>
          <w:szCs w:val="28"/>
        </w:rPr>
        <w:br w:type="page"/>
      </w:r>
      <w:bookmarkStart w:id="23" w:name="_Toc63759839"/>
      <w:bookmarkStart w:id="24" w:name="_Toc205170833"/>
      <w:bookmarkStart w:id="25" w:name="_Toc2171"/>
      <w:bookmarkStart w:id="26" w:name="_Toc293325690"/>
      <w:bookmarkStart w:id="27" w:name="_Toc160877946"/>
      <w:bookmarkStart w:id="28" w:name="_Toc63759915"/>
      <w:bookmarkStart w:id="29" w:name="_Toc293374877"/>
      <w:bookmarkStart w:id="30" w:name="_Toc3841"/>
      <w:r>
        <w:rPr>
          <w:rFonts w:hint="eastAsia" w:ascii="仿宋_GB2312" w:hAnsi="宋体" w:eastAsia="仿宋_GB2312"/>
          <w:b/>
          <w:bCs/>
          <w:kern w:val="44"/>
          <w:sz w:val="36"/>
          <w:szCs w:val="36"/>
        </w:rPr>
        <w:t>房地产估价结果报告</w:t>
      </w:r>
      <w:bookmarkEnd w:id="23"/>
      <w:bookmarkEnd w:id="24"/>
      <w:bookmarkEnd w:id="25"/>
      <w:bookmarkEnd w:id="26"/>
      <w:bookmarkEnd w:id="27"/>
      <w:bookmarkEnd w:id="28"/>
      <w:bookmarkEnd w:id="29"/>
      <w:bookmarkEnd w:id="30"/>
    </w:p>
    <w:p>
      <w:pPr>
        <w:keepNext/>
        <w:adjustRightInd w:val="0"/>
        <w:snapToGrid w:val="0"/>
        <w:spacing w:line="480" w:lineRule="exact"/>
        <w:ind w:firstLine="560" w:firstLineChars="200"/>
        <w:outlineLvl w:val="1"/>
        <w:rPr>
          <w:rFonts w:ascii="仿宋_GB2312" w:hAnsi="宋体" w:eastAsia="仿宋_GB2312"/>
          <w:b/>
          <w:kern w:val="0"/>
          <w:sz w:val="28"/>
          <w:szCs w:val="32"/>
        </w:rPr>
      </w:pPr>
      <w:bookmarkStart w:id="31" w:name="_Toc293374878"/>
      <w:bookmarkStart w:id="32" w:name="_Toc27047"/>
      <w:bookmarkStart w:id="33" w:name="_Toc63759840"/>
      <w:bookmarkStart w:id="34" w:name="_Toc293325691"/>
      <w:bookmarkStart w:id="35" w:name="_Toc63759916"/>
      <w:bookmarkStart w:id="36" w:name="_Toc205170834"/>
      <w:bookmarkStart w:id="37" w:name="_Toc288131927"/>
      <w:bookmarkStart w:id="38" w:name="_Toc2272"/>
      <w:r>
        <w:rPr>
          <w:rFonts w:hint="eastAsia" w:ascii="仿宋_GB2312" w:hAnsi="宋体" w:eastAsia="仿宋_GB2312"/>
          <w:b/>
          <w:kern w:val="0"/>
          <w:sz w:val="28"/>
          <w:szCs w:val="32"/>
        </w:rPr>
        <w:t>一、</w:t>
      </w:r>
      <w:bookmarkEnd w:id="31"/>
      <w:bookmarkEnd w:id="32"/>
      <w:bookmarkEnd w:id="33"/>
      <w:bookmarkEnd w:id="34"/>
      <w:bookmarkEnd w:id="35"/>
      <w:bookmarkEnd w:id="36"/>
      <w:bookmarkEnd w:id="37"/>
      <w:r>
        <w:rPr>
          <w:rFonts w:hint="eastAsia" w:ascii="仿宋_GB2312" w:hAnsi="宋体" w:eastAsia="仿宋_GB2312"/>
          <w:b/>
          <w:kern w:val="0"/>
          <w:sz w:val="28"/>
          <w:szCs w:val="32"/>
        </w:rPr>
        <w:t>估价委托人</w:t>
      </w:r>
      <w:bookmarkEnd w:id="38"/>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估价委托人：杭州市拱墅区人民法院</w:t>
      </w:r>
    </w:p>
    <w:p>
      <w:pPr>
        <w:spacing w:line="480" w:lineRule="exact"/>
        <w:ind w:firstLine="560" w:firstLineChars="200"/>
        <w:rPr>
          <w:rFonts w:ascii="Arial" w:hAnsi="Arial" w:eastAsia="宋体" w:cs="Arial"/>
          <w:color w:val="333333"/>
          <w:sz w:val="19"/>
          <w:szCs w:val="19"/>
          <w:shd w:val="clear" w:color="auto" w:fill="FFFFFF"/>
        </w:rPr>
      </w:pPr>
      <w:bookmarkStart w:id="39" w:name="_Toc293374879"/>
      <w:bookmarkStart w:id="40" w:name="_Toc205170835"/>
      <w:bookmarkStart w:id="41" w:name="_Toc17100"/>
      <w:bookmarkStart w:id="42" w:name="_Toc288131928"/>
      <w:bookmarkStart w:id="43" w:name="_Toc293325692"/>
      <w:bookmarkStart w:id="44" w:name="_Toc63759841"/>
      <w:bookmarkStart w:id="45" w:name="_Toc63759917"/>
      <w:r>
        <w:rPr>
          <w:rFonts w:hint="eastAsia" w:ascii="仿宋_GB2312" w:hAnsi="宋体" w:eastAsia="仿宋_GB2312"/>
          <w:sz w:val="28"/>
          <w:szCs w:val="28"/>
        </w:rPr>
        <w:t>联系地址：杭州市拱墅区人民法院台州路1号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联系人：李法官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联系电话：15257152879</w:t>
      </w:r>
    </w:p>
    <w:p>
      <w:pPr>
        <w:keepNext/>
        <w:adjustRightInd w:val="0"/>
        <w:snapToGrid w:val="0"/>
        <w:spacing w:line="480" w:lineRule="exact"/>
        <w:ind w:firstLine="548" w:firstLineChars="196"/>
        <w:outlineLvl w:val="1"/>
        <w:rPr>
          <w:rFonts w:ascii="仿宋_GB2312" w:hAnsi="宋体" w:eastAsia="仿宋_GB2312"/>
          <w:b/>
          <w:kern w:val="0"/>
          <w:sz w:val="28"/>
          <w:szCs w:val="32"/>
        </w:rPr>
      </w:pPr>
      <w:bookmarkStart w:id="46" w:name="_Toc20559"/>
      <w:r>
        <w:rPr>
          <w:rFonts w:hint="eastAsia" w:ascii="仿宋_GB2312" w:hAnsi="宋体" w:eastAsia="仿宋_GB2312"/>
          <w:b/>
          <w:kern w:val="0"/>
          <w:sz w:val="28"/>
          <w:szCs w:val="32"/>
        </w:rPr>
        <w:t>二、</w:t>
      </w:r>
      <w:bookmarkEnd w:id="39"/>
      <w:bookmarkEnd w:id="40"/>
      <w:bookmarkEnd w:id="41"/>
      <w:bookmarkEnd w:id="42"/>
      <w:bookmarkEnd w:id="43"/>
      <w:bookmarkEnd w:id="44"/>
      <w:bookmarkEnd w:id="45"/>
      <w:r>
        <w:rPr>
          <w:rFonts w:hint="eastAsia" w:ascii="仿宋_GB2312" w:hAnsi="宋体" w:eastAsia="仿宋_GB2312"/>
          <w:b/>
          <w:kern w:val="0"/>
          <w:sz w:val="28"/>
          <w:szCs w:val="32"/>
        </w:rPr>
        <w:t>估价机构</w:t>
      </w:r>
      <w:bookmarkEnd w:id="46"/>
      <w:bookmarkStart w:id="155" w:name="_GoBack"/>
      <w:bookmarkEnd w:id="155"/>
    </w:p>
    <w:p>
      <w:pPr>
        <w:spacing w:line="480" w:lineRule="exact"/>
        <w:ind w:firstLine="560" w:firstLineChars="200"/>
        <w:rPr>
          <w:rFonts w:ascii="仿宋_GB2312" w:eastAsia="仿宋_GB2312"/>
          <w:spacing w:val="4"/>
          <w:sz w:val="28"/>
          <w:szCs w:val="24"/>
        </w:rPr>
      </w:pPr>
      <w:bookmarkStart w:id="47" w:name="_Toc445106077"/>
      <w:bookmarkStart w:id="48" w:name="_Toc373337715"/>
      <w:bookmarkStart w:id="49" w:name="_Toc63759842"/>
      <w:bookmarkStart w:id="50" w:name="_Toc63759918"/>
      <w:r>
        <w:rPr>
          <w:rFonts w:hint="eastAsia" w:ascii="仿宋_GB2312" w:hAnsi="宋体" w:eastAsia="仿宋_GB2312"/>
          <w:sz w:val="28"/>
          <w:szCs w:val="28"/>
        </w:rPr>
        <w:t>估价机构</w:t>
      </w:r>
      <w:r>
        <w:rPr>
          <w:rFonts w:hint="eastAsia" w:ascii="仿宋_GB2312" w:eastAsia="仿宋_GB2312"/>
          <w:spacing w:val="4"/>
          <w:sz w:val="28"/>
          <w:szCs w:val="24"/>
        </w:rPr>
        <w:t>：杭州中立房地产土地评估规划咨询有限公司</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估价机构地址：杭州市滨江区丹枫路1075号雪锋银座1504室</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法定代表人  ：张晓冬</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备 案 等 级 ：壹级</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证 书 编 号 ：浙建房估证字[2009]016号</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营业执照注册号：</w:t>
      </w:r>
      <w:r>
        <w:rPr>
          <w:rFonts w:hint="eastAsia" w:ascii="仿宋_GB2312" w:eastAsia="仿宋_GB2312"/>
          <w:spacing w:val="4"/>
          <w:sz w:val="28"/>
          <w:szCs w:val="24"/>
        </w:rPr>
        <w:t>91330108779274688X</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联系人：陈如腾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联系电话：0571-86415812</w:t>
      </w:r>
    </w:p>
    <w:p>
      <w:pPr>
        <w:keepNext/>
        <w:adjustRightInd w:val="0"/>
        <w:snapToGrid w:val="0"/>
        <w:spacing w:line="480" w:lineRule="exact"/>
        <w:ind w:firstLine="548" w:firstLineChars="196"/>
        <w:outlineLvl w:val="1"/>
        <w:rPr>
          <w:rFonts w:ascii="仿宋_GB2312" w:eastAsia="仿宋_GB2312"/>
          <w:b/>
          <w:sz w:val="28"/>
          <w:szCs w:val="28"/>
        </w:rPr>
      </w:pPr>
      <w:bookmarkStart w:id="51" w:name="_Toc20173"/>
      <w:r>
        <w:rPr>
          <w:rFonts w:hint="eastAsia" w:ascii="仿宋_GB2312" w:eastAsia="仿宋_GB2312"/>
          <w:b/>
          <w:sz w:val="28"/>
          <w:szCs w:val="28"/>
        </w:rPr>
        <w:t>三、估价目的</w:t>
      </w:r>
      <w:bookmarkEnd w:id="47"/>
      <w:bookmarkEnd w:id="48"/>
      <w:bookmarkEnd w:id="51"/>
    </w:p>
    <w:p>
      <w:pPr>
        <w:spacing w:line="480" w:lineRule="exact"/>
        <w:ind w:firstLine="560" w:firstLineChars="200"/>
        <w:rPr>
          <w:rFonts w:ascii="仿宋_GB2312" w:eastAsia="仿宋_GB2312"/>
          <w:spacing w:val="4"/>
          <w:sz w:val="28"/>
          <w:szCs w:val="24"/>
        </w:rPr>
      </w:pPr>
      <w:r>
        <w:rPr>
          <w:rFonts w:hint="eastAsia" w:eastAsia="仿宋_GB2312"/>
          <w:sz w:val="28"/>
          <w:szCs w:val="28"/>
        </w:rPr>
        <w:t>杭州市拱墅区人民法院因</w:t>
      </w:r>
      <w:r>
        <w:rPr>
          <w:rFonts w:hint="eastAsia" w:ascii="仿宋_GB2312" w:eastAsia="仿宋_GB2312"/>
          <w:sz w:val="28"/>
          <w:szCs w:val="24"/>
        </w:rPr>
        <w:t>申请人江钦钦与被执行人钟屾民间借贷</w:t>
      </w:r>
      <w:r>
        <w:rPr>
          <w:rFonts w:hint="eastAsia" w:eastAsia="仿宋_GB2312"/>
          <w:sz w:val="28"/>
          <w:szCs w:val="28"/>
        </w:rPr>
        <w:t>纠纷一案</w:t>
      </w:r>
      <w:r>
        <w:rPr>
          <w:rFonts w:hint="eastAsia" w:ascii="仿宋_GB2312" w:eastAsia="仿宋_GB2312"/>
          <w:sz w:val="28"/>
          <w:szCs w:val="24"/>
        </w:rPr>
        <w:t>，</w:t>
      </w:r>
      <w:r>
        <w:rPr>
          <w:rFonts w:hint="eastAsia" w:eastAsia="仿宋_GB2312"/>
          <w:sz w:val="28"/>
          <w:szCs w:val="28"/>
        </w:rPr>
        <w:t>特委托本公司</w:t>
      </w:r>
      <w:r>
        <w:rPr>
          <w:rFonts w:hint="eastAsia" w:ascii="仿宋_GB2312" w:eastAsia="仿宋_GB2312"/>
          <w:spacing w:val="4"/>
          <w:sz w:val="28"/>
          <w:szCs w:val="24"/>
        </w:rPr>
        <w:t>对位于</w:t>
      </w:r>
      <w:r>
        <w:rPr>
          <w:rFonts w:hint="eastAsia" w:ascii="仿宋_GB2312" w:eastAsia="仿宋_GB2312"/>
          <w:sz w:val="28"/>
          <w:szCs w:val="24"/>
        </w:rPr>
        <w:t>杭州市桐庐县富春江镇大洋坪9幢1单元401室一处住宅房地产</w:t>
      </w:r>
      <w:r>
        <w:rPr>
          <w:rFonts w:hint="eastAsia" w:ascii="仿宋_GB2312" w:eastAsia="仿宋_GB2312"/>
          <w:spacing w:val="4"/>
          <w:sz w:val="28"/>
          <w:szCs w:val="24"/>
        </w:rPr>
        <w:t>进行市场价值评估，为杭州市拱墅区人民法院司法鉴定提供价值参考依据</w:t>
      </w:r>
      <w:r>
        <w:rPr>
          <w:rFonts w:hint="eastAsia" w:ascii="仿宋_GB2312" w:hAnsi="宋体" w:eastAsia="仿宋_GB2312"/>
          <w:sz w:val="28"/>
          <w:szCs w:val="28"/>
        </w:rPr>
        <w:t>。</w:t>
      </w:r>
    </w:p>
    <w:p>
      <w:pPr>
        <w:keepNext/>
        <w:adjustRightInd w:val="0"/>
        <w:snapToGrid w:val="0"/>
        <w:spacing w:line="480" w:lineRule="exact"/>
        <w:ind w:firstLine="548" w:firstLineChars="196"/>
        <w:outlineLvl w:val="1"/>
        <w:rPr>
          <w:rFonts w:ascii="仿宋_GB2312" w:hAnsi="宋体" w:eastAsia="仿宋_GB2312"/>
          <w:b/>
          <w:kern w:val="0"/>
          <w:sz w:val="28"/>
          <w:szCs w:val="32"/>
        </w:rPr>
      </w:pPr>
      <w:bookmarkStart w:id="52" w:name="_Toc910"/>
      <w:bookmarkStart w:id="53" w:name="_Toc205170836"/>
      <w:bookmarkStart w:id="54" w:name="_Toc293374881"/>
      <w:bookmarkStart w:id="55" w:name="_Toc288131930"/>
      <w:bookmarkStart w:id="56" w:name="_Toc293325694"/>
      <w:bookmarkStart w:id="57" w:name="_Toc14626"/>
      <w:r>
        <w:rPr>
          <w:rFonts w:hint="eastAsia" w:ascii="仿宋_GB2312" w:hAnsi="宋体" w:eastAsia="仿宋_GB2312"/>
          <w:b/>
          <w:kern w:val="0"/>
          <w:sz w:val="28"/>
          <w:szCs w:val="32"/>
        </w:rPr>
        <w:t>四、估价对象</w:t>
      </w:r>
      <w:bookmarkEnd w:id="49"/>
      <w:bookmarkEnd w:id="50"/>
      <w:bookmarkEnd w:id="52"/>
      <w:bookmarkEnd w:id="53"/>
      <w:bookmarkEnd w:id="54"/>
      <w:bookmarkEnd w:id="55"/>
      <w:bookmarkEnd w:id="56"/>
      <w:bookmarkEnd w:id="57"/>
    </w:p>
    <w:p>
      <w:pPr>
        <w:spacing w:line="480" w:lineRule="exact"/>
        <w:ind w:firstLine="548" w:firstLineChars="196"/>
        <w:rPr>
          <w:rFonts w:ascii="仿宋_GB2312" w:hAnsi="宋体" w:eastAsia="仿宋_GB2312"/>
          <w:bCs/>
          <w:sz w:val="28"/>
          <w:szCs w:val="28"/>
        </w:rPr>
      </w:pPr>
      <w:bookmarkStart w:id="58" w:name="_Toc205170837"/>
      <w:r>
        <w:rPr>
          <w:rFonts w:hint="eastAsia" w:ascii="仿宋_GB2312" w:hAnsi="宋体" w:eastAsia="仿宋_GB2312"/>
          <w:bCs/>
          <w:sz w:val="28"/>
          <w:szCs w:val="28"/>
        </w:rPr>
        <w:t>1、估价对象范围界定</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本次估价对象为钟屾所拥有的位于杭州市桐庐县富春江镇大洋坪9幢1单元401室一处住宅房地产，建筑面积56.02平方米，</w:t>
      </w:r>
      <w:bookmarkStart w:id="59" w:name="_Hlk38998639"/>
      <w:r>
        <w:rPr>
          <w:rFonts w:hint="eastAsia" w:ascii="仿宋_GB2312" w:eastAsia="仿宋_GB2312"/>
          <w:sz w:val="28"/>
          <w:szCs w:val="24"/>
        </w:rPr>
        <w:t>出让土地使用权面积14.0平方米</w:t>
      </w:r>
      <w:r>
        <w:rPr>
          <w:rFonts w:hint="eastAsia" w:ascii="仿宋_GB2312" w:eastAsia="仿宋_GB2312"/>
          <w:spacing w:val="4"/>
          <w:sz w:val="28"/>
          <w:szCs w:val="24"/>
        </w:rPr>
        <w:t>，</w:t>
      </w:r>
      <w:bookmarkEnd w:id="59"/>
      <w:r>
        <w:rPr>
          <w:rFonts w:hint="eastAsia" w:ascii="仿宋_GB2312" w:eastAsia="仿宋_GB2312"/>
          <w:sz w:val="28"/>
          <w:szCs w:val="24"/>
        </w:rPr>
        <w:t>土地剩余使用年限68.11年，</w:t>
      </w:r>
      <w:r>
        <w:rPr>
          <w:rFonts w:hint="eastAsia" w:ascii="仿宋_GB2312" w:eastAsia="仿宋_GB2312"/>
          <w:spacing w:val="4"/>
          <w:sz w:val="28"/>
          <w:szCs w:val="24"/>
        </w:rPr>
        <w:t>本次估价的范围包括该处住宅房产所有权及其分摊土地使用权，以及室内固定装修。</w:t>
      </w:r>
    </w:p>
    <w:p>
      <w:pPr>
        <w:spacing w:line="48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2、估价对象基本情况</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权益状况：依据估价人员于2020年5月20日查询的《桐庐县不动产权属信息查询记录》（编号：TQ20200520-0000482）以及估价人员的实地查勘，估价对象权利人为钟屾，权证号（证明号）为浙（2018）桐庐县不动产权第0009675号，登记日期为2018年06月29日。用途为城镇住宅用地/住宅，</w:t>
      </w:r>
      <w:r>
        <w:rPr>
          <w:rFonts w:hint="eastAsia" w:ascii="仿宋_GB2312" w:eastAsia="仿宋_GB2312"/>
          <w:spacing w:val="4"/>
          <w:sz w:val="28"/>
          <w:szCs w:val="24"/>
        </w:rPr>
        <w:t>建筑面积56.02平方米，土地使用权面积14.0平方米，权利类型为国有建设用地使用权/房屋（构筑物）所有权，权利性质为出让/存量房产，共有情况为单独所有，权利状态为现状。</w:t>
      </w:r>
      <w:r>
        <w:rPr>
          <w:rFonts w:hint="eastAsia" w:ascii="仿宋_GB2312" w:eastAsia="仿宋_GB2312"/>
          <w:sz w:val="28"/>
          <w:szCs w:val="28"/>
        </w:rPr>
        <w:t>附记：补交出让金。本宗地内未作分摊的土地使用权属全体业主共用。原证浙（2018）桐庐县不动产权第0009434号注销。</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（1）建筑物基本情况</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不动产坐落：杭州市桐庐县富春江镇大洋坪9幢1单元401室。</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建筑面积：建筑面积为56.02平方米。</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建筑结构：钢筋混凝土结构。</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规划用途：设计用途为住宅，现状利用为住宅。</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楼层：房屋总层数为地上6层，估价对象所在层数为第4层。</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建筑功能：估价对象防水、保温、隔热等功能均为一般，日照、通风、采光等功能一般。</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建筑外观：估价对象所在建筑物为现代风格。</w:t>
      </w:r>
    </w:p>
    <w:p>
      <w:pPr>
        <w:spacing w:line="480" w:lineRule="exact"/>
        <w:ind w:firstLine="560" w:firstLineChars="200"/>
        <w:rPr>
          <w:rFonts w:hint="eastAsia" w:ascii="仿宋_GB2312" w:eastAsia="仿宋_GB2312"/>
          <w:sz w:val="28"/>
          <w:szCs w:val="24"/>
        </w:rPr>
      </w:pPr>
      <w:r>
        <w:rPr>
          <w:rFonts w:hint="eastAsia" w:ascii="仿宋_GB2312" w:eastAsia="仿宋_GB2312"/>
          <w:sz w:val="28"/>
          <w:szCs w:val="24"/>
        </w:rPr>
        <w:t>装饰装修、设施设备、空间布局：</w:t>
      </w:r>
      <w:r>
        <w:rPr>
          <w:rFonts w:hint="eastAsia" w:ascii="仿宋_GB2312" w:eastAsia="仿宋_GB2312"/>
          <w:sz w:val="28"/>
          <w:szCs w:val="24"/>
        </w:rPr>
        <w:fldChar w:fldCharType="begin"/>
      </w:r>
      <w:r>
        <w:rPr>
          <w:rFonts w:hint="eastAsia" w:ascii="仿宋_GB2312" w:eastAsia="仿宋_GB2312"/>
          <w:sz w:val="28"/>
          <w:szCs w:val="24"/>
        </w:rPr>
        <w:instrText xml:space="preserve"> = 1 \* GB3 </w:instrText>
      </w:r>
      <w:r>
        <w:rPr>
          <w:rFonts w:hint="eastAsia" w:ascii="仿宋_GB2312" w:eastAsia="仿宋_GB2312"/>
          <w:sz w:val="28"/>
          <w:szCs w:val="24"/>
        </w:rPr>
        <w:fldChar w:fldCharType="separate"/>
      </w:r>
      <w:r>
        <w:rPr>
          <w:rFonts w:hint="eastAsia" w:ascii="仿宋_GB2312" w:eastAsia="仿宋_GB2312"/>
          <w:sz w:val="28"/>
          <w:szCs w:val="24"/>
        </w:rPr>
        <w:t>①</w:t>
      </w:r>
      <w:r>
        <w:rPr>
          <w:rFonts w:hint="eastAsia" w:ascii="仿宋_GB2312" w:eastAsia="仿宋_GB2312"/>
          <w:sz w:val="28"/>
          <w:szCs w:val="24"/>
        </w:rPr>
        <w:fldChar w:fldCharType="end"/>
      </w:r>
      <w:r>
        <w:rPr>
          <w:rFonts w:hint="eastAsia" w:ascii="仿宋_GB2312" w:eastAsia="仿宋_GB2312"/>
          <w:sz w:val="28"/>
          <w:szCs w:val="24"/>
        </w:rPr>
        <w:t>空间布局。根据评估人员实地勘查，估价对象所在建筑物主体朝南，为西边套。</w:t>
      </w:r>
      <w:r>
        <w:rPr>
          <w:rFonts w:hint="eastAsia" w:ascii="仿宋_GB2312" w:eastAsia="仿宋_GB2312"/>
          <w:sz w:val="28"/>
          <w:szCs w:val="24"/>
        </w:rPr>
        <w:fldChar w:fldCharType="begin"/>
      </w:r>
      <w:r>
        <w:rPr>
          <w:rFonts w:hint="eastAsia" w:ascii="仿宋_GB2312" w:eastAsia="仿宋_GB2312"/>
          <w:sz w:val="28"/>
          <w:szCs w:val="24"/>
        </w:rPr>
        <w:instrText xml:space="preserve"> = 2 \* GB3 </w:instrText>
      </w:r>
      <w:r>
        <w:rPr>
          <w:rFonts w:hint="eastAsia" w:ascii="仿宋_GB2312" w:eastAsia="仿宋_GB2312"/>
          <w:sz w:val="28"/>
          <w:szCs w:val="24"/>
        </w:rPr>
        <w:fldChar w:fldCharType="separate"/>
      </w:r>
      <w:r>
        <w:rPr>
          <w:rFonts w:hint="eastAsia" w:ascii="仿宋_GB2312" w:eastAsia="仿宋_GB2312"/>
          <w:sz w:val="28"/>
          <w:szCs w:val="24"/>
        </w:rPr>
        <w:t>②</w:t>
      </w:r>
      <w:r>
        <w:rPr>
          <w:rFonts w:hint="eastAsia" w:ascii="仿宋_GB2312" w:eastAsia="仿宋_GB2312"/>
          <w:sz w:val="28"/>
          <w:szCs w:val="24"/>
        </w:rPr>
        <w:fldChar w:fldCharType="end"/>
      </w:r>
      <w:r>
        <w:rPr>
          <w:rFonts w:hint="eastAsia" w:ascii="仿宋_GB2312" w:eastAsia="仿宋_GB2312"/>
          <w:sz w:val="28"/>
          <w:szCs w:val="24"/>
        </w:rPr>
        <w:t>装饰装修。估价对象大门为铁栅栏防盗门，内部大部分为玻璃木窗；客厅（餐厅）、过道等地面为水泥地面，墙面为涂料刷白至顶；厨卫墙面部分贴瓷砖，天花板涂料刷白至顶；卧室地面铺有地坪漆，墙面为涂料刷白至顶。</w:t>
      </w:r>
      <w:r>
        <w:rPr>
          <w:rFonts w:hint="eastAsia" w:ascii="仿宋_GB2312" w:eastAsia="仿宋_GB2312"/>
          <w:sz w:val="28"/>
          <w:szCs w:val="24"/>
        </w:rPr>
        <w:fldChar w:fldCharType="begin"/>
      </w:r>
      <w:r>
        <w:rPr>
          <w:rFonts w:hint="eastAsia" w:ascii="仿宋_GB2312" w:eastAsia="仿宋_GB2312"/>
          <w:sz w:val="28"/>
          <w:szCs w:val="24"/>
        </w:rPr>
        <w:instrText xml:space="preserve"> = 3 \* GB3 </w:instrText>
      </w:r>
      <w:r>
        <w:rPr>
          <w:rFonts w:hint="eastAsia" w:ascii="仿宋_GB2312" w:eastAsia="仿宋_GB2312"/>
          <w:sz w:val="28"/>
          <w:szCs w:val="24"/>
        </w:rPr>
        <w:fldChar w:fldCharType="separate"/>
      </w:r>
      <w:r>
        <w:rPr>
          <w:rFonts w:hint="eastAsia" w:ascii="仿宋_GB2312" w:eastAsia="仿宋_GB2312"/>
          <w:sz w:val="28"/>
          <w:szCs w:val="24"/>
        </w:rPr>
        <w:t>③</w:t>
      </w:r>
      <w:r>
        <w:rPr>
          <w:rFonts w:hint="eastAsia" w:ascii="仿宋_GB2312" w:eastAsia="仿宋_GB2312"/>
          <w:sz w:val="28"/>
          <w:szCs w:val="24"/>
        </w:rPr>
        <w:fldChar w:fldCharType="end"/>
      </w:r>
      <w:r>
        <w:rPr>
          <w:rFonts w:hint="eastAsia" w:ascii="仿宋_GB2312" w:eastAsia="仿宋_GB2312"/>
          <w:sz w:val="28"/>
          <w:szCs w:val="24"/>
        </w:rPr>
        <w:t>设施设备。至价值时点，估价对象管线通畅，水卫、电照设备基本齐全；建筑物地基无不均匀沉降，房屋承重结构构件和围护墙一般，楼面和地面平整。至价值时点，估价对象维护状况较差。</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（2）土地基本状况</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依据估价人员于2020年5月20日查询的《桐庐县不动产权属信息查询记录》（编号：TQ20200520-0000482）以及估价人员的实地查勘，估价对象土地基本情况如下：</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用途（地类）：住宅。</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不动产坐落：杭州市桐庐县富春江镇大洋坪9幢1单元401室。</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使用期限：土地使用期限至2088年06月29日，至价值时点剩余土地使用年限68.11年。</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四至：估价对象所在小区宗地四至为东至盛家路，南至小区住宅楼，西至七里泷大街，北至扬帆路。</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形状：估价对象所属宗地形状呈较规则多边形。</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地势：较平坦。</w:t>
      </w:r>
    </w:p>
    <w:p>
      <w:pPr>
        <w:spacing w:line="480" w:lineRule="exact"/>
        <w:ind w:firstLine="560" w:firstLineChars="200"/>
        <w:rPr>
          <w:rFonts w:ascii="仿宋_GB2312" w:eastAsia="仿宋_GB2312"/>
          <w:sz w:val="28"/>
          <w:szCs w:val="28"/>
        </w:rPr>
      </w:pPr>
      <w:r>
        <w:rPr>
          <w:rFonts w:hint="eastAsia" w:ascii="仿宋_GB2312" w:eastAsia="仿宋_GB2312"/>
          <w:sz w:val="28"/>
          <w:szCs w:val="24"/>
        </w:rPr>
        <w:t>开发程度：</w:t>
      </w:r>
      <w:r>
        <w:rPr>
          <w:rFonts w:hint="eastAsia" w:ascii="仿宋_GB2312" w:hAnsi="宋体" w:eastAsia="仿宋_GB2312"/>
          <w:sz w:val="28"/>
          <w:szCs w:val="28"/>
        </w:rPr>
        <w:t>具备了外围五通（即通水、通电、通路、</w:t>
      </w:r>
      <w:r>
        <w:rPr>
          <w:rFonts w:hint="eastAsia" w:ascii="仿宋_GB2312" w:eastAsia="仿宋_GB2312"/>
          <w:sz w:val="28"/>
          <w:szCs w:val="28"/>
        </w:rPr>
        <w:t>通讯</w:t>
      </w:r>
      <w:r>
        <w:rPr>
          <w:rFonts w:hint="eastAsia" w:ascii="仿宋_GB2312" w:eastAsia="仿宋_GB2312"/>
          <w:spacing w:val="4"/>
          <w:sz w:val="28"/>
        </w:rPr>
        <w:t>、排水</w:t>
      </w:r>
      <w:r>
        <w:rPr>
          <w:rFonts w:hint="eastAsia" w:ascii="仿宋_GB2312" w:eastAsia="仿宋_GB2312"/>
          <w:sz w:val="28"/>
          <w:szCs w:val="28"/>
        </w:rPr>
        <w:t>）、内部“五通一平”（即通水、通电、通路、通讯、</w:t>
      </w:r>
      <w:r>
        <w:rPr>
          <w:rFonts w:hint="eastAsia" w:ascii="仿宋_GB2312" w:eastAsia="仿宋_GB2312"/>
          <w:spacing w:val="4"/>
          <w:sz w:val="28"/>
        </w:rPr>
        <w:t>排水</w:t>
      </w:r>
      <w:r>
        <w:rPr>
          <w:rFonts w:hint="eastAsia" w:ascii="仿宋_GB2312" w:eastAsia="仿宋_GB2312"/>
          <w:sz w:val="28"/>
          <w:szCs w:val="28"/>
        </w:rPr>
        <w:t>及场地平整）的条件。</w:t>
      </w:r>
    </w:p>
    <w:p>
      <w:pPr>
        <w:spacing w:line="480" w:lineRule="exact"/>
        <w:ind w:firstLine="560" w:firstLineChars="200"/>
        <w:rPr>
          <w:rFonts w:ascii="仿宋_GB2312" w:eastAsia="仿宋_GB2312"/>
          <w:spacing w:val="4"/>
          <w:sz w:val="28"/>
          <w:szCs w:val="24"/>
        </w:rPr>
      </w:pPr>
      <w:r>
        <w:rPr>
          <w:rFonts w:hint="eastAsia" w:ascii="仿宋_GB2312" w:hAnsi="宋体" w:eastAsia="仿宋_GB2312"/>
          <w:bCs/>
          <w:sz w:val="28"/>
          <w:szCs w:val="28"/>
        </w:rPr>
        <w:t>3、他项权利状况及查封状况</w:t>
      </w:r>
    </w:p>
    <w:bookmarkEnd w:id="58"/>
    <w:p>
      <w:pPr>
        <w:spacing w:line="480" w:lineRule="exact"/>
        <w:ind w:firstLine="560" w:firstLineChars="200"/>
        <w:rPr>
          <w:rFonts w:ascii="仿宋_GB2312" w:eastAsia="仿宋_GB2312"/>
          <w:sz w:val="28"/>
          <w:szCs w:val="28"/>
        </w:rPr>
      </w:pPr>
      <w:bookmarkStart w:id="60" w:name="_Toc29537"/>
      <w:bookmarkStart w:id="61" w:name="_Toc293374882"/>
      <w:bookmarkStart w:id="62" w:name="_Toc205170838"/>
      <w:bookmarkStart w:id="63" w:name="_Toc288131931"/>
      <w:bookmarkStart w:id="64" w:name="_Toc293325695"/>
      <w:r>
        <w:rPr>
          <w:rFonts w:hint="eastAsia" w:ascii="仿宋_GB2312" w:eastAsia="仿宋_GB2312"/>
          <w:sz w:val="28"/>
          <w:szCs w:val="24"/>
        </w:rPr>
        <w:t>根据估价人员于2020年5月20日查询的《桐庐县不动产权属信息查询记录》（查询编号：TQ20200520-0000482），估价对象存在查封状况，且设有抵押他项权利</w:t>
      </w:r>
      <w:r>
        <w:rPr>
          <w:rFonts w:hint="eastAsia" w:ascii="仿宋_GB2312" w:eastAsia="仿宋_GB2312"/>
          <w:color w:val="000000"/>
          <w:sz w:val="28"/>
          <w:szCs w:val="28"/>
        </w:rPr>
        <w:t>，详见下表：</w:t>
      </w:r>
    </w:p>
    <w:p>
      <w:pPr>
        <w:spacing w:line="480" w:lineRule="exact"/>
        <w:ind w:right="-10" w:rightChars="-5" w:firstLine="560" w:firstLineChars="200"/>
        <w:jc w:val="center"/>
        <w:rPr>
          <w:rFonts w:ascii="仿宋_GB2312" w:eastAsia="仿宋_GB2312"/>
          <w:sz w:val="28"/>
          <w:szCs w:val="28"/>
        </w:rPr>
      </w:pPr>
      <w:r>
        <w:rPr>
          <w:rFonts w:hint="eastAsia" w:ascii="仿宋_GB2312" w:eastAsia="仿宋_GB2312"/>
          <w:sz w:val="28"/>
          <w:szCs w:val="28"/>
        </w:rPr>
        <w:t>估价对象查封状况和他项权利状况一览表</w:t>
      </w:r>
    </w:p>
    <w:tbl>
      <w:tblPr>
        <w:tblStyle w:val="10"/>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09"/>
        <w:gridCol w:w="3014"/>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048" w:type="dxa"/>
            <w:vMerge w:val="restart"/>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抵押权状况</w:t>
            </w: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抵押权人</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桐庐县民间融资服务中心有限公司</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登记证明号</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浙（2019）桐庐县不动产证明第0002960号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抵押方式</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一般抵押</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债权数额</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登记日期</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2019年04月02日</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债务履行期限（债权确定期间）</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2019年04月01日起2019年09月30日止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附记</w:t>
            </w:r>
          </w:p>
        </w:tc>
        <w:tc>
          <w:tcPr>
            <w:tcW w:w="7125" w:type="dxa"/>
            <w:gridSpan w:val="3"/>
            <w:vAlign w:val="center"/>
          </w:tcPr>
          <w:p>
            <w:pPr>
              <w:widowControl/>
              <w:jc w:val="center"/>
              <w:textAlignment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bookmarkStart w:id="65" w:name="_Toc519415287"/>
            <w:bookmarkStart w:id="66" w:name="_Toc9049"/>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（2019）浙0105民初5394号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杭州市拱墅区人民法院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2019年06月06日起2022年06月05日止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（2019）沪0101民初15552号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上海市黄浦区人民法院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2019年08月14日起2022年08月13日止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（2019）浙0191执1839号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2019年11月27日起2022年11月26日止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（2019）浙0191执184</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2019年11月27日起2022年11月26日止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(2020)浙0122执939号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桐庐县人民法院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2020年05月19日起2023年05月18日止</w:t>
            </w:r>
          </w:p>
        </w:tc>
      </w:tr>
      <w:bookmarkEnd w:id="65"/>
      <w:bookmarkEnd w:id="66"/>
    </w:tbl>
    <w:p>
      <w:pPr>
        <w:keepLines w:val="0"/>
        <w:pageBreakBefore w:val="0"/>
        <w:kinsoku/>
        <w:wordWrap/>
        <w:overflowPunct/>
        <w:topLinePunct w:val="0"/>
        <w:autoSpaceDE/>
        <w:bidi w:val="0"/>
        <w:spacing w:line="494" w:lineRule="exact"/>
        <w:ind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根据实地踏勘及估价人员调查所得到的信息，估价对象不存在其他他项权利。</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b/>
          <w:kern w:val="0"/>
          <w:sz w:val="28"/>
          <w:szCs w:val="32"/>
        </w:rPr>
      </w:pPr>
      <w:r>
        <w:rPr>
          <w:rFonts w:hint="eastAsia" w:ascii="仿宋_GB2312" w:hAnsi="宋体" w:eastAsia="仿宋_GB2312"/>
          <w:b/>
          <w:kern w:val="0"/>
          <w:sz w:val="28"/>
          <w:szCs w:val="32"/>
        </w:rPr>
        <w:t>五、</w:t>
      </w:r>
      <w:bookmarkEnd w:id="60"/>
      <w:bookmarkEnd w:id="61"/>
      <w:bookmarkEnd w:id="62"/>
      <w:bookmarkEnd w:id="63"/>
      <w:bookmarkEnd w:id="64"/>
      <w:r>
        <w:rPr>
          <w:rFonts w:hint="eastAsia" w:ascii="仿宋_GB2312" w:hAnsi="宋体" w:eastAsia="仿宋_GB2312"/>
          <w:b/>
          <w:kern w:val="0"/>
          <w:sz w:val="28"/>
          <w:szCs w:val="32"/>
        </w:rPr>
        <w:t>价值时点</w:t>
      </w:r>
    </w:p>
    <w:p>
      <w:pPr>
        <w:keepLines w:val="0"/>
        <w:pageBreakBefore w:val="0"/>
        <w:kinsoku/>
        <w:wordWrap/>
        <w:overflowPunct/>
        <w:topLinePunct w:val="0"/>
        <w:autoSpaceDE/>
        <w:bidi w:val="0"/>
        <w:spacing w:line="494" w:lineRule="exact"/>
        <w:ind w:firstLine="560" w:firstLineChars="200"/>
        <w:textAlignment w:val="auto"/>
        <w:rPr>
          <w:rFonts w:ascii="仿宋_GB2312" w:eastAsia="仿宋_GB2312"/>
          <w:spacing w:val="4"/>
          <w:sz w:val="28"/>
          <w:szCs w:val="24"/>
        </w:rPr>
      </w:pPr>
      <w:bookmarkStart w:id="67" w:name="_Toc63759845"/>
      <w:bookmarkStart w:id="68" w:name="_Toc205170839"/>
      <w:bookmarkStart w:id="69" w:name="_Toc63759921"/>
      <w:bookmarkStart w:id="70" w:name="_Toc293325696"/>
      <w:bookmarkStart w:id="71" w:name="_Toc288131932"/>
      <w:bookmarkStart w:id="72" w:name="_Toc293374883"/>
      <w:bookmarkStart w:id="73" w:name="_Toc8583"/>
      <w:r>
        <w:rPr>
          <w:rFonts w:hint="eastAsia" w:ascii="仿宋_GB2312" w:hAnsi="宋体" w:eastAsia="仿宋_GB2312" w:cs="宋体"/>
          <w:sz w:val="28"/>
          <w:szCs w:val="28"/>
        </w:rPr>
        <w:t>本报告价值时点为</w:t>
      </w:r>
      <w:r>
        <w:rPr>
          <w:rFonts w:hint="eastAsia" w:ascii="仿宋_GB2312" w:eastAsia="仿宋_GB2312"/>
          <w:spacing w:val="4"/>
          <w:sz w:val="28"/>
          <w:szCs w:val="24"/>
        </w:rPr>
        <w:t>2020年5月20日，</w:t>
      </w:r>
      <w:r>
        <w:rPr>
          <w:rFonts w:hint="eastAsia" w:ascii="仿宋_GB2312" w:hAnsi="宋体" w:eastAsia="仿宋_GB2312" w:cs="宋体"/>
          <w:sz w:val="28"/>
          <w:szCs w:val="28"/>
        </w:rPr>
        <w:t>是根据估价目的要求经估价委托人认可后设定的，是估价师完成对估价对象实地查勘的日期。</w:t>
      </w:r>
    </w:p>
    <w:p>
      <w:pPr>
        <w:keepNext/>
        <w:keepLines w:val="0"/>
        <w:pageBreakBefore w:val="0"/>
        <w:kinsoku/>
        <w:wordWrap/>
        <w:overflowPunct/>
        <w:topLinePunct w:val="0"/>
        <w:autoSpaceDE/>
        <w:bidi w:val="0"/>
        <w:adjustRightInd w:val="0"/>
        <w:snapToGrid w:val="0"/>
        <w:spacing w:line="494" w:lineRule="exact"/>
        <w:ind w:firstLine="560" w:firstLineChars="200"/>
        <w:textAlignment w:val="auto"/>
        <w:outlineLvl w:val="1"/>
        <w:rPr>
          <w:rFonts w:ascii="仿宋_GB2312" w:hAnsi="宋体" w:eastAsia="仿宋_GB2312"/>
          <w:b/>
          <w:kern w:val="0"/>
          <w:sz w:val="28"/>
          <w:szCs w:val="32"/>
        </w:rPr>
      </w:pPr>
      <w:bookmarkStart w:id="74" w:name="_Toc23591"/>
      <w:r>
        <w:rPr>
          <w:rFonts w:hint="eastAsia" w:ascii="仿宋_GB2312" w:hAnsi="宋体" w:eastAsia="仿宋_GB2312"/>
          <w:b/>
          <w:kern w:val="0"/>
          <w:sz w:val="28"/>
          <w:szCs w:val="32"/>
        </w:rPr>
        <w:t>六、</w:t>
      </w:r>
      <w:bookmarkEnd w:id="67"/>
      <w:bookmarkEnd w:id="68"/>
      <w:bookmarkEnd w:id="69"/>
      <w:bookmarkStart w:id="75" w:name="_Toc63759846"/>
      <w:bookmarkStart w:id="76" w:name="_Toc63759922"/>
      <w:r>
        <w:rPr>
          <w:rFonts w:hint="eastAsia" w:ascii="仿宋_GB2312" w:hAnsi="宋体" w:eastAsia="仿宋_GB2312"/>
          <w:b/>
          <w:kern w:val="0"/>
          <w:sz w:val="28"/>
          <w:szCs w:val="32"/>
        </w:rPr>
        <w:t>价值类型</w:t>
      </w:r>
      <w:bookmarkEnd w:id="70"/>
      <w:bookmarkEnd w:id="71"/>
      <w:bookmarkEnd w:id="72"/>
      <w:bookmarkEnd w:id="73"/>
      <w:bookmarkEnd w:id="74"/>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sz w:val="28"/>
          <w:szCs w:val="28"/>
        </w:rPr>
      </w:pPr>
      <w:bookmarkStart w:id="77" w:name="_Toc293325697"/>
      <w:bookmarkStart w:id="78" w:name="_Toc293374884"/>
      <w:bookmarkStart w:id="79" w:name="_Toc288131933"/>
      <w:bookmarkStart w:id="80" w:name="_Toc205170840"/>
      <w:bookmarkStart w:id="81" w:name="_Toc30438"/>
      <w:r>
        <w:rPr>
          <w:rFonts w:hint="eastAsia" w:ascii="仿宋_GB2312" w:hAnsi="宋体" w:eastAsia="仿宋_GB2312"/>
          <w:sz w:val="28"/>
          <w:szCs w:val="28"/>
        </w:rPr>
        <w:t>本次估价的房地产价格为估价对象在价值时点</w:t>
      </w:r>
      <w:r>
        <w:rPr>
          <w:rFonts w:hint="eastAsia" w:ascii="仿宋_GB2312" w:eastAsia="仿宋_GB2312"/>
          <w:spacing w:val="4"/>
          <w:sz w:val="28"/>
          <w:szCs w:val="24"/>
        </w:rPr>
        <w:t>2020年5月20日</w:t>
      </w:r>
      <w:r>
        <w:rPr>
          <w:rFonts w:hint="eastAsia" w:ascii="仿宋_GB2312" w:hAnsi="宋体" w:eastAsia="仿宋_GB2312"/>
          <w:sz w:val="28"/>
          <w:szCs w:val="28"/>
        </w:rPr>
        <w:t>的市场价值。</w:t>
      </w:r>
    </w:p>
    <w:p>
      <w:pPr>
        <w:keepLines w:val="0"/>
        <w:pageBreakBefore w:val="0"/>
        <w:kinsoku/>
        <w:wordWrap/>
        <w:overflowPunct/>
        <w:topLinePunct w:val="0"/>
        <w:autoSpaceDE/>
        <w:bidi w:val="0"/>
        <w:adjustRightInd w:val="0"/>
        <w:snapToGrid w:val="0"/>
        <w:spacing w:line="494"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市场价值是指</w:t>
      </w:r>
      <w:r>
        <w:rPr>
          <w:rFonts w:hint="eastAsia" w:eastAsia="仿宋_GB2312"/>
          <w:sz w:val="28"/>
          <w:szCs w:val="20"/>
        </w:rPr>
        <w:t>估价对象经适当营销后，由熟悉情况、谨慎行事且不受强迫的交易双方，以公平交易方式在价值时点自愿进行交易的金额</w:t>
      </w:r>
      <w:r>
        <w:rPr>
          <w:rFonts w:hint="eastAsia" w:ascii="仿宋_GB2312" w:hAnsi="宋体" w:eastAsia="仿宋_GB2312" w:cs="宋体"/>
          <w:kern w:val="0"/>
          <w:sz w:val="28"/>
          <w:szCs w:val="28"/>
        </w:rPr>
        <w:t>。</w:t>
      </w:r>
    </w:p>
    <w:p>
      <w:pPr>
        <w:keepNext/>
        <w:keepLines w:val="0"/>
        <w:pageBreakBefore w:val="0"/>
        <w:kinsoku/>
        <w:wordWrap/>
        <w:overflowPunct/>
        <w:topLinePunct w:val="0"/>
        <w:autoSpaceDE/>
        <w:bidi w:val="0"/>
        <w:adjustRightInd w:val="0"/>
        <w:snapToGrid w:val="0"/>
        <w:spacing w:line="494" w:lineRule="exact"/>
        <w:ind w:firstLine="560" w:firstLineChars="200"/>
        <w:textAlignment w:val="auto"/>
        <w:outlineLvl w:val="1"/>
        <w:rPr>
          <w:rFonts w:ascii="仿宋_GB2312" w:hAnsi="宋体" w:eastAsia="仿宋_GB2312"/>
          <w:b/>
          <w:kern w:val="0"/>
          <w:sz w:val="28"/>
          <w:szCs w:val="32"/>
        </w:rPr>
      </w:pPr>
      <w:bookmarkStart w:id="82" w:name="_Toc21175"/>
      <w:r>
        <w:rPr>
          <w:rFonts w:hint="eastAsia" w:ascii="仿宋_GB2312" w:hAnsi="宋体" w:eastAsia="仿宋_GB2312"/>
          <w:b/>
          <w:kern w:val="0"/>
          <w:sz w:val="28"/>
          <w:szCs w:val="32"/>
        </w:rPr>
        <w:t>七、估价原则</w:t>
      </w:r>
      <w:bookmarkEnd w:id="82"/>
    </w:p>
    <w:p>
      <w:pPr>
        <w:keepLines w:val="0"/>
        <w:pageBreakBefore w:val="0"/>
        <w:widowControl/>
        <w:kinsoku/>
        <w:wordWrap/>
        <w:overflowPunct/>
        <w:topLinePunct w:val="0"/>
        <w:autoSpaceDE/>
        <w:bidi w:val="0"/>
        <w:spacing w:line="494" w:lineRule="exact"/>
        <w:ind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本次估价遵循独立、客观、公正原则、合法原则、最高最佳使用原则、价值时点原则、替代原则。</w:t>
      </w:r>
    </w:p>
    <w:p>
      <w:pPr>
        <w:keepLines w:val="0"/>
        <w:pageBreakBefore w:val="0"/>
        <w:widowControl/>
        <w:kinsoku/>
        <w:wordWrap/>
        <w:overflowPunct/>
        <w:topLinePunct w:val="0"/>
        <w:autoSpaceDE/>
        <w:bidi w:val="0"/>
        <w:spacing w:line="494" w:lineRule="exact"/>
        <w:ind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1、独立、客观、公正原则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kern w:val="0"/>
          <w:sz w:val="28"/>
          <w:szCs w:val="28"/>
        </w:rPr>
        <w:t>独立、客观、公正原则是房地产估价的最高行为准则。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2、合法原则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3、替代原则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kern w:val="0"/>
          <w:sz w:val="28"/>
          <w:szCs w:val="28"/>
        </w:rPr>
        <w:t>本次评估使用比较法求取房地产价格是以替代原则为基础的。</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4、最高最佳利用原则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kern w:val="0"/>
          <w:sz w:val="28"/>
          <w:szCs w:val="28"/>
        </w:rPr>
        <w:t>本次估价以此原则为估价的前提进行测算。</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5、价值时点原则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kern w:val="0"/>
          <w:sz w:val="28"/>
          <w:szCs w:val="28"/>
        </w:rPr>
        <w:t>在比较法中价值时点原则得到了应用。</w:t>
      </w:r>
    </w:p>
    <w:p>
      <w:pPr>
        <w:keepNext/>
        <w:keepLines w:val="0"/>
        <w:pageBreakBefore w:val="0"/>
        <w:kinsoku/>
        <w:wordWrap/>
        <w:overflowPunct/>
        <w:topLinePunct w:val="0"/>
        <w:autoSpaceDE/>
        <w:bidi w:val="0"/>
        <w:adjustRightInd w:val="0"/>
        <w:snapToGrid w:val="0"/>
        <w:spacing w:line="494" w:lineRule="exact"/>
        <w:ind w:firstLine="560" w:firstLineChars="200"/>
        <w:textAlignment w:val="auto"/>
        <w:outlineLvl w:val="1"/>
        <w:rPr>
          <w:rFonts w:ascii="仿宋_GB2312" w:hAnsi="宋体" w:eastAsia="仿宋_GB2312"/>
          <w:b/>
          <w:kern w:val="0"/>
          <w:sz w:val="28"/>
          <w:szCs w:val="32"/>
        </w:rPr>
      </w:pPr>
      <w:bookmarkStart w:id="83" w:name="_Toc32538"/>
      <w:r>
        <w:rPr>
          <w:rFonts w:hint="eastAsia" w:ascii="仿宋_GB2312" w:hAnsi="宋体" w:eastAsia="仿宋_GB2312"/>
          <w:b/>
          <w:kern w:val="0"/>
          <w:sz w:val="28"/>
          <w:szCs w:val="32"/>
        </w:rPr>
        <w:t>八、估价依据</w:t>
      </w:r>
      <w:bookmarkEnd w:id="75"/>
      <w:bookmarkEnd w:id="76"/>
      <w:bookmarkEnd w:id="77"/>
      <w:bookmarkEnd w:id="78"/>
      <w:bookmarkEnd w:id="79"/>
      <w:bookmarkEnd w:id="80"/>
      <w:bookmarkEnd w:id="81"/>
      <w:bookmarkEnd w:id="83"/>
    </w:p>
    <w:p>
      <w:pPr>
        <w:keepLines w:val="0"/>
        <w:pageBreakBefore w:val="0"/>
        <w:kinsoku/>
        <w:wordWrap/>
        <w:overflowPunct/>
        <w:topLinePunct w:val="0"/>
        <w:autoSpaceDE/>
        <w:bidi w:val="0"/>
        <w:adjustRightInd w:val="0"/>
        <w:snapToGrid w:val="0"/>
        <w:spacing w:line="494" w:lineRule="exact"/>
        <w:ind w:firstLine="560" w:firstLineChars="200"/>
        <w:textAlignment w:val="auto"/>
        <w:rPr>
          <w:rFonts w:ascii="仿宋_GB2312" w:hAnsi="宋体" w:eastAsia="仿宋_GB2312"/>
          <w:sz w:val="28"/>
          <w:szCs w:val="28"/>
        </w:rPr>
      </w:pPr>
      <w:bookmarkStart w:id="84" w:name="_Hlk38998945"/>
      <w:bookmarkStart w:id="85" w:name="_Toc205170841"/>
      <w:bookmarkStart w:id="86" w:name="_Toc293374885"/>
      <w:bookmarkStart w:id="87" w:name="_Toc293325698"/>
      <w:bookmarkStart w:id="88" w:name="_Toc17351"/>
      <w:bookmarkStart w:id="89" w:name="_Toc63759847"/>
      <w:bookmarkStart w:id="90" w:name="_Toc288131934"/>
      <w:bookmarkStart w:id="91" w:name="_Toc63759923"/>
      <w:r>
        <w:rPr>
          <w:rFonts w:hint="eastAsia" w:eastAsia="仿宋_GB2312"/>
          <w:sz w:val="28"/>
          <w:szCs w:val="20"/>
        </w:rPr>
        <w:t>（一）本次估价所依据的有关法律、法规和部门规章</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1、《中华人民共和国物权法》</w:t>
      </w:r>
      <w:r>
        <w:rPr>
          <w:rFonts w:hint="eastAsia" w:ascii="仿宋_GB2312" w:eastAsia="仿宋_GB2312"/>
          <w:bCs/>
          <w:kern w:val="0"/>
          <w:sz w:val="28"/>
          <w:szCs w:val="20"/>
        </w:rPr>
        <w:t>（</w:t>
      </w:r>
      <w:r>
        <w:rPr>
          <w:rFonts w:hint="eastAsia" w:ascii="仿宋_GB2312" w:hAnsi="宋体" w:eastAsia="仿宋_GB2312"/>
          <w:kern w:val="0"/>
          <w:sz w:val="28"/>
          <w:szCs w:val="28"/>
        </w:rPr>
        <w:t>2007年中华人民共和国主席令第62号）；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2、《中华人民共和国城市房地产管理法》（2007年中华人民共和国主席令第72号）；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3、《中华人民共和国土地管理法》（第十届全国人民代表大会常务委员会第十一次会议通过修改，2004年8月28日公布施行）；</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4、《中华人民共和国资产评估法》（第十二届全国人民代表大会常务委员会第二十一次会议表决通过，2016年12月1日起施行）；</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5、《全国人民代表大会常务委员会关于司法鉴定管理问题的决定》（2005年2月28日） ；</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6、最高人民法院、国土资源部、建设部《关于依法规范人民法院执行和国土资源房地产管理部门协助执行若干问题的通知》(法发[2004]5号)；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7、最高人民法院关于审理涉及国有土地使用权合同纠纷案件适用法律问题的解释（2005年8月1日起施行）；</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8、《司法鉴定程序通则》（2007年8月7日，司法部令第107号）；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9、《最高人民法院对外委托鉴定、评估、拍卖等工作管理规定》（2007年8月23日，法办〔2007〕5号）；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10、《最高人民法院关于人民法院委托评估、拍卖工作的若干规定》（法释〔2011〕21号）；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11、《最高人民法院关于人民法院网络司法拍卖若干问题的规定》（法释〔2016〕18号）；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2</w:t>
      </w:r>
      <w:r>
        <w:rPr>
          <w:rFonts w:hint="eastAsia" w:ascii="仿宋_GB2312" w:hAnsi="宋体" w:eastAsia="仿宋_GB2312"/>
          <w:kern w:val="0"/>
          <w:sz w:val="28"/>
          <w:szCs w:val="28"/>
        </w:rPr>
        <w:t>、《浙江省高级人民法院执行局关于规范不动产网络司法拍卖、变卖工作指引》（浙高法执[2020]6号）；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3</w:t>
      </w:r>
      <w:r>
        <w:rPr>
          <w:rFonts w:hint="eastAsia" w:ascii="仿宋_GB2312" w:hAnsi="宋体" w:eastAsia="仿宋_GB2312"/>
          <w:kern w:val="0"/>
          <w:sz w:val="28"/>
          <w:szCs w:val="28"/>
        </w:rPr>
        <w:t>、全国人大、国务院、住房和城乡建设部、最高人民法院、浙江省人民政府有关部门颁布的其他有关法律、法规和部门规章等政策文件。</w:t>
      </w:r>
    </w:p>
    <w:bookmarkEnd w:id="84"/>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（二）本次估价采用的技术规程</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1、《房地产估价规范》（国家标准GB/T50291-2015）；</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 《房地产估价基本术语标准》（国家标准GB/T50899-2013）；</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3、《城镇土地估价规程》（GB/T 18508-2014）。</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（三）委托人提供的有关资料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1、《杭州市拱墅区人民法院资产评估委托书》（（2020）拱法委评字第111号）。</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（四）估价机构和估价人员搜集掌握的有关资料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1、估价对象所在地自然条件、社会经济条件、行政区划人口等方面的基本情况资料；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2、估价人员现场核实、实地查勘、拍照等资料；</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3、《桐庐县不动产权属信息查询记录》（编号</w:t>
      </w:r>
      <w:r>
        <w:rPr>
          <w:rFonts w:hint="eastAsia" w:ascii="仿宋_GB2312" w:eastAsia="仿宋_GB2312"/>
          <w:kern w:val="0"/>
          <w:sz w:val="28"/>
          <w:szCs w:val="20"/>
        </w:rPr>
        <w:t>：TQ20200520-0000482）</w:t>
      </w:r>
      <w:r>
        <w:rPr>
          <w:rFonts w:hint="eastAsia" w:ascii="仿宋_GB2312" w:hAnsi="宋体" w:eastAsia="仿宋_GB2312"/>
          <w:kern w:val="0"/>
          <w:sz w:val="28"/>
          <w:szCs w:val="28"/>
        </w:rPr>
        <w:t>；</w:t>
      </w:r>
    </w:p>
    <w:p>
      <w:pPr>
        <w:keepLines w:val="0"/>
        <w:pageBreakBefore w:val="0"/>
        <w:widowControl/>
        <w:kinsoku/>
        <w:wordWrap/>
        <w:overflowPunct/>
        <w:topLinePunct w:val="0"/>
        <w:autoSpaceDE/>
        <w:bidi w:val="0"/>
        <w:spacing w:line="494"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4、本公司估价人员掌握和搜集的其他相关资料。</w:t>
      </w:r>
    </w:p>
    <w:bookmarkEnd w:id="85"/>
    <w:bookmarkEnd w:id="86"/>
    <w:bookmarkEnd w:id="87"/>
    <w:bookmarkEnd w:id="88"/>
    <w:bookmarkEnd w:id="89"/>
    <w:bookmarkEnd w:id="90"/>
    <w:bookmarkEnd w:id="91"/>
    <w:p>
      <w:pPr>
        <w:keepNext/>
        <w:keepLines w:val="0"/>
        <w:pageBreakBefore w:val="0"/>
        <w:kinsoku/>
        <w:wordWrap/>
        <w:overflowPunct/>
        <w:topLinePunct w:val="0"/>
        <w:autoSpaceDE/>
        <w:bidi w:val="0"/>
        <w:adjustRightInd w:val="0"/>
        <w:snapToGrid w:val="0"/>
        <w:spacing w:line="494" w:lineRule="exact"/>
        <w:ind w:firstLine="560" w:firstLineChars="200"/>
        <w:textAlignment w:val="auto"/>
        <w:outlineLvl w:val="1"/>
        <w:rPr>
          <w:rFonts w:ascii="仿宋_GB2312" w:hAnsi="宋体" w:eastAsia="仿宋_GB2312"/>
          <w:b/>
          <w:kern w:val="0"/>
          <w:sz w:val="28"/>
          <w:szCs w:val="32"/>
        </w:rPr>
      </w:pPr>
      <w:bookmarkStart w:id="92" w:name="_Toc63759848"/>
      <w:bookmarkStart w:id="93" w:name="_Toc63759924"/>
      <w:bookmarkStart w:id="94" w:name="_Toc293325699"/>
      <w:bookmarkStart w:id="95" w:name="_Toc293374886"/>
      <w:bookmarkStart w:id="96" w:name="_Toc205170842"/>
      <w:bookmarkStart w:id="97" w:name="_Toc28888"/>
      <w:bookmarkStart w:id="98" w:name="_Toc288131935"/>
      <w:bookmarkStart w:id="99" w:name="_Toc31976"/>
      <w:r>
        <w:rPr>
          <w:rFonts w:hint="eastAsia" w:ascii="仿宋_GB2312" w:hAnsi="宋体" w:eastAsia="仿宋_GB2312"/>
          <w:b/>
          <w:kern w:val="0"/>
          <w:sz w:val="28"/>
          <w:szCs w:val="32"/>
        </w:rPr>
        <w:t>九、估价方法</w:t>
      </w:r>
      <w:bookmarkEnd w:id="92"/>
      <w:bookmarkEnd w:id="93"/>
      <w:bookmarkEnd w:id="94"/>
      <w:bookmarkEnd w:id="95"/>
      <w:bookmarkEnd w:id="96"/>
      <w:bookmarkEnd w:id="97"/>
      <w:bookmarkEnd w:id="98"/>
      <w:bookmarkEnd w:id="99"/>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sz w:val="28"/>
          <w:szCs w:val="28"/>
        </w:rPr>
      </w:pPr>
      <w:bookmarkStart w:id="100" w:name="_Toc288131936"/>
      <w:bookmarkStart w:id="101" w:name="_Toc293325700"/>
      <w:bookmarkStart w:id="102" w:name="_Toc205170843"/>
      <w:bookmarkStart w:id="103" w:name="_Toc32377"/>
      <w:bookmarkStart w:id="104" w:name="_Toc293374887"/>
      <w:r>
        <w:rPr>
          <w:rFonts w:hint="eastAsia" w:ascii="仿宋_GB2312" w:hAnsi="宋体" w:eastAsia="仿宋_GB2312" w:cs="宋体"/>
          <w:sz w:val="28"/>
          <w:szCs w:val="28"/>
        </w:rPr>
        <w:t>1、估价方法的选取</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估价人员按照《房地产估价规范》（</w:t>
      </w:r>
      <w:r>
        <w:rPr>
          <w:rFonts w:hint="eastAsia" w:ascii="仿宋_GB2312" w:hAnsi="宋体" w:eastAsia="仿宋_GB2312" w:cs="仿宋_GB2312"/>
          <w:sz w:val="28"/>
          <w:szCs w:val="28"/>
        </w:rPr>
        <w:t>GB/T 50291-2015</w:t>
      </w:r>
      <w:r>
        <w:rPr>
          <w:rFonts w:hint="eastAsia" w:ascii="仿宋_GB2312" w:hAnsi="宋体" w:eastAsia="仿宋_GB2312" w:cs="宋体"/>
          <w:sz w:val="28"/>
          <w:szCs w:val="28"/>
        </w:rPr>
        <w:t>）及《房地产估价基本术语标准》（国标GB/T 50899-2013)等技术标准，根据估价对象所在区域房地产市场状况并结合估价对象具体特点及估价目的等，结合估价经验，经过反复研究推敲，选用适当的估价方法。</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房地产估价常用的方法有比较法、收益法、成本法、假设开发法、基准地价修正法等。</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比较法适用于同类房地产有较多交易案例的房地产估价，经踏勘，估价对象为住宅房地产，区域内同类房地产交易较活跃，有较多交易案例，且交易案例较易获得，故可以采用比较法。</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收益法</w:t>
      </w:r>
      <w:r>
        <w:rPr>
          <w:rFonts w:hint="eastAsia" w:ascii="仿宋_GB2312" w:hAnsi="宋体" w:eastAsia="仿宋_GB2312" w:cs="宋体"/>
          <w:sz w:val="28"/>
          <w:szCs w:val="28"/>
        </w:rPr>
        <w:t>适用于有收益或有潜在收益的房地产估价。</w:t>
      </w:r>
      <w:r>
        <w:rPr>
          <w:rFonts w:hint="eastAsia" w:eastAsia="仿宋_GB2312" w:cs="仿宋_GB2312"/>
          <w:spacing w:val="4"/>
          <w:sz w:val="28"/>
          <w:szCs w:val="24"/>
        </w:rPr>
        <w:t>收益法是从租赁市场的角度出发，反映的是长期收益，本次评估确定估价对象房地产市场交易价值，体现的是一次性买断的市场价，且考虑到估价对象周边类似物业由于建成年代、楼盘品质、装修档次不同，其租金差异较大且目前区域住宅房地产租售比不成比例，因此本次不采用收益法。</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cs="仿宋_GB2312"/>
          <w:spacing w:val="4"/>
          <w:sz w:val="28"/>
          <w:szCs w:val="24"/>
        </w:rPr>
        <w:t>假设开发法适用于具有开发或再开发潜力且开发完成后的价值可采用除成本法以外的方法测算的房地产的估价，一般适用于在建工程或待开发项目，本次评估不予采用。</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keepLines w:val="0"/>
        <w:pageBreakBefore w:val="0"/>
        <w:kinsoku/>
        <w:wordWrap/>
        <w:overflowPunct/>
        <w:topLinePunct w:val="0"/>
        <w:autoSpaceDE/>
        <w:bidi w:val="0"/>
        <w:spacing w:line="494" w:lineRule="exact"/>
        <w:ind w:firstLine="560" w:firstLineChars="200"/>
        <w:textAlignment w:val="auto"/>
        <w:rPr>
          <w:rFonts w:eastAsia="仿宋_GB2312"/>
          <w:spacing w:val="4"/>
          <w:sz w:val="28"/>
          <w:szCs w:val="24"/>
        </w:rPr>
      </w:pPr>
      <w:r>
        <w:rPr>
          <w:rFonts w:hint="eastAsia" w:ascii="仿宋_GB2312" w:hAnsi="宋体" w:eastAsia="仿宋_GB2312" w:cs="仿宋_GB2312"/>
          <w:sz w:val="28"/>
          <w:szCs w:val="28"/>
        </w:rPr>
        <w:t>基准地价系数修正法适用于土地价值的评估，主要应用在成本法中土地取得成本或重置价值的测算，本次不适宜选用成本法，所以亦不适宜选用基准地价系数修正法。</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cs="仿宋_GB2312"/>
          <w:spacing w:val="4"/>
          <w:sz w:val="28"/>
          <w:szCs w:val="24"/>
        </w:rPr>
        <w:t>综上所述，根据估价对象的特点，可采用比较法测算，收益法、假设开发法、成本法和基准地价系数修正法均缺乏可操作性。故本次评估以比较法为主进行价格试算，在此试算结果基础上结合估价对象区位特点进一步分析，从而得到估价对象较为准确、合理的估价结果。</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2、估价方法的定义</w:t>
      </w:r>
    </w:p>
    <w:p>
      <w:pPr>
        <w:keepLines w:val="0"/>
        <w:pageBreakBefore w:val="0"/>
        <w:kinsoku/>
        <w:wordWrap/>
        <w:overflowPunct/>
        <w:topLinePunct w:val="0"/>
        <w:autoSpaceDE/>
        <w:bidi w:val="0"/>
        <w:spacing w:line="494" w:lineRule="exact"/>
        <w:ind w:firstLine="576" w:firstLineChars="200"/>
        <w:textAlignment w:val="auto"/>
        <w:rPr>
          <w:rFonts w:eastAsia="仿宋_GB2312" w:cs="仿宋_GB2312"/>
          <w:spacing w:val="4"/>
          <w:sz w:val="28"/>
          <w:szCs w:val="24"/>
        </w:rPr>
      </w:pPr>
      <w:r>
        <w:rPr>
          <w:rFonts w:hint="eastAsia" w:eastAsia="仿宋_GB2312" w:cs="仿宋_GB2312"/>
          <w:spacing w:val="4"/>
          <w:sz w:val="28"/>
          <w:szCs w:val="24"/>
        </w:rPr>
        <w:t>（1）比较法</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spacing w:val="4"/>
          <w:sz w:val="28"/>
          <w:szCs w:val="24"/>
        </w:rPr>
        <w:t>比较</w:t>
      </w:r>
      <w:r>
        <w:rPr>
          <w:rFonts w:hint="eastAsia" w:ascii="仿宋_GB2312" w:hAnsi="宋体" w:eastAsia="仿宋_GB2312" w:cs="宋体"/>
          <w:sz w:val="28"/>
          <w:szCs w:val="28"/>
        </w:rPr>
        <w:t>价格，其计算公式为：</w:t>
      </w:r>
    </w:p>
    <w:p>
      <w:pPr>
        <w:keepLines w:val="0"/>
        <w:pageBreakBefore w:val="0"/>
        <w:kinsoku/>
        <w:wordWrap/>
        <w:overflowPunct/>
        <w:topLinePunct w:val="0"/>
        <w:autoSpaceDE/>
        <w:bidi w:val="0"/>
        <w:spacing w:line="494" w:lineRule="exact"/>
        <w:ind w:firstLine="576" w:firstLineChars="200"/>
        <w:textAlignment w:val="auto"/>
        <w:rPr>
          <w:rFonts w:eastAsia="仿宋_GB2312"/>
          <w:spacing w:val="4"/>
          <w:sz w:val="28"/>
          <w:szCs w:val="24"/>
        </w:rPr>
      </w:pPr>
      <w:r>
        <w:rPr>
          <w:rFonts w:hint="eastAsia" w:eastAsia="仿宋_GB2312"/>
          <w:spacing w:val="4"/>
          <w:sz w:val="28"/>
          <w:szCs w:val="24"/>
        </w:rPr>
        <w:t>估价对象比较价格</w:t>
      </w:r>
      <w:r>
        <w:rPr>
          <w:rFonts w:eastAsia="仿宋_GB2312"/>
          <w:spacing w:val="4"/>
          <w:sz w:val="28"/>
          <w:szCs w:val="24"/>
        </w:rPr>
        <w:t>=</w:t>
      </w:r>
      <w:r>
        <w:rPr>
          <w:rFonts w:hint="eastAsia" w:eastAsia="仿宋_GB2312"/>
          <w:spacing w:val="4"/>
          <w:sz w:val="28"/>
          <w:szCs w:val="24"/>
        </w:rPr>
        <w:t>可比实例成交价格×交易情况修正指数×市场状况调整系数×房地产状况调整系数。</w:t>
      </w:r>
    </w:p>
    <w:p>
      <w:pPr>
        <w:keepNext/>
        <w:keepLines w:val="0"/>
        <w:pageBreakBefore w:val="0"/>
        <w:widowControl/>
        <w:kinsoku/>
        <w:wordWrap/>
        <w:overflowPunct/>
        <w:topLinePunct w:val="0"/>
        <w:autoSpaceDE/>
        <w:autoSpaceDN w:val="0"/>
        <w:bidi w:val="0"/>
        <w:adjustRightInd w:val="0"/>
        <w:snapToGrid w:val="0"/>
        <w:spacing w:line="494" w:lineRule="exact"/>
        <w:ind w:firstLine="560" w:firstLineChars="200"/>
        <w:textAlignment w:val="auto"/>
        <w:outlineLvl w:val="1"/>
        <w:rPr>
          <w:rFonts w:ascii="仿宋_GB2312" w:eastAsia="仿宋_GB2312"/>
          <w:b/>
          <w:spacing w:val="4"/>
          <w:sz w:val="28"/>
          <w:szCs w:val="20"/>
        </w:rPr>
      </w:pPr>
      <w:bookmarkStart w:id="105" w:name="_Toc8459"/>
      <w:r>
        <w:rPr>
          <w:rFonts w:hint="eastAsia" w:ascii="仿宋_GB2312" w:eastAsia="仿宋_GB2312" w:cs="仿宋_GB2312"/>
          <w:b/>
          <w:sz w:val="28"/>
          <w:szCs w:val="28"/>
        </w:rPr>
        <w:t>十</w:t>
      </w:r>
      <w:r>
        <w:rPr>
          <w:rFonts w:hint="eastAsia" w:ascii="仿宋_GB2312" w:eastAsia="仿宋_GB2312"/>
          <w:b/>
          <w:spacing w:val="4"/>
          <w:sz w:val="28"/>
          <w:szCs w:val="20"/>
        </w:rPr>
        <w:t>、估价结果</w:t>
      </w:r>
      <w:bookmarkEnd w:id="100"/>
      <w:bookmarkEnd w:id="101"/>
      <w:bookmarkEnd w:id="102"/>
      <w:bookmarkEnd w:id="103"/>
      <w:bookmarkEnd w:id="104"/>
      <w:bookmarkEnd w:id="105"/>
    </w:p>
    <w:p>
      <w:pPr>
        <w:keepLines w:val="0"/>
        <w:pageBreakBefore w:val="0"/>
        <w:kinsoku/>
        <w:wordWrap/>
        <w:overflowPunct/>
        <w:topLinePunct w:val="0"/>
        <w:autoSpaceDE/>
        <w:bidi w:val="0"/>
        <w:spacing w:line="494" w:lineRule="exact"/>
        <w:ind w:firstLine="576" w:firstLineChars="200"/>
        <w:textAlignment w:val="auto"/>
        <w:rPr>
          <w:rFonts w:ascii="仿宋_GB2312" w:hAnsi="宋体" w:eastAsia="仿宋_GB2312" w:cs="宋体"/>
          <w:b/>
          <w:bCs/>
          <w:sz w:val="28"/>
          <w:szCs w:val="28"/>
        </w:rPr>
      </w:pPr>
      <w:bookmarkStart w:id="106" w:name="_Toc63759926"/>
      <w:bookmarkStart w:id="107" w:name="_Toc293374888"/>
      <w:bookmarkStart w:id="108" w:name="_Toc18253"/>
      <w:bookmarkStart w:id="109" w:name="_Toc288131937"/>
      <w:bookmarkStart w:id="110" w:name="_Toc293325701"/>
      <w:bookmarkStart w:id="111" w:name="_Toc205170844"/>
      <w:bookmarkStart w:id="112" w:name="_Toc63759850"/>
      <w:r>
        <w:rPr>
          <w:rFonts w:hint="eastAsia" w:eastAsia="仿宋_GB2312"/>
          <w:spacing w:val="4"/>
          <w:sz w:val="28"/>
          <w:szCs w:val="24"/>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spacing w:val="4"/>
          <w:sz w:val="28"/>
          <w:szCs w:val="24"/>
        </w:rPr>
        <w:t>2020年5月20日的</w:t>
      </w:r>
      <w:r>
        <w:rPr>
          <w:rFonts w:hint="eastAsia" w:ascii="仿宋_GB2312" w:hAnsi="宋体" w:eastAsia="仿宋_GB2312" w:cs="宋体"/>
          <w:sz w:val="28"/>
          <w:szCs w:val="28"/>
        </w:rPr>
        <w:t>市场价值如下</w:t>
      </w:r>
      <w:r>
        <w:rPr>
          <w:rFonts w:hint="eastAsia" w:eastAsia="仿宋_GB2312"/>
          <w:spacing w:val="4"/>
          <w:sz w:val="28"/>
          <w:szCs w:val="24"/>
        </w:rPr>
        <w:t>：</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4394</w:t>
      </w:r>
      <w:r>
        <w:rPr>
          <w:rFonts w:hint="eastAsia" w:ascii="仿宋_GB2312" w:hAnsi="宋体" w:eastAsia="仿宋_GB2312" w:cs="宋体"/>
          <w:b/>
          <w:bCs/>
          <w:sz w:val="28"/>
          <w:szCs w:val="28"/>
        </w:rPr>
        <w:t>元/平方米</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24.62</w:t>
      </w:r>
      <w:r>
        <w:rPr>
          <w:rFonts w:hint="eastAsia" w:ascii="仿宋_GB2312" w:hAnsi="宋体" w:eastAsia="仿宋_GB2312" w:cs="宋体"/>
          <w:b/>
          <w:bCs/>
          <w:sz w:val="28"/>
          <w:szCs w:val="28"/>
        </w:rPr>
        <w:t>万元</w:t>
      </w:r>
    </w:p>
    <w:p>
      <w:pPr>
        <w:keepLines w:val="0"/>
        <w:pageBreakBefore w:val="0"/>
        <w:kinsoku/>
        <w:wordWrap/>
        <w:overflowPunct/>
        <w:topLinePunct w:val="0"/>
        <w:autoSpaceDE/>
        <w:bidi w:val="0"/>
        <w:spacing w:line="494" w:lineRule="exact"/>
        <w:ind w:firstLine="560" w:firstLineChars="200"/>
        <w:textAlignment w:val="auto"/>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eastAsia="zh-CN"/>
        </w:rPr>
        <w:t>贰拾肆万陆仟贰佰</w:t>
      </w:r>
      <w:r>
        <w:rPr>
          <w:rFonts w:hint="eastAsia" w:ascii="仿宋_GB2312" w:hAnsi="宋体" w:eastAsia="仿宋_GB2312" w:cs="宋体"/>
          <w:b/>
          <w:bCs/>
          <w:sz w:val="28"/>
          <w:szCs w:val="28"/>
        </w:rPr>
        <w:t>圆整</w:t>
      </w:r>
    </w:p>
    <w:p>
      <w:pPr>
        <w:spacing w:line="440" w:lineRule="exact"/>
        <w:ind w:left="564" w:leftChars="269" w:right="-10" w:rightChars="-5"/>
        <w:jc w:val="center"/>
        <w:rPr>
          <w:rFonts w:ascii="仿宋_GB2312" w:hAnsi="宋体" w:eastAsia="仿宋_GB2312" w:cs="宋体"/>
          <w:spacing w:val="4"/>
          <w:sz w:val="28"/>
          <w:szCs w:val="24"/>
        </w:rPr>
      </w:pPr>
      <w:r>
        <w:rPr>
          <w:rFonts w:hint="eastAsia" w:ascii="仿宋_GB2312" w:hAnsi="宋体" w:eastAsia="仿宋_GB2312" w:cs="宋体"/>
          <w:spacing w:val="4"/>
          <w:sz w:val="24"/>
          <w:szCs w:val="24"/>
        </w:rPr>
        <w:t>估价结果汇总表</w:t>
      </w:r>
    </w:p>
    <w:p>
      <w:pPr>
        <w:ind w:left="566" w:leftChars="269" w:right="-10" w:rightChars="-5" w:hanging="2" w:hangingChars="1"/>
        <w:jc w:val="right"/>
        <w:rPr>
          <w:rFonts w:ascii="仿宋_GB2312" w:hAnsi="宋体" w:eastAsia="仿宋_GB2312" w:cs="宋体"/>
          <w:spacing w:val="4"/>
          <w:szCs w:val="21"/>
        </w:rPr>
      </w:pPr>
      <w:r>
        <w:rPr>
          <w:rFonts w:hint="eastAsia" w:ascii="仿宋_GB2312" w:hAnsi="宋体" w:eastAsia="仿宋_GB2312" w:cs="宋体"/>
          <w:spacing w:val="4"/>
          <w:sz w:val="24"/>
          <w:szCs w:val="24"/>
        </w:rPr>
        <w:t>币种：人民币</w:t>
      </w:r>
    </w:p>
    <w:tbl>
      <w:tblPr>
        <w:tblStyle w:val="10"/>
        <w:tblW w:w="7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84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34" w:type="dxa"/>
            <w:gridSpan w:val="2"/>
            <w:tcBorders>
              <w:tl2br w:val="single" w:color="auto" w:sz="4" w:space="0"/>
            </w:tcBorders>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估价方法</w:t>
            </w:r>
          </w:p>
          <w:p>
            <w:pPr>
              <w:widowControl/>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相关结果</w:t>
            </w:r>
          </w:p>
        </w:tc>
        <w:tc>
          <w:tcPr>
            <w:tcW w:w="3325"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94" w:type="dxa"/>
            <w:vMerge w:val="restart"/>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测算结果</w:t>
            </w:r>
          </w:p>
        </w:tc>
        <w:tc>
          <w:tcPr>
            <w:tcW w:w="2840"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总价（万元）</w:t>
            </w:r>
          </w:p>
        </w:tc>
        <w:tc>
          <w:tcPr>
            <w:tcW w:w="3325"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94" w:type="dxa"/>
            <w:vMerge w:val="continue"/>
            <w:vAlign w:val="center"/>
          </w:tcPr>
          <w:p>
            <w:pPr>
              <w:widowControl/>
              <w:jc w:val="center"/>
              <w:textAlignment w:val="center"/>
              <w:rPr>
                <w:rFonts w:ascii="仿宋_GB2312" w:hAnsi="仿宋_GB2312" w:eastAsia="仿宋_GB2312" w:cs="仿宋_GB2312"/>
                <w:kern w:val="0"/>
                <w:sz w:val="24"/>
              </w:rPr>
            </w:pPr>
          </w:p>
        </w:tc>
        <w:tc>
          <w:tcPr>
            <w:tcW w:w="2840"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单价（元/m2)</w:t>
            </w:r>
          </w:p>
        </w:tc>
        <w:tc>
          <w:tcPr>
            <w:tcW w:w="3325"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4394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94" w:type="dxa"/>
            <w:vMerge w:val="restart"/>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评估价值</w:t>
            </w:r>
          </w:p>
        </w:tc>
        <w:tc>
          <w:tcPr>
            <w:tcW w:w="2840"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总价（万元）</w:t>
            </w:r>
          </w:p>
        </w:tc>
        <w:tc>
          <w:tcPr>
            <w:tcW w:w="3325"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794" w:type="dxa"/>
            <w:vMerge w:val="continue"/>
            <w:vAlign w:val="center"/>
          </w:tcPr>
          <w:p>
            <w:pPr>
              <w:widowControl/>
              <w:jc w:val="center"/>
              <w:textAlignment w:val="center"/>
              <w:rPr>
                <w:rFonts w:ascii="仿宋_GB2312" w:hAnsi="仿宋_GB2312" w:eastAsia="仿宋_GB2312" w:cs="仿宋_GB2312"/>
                <w:kern w:val="0"/>
                <w:sz w:val="24"/>
              </w:rPr>
            </w:pPr>
          </w:p>
        </w:tc>
        <w:tc>
          <w:tcPr>
            <w:tcW w:w="2840"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单价（元/m2)</w:t>
            </w:r>
          </w:p>
        </w:tc>
        <w:tc>
          <w:tcPr>
            <w:tcW w:w="3325"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4394</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3" w:name="_Toc10414"/>
      <w:r>
        <w:rPr>
          <w:rFonts w:hint="eastAsia" w:ascii="仿宋_GB2312" w:eastAsia="仿宋_GB2312" w:cs="仿宋_GB2312"/>
          <w:b/>
          <w:sz w:val="28"/>
          <w:szCs w:val="28"/>
        </w:rPr>
        <w:t>十一、注册房地产估价师</w:t>
      </w:r>
      <w:bookmarkEnd w:id="113"/>
    </w:p>
    <w:p>
      <w:pPr>
        <w:tabs>
          <w:tab w:val="left" w:pos="5020"/>
        </w:tabs>
        <w:spacing w:line="480" w:lineRule="exact"/>
        <w:jc w:val="center"/>
        <w:rPr>
          <w:rFonts w:ascii="仿宋_GB2312" w:eastAsia="仿宋_GB2312"/>
          <w:b/>
          <w:color w:val="000000"/>
          <w:sz w:val="28"/>
          <w:szCs w:val="28"/>
        </w:rPr>
      </w:pPr>
      <w:r>
        <w:rPr>
          <w:rFonts w:hint="eastAsia" w:eastAsia="仿宋_GB2312"/>
          <w:color w:val="000000"/>
          <w:spacing w:val="4"/>
          <w:sz w:val="28"/>
          <w:szCs w:val="24"/>
        </w:rPr>
        <w:t>参加估价的注册房地产估价师</w:t>
      </w:r>
    </w:p>
    <w:tbl>
      <w:tblPr>
        <w:tblStyle w:val="10"/>
        <w:tblW w:w="86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4"/>
        <w:gridCol w:w="1540"/>
        <w:gridCol w:w="3589"/>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234"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姓名</w:t>
            </w:r>
          </w:p>
        </w:tc>
        <w:tc>
          <w:tcPr>
            <w:tcW w:w="1540"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注册号</w:t>
            </w:r>
          </w:p>
        </w:tc>
        <w:tc>
          <w:tcPr>
            <w:tcW w:w="3589"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w:t>
            </w:r>
          </w:p>
        </w:tc>
        <w:tc>
          <w:tcPr>
            <w:tcW w:w="2334"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1234" w:type="dxa"/>
            <w:vAlign w:val="center"/>
          </w:tcPr>
          <w:p>
            <w:pPr>
              <w:spacing w:line="360" w:lineRule="auto"/>
              <w:jc w:val="center"/>
              <w:textAlignment w:val="bottom"/>
              <w:rPr>
                <w:rFonts w:hint="eastAsia" w:hAnsi="仿宋" w:cs="宋体" w:eastAsiaTheme="minorEastAsia"/>
                <w:color w:val="000000"/>
                <w:szCs w:val="28"/>
                <w:lang w:eastAsia="zh-CN"/>
              </w:rPr>
            </w:pPr>
            <w:r>
              <w:rPr>
                <w:rFonts w:hint="eastAsia" w:hAnsi="仿宋" w:cs="宋体"/>
                <w:color w:val="000000"/>
                <w:szCs w:val="28"/>
                <w:lang w:eastAsia="zh-CN"/>
              </w:rPr>
              <w:t>陈如腾</w:t>
            </w:r>
          </w:p>
        </w:tc>
        <w:tc>
          <w:tcPr>
            <w:tcW w:w="1540" w:type="dxa"/>
            <w:vAlign w:val="center"/>
          </w:tcPr>
          <w:p>
            <w:pPr>
              <w:spacing w:line="360" w:lineRule="auto"/>
              <w:jc w:val="center"/>
              <w:textAlignment w:val="bottom"/>
              <w:rPr>
                <w:rFonts w:hAnsi="仿宋" w:cs="宋体"/>
                <w:color w:val="000000"/>
                <w:szCs w:val="28"/>
              </w:rPr>
            </w:pPr>
            <w:r>
              <w:rPr>
                <w:rFonts w:hint="eastAsia" w:hAnsi="仿宋" w:cs="宋体"/>
                <w:szCs w:val="28"/>
              </w:rPr>
              <w:t>3320130028</w:t>
            </w:r>
          </w:p>
        </w:tc>
        <w:tc>
          <w:tcPr>
            <w:tcW w:w="3589" w:type="dxa"/>
            <w:vAlign w:val="center"/>
          </w:tcPr>
          <w:p>
            <w:pPr>
              <w:spacing w:line="360" w:lineRule="auto"/>
              <w:jc w:val="center"/>
              <w:textAlignment w:val="bottom"/>
              <w:rPr>
                <w:rFonts w:hAnsi="仿宋" w:cs="宋体"/>
                <w:color w:val="000000"/>
                <w:szCs w:val="28"/>
              </w:rPr>
            </w:pPr>
          </w:p>
        </w:tc>
        <w:tc>
          <w:tcPr>
            <w:tcW w:w="2334"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jc w:val="center"/>
        </w:trPr>
        <w:tc>
          <w:tcPr>
            <w:tcW w:w="1234"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张晓冬</w:t>
            </w:r>
          </w:p>
        </w:tc>
        <w:tc>
          <w:tcPr>
            <w:tcW w:w="1540" w:type="dxa"/>
            <w:vAlign w:val="center"/>
          </w:tcPr>
          <w:p>
            <w:pPr>
              <w:spacing w:line="360" w:lineRule="auto"/>
              <w:jc w:val="center"/>
              <w:textAlignment w:val="bottom"/>
              <w:rPr>
                <w:rFonts w:hAnsi="仿宋" w:cs="宋体"/>
                <w:color w:val="000000"/>
                <w:szCs w:val="28"/>
              </w:rPr>
            </w:pPr>
            <w:r>
              <w:rPr>
                <w:rFonts w:hint="eastAsia" w:hAnsi="仿宋" w:cs="宋体"/>
                <w:szCs w:val="28"/>
              </w:rPr>
              <w:t>3320080022</w:t>
            </w:r>
          </w:p>
        </w:tc>
        <w:tc>
          <w:tcPr>
            <w:tcW w:w="3589" w:type="dxa"/>
            <w:vAlign w:val="center"/>
          </w:tcPr>
          <w:p>
            <w:pPr>
              <w:spacing w:line="360" w:lineRule="auto"/>
              <w:jc w:val="center"/>
              <w:textAlignment w:val="bottom"/>
              <w:rPr>
                <w:rFonts w:hAnsi="仿宋" w:cs="宋体"/>
                <w:color w:val="000000"/>
                <w:szCs w:val="28"/>
              </w:rPr>
            </w:pPr>
          </w:p>
        </w:tc>
        <w:tc>
          <w:tcPr>
            <w:tcW w:w="2334"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4" w:name="_Toc3982"/>
      <w:r>
        <w:rPr>
          <w:rFonts w:hint="eastAsia" w:ascii="仿宋_GB2312" w:eastAsia="仿宋_GB2312" w:cs="仿宋_GB2312"/>
          <w:b/>
          <w:sz w:val="28"/>
          <w:szCs w:val="28"/>
        </w:rPr>
        <w:t>十二、实地查勘期</w:t>
      </w:r>
      <w:bookmarkEnd w:id="114"/>
    </w:p>
    <w:p>
      <w:pPr>
        <w:spacing w:line="50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2020年5月20日至2020年5月20日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5" w:name="_Toc5066"/>
      <w:r>
        <w:rPr>
          <w:rFonts w:hint="eastAsia" w:ascii="仿宋_GB2312" w:eastAsia="仿宋_GB2312" w:cs="仿宋_GB2312"/>
          <w:b/>
          <w:sz w:val="28"/>
          <w:szCs w:val="28"/>
        </w:rPr>
        <w:t>十三、估价作业日期</w:t>
      </w:r>
      <w:bookmarkEnd w:id="115"/>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2020年5月20日至</w:t>
      </w:r>
      <w:r>
        <w:rPr>
          <w:rFonts w:hint="eastAsia" w:ascii="仿宋_GB2312" w:eastAsia="仿宋_GB2312" w:cs="仿宋_GB2312"/>
          <w:spacing w:val="4"/>
          <w:sz w:val="28"/>
          <w:szCs w:val="28"/>
        </w:rPr>
        <w:t>2020年5月25日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6" w:name="_Toc205170847"/>
      <w:bookmarkStart w:id="117" w:name="_Toc293325703"/>
      <w:bookmarkStart w:id="118" w:name="_Toc288131939"/>
      <w:bookmarkStart w:id="119" w:name="_Toc445106089"/>
      <w:bookmarkStart w:id="120" w:name="_Toc293374890"/>
      <w:bookmarkStart w:id="121" w:name="_Toc1523"/>
      <w:r>
        <w:rPr>
          <w:rFonts w:hint="eastAsia" w:ascii="仿宋_GB2312" w:eastAsia="仿宋_GB2312" w:cs="仿宋_GB2312"/>
          <w:b/>
          <w:sz w:val="28"/>
          <w:szCs w:val="28"/>
        </w:rPr>
        <w:t>十四、估价报告应用的有效期</w:t>
      </w:r>
      <w:bookmarkEnd w:id="116"/>
      <w:bookmarkEnd w:id="117"/>
      <w:bookmarkEnd w:id="118"/>
      <w:bookmarkEnd w:id="119"/>
      <w:bookmarkEnd w:id="120"/>
      <w:bookmarkEnd w:id="121"/>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本报告的有效期自估价报告提交之日起壹年内有效。即自</w:t>
      </w:r>
      <w:r>
        <w:rPr>
          <w:rFonts w:hint="eastAsia" w:ascii="仿宋_GB2312" w:eastAsia="仿宋_GB2312" w:cs="仿宋_GB2312"/>
          <w:spacing w:val="4"/>
          <w:sz w:val="28"/>
          <w:szCs w:val="28"/>
        </w:rPr>
        <w:t>2020年5月25日</w:t>
      </w:r>
      <w:r>
        <w:rPr>
          <w:rFonts w:hint="eastAsia" w:ascii="仿宋_GB2312" w:eastAsia="仿宋_GB2312"/>
          <w:spacing w:val="4"/>
          <w:sz w:val="28"/>
          <w:szCs w:val="24"/>
        </w:rPr>
        <w:t>至2021年5月24日止。但市场状况变化很大时，估价报告应用的有效期不超过半年。有效期满后，需重新估价。</w:t>
      </w:r>
    </w:p>
    <w:bookmarkEnd w:id="106"/>
    <w:bookmarkEnd w:id="107"/>
    <w:bookmarkEnd w:id="108"/>
    <w:bookmarkEnd w:id="109"/>
    <w:bookmarkEnd w:id="110"/>
    <w:bookmarkEnd w:id="111"/>
    <w:bookmarkEnd w:id="112"/>
    <w:p>
      <w:pPr>
        <w:rPr>
          <w:rFonts w:ascii="仿宋_GB2312" w:eastAsia="仿宋_GB2312"/>
          <w:sz w:val="28"/>
          <w:szCs w:val="24"/>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bookmarkStart w:id="122" w:name="_Toc154819862"/>
      <w:bookmarkStart w:id="123" w:name="_Toc63759928"/>
      <w:bookmarkStart w:id="124" w:name="_Toc63759852"/>
      <w:bookmarkStart w:id="125" w:name="_Toc205170848"/>
      <w:bookmarkStart w:id="126" w:name="_Toc288131949"/>
      <w:bookmarkStart w:id="127" w:name="_Toc63758261"/>
    </w:p>
    <w:p>
      <w:pPr>
        <w:keepNext/>
        <w:keepLines/>
        <w:adjustRightInd w:val="0"/>
        <w:spacing w:before="340" w:after="330" w:line="440" w:lineRule="exact"/>
        <w:jc w:val="center"/>
        <w:textAlignment w:val="baseline"/>
        <w:outlineLvl w:val="0"/>
        <w:rPr>
          <w:rFonts w:ascii="仿宋_GB2312" w:eastAsia="仿宋_GB2312"/>
          <w:b/>
          <w:kern w:val="0"/>
          <w:sz w:val="36"/>
          <w:szCs w:val="36"/>
        </w:rPr>
      </w:pPr>
      <w:bookmarkStart w:id="128" w:name="_Toc20051"/>
      <w:bookmarkStart w:id="129" w:name="_Toc30351"/>
      <w:r>
        <w:rPr>
          <w:rFonts w:hint="eastAsia" w:ascii="仿宋_GB2312" w:eastAsia="仿宋_GB2312"/>
          <w:b/>
          <w:kern w:val="0"/>
          <w:sz w:val="36"/>
          <w:szCs w:val="36"/>
        </w:rPr>
        <w:t>附   件</w:t>
      </w:r>
      <w:bookmarkEnd w:id="122"/>
      <w:bookmarkEnd w:id="123"/>
      <w:bookmarkEnd w:id="124"/>
      <w:bookmarkEnd w:id="125"/>
      <w:bookmarkEnd w:id="126"/>
      <w:bookmarkEnd w:id="127"/>
      <w:bookmarkEnd w:id="128"/>
      <w:bookmarkEnd w:id="129"/>
    </w:p>
    <w:p>
      <w:pPr>
        <w:keepNext/>
        <w:adjustRightInd w:val="0"/>
        <w:snapToGrid w:val="0"/>
        <w:spacing w:line="480" w:lineRule="exact"/>
        <w:ind w:firstLine="560" w:firstLineChars="200"/>
        <w:jc w:val="left"/>
        <w:outlineLvl w:val="1"/>
        <w:rPr>
          <w:rFonts w:ascii="仿宋_GB2312" w:eastAsia="仿宋_GB2312"/>
          <w:bCs/>
          <w:sz w:val="28"/>
          <w:szCs w:val="28"/>
        </w:rPr>
      </w:pPr>
      <w:bookmarkStart w:id="130" w:name="_Toc445106098"/>
      <w:bookmarkStart w:id="131" w:name="_Toc14601"/>
      <w:bookmarkStart w:id="132" w:name="_Toc288131950"/>
      <w:bookmarkStart w:id="133" w:name="_Toc17506"/>
      <w:r>
        <w:rPr>
          <w:rFonts w:hint="eastAsia" w:ascii="仿宋_GB2312" w:eastAsia="仿宋_GB2312"/>
          <w:bCs/>
          <w:sz w:val="28"/>
          <w:szCs w:val="28"/>
        </w:rPr>
        <w:t>附件一、 估价对象位置示意图</w:t>
      </w:r>
      <w:bookmarkEnd w:id="130"/>
      <w:bookmarkEnd w:id="131"/>
      <w:bookmarkEnd w:id="132"/>
      <w:bookmarkEnd w:id="133"/>
    </w:p>
    <w:p>
      <w:pPr>
        <w:keepNext/>
        <w:adjustRightInd w:val="0"/>
        <w:snapToGrid w:val="0"/>
        <w:spacing w:line="480" w:lineRule="exact"/>
        <w:ind w:firstLine="560" w:firstLineChars="200"/>
        <w:jc w:val="left"/>
        <w:outlineLvl w:val="1"/>
        <w:rPr>
          <w:rFonts w:ascii="仿宋_GB2312" w:eastAsia="仿宋_GB2312"/>
          <w:bCs/>
          <w:sz w:val="28"/>
          <w:szCs w:val="28"/>
        </w:rPr>
      </w:pPr>
      <w:bookmarkStart w:id="134" w:name="_Toc7587"/>
      <w:bookmarkStart w:id="135" w:name="_Toc445106099"/>
      <w:bookmarkStart w:id="136" w:name="_Toc288131951"/>
      <w:bookmarkStart w:id="137" w:name="_Toc23845"/>
      <w:r>
        <w:rPr>
          <w:rFonts w:hint="eastAsia" w:ascii="仿宋_GB2312" w:eastAsia="仿宋_GB2312"/>
          <w:bCs/>
          <w:sz w:val="28"/>
          <w:szCs w:val="28"/>
        </w:rPr>
        <w:t>附件二、 估价对象现场勘查照片</w:t>
      </w:r>
      <w:bookmarkEnd w:id="134"/>
      <w:bookmarkEnd w:id="135"/>
      <w:bookmarkEnd w:id="136"/>
      <w:bookmarkEnd w:id="137"/>
    </w:p>
    <w:p>
      <w:pPr>
        <w:keepNext/>
        <w:adjustRightInd w:val="0"/>
        <w:snapToGrid w:val="0"/>
        <w:spacing w:line="480" w:lineRule="exact"/>
        <w:ind w:firstLine="560" w:firstLineChars="200"/>
        <w:jc w:val="left"/>
        <w:outlineLvl w:val="1"/>
        <w:rPr>
          <w:rFonts w:ascii="仿宋_GB2312" w:eastAsia="仿宋_GB2312"/>
          <w:bCs/>
          <w:sz w:val="28"/>
          <w:szCs w:val="28"/>
        </w:rPr>
      </w:pPr>
      <w:bookmarkStart w:id="138" w:name="_Toc288131952"/>
      <w:bookmarkStart w:id="139" w:name="_Toc17458"/>
      <w:bookmarkStart w:id="140" w:name="_Toc445106100"/>
      <w:bookmarkStart w:id="141" w:name="_Toc10392"/>
      <w:r>
        <w:rPr>
          <w:rFonts w:hint="eastAsia" w:ascii="仿宋_GB2312" w:eastAsia="仿宋_GB2312"/>
          <w:bCs/>
          <w:sz w:val="28"/>
          <w:szCs w:val="28"/>
        </w:rPr>
        <w:t>附件三、《杭州市拱墅区人民法院资产评估委托书》复印件</w:t>
      </w:r>
      <w:bookmarkEnd w:id="138"/>
      <w:bookmarkEnd w:id="139"/>
      <w:bookmarkEnd w:id="140"/>
      <w:bookmarkEnd w:id="141"/>
    </w:p>
    <w:p>
      <w:pPr>
        <w:keepNext/>
        <w:adjustRightInd w:val="0"/>
        <w:snapToGrid w:val="0"/>
        <w:spacing w:line="480" w:lineRule="exact"/>
        <w:ind w:firstLine="560"/>
        <w:jc w:val="left"/>
        <w:outlineLvl w:val="1"/>
        <w:rPr>
          <w:rFonts w:ascii="仿宋_GB2312" w:eastAsia="仿宋_GB2312"/>
          <w:color w:val="000000"/>
          <w:sz w:val="28"/>
          <w:szCs w:val="28"/>
        </w:rPr>
      </w:pPr>
      <w:bookmarkStart w:id="142" w:name="_Toc23339"/>
      <w:bookmarkStart w:id="143" w:name="_Toc6487"/>
      <w:bookmarkStart w:id="144" w:name="_Toc28605"/>
      <w:bookmarkStart w:id="145" w:name="_Toc5511"/>
      <w:bookmarkStart w:id="146" w:name="_Toc445106101"/>
      <w:bookmarkStart w:id="147" w:name="_Toc288131953"/>
      <w:r>
        <w:rPr>
          <w:rFonts w:hint="eastAsia" w:ascii="仿宋_GB2312" w:eastAsia="仿宋_GB2312"/>
          <w:color w:val="000000"/>
          <w:sz w:val="28"/>
          <w:szCs w:val="28"/>
        </w:rPr>
        <w:t>附件四、《桐庐县不动产权属信息查询记录》复印件</w:t>
      </w:r>
      <w:bookmarkEnd w:id="142"/>
      <w:bookmarkEnd w:id="143"/>
      <w:bookmarkEnd w:id="144"/>
    </w:p>
    <w:p>
      <w:pPr>
        <w:keepNext/>
        <w:adjustRightInd w:val="0"/>
        <w:snapToGrid w:val="0"/>
        <w:spacing w:line="480" w:lineRule="exact"/>
        <w:ind w:firstLine="560" w:firstLineChars="200"/>
        <w:jc w:val="left"/>
        <w:outlineLvl w:val="1"/>
        <w:rPr>
          <w:rFonts w:ascii="仿宋_GB2312" w:eastAsia="仿宋_GB2312"/>
          <w:bCs/>
          <w:sz w:val="28"/>
          <w:szCs w:val="28"/>
        </w:rPr>
      </w:pPr>
      <w:bookmarkStart w:id="148" w:name="_Toc7617"/>
      <w:r>
        <w:rPr>
          <w:rFonts w:hint="eastAsia" w:ascii="仿宋_GB2312" w:eastAsia="仿宋_GB2312"/>
          <w:bCs/>
          <w:sz w:val="28"/>
          <w:szCs w:val="28"/>
        </w:rPr>
        <w:t>附件五、</w:t>
      </w:r>
      <w:bookmarkEnd w:id="145"/>
      <w:bookmarkEnd w:id="146"/>
      <w:bookmarkEnd w:id="147"/>
      <w:bookmarkStart w:id="149" w:name="_Toc27519"/>
      <w:bookmarkStart w:id="150" w:name="_Toc445106102"/>
      <w:r>
        <w:rPr>
          <w:rFonts w:hint="eastAsia" w:ascii="仿宋_GB2312" w:eastAsia="仿宋_GB2312"/>
          <w:bCs/>
          <w:sz w:val="28"/>
          <w:szCs w:val="28"/>
        </w:rPr>
        <w:t xml:space="preserve"> 估价机构营业执照复印件</w:t>
      </w:r>
      <w:bookmarkEnd w:id="148"/>
      <w:bookmarkEnd w:id="149"/>
    </w:p>
    <w:p>
      <w:pPr>
        <w:keepNext/>
        <w:adjustRightInd w:val="0"/>
        <w:snapToGrid w:val="0"/>
        <w:spacing w:line="480" w:lineRule="exact"/>
        <w:ind w:firstLine="560" w:firstLineChars="200"/>
        <w:jc w:val="left"/>
        <w:outlineLvl w:val="1"/>
        <w:rPr>
          <w:rFonts w:ascii="仿宋_GB2312" w:eastAsia="仿宋_GB2312"/>
          <w:bCs/>
          <w:sz w:val="28"/>
          <w:szCs w:val="28"/>
        </w:rPr>
      </w:pPr>
      <w:bookmarkStart w:id="151" w:name="_Toc1585"/>
      <w:bookmarkStart w:id="152" w:name="_Toc18830"/>
      <w:r>
        <w:rPr>
          <w:rFonts w:hint="eastAsia" w:ascii="仿宋_GB2312" w:eastAsia="仿宋_GB2312"/>
          <w:bCs/>
          <w:sz w:val="28"/>
          <w:szCs w:val="28"/>
        </w:rPr>
        <w:t>附件六、</w:t>
      </w:r>
      <w:bookmarkEnd w:id="150"/>
      <w:r>
        <w:rPr>
          <w:rFonts w:hint="eastAsia" w:ascii="仿宋_GB2312" w:eastAsia="仿宋_GB2312"/>
          <w:bCs/>
          <w:sz w:val="28"/>
          <w:szCs w:val="28"/>
        </w:rPr>
        <w:t xml:space="preserve"> 估价机构资质证书复印件</w:t>
      </w:r>
      <w:bookmarkEnd w:id="151"/>
      <w:bookmarkEnd w:id="152"/>
    </w:p>
    <w:p>
      <w:pPr>
        <w:keepNext/>
        <w:adjustRightInd w:val="0"/>
        <w:snapToGrid w:val="0"/>
        <w:spacing w:line="480" w:lineRule="exact"/>
        <w:ind w:firstLine="560" w:firstLineChars="200"/>
        <w:jc w:val="left"/>
        <w:outlineLvl w:val="1"/>
        <w:rPr>
          <w:rFonts w:ascii="仿宋_GB2312" w:eastAsia="仿宋_GB2312"/>
          <w:bCs/>
          <w:sz w:val="28"/>
          <w:szCs w:val="28"/>
        </w:rPr>
      </w:pPr>
      <w:bookmarkStart w:id="153" w:name="_Toc9098"/>
      <w:bookmarkStart w:id="154" w:name="_Toc9228"/>
      <w:r>
        <w:rPr>
          <w:rFonts w:hint="eastAsia" w:ascii="仿宋_GB2312" w:eastAsia="仿宋_GB2312"/>
          <w:bCs/>
          <w:sz w:val="28"/>
          <w:szCs w:val="28"/>
        </w:rPr>
        <w:t>附件七、 注册房地产估价师注册证书复印件</w:t>
      </w:r>
      <w:bookmarkEnd w:id="153"/>
      <w:bookmarkEnd w:id="154"/>
    </w:p>
    <w:p>
      <w:pPr>
        <w:tabs>
          <w:tab w:val="left" w:pos="2310"/>
        </w:tabs>
        <w:spacing w:line="560" w:lineRule="exact"/>
        <w:ind w:right="-10" w:rightChars="-5" w:firstLine="576" w:firstLineChars="200"/>
        <w:rPr>
          <w:rFonts w:ascii="仿宋_GB2312" w:eastAsia="仿宋_GB2312"/>
          <w:spacing w:val="4"/>
          <w:sz w:val="28"/>
          <w:szCs w:val="24"/>
        </w:rPr>
      </w:pPr>
      <w:r>
        <w:rPr>
          <w:rFonts w:ascii="仿宋_GB2312" w:eastAsia="仿宋_GB2312"/>
          <w:spacing w:val="4"/>
          <w:sz w:val="28"/>
          <w:szCs w:val="24"/>
        </w:rPr>
        <w:tab/>
      </w:r>
    </w:p>
    <w:p>
      <w:pPr>
        <w:rPr>
          <w:szCs w:val="24"/>
        </w:rPr>
      </w:pPr>
    </w:p>
    <w:p>
      <w:pPr>
        <w:rPr>
          <w:szCs w:val="24"/>
        </w:rPr>
      </w:pPr>
    </w:p>
    <w:p>
      <w:pPr>
        <w:rPr>
          <w:szCs w:val="24"/>
        </w:rPr>
      </w:pPr>
    </w:p>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1" o:spid="_x0000_s4097" o:spt="20" style="position:absolute;left:0pt;margin-left:0pt;margin-top:8.05pt;height:0pt;width:414pt;z-index:251656192;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KvUvdIAAAAGAQAADwAAAAAAAAABACAAAAAiAAAAZHJzL2Rvd25yZXYu&#10;eG1sUEsBAhQAFAAAAAgAh07iQP2FAiLIAQAAjwMAAA4AAAAAAAAAAQAgAAAAIQEAAGRycy9lMm9E&#10;b2MueG1sUEsFBgAAAAAGAAYAWQEAAFsFA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2" o:spid="_x0000_s4098" o:spt="20" style="position:absolute;left:0pt;margin-left:0pt;margin-top:8.05pt;height:0pt;width:414pt;z-index:251658240;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fUVwt8kBAACPAwAADgAAAGRycy9lMm9Eb2MueG1srVNLbhsxDN0X&#10;6B0E7euZGEm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t+zpkHR0909+Pn3a/fbF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B9RXC3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3" o:spid="_x0000_s4099" o:spt="20" style="position:absolute;left:0pt;margin-left:0pt;margin-top:8.05pt;height:0pt;width:414pt;z-index:251660288;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iFUK9skBAACPAwAADgAAAGRycy9lMm9Eb2MueG1srVNLbhsxDN0X&#10;6B0E7euZOEi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s+58yDoye6+/Hz7tdvdl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CIVQr2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shape id="_x0000_s4100" o:spid="_x0000_s4100"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zHgNQAAAADAQAADwAAAAAAAAABACAAAAAiAAAAZHJzL2Rvd25yZXYueG1sUEsBAhQAFAAA&#10;AAgAh07iQObBNKC6AQAAVQ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w:t>
                </w:r>
              </w:p>
            </w:txbxContent>
          </v:textbox>
        </v:shape>
      </w:pict>
    </w:r>
    <w:r>
      <w:rPr>
        <w:sz w:val="20"/>
      </w:rPr>
      <w:pict>
        <v:line id="Line 9" o:spid="_x0000_s4101" o:spt="20" style="position:absolute;left:0pt;margin-left:1.5pt;margin-top:8.8pt;height:0pt;width:414pt;z-index:251654144;mso-width-relative:page;mso-height-relative:page;" coordsize="21600,21600" o:gfxdata="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PKoJ/TAAAABwEAAA8AAAAAAAAAAQAgAAAAIgAAAGRycy9kb3ducmV2LnhtbFBLAQIUABQA&#10;AAAIAIdO4kBAR7X1vAEAAI0DAAAOAAAAAAAAAAEAIAAAACIBAABkcnMvZTJvRG9jLnhtbFBLBQYA&#10;AAAABgAGAFkBAABQ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B3"/>
    <w:rsid w:val="00006825"/>
    <w:rsid w:val="00086D10"/>
    <w:rsid w:val="000B3502"/>
    <w:rsid w:val="00114E4B"/>
    <w:rsid w:val="00127F78"/>
    <w:rsid w:val="00133735"/>
    <w:rsid w:val="001434C9"/>
    <w:rsid w:val="00165056"/>
    <w:rsid w:val="0017523A"/>
    <w:rsid w:val="00187DD9"/>
    <w:rsid w:val="001B0F82"/>
    <w:rsid w:val="001B4FED"/>
    <w:rsid w:val="001B5D92"/>
    <w:rsid w:val="001B7560"/>
    <w:rsid w:val="001C73D1"/>
    <w:rsid w:val="00227854"/>
    <w:rsid w:val="00242D9E"/>
    <w:rsid w:val="002737F2"/>
    <w:rsid w:val="00284B85"/>
    <w:rsid w:val="002B1762"/>
    <w:rsid w:val="002B35CA"/>
    <w:rsid w:val="002D1E23"/>
    <w:rsid w:val="002D611F"/>
    <w:rsid w:val="0030024C"/>
    <w:rsid w:val="00323DEC"/>
    <w:rsid w:val="00331B75"/>
    <w:rsid w:val="0035089A"/>
    <w:rsid w:val="003812E9"/>
    <w:rsid w:val="00381767"/>
    <w:rsid w:val="00384E4C"/>
    <w:rsid w:val="0039610C"/>
    <w:rsid w:val="003A51D5"/>
    <w:rsid w:val="003B03E1"/>
    <w:rsid w:val="003B1008"/>
    <w:rsid w:val="003D4B71"/>
    <w:rsid w:val="0041585C"/>
    <w:rsid w:val="0042119F"/>
    <w:rsid w:val="00423B9B"/>
    <w:rsid w:val="00437DB3"/>
    <w:rsid w:val="00447EAC"/>
    <w:rsid w:val="004530E1"/>
    <w:rsid w:val="004758B4"/>
    <w:rsid w:val="00485CB3"/>
    <w:rsid w:val="004B3310"/>
    <w:rsid w:val="004C5A12"/>
    <w:rsid w:val="004C66C5"/>
    <w:rsid w:val="00503CC7"/>
    <w:rsid w:val="005170CF"/>
    <w:rsid w:val="005641FE"/>
    <w:rsid w:val="00566A38"/>
    <w:rsid w:val="00573243"/>
    <w:rsid w:val="00584AC0"/>
    <w:rsid w:val="005956F9"/>
    <w:rsid w:val="005B403E"/>
    <w:rsid w:val="005C0432"/>
    <w:rsid w:val="005E018C"/>
    <w:rsid w:val="00617502"/>
    <w:rsid w:val="0064687A"/>
    <w:rsid w:val="00654DAF"/>
    <w:rsid w:val="00657914"/>
    <w:rsid w:val="00662CBC"/>
    <w:rsid w:val="00676172"/>
    <w:rsid w:val="00676D29"/>
    <w:rsid w:val="006C4853"/>
    <w:rsid w:val="006E25A4"/>
    <w:rsid w:val="006F6F2B"/>
    <w:rsid w:val="007223EA"/>
    <w:rsid w:val="00725176"/>
    <w:rsid w:val="00760972"/>
    <w:rsid w:val="00780F8D"/>
    <w:rsid w:val="00787610"/>
    <w:rsid w:val="007916B3"/>
    <w:rsid w:val="007A34FE"/>
    <w:rsid w:val="007E29A3"/>
    <w:rsid w:val="00807C73"/>
    <w:rsid w:val="00816324"/>
    <w:rsid w:val="00833147"/>
    <w:rsid w:val="00833227"/>
    <w:rsid w:val="00850406"/>
    <w:rsid w:val="00863B38"/>
    <w:rsid w:val="00895C1C"/>
    <w:rsid w:val="008A3595"/>
    <w:rsid w:val="00917F3D"/>
    <w:rsid w:val="0093174C"/>
    <w:rsid w:val="00946622"/>
    <w:rsid w:val="00962C6C"/>
    <w:rsid w:val="0096756F"/>
    <w:rsid w:val="009937BD"/>
    <w:rsid w:val="009A169B"/>
    <w:rsid w:val="009B2C85"/>
    <w:rsid w:val="009D2993"/>
    <w:rsid w:val="009D711A"/>
    <w:rsid w:val="00A21726"/>
    <w:rsid w:val="00A34F0E"/>
    <w:rsid w:val="00A366C1"/>
    <w:rsid w:val="00A41391"/>
    <w:rsid w:val="00AA6ED8"/>
    <w:rsid w:val="00AB1362"/>
    <w:rsid w:val="00AE2A06"/>
    <w:rsid w:val="00AF5E97"/>
    <w:rsid w:val="00B01B0F"/>
    <w:rsid w:val="00B32809"/>
    <w:rsid w:val="00B70E8D"/>
    <w:rsid w:val="00BA03B0"/>
    <w:rsid w:val="00BB4F6D"/>
    <w:rsid w:val="00BE060E"/>
    <w:rsid w:val="00C316EF"/>
    <w:rsid w:val="00C33570"/>
    <w:rsid w:val="00C43C1C"/>
    <w:rsid w:val="00C449D1"/>
    <w:rsid w:val="00C65FC1"/>
    <w:rsid w:val="00C67BA3"/>
    <w:rsid w:val="00C73D61"/>
    <w:rsid w:val="00C9065A"/>
    <w:rsid w:val="00C9679E"/>
    <w:rsid w:val="00CD237D"/>
    <w:rsid w:val="00CD4CAC"/>
    <w:rsid w:val="00CE71A7"/>
    <w:rsid w:val="00D42321"/>
    <w:rsid w:val="00D42834"/>
    <w:rsid w:val="00D57987"/>
    <w:rsid w:val="00D61837"/>
    <w:rsid w:val="00D61B64"/>
    <w:rsid w:val="00D65A75"/>
    <w:rsid w:val="00D82B60"/>
    <w:rsid w:val="00DB0ED9"/>
    <w:rsid w:val="00DC61EA"/>
    <w:rsid w:val="00DC7DE8"/>
    <w:rsid w:val="00DD1625"/>
    <w:rsid w:val="00DE50D9"/>
    <w:rsid w:val="00E23ACA"/>
    <w:rsid w:val="00E23C2F"/>
    <w:rsid w:val="00E66B59"/>
    <w:rsid w:val="00E7522B"/>
    <w:rsid w:val="00E77693"/>
    <w:rsid w:val="00EB615E"/>
    <w:rsid w:val="00EB61AA"/>
    <w:rsid w:val="00EE2714"/>
    <w:rsid w:val="00EF796B"/>
    <w:rsid w:val="00F14A26"/>
    <w:rsid w:val="00F25A75"/>
    <w:rsid w:val="00F27A8F"/>
    <w:rsid w:val="00F35B99"/>
    <w:rsid w:val="00F540DC"/>
    <w:rsid w:val="00F55B90"/>
    <w:rsid w:val="00F72381"/>
    <w:rsid w:val="00FA51FC"/>
    <w:rsid w:val="00FD14B5"/>
    <w:rsid w:val="00FE4145"/>
    <w:rsid w:val="01AD1B24"/>
    <w:rsid w:val="01DC00AD"/>
    <w:rsid w:val="0352791F"/>
    <w:rsid w:val="04940129"/>
    <w:rsid w:val="076C7AD5"/>
    <w:rsid w:val="094B6387"/>
    <w:rsid w:val="09502CD5"/>
    <w:rsid w:val="0AD57D4F"/>
    <w:rsid w:val="0B9C4758"/>
    <w:rsid w:val="0C22605A"/>
    <w:rsid w:val="0C823B11"/>
    <w:rsid w:val="0E203FB5"/>
    <w:rsid w:val="0EE070C1"/>
    <w:rsid w:val="0F43024D"/>
    <w:rsid w:val="128E585F"/>
    <w:rsid w:val="129D12C4"/>
    <w:rsid w:val="13135219"/>
    <w:rsid w:val="1383623B"/>
    <w:rsid w:val="14081EAC"/>
    <w:rsid w:val="148E7152"/>
    <w:rsid w:val="14C97665"/>
    <w:rsid w:val="172528EF"/>
    <w:rsid w:val="176205EB"/>
    <w:rsid w:val="17A17D9B"/>
    <w:rsid w:val="17D20AB3"/>
    <w:rsid w:val="18E30650"/>
    <w:rsid w:val="194D2931"/>
    <w:rsid w:val="19957CCA"/>
    <w:rsid w:val="1B5A3DE0"/>
    <w:rsid w:val="1BD45746"/>
    <w:rsid w:val="1DDA22C7"/>
    <w:rsid w:val="1E1E2F88"/>
    <w:rsid w:val="1F5C77D2"/>
    <w:rsid w:val="1FD73C93"/>
    <w:rsid w:val="21031E2B"/>
    <w:rsid w:val="2116200A"/>
    <w:rsid w:val="23117C3B"/>
    <w:rsid w:val="24606102"/>
    <w:rsid w:val="24FE51E8"/>
    <w:rsid w:val="25F85A82"/>
    <w:rsid w:val="262D1708"/>
    <w:rsid w:val="26DD57EF"/>
    <w:rsid w:val="26EE1571"/>
    <w:rsid w:val="2706755D"/>
    <w:rsid w:val="29114140"/>
    <w:rsid w:val="2A703FB4"/>
    <w:rsid w:val="2B9A025F"/>
    <w:rsid w:val="2BD54295"/>
    <w:rsid w:val="2E0B7197"/>
    <w:rsid w:val="2F0821FD"/>
    <w:rsid w:val="2F133C7B"/>
    <w:rsid w:val="30050D97"/>
    <w:rsid w:val="30F73119"/>
    <w:rsid w:val="31CE737C"/>
    <w:rsid w:val="322D0B15"/>
    <w:rsid w:val="323E4A2B"/>
    <w:rsid w:val="332833AD"/>
    <w:rsid w:val="34845CDF"/>
    <w:rsid w:val="36065F81"/>
    <w:rsid w:val="377B63AD"/>
    <w:rsid w:val="38277E24"/>
    <w:rsid w:val="386413E4"/>
    <w:rsid w:val="390A3446"/>
    <w:rsid w:val="3B7F4183"/>
    <w:rsid w:val="3CAB4720"/>
    <w:rsid w:val="3E9A6E68"/>
    <w:rsid w:val="3F9918B7"/>
    <w:rsid w:val="3FB32DA6"/>
    <w:rsid w:val="3FBA7726"/>
    <w:rsid w:val="418115FA"/>
    <w:rsid w:val="42AB519E"/>
    <w:rsid w:val="42AF1F64"/>
    <w:rsid w:val="43815886"/>
    <w:rsid w:val="440262A2"/>
    <w:rsid w:val="462E267A"/>
    <w:rsid w:val="46457D6D"/>
    <w:rsid w:val="46FE2009"/>
    <w:rsid w:val="48495D4A"/>
    <w:rsid w:val="48AC06DA"/>
    <w:rsid w:val="49423848"/>
    <w:rsid w:val="49913AE2"/>
    <w:rsid w:val="4B3A09C7"/>
    <w:rsid w:val="4CC74350"/>
    <w:rsid w:val="4E03665F"/>
    <w:rsid w:val="4E216BFE"/>
    <w:rsid w:val="508A6F1C"/>
    <w:rsid w:val="50B9250E"/>
    <w:rsid w:val="50EE63E2"/>
    <w:rsid w:val="514D7948"/>
    <w:rsid w:val="51694DFE"/>
    <w:rsid w:val="52642F3E"/>
    <w:rsid w:val="52F32BC3"/>
    <w:rsid w:val="54364308"/>
    <w:rsid w:val="54FC6F8F"/>
    <w:rsid w:val="55CE2556"/>
    <w:rsid w:val="56482E94"/>
    <w:rsid w:val="569D326B"/>
    <w:rsid w:val="57713A89"/>
    <w:rsid w:val="57B00C9C"/>
    <w:rsid w:val="58B00F9D"/>
    <w:rsid w:val="596262EC"/>
    <w:rsid w:val="5A4F0A0E"/>
    <w:rsid w:val="5B2606C2"/>
    <w:rsid w:val="5D735479"/>
    <w:rsid w:val="5DA25066"/>
    <w:rsid w:val="60BA5A09"/>
    <w:rsid w:val="61160065"/>
    <w:rsid w:val="61C97ABC"/>
    <w:rsid w:val="61D8013C"/>
    <w:rsid w:val="63505FCA"/>
    <w:rsid w:val="635A6123"/>
    <w:rsid w:val="63DB6478"/>
    <w:rsid w:val="64A74D0B"/>
    <w:rsid w:val="650422FF"/>
    <w:rsid w:val="6581501B"/>
    <w:rsid w:val="67635551"/>
    <w:rsid w:val="6BBD3E4E"/>
    <w:rsid w:val="6CED6794"/>
    <w:rsid w:val="6D613DE5"/>
    <w:rsid w:val="6DCC2459"/>
    <w:rsid w:val="6E2A4AB7"/>
    <w:rsid w:val="6E537E59"/>
    <w:rsid w:val="6FE22874"/>
    <w:rsid w:val="70FE4171"/>
    <w:rsid w:val="713E6136"/>
    <w:rsid w:val="71A41F7F"/>
    <w:rsid w:val="71ED41AB"/>
    <w:rsid w:val="71ED7086"/>
    <w:rsid w:val="7325347A"/>
    <w:rsid w:val="73351218"/>
    <w:rsid w:val="78542C12"/>
    <w:rsid w:val="78B965CB"/>
    <w:rsid w:val="79035454"/>
    <w:rsid w:val="79F24CCC"/>
    <w:rsid w:val="7C032417"/>
    <w:rsid w:val="7C1D439D"/>
    <w:rsid w:val="7C380C2E"/>
    <w:rsid w:val="7DE21A57"/>
    <w:rsid w:val="7E383073"/>
    <w:rsid w:val="7E6F0F65"/>
    <w:rsid w:val="7E7342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2"/>
    <w:next w:val="2"/>
    <w:link w:val="18"/>
    <w:semiHidden/>
    <w:unhideWhenUsed/>
    <w:qFormat/>
    <w:uiPriority w:val="99"/>
    <w:rPr>
      <w:b/>
      <w:bCs/>
      <w:szCs w:val="22"/>
    </w:r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批注文字 Char"/>
    <w:basedOn w:val="11"/>
    <w:link w:val="2"/>
    <w:semiHidden/>
    <w:qFormat/>
    <w:uiPriority w:val="99"/>
    <w:rPr>
      <w:szCs w:val="24"/>
    </w:rPr>
  </w:style>
  <w:style w:type="character" w:customStyle="1" w:styleId="17">
    <w:name w:val="批注框文本 Char"/>
    <w:basedOn w:val="11"/>
    <w:link w:val="3"/>
    <w:semiHidden/>
    <w:qFormat/>
    <w:uiPriority w:val="99"/>
    <w:rPr>
      <w:sz w:val="18"/>
      <w:szCs w:val="18"/>
    </w:rPr>
  </w:style>
  <w:style w:type="character" w:customStyle="1" w:styleId="18">
    <w:name w:val="批注主题 Char"/>
    <w:basedOn w:val="16"/>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21</Pages>
  <Words>1841</Words>
  <Characters>10495</Characters>
  <Lines>87</Lines>
  <Paragraphs>24</Paragraphs>
  <TotalTime>5</TotalTime>
  <ScaleCrop>false</ScaleCrop>
  <LinksUpToDate>false</LinksUpToDate>
  <CharactersWithSpaces>12312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2018-03-05T06:28:00Z</dcterms:created>
  <dc:creator>Micorosoft</dc:creator>
  <cp:lastModifiedBy>Better Man</cp:lastModifiedBy>
  <cp:lastPrinted>2020-05-06T01:16:00Z</cp:lastPrinted>
  <dcterms:modified xsi:type="dcterms:W3CDTF">2020-06-02T06:24:53Z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