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AA" w:rsidRDefault="00C24A2E">
      <w:pPr>
        <w:widowControl/>
        <w:autoSpaceDE w:val="0"/>
        <w:autoSpaceDN w:val="0"/>
        <w:spacing w:line="600" w:lineRule="atLeast"/>
        <w:textAlignment w:val="bottom"/>
        <w:rPr>
          <w:b/>
          <w:sz w:val="30"/>
        </w:rPr>
      </w:pPr>
      <w:r>
        <w:rPr>
          <w:b/>
          <w:sz w:val="30"/>
        </w:rPr>
        <w:pict>
          <v:shapetype id="_x0000_t202" coordsize="21600,21600" o:spt="202" path="m,l,21600r21600,l21600,xe">
            <v:stroke joinstyle="miter"/>
            <v:path gradientshapeok="t" o:connecttype="rect"/>
          </v:shapetype>
          <v:shape id="文本框 28" o:spid="_x0000_s1026" type="#_x0000_t202" style="position:absolute;left:0;text-align:left;margin-left:69.15pt;margin-top:19.5pt;width:326pt;height:186.5pt;z-index:251657728;mso-width-relative:page;mso-height-relative:page" o:gfxdata="UEsDBAoAAAAAAIdO4kAAAAAAAAAAAAAAAAAEAAAAZHJzL1BLAwQUAAAACACHTuJAw1W2LdgAAAAK&#10;AQAADwAAAGRycy9kb3ducmV2LnhtbE2PzU7DMBCE70i8g7WVuFE7DZQ2xOmhEgcuCEIPHJ14m0SN&#10;15Ht/sDTs5zocWY/zc6Um4sbxQlDHDxpyOYKBFLr7UCdht3ny/0KREyGrBk9oYZvjLCpbm9KU1h/&#10;pg881akTHEKxMBr6lKZCytj26Eyc+wmJb3sfnEksQydtMGcOd6NcKLWUzgzEH3oz4bbH9lAfnYZu&#10;Hx7d8PX+GqYf91Yvd22zpaj13SxTzyASXtI/DH/1uTpU3KnxR7JRjKzzVc6ohnzNmxh4Wis2Gg0P&#10;2UKBrEp5PaH6BVBLAwQUAAAACACHTuJAututJB4CAAAiBAAADgAAAGRycy9lMm9Eb2MueG1srVPN&#10;jtMwEL4j8Q6W7zRpaJdu1HQFW4qQVrDSLg8wdZzEwn+yvU36AvAGnLhw57n6HIyd0i1wQYgeXDsz&#10;881838wsrwYlyY47L4yu6HSSU8I1M7XQbUU/3G+eLSjxAXQN0mhe0T339Gr19MmytyUvTGdkzR1B&#10;EO3L3la0C8GWWeZZxxX4ibFco7ExTkHAp2uz2kGP6EpmRZ5fZL1xtXWGce/x63o00lXCbxrOwvum&#10;8TwQWVGsLaTTpXMbz2y1hLJ1YDvBjmXAP1ShQGhMeoJaQwDy4MQfUEowZ7xpwoQZlZmmEYwnDshm&#10;mv/G5q4DyxMXFMfbk0z+/8Gyd7tbR0Rd0YISDQpbdPjy+fD1++HbJ1Isoj699SW63Vl0DMMrM2Cf&#10;E1dvbwz76Ik21x3olr/0FvWOVozKzsJGDI8AUaKhcSr+I3mCWNiV/akTfAiE4cfZdJZjeylhaCue&#10;Xyzm89Sr7DHcOh/ecKNIvFTUYepUFexufIgFQPnTJWbTZiOkTO2WmvRY5WWOmIQBTl0jIeBVWdTB&#10;63ZkZ6SoY0yM9q7dXktHdoBztEm/RBIt524x4Rp8N/ol0zhhSgTuUvKOQ/1a1yTsLWqtcSlorEbx&#10;mhLJcYfiLXkGEPJvPJGo1EfBR42j9GHYDggTr1tT77F38q3GwbmczmZxEdJjUSyiyO7csk2P2fxF&#10;gZYH60Tb/dJTHMQk7nFp4qSfv1Mhj6u9+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VbYt2AAA&#10;AAoBAAAPAAAAAAAAAAEAIAAAACIAAABkcnMvZG93bnJldi54bWxQSwECFAAUAAAACACHTuJAutut&#10;JB4CAAAiBAAADgAAAAAAAAABACAAAAAnAQAAZHJzL2Uyb0RvYy54bWxQSwUGAAAAAAYABgBZAQAA&#10;twUAAAAA&#10;" filled="f" strokecolor="white" strokeweight="1.5pt">
            <o:lock v:ext="edit" aspectratio="t"/>
            <v:textbox inset=",2.3mm">
              <w:txbxContent>
                <w:p w:rsidR="00152EAA" w:rsidRDefault="009870A2">
                  <w:pPr>
                    <w:pStyle w:val="ae"/>
                    <w:spacing w:before="0" w:beforeAutospacing="0" w:after="0" w:afterAutospacing="0"/>
                    <w:jc w:val="center"/>
                    <w:rPr>
                      <w:rFonts w:hint="default"/>
                    </w:rPr>
                  </w:pPr>
                  <w:r>
                    <w:rPr>
                      <w:rFonts w:cs="Times New Roman"/>
                      <w:b/>
                      <w:bCs/>
                      <w:sz w:val="44"/>
                      <w:szCs w:val="44"/>
                    </w:rPr>
                    <w:t>段新忠与</w:t>
                  </w:r>
                  <w:proofErr w:type="gramStart"/>
                  <w:r>
                    <w:rPr>
                      <w:rFonts w:cs="Times New Roman"/>
                      <w:b/>
                      <w:bCs/>
                      <w:sz w:val="44"/>
                      <w:szCs w:val="44"/>
                    </w:rPr>
                    <w:t>文铁庚一案</w:t>
                  </w:r>
                  <w:proofErr w:type="gramEnd"/>
                  <w:r>
                    <w:rPr>
                      <w:rFonts w:cs="Times New Roman"/>
                      <w:b/>
                      <w:bCs/>
                      <w:sz w:val="44"/>
                      <w:szCs w:val="44"/>
                    </w:rPr>
                    <w:t>所涉及的房产项目资产评估</w:t>
                  </w:r>
                  <w:r w:rsidR="00A70439">
                    <w:rPr>
                      <w:rFonts w:cs="Times New Roman"/>
                      <w:b/>
                      <w:bCs/>
                      <w:sz w:val="44"/>
                      <w:szCs w:val="44"/>
                    </w:rPr>
                    <w:t>报告</w:t>
                  </w:r>
                </w:p>
                <w:p w:rsidR="00152EAA" w:rsidRDefault="00152EAA">
                  <w:pPr>
                    <w:pStyle w:val="ae"/>
                    <w:spacing w:before="0" w:beforeAutospacing="0" w:after="0" w:afterAutospacing="0" w:line="280" w:lineRule="exact"/>
                    <w:jc w:val="center"/>
                    <w:rPr>
                      <w:rFonts w:cs="Times New Roman" w:hint="default"/>
                    </w:rPr>
                  </w:pPr>
                </w:p>
                <w:p w:rsidR="00152EAA" w:rsidRDefault="009870A2">
                  <w:pPr>
                    <w:pStyle w:val="ae"/>
                    <w:spacing w:before="0" w:beforeAutospacing="0" w:after="0" w:afterAutospacing="0" w:line="360" w:lineRule="auto"/>
                    <w:jc w:val="center"/>
                    <w:rPr>
                      <w:rFonts w:hint="default"/>
                    </w:rPr>
                  </w:pPr>
                  <w:proofErr w:type="gramStart"/>
                  <w:r>
                    <w:rPr>
                      <w:rFonts w:cs="Times New Roman"/>
                    </w:rPr>
                    <w:t>晋诺评报</w:t>
                  </w:r>
                  <w:proofErr w:type="gramEnd"/>
                  <w:r>
                    <w:rPr>
                      <w:rFonts w:cs="Times New Roman"/>
                    </w:rPr>
                    <w:t>字（2020）第009号</w:t>
                  </w:r>
                </w:p>
                <w:p w:rsidR="00152EAA" w:rsidRDefault="009870A2">
                  <w:pPr>
                    <w:pStyle w:val="ae"/>
                    <w:spacing w:before="0" w:beforeAutospacing="0" w:after="0" w:afterAutospacing="0" w:line="280" w:lineRule="exact"/>
                    <w:jc w:val="center"/>
                    <w:rPr>
                      <w:rFonts w:hint="default"/>
                    </w:rPr>
                  </w:pPr>
                  <w:r>
                    <w:rPr>
                      <w:rFonts w:cs="Times New Roman"/>
                    </w:rPr>
                    <w:t>（共1册，第1册）</w:t>
                  </w:r>
                </w:p>
              </w:txbxContent>
            </v:textbox>
          </v:shape>
        </w:pict>
      </w: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9870A2">
      <w:pPr>
        <w:widowControl/>
        <w:tabs>
          <w:tab w:val="left" w:pos="1658"/>
        </w:tabs>
        <w:autoSpaceDE w:val="0"/>
        <w:autoSpaceDN w:val="0"/>
        <w:spacing w:line="600" w:lineRule="atLeast"/>
        <w:textAlignment w:val="bottom"/>
        <w:rPr>
          <w:b/>
          <w:sz w:val="30"/>
        </w:rPr>
      </w:pPr>
      <w:r>
        <w:rPr>
          <w:b/>
          <w:sz w:val="30"/>
        </w:rPr>
        <w:tab/>
      </w: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9870A2">
      <w:pPr>
        <w:widowControl/>
        <w:tabs>
          <w:tab w:val="left" w:pos="7485"/>
        </w:tabs>
        <w:autoSpaceDE w:val="0"/>
        <w:autoSpaceDN w:val="0"/>
        <w:spacing w:line="600" w:lineRule="atLeast"/>
        <w:textAlignment w:val="bottom"/>
        <w:rPr>
          <w:b/>
          <w:sz w:val="30"/>
        </w:rPr>
      </w:pPr>
      <w:r>
        <w:rPr>
          <w:b/>
          <w:sz w:val="30"/>
        </w:rPr>
        <w:tab/>
      </w: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152EAA">
      <w:pPr>
        <w:widowControl/>
        <w:autoSpaceDE w:val="0"/>
        <w:autoSpaceDN w:val="0"/>
        <w:spacing w:line="600" w:lineRule="atLeast"/>
        <w:textAlignment w:val="bottom"/>
        <w:rPr>
          <w:b/>
          <w:sz w:val="30"/>
        </w:rPr>
      </w:pPr>
    </w:p>
    <w:p w:rsidR="00152EAA" w:rsidRDefault="00C24A2E">
      <w:pPr>
        <w:widowControl/>
        <w:autoSpaceDE w:val="0"/>
        <w:autoSpaceDN w:val="0"/>
        <w:spacing w:line="600" w:lineRule="atLeast"/>
        <w:textAlignment w:val="bottom"/>
        <w:rPr>
          <w:b/>
          <w:sz w:val="30"/>
        </w:rPr>
        <w:sectPr w:rsidR="00152EAA">
          <w:headerReference w:type="default" r:id="rId10"/>
          <w:footerReference w:type="even" r:id="rId11"/>
          <w:pgSz w:w="11906" w:h="16838"/>
          <w:pgMar w:top="1440" w:right="1797" w:bottom="1440" w:left="1797" w:header="851" w:footer="851" w:gutter="0"/>
          <w:cols w:space="425"/>
        </w:sectPr>
      </w:pPr>
      <w:r>
        <w:pict>
          <v:shape id="Text Box 11" o:spid="_x0000_s1028" type="#_x0000_t202" style="position:absolute;left:0;text-align:left;margin-left:69.15pt;margin-top:19.5pt;width:326pt;height:88pt;z-index:251658752;mso-width-relative:page;mso-height-relative:page" o:gfxdata="UEsDBAoAAAAAAIdO4kAAAAAAAAAAAAAAAAAEAAAAZHJzL1BLAwQUAAAACACHTuJA0KkDvtgAAAAK&#10;AQAADwAAAGRycy9kb3ducmV2LnhtbE2PzU7DMBCE70i8g7VI3KidRi1tGqeHShy4IEh74OjE2yRq&#10;vI5s9weenuUEx5n9NDtTbm9uFBcMcfCkIZspEEittwN1Gg77l6cViJgMWTN6Qg1fGGFb3d+VprD+&#10;Sh94qVMnOIRiYTT0KU2FlLHt0Zk48xMS344+OJNYhk7aYK4c7kY5V2opnRmIP/Rmwl2P7ak+Ow3d&#10;MSzc8Pn+GqZv91YvD22zo6j140OmNiAS3tIfDL/1uTpU3KnxZ7JRjKzzVc6ohnzNmxh4Xis2Gg3z&#10;bKFAVqX8P6H6AVBLAwQUAAAACACHTuJA2ZTwYwwCAAAhBAAADgAAAGRycy9lMm9Eb2MueG1srVNf&#10;j9MwDH9H4jtEeWdtx+5uV607wY0hpBMg3fEBvDRtI/JPcW7rvj1OOnYDXhCiD6kd2z/bP8eru9Fo&#10;tpcBlbMNr2YlZ9IK1yrbN/zb0/bNkjOMYFvQzsqGHyXyu/XrV6uDr+XcDU63MjACsVgffMOHGH1d&#10;FCgGaQBnzktLxs4FA5HU0BdtgAOhG13My/K6OLjQ+uCERKTbzWTk64zfdVLEL12HMjLdcKot5jPk&#10;c5fOYr2Cug/gByVOZcA/VGFAWUp6htpABPYc1B9QRong0HVxJpwpXNcpIXMP1E1V/tbN4wBe5l6I&#10;HPRnmvD/wYrP+6+BqbbhbzmzYGhET3KM7L0bWVUleg4ea/J69OQXR7qnMedW0T848R2ZdfcD2F6+&#10;Q090JytFFRdhEwYSQGJo7IJJf+qdERYN5XgeRMos6HJRLUqaLmeCbFVV3VyTklBfwn3A+FE6w5LQ&#10;8ECpc1Wwf8A4uf50Sdms2yqt6R5qbdmBUG/Lq5QA6NF1GiKJxhMNaPupO6dVm2JSCIZ+d68D2wM9&#10;o23+TuXgpVtKuAEcJr9sSm5QGxVlyNIgof1gWxaPnqi2tBM8VWNky5mWtEJJyp4RlP4bT+JE2xPh&#10;E8eJ+jjuRoJJ4s61R5qd/mTp3dxWi0Xag6ws58tEcri07LKyuLqZk+XZB9UPv8yU3mGew2ln0kO/&#10;1HMhL5u9/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QO+2AAAAAoBAAAPAAAAAAAAAAEAIAAA&#10;ACIAAABkcnMvZG93bnJldi54bWxQSwECFAAUAAAACACHTuJA2ZTwYwwCAAAhBAAADgAAAAAAAAAB&#10;ACAAAAAnAQAAZHJzL2Uyb0RvYy54bWxQSwUGAAAAAAYABgBZAQAApQUAAAAA&#10;" filled="f" strokecolor="white" strokeweight="1.5pt">
            <o:lock v:ext="edit" aspectratio="t"/>
            <v:textbox inset=",2.3mm">
              <w:txbxContent>
                <w:p w:rsidR="00152EAA" w:rsidRDefault="009870A2">
                  <w:pPr>
                    <w:pStyle w:val="ae"/>
                    <w:spacing w:before="0" w:beforeAutospacing="0" w:after="0" w:afterAutospacing="0" w:line="600" w:lineRule="exact"/>
                    <w:jc w:val="center"/>
                    <w:rPr>
                      <w:rFonts w:eastAsia="隶书" w:cs="Times New Roman" w:hint="default"/>
                      <w:color w:val="4A442A"/>
                      <w:kern w:val="24"/>
                      <w:sz w:val="36"/>
                      <w:szCs w:val="36"/>
                    </w:rPr>
                  </w:pPr>
                  <w:r>
                    <w:rPr>
                      <w:rFonts w:eastAsia="隶书" w:cs="Times New Roman"/>
                      <w:color w:val="4A442A"/>
                      <w:kern w:val="24"/>
                      <w:sz w:val="36"/>
                      <w:szCs w:val="36"/>
                    </w:rPr>
                    <w:t>山西一诺千金资产评估有限公司</w:t>
                  </w:r>
                </w:p>
                <w:p w:rsidR="00152EAA" w:rsidRDefault="00152EAA">
                  <w:pPr>
                    <w:pStyle w:val="ae"/>
                    <w:spacing w:before="0" w:beforeAutospacing="0" w:after="0" w:afterAutospacing="0" w:line="280" w:lineRule="exact"/>
                    <w:jc w:val="center"/>
                    <w:rPr>
                      <w:rFonts w:eastAsia="隶书" w:cs="Times New Roman" w:hint="default"/>
                      <w:color w:val="4A442A"/>
                      <w:kern w:val="24"/>
                      <w:sz w:val="36"/>
                      <w:szCs w:val="36"/>
                    </w:rPr>
                  </w:pPr>
                </w:p>
                <w:p w:rsidR="00152EAA" w:rsidRDefault="009870A2">
                  <w:pPr>
                    <w:pStyle w:val="ae"/>
                    <w:spacing w:before="0" w:beforeAutospacing="0" w:after="0" w:afterAutospacing="0" w:line="680" w:lineRule="exact"/>
                    <w:jc w:val="center"/>
                    <w:rPr>
                      <w:rFonts w:hint="default"/>
                    </w:rPr>
                  </w:pPr>
                  <w:r>
                    <w:rPr>
                      <w:rFonts w:cs="Times New Roman"/>
                      <w:b/>
                      <w:bCs/>
                      <w:sz w:val="32"/>
                      <w:szCs w:val="32"/>
                    </w:rPr>
                    <w:t>二</w:t>
                  </w:r>
                  <w:r w:rsidR="005F657C">
                    <w:rPr>
                      <w:rFonts w:cs="Times New Roman"/>
                      <w:b/>
                      <w:bCs/>
                      <w:sz w:val="32"/>
                      <w:szCs w:val="32"/>
                    </w:rPr>
                    <w:t>〇</w:t>
                  </w:r>
                  <w:r>
                    <w:rPr>
                      <w:rFonts w:cs="Times New Roman"/>
                      <w:b/>
                      <w:bCs/>
                      <w:sz w:val="32"/>
                      <w:szCs w:val="32"/>
                    </w:rPr>
                    <w:t>二</w:t>
                  </w:r>
                  <w:r w:rsidR="005F657C">
                    <w:rPr>
                      <w:rFonts w:cs="Times New Roman"/>
                      <w:b/>
                      <w:bCs/>
                      <w:sz w:val="32"/>
                      <w:szCs w:val="32"/>
                    </w:rPr>
                    <w:t>〇年五月十四</w:t>
                  </w:r>
                  <w:r>
                    <w:rPr>
                      <w:rFonts w:cs="Times New Roman"/>
                      <w:b/>
                      <w:bCs/>
                      <w:sz w:val="32"/>
                      <w:szCs w:val="32"/>
                    </w:rPr>
                    <w:t>日</w:t>
                  </w:r>
                </w:p>
                <w:p w:rsidR="00152EAA" w:rsidRDefault="00152EAA">
                  <w:pPr>
                    <w:pStyle w:val="ae"/>
                    <w:spacing w:before="0" w:beforeAutospacing="0" w:after="0" w:afterAutospacing="0" w:line="680" w:lineRule="exact"/>
                    <w:jc w:val="center"/>
                    <w:rPr>
                      <w:rFonts w:hint="default"/>
                    </w:rPr>
                  </w:pPr>
                </w:p>
              </w:txbxContent>
            </v:textbox>
          </v:shape>
        </w:pict>
      </w:r>
      <w:r>
        <w:pict>
          <v:shape id="文本框 2" o:spid="_x0000_s1027" type="#_x0000_t202" style="position:absolute;left:0;text-align:left;margin-left:-93.6pt;margin-top:-71.25pt;width:597.75pt;height:840pt;z-index:251656704;mso-width-relative:page;mso-height-relative:page" o:gfxdata="UEsDBAoAAAAAAIdO4kAAAAAAAAAAAAAAAAAEAAAAZHJzL1BLAwQUAAAACACHTuJA3SU4rt0AAAAP&#10;AQAADwAAAGRycy9kb3ducmV2LnhtbE2PTU/DMAyG70j8h8hI3LakHWVVaboDCAmhHbYxCe3mNaat&#10;aJzSZB/8e7LTuL2WH71+XC7OthdHGn3nWEMyVSCIa2c6bjRsP14nOQgfkA32jknDL3lYVLc3JRbG&#10;nXhNx01oRCxhX6CGNoShkNLXLVn0UzcQx92XGy2GOI6NNCOeYrntZarUo7TYcbzQ4kDPLdXfm4PV&#10;kG9pvXwx7yjfVvSTLpPd526VaX1/l6gnEIHO4QrDRT+qQxWd9u7AxotewyTJ52lkL+khzUBcGKXy&#10;GYh9TNlsnoGsSvn/j+oPUEsDBBQAAAAIAIdO4kA5fEsd6AEAALcDAAAOAAAAZHJzL2Uyb0RvYy54&#10;bWytU0uOEzEQ3SNxB8t70p2IyQytdEaCEDYIkAYOULHd3Zb8k8uT7lwAbsCKDXvOlXNQdkKGzwYh&#10;euEuu55fVb0qr24na9heRdTetXw+qzlTTnipXd/yD++3T244wwROgvFOtfygkN+uHz9ajaFRCz94&#10;I1VkROKwGUPLh5RCU1UoBmUBZz4oR87ORwuJtrGvZISR2K2pFnW9rEYfZYheKEQ63ZycfF34u06J&#10;9LbrUCVmWk65pbLGsu7yWq1X0PQRwqDFOQ34hywsaEdBL1QbSMDuo/6DymoRPfouzYS3le86LVSp&#10;gaqZ179VczdAUKUWEgfDRSb8f7Tizf5dZFpS7zhzYKlFx8+fjl++Hb9+ZIsszxiwIdRdIFyanvsp&#10;Q8/nSIe56qmLNv+pHkZ+EvpwEVdNiQk6vL56Nn+6uOJMkG9eL5c3dV30rx7uh4jplfKWZaPlkdpX&#10;VIX9a0wUk6A/IDmc81ttTGmhcWwk2sU1cTIBNEmdgUSmDVQbur7woDda5jv5NsZ+98JEtgeajW35&#10;cl0U4xdYDrgBHE644jpNjdVJxRJ8UCBfOsnSIZB+jgad52yskpwZRe8iWwWZQJu/QVISxlEuWfyT&#10;yNnaeXmgLtyHqPuB9Cl9KBiajpL5eZLz+P28L0wP723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0lOK7dAAAADwEAAA8AAAAAAAAAAQAgAAAAIgAAAGRycy9kb3ducmV2LnhtbFBLAQIUABQAAAAI&#10;AIdO4kA5fEsd6AEAALcDAAAOAAAAAAAAAAEAIAAAACwBAABkcnMvZTJvRG9jLnhtbFBLBQYAAAAA&#10;BgAGAFkBAACGBQAAAAA=&#10;" filled="f" strokecolor="white" strokeweight="1pt"/>
        </w:pict>
      </w:r>
    </w:p>
    <w:p w:rsidR="00152EAA" w:rsidRDefault="009870A2">
      <w:pPr>
        <w:spacing w:before="480" w:after="480"/>
        <w:jc w:val="center"/>
        <w:rPr>
          <w:b/>
          <w:sz w:val="36"/>
          <w:szCs w:val="36"/>
        </w:rPr>
      </w:pPr>
      <w:r>
        <w:rPr>
          <w:b/>
          <w:sz w:val="36"/>
          <w:szCs w:val="36"/>
        </w:rPr>
        <w:lastRenderedPageBreak/>
        <w:t>目</w:t>
      </w:r>
      <w:r>
        <w:rPr>
          <w:b/>
          <w:sz w:val="36"/>
          <w:szCs w:val="36"/>
        </w:rPr>
        <w:t xml:space="preserve">    </w:t>
      </w:r>
      <w:r>
        <w:rPr>
          <w:b/>
          <w:sz w:val="36"/>
          <w:szCs w:val="36"/>
        </w:rPr>
        <w:t>录</w:t>
      </w:r>
    </w:p>
    <w:p w:rsidR="00152EAA" w:rsidRDefault="009870A2" w:rsidP="009870A2">
      <w:pPr>
        <w:pStyle w:val="21"/>
        <w:tabs>
          <w:tab w:val="right" w:leader="dot" w:pos="8504"/>
        </w:tabs>
        <w:spacing w:line="600" w:lineRule="exact"/>
      </w:pPr>
      <w:r>
        <w:rPr>
          <w:rStyle w:val="af2"/>
          <w:b/>
          <w:smallCaps w:val="0"/>
          <w:color w:val="auto"/>
        </w:rPr>
        <w:fldChar w:fldCharType="begin"/>
      </w:r>
      <w:r>
        <w:rPr>
          <w:rStyle w:val="af2"/>
          <w:rFonts w:asciiTheme="minorEastAsia" w:eastAsiaTheme="minorEastAsia" w:hAnsiTheme="minorEastAsia"/>
          <w:b/>
          <w:smallCaps w:val="0"/>
          <w:color w:val="auto"/>
          <w:szCs w:val="24"/>
        </w:rPr>
        <w:instrText xml:space="preserve"> TOC \o "1-3" \h \z \u </w:instrText>
      </w:r>
      <w:r>
        <w:rPr>
          <w:rStyle w:val="af2"/>
          <w:b/>
          <w:smallCaps w:val="0"/>
          <w:color w:val="auto"/>
        </w:rPr>
        <w:fldChar w:fldCharType="separate"/>
      </w:r>
      <w:hyperlink w:anchor="_Toc27376" w:history="1">
        <w:r>
          <w:rPr>
            <w:rFonts w:ascii="Times New Roman" w:hAnsi="Times New Roman" w:hint="eastAsia"/>
          </w:rPr>
          <w:t>声明</w:t>
        </w:r>
        <w:r>
          <w:tab/>
        </w:r>
        <w:fldSimple w:instr=" PAGEREF _Toc27376 ">
          <w:r>
            <w:t>1</w:t>
          </w:r>
        </w:fldSimple>
      </w:hyperlink>
    </w:p>
    <w:p w:rsidR="00152EAA" w:rsidRDefault="00C24A2E" w:rsidP="009870A2">
      <w:pPr>
        <w:pStyle w:val="21"/>
        <w:tabs>
          <w:tab w:val="right" w:leader="dot" w:pos="8504"/>
        </w:tabs>
        <w:spacing w:line="600" w:lineRule="exact"/>
      </w:pPr>
      <w:hyperlink w:anchor="_Toc15139" w:history="1">
        <w:r w:rsidR="009870A2">
          <w:rPr>
            <w:rFonts w:hint="eastAsia"/>
          </w:rPr>
          <w:t>资产评估</w:t>
        </w:r>
        <w:r w:rsidR="00A70439">
          <w:rPr>
            <w:rFonts w:hint="eastAsia"/>
          </w:rPr>
          <w:t>报告</w:t>
        </w:r>
        <w:r w:rsidR="009870A2">
          <w:rPr>
            <w:rFonts w:hint="eastAsia"/>
          </w:rPr>
          <w:t>摘要</w:t>
        </w:r>
        <w:r w:rsidR="009870A2">
          <w:tab/>
        </w:r>
        <w:fldSimple w:instr=" PAGEREF _Toc15139 ">
          <w:r w:rsidR="009870A2">
            <w:t>2</w:t>
          </w:r>
        </w:fldSimple>
      </w:hyperlink>
    </w:p>
    <w:p w:rsidR="00152EAA" w:rsidRDefault="00C24A2E" w:rsidP="009870A2">
      <w:pPr>
        <w:pStyle w:val="21"/>
        <w:tabs>
          <w:tab w:val="right" w:leader="dot" w:pos="8504"/>
        </w:tabs>
        <w:spacing w:line="600" w:lineRule="exact"/>
      </w:pPr>
      <w:hyperlink w:anchor="_Toc13824" w:history="1">
        <w:r w:rsidR="009870A2">
          <w:rPr>
            <w:rFonts w:ascii="Times New Roman" w:hAnsi="Times New Roman" w:hint="eastAsia"/>
            <w:szCs w:val="36"/>
          </w:rPr>
          <w:t>资产评估</w:t>
        </w:r>
        <w:r w:rsidR="00A70439">
          <w:rPr>
            <w:rFonts w:ascii="Times New Roman" w:hAnsi="Times New Roman" w:hint="eastAsia"/>
            <w:szCs w:val="36"/>
          </w:rPr>
          <w:t>报告</w:t>
        </w:r>
        <w:r w:rsidR="009870A2">
          <w:tab/>
        </w:r>
        <w:fldSimple w:instr=" PAGEREF _Toc13824 ">
          <w:r w:rsidR="009870A2">
            <w:t>5</w:t>
          </w:r>
        </w:fldSimple>
      </w:hyperlink>
    </w:p>
    <w:p w:rsidR="00152EAA" w:rsidRDefault="00C24A2E" w:rsidP="009870A2">
      <w:pPr>
        <w:pStyle w:val="30"/>
        <w:tabs>
          <w:tab w:val="right" w:leader="dot" w:pos="8504"/>
        </w:tabs>
        <w:spacing w:line="600" w:lineRule="exact"/>
        <w:ind w:left="480"/>
      </w:pPr>
      <w:hyperlink w:anchor="_Toc2451" w:history="1">
        <w:r w:rsidR="009870A2">
          <w:rPr>
            <w:rFonts w:asciiTheme="minorEastAsia" w:eastAsiaTheme="minorEastAsia" w:hAnsiTheme="minorEastAsia" w:hint="eastAsia"/>
            <w:szCs w:val="28"/>
          </w:rPr>
          <w:t>一、资产评估报告委托人</w:t>
        </w:r>
        <w:r w:rsidR="009870A2">
          <w:tab/>
        </w:r>
        <w:fldSimple w:instr=" PAGEREF _Toc2451 ">
          <w:r w:rsidR="009870A2">
            <w:t>5</w:t>
          </w:r>
        </w:fldSimple>
      </w:hyperlink>
    </w:p>
    <w:p w:rsidR="00152EAA" w:rsidRDefault="00C24A2E" w:rsidP="009870A2">
      <w:pPr>
        <w:pStyle w:val="30"/>
        <w:tabs>
          <w:tab w:val="right" w:leader="dot" w:pos="8504"/>
        </w:tabs>
        <w:spacing w:line="600" w:lineRule="exact"/>
        <w:ind w:left="480"/>
      </w:pPr>
      <w:hyperlink w:anchor="_Toc25620" w:history="1">
        <w:r w:rsidR="009870A2">
          <w:rPr>
            <w:rFonts w:asciiTheme="minorEastAsia" w:eastAsiaTheme="minorEastAsia" w:hAnsiTheme="minorEastAsia" w:hint="eastAsia"/>
            <w:szCs w:val="28"/>
          </w:rPr>
          <w:t>二、评估目的</w:t>
        </w:r>
        <w:r w:rsidR="009870A2">
          <w:tab/>
        </w:r>
        <w:fldSimple w:instr=" PAGEREF _Toc25620 ">
          <w:r w:rsidR="009870A2">
            <w:t>5</w:t>
          </w:r>
        </w:fldSimple>
      </w:hyperlink>
    </w:p>
    <w:p w:rsidR="00152EAA" w:rsidRDefault="00C24A2E" w:rsidP="009870A2">
      <w:pPr>
        <w:pStyle w:val="30"/>
        <w:tabs>
          <w:tab w:val="right" w:leader="dot" w:pos="8504"/>
        </w:tabs>
        <w:spacing w:line="600" w:lineRule="exact"/>
        <w:ind w:left="480"/>
      </w:pPr>
      <w:hyperlink w:anchor="_Toc11544" w:history="1">
        <w:r w:rsidR="009870A2">
          <w:rPr>
            <w:rFonts w:asciiTheme="minorEastAsia" w:eastAsiaTheme="minorEastAsia" w:hAnsiTheme="minorEastAsia" w:hint="eastAsia"/>
            <w:szCs w:val="28"/>
          </w:rPr>
          <w:t>三、评估对象和评估范围</w:t>
        </w:r>
        <w:r w:rsidR="009870A2">
          <w:tab/>
        </w:r>
        <w:fldSimple w:instr=" PAGEREF _Toc11544 ">
          <w:r w:rsidR="009870A2">
            <w:t>5</w:t>
          </w:r>
        </w:fldSimple>
      </w:hyperlink>
    </w:p>
    <w:p w:rsidR="00152EAA" w:rsidRDefault="00C24A2E" w:rsidP="009870A2">
      <w:pPr>
        <w:pStyle w:val="30"/>
        <w:tabs>
          <w:tab w:val="right" w:leader="dot" w:pos="8504"/>
        </w:tabs>
        <w:spacing w:line="600" w:lineRule="exact"/>
        <w:ind w:left="480"/>
      </w:pPr>
      <w:hyperlink w:anchor="_Toc32741" w:history="1">
        <w:r w:rsidR="009870A2">
          <w:rPr>
            <w:rFonts w:asciiTheme="minorEastAsia" w:eastAsiaTheme="minorEastAsia" w:hAnsiTheme="minorEastAsia" w:hint="eastAsia"/>
            <w:kern w:val="0"/>
            <w:szCs w:val="24"/>
          </w:rPr>
          <w:t>四、价值类型</w:t>
        </w:r>
        <w:r w:rsidR="009870A2">
          <w:tab/>
        </w:r>
        <w:fldSimple w:instr=" PAGEREF _Toc32741 ">
          <w:r w:rsidR="009870A2">
            <w:t>6</w:t>
          </w:r>
        </w:fldSimple>
      </w:hyperlink>
    </w:p>
    <w:p w:rsidR="00152EAA" w:rsidRDefault="00C24A2E" w:rsidP="009870A2">
      <w:pPr>
        <w:pStyle w:val="30"/>
        <w:tabs>
          <w:tab w:val="right" w:leader="dot" w:pos="8504"/>
        </w:tabs>
        <w:spacing w:line="600" w:lineRule="exact"/>
        <w:ind w:left="480"/>
      </w:pPr>
      <w:hyperlink w:anchor="_Toc6046" w:history="1">
        <w:r w:rsidR="009870A2">
          <w:rPr>
            <w:rFonts w:asciiTheme="minorEastAsia" w:eastAsiaTheme="minorEastAsia" w:hAnsiTheme="minorEastAsia" w:hint="eastAsia"/>
            <w:szCs w:val="28"/>
          </w:rPr>
          <w:t>五、评估基准日</w:t>
        </w:r>
        <w:r w:rsidR="009870A2">
          <w:tab/>
        </w:r>
        <w:fldSimple w:instr=" PAGEREF _Toc6046 ">
          <w:r w:rsidR="009870A2">
            <w:t>6</w:t>
          </w:r>
        </w:fldSimple>
      </w:hyperlink>
    </w:p>
    <w:p w:rsidR="00152EAA" w:rsidRDefault="00C24A2E" w:rsidP="009870A2">
      <w:pPr>
        <w:pStyle w:val="30"/>
        <w:tabs>
          <w:tab w:val="right" w:leader="dot" w:pos="8504"/>
        </w:tabs>
        <w:spacing w:line="600" w:lineRule="exact"/>
        <w:ind w:left="480"/>
      </w:pPr>
      <w:hyperlink w:anchor="_Toc4869" w:history="1">
        <w:r w:rsidR="009870A2">
          <w:rPr>
            <w:rFonts w:asciiTheme="minorEastAsia" w:eastAsiaTheme="minorEastAsia" w:hAnsiTheme="minorEastAsia" w:hint="eastAsia"/>
            <w:szCs w:val="28"/>
          </w:rPr>
          <w:t>六、评估依据</w:t>
        </w:r>
        <w:r w:rsidR="009870A2">
          <w:tab/>
        </w:r>
        <w:fldSimple w:instr=" PAGEREF _Toc4869 ">
          <w:r w:rsidR="009870A2">
            <w:t>6</w:t>
          </w:r>
        </w:fldSimple>
      </w:hyperlink>
    </w:p>
    <w:p w:rsidR="00152EAA" w:rsidRDefault="00C24A2E" w:rsidP="009870A2">
      <w:pPr>
        <w:pStyle w:val="30"/>
        <w:tabs>
          <w:tab w:val="right" w:leader="dot" w:pos="8504"/>
        </w:tabs>
        <w:spacing w:line="600" w:lineRule="exact"/>
        <w:ind w:left="480"/>
      </w:pPr>
      <w:hyperlink w:anchor="_Toc16464" w:history="1">
        <w:r w:rsidR="009870A2">
          <w:rPr>
            <w:rFonts w:asciiTheme="minorEastAsia" w:eastAsiaTheme="minorEastAsia" w:hAnsiTheme="minorEastAsia" w:hint="eastAsia"/>
            <w:szCs w:val="28"/>
          </w:rPr>
          <w:t>七、评估方法</w:t>
        </w:r>
        <w:r w:rsidR="009870A2">
          <w:tab/>
        </w:r>
        <w:fldSimple w:instr=" PAGEREF _Toc16464 ">
          <w:r w:rsidR="009870A2">
            <w:t>7</w:t>
          </w:r>
        </w:fldSimple>
      </w:hyperlink>
    </w:p>
    <w:p w:rsidR="00152EAA" w:rsidRDefault="00C24A2E" w:rsidP="009870A2">
      <w:pPr>
        <w:pStyle w:val="30"/>
        <w:tabs>
          <w:tab w:val="right" w:leader="dot" w:pos="8504"/>
        </w:tabs>
        <w:spacing w:line="600" w:lineRule="exact"/>
        <w:ind w:left="480"/>
      </w:pPr>
      <w:hyperlink w:anchor="_Toc25694" w:history="1">
        <w:r w:rsidR="009870A2">
          <w:rPr>
            <w:rFonts w:asciiTheme="minorEastAsia" w:eastAsiaTheme="minorEastAsia" w:hAnsiTheme="minorEastAsia" w:hint="eastAsia"/>
            <w:szCs w:val="28"/>
          </w:rPr>
          <w:t>九、评估假设</w:t>
        </w:r>
        <w:r w:rsidR="009870A2">
          <w:tab/>
        </w:r>
        <w:fldSimple w:instr=" PAGEREF _Toc25694 ">
          <w:r w:rsidR="009870A2">
            <w:t>10</w:t>
          </w:r>
        </w:fldSimple>
      </w:hyperlink>
    </w:p>
    <w:p w:rsidR="00152EAA" w:rsidRDefault="00C24A2E" w:rsidP="009870A2">
      <w:pPr>
        <w:pStyle w:val="30"/>
        <w:tabs>
          <w:tab w:val="right" w:leader="dot" w:pos="8504"/>
        </w:tabs>
        <w:spacing w:line="600" w:lineRule="exact"/>
        <w:ind w:left="480"/>
      </w:pPr>
      <w:hyperlink w:anchor="_Toc5395" w:history="1">
        <w:r w:rsidR="009870A2">
          <w:rPr>
            <w:rFonts w:asciiTheme="minorEastAsia" w:eastAsiaTheme="minorEastAsia" w:hAnsiTheme="minorEastAsia" w:hint="eastAsia"/>
            <w:szCs w:val="28"/>
          </w:rPr>
          <w:t>十、评估结论</w:t>
        </w:r>
        <w:r w:rsidR="009870A2">
          <w:tab/>
        </w:r>
        <w:fldSimple w:instr=" PAGEREF _Toc5395 ">
          <w:r w:rsidR="009870A2">
            <w:t>10</w:t>
          </w:r>
        </w:fldSimple>
      </w:hyperlink>
    </w:p>
    <w:p w:rsidR="00152EAA" w:rsidRDefault="00C24A2E" w:rsidP="009870A2">
      <w:pPr>
        <w:pStyle w:val="30"/>
        <w:tabs>
          <w:tab w:val="right" w:leader="dot" w:pos="8504"/>
        </w:tabs>
        <w:spacing w:line="600" w:lineRule="exact"/>
        <w:ind w:left="480"/>
      </w:pPr>
      <w:hyperlink w:anchor="_Toc2631" w:history="1">
        <w:r w:rsidR="009870A2">
          <w:rPr>
            <w:rFonts w:asciiTheme="minorEastAsia" w:eastAsiaTheme="minorEastAsia" w:hAnsiTheme="minorEastAsia" w:hint="eastAsia"/>
            <w:szCs w:val="28"/>
          </w:rPr>
          <w:t>十一、特别事项说明</w:t>
        </w:r>
        <w:r w:rsidR="009870A2">
          <w:tab/>
        </w:r>
        <w:fldSimple w:instr=" PAGEREF _Toc2631 ">
          <w:r w:rsidR="009870A2">
            <w:t>10</w:t>
          </w:r>
        </w:fldSimple>
      </w:hyperlink>
    </w:p>
    <w:p w:rsidR="00152EAA" w:rsidRDefault="00C24A2E" w:rsidP="009870A2">
      <w:pPr>
        <w:pStyle w:val="30"/>
        <w:tabs>
          <w:tab w:val="right" w:leader="dot" w:pos="8504"/>
        </w:tabs>
        <w:spacing w:line="600" w:lineRule="exact"/>
        <w:ind w:left="480"/>
      </w:pPr>
      <w:hyperlink w:anchor="_Toc15072" w:history="1">
        <w:r w:rsidR="009870A2">
          <w:rPr>
            <w:rFonts w:asciiTheme="minorEastAsia" w:eastAsiaTheme="minorEastAsia" w:hAnsiTheme="minorEastAsia" w:hint="eastAsia"/>
            <w:szCs w:val="28"/>
          </w:rPr>
          <w:t>十二、资产评估报告的使用限制说明</w:t>
        </w:r>
        <w:r w:rsidR="009870A2">
          <w:tab/>
        </w:r>
        <w:fldSimple w:instr=" PAGEREF _Toc15072 ">
          <w:r w:rsidR="009870A2">
            <w:t>11</w:t>
          </w:r>
        </w:fldSimple>
      </w:hyperlink>
    </w:p>
    <w:p w:rsidR="00152EAA" w:rsidRDefault="00C24A2E" w:rsidP="009870A2">
      <w:pPr>
        <w:pStyle w:val="30"/>
        <w:tabs>
          <w:tab w:val="right" w:leader="dot" w:pos="8504"/>
        </w:tabs>
        <w:spacing w:line="600" w:lineRule="exact"/>
        <w:ind w:left="480"/>
      </w:pPr>
      <w:hyperlink w:anchor="_Toc17896" w:history="1">
        <w:r w:rsidR="009870A2">
          <w:rPr>
            <w:rFonts w:asciiTheme="minorEastAsia" w:eastAsiaTheme="minorEastAsia" w:hAnsiTheme="minorEastAsia" w:hint="eastAsia"/>
            <w:szCs w:val="28"/>
          </w:rPr>
          <w:t>十三、资产评估报告日</w:t>
        </w:r>
        <w:r w:rsidR="009870A2">
          <w:tab/>
        </w:r>
        <w:fldSimple w:instr=" PAGEREF _Toc17896 ">
          <w:r w:rsidR="009870A2">
            <w:t>12</w:t>
          </w:r>
        </w:fldSimple>
      </w:hyperlink>
    </w:p>
    <w:p w:rsidR="00152EAA" w:rsidRDefault="00C24A2E" w:rsidP="009870A2">
      <w:pPr>
        <w:pStyle w:val="21"/>
        <w:tabs>
          <w:tab w:val="right" w:leader="dot" w:pos="8504"/>
        </w:tabs>
        <w:spacing w:line="600" w:lineRule="exact"/>
        <w:ind w:left="0"/>
        <w:rPr>
          <w:rFonts w:eastAsiaTheme="minorEastAsia"/>
        </w:rPr>
      </w:pPr>
      <w:hyperlink w:anchor="_Toc9738" w:history="1">
        <w:r w:rsidR="009870A2">
          <w:rPr>
            <w:rFonts w:asciiTheme="minorEastAsia" w:eastAsiaTheme="minorEastAsia" w:hAnsiTheme="minorEastAsia" w:hint="eastAsia"/>
            <w:szCs w:val="36"/>
          </w:rPr>
          <w:t>资产评估报告附件</w:t>
        </w:r>
        <w:r w:rsidR="009870A2">
          <w:tab/>
        </w:r>
        <w:fldSimple w:instr=" PAGEREF _Toc9738 ">
          <w:r w:rsidR="009870A2">
            <w:t>1</w:t>
          </w:r>
        </w:fldSimple>
      </w:hyperlink>
      <w:r w:rsidR="009870A2">
        <w:rPr>
          <w:rFonts w:asciiTheme="minorEastAsia" w:eastAsiaTheme="minorEastAsia" w:hAnsiTheme="minorEastAsia" w:hint="eastAsia"/>
          <w:szCs w:val="24"/>
        </w:rPr>
        <w:t>3</w:t>
      </w:r>
    </w:p>
    <w:p w:rsidR="00152EAA" w:rsidRDefault="009870A2" w:rsidP="009870A2">
      <w:pPr>
        <w:adjustRightInd w:val="0"/>
        <w:snapToGrid w:val="0"/>
        <w:spacing w:line="600" w:lineRule="exact"/>
        <w:sectPr w:rsidR="00152EAA">
          <w:headerReference w:type="default" r:id="rId12"/>
          <w:footerReference w:type="default" r:id="rId13"/>
          <w:pgSz w:w="11906" w:h="16838"/>
          <w:pgMar w:top="1588" w:right="1701" w:bottom="1247" w:left="1701" w:header="1134" w:footer="907" w:gutter="0"/>
          <w:pgNumType w:start="1"/>
          <w:cols w:space="720"/>
          <w:docGrid w:linePitch="450" w:charSpace="-4916"/>
        </w:sectPr>
      </w:pPr>
      <w:r>
        <w:rPr>
          <w:rFonts w:asciiTheme="minorEastAsia" w:eastAsiaTheme="minorEastAsia" w:hAnsiTheme="minorEastAsia" w:cstheme="minorHAnsi"/>
          <w:smallCaps/>
          <w:szCs w:val="24"/>
        </w:rPr>
        <w:fldChar w:fldCharType="end"/>
      </w:r>
    </w:p>
    <w:p w:rsidR="00152EAA" w:rsidRDefault="009870A2">
      <w:pPr>
        <w:pStyle w:val="2"/>
        <w:snapToGrid w:val="0"/>
        <w:spacing w:before="60" w:after="60" w:line="360" w:lineRule="auto"/>
        <w:ind w:firstLine="0"/>
        <w:jc w:val="center"/>
        <w:textAlignment w:val="auto"/>
        <w:rPr>
          <w:rFonts w:ascii="Times New Roman" w:eastAsia="宋体" w:hAnsi="Times New Roman"/>
          <w:b w:val="0"/>
          <w:sz w:val="30"/>
          <w:szCs w:val="30"/>
        </w:rPr>
      </w:pPr>
      <w:bookmarkStart w:id="0" w:name="_Toc27376"/>
      <w:r>
        <w:rPr>
          <w:rStyle w:val="1Char"/>
          <w:rFonts w:ascii="Times New Roman" w:eastAsia="宋体" w:hAnsi="Times New Roman" w:hint="eastAsia"/>
          <w:b/>
        </w:rPr>
        <w:lastRenderedPageBreak/>
        <w:t>声明</w:t>
      </w:r>
      <w:bookmarkEnd w:id="0"/>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一、</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评估报告依据财政部发布的资产评估基本准则和中国资产评估协会发布的资产评估执业准则和职业道德准则编制。</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二、委托人或者其他资产评估报告使用人应当按照法律、行政法规规定及</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评估报告载明的使用范围使用资产评估报告；委托人或者其他资产评估报告使用人违反前述规定使用资产评估报告的，</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评估机构及资产评估师不承担责任。</w:t>
      </w:r>
      <w:r>
        <w:rPr>
          <w:rFonts w:asciiTheme="minorEastAsia" w:eastAsiaTheme="minorEastAsia" w:hAnsiTheme="minorEastAsia"/>
          <w:szCs w:val="24"/>
        </w:rPr>
        <w:t xml:space="preserve"> </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评估报告仅供委托人、资产评估业务约定书中约定的其他资产评估报告使用人和法律、行政法规规定的资产评估报告使用人使用；除此之外，其他任何机构和个人不能成为资产评估报告的使用人。</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评估机构及资产评估师提示资产评估报告使用人应当正确理解评估结论，评估结论不等同于评估对象可实现价格，评估结论不应当被认为是对评估对象可实现价格的保证。</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三、</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评估机构及资产评估师遵守法律、行政法规和资产评估准则，坚持独立、客观和公正的原则，并对所出具的资产评估报告依法承担责任。</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四、评估对象涉及的资产、负债清单由委托人、被评估单位申报并经其采用签名、盖章或法律允许的其他方式确认；委托人和其他相关当事人依法对其提供资料的真实性、完整性、合法性负责。</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五、</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评估机构及资产评估师与资产评估报告中的评估对象没有现存或者预期的利益关系；与相关当事人没有现存或者预期的利益关系，对相关当事人不存在偏见。</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六、资产评估师已经对资产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r>
        <w:rPr>
          <w:rFonts w:asciiTheme="minorEastAsia" w:eastAsiaTheme="minorEastAsia" w:hAnsiTheme="minorEastAsia"/>
          <w:szCs w:val="24"/>
        </w:rPr>
        <w:t xml:space="preserve"> </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七、</w:t>
      </w:r>
      <w:proofErr w:type="gramStart"/>
      <w:r>
        <w:rPr>
          <w:rFonts w:asciiTheme="minorEastAsia" w:eastAsiaTheme="minorEastAsia" w:hAnsiTheme="minorEastAsia" w:hint="eastAsia"/>
          <w:szCs w:val="24"/>
        </w:rPr>
        <w:t>本资产</w:t>
      </w:r>
      <w:proofErr w:type="gramEnd"/>
      <w:r>
        <w:rPr>
          <w:rFonts w:asciiTheme="minorEastAsia" w:eastAsiaTheme="minorEastAsia" w:hAnsiTheme="minorEastAsia" w:hint="eastAsia"/>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r>
        <w:rPr>
          <w:rFonts w:asciiTheme="minorEastAsia" w:eastAsiaTheme="minorEastAsia" w:hAnsiTheme="minorEastAsia"/>
          <w:szCs w:val="24"/>
        </w:rPr>
        <w:tab/>
      </w:r>
    </w:p>
    <w:p w:rsidR="00152EAA" w:rsidRDefault="009870A2">
      <w:pPr>
        <w:pStyle w:val="ae"/>
        <w:spacing w:before="0" w:beforeAutospacing="0" w:after="0" w:afterAutospacing="0" w:line="360" w:lineRule="auto"/>
        <w:jc w:val="center"/>
        <w:rPr>
          <w:rStyle w:val="1Char"/>
          <w:rFonts w:ascii="Arial" w:eastAsia="宋体" w:hAnsi="Arial" w:cs="Times New Roman" w:hint="default"/>
          <w:szCs w:val="20"/>
        </w:rPr>
      </w:pPr>
      <w:bookmarkStart w:id="1" w:name="_Toc32495"/>
      <w:bookmarkStart w:id="2" w:name="_Toc32669"/>
      <w:r>
        <w:rPr>
          <w:rStyle w:val="1Char"/>
          <w:rFonts w:ascii="Arial" w:eastAsia="宋体" w:hAnsi="Arial" w:cs="Times New Roman"/>
          <w:szCs w:val="20"/>
        </w:rPr>
        <w:lastRenderedPageBreak/>
        <w:t>段新忠与</w:t>
      </w:r>
      <w:proofErr w:type="gramStart"/>
      <w:r>
        <w:rPr>
          <w:rStyle w:val="1Char"/>
          <w:rFonts w:ascii="Arial" w:eastAsia="宋体" w:hAnsi="Arial" w:cs="Times New Roman"/>
          <w:szCs w:val="20"/>
        </w:rPr>
        <w:t>文铁庚一案</w:t>
      </w:r>
      <w:proofErr w:type="gramEnd"/>
      <w:r>
        <w:rPr>
          <w:rStyle w:val="1Char"/>
          <w:rFonts w:ascii="Arial" w:eastAsia="宋体" w:hAnsi="Arial" w:cs="Times New Roman"/>
          <w:szCs w:val="20"/>
        </w:rPr>
        <w:t>所涉及的房产项目</w:t>
      </w:r>
    </w:p>
    <w:p w:rsidR="00152EAA" w:rsidRDefault="009870A2">
      <w:pPr>
        <w:pStyle w:val="2"/>
        <w:snapToGrid w:val="0"/>
        <w:spacing w:before="0" w:after="0" w:line="360" w:lineRule="auto"/>
        <w:ind w:firstLine="0"/>
        <w:jc w:val="center"/>
        <w:textAlignment w:val="auto"/>
        <w:rPr>
          <w:rStyle w:val="1Char"/>
          <w:rFonts w:eastAsia="宋体"/>
          <w:b/>
        </w:rPr>
      </w:pPr>
      <w:bookmarkStart w:id="3" w:name="_Toc15139"/>
      <w:bookmarkEnd w:id="1"/>
      <w:bookmarkEnd w:id="2"/>
      <w:r>
        <w:rPr>
          <w:rStyle w:val="1Char"/>
          <w:rFonts w:eastAsia="宋体" w:hint="eastAsia"/>
          <w:b/>
        </w:rPr>
        <w:t>资产评估</w:t>
      </w:r>
      <w:r w:rsidR="00A70439">
        <w:rPr>
          <w:rStyle w:val="1Char"/>
          <w:rFonts w:eastAsia="宋体" w:hint="eastAsia"/>
          <w:b/>
        </w:rPr>
        <w:t>报告</w:t>
      </w:r>
      <w:r>
        <w:rPr>
          <w:rStyle w:val="1Char"/>
          <w:rFonts w:eastAsia="宋体" w:hint="eastAsia"/>
          <w:b/>
        </w:rPr>
        <w:t>摘要</w:t>
      </w:r>
      <w:bookmarkEnd w:id="3"/>
    </w:p>
    <w:p w:rsidR="00152EAA" w:rsidRDefault="009870A2">
      <w:pPr>
        <w:adjustRightInd w:val="0"/>
        <w:snapToGrid w:val="0"/>
        <w:spacing w:before="60" w:after="60" w:line="360" w:lineRule="auto"/>
        <w:jc w:val="center"/>
        <w:rPr>
          <w:rFonts w:asciiTheme="minorEastAsia" w:eastAsiaTheme="minorEastAsia" w:hAnsiTheme="minorEastAsia"/>
          <w:b/>
          <w:spacing w:val="20"/>
          <w:szCs w:val="24"/>
        </w:rPr>
      </w:pPr>
      <w:proofErr w:type="gramStart"/>
      <w:r>
        <w:rPr>
          <w:rFonts w:asciiTheme="minorEastAsia" w:eastAsiaTheme="minorEastAsia" w:hAnsiTheme="minorEastAsia" w:hint="eastAsia"/>
          <w:szCs w:val="24"/>
        </w:rPr>
        <w:t>晋诺评报</w:t>
      </w:r>
      <w:proofErr w:type="gramEnd"/>
      <w:r>
        <w:rPr>
          <w:rFonts w:asciiTheme="minorEastAsia" w:eastAsiaTheme="minorEastAsia" w:hAnsiTheme="minorEastAsia" w:hint="eastAsia"/>
          <w:szCs w:val="24"/>
        </w:rPr>
        <w:t>字（2020）第009号</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山西一诺千金资产评估有限公司接受山西省运城市中级人民法院的委托，按照有关法律、行政法规和资产评估准则的规定，坚持独立、客观、公正的原则，采用收益法，按照必要的评估程序，对</w:t>
      </w:r>
      <w:r>
        <w:rPr>
          <w:rFonts w:ascii="宋体" w:hAnsi="宋体" w:hint="eastAsia"/>
          <w:szCs w:val="18"/>
        </w:rPr>
        <w:t>段新忠与</w:t>
      </w:r>
      <w:proofErr w:type="gramStart"/>
      <w:r>
        <w:rPr>
          <w:rFonts w:ascii="宋体" w:hAnsi="宋体" w:hint="eastAsia"/>
          <w:szCs w:val="18"/>
        </w:rPr>
        <w:t>文铁庚</w:t>
      </w:r>
      <w:r>
        <w:rPr>
          <w:rFonts w:asciiTheme="minorEastAsia" w:eastAsiaTheme="minorEastAsia" w:hAnsiTheme="minorEastAsia"/>
          <w:szCs w:val="24"/>
        </w:rPr>
        <w:t>一案</w:t>
      </w:r>
      <w:proofErr w:type="gramEnd"/>
      <w:r>
        <w:rPr>
          <w:rFonts w:asciiTheme="minorEastAsia" w:eastAsiaTheme="minorEastAsia" w:hAnsiTheme="minorEastAsia" w:hint="eastAsia"/>
          <w:szCs w:val="24"/>
        </w:rPr>
        <w:t>所涉及的稷山县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修缮村十字口房院的房地产在2020年3月31日的市场价值进行了评估。现将资产评估情况报告如下。</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一、评估目的：为法院确定拍卖标的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保留</w:t>
      </w:r>
      <w:proofErr w:type="gramStart"/>
      <w:r>
        <w:rPr>
          <w:rFonts w:asciiTheme="minorEastAsia" w:eastAsiaTheme="minorEastAsia" w:hAnsiTheme="minorEastAsia" w:hint="eastAsia"/>
          <w:szCs w:val="24"/>
        </w:rPr>
        <w:t>价提供</w:t>
      </w:r>
      <w:proofErr w:type="gramEnd"/>
      <w:r>
        <w:rPr>
          <w:rFonts w:asciiTheme="minorEastAsia" w:eastAsiaTheme="minorEastAsia" w:hAnsiTheme="minorEastAsia" w:hint="eastAsia"/>
          <w:szCs w:val="24"/>
        </w:rPr>
        <w:t>参考依据而评估资产市场价值。</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二、评估对象及范围：稷山县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修缮村十字口房院的房地产。</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三、价值类型：市场价值类型。</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四、评估基准日：2020年3月31日。</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五、评估方法：收益法。</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六、评估结论：</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本次评估，评估人员在公开市场和公开处置假设前提下，在本报告所列特别事项说明限制下，本次委托评估范围内资产评估结果如下：</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截止评估基准日3月31日：</w:t>
      </w:r>
      <w:r>
        <w:rPr>
          <w:rFonts w:ascii="宋体" w:hAnsi="宋体" w:hint="eastAsia"/>
          <w:szCs w:val="24"/>
        </w:rPr>
        <w:t>确定估价对象</w:t>
      </w:r>
      <w:r>
        <w:rPr>
          <w:rFonts w:asciiTheme="minorEastAsia" w:eastAsiaTheme="minorEastAsia" w:hAnsiTheme="minorEastAsia" w:hint="eastAsia"/>
          <w:szCs w:val="24"/>
        </w:rPr>
        <w:t>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修缮村十字口房院的房地产</w:t>
      </w:r>
      <w:r>
        <w:rPr>
          <w:rFonts w:ascii="宋体" w:hAnsi="宋体" w:hint="eastAsia"/>
          <w:szCs w:val="24"/>
        </w:rPr>
        <w:t>市场价值</w:t>
      </w:r>
      <w:r>
        <w:rPr>
          <w:rFonts w:asciiTheme="minorEastAsia" w:eastAsiaTheme="minorEastAsia" w:hAnsiTheme="minorEastAsia" w:hint="eastAsia"/>
          <w:szCs w:val="24"/>
        </w:rPr>
        <w:t>为人民币：116389元（大写:壹拾壹万陆仟叁佰捌拾玖元整）。</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本报告及其结论仅用于本报告设定的评估目的，而不能用于其他目的。</w:t>
      </w:r>
    </w:p>
    <w:p w:rsidR="00152EAA" w:rsidRDefault="009870A2">
      <w:pPr>
        <w:pStyle w:val="a0"/>
        <w:snapToGrid w:val="0"/>
        <w:spacing w:line="360" w:lineRule="auto"/>
        <w:ind w:firstLine="0"/>
        <w:jc w:val="center"/>
        <w:rPr>
          <w:rFonts w:asciiTheme="minorEastAsia" w:eastAsiaTheme="minorEastAsia" w:hAnsiTheme="minorEastAsia"/>
          <w:b/>
          <w:szCs w:val="24"/>
        </w:rPr>
      </w:pPr>
      <w:r>
        <w:rPr>
          <w:rFonts w:asciiTheme="minorEastAsia" w:eastAsiaTheme="minorEastAsia" w:hAnsiTheme="minorEastAsia" w:hint="eastAsia"/>
          <w:b/>
          <w:szCs w:val="24"/>
        </w:rPr>
        <w:br w:type="page"/>
      </w:r>
    </w:p>
    <w:p w:rsidR="00152EAA" w:rsidRDefault="009870A2">
      <w:pPr>
        <w:pStyle w:val="a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七、评估结论使用有效期：根据国家的有关规定，本评估报告使用的有效期限为一年，自</w:t>
      </w:r>
      <w:r>
        <w:rPr>
          <w:rFonts w:asciiTheme="minorEastAsia" w:eastAsiaTheme="minorEastAsia" w:hAnsiTheme="minorEastAsia"/>
        </w:rPr>
        <w:t>20</w:t>
      </w:r>
      <w:r>
        <w:rPr>
          <w:rFonts w:asciiTheme="minorEastAsia" w:eastAsiaTheme="minorEastAsia" w:hAnsiTheme="minorEastAsia" w:hint="eastAsia"/>
        </w:rPr>
        <w:t>20年5月14日起，至</w:t>
      </w:r>
      <w:r>
        <w:rPr>
          <w:rFonts w:asciiTheme="minorEastAsia" w:eastAsiaTheme="minorEastAsia" w:hAnsiTheme="minorEastAsia"/>
        </w:rPr>
        <w:t>20</w:t>
      </w:r>
      <w:r>
        <w:rPr>
          <w:rFonts w:asciiTheme="minorEastAsia" w:eastAsiaTheme="minorEastAsia" w:hAnsiTheme="minorEastAsia" w:hint="eastAsia"/>
        </w:rPr>
        <w:t>21年5月13日止。</w:t>
      </w:r>
    </w:p>
    <w:p w:rsidR="00152EAA" w:rsidRDefault="00C24A2E">
      <w:pPr>
        <w:pStyle w:val="a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八</w:t>
      </w:r>
      <w:r w:rsidR="009870A2">
        <w:rPr>
          <w:rFonts w:asciiTheme="minorEastAsia" w:eastAsiaTheme="minorEastAsia" w:hAnsiTheme="minorEastAsia" w:hint="eastAsia"/>
        </w:rPr>
        <w:t>、特别事项：报告使用者在使用本报告的评估结论时，请注意本报告正文中</w:t>
      </w:r>
      <w:r w:rsidR="009870A2">
        <w:rPr>
          <w:rFonts w:asciiTheme="minorEastAsia" w:eastAsiaTheme="minorEastAsia" w:hAnsiTheme="minorEastAsia"/>
        </w:rPr>
        <w:t xml:space="preserve"> “</w:t>
      </w:r>
      <w:r w:rsidR="009870A2">
        <w:rPr>
          <w:rFonts w:asciiTheme="minorEastAsia" w:eastAsiaTheme="minorEastAsia" w:hAnsiTheme="minorEastAsia" w:hint="eastAsia"/>
        </w:rPr>
        <w:t>特别事项说明</w:t>
      </w:r>
      <w:r w:rsidR="009870A2">
        <w:rPr>
          <w:rFonts w:asciiTheme="minorEastAsia" w:eastAsiaTheme="minorEastAsia" w:hAnsiTheme="minorEastAsia"/>
        </w:rPr>
        <w:t>”</w:t>
      </w:r>
      <w:r w:rsidR="009870A2">
        <w:rPr>
          <w:rFonts w:asciiTheme="minorEastAsia" w:eastAsiaTheme="minorEastAsia" w:hAnsiTheme="minorEastAsia" w:hint="eastAsia"/>
        </w:rPr>
        <w:t>对评估结论的影响；并关注评估结论成立的评估假设</w:t>
      </w:r>
      <w:proofErr w:type="gramStart"/>
      <w:r w:rsidR="009870A2">
        <w:rPr>
          <w:rFonts w:asciiTheme="minorEastAsia" w:eastAsiaTheme="minorEastAsia" w:hAnsiTheme="minorEastAsia" w:hint="eastAsia"/>
        </w:rPr>
        <w:t>及前提</w:t>
      </w:r>
      <w:proofErr w:type="gramEnd"/>
      <w:r w:rsidR="009870A2">
        <w:rPr>
          <w:rFonts w:asciiTheme="minorEastAsia" w:eastAsiaTheme="minorEastAsia" w:hAnsiTheme="minorEastAsia" w:hint="eastAsia"/>
        </w:rPr>
        <w:t>条件。</w:t>
      </w:r>
    </w:p>
    <w:p w:rsidR="00152EAA" w:rsidRDefault="009870A2">
      <w:pPr>
        <w:pStyle w:val="a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对于本报告正文中</w:t>
      </w:r>
      <w:r>
        <w:rPr>
          <w:rFonts w:asciiTheme="minorEastAsia" w:eastAsiaTheme="minorEastAsia" w:hAnsiTheme="minorEastAsia"/>
        </w:rPr>
        <w:t xml:space="preserve"> “</w:t>
      </w:r>
      <w:r>
        <w:rPr>
          <w:rFonts w:asciiTheme="minorEastAsia" w:eastAsiaTheme="minorEastAsia" w:hAnsiTheme="minorEastAsia" w:hint="eastAsia"/>
        </w:rPr>
        <w:t>特别事项说明</w:t>
      </w:r>
      <w:r>
        <w:rPr>
          <w:rFonts w:asciiTheme="minorEastAsia" w:eastAsiaTheme="minorEastAsia" w:hAnsiTheme="minorEastAsia"/>
        </w:rPr>
        <w:t>”</w:t>
      </w:r>
      <w:r>
        <w:rPr>
          <w:rFonts w:asciiTheme="minorEastAsia" w:eastAsiaTheme="minorEastAsia" w:hAnsiTheme="minorEastAsia" w:hint="eastAsia"/>
        </w:rPr>
        <w:t>中有如下事项可能影响评估结论，但</w:t>
      </w:r>
      <w:proofErr w:type="gramStart"/>
      <w:r>
        <w:rPr>
          <w:rFonts w:asciiTheme="minorEastAsia" w:eastAsiaTheme="minorEastAsia" w:hAnsiTheme="minorEastAsia" w:hint="eastAsia"/>
        </w:rPr>
        <w:t>非资产</w:t>
      </w:r>
      <w:proofErr w:type="gramEnd"/>
      <w:r>
        <w:rPr>
          <w:rFonts w:asciiTheme="minorEastAsia" w:eastAsiaTheme="minorEastAsia" w:hAnsiTheme="minorEastAsia" w:hint="eastAsia"/>
        </w:rPr>
        <w:t>评估师执业水平和能力所能评定估算的重大事项，提醒报告使用者特别关注以下几项</w:t>
      </w:r>
      <w:r>
        <w:rPr>
          <w:rFonts w:asciiTheme="minorEastAsia" w:eastAsiaTheme="minorEastAsia" w:hAnsiTheme="minorEastAsia"/>
        </w:rPr>
        <w:t xml:space="preserve"> </w:t>
      </w:r>
      <w:r>
        <w:rPr>
          <w:rFonts w:asciiTheme="minorEastAsia" w:eastAsiaTheme="minorEastAsia" w:hAnsiTheme="minorEastAsia" w:hint="eastAsia"/>
        </w:rPr>
        <w:t>：</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proofErr w:type="gramStart"/>
      <w:r>
        <w:rPr>
          <w:rFonts w:asciiTheme="minorEastAsia" w:eastAsiaTheme="minorEastAsia" w:hAnsiTheme="minorEastAsia" w:hint="eastAsia"/>
          <w:color w:val="000000" w:themeColor="text1"/>
          <w:szCs w:val="24"/>
        </w:rPr>
        <w:t>一</w:t>
      </w:r>
      <w:proofErr w:type="gramEnd"/>
      <w:r>
        <w:rPr>
          <w:rFonts w:asciiTheme="minorEastAsia" w:eastAsiaTheme="minorEastAsia" w:hAnsiTheme="minorEastAsia" w:hint="eastAsia"/>
          <w:color w:val="000000" w:themeColor="text1"/>
          <w:szCs w:val="24"/>
        </w:rPr>
        <w:t>)权属资料瑕疵情况</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在履行评估程序过程中，评估人员依据评估的有关规定对委托方（及被评估单位）提供的评估对性的权属文件、资料进行了关注并进行了必要的查验：委托方仅提供了居民宅基用地登记申请、调查、审批表复印件，但是对委托评估资产的产权鉴定工作超出了评估工作的范围。我们不对委托评估资产的权属发表意见，同时不对其真实性承担任何责任。</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（二）评估程序受到限制的情况</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评估师未有评估程序受到限制的情况。</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（三）评估基准日至评估报告日之间存在可能对评估结论产生影响的事项</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评估人员未发现评估基准日至评估报告日之间存在可能对评估结论产生影响的重要事项。</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（四）</w:t>
      </w:r>
      <w:proofErr w:type="gramStart"/>
      <w:r>
        <w:rPr>
          <w:rFonts w:asciiTheme="minorEastAsia" w:eastAsiaTheme="minorEastAsia" w:hAnsiTheme="minorEastAsia" w:hint="eastAsia"/>
          <w:color w:val="000000" w:themeColor="text1"/>
          <w:szCs w:val="24"/>
        </w:rPr>
        <w:t>本资产</w:t>
      </w:r>
      <w:proofErr w:type="gramEnd"/>
      <w:r>
        <w:rPr>
          <w:rFonts w:asciiTheme="minorEastAsia" w:eastAsiaTheme="minorEastAsia" w:hAnsiTheme="minorEastAsia" w:hint="eastAsia"/>
          <w:color w:val="000000" w:themeColor="text1"/>
          <w:szCs w:val="24"/>
        </w:rPr>
        <w:t>评估对应的经济行为中，可能对评估结论产生重大影响的瑕疵情形</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评估人员未发现经济行为中存在可能对评估结论产生重大影响的其它瑕疵情形。</w:t>
      </w:r>
    </w:p>
    <w:p w:rsidR="00152EAA" w:rsidRDefault="009870A2">
      <w:pPr>
        <w:pStyle w:val="a0"/>
        <w:numPr>
          <w:ilvl w:val="0"/>
          <w:numId w:val="2"/>
        </w:numPr>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需要说明的其他问题</w:t>
      </w:r>
    </w:p>
    <w:p w:rsidR="00152EAA" w:rsidRDefault="009870A2">
      <w:pPr>
        <w:pStyle w:val="a0"/>
        <w:numPr>
          <w:ilvl w:val="0"/>
          <w:numId w:val="3"/>
        </w:numPr>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本次评估未考虑房屋产权转移时所需的费用。</w:t>
      </w:r>
    </w:p>
    <w:p w:rsidR="00152EAA" w:rsidRDefault="009870A2">
      <w:pPr>
        <w:pStyle w:val="a0"/>
        <w:numPr>
          <w:ilvl w:val="0"/>
          <w:numId w:val="3"/>
        </w:numPr>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本评估报告是在独立、客观、公正、科学的原则下做出的，遵循了有关的</w:t>
      </w:r>
      <w:r>
        <w:rPr>
          <w:rFonts w:asciiTheme="minorEastAsia" w:eastAsiaTheme="minorEastAsia" w:hAnsiTheme="minorEastAsia" w:hint="eastAsia"/>
          <w:color w:val="000000" w:themeColor="text1"/>
          <w:szCs w:val="24"/>
        </w:rPr>
        <w:lastRenderedPageBreak/>
        <w:t>法律、法规和资产评估准则的规定，我公司及所有参加评估的人员与委托方及有关当事人之间无任何特殊利害关系，评估人员在整个评估过程中，始终恪守职业道德和规范。</w:t>
      </w:r>
    </w:p>
    <w:p w:rsidR="00152EAA" w:rsidRDefault="009870A2">
      <w:pPr>
        <w:pStyle w:val="a0"/>
        <w:numPr>
          <w:ilvl w:val="0"/>
          <w:numId w:val="3"/>
        </w:numPr>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本评估报告中涉及的一般资料、产权资料、政策文件及相关材料由委托方及被评估单位负责提供，对其真实性、合法性由委托方及被评估单位承担相关的法律责任；注册评估</w:t>
      </w:r>
      <w:proofErr w:type="gramStart"/>
      <w:r>
        <w:rPr>
          <w:rFonts w:asciiTheme="minorEastAsia" w:eastAsiaTheme="minorEastAsia" w:hAnsiTheme="minorEastAsia" w:hint="eastAsia"/>
          <w:color w:val="000000" w:themeColor="text1"/>
          <w:szCs w:val="24"/>
        </w:rPr>
        <w:t>师执行</w:t>
      </w:r>
      <w:proofErr w:type="gramEnd"/>
      <w:r>
        <w:rPr>
          <w:rFonts w:asciiTheme="minorEastAsia" w:eastAsiaTheme="minorEastAsia" w:hAnsiTheme="minorEastAsia" w:hint="eastAsia"/>
          <w:color w:val="000000" w:themeColor="text1"/>
          <w:szCs w:val="24"/>
        </w:rPr>
        <w:t>资产评估业务的目的是对评估对象的价值进行估算并发表专业意见，对评估对象的法律权属确认或发表意见超出了注册资产评估的执业范围，因此评估机构不对评估对象的法律权属提供保证。</w:t>
      </w:r>
    </w:p>
    <w:p w:rsidR="00152EAA" w:rsidRDefault="009870A2">
      <w:pPr>
        <w:pStyle w:val="a0"/>
        <w:numPr>
          <w:ilvl w:val="0"/>
          <w:numId w:val="3"/>
        </w:numPr>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szCs w:val="24"/>
        </w:rPr>
        <w:t>附</w:t>
      </w:r>
      <w:r>
        <w:rPr>
          <w:rFonts w:asciiTheme="minorEastAsia" w:eastAsiaTheme="minorEastAsia" w:hAnsiTheme="minorEastAsia" w:hint="eastAsia"/>
          <w:color w:val="000000" w:themeColor="text1"/>
          <w:szCs w:val="24"/>
        </w:rPr>
        <w:t>件与报告正文配套使用方为有效。</w:t>
      </w:r>
    </w:p>
    <w:p w:rsidR="00152EAA" w:rsidRDefault="00C24A2E">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九</w:t>
      </w:r>
      <w:bookmarkStart w:id="4" w:name="_GoBack"/>
      <w:bookmarkEnd w:id="4"/>
      <w:r w:rsidR="009870A2">
        <w:rPr>
          <w:rFonts w:asciiTheme="minorEastAsia" w:eastAsiaTheme="minorEastAsia" w:hAnsiTheme="minorEastAsia" w:hint="eastAsia"/>
          <w:color w:val="000000" w:themeColor="text1"/>
          <w:szCs w:val="24"/>
        </w:rPr>
        <w:t>、评估报告</w:t>
      </w:r>
      <w:r w:rsidR="009870A2">
        <w:rPr>
          <w:rFonts w:asciiTheme="minorEastAsia" w:eastAsiaTheme="minorEastAsia" w:hAnsiTheme="minorEastAsia" w:hint="eastAsia"/>
          <w:szCs w:val="24"/>
        </w:rPr>
        <w:t>资产评估报告日：</w:t>
      </w:r>
      <w:r w:rsidR="009870A2">
        <w:rPr>
          <w:rFonts w:asciiTheme="minorEastAsia" w:eastAsiaTheme="minorEastAsia" w:hAnsiTheme="minorEastAsia"/>
          <w:szCs w:val="24"/>
        </w:rPr>
        <w:t>20</w:t>
      </w:r>
      <w:r w:rsidR="009870A2">
        <w:rPr>
          <w:rFonts w:asciiTheme="minorEastAsia" w:eastAsiaTheme="minorEastAsia" w:hAnsiTheme="minorEastAsia" w:hint="eastAsia"/>
          <w:szCs w:val="24"/>
        </w:rPr>
        <w:t>20年5月14日</w:t>
      </w:r>
      <w:r w:rsidR="009870A2">
        <w:rPr>
          <w:rFonts w:asciiTheme="minorEastAsia" w:eastAsiaTheme="minorEastAsia" w:hAnsiTheme="minorEastAsia" w:hint="eastAsia"/>
          <w:color w:val="000000" w:themeColor="text1"/>
          <w:szCs w:val="24"/>
        </w:rPr>
        <w:t>。</w:t>
      </w:r>
    </w:p>
    <w:p w:rsidR="00152EAA" w:rsidRDefault="00152EAA">
      <w:pPr>
        <w:pStyle w:val="a0"/>
        <w:tabs>
          <w:tab w:val="left" w:pos="567"/>
          <w:tab w:val="left" w:pos="1134"/>
          <w:tab w:val="left" w:pos="1276"/>
        </w:tabs>
        <w:snapToGrid w:val="0"/>
        <w:spacing w:line="360" w:lineRule="auto"/>
        <w:ind w:firstLine="0"/>
        <w:rPr>
          <w:rFonts w:asciiTheme="minorEastAsia" w:eastAsiaTheme="minorEastAsia" w:hAnsiTheme="minorEastAsia"/>
          <w:color w:val="000000" w:themeColor="text1"/>
          <w:szCs w:val="24"/>
        </w:rPr>
      </w:pPr>
    </w:p>
    <w:p w:rsidR="00152EAA" w:rsidRDefault="009870A2">
      <w:pPr>
        <w:pStyle w:val="a0"/>
        <w:snapToGrid w:val="0"/>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以上内容摘自评估报告正文，欲了解本评估项目的全面情况和</w:t>
      </w:r>
      <w:proofErr w:type="gramStart"/>
      <w:r>
        <w:rPr>
          <w:rFonts w:asciiTheme="minorEastAsia" w:eastAsiaTheme="minorEastAsia" w:hAnsiTheme="minorEastAsia" w:hint="eastAsia"/>
          <w:b/>
        </w:rPr>
        <w:t>合理理解</w:t>
      </w:r>
      <w:proofErr w:type="gramEnd"/>
      <w:r>
        <w:rPr>
          <w:rFonts w:asciiTheme="minorEastAsia" w:eastAsiaTheme="minorEastAsia" w:hAnsiTheme="minorEastAsia" w:hint="eastAsia"/>
          <w:b/>
        </w:rPr>
        <w:t>评估结论，请报告使用者在征得评估报告所有者许可后，认真阅读评估报告全文，并请关注特别事项说明部分的内容。</w:t>
      </w:r>
      <w:r>
        <w:rPr>
          <w:rFonts w:asciiTheme="minorEastAsia" w:eastAsiaTheme="minorEastAsia" w:hAnsiTheme="minorEastAsia"/>
          <w:b/>
        </w:rPr>
        <w:t xml:space="preserve"> </w:t>
      </w:r>
    </w:p>
    <w:p w:rsidR="00152EAA" w:rsidRDefault="009870A2">
      <w:pPr>
        <w:widowControl/>
        <w:jc w:val="left"/>
        <w:rPr>
          <w:rFonts w:asciiTheme="minorEastAsia" w:eastAsiaTheme="minorEastAsia" w:hAnsiTheme="minorEastAsia"/>
          <w:b/>
          <w:sz w:val="30"/>
          <w:szCs w:val="30"/>
        </w:rPr>
      </w:pPr>
      <w:r>
        <w:rPr>
          <w:rFonts w:asciiTheme="minorEastAsia" w:eastAsiaTheme="minorEastAsia" w:hAnsiTheme="minorEastAsia"/>
          <w:b/>
          <w:sz w:val="30"/>
          <w:szCs w:val="30"/>
        </w:rPr>
        <w:br w:type="page"/>
      </w:r>
    </w:p>
    <w:p w:rsidR="00152EAA" w:rsidRDefault="009870A2">
      <w:pPr>
        <w:pStyle w:val="ae"/>
        <w:spacing w:before="0" w:beforeAutospacing="0" w:after="0" w:afterAutospacing="0" w:line="360" w:lineRule="auto"/>
        <w:jc w:val="center"/>
        <w:rPr>
          <w:rStyle w:val="1Char"/>
          <w:rFonts w:ascii="Arial" w:eastAsia="宋体" w:hAnsi="Arial" w:cs="Times New Roman" w:hint="default"/>
          <w:szCs w:val="20"/>
        </w:rPr>
      </w:pPr>
      <w:bookmarkStart w:id="5" w:name="_Toc25024"/>
      <w:bookmarkStart w:id="6" w:name="_Toc5405"/>
      <w:r>
        <w:rPr>
          <w:rStyle w:val="1Char"/>
          <w:rFonts w:ascii="Arial" w:eastAsia="宋体" w:hAnsi="Arial" w:cs="Times New Roman"/>
          <w:szCs w:val="20"/>
        </w:rPr>
        <w:lastRenderedPageBreak/>
        <w:t>段新忠与</w:t>
      </w:r>
      <w:proofErr w:type="gramStart"/>
      <w:r>
        <w:rPr>
          <w:rStyle w:val="1Char"/>
          <w:rFonts w:ascii="Arial" w:eastAsia="宋体" w:hAnsi="Arial" w:cs="Times New Roman"/>
          <w:szCs w:val="20"/>
        </w:rPr>
        <w:t>文铁庚一案</w:t>
      </w:r>
      <w:proofErr w:type="gramEnd"/>
      <w:r>
        <w:rPr>
          <w:rStyle w:val="1Char"/>
          <w:rFonts w:ascii="Arial" w:eastAsia="宋体" w:hAnsi="Arial" w:cs="Times New Roman"/>
          <w:szCs w:val="20"/>
        </w:rPr>
        <w:t>所涉及的房产项目</w:t>
      </w:r>
    </w:p>
    <w:p w:rsidR="00152EAA" w:rsidRDefault="009870A2">
      <w:pPr>
        <w:pStyle w:val="2"/>
        <w:snapToGrid w:val="0"/>
        <w:spacing w:before="60" w:after="60" w:line="360" w:lineRule="auto"/>
        <w:ind w:firstLine="0"/>
        <w:jc w:val="center"/>
        <w:textAlignment w:val="auto"/>
        <w:rPr>
          <w:rFonts w:ascii="Times New Roman" w:eastAsia="宋体" w:hAnsi="Times New Roman"/>
          <w:spacing w:val="20"/>
          <w:sz w:val="36"/>
        </w:rPr>
      </w:pPr>
      <w:bookmarkStart w:id="7" w:name="_Toc13824"/>
      <w:bookmarkEnd w:id="5"/>
      <w:bookmarkEnd w:id="6"/>
      <w:r>
        <w:rPr>
          <w:rStyle w:val="1Char"/>
          <w:rFonts w:ascii="Times New Roman" w:eastAsia="宋体" w:hAnsi="Times New Roman" w:hint="eastAsia"/>
          <w:b/>
          <w:szCs w:val="36"/>
        </w:rPr>
        <w:t>资产评估</w:t>
      </w:r>
      <w:r w:rsidR="00A70439">
        <w:rPr>
          <w:rStyle w:val="1Char"/>
          <w:rFonts w:ascii="Times New Roman" w:eastAsia="宋体" w:hAnsi="Times New Roman" w:hint="eastAsia"/>
          <w:b/>
          <w:szCs w:val="36"/>
        </w:rPr>
        <w:t>报告</w:t>
      </w:r>
      <w:bookmarkEnd w:id="7"/>
    </w:p>
    <w:p w:rsidR="00152EAA" w:rsidRDefault="009870A2">
      <w:pPr>
        <w:adjustRightInd w:val="0"/>
        <w:snapToGrid w:val="0"/>
        <w:spacing w:before="60" w:after="60" w:line="360" w:lineRule="auto"/>
        <w:jc w:val="center"/>
        <w:rPr>
          <w:rFonts w:asciiTheme="minorEastAsia" w:eastAsiaTheme="minorEastAsia" w:hAnsiTheme="minorEastAsia"/>
        </w:rPr>
      </w:pPr>
      <w:proofErr w:type="gramStart"/>
      <w:r>
        <w:rPr>
          <w:rFonts w:asciiTheme="minorEastAsia" w:eastAsiaTheme="minorEastAsia" w:hAnsiTheme="minorEastAsia" w:hint="eastAsia"/>
        </w:rPr>
        <w:t>晋诺评报</w:t>
      </w:r>
      <w:proofErr w:type="gramEnd"/>
      <w:r>
        <w:rPr>
          <w:rFonts w:asciiTheme="minorEastAsia" w:eastAsiaTheme="minorEastAsia" w:hAnsiTheme="minorEastAsia" w:hint="eastAsia"/>
        </w:rPr>
        <w:t>字（2020）第009号</w:t>
      </w:r>
    </w:p>
    <w:p w:rsidR="00152EAA" w:rsidRDefault="009870A2">
      <w:pPr>
        <w:pStyle w:val="a0"/>
        <w:snapToGrid w:val="0"/>
        <w:spacing w:line="360" w:lineRule="auto"/>
        <w:ind w:firstLine="0"/>
        <w:rPr>
          <w:rFonts w:asciiTheme="minorEastAsia" w:eastAsiaTheme="minorEastAsia" w:hAnsiTheme="minorEastAsia"/>
          <w:b/>
          <w:szCs w:val="24"/>
        </w:rPr>
      </w:pPr>
      <w:r>
        <w:rPr>
          <w:rFonts w:asciiTheme="minorEastAsia" w:eastAsiaTheme="minorEastAsia" w:hAnsiTheme="minorEastAsia" w:hint="eastAsia"/>
          <w:b/>
          <w:szCs w:val="24"/>
        </w:rPr>
        <w:t>山西省运城市中级人民法院：</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山西一诺千金资产评估有限公司接受贵单位的委托，按照有关法律、行政法规和资产评估准则的规定，坚持独立、客观和公正的原则，采用收益法，按照必要的评估程序，对段新忠与</w:t>
      </w:r>
      <w:proofErr w:type="gramStart"/>
      <w:r>
        <w:rPr>
          <w:rFonts w:asciiTheme="minorEastAsia" w:eastAsiaTheme="minorEastAsia" w:hAnsiTheme="minorEastAsia" w:hint="eastAsia"/>
          <w:szCs w:val="24"/>
        </w:rPr>
        <w:t>文铁庚一案</w:t>
      </w:r>
      <w:proofErr w:type="gramEnd"/>
      <w:r>
        <w:rPr>
          <w:rFonts w:asciiTheme="minorEastAsia" w:eastAsiaTheme="minorEastAsia" w:hAnsiTheme="minorEastAsia" w:hint="eastAsia"/>
          <w:szCs w:val="24"/>
        </w:rPr>
        <w:t>所涉及的稷山县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修缮村十字口房院的房地产在2020年3月31日的市场价值进行了评估。现将资产评估情况报告如下。</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b w:val="0"/>
          <w:sz w:val="28"/>
          <w:szCs w:val="28"/>
        </w:rPr>
      </w:pPr>
      <w:bookmarkStart w:id="8" w:name="_Toc2451"/>
      <w:bookmarkStart w:id="9" w:name="_Toc490978137"/>
      <w:bookmarkStart w:id="10" w:name="_Toc403664411"/>
      <w:r>
        <w:rPr>
          <w:rFonts w:asciiTheme="minorEastAsia" w:eastAsiaTheme="minorEastAsia" w:hAnsiTheme="minorEastAsia" w:hint="eastAsia"/>
          <w:sz w:val="28"/>
          <w:szCs w:val="28"/>
        </w:rPr>
        <w:t>一、资产评估报告委托人</w:t>
      </w:r>
      <w:bookmarkEnd w:id="8"/>
    </w:p>
    <w:p w:rsidR="00152EAA" w:rsidRDefault="009870A2">
      <w:pPr>
        <w:pStyle w:val="a0"/>
        <w:snapToGrid w:val="0"/>
        <w:spacing w:line="360" w:lineRule="auto"/>
        <w:ind w:firstLineChars="200" w:firstLine="480"/>
        <w:rPr>
          <w:rFonts w:asciiTheme="minorEastAsia" w:eastAsiaTheme="minorEastAsia" w:hAnsiTheme="minorEastAsia"/>
          <w:szCs w:val="24"/>
        </w:rPr>
      </w:pPr>
      <w:bookmarkStart w:id="11" w:name="_Toc492260129"/>
      <w:r>
        <w:rPr>
          <w:rFonts w:asciiTheme="minorEastAsia" w:eastAsiaTheme="minorEastAsia" w:hAnsiTheme="minorEastAsia" w:hint="eastAsia"/>
          <w:szCs w:val="24"/>
        </w:rPr>
        <w:t>山西省运城市中级人民法院</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12" w:name="_Toc25620"/>
      <w:r>
        <w:rPr>
          <w:rFonts w:asciiTheme="minorEastAsia" w:eastAsiaTheme="minorEastAsia" w:hAnsiTheme="minorEastAsia" w:hint="eastAsia"/>
          <w:sz w:val="28"/>
          <w:szCs w:val="28"/>
        </w:rPr>
        <w:t>二、评估目的</w:t>
      </w:r>
      <w:bookmarkEnd w:id="11"/>
      <w:bookmarkEnd w:id="12"/>
    </w:p>
    <w:p w:rsidR="00152EAA" w:rsidRDefault="009870A2">
      <w:pPr>
        <w:pStyle w:val="a0"/>
        <w:snapToGrid w:val="0"/>
        <w:spacing w:line="360" w:lineRule="auto"/>
        <w:ind w:firstLineChars="200" w:firstLine="480"/>
        <w:rPr>
          <w:rFonts w:asciiTheme="minorEastAsia" w:eastAsiaTheme="minorEastAsia" w:hAnsiTheme="minorEastAsia"/>
          <w:szCs w:val="24"/>
        </w:rPr>
      </w:pPr>
      <w:bookmarkStart w:id="13" w:name="_Toc492260130"/>
      <w:r>
        <w:rPr>
          <w:rFonts w:asciiTheme="minorEastAsia" w:eastAsiaTheme="minorEastAsia" w:hAnsiTheme="minorEastAsia" w:hint="eastAsia"/>
          <w:szCs w:val="24"/>
        </w:rPr>
        <w:t>为法院确定拍卖标的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保留</w:t>
      </w:r>
      <w:proofErr w:type="gramStart"/>
      <w:r>
        <w:rPr>
          <w:rFonts w:asciiTheme="minorEastAsia" w:eastAsiaTheme="minorEastAsia" w:hAnsiTheme="minorEastAsia" w:hint="eastAsia"/>
          <w:szCs w:val="24"/>
        </w:rPr>
        <w:t>价提供</w:t>
      </w:r>
      <w:proofErr w:type="gramEnd"/>
      <w:r>
        <w:rPr>
          <w:rFonts w:asciiTheme="minorEastAsia" w:eastAsiaTheme="minorEastAsia" w:hAnsiTheme="minorEastAsia" w:hint="eastAsia"/>
          <w:szCs w:val="24"/>
        </w:rPr>
        <w:t>参考依据而评估资产市场价值。</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14" w:name="_Toc11544"/>
      <w:r>
        <w:rPr>
          <w:rFonts w:asciiTheme="minorEastAsia" w:eastAsiaTheme="minorEastAsia" w:hAnsiTheme="minorEastAsia" w:hint="eastAsia"/>
          <w:sz w:val="28"/>
          <w:szCs w:val="28"/>
        </w:rPr>
        <w:t>三、评估对象和评估范围</w:t>
      </w:r>
      <w:bookmarkEnd w:id="13"/>
      <w:bookmarkEnd w:id="14"/>
    </w:p>
    <w:p w:rsidR="00152EAA" w:rsidRDefault="009870A2">
      <w:pPr>
        <w:pStyle w:val="a0"/>
        <w:rPr>
          <w:rFonts w:asciiTheme="minorEastAsia" w:eastAsiaTheme="minorEastAsia" w:hAnsiTheme="minorEastAsia"/>
          <w:szCs w:val="24"/>
        </w:rPr>
      </w:pPr>
      <w:r>
        <w:rPr>
          <w:rFonts w:asciiTheme="minorEastAsia" w:eastAsiaTheme="minorEastAsia" w:hAnsiTheme="minorEastAsia" w:hint="eastAsia"/>
          <w:szCs w:val="24"/>
        </w:rPr>
        <w:t>1、权益状况</w:t>
      </w:r>
    </w:p>
    <w:p w:rsidR="00152EAA" w:rsidRDefault="009870A2">
      <w:pPr>
        <w:pStyle w:val="a0"/>
        <w:rPr>
          <w:rFonts w:asciiTheme="minorEastAsia" w:eastAsiaTheme="minorEastAsia" w:hAnsiTheme="minorEastAsia"/>
          <w:szCs w:val="24"/>
        </w:rPr>
      </w:pPr>
      <w:r>
        <w:rPr>
          <w:rFonts w:asciiTheme="minorEastAsia" w:eastAsiaTheme="minorEastAsia" w:hAnsiTheme="minorEastAsia" w:hint="eastAsia"/>
          <w:szCs w:val="24"/>
        </w:rPr>
        <w:t>委托方提供了居民宅基用地登记申请、调查、审批表复印件，房屋坐落于稷山县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修缮村十字口房院，土地使用者为文铁庚，权属性质为集体土地使用权，土地面积为130.53㎡；房屋建筑面积为115.58㎡。登记时间为1996年5月15日。</w:t>
      </w:r>
    </w:p>
    <w:p w:rsidR="00152EAA" w:rsidRDefault="009870A2">
      <w:pPr>
        <w:pStyle w:val="a0"/>
        <w:rPr>
          <w:rFonts w:asciiTheme="minorEastAsia" w:eastAsiaTheme="minorEastAsia" w:hAnsiTheme="minorEastAsia"/>
          <w:szCs w:val="24"/>
        </w:rPr>
      </w:pPr>
      <w:r>
        <w:rPr>
          <w:rFonts w:asciiTheme="minorEastAsia" w:eastAsiaTheme="minorEastAsia" w:hAnsiTheme="minorEastAsia" w:hint="eastAsia"/>
          <w:szCs w:val="24"/>
        </w:rPr>
        <w:t>2、实体状况</w:t>
      </w:r>
    </w:p>
    <w:p w:rsidR="00152EAA" w:rsidRDefault="009870A2">
      <w:pPr>
        <w:pStyle w:val="a0"/>
        <w:rPr>
          <w:rFonts w:asciiTheme="minorEastAsia" w:eastAsiaTheme="minorEastAsia" w:hAnsiTheme="minorEastAsia"/>
          <w:szCs w:val="24"/>
        </w:rPr>
      </w:pPr>
      <w:r>
        <w:rPr>
          <w:rFonts w:asciiTheme="minorEastAsia" w:eastAsiaTheme="minorEastAsia" w:hAnsiTheme="minorEastAsia" w:hint="eastAsia"/>
          <w:szCs w:val="24"/>
        </w:rPr>
        <w:t>估价对象坐落于稷山县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建筑物层数为1层，结构为砖混结构，2005年建成。建筑外立面贴长条瓷砖。安装木门、木窗，室内地面为水泥地面，墙面仿瓷，天棚矿棉板吊顶，共4间。通路、通水、通电，东临文天水、西临文二更、南临小路、北临大路。房屋地理位置较好，有较好的使用价值。</w:t>
      </w:r>
    </w:p>
    <w:p w:rsidR="00152EAA" w:rsidRDefault="009870A2">
      <w:pPr>
        <w:pStyle w:val="a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3、区位状况</w:t>
      </w:r>
    </w:p>
    <w:p w:rsidR="00152EAA" w:rsidRDefault="009870A2">
      <w:pPr>
        <w:pStyle w:val="a0"/>
        <w:rPr>
          <w:rFonts w:asciiTheme="minorEastAsia" w:eastAsiaTheme="minorEastAsia" w:hAnsiTheme="minorEastAsia"/>
          <w:szCs w:val="24"/>
        </w:rPr>
      </w:pPr>
      <w:r>
        <w:rPr>
          <w:rFonts w:asciiTheme="minorEastAsia" w:eastAsiaTheme="minorEastAsia" w:hAnsiTheme="minorEastAsia" w:hint="eastAsia"/>
          <w:szCs w:val="24"/>
        </w:rPr>
        <w:t>估价对象位于稷山县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修缮村十字口，附近有运城市农村信用合作社、中国邮政、、挚爱天使奶粉店、农资店、亚宝大药房、丁庄中心幼儿园、泡泡糖时尚</w:t>
      </w:r>
      <w:proofErr w:type="gramStart"/>
      <w:r>
        <w:rPr>
          <w:rFonts w:asciiTheme="minorEastAsia" w:eastAsiaTheme="minorEastAsia" w:hAnsiTheme="minorEastAsia" w:hint="eastAsia"/>
          <w:szCs w:val="24"/>
        </w:rPr>
        <w:t>孕婴坊等</w:t>
      </w:r>
      <w:proofErr w:type="gramEnd"/>
      <w:r>
        <w:rPr>
          <w:rFonts w:asciiTheme="minorEastAsia" w:eastAsiaTheme="minorEastAsia" w:hAnsiTheme="minorEastAsia" w:hint="eastAsia"/>
          <w:szCs w:val="24"/>
        </w:rPr>
        <w:t>生活配套设施齐全。交通便利</w:t>
      </w:r>
      <w:bookmarkStart w:id="15" w:name="_Toc153011971"/>
      <w:r>
        <w:rPr>
          <w:rFonts w:asciiTheme="minorEastAsia" w:eastAsiaTheme="minorEastAsia" w:hAnsiTheme="minorEastAsia" w:hint="eastAsia"/>
          <w:szCs w:val="24"/>
        </w:rPr>
        <w:t>。</w:t>
      </w:r>
    </w:p>
    <w:p w:rsidR="00152EAA" w:rsidRDefault="009870A2">
      <w:pPr>
        <w:pStyle w:val="3"/>
        <w:adjustRightInd w:val="0"/>
        <w:snapToGrid w:val="0"/>
        <w:spacing w:before="60" w:after="60" w:line="360" w:lineRule="auto"/>
        <w:ind w:firstLineChars="200" w:firstLine="480"/>
        <w:rPr>
          <w:rFonts w:asciiTheme="minorEastAsia" w:eastAsiaTheme="minorEastAsia" w:hAnsiTheme="minorEastAsia"/>
          <w:b w:val="0"/>
          <w:kern w:val="0"/>
          <w:sz w:val="24"/>
          <w:szCs w:val="24"/>
        </w:rPr>
      </w:pPr>
      <w:bookmarkStart w:id="16" w:name="_Toc32741"/>
      <w:r>
        <w:rPr>
          <w:rFonts w:asciiTheme="minorEastAsia" w:eastAsiaTheme="minorEastAsia" w:hAnsiTheme="minorEastAsia" w:hint="eastAsia"/>
          <w:b w:val="0"/>
          <w:kern w:val="0"/>
          <w:sz w:val="24"/>
          <w:szCs w:val="24"/>
        </w:rPr>
        <w:lastRenderedPageBreak/>
        <w:t>四、价值类型</w:t>
      </w:r>
      <w:bookmarkEnd w:id="15"/>
      <w:bookmarkEnd w:id="16"/>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根据本次资产评估的特定目的，</w:t>
      </w:r>
      <w:proofErr w:type="gramStart"/>
      <w:r>
        <w:rPr>
          <w:rFonts w:asciiTheme="minorEastAsia" w:eastAsiaTheme="minorEastAsia" w:hAnsiTheme="minorEastAsia" w:hint="eastAsia"/>
          <w:szCs w:val="24"/>
        </w:rPr>
        <w:t>委估资产</w:t>
      </w:r>
      <w:proofErr w:type="gramEnd"/>
      <w:r>
        <w:rPr>
          <w:rFonts w:asciiTheme="minorEastAsia" w:eastAsiaTheme="minorEastAsia" w:hAnsiTheme="minorEastAsia" w:hint="eastAsia"/>
          <w:szCs w:val="24"/>
        </w:rPr>
        <w:t>自身的功能、利用方式和使用状态，以及评估时的市场条件，本评估项目的价值类型为市场价值类型。</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17" w:name="_Toc6046"/>
      <w:r>
        <w:rPr>
          <w:rFonts w:asciiTheme="minorEastAsia" w:eastAsiaTheme="minorEastAsia" w:hAnsiTheme="minorEastAsia" w:hint="eastAsia"/>
          <w:sz w:val="28"/>
          <w:szCs w:val="28"/>
        </w:rPr>
        <w:t>五、评估基准日</w:t>
      </w:r>
      <w:bookmarkEnd w:id="9"/>
      <w:bookmarkEnd w:id="17"/>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评估基准日是2020年3月31日。</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评估基准日是由委托人确定的，与资产评估业务约定书约定的评估基准日一致。</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18" w:name="_Toc4869"/>
      <w:bookmarkStart w:id="19" w:name="_Toc448559713"/>
      <w:bookmarkEnd w:id="10"/>
      <w:r>
        <w:rPr>
          <w:rFonts w:asciiTheme="minorEastAsia" w:eastAsiaTheme="minorEastAsia" w:hAnsiTheme="minorEastAsia" w:hint="eastAsia"/>
          <w:sz w:val="28"/>
          <w:szCs w:val="28"/>
        </w:rPr>
        <w:t>六、评估依据</w:t>
      </w:r>
      <w:bookmarkEnd w:id="18"/>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本次评估工作中所遵循的经济行为依据、法律法规依据、评估准则依据、资产权属依据和评估取</w:t>
      </w:r>
      <w:proofErr w:type="gramStart"/>
      <w:r>
        <w:rPr>
          <w:rFonts w:asciiTheme="minorEastAsia" w:eastAsiaTheme="minorEastAsia" w:hAnsiTheme="minorEastAsia" w:hint="eastAsia"/>
          <w:szCs w:val="24"/>
        </w:rPr>
        <w:t>价依据</w:t>
      </w:r>
      <w:proofErr w:type="gramEnd"/>
      <w:r>
        <w:rPr>
          <w:rFonts w:asciiTheme="minorEastAsia" w:eastAsiaTheme="minorEastAsia" w:hAnsiTheme="minorEastAsia" w:hint="eastAsia"/>
          <w:szCs w:val="24"/>
        </w:rPr>
        <w:t>为：</w:t>
      </w:r>
    </w:p>
    <w:bookmarkEnd w:id="19"/>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（一）经济行为依据</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《山西省运城市中级人民法院评估委托书》&lt;（2019）运</w:t>
      </w:r>
      <w:proofErr w:type="gramStart"/>
      <w:r>
        <w:rPr>
          <w:rFonts w:asciiTheme="minorEastAsia" w:eastAsiaTheme="minorEastAsia" w:hAnsiTheme="minorEastAsia" w:hint="eastAsia"/>
          <w:szCs w:val="24"/>
        </w:rPr>
        <w:t>法技评字</w:t>
      </w:r>
      <w:proofErr w:type="gramEnd"/>
      <w:r>
        <w:rPr>
          <w:rFonts w:asciiTheme="minorEastAsia" w:eastAsiaTheme="minorEastAsia" w:hAnsiTheme="minorEastAsia" w:hint="eastAsia"/>
          <w:szCs w:val="24"/>
        </w:rPr>
        <w:t>第226号&gt;。</w:t>
      </w:r>
    </w:p>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（二）</w:t>
      </w:r>
      <w:bookmarkStart w:id="20" w:name="_Toc80893259"/>
      <w:bookmarkStart w:id="21" w:name="_Toc213846101"/>
      <w:bookmarkStart w:id="22" w:name="_Toc143578291"/>
      <w:bookmarkStart w:id="23" w:name="_Toc113332682"/>
      <w:bookmarkStart w:id="24" w:name="_Toc113244878"/>
      <w:r>
        <w:rPr>
          <w:rFonts w:asciiTheme="minorEastAsia" w:eastAsiaTheme="minorEastAsia" w:hAnsiTheme="minorEastAsia" w:hint="eastAsia"/>
          <w:b/>
          <w:szCs w:val="24"/>
        </w:rPr>
        <w:t>法律法规依据</w:t>
      </w:r>
      <w:bookmarkEnd w:id="20"/>
      <w:bookmarkEnd w:id="21"/>
      <w:bookmarkEnd w:id="22"/>
      <w:bookmarkEnd w:id="23"/>
      <w:bookmarkEnd w:id="24"/>
    </w:p>
    <w:p w:rsidR="00152EAA" w:rsidRDefault="009870A2">
      <w:pPr>
        <w:pStyle w:val="31"/>
        <w:spacing w:line="520" w:lineRule="exact"/>
        <w:ind w:firstLineChars="200" w:firstLine="480"/>
        <w:rPr>
          <w:rFonts w:ascii="Times New Roman"/>
        </w:rPr>
      </w:pPr>
      <w:r>
        <w:rPr>
          <w:rFonts w:ascii="Times New Roman"/>
        </w:rPr>
        <w:t>1.</w:t>
      </w:r>
      <w:r>
        <w:rPr>
          <w:rFonts w:ascii="Times New Roman"/>
        </w:rPr>
        <w:t>《中华人民共和国公司法》（</w:t>
      </w:r>
      <w:r>
        <w:rPr>
          <w:rFonts w:ascii="Times New Roman"/>
        </w:rPr>
        <w:t>2013</w:t>
      </w:r>
      <w:r>
        <w:rPr>
          <w:rFonts w:ascii="Times New Roman"/>
        </w:rPr>
        <w:t>年</w:t>
      </w:r>
      <w:r>
        <w:rPr>
          <w:rFonts w:ascii="Times New Roman"/>
        </w:rPr>
        <w:t>12</w:t>
      </w:r>
      <w:r>
        <w:rPr>
          <w:rFonts w:ascii="Times New Roman"/>
        </w:rPr>
        <w:t>月</w:t>
      </w:r>
      <w:r>
        <w:rPr>
          <w:rFonts w:ascii="Times New Roman"/>
        </w:rPr>
        <w:t>28</w:t>
      </w:r>
      <w:r>
        <w:rPr>
          <w:rFonts w:ascii="Times New Roman"/>
        </w:rPr>
        <w:t>日第十二届全国人民代表大会常务委员会第六次会议通过修订）</w:t>
      </w:r>
      <w:r>
        <w:rPr>
          <w:rFonts w:ascii="Times New Roman" w:hint="eastAsia"/>
        </w:rPr>
        <w:t>；</w:t>
      </w:r>
    </w:p>
    <w:p w:rsidR="00152EAA" w:rsidRDefault="009870A2">
      <w:pPr>
        <w:pStyle w:val="31"/>
        <w:spacing w:line="520" w:lineRule="exact"/>
        <w:ind w:firstLineChars="200" w:firstLine="480"/>
        <w:rPr>
          <w:rFonts w:ascii="Times New Roman"/>
        </w:rPr>
      </w:pPr>
      <w:r>
        <w:rPr>
          <w:rFonts w:ascii="Times New Roman" w:hint="eastAsia"/>
        </w:rPr>
        <w:t>2.</w:t>
      </w:r>
      <w:r>
        <w:rPr>
          <w:rFonts w:ascii="Times New Roman" w:hint="eastAsia"/>
        </w:rPr>
        <w:t>《</w:t>
      </w:r>
      <w:r>
        <w:rPr>
          <w:rFonts w:ascii="Times New Roman"/>
        </w:rPr>
        <w:t>中华人民共和国</w:t>
      </w:r>
      <w:hyperlink r:id="rId14" w:tgtFrame="_blank" w:history="1">
        <w:r>
          <w:rPr>
            <w:rFonts w:ascii="Times New Roman"/>
          </w:rPr>
          <w:t>资产评估</w:t>
        </w:r>
      </w:hyperlink>
      <w:r>
        <w:rPr>
          <w:rFonts w:ascii="Times New Roman"/>
        </w:rPr>
        <w:t>法</w:t>
      </w:r>
      <w:r>
        <w:rPr>
          <w:rFonts w:ascii="Times New Roman" w:hint="eastAsia"/>
        </w:rPr>
        <w:t>》（</w:t>
      </w:r>
      <w:r>
        <w:rPr>
          <w:rFonts w:ascii="Times New Roman"/>
        </w:rPr>
        <w:t>中华人民共和国主席令第</w:t>
      </w:r>
      <w:r>
        <w:rPr>
          <w:rFonts w:ascii="Times New Roman" w:hint="eastAsia"/>
        </w:rPr>
        <w:t>46</w:t>
      </w:r>
      <w:r>
        <w:rPr>
          <w:rFonts w:ascii="Times New Roman"/>
        </w:rPr>
        <w:t>号</w:t>
      </w:r>
      <w:r>
        <w:rPr>
          <w:rFonts w:ascii="Times New Roman" w:hint="eastAsia"/>
        </w:rPr>
        <w:t>）；</w:t>
      </w:r>
    </w:p>
    <w:p w:rsidR="00152EAA" w:rsidRDefault="009870A2">
      <w:pPr>
        <w:pStyle w:val="31"/>
        <w:spacing w:line="520" w:lineRule="exact"/>
        <w:ind w:firstLineChars="200" w:firstLine="480"/>
        <w:rPr>
          <w:rFonts w:ascii="Times New Roman"/>
        </w:rPr>
      </w:pPr>
      <w:r>
        <w:rPr>
          <w:rFonts w:ascii="Times New Roman" w:hint="eastAsia"/>
        </w:rPr>
        <w:t>3.</w:t>
      </w:r>
      <w:r>
        <w:rPr>
          <w:rFonts w:ascii="Times New Roman"/>
        </w:rPr>
        <w:t>《国有资产评估管理办法》（国务院</w:t>
      </w:r>
      <w:r>
        <w:rPr>
          <w:rFonts w:ascii="Times New Roman"/>
        </w:rPr>
        <w:t>91</w:t>
      </w:r>
      <w:r>
        <w:rPr>
          <w:rFonts w:ascii="Times New Roman"/>
        </w:rPr>
        <w:t>号令）</w:t>
      </w:r>
      <w:r>
        <w:rPr>
          <w:rFonts w:ascii="Times New Roman" w:hint="eastAsia"/>
        </w:rPr>
        <w:t>；</w:t>
      </w:r>
    </w:p>
    <w:p w:rsidR="00152EAA" w:rsidRDefault="009870A2">
      <w:pPr>
        <w:pStyle w:val="31"/>
        <w:spacing w:line="520" w:lineRule="exact"/>
        <w:ind w:firstLineChars="200" w:firstLine="480"/>
        <w:rPr>
          <w:rFonts w:ascii="Times New Roman"/>
        </w:rPr>
      </w:pPr>
      <w:r>
        <w:rPr>
          <w:rFonts w:ascii="Times New Roman" w:hint="eastAsia"/>
        </w:rPr>
        <w:t>4.</w:t>
      </w:r>
      <w:r>
        <w:rPr>
          <w:rFonts w:ascii="Times New Roman"/>
        </w:rPr>
        <w:t>《关于加强企业国有资产评估管理工作有关问题的通知》（国务院国有资产监督管理委员会国资委产权〈</w:t>
      </w:r>
      <w:r>
        <w:rPr>
          <w:rFonts w:ascii="Times New Roman"/>
        </w:rPr>
        <w:t>2006</w:t>
      </w:r>
      <w:r>
        <w:rPr>
          <w:rFonts w:ascii="Times New Roman"/>
        </w:rPr>
        <w:t>〉</w:t>
      </w:r>
      <w:r>
        <w:rPr>
          <w:rFonts w:ascii="Times New Roman"/>
        </w:rPr>
        <w:t>274</w:t>
      </w:r>
      <w:r>
        <w:rPr>
          <w:rFonts w:ascii="Times New Roman"/>
        </w:rPr>
        <w:t>号）</w:t>
      </w:r>
      <w:r>
        <w:rPr>
          <w:rFonts w:ascii="Times New Roman" w:hint="eastAsia"/>
        </w:rPr>
        <w:t>；</w:t>
      </w:r>
    </w:p>
    <w:p w:rsidR="00152EAA" w:rsidRDefault="009870A2">
      <w:pPr>
        <w:pStyle w:val="31"/>
        <w:spacing w:line="520" w:lineRule="exact"/>
        <w:ind w:firstLineChars="200" w:firstLine="480"/>
        <w:rPr>
          <w:rFonts w:ascii="Times New Roman"/>
        </w:rPr>
      </w:pPr>
      <w:r>
        <w:rPr>
          <w:rFonts w:ascii="Times New Roman" w:hint="eastAsia"/>
        </w:rPr>
        <w:t>5.</w:t>
      </w:r>
      <w:r>
        <w:rPr>
          <w:rFonts w:ascii="Times New Roman" w:hint="eastAsia"/>
        </w:rPr>
        <w:t>财政部、中国人民银行、国家税务总局和原国家国有资产管理局制定的有关企业财务、会计、税收和资产管理方面的政策、法规。</w:t>
      </w:r>
    </w:p>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（三）</w:t>
      </w:r>
      <w:bookmarkStart w:id="25" w:name="_Toc213846102"/>
      <w:r>
        <w:rPr>
          <w:rFonts w:asciiTheme="minorEastAsia" w:eastAsiaTheme="minorEastAsia" w:hAnsiTheme="minorEastAsia" w:hint="eastAsia"/>
          <w:b/>
          <w:szCs w:val="24"/>
        </w:rPr>
        <w:t>评估准则依据</w:t>
      </w:r>
      <w:bookmarkEnd w:id="25"/>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《资产评估基本准则》（财资〔</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43</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《资产评估职业道德准则》（</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30</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《资产评估执业准则——资产评估程序》（</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31</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《资产评估执业准则——资产评估报告》（</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32</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《资产评估执业准则——资产评估档案》（</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34</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560"/>
        <w:rPr>
          <w:rFonts w:asciiTheme="minorEastAsia" w:eastAsiaTheme="minorEastAsia" w:hAnsiTheme="minorEastAsia"/>
          <w:szCs w:val="24"/>
        </w:rPr>
      </w:pPr>
      <w:r>
        <w:rPr>
          <w:rFonts w:ascii="仿宋_GB2312" w:eastAsia="仿宋_GB2312" w:hAnsi="Courier New" w:hint="eastAsia"/>
          <w:sz w:val="28"/>
        </w:rPr>
        <w:t>《</w:t>
      </w:r>
      <w:r>
        <w:rPr>
          <w:rFonts w:asciiTheme="minorEastAsia" w:eastAsiaTheme="minorEastAsia" w:hAnsiTheme="minorEastAsia" w:hint="eastAsia"/>
          <w:szCs w:val="24"/>
        </w:rPr>
        <w:t>中华人民共和国城市房地产管理法》（1994年7月5日中华人民共和国主席令第29号、1995年1月1日起施行）；</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《中华人民共和国土地管理法》（2004年8月28日中华人民共和国主席令第28号（第二次修正）、1999年1月1日起施行）；</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《中华人民共和国城乡规划法》（中华人民共和国主席令 第七十四号、自2011年1月1日起施行）；</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《最高人民法院关于人民法院委托评估、拍卖和变卖工作的若干规定》（法释〔2009〕16号）；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《不动产登记暂行条例》（中华人民共和国国务院令第656号，自2015年3月1日起施行）；</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《资产评估机构业务质量控制指南》（</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46</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《资产评估价值类型指导意见》（</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47</w:t>
      </w:r>
      <w:r>
        <w:rPr>
          <w:rFonts w:asciiTheme="minorEastAsia" w:eastAsiaTheme="minorEastAsia" w:hAnsiTheme="minorEastAsia" w:hint="eastAsia"/>
          <w:szCs w:val="24"/>
        </w:rPr>
        <w:t>号）；</w:t>
      </w:r>
    </w:p>
    <w:p w:rsidR="00152EAA" w:rsidRDefault="009870A2">
      <w:pPr>
        <w:pStyle w:val="a0"/>
        <w:numPr>
          <w:ilvl w:val="0"/>
          <w:numId w:val="4"/>
        </w:numPr>
        <w:tabs>
          <w:tab w:val="left" w:pos="851"/>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《资产评估对象法律权属指导意见》（</w:t>
      </w:r>
      <w:proofErr w:type="gramStart"/>
      <w:r>
        <w:rPr>
          <w:rFonts w:asciiTheme="minorEastAsia" w:eastAsiaTheme="minorEastAsia" w:hAnsiTheme="minorEastAsia" w:hint="eastAsia"/>
          <w:szCs w:val="24"/>
        </w:rPr>
        <w:t>中评协</w:t>
      </w:r>
      <w:proofErr w:type="gramEnd"/>
      <w:r>
        <w:rPr>
          <w:rFonts w:asciiTheme="minorEastAsia" w:eastAsiaTheme="minorEastAsia" w:hAnsiTheme="minorEastAsia" w:hint="eastAsia"/>
          <w:szCs w:val="24"/>
        </w:rPr>
        <w:t>〔</w:t>
      </w:r>
      <w:r>
        <w:rPr>
          <w:rFonts w:asciiTheme="minorEastAsia" w:eastAsiaTheme="minorEastAsia" w:hAnsiTheme="minorEastAsia"/>
          <w:szCs w:val="24"/>
        </w:rPr>
        <w:t>2017</w:t>
      </w:r>
      <w:r>
        <w:rPr>
          <w:rFonts w:asciiTheme="minorEastAsia" w:eastAsiaTheme="minorEastAsia" w:hAnsiTheme="minorEastAsia" w:hint="eastAsia"/>
          <w:szCs w:val="24"/>
        </w:rPr>
        <w:t>〕</w:t>
      </w:r>
      <w:r>
        <w:rPr>
          <w:rFonts w:asciiTheme="minorEastAsia" w:eastAsiaTheme="minorEastAsia" w:hAnsiTheme="minorEastAsia"/>
          <w:szCs w:val="24"/>
        </w:rPr>
        <w:t>48</w:t>
      </w:r>
      <w:r>
        <w:rPr>
          <w:rFonts w:asciiTheme="minorEastAsia" w:eastAsiaTheme="minorEastAsia" w:hAnsiTheme="minorEastAsia" w:hint="eastAsia"/>
          <w:szCs w:val="24"/>
        </w:rPr>
        <w:t>号）。</w:t>
      </w:r>
    </w:p>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（四）资产权属依据</w:t>
      </w:r>
    </w:p>
    <w:p w:rsidR="00152EAA" w:rsidRDefault="009870A2">
      <w:pPr>
        <w:pStyle w:val="a0"/>
        <w:snapToGrid w:val="0"/>
        <w:spacing w:line="360" w:lineRule="auto"/>
        <w:ind w:firstLineChars="200" w:firstLine="480"/>
        <w:rPr>
          <w:rFonts w:eastAsiaTheme="minorEastAsia"/>
        </w:rPr>
      </w:pPr>
      <w:bookmarkStart w:id="26" w:name="_Toc502117271"/>
      <w:bookmarkStart w:id="27" w:name="_Toc522509760"/>
      <w:bookmarkStart w:id="28" w:name="_Toc495555895"/>
      <w:bookmarkStart w:id="29" w:name="_Toc403664410"/>
      <w:r>
        <w:rPr>
          <w:rFonts w:eastAsiaTheme="minorEastAsia" w:hint="eastAsia"/>
        </w:rPr>
        <w:t>居民宅基地用地登记申请、调查、审批表复印件。</w:t>
      </w:r>
    </w:p>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（五）评估取价依据</w:t>
      </w:r>
    </w:p>
    <w:p w:rsidR="00152EAA" w:rsidRDefault="009870A2">
      <w:pPr>
        <w:pStyle w:val="a0"/>
        <w:tabs>
          <w:tab w:val="left" w:pos="851"/>
        </w:tabs>
        <w:snapToGrid w:val="0"/>
        <w:spacing w:line="360" w:lineRule="auto"/>
        <w:ind w:leftChars="200" w:left="480" w:firstLine="0"/>
        <w:rPr>
          <w:rFonts w:asciiTheme="minorEastAsia" w:eastAsiaTheme="minorEastAsia" w:hAnsiTheme="minorEastAsia"/>
          <w:szCs w:val="24"/>
        </w:rPr>
      </w:pPr>
      <w:r>
        <w:rPr>
          <w:rFonts w:hint="eastAsia"/>
          <w:szCs w:val="28"/>
        </w:rPr>
        <w:t>资产</w:t>
      </w:r>
      <w:r>
        <w:rPr>
          <w:szCs w:val="28"/>
        </w:rPr>
        <w:t>评估师现场勘察和市场调查取得的与估价相关的资料</w:t>
      </w:r>
      <w:r>
        <w:rPr>
          <w:rFonts w:asciiTheme="minorEastAsia" w:eastAsiaTheme="minorEastAsia" w:hAnsiTheme="minorEastAsia" w:hint="eastAsia"/>
          <w:szCs w:val="24"/>
        </w:rPr>
        <w:t>。</w:t>
      </w:r>
    </w:p>
    <w:p w:rsidR="00152EAA" w:rsidRDefault="009870A2">
      <w:pPr>
        <w:pStyle w:val="a0"/>
        <w:snapToGrid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（六）其他参考资料</w:t>
      </w:r>
    </w:p>
    <w:p w:rsidR="00152EAA" w:rsidRDefault="009870A2">
      <w:pPr>
        <w:pStyle w:val="a0"/>
        <w:numPr>
          <w:ilvl w:val="0"/>
          <w:numId w:val="5"/>
        </w:numPr>
        <w:tabs>
          <w:tab w:val="left" w:pos="851"/>
        </w:tabs>
        <w:snapToGrid w:val="0"/>
        <w:spacing w:line="360" w:lineRule="auto"/>
        <w:ind w:left="0" w:firstLineChars="200" w:firstLine="480"/>
        <w:rPr>
          <w:szCs w:val="28"/>
        </w:rPr>
      </w:pPr>
      <w:r>
        <w:rPr>
          <w:rFonts w:hint="eastAsia"/>
        </w:rPr>
        <w:t>委托人</w:t>
      </w:r>
      <w:r>
        <w:t>提供的其它有关资料</w:t>
      </w:r>
      <w:r>
        <w:rPr>
          <w:rFonts w:hint="eastAsia"/>
        </w:rPr>
        <w:t>；</w:t>
      </w:r>
    </w:p>
    <w:p w:rsidR="00152EAA" w:rsidRDefault="009870A2">
      <w:pPr>
        <w:pStyle w:val="a0"/>
        <w:numPr>
          <w:ilvl w:val="0"/>
          <w:numId w:val="5"/>
        </w:numPr>
        <w:tabs>
          <w:tab w:val="left" w:pos="851"/>
        </w:tabs>
        <w:snapToGrid w:val="0"/>
        <w:spacing w:line="360" w:lineRule="auto"/>
        <w:ind w:left="0" w:firstLineChars="200" w:firstLine="480"/>
        <w:rPr>
          <w:szCs w:val="28"/>
        </w:rPr>
      </w:pPr>
      <w:r>
        <w:t>评估人员现场勘察及了解的评估相关情况</w:t>
      </w:r>
      <w:r>
        <w:rPr>
          <w:rFonts w:hint="eastAsia"/>
        </w:rPr>
        <w:t>；</w:t>
      </w:r>
    </w:p>
    <w:p w:rsidR="00152EAA" w:rsidRDefault="009870A2">
      <w:pPr>
        <w:pStyle w:val="a0"/>
        <w:numPr>
          <w:ilvl w:val="0"/>
          <w:numId w:val="5"/>
        </w:numPr>
        <w:tabs>
          <w:tab w:val="left" w:pos="851"/>
        </w:tabs>
        <w:snapToGrid w:val="0"/>
        <w:spacing w:line="360" w:lineRule="auto"/>
        <w:ind w:left="0" w:firstLineChars="200" w:firstLine="480"/>
        <w:rPr>
          <w:szCs w:val="28"/>
        </w:rPr>
      </w:pPr>
      <w:r>
        <w:t>评估人员收集及使用的其他与评估有关的资料</w:t>
      </w:r>
      <w:r>
        <w:rPr>
          <w:rFonts w:hint="eastAsia"/>
        </w:rPr>
        <w:t>。</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30" w:name="_Toc16464"/>
      <w:bookmarkEnd w:id="26"/>
      <w:bookmarkEnd w:id="27"/>
      <w:bookmarkEnd w:id="28"/>
      <w:r>
        <w:rPr>
          <w:rFonts w:asciiTheme="minorEastAsia" w:eastAsiaTheme="minorEastAsia" w:hAnsiTheme="minorEastAsia" w:hint="eastAsia"/>
          <w:sz w:val="28"/>
          <w:szCs w:val="28"/>
        </w:rPr>
        <w:t>七、评估方法</w:t>
      </w:r>
      <w:bookmarkEnd w:id="30"/>
    </w:p>
    <w:p w:rsidR="00152EAA" w:rsidRDefault="009870A2">
      <w:pPr>
        <w:pStyle w:val="a6"/>
        <w:spacing w:line="360" w:lineRule="auto"/>
        <w:ind w:firstLineChars="200" w:firstLine="480"/>
        <w:rPr>
          <w:color w:val="000000" w:themeColor="text1"/>
          <w:szCs w:val="24"/>
        </w:rPr>
      </w:pPr>
      <w:r>
        <w:rPr>
          <w:rFonts w:hint="eastAsia"/>
          <w:color w:val="000000" w:themeColor="text1"/>
          <w:szCs w:val="24"/>
        </w:rPr>
        <w:t>根据国家关于资产评估的有关法规，遵循独立、客观、公正和科学的原则及</w:t>
      </w:r>
      <w:r>
        <w:rPr>
          <w:rFonts w:hint="eastAsia"/>
          <w:color w:val="000000" w:themeColor="text1"/>
          <w:szCs w:val="24"/>
        </w:rPr>
        <w:lastRenderedPageBreak/>
        <w:t>其他一般公认的评估原则，我们对委托评估范围内资产进行了必要的核查及技术调查，实施了我们认为必要的其他程序，在此基础上，分别对成本法、市场法、收益法三种评估方法的适用性进行了分析判断，最后根据委托方本次评估的目的和资产状况，确定本项目采用收益法进行评估</w:t>
      </w:r>
      <w:bookmarkStart w:id="31" w:name="_Toc403664414"/>
      <w:bookmarkEnd w:id="29"/>
      <w:r>
        <w:rPr>
          <w:rFonts w:hint="eastAsia"/>
          <w:color w:val="000000" w:themeColor="text1"/>
          <w:szCs w:val="24"/>
        </w:rPr>
        <w:t>。</w:t>
      </w:r>
    </w:p>
    <w:p w:rsidR="00152EAA" w:rsidRDefault="009870A2">
      <w:pPr>
        <w:pStyle w:val="a6"/>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八、评估程序实施过程和情况</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本次评估程序实施过程介绍如下：</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（一）明确评估业务基本事项</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山西一诺千金资产评估有限公司经过《人民法院诉讼资产网》进行网上报名并通过网上摇号确定本评估机构，并于</w:t>
      </w:r>
      <w:r>
        <w:rPr>
          <w:rFonts w:asciiTheme="minorEastAsia" w:eastAsiaTheme="minorEastAsia" w:hAnsiTheme="minorEastAsia"/>
          <w:szCs w:val="24"/>
        </w:rPr>
        <w:t>20</w:t>
      </w:r>
      <w:r>
        <w:rPr>
          <w:rFonts w:asciiTheme="minorEastAsia" w:eastAsiaTheme="minorEastAsia" w:hAnsiTheme="minorEastAsia" w:hint="eastAsia"/>
          <w:szCs w:val="24"/>
        </w:rPr>
        <w:t>20年3月接受委托人的委托，从事本次评估项目。</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（二）签订资产评估业务约定书</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根据评估业务具体情况，山西一诺千金资产评估有限公司根据自身专业胜任能力、独立性和业务风险进行综合分析和评价，并与委托人签订资产评估业务约定书。</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（三）编制评估计划</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承接评估业务后，立即组织资产评估师编制评估计划。评估计划包括评估的具体步骤、时间进度、人员安排和技术方案等内容。</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（四）现场调查</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在接受委托后，山西一诺千金资产评估有限公司随即短信告知各方当事人及承办法官，并由承办法官安排了现场勘察时间。</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 要求委托人提供涉及评估对象和评估范围的详细资料；</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 进入现场勘察后，与承原告就评估对象与鉴定范围、委托评估资产的特点等共同进行了现场勘查并经原告签字确认；</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 资产评估师通过询问、核对、勘查、检查等方式进行调查，获取评估业务需要的基础资料，了解评估对象现状，关注评估对象法律权属；</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 对无法或者不宜对评估范围内所有资产等有关内容进行逐项调查的，根据</w:t>
      </w:r>
      <w:r>
        <w:rPr>
          <w:rFonts w:asciiTheme="minorEastAsia" w:eastAsiaTheme="minorEastAsia" w:hAnsiTheme="minorEastAsia" w:hint="eastAsia"/>
          <w:szCs w:val="24"/>
        </w:rPr>
        <w:lastRenderedPageBreak/>
        <w:t>重要程度采用抽查等方式进行调查。</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（五）收集评估资料</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根据评估业务具体情况收集评估资料，并根据评估业务需要和评估业务实施过程中的情况变化及时补充收集评估资料。这些资料包括：</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 直接从市场等渠道独立获取的资料，从委托人等相关当事方获取的资料，以及从政府部门、各类专业机构和其他相关部门获取的资料；</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 查询记录、询价结果、检查记录、行业资讯、分析资料、鉴定报告、专业报告及政府文件等形式；</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 资产评估师根据评估业务具体情况对收集的评估资料进行必要分析、归纳和整理，形成的资料；</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4、根据现场实地勘察结果，进一步完善资产评估申报表，以做到“表”“实”相符；</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5、查验产权证明文件</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我们对评估范围内估价委托方提供的评估对象法律权属资料和资料来源进行了必要的查验。</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（六）评定估算</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评估人员在充分掌握了真实资料的前提下，</w:t>
      </w:r>
      <w:proofErr w:type="gramStart"/>
      <w:r>
        <w:rPr>
          <w:rFonts w:asciiTheme="minorEastAsia" w:eastAsiaTheme="minorEastAsia" w:hAnsiTheme="minorEastAsia" w:hint="eastAsia"/>
          <w:szCs w:val="24"/>
        </w:rPr>
        <w:t>根据委估资产</w:t>
      </w:r>
      <w:proofErr w:type="gramEnd"/>
      <w:r>
        <w:rPr>
          <w:rFonts w:asciiTheme="minorEastAsia" w:eastAsiaTheme="minorEastAsia" w:hAnsiTheme="minorEastAsia" w:hint="eastAsia"/>
          <w:szCs w:val="24"/>
        </w:rPr>
        <w:t>的实际状况和特点，选择适当的评估方法；进行市场调查，获取计价依据及价格资料；对获取的资料进行分析，选取评估所需的数据及参数；对委托评估资产进行评估，测算其评估价值；填列评估明细表；撰写单项资产评估说明。</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评估人员在得出初步评估结果后，对评估结论进行分析，对资产评估结果进行调整、修改和完善。</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（七）编制和提交评估报告</w:t>
      </w:r>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在上述工作的基础上，起草资产评估报告书</w:t>
      </w:r>
      <w:r w:rsidR="00A70439">
        <w:rPr>
          <w:rFonts w:asciiTheme="minorEastAsia" w:eastAsiaTheme="minorEastAsia" w:hAnsiTheme="minorEastAsia" w:hint="eastAsia"/>
          <w:szCs w:val="24"/>
        </w:rPr>
        <w:t>报告</w:t>
      </w:r>
      <w:r>
        <w:rPr>
          <w:rFonts w:asciiTheme="minorEastAsia" w:eastAsiaTheme="minorEastAsia" w:hAnsiTheme="minorEastAsia" w:hint="eastAsia"/>
          <w:szCs w:val="24"/>
        </w:rPr>
        <w:t>。公司内部对评估报告</w:t>
      </w:r>
      <w:r w:rsidR="00A70439">
        <w:rPr>
          <w:rFonts w:asciiTheme="minorEastAsia" w:eastAsiaTheme="minorEastAsia" w:hAnsiTheme="minorEastAsia" w:hint="eastAsia"/>
          <w:szCs w:val="24"/>
        </w:rPr>
        <w:t>报告</w:t>
      </w:r>
      <w:r>
        <w:rPr>
          <w:rFonts w:asciiTheme="minorEastAsia" w:eastAsiaTheme="minorEastAsia" w:hAnsiTheme="minorEastAsia" w:hint="eastAsia"/>
          <w:szCs w:val="24"/>
        </w:rPr>
        <w:t>和工作底稿进行初审后，与委托人就评估报告有关内容进行了必要沟通。在全面考虑有关意见后，对评估报告进行必要的调整、修改和完善，然后重新按公司内</w:t>
      </w:r>
      <w:r>
        <w:rPr>
          <w:rFonts w:asciiTheme="minorEastAsia" w:eastAsiaTheme="minorEastAsia" w:hAnsiTheme="minorEastAsia" w:hint="eastAsia"/>
          <w:szCs w:val="24"/>
        </w:rPr>
        <w:lastRenderedPageBreak/>
        <w:t>部资产评估报告审核制度和程序对报告进行了认真审核后，由山西一诺千金资产评估有限公司出具正式评估报告向委托人提交。</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32" w:name="_Toc25694"/>
      <w:r>
        <w:rPr>
          <w:rFonts w:asciiTheme="minorEastAsia" w:eastAsiaTheme="minorEastAsia" w:hAnsiTheme="minorEastAsia" w:hint="eastAsia"/>
          <w:sz w:val="28"/>
          <w:szCs w:val="28"/>
        </w:rPr>
        <w:t>九、评估假设</w:t>
      </w:r>
      <w:bookmarkEnd w:id="32"/>
    </w:p>
    <w:p w:rsidR="00152EAA" w:rsidRDefault="009870A2">
      <w:pPr>
        <w:pStyle w:val="a0"/>
        <w:numPr>
          <w:ilvl w:val="0"/>
          <w:numId w:val="6"/>
        </w:numPr>
        <w:snapToGrid w:val="0"/>
        <w:spacing w:line="360" w:lineRule="auto"/>
        <w:ind w:firstLineChars="200" w:firstLine="480"/>
        <w:rPr>
          <w:color w:val="000000" w:themeColor="text1"/>
        </w:rPr>
      </w:pPr>
      <w:r>
        <w:rPr>
          <w:rFonts w:hint="eastAsia"/>
          <w:color w:val="000000" w:themeColor="text1"/>
        </w:rPr>
        <w:t>由于委托方未能提供房屋的建筑面积、建成年代资料，实地测量建筑面积为</w:t>
      </w:r>
      <w:r>
        <w:rPr>
          <w:rFonts w:hint="eastAsia"/>
          <w:color w:val="000000" w:themeColor="text1"/>
        </w:rPr>
        <w:t>115.58</w:t>
      </w:r>
      <w:r>
        <w:rPr>
          <w:rFonts w:hint="eastAsia"/>
          <w:color w:val="000000" w:themeColor="text1"/>
        </w:rPr>
        <w:t>㎡，据知情人介绍，房屋建成于</w:t>
      </w:r>
      <w:r>
        <w:rPr>
          <w:rFonts w:hint="eastAsia"/>
          <w:color w:val="000000" w:themeColor="text1"/>
        </w:rPr>
        <w:t>2005</w:t>
      </w:r>
      <w:r>
        <w:rPr>
          <w:rFonts w:hint="eastAsia"/>
          <w:color w:val="000000" w:themeColor="text1"/>
        </w:rPr>
        <w:t>年；</w:t>
      </w:r>
    </w:p>
    <w:p w:rsidR="00152EAA" w:rsidRDefault="009870A2">
      <w:pPr>
        <w:pStyle w:val="a0"/>
        <w:numPr>
          <w:ilvl w:val="0"/>
          <w:numId w:val="6"/>
        </w:numPr>
        <w:snapToGrid w:val="0"/>
        <w:spacing w:line="360" w:lineRule="auto"/>
        <w:ind w:firstLineChars="200" w:firstLine="480"/>
        <w:rPr>
          <w:color w:val="000000" w:themeColor="text1"/>
        </w:rPr>
      </w:pPr>
      <w:r>
        <w:rPr>
          <w:rFonts w:hint="eastAsia"/>
          <w:color w:val="000000" w:themeColor="text1"/>
        </w:rPr>
        <w:t>评估所遵循的我国现行法律、法规和制度以及房产所在地的社会经济环境无重大变动；</w:t>
      </w:r>
    </w:p>
    <w:p w:rsidR="00152EAA" w:rsidRDefault="009870A2">
      <w:pPr>
        <w:pStyle w:val="a0"/>
        <w:numPr>
          <w:ilvl w:val="0"/>
          <w:numId w:val="6"/>
        </w:numPr>
        <w:snapToGrid w:val="0"/>
        <w:spacing w:line="360" w:lineRule="auto"/>
        <w:ind w:firstLineChars="200" w:firstLine="480"/>
        <w:rPr>
          <w:color w:val="000000" w:themeColor="text1"/>
        </w:rPr>
      </w:pPr>
      <w:r>
        <w:rPr>
          <w:rFonts w:hint="eastAsia"/>
          <w:color w:val="000000" w:themeColor="text1"/>
        </w:rPr>
        <w:t>无自然力和其它不可抗力因素造成的重大不利影响；</w:t>
      </w:r>
    </w:p>
    <w:p w:rsidR="00152EAA" w:rsidRDefault="009870A2">
      <w:pPr>
        <w:pStyle w:val="a0"/>
        <w:numPr>
          <w:ilvl w:val="0"/>
          <w:numId w:val="6"/>
        </w:numPr>
        <w:snapToGrid w:val="0"/>
        <w:spacing w:line="360" w:lineRule="auto"/>
        <w:ind w:firstLineChars="200" w:firstLine="480"/>
        <w:rPr>
          <w:color w:val="000000" w:themeColor="text1"/>
        </w:rPr>
      </w:pPr>
      <w:r>
        <w:rPr>
          <w:rFonts w:hint="eastAsia"/>
          <w:color w:val="000000" w:themeColor="text1"/>
        </w:rPr>
        <w:t>委托方及被评估单位提供的全部文件材料真实、合法、完整；</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33" w:name="_Toc5395"/>
      <w:bookmarkStart w:id="34" w:name="_Toc186555678"/>
      <w:bookmarkStart w:id="35" w:name="_Toc186357222"/>
      <w:bookmarkStart w:id="36" w:name="_Toc403664415"/>
      <w:bookmarkEnd w:id="31"/>
      <w:r>
        <w:rPr>
          <w:rFonts w:asciiTheme="minorEastAsia" w:eastAsiaTheme="minorEastAsia" w:hAnsiTheme="minorEastAsia" w:hint="eastAsia"/>
          <w:sz w:val="28"/>
          <w:szCs w:val="28"/>
        </w:rPr>
        <w:t>十、评估结论</w:t>
      </w:r>
      <w:bookmarkEnd w:id="33"/>
    </w:p>
    <w:p w:rsidR="00152EAA" w:rsidRDefault="009870A2">
      <w:pPr>
        <w:pStyle w:val="a0"/>
        <w:snapToGrid w:val="0"/>
        <w:spacing w:line="360" w:lineRule="auto"/>
        <w:ind w:firstLineChars="200" w:firstLine="480"/>
        <w:rPr>
          <w:rFonts w:asciiTheme="minorEastAsia" w:eastAsiaTheme="minorEastAsia" w:hAnsiTheme="minorEastAsia"/>
          <w:szCs w:val="24"/>
        </w:rPr>
      </w:pPr>
      <w:bookmarkStart w:id="37" w:name="_Toc477576904"/>
      <w:bookmarkStart w:id="38" w:name="_Toc403664417"/>
      <w:bookmarkEnd w:id="34"/>
      <w:bookmarkEnd w:id="35"/>
      <w:bookmarkEnd w:id="36"/>
      <w:r>
        <w:rPr>
          <w:rFonts w:ascii="宋体" w:hAnsi="宋体" w:hint="eastAsia"/>
          <w:szCs w:val="24"/>
        </w:rPr>
        <w:t>确定估价对象</w:t>
      </w:r>
      <w:r>
        <w:rPr>
          <w:rFonts w:asciiTheme="minorEastAsia" w:eastAsiaTheme="minorEastAsia" w:hAnsiTheme="minorEastAsia" w:hint="eastAsia"/>
          <w:szCs w:val="24"/>
        </w:rPr>
        <w:t>稷山县</w:t>
      </w:r>
      <w:proofErr w:type="gramStart"/>
      <w:r>
        <w:rPr>
          <w:rFonts w:asciiTheme="minorEastAsia" w:eastAsiaTheme="minorEastAsia" w:hAnsiTheme="minorEastAsia" w:hint="eastAsia"/>
          <w:szCs w:val="24"/>
        </w:rPr>
        <w:t>太阳乡</w:t>
      </w:r>
      <w:proofErr w:type="gramEnd"/>
      <w:r>
        <w:rPr>
          <w:rFonts w:asciiTheme="minorEastAsia" w:eastAsiaTheme="minorEastAsia" w:hAnsiTheme="minorEastAsia" w:hint="eastAsia"/>
          <w:szCs w:val="24"/>
        </w:rPr>
        <w:t>修缮村十字口房院的房地产市场价值为人民币：116389元（大写:壹拾壹万陆仟叁佰捌拾玖元整）。</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39" w:name="_Toc2631"/>
      <w:r>
        <w:rPr>
          <w:rFonts w:asciiTheme="minorEastAsia" w:eastAsiaTheme="minorEastAsia" w:hAnsiTheme="minorEastAsia" w:hint="eastAsia"/>
          <w:sz w:val="28"/>
          <w:szCs w:val="28"/>
        </w:rPr>
        <w:t>十一、特别事项说明</w:t>
      </w:r>
      <w:bookmarkEnd w:id="39"/>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本评估报告使用者应对特别事项对评估结论产生的影响予以关注。</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（一）权属资料瑕疵情况</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在履行评估程序过程中，评估人员依据评估的有关规定对委托方（及被评估单位）提供的评估对性的权属文件、资料进行了关注并进行了必要的查验：委托方仅提供了居民宅基地用地登记申请、调查、审批复印件，但是对委托评估资产的产权鉴定工作超出了评估工作的范围。我们不对委托评估资产的权属发表意见，同时不对其真实性承担任何责任。</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（二）评估程序受到限制的情况</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评估师未有评估程序受到限制的情况。</w:t>
      </w:r>
    </w:p>
    <w:p w:rsidR="00152EAA" w:rsidRDefault="009870A2">
      <w:pPr>
        <w:pStyle w:val="a0"/>
        <w:tabs>
          <w:tab w:val="left" w:pos="567"/>
          <w:tab w:val="left" w:pos="1134"/>
          <w:tab w:val="left" w:pos="1276"/>
        </w:tabs>
        <w:snapToGrid w:val="0"/>
        <w:spacing w:line="360" w:lineRule="auto"/>
        <w:ind w:leftChars="200" w:left="48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（三）评估基准日至评估报告日之间存在可能对评估结论产生影响的事项</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评估人员未发现评估基准日至评估报告日之间存在可能对评估结论产生影响的重要事项。</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（四）</w:t>
      </w:r>
      <w:proofErr w:type="gramStart"/>
      <w:r>
        <w:rPr>
          <w:rFonts w:asciiTheme="minorEastAsia" w:eastAsiaTheme="minorEastAsia" w:hAnsiTheme="minorEastAsia" w:hint="eastAsia"/>
          <w:color w:val="000000" w:themeColor="text1"/>
          <w:szCs w:val="24"/>
        </w:rPr>
        <w:t>本资产</w:t>
      </w:r>
      <w:proofErr w:type="gramEnd"/>
      <w:r>
        <w:rPr>
          <w:rFonts w:asciiTheme="minorEastAsia" w:eastAsiaTheme="minorEastAsia" w:hAnsiTheme="minorEastAsia" w:hint="eastAsia"/>
          <w:color w:val="000000" w:themeColor="text1"/>
          <w:szCs w:val="24"/>
        </w:rPr>
        <w:t>评估对应的经济行为中，可能对评估结论产生重大影响的瑕疵情形</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评估人员未发现经济行为中存在可能对评估结论产生重大影响的其它瑕疵情形。</w:t>
      </w:r>
    </w:p>
    <w:p w:rsidR="00152EAA" w:rsidRDefault="009870A2">
      <w:pPr>
        <w:pStyle w:val="a0"/>
        <w:numPr>
          <w:ilvl w:val="0"/>
          <w:numId w:val="7"/>
        </w:numPr>
        <w:tabs>
          <w:tab w:val="left" w:pos="567"/>
          <w:tab w:val="left" w:pos="1134"/>
          <w:tab w:val="left" w:pos="1276"/>
        </w:tabs>
        <w:snapToGrid w:val="0"/>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需要说明的其他问题</w:t>
      </w:r>
    </w:p>
    <w:p w:rsidR="00152EAA" w:rsidRDefault="009870A2">
      <w:pPr>
        <w:pStyle w:val="a0"/>
        <w:tabs>
          <w:tab w:val="left" w:pos="567"/>
          <w:tab w:val="left" w:pos="1134"/>
          <w:tab w:val="left" w:pos="1276"/>
        </w:tabs>
        <w:snapToGrid w:val="0"/>
        <w:spacing w:line="360" w:lineRule="auto"/>
        <w:ind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1、本次评估未考虑房屋产权转移时所需的费用。</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本评估报告是在独立、客观、公正、科学的原则下做出的，遵循了有关的法律、法规和资产评估准则的规定，我公司及所有参加评估的人员与委托方及有关当事人之间无任何特殊利害关系，评估人员在整个评估过程中，始终恪守职业道德和规范。</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3、本评估报告中涉及的一般资料、产权资料、政策文件及相关材料由委托方及被评估单位负责提供，对其真实性、合法性由委托方及被评估单位承担相关的法律责任；资产评估</w:t>
      </w:r>
      <w:proofErr w:type="gramStart"/>
      <w:r>
        <w:rPr>
          <w:rFonts w:asciiTheme="minorEastAsia" w:eastAsiaTheme="minorEastAsia" w:hAnsiTheme="minorEastAsia" w:hint="eastAsia"/>
          <w:color w:val="000000" w:themeColor="text1"/>
          <w:szCs w:val="24"/>
        </w:rPr>
        <w:t>师执行</w:t>
      </w:r>
      <w:proofErr w:type="gramEnd"/>
      <w:r>
        <w:rPr>
          <w:rFonts w:asciiTheme="minorEastAsia" w:eastAsiaTheme="minorEastAsia" w:hAnsiTheme="minorEastAsia" w:hint="eastAsia"/>
          <w:color w:val="000000" w:themeColor="text1"/>
          <w:szCs w:val="24"/>
        </w:rPr>
        <w:t>资产评估业务的目的是对评估对象的价值进行估算并发表专业意见，对评估对象的法律权属确认或发表意见超出了资产评估的执业范围，因此评估机构不对评估对象的法律权属提供保证。</w:t>
      </w:r>
    </w:p>
    <w:p w:rsidR="00152EAA" w:rsidRDefault="009870A2">
      <w:pPr>
        <w:pStyle w:val="a0"/>
        <w:tabs>
          <w:tab w:val="left" w:pos="567"/>
          <w:tab w:val="left" w:pos="1134"/>
          <w:tab w:val="left" w:pos="1276"/>
        </w:tabs>
        <w:snapToGrid w:val="0"/>
        <w:spacing w:line="360" w:lineRule="auto"/>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4、评估报告附件与报告正文配套使用方为有效。</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40" w:name="_Toc15072"/>
      <w:r>
        <w:rPr>
          <w:rFonts w:asciiTheme="minorEastAsia" w:eastAsiaTheme="minorEastAsia" w:hAnsiTheme="minorEastAsia" w:hint="eastAsia"/>
          <w:sz w:val="28"/>
          <w:szCs w:val="28"/>
        </w:rPr>
        <w:t>十二、资产评估报告的使用限制说明</w:t>
      </w:r>
      <w:bookmarkEnd w:id="40"/>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本评估报告只能用于评估报告载明的评估目的和用途；</w:t>
      </w:r>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委托人或者其他资产评估报告使用人未按照法律、行政法规规定和资产评估报告载明的使用范围使用资产评估报告的，资产评估机构及其资产评估师不承担责任；</w:t>
      </w:r>
      <w:r>
        <w:rPr>
          <w:rFonts w:asciiTheme="minorEastAsia" w:eastAsiaTheme="minorEastAsia" w:hAnsiTheme="minorEastAsia"/>
          <w:szCs w:val="24"/>
        </w:rPr>
        <w:t xml:space="preserve"> </w:t>
      </w:r>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除委托人、资产评估业务约定书中约定的其他资产评估报告使用人和法律、行政法规规定的资产评估报告使用人之外，其他任何机构和个人不能成为资产评估报告的使用人；</w:t>
      </w:r>
      <w:r>
        <w:rPr>
          <w:rFonts w:asciiTheme="minorEastAsia" w:eastAsiaTheme="minorEastAsia" w:hAnsiTheme="minorEastAsia"/>
          <w:szCs w:val="24"/>
        </w:rPr>
        <w:t xml:space="preserve"> </w:t>
      </w:r>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资产评估报告使用人应当正确理解评估结论，评估结论不等同于评估对象可实现价格，评估结论不应当被认为是对评估对象可实现价格的保证；</w:t>
      </w:r>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本评估报告的全部或者部分内容被摘抄、引用或者被披露于公开媒体，需评估机构审阅相关内容，法律、法规规定以及相关当事方另有约定除外；</w:t>
      </w:r>
    </w:p>
    <w:p w:rsidR="00152EAA" w:rsidRDefault="009870A2">
      <w:pPr>
        <w:pStyle w:val="a0"/>
        <w:numPr>
          <w:ilvl w:val="0"/>
          <w:numId w:val="8"/>
        </w:numPr>
        <w:tabs>
          <w:tab w:val="left" w:pos="567"/>
          <w:tab w:val="left" w:pos="851"/>
          <w:tab w:val="left" w:pos="1276"/>
        </w:tabs>
        <w:snapToGrid w:val="0"/>
        <w:spacing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本评估报告所揭示的评估结论仅对本项目对应的经济行为有效，资产评估结果使用有效期为一年，即</w:t>
      </w:r>
      <w:r>
        <w:rPr>
          <w:rFonts w:asciiTheme="minorEastAsia" w:eastAsiaTheme="minorEastAsia" w:hAnsiTheme="minorEastAsia"/>
          <w:szCs w:val="24"/>
        </w:rPr>
        <w:t>20</w:t>
      </w:r>
      <w:r>
        <w:rPr>
          <w:rFonts w:asciiTheme="minorEastAsia" w:eastAsiaTheme="minorEastAsia" w:hAnsiTheme="minorEastAsia" w:hint="eastAsia"/>
          <w:szCs w:val="24"/>
        </w:rPr>
        <w:t>20年5月14日至</w:t>
      </w:r>
      <w:r>
        <w:rPr>
          <w:rFonts w:asciiTheme="minorEastAsia" w:eastAsiaTheme="minorEastAsia" w:hAnsiTheme="minorEastAsia"/>
          <w:szCs w:val="24"/>
        </w:rPr>
        <w:t>20</w:t>
      </w:r>
      <w:r>
        <w:rPr>
          <w:rFonts w:asciiTheme="minorEastAsia" w:eastAsiaTheme="minorEastAsia" w:hAnsiTheme="minorEastAsia" w:hint="eastAsia"/>
          <w:szCs w:val="24"/>
        </w:rPr>
        <w:t>21年5月13日止。当评估目的在有效期内实现时，要以评估结论作为价值的参考依据（还需结合评估基准日的期后事项的调整）。</w:t>
      </w:r>
    </w:p>
    <w:p w:rsidR="00152EAA" w:rsidRDefault="009870A2">
      <w:pPr>
        <w:pStyle w:val="3"/>
        <w:adjustRightInd w:val="0"/>
        <w:snapToGrid w:val="0"/>
        <w:spacing w:before="60" w:after="60" w:line="360" w:lineRule="auto"/>
        <w:ind w:firstLineChars="200" w:firstLine="562"/>
        <w:rPr>
          <w:rFonts w:asciiTheme="minorEastAsia" w:eastAsiaTheme="minorEastAsia" w:hAnsiTheme="minorEastAsia"/>
          <w:sz w:val="28"/>
          <w:szCs w:val="28"/>
        </w:rPr>
      </w:pPr>
      <w:bookmarkStart w:id="41" w:name="_Toc17896"/>
      <w:bookmarkEnd w:id="37"/>
      <w:bookmarkEnd w:id="38"/>
      <w:r>
        <w:rPr>
          <w:rFonts w:asciiTheme="minorEastAsia" w:eastAsiaTheme="minorEastAsia" w:hAnsiTheme="minorEastAsia" w:hint="eastAsia"/>
          <w:sz w:val="28"/>
          <w:szCs w:val="28"/>
        </w:rPr>
        <w:t>十三、资产评估报告日</w:t>
      </w:r>
      <w:bookmarkEnd w:id="41"/>
    </w:p>
    <w:p w:rsidR="00152EAA" w:rsidRDefault="009870A2">
      <w:pPr>
        <w:pStyle w:val="a0"/>
        <w:snapToGrid w:val="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资产评估报告日为2020年5月14日。</w:t>
      </w:r>
      <w:r>
        <w:rPr>
          <w:rFonts w:asciiTheme="minorEastAsia" w:eastAsiaTheme="minorEastAsia" w:hAnsiTheme="minorEastAsia"/>
          <w:szCs w:val="24"/>
        </w:rPr>
        <w:t xml:space="preserve"> </w:t>
      </w:r>
    </w:p>
    <w:p w:rsidR="00152EAA" w:rsidRDefault="00152EAA">
      <w:pPr>
        <w:pStyle w:val="a0"/>
        <w:snapToGrid w:val="0"/>
        <w:spacing w:line="360" w:lineRule="auto"/>
        <w:ind w:firstLineChars="200" w:firstLine="480"/>
        <w:rPr>
          <w:rFonts w:asciiTheme="minorEastAsia" w:eastAsiaTheme="minorEastAsia" w:hAnsiTheme="minorEastAsia"/>
          <w:szCs w:val="24"/>
        </w:rPr>
      </w:pPr>
    </w:p>
    <w:p w:rsidR="00152EAA" w:rsidRDefault="00152EAA">
      <w:pPr>
        <w:pStyle w:val="a0"/>
        <w:snapToGrid w:val="0"/>
        <w:spacing w:line="360" w:lineRule="auto"/>
        <w:ind w:firstLineChars="200" w:firstLine="480"/>
        <w:rPr>
          <w:rFonts w:asciiTheme="minorEastAsia" w:eastAsiaTheme="minorEastAsia" w:hAnsiTheme="minorEastAsia"/>
          <w:szCs w:val="24"/>
        </w:rPr>
      </w:pPr>
    </w:p>
    <w:p w:rsidR="00152EAA" w:rsidRDefault="009870A2">
      <w:pPr>
        <w:adjustRightInd w:val="0"/>
        <w:snapToGrid w:val="0"/>
        <w:spacing w:before="60" w:after="60" w:line="360" w:lineRule="auto"/>
        <w:ind w:firstLineChars="200" w:firstLine="618"/>
        <w:rPr>
          <w:rFonts w:asciiTheme="minorEastAsia" w:eastAsiaTheme="minorEastAsia" w:hAnsiTheme="minorEastAsia"/>
          <w:spacing w:val="14"/>
          <w:sz w:val="28"/>
          <w:szCs w:val="28"/>
        </w:rPr>
      </w:pPr>
      <w:r>
        <w:rPr>
          <w:rFonts w:asciiTheme="minorEastAsia" w:eastAsiaTheme="minorEastAsia" w:hAnsiTheme="minorEastAsia" w:hint="eastAsia"/>
          <w:b/>
          <w:spacing w:val="14"/>
          <w:sz w:val="28"/>
          <w:szCs w:val="28"/>
        </w:rPr>
        <w:t>资产评估机构：山西一诺千金资产评估有限公司</w:t>
      </w:r>
      <w:r>
        <w:rPr>
          <w:rFonts w:asciiTheme="minorEastAsia" w:eastAsiaTheme="minorEastAsia" w:hAnsiTheme="minorEastAsia"/>
          <w:b/>
          <w:spacing w:val="14"/>
          <w:sz w:val="28"/>
          <w:szCs w:val="28"/>
        </w:rPr>
        <w:t xml:space="preserve"> </w:t>
      </w:r>
      <w:r>
        <w:rPr>
          <w:rFonts w:asciiTheme="minorEastAsia" w:eastAsiaTheme="minorEastAsia" w:hAnsiTheme="minorEastAsia"/>
          <w:sz w:val="28"/>
          <w:szCs w:val="28"/>
        </w:rPr>
        <w:t xml:space="preserve"> </w:t>
      </w:r>
    </w:p>
    <w:p w:rsidR="00152EAA" w:rsidRDefault="00152EAA">
      <w:pPr>
        <w:adjustRightInd w:val="0"/>
        <w:snapToGrid w:val="0"/>
        <w:spacing w:before="60" w:after="60" w:line="360" w:lineRule="auto"/>
        <w:ind w:firstLineChars="200" w:firstLine="616"/>
        <w:rPr>
          <w:rFonts w:asciiTheme="minorEastAsia" w:eastAsiaTheme="minorEastAsia" w:hAnsiTheme="minorEastAsia"/>
          <w:spacing w:val="14"/>
          <w:sz w:val="28"/>
          <w:szCs w:val="28"/>
        </w:rPr>
      </w:pPr>
    </w:p>
    <w:p w:rsidR="00152EAA" w:rsidRDefault="00152EAA">
      <w:pPr>
        <w:adjustRightInd w:val="0"/>
        <w:snapToGrid w:val="0"/>
        <w:spacing w:before="60" w:after="60" w:line="360" w:lineRule="auto"/>
        <w:ind w:firstLineChars="200" w:firstLine="616"/>
        <w:rPr>
          <w:rFonts w:asciiTheme="minorEastAsia" w:eastAsiaTheme="minorEastAsia" w:hAnsiTheme="minorEastAsia"/>
          <w:spacing w:val="14"/>
          <w:sz w:val="28"/>
          <w:szCs w:val="28"/>
        </w:rPr>
      </w:pPr>
    </w:p>
    <w:p w:rsidR="00152EAA" w:rsidRDefault="009870A2">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r>
        <w:rPr>
          <w:rFonts w:asciiTheme="minorEastAsia" w:eastAsiaTheme="minorEastAsia" w:hAnsiTheme="minorEastAsia" w:hint="eastAsia"/>
          <w:b/>
          <w:spacing w:val="14"/>
          <w:sz w:val="28"/>
          <w:szCs w:val="28"/>
        </w:rPr>
        <w:t>法</w:t>
      </w:r>
      <w:r>
        <w:rPr>
          <w:rFonts w:asciiTheme="minorEastAsia" w:eastAsiaTheme="minorEastAsia" w:hAnsiTheme="minorEastAsia"/>
          <w:b/>
          <w:spacing w:val="14"/>
          <w:sz w:val="28"/>
          <w:szCs w:val="28"/>
        </w:rPr>
        <w:t xml:space="preserve"> </w:t>
      </w:r>
      <w:r>
        <w:rPr>
          <w:rFonts w:asciiTheme="minorEastAsia" w:eastAsiaTheme="minorEastAsia" w:hAnsiTheme="minorEastAsia" w:hint="eastAsia"/>
          <w:b/>
          <w:spacing w:val="14"/>
          <w:sz w:val="28"/>
          <w:szCs w:val="28"/>
        </w:rPr>
        <w:t>定</w:t>
      </w:r>
      <w:r>
        <w:rPr>
          <w:rFonts w:asciiTheme="minorEastAsia" w:eastAsiaTheme="minorEastAsia" w:hAnsiTheme="minorEastAsia"/>
          <w:b/>
          <w:spacing w:val="14"/>
          <w:sz w:val="28"/>
          <w:szCs w:val="28"/>
        </w:rPr>
        <w:t xml:space="preserve"> </w:t>
      </w:r>
      <w:r>
        <w:rPr>
          <w:rFonts w:asciiTheme="minorEastAsia" w:eastAsiaTheme="minorEastAsia" w:hAnsiTheme="minorEastAsia" w:hint="eastAsia"/>
          <w:b/>
          <w:spacing w:val="14"/>
          <w:sz w:val="28"/>
          <w:szCs w:val="28"/>
        </w:rPr>
        <w:t>代</w:t>
      </w:r>
      <w:r>
        <w:rPr>
          <w:rFonts w:asciiTheme="minorEastAsia" w:eastAsiaTheme="minorEastAsia" w:hAnsiTheme="minorEastAsia"/>
          <w:b/>
          <w:spacing w:val="14"/>
          <w:sz w:val="28"/>
          <w:szCs w:val="28"/>
        </w:rPr>
        <w:t xml:space="preserve"> </w:t>
      </w:r>
      <w:r>
        <w:rPr>
          <w:rFonts w:asciiTheme="minorEastAsia" w:eastAsiaTheme="minorEastAsia" w:hAnsiTheme="minorEastAsia" w:hint="eastAsia"/>
          <w:b/>
          <w:spacing w:val="14"/>
          <w:sz w:val="28"/>
          <w:szCs w:val="28"/>
        </w:rPr>
        <w:t>表</w:t>
      </w:r>
      <w:r>
        <w:rPr>
          <w:rFonts w:asciiTheme="minorEastAsia" w:eastAsiaTheme="minorEastAsia" w:hAnsiTheme="minorEastAsia"/>
          <w:b/>
          <w:spacing w:val="14"/>
          <w:sz w:val="28"/>
          <w:szCs w:val="28"/>
        </w:rPr>
        <w:t xml:space="preserve"> </w:t>
      </w:r>
      <w:r>
        <w:rPr>
          <w:rFonts w:asciiTheme="minorEastAsia" w:eastAsiaTheme="minorEastAsia" w:hAnsiTheme="minorEastAsia" w:hint="eastAsia"/>
          <w:b/>
          <w:spacing w:val="14"/>
          <w:sz w:val="28"/>
          <w:szCs w:val="28"/>
        </w:rPr>
        <w:t>人：</w:t>
      </w:r>
      <w:r>
        <w:rPr>
          <w:rFonts w:asciiTheme="minorEastAsia" w:eastAsiaTheme="minorEastAsia" w:hAnsiTheme="minorEastAsia"/>
          <w:b/>
          <w:spacing w:val="14"/>
          <w:sz w:val="28"/>
          <w:szCs w:val="28"/>
        </w:rPr>
        <w:t xml:space="preserve"> </w:t>
      </w:r>
    </w:p>
    <w:p w:rsidR="00152EAA" w:rsidRDefault="00152EAA">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p>
    <w:p w:rsidR="00152EAA" w:rsidRDefault="00152EAA">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p>
    <w:p w:rsidR="00152EAA" w:rsidRDefault="009870A2">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r>
        <w:rPr>
          <w:rFonts w:asciiTheme="minorEastAsia" w:eastAsiaTheme="minorEastAsia" w:hAnsiTheme="minorEastAsia" w:hint="eastAsia"/>
          <w:b/>
          <w:spacing w:val="14"/>
          <w:sz w:val="28"/>
          <w:szCs w:val="28"/>
        </w:rPr>
        <w:t>资产评估师：</w:t>
      </w:r>
    </w:p>
    <w:p w:rsidR="00152EAA" w:rsidRDefault="00152EAA">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p>
    <w:p w:rsidR="00152EAA" w:rsidRDefault="00152EAA">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p>
    <w:p w:rsidR="00152EAA" w:rsidRDefault="009870A2">
      <w:pPr>
        <w:adjustRightInd w:val="0"/>
        <w:snapToGrid w:val="0"/>
        <w:spacing w:before="60" w:after="60" w:line="360" w:lineRule="auto"/>
        <w:ind w:firstLineChars="200" w:firstLine="618"/>
        <w:rPr>
          <w:rFonts w:asciiTheme="minorEastAsia" w:eastAsiaTheme="minorEastAsia" w:hAnsiTheme="minorEastAsia"/>
          <w:b/>
          <w:spacing w:val="14"/>
          <w:sz w:val="28"/>
          <w:szCs w:val="28"/>
        </w:rPr>
      </w:pPr>
      <w:r>
        <w:rPr>
          <w:rFonts w:asciiTheme="minorEastAsia" w:eastAsiaTheme="minorEastAsia" w:hAnsiTheme="minorEastAsia" w:hint="eastAsia"/>
          <w:b/>
          <w:spacing w:val="14"/>
          <w:sz w:val="28"/>
          <w:szCs w:val="28"/>
        </w:rPr>
        <w:t>资产评估师：</w:t>
      </w:r>
    </w:p>
    <w:p w:rsidR="00152EAA" w:rsidRDefault="00152EAA">
      <w:pPr>
        <w:adjustRightInd w:val="0"/>
        <w:snapToGrid w:val="0"/>
        <w:spacing w:before="60" w:after="60" w:line="360" w:lineRule="auto"/>
        <w:ind w:firstLineChars="200" w:firstLine="616"/>
        <w:rPr>
          <w:rFonts w:asciiTheme="minorEastAsia" w:eastAsiaTheme="minorEastAsia" w:hAnsiTheme="minorEastAsia"/>
          <w:spacing w:val="14"/>
          <w:sz w:val="28"/>
          <w:szCs w:val="28"/>
        </w:rPr>
      </w:pPr>
    </w:p>
    <w:p w:rsidR="00152EAA" w:rsidRDefault="00152EAA">
      <w:pPr>
        <w:adjustRightInd w:val="0"/>
        <w:snapToGrid w:val="0"/>
        <w:spacing w:before="60" w:after="60" w:line="360" w:lineRule="auto"/>
        <w:ind w:firstLineChars="200" w:firstLine="616"/>
        <w:rPr>
          <w:rFonts w:asciiTheme="minorEastAsia" w:eastAsiaTheme="minorEastAsia" w:hAnsiTheme="minorEastAsia"/>
          <w:spacing w:val="14"/>
          <w:sz w:val="28"/>
          <w:szCs w:val="28"/>
        </w:rPr>
      </w:pPr>
    </w:p>
    <w:p w:rsidR="00152EAA" w:rsidRDefault="009870A2">
      <w:pPr>
        <w:adjustRightInd w:val="0"/>
        <w:snapToGrid w:val="0"/>
        <w:spacing w:before="60" w:after="60" w:line="360" w:lineRule="auto"/>
        <w:ind w:right="1236" w:firstLineChars="1300" w:firstLine="3640"/>
        <w:jc w:val="right"/>
        <w:rPr>
          <w:rFonts w:asciiTheme="minorEastAsia" w:eastAsiaTheme="minorEastAsia" w:hAnsiTheme="minorEastAsia"/>
          <w:kern w:val="0"/>
          <w:sz w:val="28"/>
          <w:szCs w:val="22"/>
        </w:rPr>
      </w:pPr>
      <w:r>
        <w:rPr>
          <w:rFonts w:asciiTheme="minorEastAsia" w:eastAsiaTheme="minorEastAsia" w:hAnsiTheme="minorEastAsia" w:hint="eastAsia"/>
          <w:kern w:val="0"/>
          <w:sz w:val="28"/>
          <w:szCs w:val="22"/>
        </w:rPr>
        <w:t>二0二0年五月十四日</w:t>
      </w:r>
      <w:bookmarkStart w:id="42" w:name="_Toc334347482"/>
    </w:p>
    <w:p w:rsidR="00152EAA" w:rsidRDefault="00152EAA">
      <w:pPr>
        <w:pStyle w:val="2"/>
        <w:snapToGrid w:val="0"/>
        <w:spacing w:before="60" w:after="60" w:line="360" w:lineRule="auto"/>
        <w:ind w:firstLine="0"/>
        <w:jc w:val="center"/>
        <w:textAlignment w:val="auto"/>
        <w:rPr>
          <w:sz w:val="24"/>
          <w:szCs w:val="24"/>
        </w:rPr>
        <w:sectPr w:rsidR="00152EAA">
          <w:headerReference w:type="default" r:id="rId15"/>
          <w:pgSz w:w="11906" w:h="16838"/>
          <w:pgMar w:top="1588" w:right="1701" w:bottom="1247" w:left="1701" w:header="1134" w:footer="907" w:gutter="0"/>
          <w:pgNumType w:start="1"/>
          <w:cols w:space="720"/>
          <w:docGrid w:linePitch="450" w:charSpace="-4916"/>
        </w:sectPr>
      </w:pPr>
    </w:p>
    <w:p w:rsidR="00152EAA" w:rsidRDefault="009870A2">
      <w:pPr>
        <w:pStyle w:val="2"/>
        <w:snapToGrid w:val="0"/>
        <w:spacing w:before="60" w:after="60" w:line="360" w:lineRule="auto"/>
        <w:ind w:firstLine="0"/>
        <w:jc w:val="center"/>
        <w:textAlignment w:val="auto"/>
        <w:rPr>
          <w:rFonts w:asciiTheme="minorEastAsia" w:eastAsiaTheme="minorEastAsia" w:hAnsiTheme="minorEastAsia"/>
          <w:spacing w:val="20"/>
          <w:sz w:val="36"/>
          <w:szCs w:val="36"/>
        </w:rPr>
      </w:pPr>
      <w:bookmarkStart w:id="43" w:name="_Toc9738"/>
      <w:r>
        <w:rPr>
          <w:rStyle w:val="1Char"/>
          <w:rFonts w:asciiTheme="minorEastAsia" w:eastAsiaTheme="minorEastAsia" w:hAnsiTheme="minorEastAsia" w:hint="eastAsia"/>
          <w:b/>
          <w:szCs w:val="36"/>
        </w:rPr>
        <w:lastRenderedPageBreak/>
        <w:t>资产评估报告附件</w:t>
      </w:r>
      <w:bookmarkEnd w:id="42"/>
      <w:bookmarkEnd w:id="43"/>
    </w:p>
    <w:p w:rsidR="00152EAA" w:rsidRDefault="00152EAA">
      <w:pPr>
        <w:adjustRightInd w:val="0"/>
        <w:snapToGrid w:val="0"/>
        <w:spacing w:before="60" w:after="60" w:line="360" w:lineRule="auto"/>
        <w:ind w:firstLineChars="200" w:firstLine="480"/>
        <w:rPr>
          <w:rFonts w:asciiTheme="minorEastAsia" w:eastAsiaTheme="minorEastAsia" w:hAnsiTheme="minorEastAsia"/>
          <w:szCs w:val="24"/>
        </w:rPr>
      </w:pP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评估委托书（复印件）</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资产评估明细表</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评估对象现场照片</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color w:val="000000" w:themeColor="text1"/>
          <w:szCs w:val="24"/>
        </w:rPr>
        <w:t>居民宅基用地登记申请、调查、审批表复印件</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签字资产评估师承诺函</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资产评估机构备案文件或者资格证明文件（复印件）</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资产评估机构法人营业执照副本（复印件）</w:t>
      </w:r>
    </w:p>
    <w:p w:rsidR="00152EAA" w:rsidRDefault="009870A2">
      <w:pPr>
        <w:numPr>
          <w:ilvl w:val="3"/>
          <w:numId w:val="9"/>
        </w:numPr>
        <w:tabs>
          <w:tab w:val="left" w:pos="284"/>
        </w:tabs>
        <w:adjustRightInd w:val="0"/>
        <w:snapToGrid w:val="0"/>
        <w:spacing w:before="60" w:after="60" w:line="360" w:lineRule="auto"/>
        <w:ind w:left="-142" w:firstLineChars="200" w:firstLine="480"/>
        <w:rPr>
          <w:rFonts w:asciiTheme="minorEastAsia" w:eastAsiaTheme="minorEastAsia" w:hAnsiTheme="minorEastAsia"/>
          <w:szCs w:val="24"/>
        </w:rPr>
      </w:pPr>
      <w:r>
        <w:rPr>
          <w:rFonts w:asciiTheme="minorEastAsia" w:eastAsiaTheme="minorEastAsia" w:hAnsiTheme="minorEastAsia" w:hint="eastAsia"/>
          <w:szCs w:val="24"/>
        </w:rPr>
        <w:t>资产评估师资</w:t>
      </w:r>
      <w:proofErr w:type="gramStart"/>
      <w:r>
        <w:rPr>
          <w:rFonts w:asciiTheme="minorEastAsia" w:eastAsiaTheme="minorEastAsia" w:hAnsiTheme="minorEastAsia" w:hint="eastAsia"/>
          <w:szCs w:val="24"/>
        </w:rPr>
        <w:t>格证明</w:t>
      </w:r>
      <w:proofErr w:type="gramEnd"/>
      <w:r>
        <w:rPr>
          <w:rFonts w:asciiTheme="minorEastAsia" w:eastAsiaTheme="minorEastAsia" w:hAnsiTheme="minorEastAsia" w:hint="eastAsia"/>
          <w:szCs w:val="24"/>
        </w:rPr>
        <w:t>文件（复印件）</w:t>
      </w:r>
    </w:p>
    <w:p w:rsidR="00152EAA" w:rsidRDefault="00152EAA">
      <w:pPr>
        <w:adjustRightInd w:val="0"/>
        <w:snapToGrid w:val="0"/>
        <w:spacing w:before="60" w:after="60" w:line="360" w:lineRule="auto"/>
        <w:ind w:firstLineChars="200" w:firstLine="480"/>
        <w:rPr>
          <w:rFonts w:asciiTheme="minorEastAsia" w:eastAsiaTheme="minorEastAsia" w:hAnsiTheme="minorEastAsia"/>
          <w:szCs w:val="24"/>
        </w:rPr>
      </w:pPr>
    </w:p>
    <w:sectPr w:rsidR="00152EAA">
      <w:headerReference w:type="default" r:id="rId16"/>
      <w:pgSz w:w="11906" w:h="16838"/>
      <w:pgMar w:top="1588" w:right="1701" w:bottom="1247" w:left="1701" w:header="1134" w:footer="907" w:gutter="0"/>
      <w:pgNumType w:start="1"/>
      <w:cols w:space="720"/>
      <w:docGrid w:linePitch="45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5A" w:rsidRDefault="009870A2">
      <w:r>
        <w:separator/>
      </w:r>
    </w:p>
  </w:endnote>
  <w:endnote w:type="continuationSeparator" w:id="0">
    <w:p w:rsidR="00B9235A" w:rsidRDefault="0098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昆仑楷体">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9870A2">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52EAA" w:rsidRDefault="00152EA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152EAA">
    <w:pPr>
      <w:pStyle w:val="ab"/>
      <w:pBdr>
        <w:bottom w:val="single" w:sz="6" w:space="1" w:color="auto"/>
      </w:pBdr>
      <w:tabs>
        <w:tab w:val="clear" w:pos="8306"/>
        <w:tab w:val="right" w:pos="8600"/>
      </w:tabs>
      <w:spacing w:line="300" w:lineRule="exact"/>
      <w:ind w:right="-96"/>
      <w:jc w:val="both"/>
      <w:rPr>
        <w:rFonts w:ascii="宋体" w:hAnsi="宋体"/>
        <w:szCs w:val="18"/>
      </w:rPr>
    </w:pPr>
  </w:p>
  <w:p w:rsidR="00152EAA" w:rsidRDefault="009870A2">
    <w:pPr>
      <w:pStyle w:val="ab"/>
      <w:tabs>
        <w:tab w:val="clear" w:pos="8306"/>
        <w:tab w:val="right" w:pos="8600"/>
      </w:tabs>
      <w:spacing w:line="300" w:lineRule="exact"/>
      <w:ind w:right="-96"/>
      <w:jc w:val="both"/>
      <w:rPr>
        <w:rFonts w:ascii="宋体" w:hAnsi="宋体"/>
        <w:szCs w:val="18"/>
      </w:rPr>
    </w:pPr>
    <w:r>
      <w:rPr>
        <w:rFonts w:ascii="宋体" w:hAnsi="宋体" w:hint="eastAsia"/>
        <w:szCs w:val="18"/>
      </w:rPr>
      <w:t xml:space="preserve">公司名称：山西一诺千金资产评估有限公司   </w:t>
    </w:r>
    <w:r>
      <w:rPr>
        <w:rFonts w:ascii="宋体" w:hAnsi="宋体"/>
        <w:szCs w:val="18"/>
      </w:rPr>
      <w:tab/>
    </w:r>
    <w:r>
      <w:rPr>
        <w:rFonts w:ascii="宋体" w:hAnsi="宋体" w:hint="eastAsia"/>
        <w:szCs w:val="18"/>
      </w:rPr>
      <w:t xml:space="preserve">                              电话：</w:t>
    </w:r>
    <w:r>
      <w:rPr>
        <w:rFonts w:ascii="宋体" w:hAnsi="宋体"/>
        <w:szCs w:val="18"/>
      </w:rPr>
      <w:t>0359-</w:t>
    </w:r>
    <w:r>
      <w:rPr>
        <w:rFonts w:ascii="宋体" w:hAnsi="宋体" w:hint="eastAsia"/>
        <w:szCs w:val="18"/>
      </w:rPr>
      <w:t>2211668</w:t>
    </w:r>
  </w:p>
  <w:p w:rsidR="00152EAA" w:rsidRDefault="009870A2">
    <w:pPr>
      <w:pStyle w:val="ab"/>
      <w:tabs>
        <w:tab w:val="clear" w:pos="8306"/>
        <w:tab w:val="right" w:pos="8600"/>
      </w:tabs>
      <w:spacing w:line="300" w:lineRule="exact"/>
      <w:ind w:right="-96"/>
      <w:jc w:val="both"/>
      <w:rPr>
        <w:rFonts w:ascii="宋体" w:hAnsi="宋体"/>
        <w:szCs w:val="18"/>
      </w:rPr>
    </w:pPr>
    <w:r>
      <w:rPr>
        <w:rFonts w:ascii="宋体" w:hAnsi="宋体" w:hint="eastAsia"/>
        <w:szCs w:val="18"/>
      </w:rPr>
      <w:t>地址：运城市盐湖区解放南路180号钟楼小区18号楼3单元2104室</w:t>
    </w:r>
  </w:p>
  <w:p w:rsidR="00152EAA" w:rsidRDefault="00152EAA">
    <w:pPr>
      <w:pStyle w:val="ab"/>
      <w:tabs>
        <w:tab w:val="clear" w:pos="8306"/>
        <w:tab w:val="right" w:pos="8600"/>
      </w:tabs>
      <w:ind w:right="-96"/>
      <w:jc w:val="both"/>
      <w:rPr>
        <w:rFonts w:ascii="黑体" w:eastAsia="黑体"/>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5A" w:rsidRDefault="009870A2">
      <w:r>
        <w:separator/>
      </w:r>
    </w:p>
  </w:footnote>
  <w:footnote w:type="continuationSeparator" w:id="0">
    <w:p w:rsidR="00B9235A" w:rsidRDefault="0098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C24A2E">
    <w:pPr>
      <w:pStyle w:val="ac"/>
      <w:pBdr>
        <w:bottom w:val="none" w:sz="0" w:space="0" w:color="auto"/>
      </w:pBd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lef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152EAA" w:rsidRDefault="00152EAA"/>
            </w:txbxContent>
          </v:textbox>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C24A2E">
    <w:pPr>
      <w:pStyle w:val="ac"/>
      <w:jc w:val="both"/>
      <w:rPr>
        <w:rFonts w:ascii="宋体" w:hAnsi="宋体"/>
        <w:szCs w:val="18"/>
      </w:rP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lef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2051;mso-fit-shape-to-text:t" inset="0,0,0,0">
            <w:txbxContent>
              <w:p w:rsidR="00152EAA" w:rsidRDefault="009870A2">
                <w:pPr>
                  <w:pStyle w:val="ac"/>
                </w:pPr>
                <w:r>
                  <w:rPr>
                    <w:rFonts w:hint="eastAsia"/>
                  </w:rPr>
                  <w:fldChar w:fldCharType="begin"/>
                </w:r>
                <w:r>
                  <w:rPr>
                    <w:rFonts w:hint="eastAsia"/>
                  </w:rPr>
                  <w:instrText xml:space="preserve"> PAGE  \* MERGEFORMAT </w:instrText>
                </w:r>
                <w:r>
                  <w:rPr>
                    <w:rFonts w:hint="eastAsia"/>
                  </w:rPr>
                  <w:fldChar w:fldCharType="separate"/>
                </w:r>
                <w:r w:rsidR="00A70439">
                  <w:rPr>
                    <w:noProof/>
                  </w:rPr>
                  <w:t>1</w:t>
                </w:r>
                <w:r>
                  <w:rPr>
                    <w:rFonts w:hint="eastAsia"/>
                  </w:rPr>
                  <w:fldChar w:fldCharType="end"/>
                </w:r>
              </w:p>
            </w:txbxContent>
          </v:textbox>
          <w10:wrap anchorx="margin"/>
        </v:shape>
      </w:pict>
    </w:r>
    <w:r w:rsidR="009870A2">
      <w:rPr>
        <w:rFonts w:ascii="宋体" w:hAnsi="宋体" w:hint="eastAsia"/>
        <w:szCs w:val="18"/>
      </w:rPr>
      <w:t>目录</w:t>
    </w:r>
    <w:r w:rsidR="009870A2">
      <w:rPr>
        <w:rFonts w:hint="eastAsia"/>
        <w:b/>
        <w:i/>
      </w:rPr>
      <w:t xml:space="preserve"> </w:t>
    </w:r>
    <w:r w:rsidR="009870A2">
      <w:rPr>
        <w:rFonts w:ascii="黑体" w:eastAsia="黑体" w:hint="eastAsia"/>
        <w:color w:val="808080"/>
        <w:sz w:val="15"/>
      </w:rPr>
      <w:t xml:space="preserve">         </w:t>
    </w:r>
    <w:r w:rsidR="009870A2">
      <w:rPr>
        <w:rFonts w:ascii="黑体" w:eastAsia="黑体"/>
        <w:color w:val="808080"/>
        <w:sz w:val="15"/>
      </w:rPr>
      <w:t xml:space="preserve">                                                                                         </w:t>
    </w:r>
    <w:r w:rsidR="009870A2">
      <w:rPr>
        <w:rFonts w:ascii="宋体" w:hAnsi="宋体" w:hint="eastAsia"/>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C24A2E">
    <w:pPr>
      <w:pStyle w:val="ac"/>
      <w:jc w:val="both"/>
      <w:rPr>
        <w:rFonts w:ascii="宋体" w:hAnsi="宋体"/>
        <w:b/>
        <w:szCs w:val="18"/>
      </w:rPr>
    </w:pPr>
    <w:r>
      <w:rPr>
        <w:b/>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lef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152EAA" w:rsidRDefault="009870A2">
                <w:pPr>
                  <w:pStyle w:val="ac"/>
                  <w:jc w:val="both"/>
                </w:pPr>
                <w:r>
                  <w:rPr>
                    <w:rFonts w:ascii="宋体" w:hAnsi="宋体" w:hint="eastAsia"/>
                    <w:szCs w:val="18"/>
                  </w:rPr>
                  <w:t>段新忠与</w:t>
                </w:r>
                <w:proofErr w:type="gramStart"/>
                <w:r>
                  <w:rPr>
                    <w:rFonts w:ascii="宋体" w:hAnsi="宋体" w:hint="eastAsia"/>
                    <w:szCs w:val="18"/>
                  </w:rPr>
                  <w:t>文铁庚一案</w:t>
                </w:r>
                <w:proofErr w:type="gramEnd"/>
                <w:r>
                  <w:rPr>
                    <w:rFonts w:ascii="宋体" w:hAnsi="宋体" w:hint="eastAsia"/>
                    <w:szCs w:val="18"/>
                  </w:rPr>
                  <w:t>所涉及的房产项目资产评估报告</w:t>
                </w:r>
                <w:r>
                  <w:rPr>
                    <w:rFonts w:ascii="黑体" w:eastAsia="黑体" w:hint="eastAsia"/>
                    <w:color w:val="808080"/>
                    <w:sz w:val="15"/>
                  </w:rPr>
                  <w:t xml:space="preserve">                                                 </w:t>
                </w:r>
                <w:r>
                  <w:rPr>
                    <w:rFonts w:ascii="宋体" w:hAnsi="宋体" w:hint="eastAsia"/>
                    <w:szCs w:val="18"/>
                  </w:rPr>
                  <w:t>第</w:t>
                </w:r>
                <w:r>
                  <w:rPr>
                    <w:rFonts w:ascii="宋体" w:hAnsi="宋体"/>
                    <w:szCs w:val="18"/>
                  </w:rPr>
                  <w:fldChar w:fldCharType="begin"/>
                </w:r>
                <w:r>
                  <w:rPr>
                    <w:rFonts w:ascii="宋体" w:hAnsi="宋体"/>
                    <w:szCs w:val="18"/>
                  </w:rPr>
                  <w:instrText xml:space="preserve"> PAGE </w:instrText>
                </w:r>
                <w:r>
                  <w:rPr>
                    <w:rFonts w:ascii="宋体" w:hAnsi="宋体"/>
                    <w:szCs w:val="18"/>
                  </w:rPr>
                  <w:fldChar w:fldCharType="separate"/>
                </w:r>
                <w:r w:rsidR="00C24A2E">
                  <w:rPr>
                    <w:rFonts w:ascii="宋体" w:hAnsi="宋体"/>
                    <w:noProof/>
                    <w:szCs w:val="18"/>
                  </w:rPr>
                  <w:t>4</w:t>
                </w:r>
                <w:r>
                  <w:rPr>
                    <w:rFonts w:ascii="宋体" w:hAnsi="宋体"/>
                    <w:szCs w:val="18"/>
                  </w:rPr>
                  <w:fldChar w:fldCharType="end"/>
                </w:r>
                <w:r>
                  <w:rPr>
                    <w:rFonts w:ascii="宋体" w:hAnsi="宋体" w:hint="eastAsia"/>
                    <w:szCs w:val="18"/>
                  </w:rPr>
                  <w:t xml:space="preserve"> 页     </w:t>
                </w:r>
              </w:p>
            </w:txbxContent>
          </v:textbox>
          <w10:wrap anchorx="margin"/>
        </v:shape>
      </w:pict>
    </w:r>
    <w:r w:rsidR="009870A2">
      <w:rPr>
        <w:rFonts w:ascii="宋体" w:hAnsi="宋体" w:hint="eastAsia"/>
        <w:b/>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AA" w:rsidRDefault="00C24A2E">
    <w:pPr>
      <w:pStyle w:val="ac"/>
      <w:pBdr>
        <w:bottom w:val="none" w:sz="0" w:space="1" w:color="auto"/>
      </w:pBdr>
      <w:jc w:val="both"/>
      <w:rPr>
        <w:u w:val="single"/>
      </w:rPr>
    </w:pPr>
    <w:r>
      <w:rPr>
        <w:u w:val="single"/>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lef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152EAA" w:rsidRDefault="009870A2">
                <w:pPr>
                  <w:pStyle w:val="ac"/>
                </w:pPr>
                <w:r>
                  <w:rPr>
                    <w:rFonts w:hint="eastAsia"/>
                  </w:rPr>
                  <w:fldChar w:fldCharType="begin"/>
                </w:r>
                <w:r>
                  <w:rPr>
                    <w:rFonts w:hint="eastAsia"/>
                  </w:rPr>
                  <w:instrText xml:space="preserve"> PAGE  \* MERGEFORMAT </w:instrText>
                </w:r>
                <w:r>
                  <w:rPr>
                    <w:rFonts w:hint="eastAsia"/>
                  </w:rPr>
                  <w:fldChar w:fldCharType="separate"/>
                </w:r>
                <w:r w:rsidR="00A70439">
                  <w:rPr>
                    <w:noProof/>
                  </w:rPr>
                  <w:t>1</w:t>
                </w:r>
                <w:r>
                  <w:rPr>
                    <w:rFonts w:hint="eastAsia"/>
                  </w:rPr>
                  <w:fldChar w:fldCharType="end"/>
                </w:r>
              </w:p>
            </w:txbxContent>
          </v:textbox>
          <w10:wrap anchorx="margin"/>
        </v:shape>
      </w:pict>
    </w:r>
    <w:r w:rsidR="009870A2">
      <w:rPr>
        <w:rFonts w:hint="eastAsia"/>
        <w:u w:val="single"/>
      </w:rPr>
      <w:t>报告附件</w:t>
    </w:r>
    <w:r w:rsidR="009870A2">
      <w:rPr>
        <w:rFonts w:hint="eastAsia"/>
        <w:u w:val="single"/>
      </w:rPr>
      <w:t xml:space="preserve">                                                                             </w:t>
    </w:r>
    <w:r w:rsidR="009870A2">
      <w:rPr>
        <w:rFonts w:hint="eastAsia"/>
        <w:u w:val="single"/>
      </w:rPr>
      <w:t>第</w:t>
    </w:r>
    <w:r w:rsidR="009870A2">
      <w:rPr>
        <w:rFonts w:hint="eastAsia"/>
        <w:u w:val="single"/>
      </w:rPr>
      <w:t>13</w:t>
    </w:r>
    <w:r w:rsidR="009870A2">
      <w:rPr>
        <w:rFonts w:hint="eastAsia"/>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E2396"/>
    <w:multiLevelType w:val="multilevel"/>
    <w:tmpl w:val="DA3E23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FC641946"/>
    <w:multiLevelType w:val="singleLevel"/>
    <w:tmpl w:val="FC641946"/>
    <w:lvl w:ilvl="0">
      <w:start w:val="1"/>
      <w:numFmt w:val="decimal"/>
      <w:suff w:val="nothing"/>
      <w:lvlText w:val="%1、"/>
      <w:lvlJc w:val="left"/>
    </w:lvl>
  </w:abstractNum>
  <w:abstractNum w:abstractNumId="2">
    <w:nsid w:val="08A70EBA"/>
    <w:multiLevelType w:val="multilevel"/>
    <w:tmpl w:val="08A70EBA"/>
    <w:lvl w:ilvl="0">
      <w:start w:val="1"/>
      <w:numFmt w:val="chineseCountingThousand"/>
      <w:lvlText w:val="（%1）"/>
      <w:lvlJc w:val="left"/>
      <w:pPr>
        <w:ind w:left="2580" w:hanging="420"/>
      </w:pPr>
      <w:rPr>
        <w:rFonts w:hint="default"/>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3">
    <w:nsid w:val="23D25BFE"/>
    <w:multiLevelType w:val="multilevel"/>
    <w:tmpl w:val="23D25BFE"/>
    <w:lvl w:ilvl="0">
      <w:start w:val="5"/>
      <w:numFmt w:val="japaneseCounting"/>
      <w:lvlText w:val="（%1）"/>
      <w:lvlJc w:val="left"/>
      <w:pPr>
        <w:ind w:left="1288"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F4B1546"/>
    <w:multiLevelType w:val="singleLevel"/>
    <w:tmpl w:val="2F4B1546"/>
    <w:lvl w:ilvl="0">
      <w:start w:val="1"/>
      <w:numFmt w:val="decimal"/>
      <w:suff w:val="nothing"/>
      <w:lvlText w:val="%1、"/>
      <w:lvlJc w:val="left"/>
    </w:lvl>
  </w:abstractNum>
  <w:abstractNum w:abstractNumId="5">
    <w:nsid w:val="31B35751"/>
    <w:multiLevelType w:val="multilevel"/>
    <w:tmpl w:val="31B357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F66180"/>
    <w:multiLevelType w:val="multilevel"/>
    <w:tmpl w:val="47F66180"/>
    <w:lvl w:ilvl="0">
      <w:start w:val="1"/>
      <w:numFmt w:val="chineseCountingThousand"/>
      <w:lvlText w:val="%1、"/>
      <w:lvlJc w:val="left"/>
      <w:pPr>
        <w:ind w:left="981" w:hanging="420"/>
      </w:p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chineseCountingThousand"/>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
    <w:nsid w:val="49015D7B"/>
    <w:multiLevelType w:val="singleLevel"/>
    <w:tmpl w:val="49015D7B"/>
    <w:lvl w:ilvl="0">
      <w:start w:val="1"/>
      <w:numFmt w:val="bullet"/>
      <w:pStyle w:val="1"/>
      <w:lvlText w:val=""/>
      <w:lvlJc w:val="left"/>
      <w:pPr>
        <w:tabs>
          <w:tab w:val="left" w:pos="425"/>
        </w:tabs>
        <w:ind w:left="425" w:hanging="425"/>
      </w:pPr>
      <w:rPr>
        <w:rFonts w:ascii="Monotype Sorts" w:hAnsi="Monotype Sorts" w:hint="default"/>
        <w:sz w:val="16"/>
      </w:rPr>
    </w:lvl>
  </w:abstractNum>
  <w:abstractNum w:abstractNumId="8">
    <w:nsid w:val="76A8DE67"/>
    <w:multiLevelType w:val="singleLevel"/>
    <w:tmpl w:val="76A8DE67"/>
    <w:lvl w:ilvl="0">
      <w:start w:val="5"/>
      <w:numFmt w:val="chineseCounting"/>
      <w:suff w:val="nothing"/>
      <w:lvlText w:val="（%1）"/>
      <w:lvlJc w:val="left"/>
      <w:rPr>
        <w:rFonts w:hint="eastAsia"/>
      </w:rPr>
    </w:lvl>
  </w:abstractNum>
  <w:num w:numId="1">
    <w:abstractNumId w:val="7"/>
  </w:num>
  <w:num w:numId="2">
    <w:abstractNumId w:val="8"/>
  </w:num>
  <w:num w:numId="3">
    <w:abstractNumId w:val="4"/>
  </w:num>
  <w:num w:numId="4">
    <w:abstractNumId w:val="5"/>
  </w:num>
  <w:num w:numId="5">
    <w:abstractNumId w:val="0"/>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240"/>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622BA"/>
    <w:rsid w:val="0000062B"/>
    <w:rsid w:val="000008C3"/>
    <w:rsid w:val="00001E5A"/>
    <w:rsid w:val="000027AF"/>
    <w:rsid w:val="00002B72"/>
    <w:rsid w:val="00004D73"/>
    <w:rsid w:val="0001534C"/>
    <w:rsid w:val="0001780E"/>
    <w:rsid w:val="00020760"/>
    <w:rsid w:val="000238FC"/>
    <w:rsid w:val="00025D6F"/>
    <w:rsid w:val="0003193A"/>
    <w:rsid w:val="00033E1D"/>
    <w:rsid w:val="000351FE"/>
    <w:rsid w:val="00035EAF"/>
    <w:rsid w:val="00042AB8"/>
    <w:rsid w:val="00042EAF"/>
    <w:rsid w:val="00044128"/>
    <w:rsid w:val="00046B0B"/>
    <w:rsid w:val="00051082"/>
    <w:rsid w:val="00052AC1"/>
    <w:rsid w:val="00055007"/>
    <w:rsid w:val="00060AC0"/>
    <w:rsid w:val="000621EA"/>
    <w:rsid w:val="00062463"/>
    <w:rsid w:val="00063022"/>
    <w:rsid w:val="000723B4"/>
    <w:rsid w:val="00073C31"/>
    <w:rsid w:val="000768DD"/>
    <w:rsid w:val="000769A9"/>
    <w:rsid w:val="0007783F"/>
    <w:rsid w:val="00080B66"/>
    <w:rsid w:val="00081DC3"/>
    <w:rsid w:val="000843A1"/>
    <w:rsid w:val="00086600"/>
    <w:rsid w:val="00093293"/>
    <w:rsid w:val="00095224"/>
    <w:rsid w:val="0009752F"/>
    <w:rsid w:val="000976ED"/>
    <w:rsid w:val="000A7238"/>
    <w:rsid w:val="000B182E"/>
    <w:rsid w:val="000B190D"/>
    <w:rsid w:val="000B301C"/>
    <w:rsid w:val="000B3B91"/>
    <w:rsid w:val="000B6054"/>
    <w:rsid w:val="000C0105"/>
    <w:rsid w:val="000C1C38"/>
    <w:rsid w:val="000C3253"/>
    <w:rsid w:val="000C3A0F"/>
    <w:rsid w:val="000C3C6C"/>
    <w:rsid w:val="000D03F3"/>
    <w:rsid w:val="000D154D"/>
    <w:rsid w:val="000D19C7"/>
    <w:rsid w:val="000D297C"/>
    <w:rsid w:val="000D3701"/>
    <w:rsid w:val="000D7A9D"/>
    <w:rsid w:val="000E3BE0"/>
    <w:rsid w:val="000E4EAD"/>
    <w:rsid w:val="000E68E6"/>
    <w:rsid w:val="000E703D"/>
    <w:rsid w:val="000F02FB"/>
    <w:rsid w:val="000F3098"/>
    <w:rsid w:val="000F32F6"/>
    <w:rsid w:val="000F4B19"/>
    <w:rsid w:val="000F6B69"/>
    <w:rsid w:val="000F6F58"/>
    <w:rsid w:val="0010034D"/>
    <w:rsid w:val="00101406"/>
    <w:rsid w:val="00101A6E"/>
    <w:rsid w:val="0011249E"/>
    <w:rsid w:val="00116FC6"/>
    <w:rsid w:val="0012136F"/>
    <w:rsid w:val="0012442A"/>
    <w:rsid w:val="001248D9"/>
    <w:rsid w:val="0013095C"/>
    <w:rsid w:val="001328AF"/>
    <w:rsid w:val="00133F98"/>
    <w:rsid w:val="00134112"/>
    <w:rsid w:val="001363FA"/>
    <w:rsid w:val="00136C4A"/>
    <w:rsid w:val="00142DD3"/>
    <w:rsid w:val="00145BD5"/>
    <w:rsid w:val="00147058"/>
    <w:rsid w:val="00152EAA"/>
    <w:rsid w:val="001538D5"/>
    <w:rsid w:val="001545BF"/>
    <w:rsid w:val="001545C7"/>
    <w:rsid w:val="0015499C"/>
    <w:rsid w:val="001638DC"/>
    <w:rsid w:val="00170E3D"/>
    <w:rsid w:val="00175EA0"/>
    <w:rsid w:val="0017709A"/>
    <w:rsid w:val="001825A6"/>
    <w:rsid w:val="00185F65"/>
    <w:rsid w:val="0018629A"/>
    <w:rsid w:val="00186320"/>
    <w:rsid w:val="0018741B"/>
    <w:rsid w:val="0019089E"/>
    <w:rsid w:val="00192154"/>
    <w:rsid w:val="001922FD"/>
    <w:rsid w:val="0019464C"/>
    <w:rsid w:val="001947ED"/>
    <w:rsid w:val="001953B7"/>
    <w:rsid w:val="00195BBE"/>
    <w:rsid w:val="0019784E"/>
    <w:rsid w:val="001A1382"/>
    <w:rsid w:val="001A2806"/>
    <w:rsid w:val="001A7A9B"/>
    <w:rsid w:val="001B0D8C"/>
    <w:rsid w:val="001B0EE7"/>
    <w:rsid w:val="001B2BE7"/>
    <w:rsid w:val="001B5131"/>
    <w:rsid w:val="001B6ED0"/>
    <w:rsid w:val="001B73CC"/>
    <w:rsid w:val="001C22A2"/>
    <w:rsid w:val="001C3AD7"/>
    <w:rsid w:val="001C5E61"/>
    <w:rsid w:val="001C6F36"/>
    <w:rsid w:val="001C6F8A"/>
    <w:rsid w:val="001D0C04"/>
    <w:rsid w:val="001D2038"/>
    <w:rsid w:val="001D22C9"/>
    <w:rsid w:val="001D3141"/>
    <w:rsid w:val="001D347D"/>
    <w:rsid w:val="001D75BE"/>
    <w:rsid w:val="001E1643"/>
    <w:rsid w:val="001E1C0D"/>
    <w:rsid w:val="001E2659"/>
    <w:rsid w:val="001E7F43"/>
    <w:rsid w:val="001F27BD"/>
    <w:rsid w:val="001F326F"/>
    <w:rsid w:val="001F38CC"/>
    <w:rsid w:val="002001CF"/>
    <w:rsid w:val="002016EB"/>
    <w:rsid w:val="002066AA"/>
    <w:rsid w:val="00217A1C"/>
    <w:rsid w:val="00220EB0"/>
    <w:rsid w:val="00222329"/>
    <w:rsid w:val="00222CB9"/>
    <w:rsid w:val="00224CD3"/>
    <w:rsid w:val="00226FBA"/>
    <w:rsid w:val="00227B39"/>
    <w:rsid w:val="002353FC"/>
    <w:rsid w:val="00236DA0"/>
    <w:rsid w:val="002376FA"/>
    <w:rsid w:val="00240686"/>
    <w:rsid w:val="00241DE2"/>
    <w:rsid w:val="00241F46"/>
    <w:rsid w:val="00242D86"/>
    <w:rsid w:val="002445C3"/>
    <w:rsid w:val="00247ADA"/>
    <w:rsid w:val="0025112B"/>
    <w:rsid w:val="00254383"/>
    <w:rsid w:val="002566E5"/>
    <w:rsid w:val="00256CF6"/>
    <w:rsid w:val="00262A38"/>
    <w:rsid w:val="00263495"/>
    <w:rsid w:val="00263D33"/>
    <w:rsid w:val="002707F8"/>
    <w:rsid w:val="002716E9"/>
    <w:rsid w:val="002727F1"/>
    <w:rsid w:val="00274FF4"/>
    <w:rsid w:val="002759B1"/>
    <w:rsid w:val="002772E8"/>
    <w:rsid w:val="002803F8"/>
    <w:rsid w:val="00280E91"/>
    <w:rsid w:val="002832F1"/>
    <w:rsid w:val="00283B8D"/>
    <w:rsid w:val="00283F8F"/>
    <w:rsid w:val="00284B86"/>
    <w:rsid w:val="00286A82"/>
    <w:rsid w:val="002912B6"/>
    <w:rsid w:val="0029311D"/>
    <w:rsid w:val="00293125"/>
    <w:rsid w:val="00295733"/>
    <w:rsid w:val="00295D9D"/>
    <w:rsid w:val="002A5FEE"/>
    <w:rsid w:val="002A645B"/>
    <w:rsid w:val="002A6DC5"/>
    <w:rsid w:val="002B1035"/>
    <w:rsid w:val="002B2AD5"/>
    <w:rsid w:val="002B3F85"/>
    <w:rsid w:val="002B6465"/>
    <w:rsid w:val="002B69CE"/>
    <w:rsid w:val="002B7E40"/>
    <w:rsid w:val="002C3503"/>
    <w:rsid w:val="002C3849"/>
    <w:rsid w:val="002C737F"/>
    <w:rsid w:val="002D2D9D"/>
    <w:rsid w:val="002D419A"/>
    <w:rsid w:val="002D5DBB"/>
    <w:rsid w:val="002D606B"/>
    <w:rsid w:val="002D6BF0"/>
    <w:rsid w:val="002E047C"/>
    <w:rsid w:val="002E1070"/>
    <w:rsid w:val="002E6F58"/>
    <w:rsid w:val="002F1F93"/>
    <w:rsid w:val="002F32E6"/>
    <w:rsid w:val="002F33DA"/>
    <w:rsid w:val="002F37DA"/>
    <w:rsid w:val="002F4B70"/>
    <w:rsid w:val="002F5780"/>
    <w:rsid w:val="002F6BAA"/>
    <w:rsid w:val="003023FD"/>
    <w:rsid w:val="003024E2"/>
    <w:rsid w:val="00303728"/>
    <w:rsid w:val="0030516D"/>
    <w:rsid w:val="003055FB"/>
    <w:rsid w:val="003065E7"/>
    <w:rsid w:val="00310358"/>
    <w:rsid w:val="0031127B"/>
    <w:rsid w:val="0032014D"/>
    <w:rsid w:val="00320426"/>
    <w:rsid w:val="00321C47"/>
    <w:rsid w:val="003231EF"/>
    <w:rsid w:val="00327D32"/>
    <w:rsid w:val="00327D7D"/>
    <w:rsid w:val="00330242"/>
    <w:rsid w:val="003307DF"/>
    <w:rsid w:val="00335FBF"/>
    <w:rsid w:val="00336778"/>
    <w:rsid w:val="003427AF"/>
    <w:rsid w:val="00357918"/>
    <w:rsid w:val="003618EA"/>
    <w:rsid w:val="003662B7"/>
    <w:rsid w:val="00367289"/>
    <w:rsid w:val="00373C00"/>
    <w:rsid w:val="00373C40"/>
    <w:rsid w:val="00374017"/>
    <w:rsid w:val="00374450"/>
    <w:rsid w:val="00374735"/>
    <w:rsid w:val="00376CF2"/>
    <w:rsid w:val="00377D57"/>
    <w:rsid w:val="003802C6"/>
    <w:rsid w:val="00380A63"/>
    <w:rsid w:val="0038177F"/>
    <w:rsid w:val="003911FA"/>
    <w:rsid w:val="00391DB7"/>
    <w:rsid w:val="00397EC7"/>
    <w:rsid w:val="003B1769"/>
    <w:rsid w:val="003B554C"/>
    <w:rsid w:val="003B55CE"/>
    <w:rsid w:val="003B58BF"/>
    <w:rsid w:val="003B6254"/>
    <w:rsid w:val="003C1508"/>
    <w:rsid w:val="003C4738"/>
    <w:rsid w:val="003D02D7"/>
    <w:rsid w:val="003D5E28"/>
    <w:rsid w:val="003D5E76"/>
    <w:rsid w:val="003D7B3C"/>
    <w:rsid w:val="003D7F99"/>
    <w:rsid w:val="003E0CDA"/>
    <w:rsid w:val="003E1293"/>
    <w:rsid w:val="003E1C01"/>
    <w:rsid w:val="003E6B40"/>
    <w:rsid w:val="003F34E2"/>
    <w:rsid w:val="003F44E5"/>
    <w:rsid w:val="003F4D28"/>
    <w:rsid w:val="003F6C43"/>
    <w:rsid w:val="003F769F"/>
    <w:rsid w:val="00400814"/>
    <w:rsid w:val="00402ECD"/>
    <w:rsid w:val="00406DEA"/>
    <w:rsid w:val="0040750B"/>
    <w:rsid w:val="00407B52"/>
    <w:rsid w:val="0041683A"/>
    <w:rsid w:val="00422C2D"/>
    <w:rsid w:val="004264CD"/>
    <w:rsid w:val="00432873"/>
    <w:rsid w:val="004345F3"/>
    <w:rsid w:val="00435469"/>
    <w:rsid w:val="00436213"/>
    <w:rsid w:val="004427E8"/>
    <w:rsid w:val="0044464C"/>
    <w:rsid w:val="00451C08"/>
    <w:rsid w:val="004523EB"/>
    <w:rsid w:val="00453BF9"/>
    <w:rsid w:val="00453D46"/>
    <w:rsid w:val="004559E5"/>
    <w:rsid w:val="004613D9"/>
    <w:rsid w:val="00464953"/>
    <w:rsid w:val="00477789"/>
    <w:rsid w:val="00482271"/>
    <w:rsid w:val="00482663"/>
    <w:rsid w:val="0048373B"/>
    <w:rsid w:val="00483AC6"/>
    <w:rsid w:val="0048586A"/>
    <w:rsid w:val="0048779F"/>
    <w:rsid w:val="004901E7"/>
    <w:rsid w:val="00494064"/>
    <w:rsid w:val="004978EA"/>
    <w:rsid w:val="004A0991"/>
    <w:rsid w:val="004A1AC6"/>
    <w:rsid w:val="004A2F98"/>
    <w:rsid w:val="004A39DB"/>
    <w:rsid w:val="004A4571"/>
    <w:rsid w:val="004A7EDE"/>
    <w:rsid w:val="004B0A3B"/>
    <w:rsid w:val="004B0C3B"/>
    <w:rsid w:val="004B1138"/>
    <w:rsid w:val="004B143D"/>
    <w:rsid w:val="004B2016"/>
    <w:rsid w:val="004B2F74"/>
    <w:rsid w:val="004B3323"/>
    <w:rsid w:val="004B40DE"/>
    <w:rsid w:val="004B4DD1"/>
    <w:rsid w:val="004B52F7"/>
    <w:rsid w:val="004B5607"/>
    <w:rsid w:val="004C1090"/>
    <w:rsid w:val="004C1569"/>
    <w:rsid w:val="004C21A8"/>
    <w:rsid w:val="004C2C65"/>
    <w:rsid w:val="004C36A7"/>
    <w:rsid w:val="004D20C1"/>
    <w:rsid w:val="004D50F8"/>
    <w:rsid w:val="004E0720"/>
    <w:rsid w:val="004E1A65"/>
    <w:rsid w:val="004F0EDB"/>
    <w:rsid w:val="004F3624"/>
    <w:rsid w:val="004F5771"/>
    <w:rsid w:val="005002BB"/>
    <w:rsid w:val="005057FA"/>
    <w:rsid w:val="00510290"/>
    <w:rsid w:val="00510489"/>
    <w:rsid w:val="00520F35"/>
    <w:rsid w:val="00522374"/>
    <w:rsid w:val="00522542"/>
    <w:rsid w:val="005240C8"/>
    <w:rsid w:val="00526353"/>
    <w:rsid w:val="00533CB5"/>
    <w:rsid w:val="0053619B"/>
    <w:rsid w:val="00541B22"/>
    <w:rsid w:val="00545BAB"/>
    <w:rsid w:val="00545E50"/>
    <w:rsid w:val="0055272C"/>
    <w:rsid w:val="00553FDC"/>
    <w:rsid w:val="005550A9"/>
    <w:rsid w:val="00555AD5"/>
    <w:rsid w:val="00555E85"/>
    <w:rsid w:val="00564482"/>
    <w:rsid w:val="00564A1C"/>
    <w:rsid w:val="0056553C"/>
    <w:rsid w:val="00565FA7"/>
    <w:rsid w:val="005674A1"/>
    <w:rsid w:val="00571B75"/>
    <w:rsid w:val="00572B69"/>
    <w:rsid w:val="00574176"/>
    <w:rsid w:val="00575746"/>
    <w:rsid w:val="00575ABB"/>
    <w:rsid w:val="00575C51"/>
    <w:rsid w:val="00580B50"/>
    <w:rsid w:val="00581BFA"/>
    <w:rsid w:val="00582952"/>
    <w:rsid w:val="00583491"/>
    <w:rsid w:val="00583729"/>
    <w:rsid w:val="005837A1"/>
    <w:rsid w:val="00584535"/>
    <w:rsid w:val="00593AAC"/>
    <w:rsid w:val="00593D48"/>
    <w:rsid w:val="00596552"/>
    <w:rsid w:val="00596ADE"/>
    <w:rsid w:val="005A17C0"/>
    <w:rsid w:val="005A3D32"/>
    <w:rsid w:val="005A492C"/>
    <w:rsid w:val="005A6BDB"/>
    <w:rsid w:val="005A71D2"/>
    <w:rsid w:val="005A79A5"/>
    <w:rsid w:val="005B23AF"/>
    <w:rsid w:val="005B247F"/>
    <w:rsid w:val="005C08AA"/>
    <w:rsid w:val="005C1113"/>
    <w:rsid w:val="005C208F"/>
    <w:rsid w:val="005C33EB"/>
    <w:rsid w:val="005C71A6"/>
    <w:rsid w:val="005C72CC"/>
    <w:rsid w:val="005C7703"/>
    <w:rsid w:val="005D0183"/>
    <w:rsid w:val="005D2CAE"/>
    <w:rsid w:val="005E0FD1"/>
    <w:rsid w:val="005E21B1"/>
    <w:rsid w:val="005E7107"/>
    <w:rsid w:val="005E743C"/>
    <w:rsid w:val="005E7523"/>
    <w:rsid w:val="005F0B07"/>
    <w:rsid w:val="005F2F5F"/>
    <w:rsid w:val="005F4163"/>
    <w:rsid w:val="005F657C"/>
    <w:rsid w:val="005F682C"/>
    <w:rsid w:val="00601350"/>
    <w:rsid w:val="00601775"/>
    <w:rsid w:val="00604977"/>
    <w:rsid w:val="00604C44"/>
    <w:rsid w:val="00605431"/>
    <w:rsid w:val="00612780"/>
    <w:rsid w:val="00622D67"/>
    <w:rsid w:val="00626B77"/>
    <w:rsid w:val="0063236E"/>
    <w:rsid w:val="006323FA"/>
    <w:rsid w:val="0064258C"/>
    <w:rsid w:val="00643D13"/>
    <w:rsid w:val="00644702"/>
    <w:rsid w:val="0064700B"/>
    <w:rsid w:val="0065034F"/>
    <w:rsid w:val="006507F3"/>
    <w:rsid w:val="0065298C"/>
    <w:rsid w:val="0065338A"/>
    <w:rsid w:val="0065402E"/>
    <w:rsid w:val="00654304"/>
    <w:rsid w:val="00654308"/>
    <w:rsid w:val="00664004"/>
    <w:rsid w:val="0066469B"/>
    <w:rsid w:val="00666D6D"/>
    <w:rsid w:val="00671508"/>
    <w:rsid w:val="00672183"/>
    <w:rsid w:val="00674DB6"/>
    <w:rsid w:val="006768C4"/>
    <w:rsid w:val="0067763E"/>
    <w:rsid w:val="006778EC"/>
    <w:rsid w:val="00682C69"/>
    <w:rsid w:val="00684741"/>
    <w:rsid w:val="00687C0E"/>
    <w:rsid w:val="0069513F"/>
    <w:rsid w:val="00695598"/>
    <w:rsid w:val="006978C3"/>
    <w:rsid w:val="006A6EB0"/>
    <w:rsid w:val="006B01B1"/>
    <w:rsid w:val="006B0257"/>
    <w:rsid w:val="006B5F26"/>
    <w:rsid w:val="006B673E"/>
    <w:rsid w:val="006B69A0"/>
    <w:rsid w:val="006C599D"/>
    <w:rsid w:val="006C69DD"/>
    <w:rsid w:val="006D0026"/>
    <w:rsid w:val="006D0713"/>
    <w:rsid w:val="006D3241"/>
    <w:rsid w:val="006D3971"/>
    <w:rsid w:val="006D5BCD"/>
    <w:rsid w:val="006E1E75"/>
    <w:rsid w:val="006E2A9B"/>
    <w:rsid w:val="006E31DD"/>
    <w:rsid w:val="006E6149"/>
    <w:rsid w:val="006E64FB"/>
    <w:rsid w:val="006F0C5A"/>
    <w:rsid w:val="006F4A63"/>
    <w:rsid w:val="006F65A0"/>
    <w:rsid w:val="006F7E20"/>
    <w:rsid w:val="00702066"/>
    <w:rsid w:val="00704559"/>
    <w:rsid w:val="007051F3"/>
    <w:rsid w:val="00705D2A"/>
    <w:rsid w:val="007103B4"/>
    <w:rsid w:val="0071103F"/>
    <w:rsid w:val="007137C5"/>
    <w:rsid w:val="0071382E"/>
    <w:rsid w:val="0071468B"/>
    <w:rsid w:val="00726C29"/>
    <w:rsid w:val="0073376F"/>
    <w:rsid w:val="00736D69"/>
    <w:rsid w:val="00747BFB"/>
    <w:rsid w:val="00750441"/>
    <w:rsid w:val="00751D3A"/>
    <w:rsid w:val="007538B9"/>
    <w:rsid w:val="007544A7"/>
    <w:rsid w:val="00754689"/>
    <w:rsid w:val="007566A4"/>
    <w:rsid w:val="00756976"/>
    <w:rsid w:val="0076012A"/>
    <w:rsid w:val="0076089D"/>
    <w:rsid w:val="00760A75"/>
    <w:rsid w:val="00766C28"/>
    <w:rsid w:val="0077429C"/>
    <w:rsid w:val="00786C3E"/>
    <w:rsid w:val="00786CEA"/>
    <w:rsid w:val="00790769"/>
    <w:rsid w:val="00790832"/>
    <w:rsid w:val="00790B33"/>
    <w:rsid w:val="00792C23"/>
    <w:rsid w:val="007955D8"/>
    <w:rsid w:val="007A08CB"/>
    <w:rsid w:val="007A117C"/>
    <w:rsid w:val="007A1FFA"/>
    <w:rsid w:val="007A28E3"/>
    <w:rsid w:val="007A439F"/>
    <w:rsid w:val="007A5379"/>
    <w:rsid w:val="007B0280"/>
    <w:rsid w:val="007B27EB"/>
    <w:rsid w:val="007B519F"/>
    <w:rsid w:val="007B5A11"/>
    <w:rsid w:val="007B61AB"/>
    <w:rsid w:val="007C17A2"/>
    <w:rsid w:val="007C6001"/>
    <w:rsid w:val="007D0AA8"/>
    <w:rsid w:val="007D4068"/>
    <w:rsid w:val="007D5186"/>
    <w:rsid w:val="007D5A81"/>
    <w:rsid w:val="007D7A75"/>
    <w:rsid w:val="007E470A"/>
    <w:rsid w:val="007E5964"/>
    <w:rsid w:val="007E64FA"/>
    <w:rsid w:val="007E7E90"/>
    <w:rsid w:val="007F08C6"/>
    <w:rsid w:val="007F55CA"/>
    <w:rsid w:val="007F7873"/>
    <w:rsid w:val="007F799A"/>
    <w:rsid w:val="0080070C"/>
    <w:rsid w:val="0080090C"/>
    <w:rsid w:val="00800C26"/>
    <w:rsid w:val="00801F6E"/>
    <w:rsid w:val="0080293F"/>
    <w:rsid w:val="00802DB3"/>
    <w:rsid w:val="008075EF"/>
    <w:rsid w:val="0080778E"/>
    <w:rsid w:val="008157EC"/>
    <w:rsid w:val="008169F5"/>
    <w:rsid w:val="00825506"/>
    <w:rsid w:val="008275BC"/>
    <w:rsid w:val="00827810"/>
    <w:rsid w:val="00831744"/>
    <w:rsid w:val="008323A4"/>
    <w:rsid w:val="0083285C"/>
    <w:rsid w:val="008356DB"/>
    <w:rsid w:val="00837D47"/>
    <w:rsid w:val="00840F68"/>
    <w:rsid w:val="00843620"/>
    <w:rsid w:val="0084425B"/>
    <w:rsid w:val="00845A11"/>
    <w:rsid w:val="00853AB8"/>
    <w:rsid w:val="00857036"/>
    <w:rsid w:val="0085716F"/>
    <w:rsid w:val="00860D98"/>
    <w:rsid w:val="00862CC7"/>
    <w:rsid w:val="00863071"/>
    <w:rsid w:val="00867F37"/>
    <w:rsid w:val="00870993"/>
    <w:rsid w:val="00872355"/>
    <w:rsid w:val="0087688C"/>
    <w:rsid w:val="00884D52"/>
    <w:rsid w:val="00885094"/>
    <w:rsid w:val="008864E9"/>
    <w:rsid w:val="00887D54"/>
    <w:rsid w:val="00891712"/>
    <w:rsid w:val="00891ED6"/>
    <w:rsid w:val="008A020A"/>
    <w:rsid w:val="008A0B61"/>
    <w:rsid w:val="008A0D9D"/>
    <w:rsid w:val="008A1112"/>
    <w:rsid w:val="008A3617"/>
    <w:rsid w:val="008A4CE0"/>
    <w:rsid w:val="008A5EEE"/>
    <w:rsid w:val="008A6B93"/>
    <w:rsid w:val="008A760D"/>
    <w:rsid w:val="008B3AE1"/>
    <w:rsid w:val="008B3F82"/>
    <w:rsid w:val="008B48D2"/>
    <w:rsid w:val="008B4A07"/>
    <w:rsid w:val="008B59AC"/>
    <w:rsid w:val="008C055A"/>
    <w:rsid w:val="008C2F20"/>
    <w:rsid w:val="008C6664"/>
    <w:rsid w:val="008D43FA"/>
    <w:rsid w:val="008D485D"/>
    <w:rsid w:val="008D5128"/>
    <w:rsid w:val="008E01E9"/>
    <w:rsid w:val="008E64F9"/>
    <w:rsid w:val="008E6816"/>
    <w:rsid w:val="008F1CD3"/>
    <w:rsid w:val="008F43D4"/>
    <w:rsid w:val="008F4D0A"/>
    <w:rsid w:val="008F67DD"/>
    <w:rsid w:val="008F7359"/>
    <w:rsid w:val="008F7B0F"/>
    <w:rsid w:val="00901095"/>
    <w:rsid w:val="00902751"/>
    <w:rsid w:val="0090794B"/>
    <w:rsid w:val="00912B2A"/>
    <w:rsid w:val="00912E3B"/>
    <w:rsid w:val="009232E2"/>
    <w:rsid w:val="009242AB"/>
    <w:rsid w:val="009309C7"/>
    <w:rsid w:val="00931BB3"/>
    <w:rsid w:val="009347B9"/>
    <w:rsid w:val="00934992"/>
    <w:rsid w:val="00934F5F"/>
    <w:rsid w:val="00940F61"/>
    <w:rsid w:val="00941E43"/>
    <w:rsid w:val="00945784"/>
    <w:rsid w:val="00947B91"/>
    <w:rsid w:val="00947F8A"/>
    <w:rsid w:val="00950EB5"/>
    <w:rsid w:val="00951C07"/>
    <w:rsid w:val="009538E8"/>
    <w:rsid w:val="009568C4"/>
    <w:rsid w:val="00960A0E"/>
    <w:rsid w:val="00961635"/>
    <w:rsid w:val="0096459E"/>
    <w:rsid w:val="00965790"/>
    <w:rsid w:val="009658E2"/>
    <w:rsid w:val="00965D58"/>
    <w:rsid w:val="0096653D"/>
    <w:rsid w:val="00970AF1"/>
    <w:rsid w:val="00971032"/>
    <w:rsid w:val="0097186F"/>
    <w:rsid w:val="00971C52"/>
    <w:rsid w:val="00972B28"/>
    <w:rsid w:val="0097465B"/>
    <w:rsid w:val="00974728"/>
    <w:rsid w:val="00976158"/>
    <w:rsid w:val="00980FB9"/>
    <w:rsid w:val="00986853"/>
    <w:rsid w:val="009870A2"/>
    <w:rsid w:val="00987A64"/>
    <w:rsid w:val="00987C6D"/>
    <w:rsid w:val="00990DDC"/>
    <w:rsid w:val="00997095"/>
    <w:rsid w:val="009A0C04"/>
    <w:rsid w:val="009A0F97"/>
    <w:rsid w:val="009A1A90"/>
    <w:rsid w:val="009A48CB"/>
    <w:rsid w:val="009A651D"/>
    <w:rsid w:val="009B0038"/>
    <w:rsid w:val="009B2D67"/>
    <w:rsid w:val="009B3B8A"/>
    <w:rsid w:val="009B6895"/>
    <w:rsid w:val="009C0848"/>
    <w:rsid w:val="009C2AE3"/>
    <w:rsid w:val="009C3B4A"/>
    <w:rsid w:val="009C4721"/>
    <w:rsid w:val="009C491E"/>
    <w:rsid w:val="009C5BF3"/>
    <w:rsid w:val="009C5CE2"/>
    <w:rsid w:val="009C73EF"/>
    <w:rsid w:val="009D20B4"/>
    <w:rsid w:val="009D4546"/>
    <w:rsid w:val="009D7D37"/>
    <w:rsid w:val="009E127F"/>
    <w:rsid w:val="009E1995"/>
    <w:rsid w:val="009E4F62"/>
    <w:rsid w:val="009E6BAD"/>
    <w:rsid w:val="009E73AA"/>
    <w:rsid w:val="009F25F9"/>
    <w:rsid w:val="009F395D"/>
    <w:rsid w:val="009F3DE9"/>
    <w:rsid w:val="00A01295"/>
    <w:rsid w:val="00A01481"/>
    <w:rsid w:val="00A025E7"/>
    <w:rsid w:val="00A036FA"/>
    <w:rsid w:val="00A04AB6"/>
    <w:rsid w:val="00A172F6"/>
    <w:rsid w:val="00A17BA4"/>
    <w:rsid w:val="00A21434"/>
    <w:rsid w:val="00A22982"/>
    <w:rsid w:val="00A2451E"/>
    <w:rsid w:val="00A245C3"/>
    <w:rsid w:val="00A246B9"/>
    <w:rsid w:val="00A247DF"/>
    <w:rsid w:val="00A26C30"/>
    <w:rsid w:val="00A31FE4"/>
    <w:rsid w:val="00A340F2"/>
    <w:rsid w:val="00A4183E"/>
    <w:rsid w:val="00A4317A"/>
    <w:rsid w:val="00A4455F"/>
    <w:rsid w:val="00A4496E"/>
    <w:rsid w:val="00A459D0"/>
    <w:rsid w:val="00A46B9D"/>
    <w:rsid w:val="00A47E13"/>
    <w:rsid w:val="00A55D3F"/>
    <w:rsid w:val="00A55D7F"/>
    <w:rsid w:val="00A56974"/>
    <w:rsid w:val="00A604E5"/>
    <w:rsid w:val="00A60C94"/>
    <w:rsid w:val="00A612A7"/>
    <w:rsid w:val="00A61770"/>
    <w:rsid w:val="00A66CDD"/>
    <w:rsid w:val="00A70439"/>
    <w:rsid w:val="00A752CB"/>
    <w:rsid w:val="00A77B9B"/>
    <w:rsid w:val="00A838EE"/>
    <w:rsid w:val="00A83B9F"/>
    <w:rsid w:val="00A85BAB"/>
    <w:rsid w:val="00A86E10"/>
    <w:rsid w:val="00A87147"/>
    <w:rsid w:val="00A90DA6"/>
    <w:rsid w:val="00A940F3"/>
    <w:rsid w:val="00A9462F"/>
    <w:rsid w:val="00A947A4"/>
    <w:rsid w:val="00AA010A"/>
    <w:rsid w:val="00AB4CBA"/>
    <w:rsid w:val="00AB6A24"/>
    <w:rsid w:val="00AC0AFC"/>
    <w:rsid w:val="00AC1177"/>
    <w:rsid w:val="00AC1F3E"/>
    <w:rsid w:val="00AC5B52"/>
    <w:rsid w:val="00AC6E97"/>
    <w:rsid w:val="00AD3120"/>
    <w:rsid w:val="00AD414B"/>
    <w:rsid w:val="00AD4843"/>
    <w:rsid w:val="00AD744D"/>
    <w:rsid w:val="00AD7538"/>
    <w:rsid w:val="00AD7AA7"/>
    <w:rsid w:val="00AE1D19"/>
    <w:rsid w:val="00AE2498"/>
    <w:rsid w:val="00AE45A6"/>
    <w:rsid w:val="00AE4D40"/>
    <w:rsid w:val="00AE561D"/>
    <w:rsid w:val="00AE6CE2"/>
    <w:rsid w:val="00AF1F54"/>
    <w:rsid w:val="00AF207B"/>
    <w:rsid w:val="00AF79E6"/>
    <w:rsid w:val="00AF7B05"/>
    <w:rsid w:val="00B00A7F"/>
    <w:rsid w:val="00B057DE"/>
    <w:rsid w:val="00B07475"/>
    <w:rsid w:val="00B1010C"/>
    <w:rsid w:val="00B113C4"/>
    <w:rsid w:val="00B2036F"/>
    <w:rsid w:val="00B206A7"/>
    <w:rsid w:val="00B216A9"/>
    <w:rsid w:val="00B21F12"/>
    <w:rsid w:val="00B2263F"/>
    <w:rsid w:val="00B23931"/>
    <w:rsid w:val="00B31627"/>
    <w:rsid w:val="00B333E2"/>
    <w:rsid w:val="00B37B38"/>
    <w:rsid w:val="00B44168"/>
    <w:rsid w:val="00B447C2"/>
    <w:rsid w:val="00B461E2"/>
    <w:rsid w:val="00B50CEE"/>
    <w:rsid w:val="00B51DC2"/>
    <w:rsid w:val="00B53CEF"/>
    <w:rsid w:val="00B55434"/>
    <w:rsid w:val="00B55871"/>
    <w:rsid w:val="00B57773"/>
    <w:rsid w:val="00B622BA"/>
    <w:rsid w:val="00B641C2"/>
    <w:rsid w:val="00B71FF7"/>
    <w:rsid w:val="00B74EE0"/>
    <w:rsid w:val="00B8296C"/>
    <w:rsid w:val="00B83D90"/>
    <w:rsid w:val="00B864A4"/>
    <w:rsid w:val="00B87B9E"/>
    <w:rsid w:val="00B91054"/>
    <w:rsid w:val="00B9235A"/>
    <w:rsid w:val="00B927D7"/>
    <w:rsid w:val="00B92CE0"/>
    <w:rsid w:val="00B97A9C"/>
    <w:rsid w:val="00BA0242"/>
    <w:rsid w:val="00BA39DB"/>
    <w:rsid w:val="00BA56EC"/>
    <w:rsid w:val="00BA622D"/>
    <w:rsid w:val="00BB2A4E"/>
    <w:rsid w:val="00BB437D"/>
    <w:rsid w:val="00BB4389"/>
    <w:rsid w:val="00BB472C"/>
    <w:rsid w:val="00BB5EAC"/>
    <w:rsid w:val="00BB7459"/>
    <w:rsid w:val="00BC1675"/>
    <w:rsid w:val="00BC69FF"/>
    <w:rsid w:val="00BC7D02"/>
    <w:rsid w:val="00BC7DF8"/>
    <w:rsid w:val="00BD0D08"/>
    <w:rsid w:val="00BD1B96"/>
    <w:rsid w:val="00BD2051"/>
    <w:rsid w:val="00BD2323"/>
    <w:rsid w:val="00BD456A"/>
    <w:rsid w:val="00BD59A4"/>
    <w:rsid w:val="00BD631C"/>
    <w:rsid w:val="00BD6DE5"/>
    <w:rsid w:val="00BE14CA"/>
    <w:rsid w:val="00BE266C"/>
    <w:rsid w:val="00BE60ED"/>
    <w:rsid w:val="00BE6362"/>
    <w:rsid w:val="00BE6F93"/>
    <w:rsid w:val="00BE7A2D"/>
    <w:rsid w:val="00BE7F1F"/>
    <w:rsid w:val="00BF00AE"/>
    <w:rsid w:val="00BF4BEF"/>
    <w:rsid w:val="00BF4F57"/>
    <w:rsid w:val="00BF6648"/>
    <w:rsid w:val="00BF7B05"/>
    <w:rsid w:val="00C00743"/>
    <w:rsid w:val="00C00839"/>
    <w:rsid w:val="00C016CF"/>
    <w:rsid w:val="00C10C18"/>
    <w:rsid w:val="00C13824"/>
    <w:rsid w:val="00C140F1"/>
    <w:rsid w:val="00C146FA"/>
    <w:rsid w:val="00C14F61"/>
    <w:rsid w:val="00C20A72"/>
    <w:rsid w:val="00C2114B"/>
    <w:rsid w:val="00C2143D"/>
    <w:rsid w:val="00C21533"/>
    <w:rsid w:val="00C24A2E"/>
    <w:rsid w:val="00C26A58"/>
    <w:rsid w:val="00C26F49"/>
    <w:rsid w:val="00C3071C"/>
    <w:rsid w:val="00C328D9"/>
    <w:rsid w:val="00C333F3"/>
    <w:rsid w:val="00C3390A"/>
    <w:rsid w:val="00C34B67"/>
    <w:rsid w:val="00C37485"/>
    <w:rsid w:val="00C37A81"/>
    <w:rsid w:val="00C40149"/>
    <w:rsid w:val="00C405E8"/>
    <w:rsid w:val="00C407AE"/>
    <w:rsid w:val="00C41F65"/>
    <w:rsid w:val="00C45051"/>
    <w:rsid w:val="00C52B7B"/>
    <w:rsid w:val="00C550F5"/>
    <w:rsid w:val="00C55BCD"/>
    <w:rsid w:val="00C5745D"/>
    <w:rsid w:val="00C61E95"/>
    <w:rsid w:val="00C63B2A"/>
    <w:rsid w:val="00C64DBE"/>
    <w:rsid w:val="00C65B41"/>
    <w:rsid w:val="00C75C46"/>
    <w:rsid w:val="00C76C09"/>
    <w:rsid w:val="00C8254A"/>
    <w:rsid w:val="00C8531F"/>
    <w:rsid w:val="00C85CEE"/>
    <w:rsid w:val="00C913CA"/>
    <w:rsid w:val="00C91487"/>
    <w:rsid w:val="00C926F0"/>
    <w:rsid w:val="00C93533"/>
    <w:rsid w:val="00C938B3"/>
    <w:rsid w:val="00C968B2"/>
    <w:rsid w:val="00C978D3"/>
    <w:rsid w:val="00CA03BE"/>
    <w:rsid w:val="00CA1094"/>
    <w:rsid w:val="00CA3039"/>
    <w:rsid w:val="00CA4ABC"/>
    <w:rsid w:val="00CA4BEF"/>
    <w:rsid w:val="00CA5932"/>
    <w:rsid w:val="00CA6EAC"/>
    <w:rsid w:val="00CB0CCA"/>
    <w:rsid w:val="00CB1727"/>
    <w:rsid w:val="00CB1CFA"/>
    <w:rsid w:val="00CB2AC1"/>
    <w:rsid w:val="00CB427E"/>
    <w:rsid w:val="00CB4983"/>
    <w:rsid w:val="00CB4FE4"/>
    <w:rsid w:val="00CB5AB9"/>
    <w:rsid w:val="00CC3436"/>
    <w:rsid w:val="00CC418D"/>
    <w:rsid w:val="00CD2902"/>
    <w:rsid w:val="00CD4D14"/>
    <w:rsid w:val="00CE0C3D"/>
    <w:rsid w:val="00CE1EA3"/>
    <w:rsid w:val="00CE25B1"/>
    <w:rsid w:val="00CE370E"/>
    <w:rsid w:val="00CF01BE"/>
    <w:rsid w:val="00CF0A34"/>
    <w:rsid w:val="00CF0BD4"/>
    <w:rsid w:val="00CF2826"/>
    <w:rsid w:val="00CF5CF1"/>
    <w:rsid w:val="00CF5ECE"/>
    <w:rsid w:val="00CF6325"/>
    <w:rsid w:val="00CF7CC3"/>
    <w:rsid w:val="00CF7F22"/>
    <w:rsid w:val="00D01CCD"/>
    <w:rsid w:val="00D0631F"/>
    <w:rsid w:val="00D11CB0"/>
    <w:rsid w:val="00D16EBA"/>
    <w:rsid w:val="00D24655"/>
    <w:rsid w:val="00D30CBA"/>
    <w:rsid w:val="00D33111"/>
    <w:rsid w:val="00D33387"/>
    <w:rsid w:val="00D344E4"/>
    <w:rsid w:val="00D41ACB"/>
    <w:rsid w:val="00D435A8"/>
    <w:rsid w:val="00D4413E"/>
    <w:rsid w:val="00D44B89"/>
    <w:rsid w:val="00D5042E"/>
    <w:rsid w:val="00D508D3"/>
    <w:rsid w:val="00D5093F"/>
    <w:rsid w:val="00D518C9"/>
    <w:rsid w:val="00D5225F"/>
    <w:rsid w:val="00D542C4"/>
    <w:rsid w:val="00D565CD"/>
    <w:rsid w:val="00D60AD0"/>
    <w:rsid w:val="00D60E66"/>
    <w:rsid w:val="00D61296"/>
    <w:rsid w:val="00D62DBB"/>
    <w:rsid w:val="00D633C4"/>
    <w:rsid w:val="00D65B2A"/>
    <w:rsid w:val="00D710BC"/>
    <w:rsid w:val="00D75121"/>
    <w:rsid w:val="00D76006"/>
    <w:rsid w:val="00D760C2"/>
    <w:rsid w:val="00D805E9"/>
    <w:rsid w:val="00D8296A"/>
    <w:rsid w:val="00D83BA7"/>
    <w:rsid w:val="00D8633D"/>
    <w:rsid w:val="00D876B0"/>
    <w:rsid w:val="00D912E2"/>
    <w:rsid w:val="00D91F35"/>
    <w:rsid w:val="00D95877"/>
    <w:rsid w:val="00D96B10"/>
    <w:rsid w:val="00D97BB0"/>
    <w:rsid w:val="00DA3ADF"/>
    <w:rsid w:val="00DB0C95"/>
    <w:rsid w:val="00DB0D13"/>
    <w:rsid w:val="00DB1374"/>
    <w:rsid w:val="00DB2FA1"/>
    <w:rsid w:val="00DB4651"/>
    <w:rsid w:val="00DB5B29"/>
    <w:rsid w:val="00DD02BF"/>
    <w:rsid w:val="00DD0B85"/>
    <w:rsid w:val="00DD25C3"/>
    <w:rsid w:val="00DE2021"/>
    <w:rsid w:val="00DE3081"/>
    <w:rsid w:val="00DE5383"/>
    <w:rsid w:val="00DE53FD"/>
    <w:rsid w:val="00DE71A9"/>
    <w:rsid w:val="00DF04BC"/>
    <w:rsid w:val="00DF1039"/>
    <w:rsid w:val="00DF2D31"/>
    <w:rsid w:val="00DF31F6"/>
    <w:rsid w:val="00DF3E40"/>
    <w:rsid w:val="00DF451A"/>
    <w:rsid w:val="00DF5CAA"/>
    <w:rsid w:val="00DF667C"/>
    <w:rsid w:val="00DF6C64"/>
    <w:rsid w:val="00E00938"/>
    <w:rsid w:val="00E02098"/>
    <w:rsid w:val="00E0432D"/>
    <w:rsid w:val="00E04B04"/>
    <w:rsid w:val="00E10D99"/>
    <w:rsid w:val="00E17797"/>
    <w:rsid w:val="00E22C98"/>
    <w:rsid w:val="00E233FE"/>
    <w:rsid w:val="00E26BD0"/>
    <w:rsid w:val="00E34B2E"/>
    <w:rsid w:val="00E35352"/>
    <w:rsid w:val="00E47837"/>
    <w:rsid w:val="00E537F6"/>
    <w:rsid w:val="00E5523B"/>
    <w:rsid w:val="00E559DE"/>
    <w:rsid w:val="00E61827"/>
    <w:rsid w:val="00E62978"/>
    <w:rsid w:val="00E643C6"/>
    <w:rsid w:val="00E644C7"/>
    <w:rsid w:val="00E64D9A"/>
    <w:rsid w:val="00E67258"/>
    <w:rsid w:val="00E71C68"/>
    <w:rsid w:val="00E72B9D"/>
    <w:rsid w:val="00E74ACA"/>
    <w:rsid w:val="00E75B0D"/>
    <w:rsid w:val="00E75B95"/>
    <w:rsid w:val="00E779C4"/>
    <w:rsid w:val="00E82DD0"/>
    <w:rsid w:val="00E86AD1"/>
    <w:rsid w:val="00E86ED1"/>
    <w:rsid w:val="00E966D4"/>
    <w:rsid w:val="00EA3EB9"/>
    <w:rsid w:val="00EA42F7"/>
    <w:rsid w:val="00EA7B06"/>
    <w:rsid w:val="00EA7ED9"/>
    <w:rsid w:val="00EB10BD"/>
    <w:rsid w:val="00EB197B"/>
    <w:rsid w:val="00EB2EA3"/>
    <w:rsid w:val="00EC15A3"/>
    <w:rsid w:val="00EC2BD6"/>
    <w:rsid w:val="00EC52BE"/>
    <w:rsid w:val="00EC5D2F"/>
    <w:rsid w:val="00EC648B"/>
    <w:rsid w:val="00ED2B13"/>
    <w:rsid w:val="00ED35D1"/>
    <w:rsid w:val="00ED6D06"/>
    <w:rsid w:val="00ED7FD4"/>
    <w:rsid w:val="00EE2D71"/>
    <w:rsid w:val="00EE6D2D"/>
    <w:rsid w:val="00EE7402"/>
    <w:rsid w:val="00EF0A3B"/>
    <w:rsid w:val="00EF246A"/>
    <w:rsid w:val="00F05376"/>
    <w:rsid w:val="00F108B5"/>
    <w:rsid w:val="00F12039"/>
    <w:rsid w:val="00F16358"/>
    <w:rsid w:val="00F22B37"/>
    <w:rsid w:val="00F2326B"/>
    <w:rsid w:val="00F343F5"/>
    <w:rsid w:val="00F3696C"/>
    <w:rsid w:val="00F3704D"/>
    <w:rsid w:val="00F3728E"/>
    <w:rsid w:val="00F373E5"/>
    <w:rsid w:val="00F37850"/>
    <w:rsid w:val="00F45B39"/>
    <w:rsid w:val="00F463FD"/>
    <w:rsid w:val="00F5008D"/>
    <w:rsid w:val="00F52481"/>
    <w:rsid w:val="00F524C0"/>
    <w:rsid w:val="00F529A3"/>
    <w:rsid w:val="00F5397B"/>
    <w:rsid w:val="00F546A7"/>
    <w:rsid w:val="00F558DE"/>
    <w:rsid w:val="00F576AC"/>
    <w:rsid w:val="00F60F83"/>
    <w:rsid w:val="00F637C0"/>
    <w:rsid w:val="00F6655B"/>
    <w:rsid w:val="00F70CAE"/>
    <w:rsid w:val="00F733C4"/>
    <w:rsid w:val="00F73CF5"/>
    <w:rsid w:val="00F74273"/>
    <w:rsid w:val="00F8436A"/>
    <w:rsid w:val="00F85322"/>
    <w:rsid w:val="00F87ACF"/>
    <w:rsid w:val="00F94D41"/>
    <w:rsid w:val="00F95AC5"/>
    <w:rsid w:val="00F97AB3"/>
    <w:rsid w:val="00F97EFE"/>
    <w:rsid w:val="00FA1A07"/>
    <w:rsid w:val="00FA1E60"/>
    <w:rsid w:val="00FA20A5"/>
    <w:rsid w:val="00FA34BC"/>
    <w:rsid w:val="00FA74D8"/>
    <w:rsid w:val="00FA7AB0"/>
    <w:rsid w:val="00FB0AFC"/>
    <w:rsid w:val="00FB35AA"/>
    <w:rsid w:val="00FB409B"/>
    <w:rsid w:val="00FB713C"/>
    <w:rsid w:val="00FC19C1"/>
    <w:rsid w:val="00FC2266"/>
    <w:rsid w:val="00FC256C"/>
    <w:rsid w:val="00FC722D"/>
    <w:rsid w:val="00FC784A"/>
    <w:rsid w:val="00FD2E3B"/>
    <w:rsid w:val="00FD63BF"/>
    <w:rsid w:val="00FE1E7D"/>
    <w:rsid w:val="00FE1F9C"/>
    <w:rsid w:val="00FE3E7A"/>
    <w:rsid w:val="00FE68AA"/>
    <w:rsid w:val="00FF1F38"/>
    <w:rsid w:val="00FF2AF1"/>
    <w:rsid w:val="00FF345E"/>
    <w:rsid w:val="00FF357D"/>
    <w:rsid w:val="00FF50A2"/>
    <w:rsid w:val="00FF7073"/>
    <w:rsid w:val="00FF7D92"/>
    <w:rsid w:val="01206FF8"/>
    <w:rsid w:val="016C301E"/>
    <w:rsid w:val="03A1437D"/>
    <w:rsid w:val="03B355B6"/>
    <w:rsid w:val="05334073"/>
    <w:rsid w:val="05996889"/>
    <w:rsid w:val="05D629DA"/>
    <w:rsid w:val="066A4E57"/>
    <w:rsid w:val="06AB2C47"/>
    <w:rsid w:val="06C72ADD"/>
    <w:rsid w:val="072F1F65"/>
    <w:rsid w:val="075766EB"/>
    <w:rsid w:val="07671773"/>
    <w:rsid w:val="07A80861"/>
    <w:rsid w:val="084E193F"/>
    <w:rsid w:val="08501EC5"/>
    <w:rsid w:val="08800120"/>
    <w:rsid w:val="097D287C"/>
    <w:rsid w:val="0B1F2AC8"/>
    <w:rsid w:val="0B8C582F"/>
    <w:rsid w:val="0C0E5948"/>
    <w:rsid w:val="0C8A0A54"/>
    <w:rsid w:val="0CB6639D"/>
    <w:rsid w:val="0E7D3D66"/>
    <w:rsid w:val="0EEF5AD8"/>
    <w:rsid w:val="0F3B3F70"/>
    <w:rsid w:val="0F833DD6"/>
    <w:rsid w:val="10BC2F3A"/>
    <w:rsid w:val="110273F8"/>
    <w:rsid w:val="11496D7D"/>
    <w:rsid w:val="11C13F93"/>
    <w:rsid w:val="12F4458A"/>
    <w:rsid w:val="12F863DD"/>
    <w:rsid w:val="151719B5"/>
    <w:rsid w:val="15651C5F"/>
    <w:rsid w:val="15895FA6"/>
    <w:rsid w:val="160056A5"/>
    <w:rsid w:val="16494B91"/>
    <w:rsid w:val="16510D10"/>
    <w:rsid w:val="16A64A2E"/>
    <w:rsid w:val="16F1313A"/>
    <w:rsid w:val="17131715"/>
    <w:rsid w:val="17550852"/>
    <w:rsid w:val="17765D66"/>
    <w:rsid w:val="182B5517"/>
    <w:rsid w:val="18EA5986"/>
    <w:rsid w:val="193C70D0"/>
    <w:rsid w:val="198943FF"/>
    <w:rsid w:val="1A1D1D8F"/>
    <w:rsid w:val="1A8924E5"/>
    <w:rsid w:val="1A8F6503"/>
    <w:rsid w:val="1B057A04"/>
    <w:rsid w:val="1B9B05E0"/>
    <w:rsid w:val="1C8B11FB"/>
    <w:rsid w:val="1CB54B08"/>
    <w:rsid w:val="1CDA76DC"/>
    <w:rsid w:val="1CDD177D"/>
    <w:rsid w:val="1CEE193C"/>
    <w:rsid w:val="1D1C67F8"/>
    <w:rsid w:val="1D825131"/>
    <w:rsid w:val="1D9B5F66"/>
    <w:rsid w:val="1DE95FEC"/>
    <w:rsid w:val="1E4850E9"/>
    <w:rsid w:val="1E840B55"/>
    <w:rsid w:val="1EC83F9D"/>
    <w:rsid w:val="1F8C56C2"/>
    <w:rsid w:val="1FD104E8"/>
    <w:rsid w:val="200F1960"/>
    <w:rsid w:val="20252D24"/>
    <w:rsid w:val="2064532C"/>
    <w:rsid w:val="21D7470B"/>
    <w:rsid w:val="21E6631D"/>
    <w:rsid w:val="22054E3F"/>
    <w:rsid w:val="23075AC0"/>
    <w:rsid w:val="23132777"/>
    <w:rsid w:val="233021C6"/>
    <w:rsid w:val="23DB1D3D"/>
    <w:rsid w:val="242B0F6C"/>
    <w:rsid w:val="24E45523"/>
    <w:rsid w:val="24EE048E"/>
    <w:rsid w:val="25B17FFD"/>
    <w:rsid w:val="26214BB1"/>
    <w:rsid w:val="26665E79"/>
    <w:rsid w:val="26EC7558"/>
    <w:rsid w:val="29F5114B"/>
    <w:rsid w:val="2A154A40"/>
    <w:rsid w:val="2A213EBA"/>
    <w:rsid w:val="2A914803"/>
    <w:rsid w:val="2B783673"/>
    <w:rsid w:val="2B864B29"/>
    <w:rsid w:val="2BF6177B"/>
    <w:rsid w:val="2C4D00E2"/>
    <w:rsid w:val="2C5C3D67"/>
    <w:rsid w:val="2C7421CE"/>
    <w:rsid w:val="2CD6557D"/>
    <w:rsid w:val="2D162E19"/>
    <w:rsid w:val="2D8514CC"/>
    <w:rsid w:val="2DE00EB9"/>
    <w:rsid w:val="2ED778E4"/>
    <w:rsid w:val="2F2301F5"/>
    <w:rsid w:val="2F325DFE"/>
    <w:rsid w:val="30971F98"/>
    <w:rsid w:val="30F82211"/>
    <w:rsid w:val="310247CE"/>
    <w:rsid w:val="311A2B5B"/>
    <w:rsid w:val="313365E1"/>
    <w:rsid w:val="31B15765"/>
    <w:rsid w:val="326F0D7A"/>
    <w:rsid w:val="32D30B2A"/>
    <w:rsid w:val="338F7597"/>
    <w:rsid w:val="33E24F08"/>
    <w:rsid w:val="34262C6A"/>
    <w:rsid w:val="345A203E"/>
    <w:rsid w:val="34936457"/>
    <w:rsid w:val="34A90E42"/>
    <w:rsid w:val="34C50943"/>
    <w:rsid w:val="34FF5256"/>
    <w:rsid w:val="35051181"/>
    <w:rsid w:val="35B316FF"/>
    <w:rsid w:val="35ED0805"/>
    <w:rsid w:val="36372AAF"/>
    <w:rsid w:val="3639257C"/>
    <w:rsid w:val="36BE23A9"/>
    <w:rsid w:val="36EA5945"/>
    <w:rsid w:val="36EE37DA"/>
    <w:rsid w:val="37EF5493"/>
    <w:rsid w:val="3891121F"/>
    <w:rsid w:val="38A62F01"/>
    <w:rsid w:val="39261482"/>
    <w:rsid w:val="396135B1"/>
    <w:rsid w:val="39F13BF8"/>
    <w:rsid w:val="3A3F31A4"/>
    <w:rsid w:val="3A907F7C"/>
    <w:rsid w:val="3AC24219"/>
    <w:rsid w:val="3B3634BC"/>
    <w:rsid w:val="3B90435E"/>
    <w:rsid w:val="3C100665"/>
    <w:rsid w:val="3C2C1358"/>
    <w:rsid w:val="3DA72BE1"/>
    <w:rsid w:val="3DAB0E5A"/>
    <w:rsid w:val="3E6045DE"/>
    <w:rsid w:val="3E9F0F07"/>
    <w:rsid w:val="401C30E6"/>
    <w:rsid w:val="4042618C"/>
    <w:rsid w:val="407D2141"/>
    <w:rsid w:val="411E117C"/>
    <w:rsid w:val="41D762DE"/>
    <w:rsid w:val="41DB5CF7"/>
    <w:rsid w:val="420268C4"/>
    <w:rsid w:val="42B5145A"/>
    <w:rsid w:val="42ED4EBE"/>
    <w:rsid w:val="42EF68DE"/>
    <w:rsid w:val="43870989"/>
    <w:rsid w:val="438C184A"/>
    <w:rsid w:val="43B253F6"/>
    <w:rsid w:val="43F67985"/>
    <w:rsid w:val="43FF2763"/>
    <w:rsid w:val="44DD5417"/>
    <w:rsid w:val="46CE7164"/>
    <w:rsid w:val="47655CFE"/>
    <w:rsid w:val="47872337"/>
    <w:rsid w:val="48C35861"/>
    <w:rsid w:val="48D47FA5"/>
    <w:rsid w:val="4A112765"/>
    <w:rsid w:val="4A7078BD"/>
    <w:rsid w:val="4B016F40"/>
    <w:rsid w:val="4B184B83"/>
    <w:rsid w:val="4BC14AC0"/>
    <w:rsid w:val="4C931F65"/>
    <w:rsid w:val="4CE957D7"/>
    <w:rsid w:val="4CEB3ED1"/>
    <w:rsid w:val="4D270669"/>
    <w:rsid w:val="4D3A585F"/>
    <w:rsid w:val="4D6A266C"/>
    <w:rsid w:val="4D9B41ED"/>
    <w:rsid w:val="4DEE42C8"/>
    <w:rsid w:val="4E1D13A0"/>
    <w:rsid w:val="4E365A14"/>
    <w:rsid w:val="4F6A1AFB"/>
    <w:rsid w:val="4FF931CF"/>
    <w:rsid w:val="5088644A"/>
    <w:rsid w:val="51EE5757"/>
    <w:rsid w:val="520C4EB4"/>
    <w:rsid w:val="521F7707"/>
    <w:rsid w:val="5223127B"/>
    <w:rsid w:val="52BF6090"/>
    <w:rsid w:val="53273461"/>
    <w:rsid w:val="533A0A59"/>
    <w:rsid w:val="534740B7"/>
    <w:rsid w:val="53800DE5"/>
    <w:rsid w:val="542F3C11"/>
    <w:rsid w:val="54723E89"/>
    <w:rsid w:val="54B461B8"/>
    <w:rsid w:val="55212EFE"/>
    <w:rsid w:val="55480798"/>
    <w:rsid w:val="564A5CE6"/>
    <w:rsid w:val="569064D3"/>
    <w:rsid w:val="569438F2"/>
    <w:rsid w:val="570C47D3"/>
    <w:rsid w:val="57140CFC"/>
    <w:rsid w:val="573A2A50"/>
    <w:rsid w:val="57536FD6"/>
    <w:rsid w:val="57840A5B"/>
    <w:rsid w:val="57B933F7"/>
    <w:rsid w:val="57CB077A"/>
    <w:rsid w:val="596520B4"/>
    <w:rsid w:val="5A175919"/>
    <w:rsid w:val="5A1C0C00"/>
    <w:rsid w:val="5A290208"/>
    <w:rsid w:val="5A4D0B4E"/>
    <w:rsid w:val="5A9B2962"/>
    <w:rsid w:val="5AA86262"/>
    <w:rsid w:val="5BF46E4D"/>
    <w:rsid w:val="5C1C6196"/>
    <w:rsid w:val="5C596A5D"/>
    <w:rsid w:val="5D1D2731"/>
    <w:rsid w:val="5D572978"/>
    <w:rsid w:val="5E524CDB"/>
    <w:rsid w:val="5E9D69DD"/>
    <w:rsid w:val="5F0A3113"/>
    <w:rsid w:val="5F7A3163"/>
    <w:rsid w:val="5F9E3F38"/>
    <w:rsid w:val="601E05E6"/>
    <w:rsid w:val="60AE6BBE"/>
    <w:rsid w:val="60E278EE"/>
    <w:rsid w:val="610E42AE"/>
    <w:rsid w:val="61454F1A"/>
    <w:rsid w:val="619B75D5"/>
    <w:rsid w:val="6268702D"/>
    <w:rsid w:val="6274268E"/>
    <w:rsid w:val="62EA7698"/>
    <w:rsid w:val="65487B34"/>
    <w:rsid w:val="655C3702"/>
    <w:rsid w:val="65CF0A6E"/>
    <w:rsid w:val="66512236"/>
    <w:rsid w:val="67311150"/>
    <w:rsid w:val="676C3E61"/>
    <w:rsid w:val="680E4634"/>
    <w:rsid w:val="69500FB6"/>
    <w:rsid w:val="69E357CA"/>
    <w:rsid w:val="6A815E3C"/>
    <w:rsid w:val="6A960792"/>
    <w:rsid w:val="6AC94ACC"/>
    <w:rsid w:val="6AE27389"/>
    <w:rsid w:val="6B7B466C"/>
    <w:rsid w:val="6BCA4C89"/>
    <w:rsid w:val="6C1D2695"/>
    <w:rsid w:val="6C5340C1"/>
    <w:rsid w:val="6C85574E"/>
    <w:rsid w:val="6D27778D"/>
    <w:rsid w:val="6D5D66EA"/>
    <w:rsid w:val="6D967282"/>
    <w:rsid w:val="6E0A5DB5"/>
    <w:rsid w:val="6E0B4AAB"/>
    <w:rsid w:val="6E8E63AA"/>
    <w:rsid w:val="6F4577A9"/>
    <w:rsid w:val="6F743EC8"/>
    <w:rsid w:val="6FC061D7"/>
    <w:rsid w:val="6FF8264E"/>
    <w:rsid w:val="706C651D"/>
    <w:rsid w:val="708804BF"/>
    <w:rsid w:val="710D19B0"/>
    <w:rsid w:val="7113651D"/>
    <w:rsid w:val="71EF3A4C"/>
    <w:rsid w:val="7219667E"/>
    <w:rsid w:val="72CB2B43"/>
    <w:rsid w:val="7447732F"/>
    <w:rsid w:val="74FE6D01"/>
    <w:rsid w:val="75CC4488"/>
    <w:rsid w:val="75E47238"/>
    <w:rsid w:val="767F7327"/>
    <w:rsid w:val="76CD26D3"/>
    <w:rsid w:val="76F35BE7"/>
    <w:rsid w:val="77CE02EC"/>
    <w:rsid w:val="78E755F2"/>
    <w:rsid w:val="794A3A3B"/>
    <w:rsid w:val="796F4AAA"/>
    <w:rsid w:val="7983745D"/>
    <w:rsid w:val="799A5841"/>
    <w:rsid w:val="79F90A1A"/>
    <w:rsid w:val="7ABF048B"/>
    <w:rsid w:val="7AC260D9"/>
    <w:rsid w:val="7BE856F8"/>
    <w:rsid w:val="7BF03F78"/>
    <w:rsid w:val="7C3F3FD8"/>
    <w:rsid w:val="7CFD6915"/>
    <w:rsid w:val="7D926391"/>
    <w:rsid w:val="7DF44BF4"/>
    <w:rsid w:val="7EBA4D9E"/>
    <w:rsid w:val="7F4D41AD"/>
    <w:rsid w:val="7FEA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paragraph" w:styleId="10">
    <w:name w:val="heading 1"/>
    <w:basedOn w:val="a"/>
    <w:next w:val="a"/>
    <w:link w:val="1Char"/>
    <w:qFormat/>
    <w:pPr>
      <w:keepNext/>
      <w:keepLines/>
      <w:adjustRightInd w:val="0"/>
      <w:spacing w:before="340" w:after="330" w:line="578" w:lineRule="atLeast"/>
      <w:ind w:firstLine="425"/>
      <w:textAlignment w:val="baseline"/>
      <w:outlineLvl w:val="0"/>
    </w:pPr>
    <w:rPr>
      <w:rFonts w:eastAsia="黑体"/>
      <w:b/>
      <w:kern w:val="44"/>
      <w:sz w:val="36"/>
    </w:rPr>
  </w:style>
  <w:style w:type="paragraph" w:styleId="2">
    <w:name w:val="heading 2"/>
    <w:basedOn w:val="a"/>
    <w:next w:val="a"/>
    <w:link w:val="2Char"/>
    <w:qFormat/>
    <w:pPr>
      <w:keepNext/>
      <w:keepLines/>
      <w:adjustRightInd w:val="0"/>
      <w:spacing w:before="260" w:after="260" w:line="416" w:lineRule="atLeast"/>
      <w:ind w:firstLine="425"/>
      <w:textAlignment w:val="baseline"/>
      <w:outlineLvl w:val="1"/>
    </w:pPr>
    <w:rPr>
      <w:rFonts w:ascii="Arial" w:eastAsia="黑体" w:hAnsi="Arial"/>
      <w:b/>
      <w:kern w:val="0"/>
      <w:sz w:val="32"/>
    </w:rPr>
  </w:style>
  <w:style w:type="paragraph" w:styleId="3">
    <w:name w:val="heading 3"/>
    <w:basedOn w:val="a"/>
    <w:next w:val="a0"/>
    <w:qFormat/>
    <w:pPr>
      <w:keepNext/>
      <w:keepLines/>
      <w:spacing w:before="260" w:after="260" w:line="416" w:lineRule="auto"/>
      <w:outlineLvl w:val="2"/>
    </w:pPr>
    <w:rPr>
      <w:b/>
      <w:sz w:val="32"/>
    </w:rPr>
  </w:style>
  <w:style w:type="paragraph" w:styleId="4">
    <w:name w:val="heading 4"/>
    <w:basedOn w:val="a"/>
    <w:next w:val="a0"/>
    <w:qFormat/>
    <w:pPr>
      <w:keepNext/>
      <w:keepLines/>
      <w:adjustRightInd w:val="0"/>
      <w:spacing w:before="280" w:after="290" w:line="376" w:lineRule="atLeast"/>
      <w:ind w:firstLine="425"/>
      <w:textAlignment w:val="baseline"/>
      <w:outlineLvl w:val="3"/>
    </w:pPr>
    <w:rPr>
      <w:rFonts w:ascii="Arial" w:eastAsia="黑体"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djustRightInd w:val="0"/>
      <w:spacing w:before="60" w:after="60" w:line="312" w:lineRule="atLeast"/>
      <w:ind w:firstLine="420"/>
      <w:textAlignment w:val="baseline"/>
    </w:pPr>
    <w:rPr>
      <w:kern w:val="0"/>
    </w:rPr>
  </w:style>
  <w:style w:type="paragraph" w:styleId="7">
    <w:name w:val="toc 7"/>
    <w:basedOn w:val="a"/>
    <w:next w:val="a"/>
    <w:semiHidden/>
    <w:qFormat/>
    <w:pPr>
      <w:ind w:left="1440"/>
      <w:jc w:val="left"/>
    </w:pPr>
    <w:rPr>
      <w:rFonts w:asciiTheme="minorHAnsi" w:hAnsiTheme="minorHAnsi" w:cstheme="minorHAnsi"/>
      <w:sz w:val="18"/>
      <w:szCs w:val="18"/>
    </w:rPr>
  </w:style>
  <w:style w:type="paragraph" w:styleId="a4">
    <w:name w:val="Document Map"/>
    <w:basedOn w:val="a"/>
    <w:semiHidden/>
    <w:qFormat/>
    <w:pPr>
      <w:shd w:val="clear" w:color="auto" w:fill="000080"/>
    </w:pPr>
  </w:style>
  <w:style w:type="paragraph" w:styleId="a5">
    <w:name w:val="annotation text"/>
    <w:basedOn w:val="a"/>
    <w:link w:val="Char0"/>
    <w:qFormat/>
    <w:pPr>
      <w:jc w:val="left"/>
    </w:pPr>
  </w:style>
  <w:style w:type="paragraph" w:styleId="a6">
    <w:name w:val="Body Text"/>
    <w:basedOn w:val="a"/>
    <w:qFormat/>
    <w:pPr>
      <w:spacing w:after="120"/>
    </w:pPr>
  </w:style>
  <w:style w:type="paragraph" w:styleId="a7">
    <w:name w:val="Body Text Indent"/>
    <w:basedOn w:val="a"/>
    <w:qFormat/>
    <w:pPr>
      <w:ind w:firstLine="430"/>
    </w:pPr>
    <w:rPr>
      <w:rFonts w:ascii="黑体" w:eastAsia="黑体"/>
    </w:rPr>
  </w:style>
  <w:style w:type="paragraph" w:styleId="5">
    <w:name w:val="toc 5"/>
    <w:basedOn w:val="a"/>
    <w:next w:val="a"/>
    <w:semiHidden/>
    <w:qFormat/>
    <w:pPr>
      <w:ind w:left="960"/>
      <w:jc w:val="left"/>
    </w:pPr>
    <w:rPr>
      <w:rFonts w:asciiTheme="minorHAnsi" w:hAnsiTheme="minorHAnsi" w:cstheme="minorHAnsi"/>
      <w:sz w:val="18"/>
      <w:szCs w:val="18"/>
    </w:rPr>
  </w:style>
  <w:style w:type="paragraph" w:styleId="30">
    <w:name w:val="toc 3"/>
    <w:basedOn w:val="a"/>
    <w:next w:val="a"/>
    <w:uiPriority w:val="39"/>
    <w:qFormat/>
    <w:pPr>
      <w:spacing w:line="500" w:lineRule="exact"/>
      <w:ind w:leftChars="200" w:left="200"/>
    </w:pPr>
    <w:rPr>
      <w:rFonts w:asciiTheme="minorHAnsi" w:hAnsiTheme="minorHAnsi" w:cstheme="minorHAnsi"/>
      <w:iCs/>
    </w:rPr>
  </w:style>
  <w:style w:type="paragraph" w:styleId="a8">
    <w:name w:val="Plain Text"/>
    <w:basedOn w:val="a"/>
    <w:qFormat/>
    <w:rPr>
      <w:rFonts w:ascii="宋体" w:hAnsi="Courier New"/>
    </w:rPr>
  </w:style>
  <w:style w:type="paragraph" w:styleId="8">
    <w:name w:val="toc 8"/>
    <w:basedOn w:val="a"/>
    <w:next w:val="a"/>
    <w:semiHidden/>
    <w:qFormat/>
    <w:pPr>
      <w:ind w:left="1680"/>
      <w:jc w:val="left"/>
    </w:pPr>
    <w:rPr>
      <w:rFonts w:asciiTheme="minorHAnsi" w:hAnsiTheme="minorHAnsi" w:cstheme="minorHAnsi"/>
      <w:sz w:val="18"/>
      <w:szCs w:val="18"/>
    </w:rPr>
  </w:style>
  <w:style w:type="paragraph" w:styleId="a9">
    <w:name w:val="Date"/>
    <w:basedOn w:val="a"/>
    <w:next w:val="a"/>
    <w:qFormat/>
    <w:pPr>
      <w:adjustRightInd w:val="0"/>
      <w:spacing w:before="60" w:after="60" w:line="312" w:lineRule="atLeast"/>
      <w:ind w:firstLine="425"/>
      <w:textAlignment w:val="baseline"/>
    </w:pPr>
    <w:rPr>
      <w:rFonts w:ascii="Arial Narrow" w:hAnsi="Arial Narrow"/>
      <w:kern w:val="0"/>
    </w:rPr>
  </w:style>
  <w:style w:type="paragraph" w:styleId="20">
    <w:name w:val="Body Text Indent 2"/>
    <w:basedOn w:val="a"/>
    <w:qFormat/>
    <w:pPr>
      <w:spacing w:line="360" w:lineRule="auto"/>
      <w:ind w:firstLine="480"/>
    </w:pPr>
    <w:rPr>
      <w:rFonts w:ascii="宋体"/>
    </w:rPr>
  </w:style>
  <w:style w:type="paragraph" w:styleId="aa">
    <w:name w:val="Balloon Text"/>
    <w:basedOn w:val="a"/>
    <w:semiHidden/>
    <w:qFormat/>
    <w:rPr>
      <w:sz w:val="18"/>
      <w:szCs w:val="18"/>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spacing w:before="120" w:after="120" w:line="360" w:lineRule="auto"/>
    </w:pPr>
    <w:rPr>
      <w:rFonts w:ascii="宋体" w:hAnsi="宋体" w:cstheme="minorHAnsi"/>
      <w:bCs/>
      <w:caps/>
    </w:rPr>
  </w:style>
  <w:style w:type="paragraph" w:styleId="40">
    <w:name w:val="toc 4"/>
    <w:basedOn w:val="a"/>
    <w:next w:val="a"/>
    <w:semiHidden/>
    <w:qFormat/>
    <w:pPr>
      <w:ind w:left="720"/>
      <w:jc w:val="left"/>
    </w:pPr>
    <w:rPr>
      <w:rFonts w:asciiTheme="minorHAnsi" w:hAnsiTheme="minorHAnsi" w:cstheme="minorHAnsi"/>
      <w:sz w:val="18"/>
      <w:szCs w:val="18"/>
    </w:rPr>
  </w:style>
  <w:style w:type="paragraph" w:styleId="6">
    <w:name w:val="toc 6"/>
    <w:basedOn w:val="a"/>
    <w:next w:val="a"/>
    <w:semiHidden/>
    <w:qFormat/>
    <w:pPr>
      <w:ind w:left="1200"/>
      <w:jc w:val="left"/>
    </w:pPr>
    <w:rPr>
      <w:rFonts w:asciiTheme="minorHAnsi" w:hAnsiTheme="minorHAnsi" w:cstheme="minorHAnsi"/>
      <w:sz w:val="18"/>
      <w:szCs w:val="18"/>
    </w:rPr>
  </w:style>
  <w:style w:type="paragraph" w:styleId="31">
    <w:name w:val="Body Text Indent 3"/>
    <w:basedOn w:val="a"/>
    <w:qFormat/>
    <w:pPr>
      <w:ind w:firstLine="645"/>
    </w:pPr>
    <w:rPr>
      <w:rFonts w:ascii="宋体"/>
    </w:rPr>
  </w:style>
  <w:style w:type="paragraph" w:styleId="ad">
    <w:name w:val="table of figures"/>
    <w:basedOn w:val="a"/>
    <w:next w:val="a"/>
    <w:semiHidden/>
    <w:qFormat/>
    <w:pPr>
      <w:ind w:leftChars="200" w:left="200" w:hangingChars="200" w:hanging="200"/>
    </w:pPr>
  </w:style>
  <w:style w:type="paragraph" w:styleId="21">
    <w:name w:val="toc 2"/>
    <w:basedOn w:val="a"/>
    <w:next w:val="a"/>
    <w:uiPriority w:val="39"/>
    <w:qFormat/>
    <w:pPr>
      <w:ind w:left="238"/>
    </w:pPr>
    <w:rPr>
      <w:rFonts w:asciiTheme="minorHAnsi" w:hAnsiTheme="minorHAnsi" w:cstheme="minorHAnsi"/>
      <w:smallCaps/>
    </w:rPr>
  </w:style>
  <w:style w:type="paragraph" w:styleId="9">
    <w:name w:val="toc 9"/>
    <w:basedOn w:val="a"/>
    <w:next w:val="a"/>
    <w:semiHidden/>
    <w:qFormat/>
    <w:pPr>
      <w:ind w:left="1920"/>
      <w:jc w:val="left"/>
    </w:pPr>
    <w:rPr>
      <w:rFonts w:asciiTheme="minorHAnsi" w:hAnsiTheme="minorHAnsi" w:cstheme="minorHAnsi"/>
      <w:sz w:val="18"/>
      <w:szCs w:val="18"/>
    </w:rPr>
  </w:style>
  <w:style w:type="paragraph" w:styleId="ae">
    <w:name w:val="Normal (Web)"/>
    <w:basedOn w:val="a"/>
    <w:uiPriority w:val="99"/>
    <w:qFormat/>
    <w:pPr>
      <w:widowControl/>
      <w:spacing w:before="100" w:beforeAutospacing="1" w:after="100" w:afterAutospacing="1"/>
      <w:jc w:val="left"/>
    </w:pPr>
    <w:rPr>
      <w:rFonts w:ascii="宋体" w:hAnsi="宋体" w:cs="Arial Unicode MS" w:hint="eastAsia"/>
      <w:kern w:val="0"/>
      <w:szCs w:val="24"/>
    </w:rPr>
  </w:style>
  <w:style w:type="paragraph" w:styleId="af">
    <w:name w:val="annotation subject"/>
    <w:basedOn w:val="a5"/>
    <w:next w:val="a5"/>
    <w:link w:val="Char2"/>
    <w:qFormat/>
    <w:rPr>
      <w:b/>
      <w:bCs/>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semiHidden/>
    <w:qFormat/>
    <w:rPr>
      <w:sz w:val="21"/>
    </w:rPr>
  </w:style>
  <w:style w:type="paragraph" w:customStyle="1" w:styleId="1">
    <w:name w:val="说明1"/>
    <w:basedOn w:val="a"/>
    <w:qFormat/>
    <w:pPr>
      <w:numPr>
        <w:numId w:val="1"/>
      </w:numPr>
      <w:suppressLineNumbers/>
      <w:spacing w:line="440" w:lineRule="exact"/>
      <w:ind w:left="851" w:hanging="284"/>
    </w:pPr>
    <w:rPr>
      <w:kern w:val="21"/>
      <w:sz w:val="28"/>
    </w:rPr>
  </w:style>
  <w:style w:type="paragraph" w:customStyle="1" w:styleId="210">
    <w:name w:val="正文文本缩进 21"/>
    <w:basedOn w:val="a"/>
    <w:qFormat/>
    <w:pPr>
      <w:adjustRightInd w:val="0"/>
      <w:jc w:val="left"/>
      <w:textAlignment w:val="baseline"/>
    </w:pPr>
    <w:rPr>
      <w:rFonts w:eastAsia="楷体_GB2312"/>
      <w:sz w:val="30"/>
    </w:rPr>
  </w:style>
  <w:style w:type="paragraph" w:customStyle="1" w:styleId="zw">
    <w:name w:val="zw"/>
    <w:basedOn w:val="a"/>
    <w:qFormat/>
    <w:pPr>
      <w:autoSpaceDE w:val="0"/>
      <w:autoSpaceDN w:val="0"/>
      <w:adjustRightInd w:val="0"/>
      <w:spacing w:before="60" w:after="60" w:line="440" w:lineRule="atLeast"/>
      <w:ind w:firstLine="601"/>
      <w:textAlignment w:val="bottom"/>
    </w:pPr>
    <w:rPr>
      <w:rFonts w:ascii="Arial Narrow" w:eastAsia="昆仑楷体" w:hAnsi="Arial"/>
      <w:kern w:val="0"/>
      <w:sz w:val="28"/>
    </w:rPr>
  </w:style>
  <w:style w:type="paragraph" w:customStyle="1" w:styleId="ZW1">
    <w:name w:val="ZW1"/>
    <w:basedOn w:val="a"/>
    <w:qFormat/>
    <w:pPr>
      <w:spacing w:before="120" w:line="360" w:lineRule="auto"/>
      <w:ind w:firstLine="567"/>
    </w:pPr>
    <w:rPr>
      <w:rFonts w:ascii="Arial Narrow" w:hAnsi="Arial Narrow"/>
    </w:rPr>
  </w:style>
  <w:style w:type="paragraph" w:customStyle="1" w:styleId="yl">
    <w:name w:val="yl"/>
    <w:basedOn w:val="a"/>
    <w:qFormat/>
    <w:pPr>
      <w:spacing w:line="360" w:lineRule="auto"/>
      <w:ind w:firstLineChars="225" w:firstLine="540"/>
    </w:pPr>
    <w:rPr>
      <w:rFonts w:ascii="宋体" w:hAnsi="宋体"/>
    </w:rPr>
  </w:style>
  <w:style w:type="paragraph" w:customStyle="1" w:styleId="mfont">
    <w:name w:val="mfont"/>
    <w:basedOn w:val="a"/>
    <w:qFormat/>
    <w:pPr>
      <w:widowControl/>
      <w:spacing w:before="100" w:beforeAutospacing="1" w:after="100" w:afterAutospacing="1" w:line="320" w:lineRule="atLeast"/>
      <w:jc w:val="left"/>
    </w:pPr>
    <w:rPr>
      <w:rFonts w:ascii="Arial Unicode MS" w:eastAsia="Arial Unicode MS" w:hAnsi="Arial Unicode MS" w:cs="Arial Unicode MS"/>
      <w:spacing w:val="20"/>
      <w:kern w:val="0"/>
      <w:sz w:val="21"/>
      <w:szCs w:val="21"/>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paragraph" w:customStyle="1" w:styleId="H2">
    <w:name w:val="H2"/>
    <w:basedOn w:val="a"/>
    <w:qFormat/>
    <w:pPr>
      <w:widowControl/>
      <w:adjustRightInd w:val="0"/>
      <w:spacing w:before="240" w:after="240" w:line="360" w:lineRule="atLeast"/>
      <w:ind w:right="28"/>
      <w:textAlignment w:val="baseline"/>
    </w:pPr>
    <w:rPr>
      <w:rFonts w:ascii="黑体" w:eastAsia="黑体"/>
      <w:b/>
      <w:kern w:val="0"/>
      <w:sz w:val="28"/>
    </w:rPr>
  </w:style>
  <w:style w:type="paragraph" w:customStyle="1" w:styleId="Style39">
    <w:name w:val="_Style 39"/>
    <w:basedOn w:val="a"/>
    <w:qFormat/>
    <w:rPr>
      <w:rFonts w:ascii="Tahoma" w:hAnsi="Tahoma"/>
    </w:rPr>
  </w:style>
  <w:style w:type="paragraph" w:customStyle="1" w:styleId="12">
    <w:name w:val="样式1"/>
    <w:basedOn w:val="ad"/>
    <w:qFormat/>
    <w:pPr>
      <w:adjustRightInd w:val="0"/>
      <w:ind w:leftChars="0" w:left="0" w:firstLineChars="0" w:firstLine="0"/>
      <w:jc w:val="left"/>
      <w:textAlignment w:val="baseline"/>
    </w:pPr>
    <w:rPr>
      <w:rFonts w:ascii="宋体"/>
      <w:kern w:val="0"/>
      <w:sz w:val="18"/>
      <w:szCs w:val="24"/>
    </w:rPr>
  </w:style>
  <w:style w:type="paragraph" w:customStyle="1" w:styleId="Char2CharCharCharCharCharChar">
    <w:name w:val="Char2 Char Char Char Char Char Char"/>
    <w:basedOn w:val="a"/>
    <w:qFormat/>
    <w:rPr>
      <w:rFonts w:ascii="Tahoma" w:hAnsi="Tahoma"/>
    </w:rPr>
  </w:style>
  <w:style w:type="paragraph" w:customStyle="1" w:styleId="CharCharCharChar">
    <w:name w:val="Char Char Char Char"/>
    <w:basedOn w:val="a"/>
    <w:qFormat/>
    <w:rPr>
      <w:rFonts w:ascii="Tahoma" w:hAnsi="Tahoma"/>
    </w:rPr>
  </w:style>
  <w:style w:type="paragraph" w:customStyle="1" w:styleId="fig">
    <w:name w:val="fig"/>
    <w:basedOn w:val="a"/>
    <w:qFormat/>
    <w:pPr>
      <w:adjustRightInd w:val="0"/>
      <w:spacing w:before="120" w:after="240" w:line="360" w:lineRule="atLeast"/>
      <w:jc w:val="center"/>
      <w:textAlignment w:val="baseline"/>
    </w:pPr>
    <w:rPr>
      <w:rFonts w:ascii="黑体" w:eastAsia="黑体"/>
      <w:kern w:val="0"/>
    </w:rPr>
  </w:style>
  <w:style w:type="paragraph" w:customStyle="1" w:styleId="Char3">
    <w:name w:val="Char"/>
    <w:basedOn w:val="a"/>
    <w:qFormat/>
    <w:pPr>
      <w:widowControl/>
      <w:spacing w:after="160" w:line="240" w:lineRule="exact"/>
      <w:jc w:val="left"/>
    </w:pPr>
    <w:rPr>
      <w:rFonts w:ascii="Verdana" w:hAnsi="Verdana"/>
      <w:kern w:val="0"/>
      <w:sz w:val="20"/>
      <w:lang w:eastAsia="en-US"/>
    </w:rPr>
  </w:style>
  <w:style w:type="character" w:customStyle="1" w:styleId="1Char">
    <w:name w:val="标题 1 Char"/>
    <w:link w:val="10"/>
    <w:qFormat/>
    <w:rPr>
      <w:rFonts w:eastAsia="黑体"/>
      <w:b/>
      <w:kern w:val="44"/>
      <w:sz w:val="36"/>
      <w:lang w:val="en-US" w:eastAsia="zh-CN" w:bidi="ar-SA"/>
    </w:rPr>
  </w:style>
  <w:style w:type="paragraph" w:customStyle="1" w:styleId="CharCharCharCharCharCharCharCharCharCharCharCharChar">
    <w:name w:val="Char Char Char Char Char Char Char Char Char Char Char Char Char"/>
    <w:basedOn w:val="a"/>
    <w:qFormat/>
    <w:rPr>
      <w:rFonts w:ascii="Tahoma" w:hAnsi="Tahoma"/>
    </w:rPr>
  </w:style>
  <w:style w:type="character" w:customStyle="1" w:styleId="Char0">
    <w:name w:val="批注文字 Char"/>
    <w:link w:val="a5"/>
    <w:qFormat/>
    <w:rPr>
      <w:kern w:val="2"/>
      <w:sz w:val="24"/>
    </w:rPr>
  </w:style>
  <w:style w:type="character" w:customStyle="1" w:styleId="Char2">
    <w:name w:val="批注主题 Char"/>
    <w:link w:val="af"/>
    <w:qFormat/>
    <w:rPr>
      <w:b/>
      <w:bCs/>
      <w:kern w:val="2"/>
      <w:sz w:val="24"/>
    </w:rPr>
  </w:style>
  <w:style w:type="paragraph" w:customStyle="1" w:styleId="13">
    <w:name w:val="修订1"/>
    <w:hidden/>
    <w:uiPriority w:val="99"/>
    <w:semiHidden/>
    <w:qFormat/>
    <w:rPr>
      <w:kern w:val="2"/>
      <w:sz w:val="24"/>
    </w:rPr>
  </w:style>
  <w:style w:type="character" w:customStyle="1" w:styleId="Char">
    <w:name w:val="正文缩进 Char"/>
    <w:link w:val="a0"/>
    <w:qFormat/>
    <w:rPr>
      <w:sz w:val="24"/>
    </w:rPr>
  </w:style>
  <w:style w:type="paragraph" w:customStyle="1" w:styleId="ParaCharCharCharCharCharCharChar">
    <w:name w:val="默认段落字体 Para Char Char Char Char Char Char Char"/>
    <w:basedOn w:val="a"/>
    <w:qFormat/>
    <w:rPr>
      <w:rFonts w:ascii="Tahoma" w:hAnsi="Tahoma"/>
    </w:rPr>
  </w:style>
  <w:style w:type="character" w:customStyle="1" w:styleId="2Char">
    <w:name w:val="标题 2 Char"/>
    <w:link w:val="2"/>
    <w:qFormat/>
    <w:rPr>
      <w:rFonts w:ascii="Arial" w:eastAsia="黑体" w:hAnsi="Arial"/>
      <w:b/>
      <w:sz w:val="32"/>
    </w:rPr>
  </w:style>
  <w:style w:type="paragraph" w:customStyle="1" w:styleId="CharChar1CharCharCharChar">
    <w:name w:val="Char Char1 Char Char Char Char"/>
    <w:basedOn w:val="a"/>
    <w:qFormat/>
    <w:rPr>
      <w:sz w:val="21"/>
      <w:szCs w:val="21"/>
    </w:rPr>
  </w:style>
  <w:style w:type="paragraph" w:styleId="af4">
    <w:name w:val="List Paragraph"/>
    <w:basedOn w:val="a"/>
    <w:uiPriority w:val="34"/>
    <w:qFormat/>
    <w:pPr>
      <w:ind w:firstLineChars="200" w:firstLine="420"/>
    </w:pPr>
  </w:style>
  <w:style w:type="character" w:customStyle="1" w:styleId="Char1">
    <w:name w:val="页脚 Char"/>
    <w:basedOn w:val="a1"/>
    <w:link w:val="ab"/>
    <w:uiPriority w:val="99"/>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so.com/doc/5401149-56387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FF94A-3E10-402E-8DCA-6A30CFD6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6868</Words>
  <Characters>1298</Characters>
  <Application>Microsoft Office Word</Application>
  <DocSecurity>0</DocSecurity>
  <Lines>10</Lines>
  <Paragraphs>16</Paragraphs>
  <ScaleCrop>false</ScaleCrop>
  <Company>xycpa.china</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报告格式</dc:title>
  <dc:creator>xz</dc:creator>
  <cp:lastModifiedBy>桑三博客</cp:lastModifiedBy>
  <cp:revision>208</cp:revision>
  <cp:lastPrinted>2020-04-13T07:47:00Z</cp:lastPrinted>
  <dcterms:created xsi:type="dcterms:W3CDTF">2019-12-11T09:27:00Z</dcterms:created>
  <dcterms:modified xsi:type="dcterms:W3CDTF">2020-05-13T10:25:00Z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