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00"/>
        </w:tabs>
        <w:adjustRightInd w:val="0"/>
        <w:snapToGrid w:val="0"/>
        <w:spacing w:line="500" w:lineRule="exact"/>
        <w:jc w:val="center"/>
        <w:rPr>
          <w:rFonts w:ascii="宋体"/>
          <w:b/>
          <w:bCs/>
          <w:color w:val="000000" w:themeColor="text1"/>
          <w:sz w:val="44"/>
          <w14:textFill>
            <w14:solidFill>
              <w14:schemeClr w14:val="tx1"/>
            </w14:solidFill>
          </w14:textFill>
        </w:rPr>
      </w:pPr>
      <w:bookmarkStart w:id="0" w:name="_Toc449005813"/>
      <w:bookmarkStart w:id="1" w:name="_Toc415528523"/>
      <w:bookmarkStart w:id="2" w:name="_Toc437248126"/>
      <w:bookmarkStart w:id="3" w:name="_Toc420665334"/>
    </w:p>
    <w:p>
      <w:pPr>
        <w:tabs>
          <w:tab w:val="left" w:pos="5400"/>
        </w:tabs>
        <w:adjustRightInd w:val="0"/>
        <w:snapToGrid w:val="0"/>
        <w:spacing w:line="500" w:lineRule="exact"/>
        <w:jc w:val="center"/>
        <w:rPr>
          <w:rFonts w:ascii="宋体"/>
          <w:b/>
          <w:bCs/>
          <w:color w:val="000000" w:themeColor="text1"/>
          <w:sz w:val="44"/>
          <w14:textFill>
            <w14:solidFill>
              <w14:schemeClr w14:val="tx1"/>
            </w14:solidFill>
          </w14:textFill>
        </w:rPr>
      </w:pPr>
    </w:p>
    <w:p>
      <w:pPr>
        <w:tabs>
          <w:tab w:val="left" w:pos="5400"/>
        </w:tabs>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r>
        <w:rPr>
          <w:rFonts w:hint="eastAsia" w:ascii="宋体" w:hAnsi="宋体"/>
          <w:b/>
          <w:bCs/>
          <w:color w:val="000000" w:themeColor="text1"/>
          <w:sz w:val="44"/>
          <w14:textFill>
            <w14:solidFill>
              <w14:schemeClr w14:val="tx1"/>
            </w14:solidFill>
          </w14:textFill>
        </w:rPr>
        <w:t>房地产估价报告</w:t>
      </w: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jc w:val="center"/>
        <w:rPr>
          <w:rFonts w:ascii="宋体"/>
          <w:b/>
          <w:bCs/>
          <w:color w:val="000000" w:themeColor="text1"/>
          <w:sz w:val="44"/>
          <w14:textFill>
            <w14:solidFill>
              <w14:schemeClr w14:val="tx1"/>
            </w14:solidFill>
          </w14:textFill>
        </w:rPr>
      </w:pPr>
      <w:r>
        <w:rPr>
          <w:rFonts w:hAnsi="宋体"/>
          <w:b/>
          <w:color w:val="000000" w:themeColor="text1"/>
          <w:sz w:val="36"/>
          <w:szCs w:val="36"/>
          <w14:textFill>
            <w14:solidFill>
              <w14:schemeClr w14:val="tx1"/>
            </w14:solidFill>
          </w14:textFill>
        </w:rPr>
        <w:drawing>
          <wp:inline distT="0" distB="0" distL="0" distR="0">
            <wp:extent cx="1174750" cy="1562100"/>
            <wp:effectExtent l="0" t="0" r="6350" b="0"/>
            <wp:docPr id="2" name="图片 2" descr="说明: {_SOKY9_$98$59VH3PX7]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_SOKY9_$98$59VH3PX7]S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74750" cy="1562100"/>
                    </a:xfrm>
                    <a:prstGeom prst="rect">
                      <a:avLst/>
                    </a:prstGeom>
                    <a:noFill/>
                    <a:ln>
                      <a:noFill/>
                    </a:ln>
                  </pic:spPr>
                </pic:pic>
              </a:graphicData>
            </a:graphic>
          </wp:inline>
        </w:drawing>
      </w: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p>
    <w:p>
      <w:pPr>
        <w:adjustRightInd w:val="0"/>
        <w:snapToGrid w:val="0"/>
        <w:spacing w:line="500" w:lineRule="exact"/>
        <w:jc w:val="center"/>
        <w:rPr>
          <w:rFonts w:ascii="宋体"/>
          <w:b/>
          <w:bCs/>
          <w:color w:val="000000" w:themeColor="text1"/>
          <w:sz w:val="44"/>
          <w14:textFill>
            <w14:solidFill>
              <w14:schemeClr w14:val="tx1"/>
            </w14:solidFill>
          </w14:textFill>
        </w:rPr>
      </w:pPr>
    </w:p>
    <w:p>
      <w:pPr>
        <w:keepNext w:val="0"/>
        <w:keepLines w:val="0"/>
        <w:pageBreakBefore w:val="0"/>
        <w:widowControl w:val="0"/>
        <w:kinsoku/>
        <w:wordWrap/>
        <w:overflowPunct/>
        <w:topLinePunct w:val="0"/>
        <w:autoSpaceDE/>
        <w:autoSpaceDN/>
        <w:bidi w:val="0"/>
        <w:spacing w:line="660" w:lineRule="exact"/>
        <w:jc w:val="left"/>
        <w:textAlignment w:val="auto"/>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估价报告编号：</w:t>
      </w:r>
      <w:r>
        <w:rPr>
          <w:rFonts w:hint="eastAsia" w:ascii="宋体" w:hAnsi="宋体"/>
          <w:color w:val="000000" w:themeColor="text1"/>
          <w:sz w:val="28"/>
          <w:szCs w:val="28"/>
          <w14:textFill>
            <w14:solidFill>
              <w14:schemeClr w14:val="tx1"/>
            </w14:solidFill>
          </w14:textFill>
        </w:rPr>
        <w:t>新驰天中乌苏房估字（20</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）F第0</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val="0"/>
        <w:snapToGrid w:val="0"/>
        <w:spacing w:line="660" w:lineRule="exact"/>
        <w:ind w:left="1968" w:hanging="1968" w:hangingChars="700"/>
        <w:textAlignment w:val="auto"/>
        <w:rPr>
          <w:rFonts w:asci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估价项目名称：</w:t>
      </w:r>
      <w:bookmarkStart w:id="4" w:name="OLE_LINK1"/>
      <w:r>
        <w:rPr>
          <w:rFonts w:hint="eastAsia" w:ascii="宋体" w:hAnsi="宋体"/>
          <w:color w:val="000000" w:themeColor="text1"/>
          <w:sz w:val="28"/>
          <w:szCs w:val="28"/>
          <w:lang w:eastAsia="zh-CN"/>
          <w14:textFill>
            <w14:solidFill>
              <w14:schemeClr w14:val="tx1"/>
            </w14:solidFill>
          </w14:textFill>
        </w:rPr>
        <w:t>张佩凤</w:t>
      </w:r>
      <w:r>
        <w:rPr>
          <w:rFonts w:hint="eastAsia" w:ascii="宋体" w:hAnsi="宋体"/>
          <w:color w:val="000000" w:themeColor="text1"/>
          <w:sz w:val="28"/>
          <w:szCs w:val="28"/>
          <w14:textFill>
            <w14:solidFill>
              <w14:schemeClr w14:val="tx1"/>
            </w14:solidFill>
          </w14:textFill>
        </w:rPr>
        <w:t>所有位于</w:t>
      </w:r>
      <w:r>
        <w:rPr>
          <w:rFonts w:hint="eastAsia" w:ascii="宋体" w:hAnsi="宋体"/>
          <w:color w:val="000000" w:themeColor="text1"/>
          <w:sz w:val="28"/>
          <w:szCs w:val="28"/>
          <w:lang w:eastAsia="zh-CN"/>
          <w14:textFill>
            <w14:solidFill>
              <w14:schemeClr w14:val="tx1"/>
            </w14:solidFill>
          </w14:textFill>
        </w:rPr>
        <w:t>乌苏市塔城路001号院1幢1-102室住宅</w:t>
      </w:r>
      <w:r>
        <w:rPr>
          <w:rFonts w:hint="eastAsia" w:ascii="宋体" w:hAnsi="宋体"/>
          <w:color w:val="000000" w:themeColor="text1"/>
          <w:sz w:val="28"/>
          <w:szCs w:val="28"/>
          <w14:textFill>
            <w14:solidFill>
              <w14:schemeClr w14:val="tx1"/>
            </w14:solidFill>
          </w14:textFill>
        </w:rPr>
        <w:t>房地产市场价值评估报告</w:t>
      </w:r>
      <w:bookmarkEnd w:id="4"/>
    </w:p>
    <w:p>
      <w:pPr>
        <w:keepNext w:val="0"/>
        <w:keepLines w:val="0"/>
        <w:pageBreakBefore w:val="0"/>
        <w:widowControl w:val="0"/>
        <w:kinsoku/>
        <w:wordWrap/>
        <w:overflowPunct/>
        <w:topLinePunct w:val="0"/>
        <w:autoSpaceDE/>
        <w:autoSpaceDN/>
        <w:bidi w:val="0"/>
        <w:adjustRightInd w:val="0"/>
        <w:snapToGrid w:val="0"/>
        <w:spacing w:line="660" w:lineRule="exact"/>
        <w:ind w:right="25" w:rightChars="12"/>
        <w:textAlignment w:val="auto"/>
        <w:rPr>
          <w:rFonts w:hint="eastAsia" w:ascii="宋体" w:eastAsia="宋体"/>
          <w:color w:val="000000" w:themeColor="text1"/>
          <w:sz w:val="28"/>
          <w:szCs w:val="28"/>
          <w:lang w:eastAsia="zh-CN"/>
          <w14:textFill>
            <w14:solidFill>
              <w14:schemeClr w14:val="tx1"/>
            </w14:solidFill>
          </w14:textFill>
        </w:rPr>
      </w:pPr>
      <w:r>
        <w:rPr>
          <w:rFonts w:hint="eastAsia" w:ascii="宋体" w:hAnsi="宋体"/>
          <w:b/>
          <w:bCs/>
          <w:color w:val="000000" w:themeColor="text1"/>
          <w:spacing w:val="29"/>
          <w:sz w:val="28"/>
          <w:szCs w:val="28"/>
          <w14:textFill>
            <w14:solidFill>
              <w14:schemeClr w14:val="tx1"/>
            </w14:solidFill>
          </w14:textFill>
        </w:rPr>
        <w:t>估价委托人</w:t>
      </w:r>
      <w:r>
        <w:rPr>
          <w:rFonts w:hint="eastAsia" w:ascii="宋体" w:hAnsi="宋体"/>
          <w:b/>
          <w:bCs/>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乌苏市人民法院</w:t>
      </w:r>
    </w:p>
    <w:p>
      <w:pPr>
        <w:keepNext w:val="0"/>
        <w:keepLines w:val="0"/>
        <w:pageBreakBefore w:val="0"/>
        <w:widowControl w:val="0"/>
        <w:kinsoku/>
        <w:wordWrap/>
        <w:overflowPunct/>
        <w:topLinePunct w:val="0"/>
        <w:autoSpaceDE/>
        <w:autoSpaceDN/>
        <w:bidi w:val="0"/>
        <w:adjustRightInd w:val="0"/>
        <w:snapToGrid w:val="0"/>
        <w:spacing w:line="660" w:lineRule="exact"/>
        <w:textAlignment w:val="auto"/>
        <w:rPr>
          <w:rFonts w:asci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房地产估价机构：</w:t>
      </w:r>
      <w:r>
        <w:rPr>
          <w:rFonts w:hint="eastAsia" w:ascii="宋体" w:hAnsi="宋体"/>
          <w:color w:val="000000" w:themeColor="text1"/>
          <w:sz w:val="28"/>
          <w:szCs w:val="28"/>
          <w14:textFill>
            <w14:solidFill>
              <w14:schemeClr w14:val="tx1"/>
            </w14:solidFill>
          </w14:textFill>
        </w:rPr>
        <w:t>新疆驰远天合中辰房地产土地评估有限责任公司</w:t>
      </w:r>
    </w:p>
    <w:p>
      <w:pPr>
        <w:keepNext w:val="0"/>
        <w:keepLines w:val="0"/>
        <w:pageBreakBefore w:val="0"/>
        <w:widowControl w:val="0"/>
        <w:kinsoku/>
        <w:wordWrap/>
        <w:overflowPunct/>
        <w:topLinePunct w:val="0"/>
        <w:autoSpaceDE/>
        <w:autoSpaceDN/>
        <w:bidi w:val="0"/>
        <w:adjustRightInd w:val="0"/>
        <w:snapToGrid w:val="0"/>
        <w:spacing w:line="660" w:lineRule="exact"/>
        <w:textAlignment w:val="auto"/>
        <w:rPr>
          <w:rFonts w:asci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注册房地产估价师： </w:t>
      </w:r>
      <w:r>
        <w:rPr>
          <w:rFonts w:hint="eastAsia" w:ascii="宋体" w:hAnsi="宋体"/>
          <w:color w:val="000000" w:themeColor="text1"/>
          <w:sz w:val="28"/>
          <w:szCs w:val="28"/>
          <w:lang w:eastAsia="zh-CN"/>
          <w14:textFill>
            <w14:solidFill>
              <w14:schemeClr w14:val="tx1"/>
            </w14:solidFill>
          </w14:textFill>
        </w:rPr>
        <w:t>杨小军</w:t>
      </w:r>
      <w:r>
        <w:rPr>
          <w:rFonts w:hint="eastAsia" w:ascii="宋体" w:hAnsi="宋体"/>
          <w:color w:val="000000" w:themeColor="text1"/>
          <w:sz w:val="28"/>
          <w:szCs w:val="28"/>
          <w14:textFill>
            <w14:solidFill>
              <w14:schemeClr w14:val="tx1"/>
            </w14:solidFill>
          </w14:textFill>
        </w:rPr>
        <w:t>（注册号：</w:t>
      </w:r>
      <w:r>
        <w:rPr>
          <w:rFonts w:hint="eastAsia" w:ascii="宋体" w:hAnsi="宋体"/>
          <w:color w:val="000000" w:themeColor="text1"/>
          <w:sz w:val="28"/>
          <w:szCs w:val="28"/>
          <w:lang w:eastAsia="zh-CN"/>
          <w14:textFill>
            <w14:solidFill>
              <w14:schemeClr w14:val="tx1"/>
            </w14:solidFill>
          </w14:textFill>
        </w:rPr>
        <w:t>6519970004</w:t>
      </w:r>
      <w:r>
        <w:rPr>
          <w:rFonts w:hint="eastAsia" w:ascii="宋体" w:hAnsi="宋体"/>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660" w:lineRule="exact"/>
        <w:ind w:firstLine="2660" w:firstLineChars="950"/>
        <w:textAlignment w:val="auto"/>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李晓俊</w:t>
      </w:r>
      <w:r>
        <w:rPr>
          <w:rFonts w:hint="eastAsia" w:ascii="宋体" w:hAnsi="宋体"/>
          <w:color w:val="000000" w:themeColor="text1"/>
          <w:sz w:val="28"/>
          <w:szCs w:val="28"/>
          <w14:textFill>
            <w14:solidFill>
              <w14:schemeClr w14:val="tx1"/>
            </w14:solidFill>
          </w14:textFill>
        </w:rPr>
        <w:t>（注册号：</w:t>
      </w:r>
      <w:r>
        <w:rPr>
          <w:rFonts w:hint="eastAsia" w:ascii="宋体" w:hAnsi="宋体"/>
          <w:color w:val="000000" w:themeColor="text1"/>
          <w:sz w:val="28"/>
          <w:szCs w:val="28"/>
          <w:lang w:eastAsia="zh-CN"/>
          <w14:textFill>
            <w14:solidFill>
              <w14:schemeClr w14:val="tx1"/>
            </w14:solidFill>
          </w14:textFill>
        </w:rPr>
        <w:t>6520020031</w:t>
      </w:r>
      <w:r>
        <w:rPr>
          <w:rFonts w:hint="eastAsia" w:ascii="宋体" w:hAnsi="宋体"/>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660" w:lineRule="exact"/>
        <w:textAlignment w:val="auto"/>
        <w:rPr>
          <w:rFonts w:hint="eastAsia" w:ascii="宋体" w:eastAsia="宋体"/>
          <w:color w:val="000000" w:themeColor="text1"/>
          <w:sz w:val="28"/>
          <w:szCs w:val="28"/>
          <w:lang w:eastAsia="zh-CN"/>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估价报告出具日期：</w:t>
      </w:r>
      <w:r>
        <w:rPr>
          <w:rFonts w:hint="eastAsia" w:ascii="宋体" w:hAnsi="宋体"/>
          <w:color w:val="000000" w:themeColor="text1"/>
          <w:sz w:val="28"/>
          <w:szCs w:val="28"/>
          <w:lang w:eastAsia="zh-CN"/>
          <w14:textFill>
            <w14:solidFill>
              <w14:schemeClr w14:val="tx1"/>
            </w14:solidFill>
          </w14:textFill>
        </w:rPr>
        <w:t>2020年6月5日</w:t>
      </w:r>
    </w:p>
    <w:p>
      <w:pPr>
        <w:jc w:val="center"/>
        <w:rPr>
          <w:rFonts w:ascii="宋体"/>
          <w:b/>
          <w:bCs/>
          <w:color w:val="000000" w:themeColor="text1"/>
          <w:sz w:val="32"/>
          <w:szCs w:val="32"/>
          <w14:textFill>
            <w14:solidFill>
              <w14:schemeClr w14:val="tx1"/>
            </w14:solidFill>
          </w14:textFill>
        </w:rPr>
      </w:pPr>
      <w:bookmarkStart w:id="5" w:name="_Toc426018799"/>
      <w:bookmarkStart w:id="6" w:name="_Toc420665315"/>
      <w:r>
        <w:rPr>
          <w:rFonts w:ascii="宋体"/>
          <w:b/>
          <w:bCs/>
          <w:color w:val="000000" w:themeColor="text1"/>
          <w:sz w:val="32"/>
          <w:szCs w:val="32"/>
          <w14:textFill>
            <w14:solidFill>
              <w14:schemeClr w14:val="tx1"/>
            </w14:solidFill>
          </w14:textFill>
        </w:rPr>
        <w:br w:type="page"/>
      </w:r>
      <w:r>
        <w:rPr>
          <w:rFonts w:hint="eastAsia" w:ascii="宋体" w:hAnsi="宋体"/>
          <w:b/>
          <w:bCs/>
          <w:color w:val="000000" w:themeColor="text1"/>
          <w:sz w:val="32"/>
          <w:szCs w:val="32"/>
          <w14:textFill>
            <w14:solidFill>
              <w14:schemeClr w14:val="tx1"/>
            </w14:solidFill>
          </w14:textFill>
        </w:rPr>
        <w:t>致估价委托人函</w:t>
      </w:r>
      <w:bookmarkEnd w:id="5"/>
      <w:bookmarkEnd w:id="6"/>
    </w:p>
    <w:p>
      <w:pPr>
        <w:adjustRightInd w:val="0"/>
        <w:snapToGrid w:val="0"/>
        <w:spacing w:line="360" w:lineRule="auto"/>
        <w:rPr>
          <w:rFonts w:ascii="宋体"/>
          <w:b/>
          <w:bCs/>
          <w:color w:val="000000" w:themeColor="text1"/>
          <w:sz w:val="24"/>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乌苏市人民法院</w:t>
      </w:r>
      <w:r>
        <w:rPr>
          <w:rFonts w:hint="eastAsia" w:ascii="宋体" w:hAnsi="宋体"/>
          <w:b/>
          <w:bCs/>
          <w:color w:val="000000" w:themeColor="text1"/>
          <w:sz w:val="24"/>
          <w14:textFill>
            <w14:solidFill>
              <w14:schemeClr w14:val="tx1"/>
            </w14:solidFill>
          </w14:textFill>
        </w:rPr>
        <w:t>：</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新疆驰远天合中辰房地产土地评估有限责任公司（以下简称“本公司”）接受贵院委托，根据《中华人民共和国城市房地产管理法》、《中华人民共和国资产评估法》及国家有关规定，依照中华人民共和国国家标准《房地产估价规范》（</w:t>
      </w:r>
      <w:r>
        <w:rPr>
          <w:rFonts w:ascii="宋体" w:hAnsi="宋体"/>
          <w:color w:val="000000" w:themeColor="text1"/>
          <w:sz w:val="24"/>
          <w14:textFill>
            <w14:solidFill>
              <w14:schemeClr w14:val="tx1"/>
            </w14:solidFill>
          </w14:textFill>
        </w:rPr>
        <w:t>GB/T 50291-2015</w:t>
      </w:r>
      <w:r>
        <w:rPr>
          <w:rFonts w:hint="eastAsia" w:ascii="宋体" w:hAnsi="宋体"/>
          <w:color w:val="000000" w:themeColor="text1"/>
          <w:sz w:val="24"/>
          <w14:textFill>
            <w14:solidFill>
              <w14:schemeClr w14:val="tx1"/>
            </w14:solidFill>
          </w14:textFill>
        </w:rPr>
        <w:t>）、《房地产估价基本术语标准》（</w:t>
      </w:r>
      <w:r>
        <w:rPr>
          <w:rFonts w:ascii="宋体" w:hAnsi="宋体"/>
          <w:color w:val="000000" w:themeColor="text1"/>
          <w:sz w:val="24"/>
          <w14:textFill>
            <w14:solidFill>
              <w14:schemeClr w14:val="tx1"/>
            </w14:solidFill>
          </w14:textFill>
        </w:rPr>
        <w:t>GB/T</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50899-2013</w:t>
      </w:r>
      <w:r>
        <w:rPr>
          <w:rFonts w:hint="eastAsia" w:ascii="宋体" w:hAnsi="宋体"/>
          <w:color w:val="000000" w:themeColor="text1"/>
          <w:sz w:val="24"/>
          <w14:textFill>
            <w14:solidFill>
              <w14:schemeClr w14:val="tx1"/>
            </w14:solidFill>
          </w14:textFill>
        </w:rPr>
        <w:t>），遵照客观、公正、科学、独立的原则，在进行了现场勘测和详细收集有关资料的基础上，经认真分析和详细测算之后，现将估价过程与结果报告如下：</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一、估价目的：评定估价对象房地产市场价值，为司法拍卖（变卖）提供房地产市场价值参考依据；</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二、估价对象：</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乌苏市塔城路001号院1幢1-102室住宅</w:t>
      </w:r>
      <w:r>
        <w:rPr>
          <w:rFonts w:hint="eastAsia" w:ascii="宋体" w:hAnsi="宋体" w:cs="宋体"/>
          <w:color w:val="000000" w:themeColor="text1"/>
          <w:sz w:val="24"/>
          <w14:textFill>
            <w14:solidFill>
              <w14:schemeClr w14:val="tx1"/>
            </w14:solidFill>
          </w14:textFill>
        </w:rPr>
        <w:t>房地产，房屋建筑面积</w:t>
      </w:r>
      <w:r>
        <w:rPr>
          <w:rFonts w:hint="eastAsia" w:ascii="宋体" w:hAnsi="宋体" w:cs="宋体"/>
          <w:color w:val="000000" w:themeColor="text1"/>
          <w:sz w:val="24"/>
          <w:lang w:eastAsia="zh-CN"/>
          <w14:textFill>
            <w14:solidFill>
              <w14:schemeClr w14:val="tx1"/>
            </w14:solidFill>
          </w14:textFill>
        </w:rPr>
        <w:t>113.87</w:t>
      </w:r>
      <w:r>
        <w:rPr>
          <w:rFonts w:hint="eastAsia" w:ascii="宋体" w:hAnsi="宋体" w:cs="宋体"/>
          <w:color w:val="000000" w:themeColor="text1"/>
          <w:sz w:val="24"/>
          <w14:textFill>
            <w14:solidFill>
              <w14:schemeClr w14:val="tx1"/>
            </w14:solidFill>
          </w14:textFill>
        </w:rPr>
        <w:t>平方米。</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财产范围包括建筑物（含室内二次装修）、分摊的土地使用权及公共配套设施，不包括动产、债权债务、特许经营权等其他财产或权益。</w:t>
      </w:r>
    </w:p>
    <w:p>
      <w:pPr>
        <w:adjustRightInd w:val="0"/>
        <w:snapToGrid w:val="0"/>
        <w:spacing w:line="360" w:lineRule="auto"/>
        <w:ind w:firstLine="480" w:firstLineChars="200"/>
        <w:rPr>
          <w:rFonts w:asci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房屋法定用途及实际用途均为</w:t>
      </w:r>
      <w:r>
        <w:rPr>
          <w:rFonts w:hint="eastAsia" w:ascii="宋体" w:hAnsi="宋体" w:cs="宋体"/>
          <w:color w:val="000000" w:themeColor="text1"/>
          <w:sz w:val="24"/>
          <w:lang w:eastAsia="zh-CN"/>
          <w14:textFill>
            <w14:solidFill>
              <w14:schemeClr w14:val="tx1"/>
            </w14:solidFill>
          </w14:textFill>
        </w:rPr>
        <w:t>住宅</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总层数3层</w:t>
      </w:r>
      <w:r>
        <w:rPr>
          <w:rFonts w:hint="eastAsia" w:ascii="宋体" w:hAnsi="宋体" w:cs="宋体"/>
          <w:color w:val="000000" w:themeColor="text1"/>
          <w:sz w:val="24"/>
          <w14:textFill>
            <w14:solidFill>
              <w14:schemeClr w14:val="tx1"/>
            </w14:solidFill>
          </w14:textFill>
        </w:rPr>
        <w:t>，估价对象位于第</w:t>
      </w:r>
      <w:r>
        <w:rPr>
          <w:rFonts w:hint="eastAsia" w:ascii="宋体" w:hAnsi="宋体" w:cs="宋体"/>
          <w:color w:val="000000" w:themeColor="text1"/>
          <w:sz w:val="24"/>
          <w:lang w:val="en-US" w:eastAsia="zh-CN"/>
          <w14:textFill>
            <w14:solidFill>
              <w14:schemeClr w14:val="tx1"/>
            </w14:solidFill>
          </w14:textFill>
        </w:rPr>
        <w:t>1层</w:t>
      </w:r>
      <w:r>
        <w:rPr>
          <w:rFonts w:hint="eastAsia" w:ascii="宋体" w:hAnsi="宋体" w:cs="宋体"/>
          <w:color w:val="000000" w:themeColor="text1"/>
          <w:sz w:val="24"/>
          <w14:textFill>
            <w14:solidFill>
              <w14:schemeClr w14:val="tx1"/>
            </w14:solidFill>
          </w14:textFill>
        </w:rPr>
        <w:t>；建筑结构为</w:t>
      </w:r>
      <w:r>
        <w:rPr>
          <w:rFonts w:hint="eastAsia" w:ascii="宋体" w:hAnsi="宋体" w:cs="宋体"/>
          <w:color w:val="000000" w:themeColor="text1"/>
          <w:sz w:val="24"/>
          <w:lang w:eastAsia="zh-CN"/>
          <w14:textFill>
            <w14:solidFill>
              <w14:schemeClr w14:val="tx1"/>
            </w14:solidFill>
          </w14:textFill>
        </w:rPr>
        <w:t>混合</w:t>
      </w:r>
      <w:r>
        <w:rPr>
          <w:rFonts w:hint="eastAsia" w:ascii="宋体" w:hAnsi="宋体" w:cs="宋体"/>
          <w:color w:val="000000" w:themeColor="text1"/>
          <w:sz w:val="24"/>
          <w14:textFill>
            <w14:solidFill>
              <w14:schemeClr w14:val="tx1"/>
            </w14:solidFill>
          </w14:textFill>
        </w:rPr>
        <w:t>结构；</w:t>
      </w:r>
      <w:r>
        <w:rPr>
          <w:rFonts w:hint="eastAsia" w:ascii="宋体" w:hAnsi="宋体" w:cs="宋体"/>
          <w:color w:val="000000" w:themeColor="text1"/>
          <w:sz w:val="24"/>
          <w:lang w:eastAsia="zh-CN"/>
          <w14:textFill>
            <w14:solidFill>
              <w14:schemeClr w14:val="tx1"/>
            </w14:solidFill>
          </w14:textFill>
        </w:rPr>
        <w:t>委托方未提供《房屋所有权证》、《</w:t>
      </w:r>
      <w:r>
        <w:rPr>
          <w:rFonts w:hint="eastAsia" w:ascii="宋体" w:hAnsi="宋体" w:cs="宋体"/>
          <w:color w:val="000000" w:themeColor="text1"/>
          <w:sz w:val="24"/>
          <w14:textFill>
            <w14:solidFill>
              <w14:schemeClr w14:val="tx1"/>
            </w14:solidFill>
          </w14:textFill>
        </w:rPr>
        <w:t>土地使用权</w:t>
      </w:r>
      <w:r>
        <w:rPr>
          <w:rFonts w:hint="eastAsia" w:ascii="宋体" w:hAnsi="宋体" w:cs="宋体"/>
          <w:color w:val="000000" w:themeColor="text1"/>
          <w:sz w:val="24"/>
          <w:lang w:eastAsia="zh-CN"/>
          <w14:textFill>
            <w14:solidFill>
              <w14:schemeClr w14:val="tx1"/>
            </w14:solidFill>
          </w14:textFill>
        </w:rPr>
        <w:t>证》</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房屋所有权人</w:t>
      </w:r>
      <w:r>
        <w:rPr>
          <w:rFonts w:hint="eastAsia" w:ascii="宋体" w:hAnsi="宋体" w:cs="宋体"/>
          <w:color w:val="000000" w:themeColor="text1"/>
          <w:sz w:val="24"/>
          <w14:textFill>
            <w14:solidFill>
              <w14:schemeClr w14:val="tx1"/>
            </w14:solidFill>
          </w14:textFill>
        </w:rPr>
        <w:t>为</w:t>
      </w:r>
      <w:r>
        <w:rPr>
          <w:rFonts w:hint="eastAsia" w:ascii="宋体" w:hAnsi="宋体" w:cs="宋体"/>
          <w:color w:val="000000" w:themeColor="text1"/>
          <w:sz w:val="24"/>
          <w:lang w:eastAsia="zh-CN"/>
          <w14:textFill>
            <w14:solidFill>
              <w14:schemeClr w14:val="tx1"/>
            </w14:solidFill>
          </w14:textFill>
        </w:rPr>
        <w:t>张佩凤</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证号：00005333号</w:t>
      </w:r>
      <w:r>
        <w:rPr>
          <w:rFonts w:hint="eastAsia" w:ascii="宋体" w:hAnsi="宋体" w:cs="宋体"/>
          <w:color w:val="000000" w:themeColor="text1"/>
          <w:sz w:val="24"/>
          <w14:textFill>
            <w14:solidFill>
              <w14:schemeClr w14:val="tx1"/>
            </w14:solidFill>
          </w14:textFill>
        </w:rPr>
        <w:t>。</w:t>
      </w:r>
    </w:p>
    <w:p>
      <w:pPr>
        <w:adjustRightInd w:val="0"/>
        <w:snapToGrid w:val="0"/>
        <w:spacing w:line="360" w:lineRule="auto"/>
        <w:ind w:firstLine="480" w:firstLineChars="200"/>
        <w:rPr>
          <w:rFonts w:hint="eastAsia" w:asci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三、价值时点：</w:t>
      </w:r>
      <w:r>
        <w:rPr>
          <w:rFonts w:hint="eastAsia" w:ascii="宋体" w:hAnsi="宋体"/>
          <w:color w:val="000000" w:themeColor="text1"/>
          <w:sz w:val="24"/>
          <w:lang w:eastAsia="zh-CN"/>
          <w14:textFill>
            <w14:solidFill>
              <w14:schemeClr w14:val="tx1"/>
            </w14:solidFill>
          </w14:textFill>
        </w:rPr>
        <w:t>2020年5月19日</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四、价值类型：市场价值</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五、估价方法：比较法、收益法</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六、估价结果：</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评估总值：人民币</w:t>
      </w:r>
      <w:r>
        <w:rPr>
          <w:rFonts w:hint="eastAsia" w:ascii="宋体" w:hAnsi="宋体"/>
          <w:color w:val="000000" w:themeColor="text1"/>
          <w:sz w:val="24"/>
          <w:lang w:eastAsia="zh-CN"/>
          <w14:textFill>
            <w14:solidFill>
              <w14:schemeClr w14:val="tx1"/>
            </w14:solidFill>
          </w14:textFill>
        </w:rPr>
        <w:t>231156</w:t>
      </w:r>
      <w:r>
        <w:rPr>
          <w:rFonts w:hint="eastAsia" w:ascii="宋体" w:hAnsi="宋体"/>
          <w:color w:val="000000" w:themeColor="text1"/>
          <w:sz w:val="24"/>
          <w14:textFill>
            <w14:solidFill>
              <w14:schemeClr w14:val="tx1"/>
            </w14:solidFill>
          </w14:textFill>
        </w:rPr>
        <w:t>元</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总价大写金额：人民币</w:t>
      </w:r>
      <w:r>
        <w:rPr>
          <w:rFonts w:ascii="宋体" w:hAnsi="宋体"/>
          <w:color w:val="000000" w:themeColor="text1"/>
          <w:sz w:val="24"/>
          <w14:textFill>
            <w14:solidFill>
              <w14:schemeClr w14:val="tx1"/>
            </w14:solidFill>
          </w14:textFill>
        </w:rPr>
        <w:fldChar w:fldCharType="begin"/>
      </w:r>
      <w:r>
        <w:rPr>
          <w:rFonts w:hint="eastAsia" w:ascii="宋体" w:hAnsi="宋体"/>
          <w:color w:val="000000" w:themeColor="text1"/>
          <w:sz w:val="24"/>
          <w14:textFill>
            <w14:solidFill>
              <w14:schemeClr w14:val="tx1"/>
            </w14:solidFill>
          </w14:textFill>
        </w:rPr>
        <w:instrText xml:space="preserve">= 2711429 \* CHINESENUM2</w:instrText>
      </w:r>
      <w:r>
        <w:rPr>
          <w:rFonts w:ascii="宋体" w:hAnsi="宋体"/>
          <w:color w:val="000000" w:themeColor="text1"/>
          <w:sz w:val="24"/>
          <w14:textFill>
            <w14:solidFill>
              <w14:schemeClr w14:val="tx1"/>
            </w14:solidFill>
          </w14:textFill>
        </w:rPr>
        <w:fldChar w:fldCharType="separate"/>
      </w:r>
      <w:r>
        <w:rPr>
          <w:rFonts w:hint="eastAsia" w:ascii="宋体" w:hAnsi="宋体"/>
          <w:color w:val="000000" w:themeColor="text1"/>
          <w:sz w:val="24"/>
          <w:lang w:eastAsia="zh-CN"/>
          <w14:textFill>
            <w14:solidFill>
              <w14:schemeClr w14:val="tx1"/>
            </w14:solidFill>
          </w14:textFill>
        </w:rPr>
        <w:t>贰拾叁万壹仟壹佰伍拾陆</w:t>
      </w:r>
      <w:r>
        <w:rPr>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元整</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评估单价：</w:t>
      </w:r>
      <w:r>
        <w:rPr>
          <w:rFonts w:hint="eastAsia" w:ascii="宋体" w:hAnsi="宋体"/>
          <w:color w:val="000000" w:themeColor="text1"/>
          <w:sz w:val="24"/>
          <w:lang w:val="en-US" w:eastAsia="zh-CN"/>
          <w14:textFill>
            <w14:solidFill>
              <w14:schemeClr w14:val="tx1"/>
            </w14:solidFill>
          </w14:textFill>
        </w:rPr>
        <w:t>2030</w:t>
      </w:r>
      <w:r>
        <w:rPr>
          <w:rFonts w:hint="eastAsia" w:ascii="宋体" w:hAnsi="宋体"/>
          <w:color w:val="000000" w:themeColor="text1"/>
          <w:sz w:val="24"/>
          <w14:textFill>
            <w14:solidFill>
              <w14:schemeClr w14:val="tx1"/>
            </w14:solidFill>
          </w14:textFill>
        </w:rPr>
        <w:t>元/㎡</w:t>
      </w:r>
    </w:p>
    <w:p>
      <w:pPr>
        <w:adjustRightInd w:val="0"/>
        <w:snapToGrid w:val="0"/>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单价金额：人民币</w:t>
      </w: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w:instrText>
      </w:r>
      <w:r>
        <w:rPr>
          <w:rFonts w:hint="eastAsia" w:ascii="宋体" w:hAnsi="宋体"/>
          <w:color w:val="000000" w:themeColor="text1"/>
          <w:sz w:val="24"/>
          <w14:textFill>
            <w14:solidFill>
              <w14:schemeClr w14:val="tx1"/>
            </w14:solidFill>
          </w14:textFill>
        </w:rPr>
        <w:instrText xml:space="preserve">= 6289 \* CHINESENUM2</w:instrText>
      </w:r>
      <w:r>
        <w:rPr>
          <w:rFonts w:ascii="宋体" w:hAnsi="宋体"/>
          <w:color w:val="000000" w:themeColor="text1"/>
          <w:sz w:val="24"/>
          <w14:textFill>
            <w14:solidFill>
              <w14:schemeClr w14:val="tx1"/>
            </w14:solidFill>
          </w14:textFill>
        </w:rPr>
        <w:instrText xml:space="preserve"> </w:instrText>
      </w:r>
      <w:r>
        <w:rPr>
          <w:rFonts w:ascii="宋体" w:hAnsi="宋体"/>
          <w:color w:val="000000" w:themeColor="text1"/>
          <w:sz w:val="24"/>
          <w14:textFill>
            <w14:solidFill>
              <w14:schemeClr w14:val="tx1"/>
            </w14:solidFill>
          </w14:textFill>
        </w:rPr>
        <w:fldChar w:fldCharType="separate"/>
      </w:r>
      <w:r>
        <w:rPr>
          <w:rFonts w:hint="eastAsia" w:ascii="宋体" w:hAnsi="宋体"/>
          <w:color w:val="000000" w:themeColor="text1"/>
          <w:sz w:val="24"/>
          <w:lang w:eastAsia="zh-CN"/>
          <w14:textFill>
            <w14:solidFill>
              <w14:schemeClr w14:val="tx1"/>
            </w14:solidFill>
          </w14:textFill>
        </w:rPr>
        <w:t>贰仟零叁拾</w:t>
      </w:r>
      <w:r>
        <w:rPr>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元每平方米</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七、估价结果和使用估价报告有关的特别提示：</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1、估价结果不包括估价对象原有的担保物权和其他法定优先受偿权。</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房屋估价结果</w:t>
      </w:r>
      <w:r>
        <w:rPr>
          <w:rFonts w:hint="eastAsia" w:ascii="宋体" w:hAnsi="宋体" w:cs="宋体"/>
          <w:color w:val="000000" w:themeColor="text1"/>
          <w:sz w:val="24"/>
          <w14:textFill>
            <w14:solidFill>
              <w14:schemeClr w14:val="tx1"/>
            </w14:solidFill>
          </w14:textFill>
        </w:rPr>
        <w:t>财产范围包括建筑物（</w:t>
      </w:r>
      <w:r>
        <w:rPr>
          <w:rFonts w:hint="eastAsia" w:ascii="宋体" w:hAnsi="宋体" w:cs="宋体"/>
          <w:color w:val="000000" w:themeColor="text1"/>
          <w:sz w:val="24"/>
          <w:lang w:eastAsia="zh-CN"/>
          <w14:textFill>
            <w14:solidFill>
              <w14:schemeClr w14:val="tx1"/>
            </w14:solidFill>
          </w14:textFill>
        </w:rPr>
        <w:t>含室内二次装修</w:t>
      </w:r>
      <w:r>
        <w:rPr>
          <w:rFonts w:hint="eastAsia" w:ascii="宋体" w:hAnsi="宋体" w:cs="宋体"/>
          <w:color w:val="000000" w:themeColor="text1"/>
          <w:sz w:val="24"/>
          <w14:textFill>
            <w14:solidFill>
              <w14:schemeClr w14:val="tx1"/>
            </w14:solidFill>
          </w14:textFill>
        </w:rPr>
        <w:t>）及分摊的土地使用权价值。</w:t>
      </w:r>
    </w:p>
    <w:p>
      <w:pPr>
        <w:adjustRightInd w:val="0"/>
        <w:snapToGrid w:val="0"/>
        <w:spacing w:line="360" w:lineRule="auto"/>
        <w:ind w:firstLine="544" w:firstLineChars="2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3、估价结果没有扣除拍卖过程中发生的处置费用和税金。</w:t>
      </w:r>
    </w:p>
    <w:p>
      <w:pPr>
        <w:adjustRightInd w:val="0"/>
        <w:snapToGrid w:val="0"/>
        <w:spacing w:line="360" w:lineRule="auto"/>
        <w:ind w:firstLine="544" w:firstLineChars="227"/>
        <w:rPr>
          <w:rFonts w:cs="宋体" w:asciiTheme="minorEastAsia" w:hAnsiTheme="minorEastAsia"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cs="宋体" w:asciiTheme="minorEastAsia" w:hAnsiTheme="minorEastAsia" w:eastAsiaTheme="minorEastAsia"/>
          <w:color w:val="000000" w:themeColor="text1"/>
          <w:sz w:val="24"/>
          <w:lang w:eastAsia="zh-CN"/>
          <w14:textFill>
            <w14:solidFill>
              <w14:schemeClr w14:val="tx1"/>
            </w14:solidFill>
          </w14:textFill>
        </w:rPr>
        <w:t>未了解到</w:t>
      </w:r>
      <w:r>
        <w:rPr>
          <w:rFonts w:hint="eastAsia" w:cs="宋体" w:asciiTheme="minorEastAsia" w:hAnsiTheme="minorEastAsia" w:eastAsiaTheme="minorEastAsia"/>
          <w:color w:val="000000" w:themeColor="text1"/>
          <w:sz w:val="24"/>
          <w14:textFill>
            <w14:solidFill>
              <w14:schemeClr w14:val="tx1"/>
            </w14:solidFill>
          </w14:textFill>
        </w:rPr>
        <w:t>该房屋所有权</w:t>
      </w:r>
      <w:r>
        <w:rPr>
          <w:rFonts w:hint="eastAsia" w:cs="宋体" w:asciiTheme="minorEastAsia" w:hAnsiTheme="minorEastAsia" w:eastAsiaTheme="minorEastAsia"/>
          <w:color w:val="000000" w:themeColor="text1"/>
          <w:sz w:val="24"/>
          <w:lang w:eastAsia="zh-CN"/>
          <w14:textFill>
            <w14:solidFill>
              <w14:schemeClr w14:val="tx1"/>
            </w14:solidFill>
          </w14:textFill>
        </w:rPr>
        <w:t>是否有</w:t>
      </w:r>
      <w:r>
        <w:rPr>
          <w:rFonts w:hint="eastAsia" w:cs="宋体" w:asciiTheme="minorEastAsia" w:hAnsiTheme="minorEastAsia" w:eastAsiaTheme="minorEastAsia"/>
          <w:color w:val="000000" w:themeColor="text1"/>
          <w:sz w:val="24"/>
          <w14:textFill>
            <w14:solidFill>
              <w14:schemeClr w14:val="tx1"/>
            </w14:solidFill>
          </w14:textFill>
        </w:rPr>
        <w:t>他项权利。</w:t>
      </w:r>
    </w:p>
    <w:p>
      <w:pPr>
        <w:adjustRightInd w:val="0"/>
        <w:snapToGrid w:val="0"/>
        <w:spacing w:line="360" w:lineRule="auto"/>
        <w:ind w:firstLine="544" w:firstLineChars="2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、本估价结果不应作为价格实现的保证。</w:t>
      </w:r>
    </w:p>
    <w:p>
      <w:pPr>
        <w:adjustRightInd w:val="0"/>
        <w:snapToGrid w:val="0"/>
        <w:spacing w:line="360" w:lineRule="auto"/>
        <w:ind w:firstLine="544" w:firstLineChars="227"/>
        <w:rPr>
          <w:rFonts w:ascii="宋体" w:hAnsi="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、本估价报告的有效期限为一年，自</w:t>
      </w:r>
      <w:r>
        <w:rPr>
          <w:rFonts w:hint="eastAsia" w:ascii="宋体" w:hAnsi="宋体" w:cs="宋体"/>
          <w:color w:val="000000" w:themeColor="text1"/>
          <w:sz w:val="24"/>
          <w:lang w:eastAsia="zh-CN"/>
          <w14:textFill>
            <w14:solidFill>
              <w14:schemeClr w14:val="tx1"/>
            </w14:solidFill>
          </w14:textFill>
        </w:rPr>
        <w:t>2020年6月5日</w:t>
      </w:r>
      <w:r>
        <w:rPr>
          <w:rFonts w:hint="eastAsia" w:ascii="宋体" w:hAnsi="宋体" w:cs="宋体"/>
          <w:color w:val="000000" w:themeColor="text1"/>
          <w:sz w:val="24"/>
          <w14:textFill>
            <w14:solidFill>
              <w14:schemeClr w14:val="tx1"/>
            </w14:solidFill>
          </w14:textFill>
        </w:rPr>
        <w:t>至</w:t>
      </w:r>
      <w:r>
        <w:rPr>
          <w:rFonts w:hint="eastAsia" w:ascii="宋体" w:hAnsi="宋体" w:cs="宋体"/>
          <w:color w:val="000000" w:themeColor="text1"/>
          <w:sz w:val="24"/>
          <w:lang w:eastAsia="zh-CN"/>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6月4日</w:t>
      </w:r>
      <w:r>
        <w:rPr>
          <w:rFonts w:hint="eastAsia" w:ascii="宋体" w:hAnsi="宋体" w:cs="宋体"/>
          <w:color w:val="000000" w:themeColor="text1"/>
          <w:sz w:val="24"/>
          <w14:textFill>
            <w14:solidFill>
              <w14:schemeClr w14:val="tx1"/>
            </w14:solidFill>
          </w14:textFill>
        </w:rPr>
        <w:t>。</w:t>
      </w:r>
    </w:p>
    <w:p>
      <w:pPr>
        <w:adjustRightInd w:val="0"/>
        <w:snapToGrid w:val="0"/>
        <w:spacing w:line="360" w:lineRule="auto"/>
        <w:ind w:firstLine="544" w:firstLineChars="227"/>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71</w:t>
      </w:r>
      <w:r>
        <w:rPr>
          <w:rFonts w:hint="eastAsia" w:ascii="宋体" w:hAnsi="宋体"/>
          <w:color w:val="000000" w:themeColor="text1"/>
          <w:sz w:val="24"/>
          <w14:textFill>
            <w14:solidFill>
              <w14:schemeClr w14:val="tx1"/>
            </w14:solidFill>
          </w14:textFill>
        </w:rPr>
        <w:t>、报告使用人在使用本报告之前须对报告全文，特别是“估价的假设和限制条件”认真阅读，以免使用不当，造成损失！估价的详细结果、过程及有关说明，请见附后的《估价结果报告》、《估价技术报告》。</w:t>
      </w:r>
    </w:p>
    <w:p>
      <w:pPr>
        <w:adjustRightInd w:val="0"/>
        <w:snapToGrid w:val="0"/>
        <w:spacing w:line="360" w:lineRule="auto"/>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80" w:lineRule="exact"/>
        <w:ind w:firstLine="5160" w:firstLineChars="2150"/>
        <w:jc w:val="both"/>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新疆驰远天合中辰房地产土地</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评估有限责任公司</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宋体" w:hAnsi="宋体"/>
          <w:color w:val="000000" w:themeColor="text1"/>
          <w:sz w:val="24"/>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60611072" behindDoc="0" locked="0" layoutInCell="1" allowOverlap="1">
            <wp:simplePos x="0" y="0"/>
            <wp:positionH relativeFrom="column">
              <wp:posOffset>4403090</wp:posOffset>
            </wp:positionH>
            <wp:positionV relativeFrom="paragraph">
              <wp:posOffset>24130</wp:posOffset>
            </wp:positionV>
            <wp:extent cx="736600" cy="341630"/>
            <wp:effectExtent l="0" t="0" r="6350"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lum contrast="-6000"/>
                    </a:blip>
                    <a:srcRect b="7016"/>
                    <a:stretch>
                      <a:fillRect/>
                    </a:stretch>
                  </pic:blipFill>
                  <pic:spPr>
                    <a:xfrm>
                      <a:off x="0" y="0"/>
                      <a:ext cx="736600" cy="341630"/>
                    </a:xfrm>
                    <a:prstGeom prst="rect">
                      <a:avLst/>
                    </a:prstGeom>
                    <a:noFill/>
                    <a:ln>
                      <a:noFill/>
                    </a:ln>
                  </pic:spPr>
                </pic:pic>
              </a:graphicData>
            </a:graphic>
          </wp:anchor>
        </w:drawing>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法定代表人：</w:t>
      </w:r>
      <w:r>
        <w:rPr>
          <w:rFonts w:hint="eastAsia" w:ascii="宋体" w:hAnsi="宋体"/>
          <w:color w:val="000000" w:themeColor="text1"/>
          <w:sz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宋体" w:eastAsia="宋体"/>
          <w:b/>
          <w:bCs/>
          <w:color w:val="000000" w:themeColor="text1"/>
          <w:sz w:val="44"/>
          <w:lang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lang w:eastAsia="zh-CN"/>
          <w14:textFill>
            <w14:solidFill>
              <w14:schemeClr w14:val="tx1"/>
            </w14:solidFill>
          </w14:textFill>
        </w:rPr>
        <w:t>二零二零年六月五日</w:t>
      </w:r>
    </w:p>
    <w:p>
      <w:pPr>
        <w:adjustRightInd w:val="0"/>
        <w:snapToGrid w:val="0"/>
        <w:spacing w:line="500" w:lineRule="exact"/>
        <w:jc w:val="center"/>
        <w:rPr>
          <w:rFonts w:ascii="宋体"/>
          <w:color w:val="000000" w:themeColor="text1"/>
          <w:sz w:val="32"/>
          <w:szCs w:val="32"/>
          <w14:textFill>
            <w14:solidFill>
              <w14:schemeClr w14:val="tx1"/>
            </w14:solidFill>
          </w14:textFill>
        </w:rPr>
      </w:pPr>
      <w:r>
        <w:rPr>
          <w:rFonts w:ascii="宋体"/>
          <w:b/>
          <w:bCs/>
          <w:color w:val="000000" w:themeColor="text1"/>
          <w:sz w:val="32"/>
          <w:szCs w:val="32"/>
          <w14:textFill>
            <w14:solidFill>
              <w14:schemeClr w14:val="tx1"/>
            </w14:solidFill>
          </w14:textFill>
        </w:rPr>
        <w:br w:type="page"/>
      </w:r>
      <w:r>
        <w:rPr>
          <w:rFonts w:hint="eastAsia" w:ascii="宋体" w:hAnsi="宋体"/>
          <w:b/>
          <w:bCs/>
          <w:color w:val="000000" w:themeColor="text1"/>
          <w:sz w:val="32"/>
          <w:szCs w:val="32"/>
          <w14:textFill>
            <w14:solidFill>
              <w14:schemeClr w14:val="tx1"/>
            </w14:solidFill>
          </w14:textFill>
        </w:rPr>
        <w:t>目录</w:t>
      </w:r>
    </w:p>
    <w:p>
      <w:pPr>
        <w:pStyle w:val="14"/>
        <w:tabs>
          <w:tab w:val="right" w:leader="dot" w:pos="8806"/>
        </w:tabs>
        <w:rPr>
          <w:rFonts w:asciiTheme="minorHAnsi" w:hAnsiTheme="minorHAnsi" w:eastAsiaTheme="minorEastAsia" w:cstheme="minorBidi"/>
          <w:b/>
          <w:color w:val="000000" w:themeColor="text1"/>
          <w:szCs w:val="22"/>
          <w14:textFill>
            <w14:solidFill>
              <w14:schemeClr w14:val="tx1"/>
            </w14:solidFill>
          </w14:textFill>
        </w:rPr>
      </w:pPr>
      <w:bookmarkStart w:id="7" w:name="_Toc420665316"/>
      <w:r>
        <w:rPr>
          <w:rFonts w:ascii="宋体" w:hAnsi="宋体"/>
          <w:b/>
          <w:bCs/>
          <w:color w:val="000000" w:themeColor="text1"/>
          <w:szCs w:val="21"/>
          <w14:textFill>
            <w14:solidFill>
              <w14:schemeClr w14:val="tx1"/>
            </w14:solidFill>
          </w14:textFill>
        </w:rPr>
        <w:fldChar w:fldCharType="begin"/>
      </w:r>
      <w:r>
        <w:rPr>
          <w:rFonts w:ascii="宋体" w:hAnsi="宋体"/>
          <w:b/>
          <w:bCs/>
          <w:color w:val="000000" w:themeColor="text1"/>
          <w:szCs w:val="21"/>
          <w14:textFill>
            <w14:solidFill>
              <w14:schemeClr w14:val="tx1"/>
            </w14:solidFill>
          </w14:textFill>
        </w:rPr>
        <w:instrText xml:space="preserve"> TOC \o "1-2" \h \z \u </w:instrText>
      </w:r>
      <w:r>
        <w:rPr>
          <w:rFonts w:ascii="宋体" w:hAnsi="宋体"/>
          <w:b/>
          <w:bCs/>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"_Toc4757162"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估价师声明</w:t>
      </w:r>
      <w:r>
        <w:rPr>
          <w:b/>
          <w:color w:val="000000" w:themeColor="text1"/>
          <w14:textFill>
            <w14:solidFill>
              <w14:schemeClr w14:val="tx1"/>
            </w14:solidFill>
          </w14:textFill>
        </w:rPr>
        <w:tab/>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PAGEREF _Toc4757162 \h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fldChar w:fldCharType="end"/>
      </w:r>
    </w:p>
    <w:p>
      <w:pPr>
        <w:pStyle w:val="14"/>
        <w:tabs>
          <w:tab w:val="right" w:leader="dot" w:pos="8806"/>
        </w:tabs>
        <w:rPr>
          <w:rFonts w:asciiTheme="minorHAnsi" w:hAnsiTheme="minorHAnsi" w:eastAsiaTheme="minorEastAsia" w:cstheme="minorBidi"/>
          <w:b/>
          <w:color w:val="000000" w:themeColor="text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"_Toc4757163"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估价假设和限制条件</w:t>
      </w:r>
      <w:r>
        <w:rPr>
          <w:b/>
          <w:color w:val="000000" w:themeColor="text1"/>
          <w14:textFill>
            <w14:solidFill>
              <w14:schemeClr w14:val="tx1"/>
            </w14:solidFill>
          </w14:textFill>
        </w:rPr>
        <w:tab/>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PAGEREF _Toc4757163 \h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fldChar w:fldCharType="end"/>
      </w:r>
    </w:p>
    <w:p>
      <w:pPr>
        <w:pStyle w:val="14"/>
        <w:tabs>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"_Toc4757164"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房地产估价结果报告</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0</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"_Toc4757165" </w:instrText>
      </w:r>
      <w:r>
        <w:rPr>
          <w:color w:val="000000" w:themeColor="text1"/>
          <w14:textFill>
            <w14:solidFill>
              <w14:schemeClr w14:val="tx1"/>
            </w14:solidFill>
          </w14:textFill>
        </w:rPr>
        <w:fldChar w:fldCharType="separate"/>
      </w:r>
      <w:r>
        <w:rPr>
          <w:rStyle w:val="28"/>
          <w:rFonts w:ascii="宋体"/>
          <w:b/>
          <w:color w:val="000000" w:themeColor="text1"/>
          <w14:textFill>
            <w14:solidFill>
              <w14:schemeClr w14:val="tx1"/>
            </w14:solidFill>
          </w14:textFill>
        </w:rPr>
        <w:t>一、</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估价委托人</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0</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"_Toc4757166" </w:instrText>
      </w:r>
      <w:r>
        <w:rPr>
          <w:color w:val="000000" w:themeColor="text1"/>
          <w14:textFill>
            <w14:solidFill>
              <w14:schemeClr w14:val="tx1"/>
            </w14:solidFill>
          </w14:textFill>
        </w:rPr>
        <w:fldChar w:fldCharType="separate"/>
      </w:r>
      <w:r>
        <w:rPr>
          <w:rStyle w:val="28"/>
          <w:rFonts w:ascii="宋体"/>
          <w:b/>
          <w:color w:val="000000" w:themeColor="text1"/>
          <w14:textFill>
            <w14:solidFill>
              <w14:schemeClr w14:val="tx1"/>
            </w14:solidFill>
          </w14:textFill>
        </w:rPr>
        <w:t>二、</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房地产估价机构</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0</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"_Toc4757167" </w:instrText>
      </w:r>
      <w:r>
        <w:rPr>
          <w:color w:val="000000" w:themeColor="text1"/>
          <w14:textFill>
            <w14:solidFill>
              <w14:schemeClr w14:val="tx1"/>
            </w14:solidFill>
          </w14:textFill>
        </w:rPr>
        <w:fldChar w:fldCharType="separate"/>
      </w:r>
      <w:r>
        <w:rPr>
          <w:rStyle w:val="28"/>
          <w:rFonts w:ascii="宋体"/>
          <w:b/>
          <w:bCs/>
          <w:color w:val="000000" w:themeColor="text1"/>
          <w14:textFill>
            <w14:solidFill>
              <w14:schemeClr w14:val="tx1"/>
            </w14:solidFill>
          </w14:textFill>
        </w:rPr>
        <w:t>三、</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估价目的</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0</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"_Toc4757168" </w:instrText>
      </w:r>
      <w:r>
        <w:rPr>
          <w:color w:val="000000" w:themeColor="text1"/>
          <w14:textFill>
            <w14:solidFill>
              <w14:schemeClr w14:val="tx1"/>
            </w14:solidFill>
          </w14:textFill>
        </w:rPr>
        <w:fldChar w:fldCharType="separate"/>
      </w:r>
      <w:r>
        <w:rPr>
          <w:rStyle w:val="28"/>
          <w:rFonts w:ascii="宋体"/>
          <w:b/>
          <w:bCs/>
          <w:color w:val="000000" w:themeColor="text1"/>
          <w14:textFill>
            <w14:solidFill>
              <w14:schemeClr w14:val="tx1"/>
            </w14:solidFill>
          </w14:textFill>
        </w:rPr>
        <w:t>四、</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估价对象</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0</w:t>
      </w:r>
    </w:p>
    <w:p>
      <w:pPr>
        <w:pStyle w:val="16"/>
        <w:tabs>
          <w:tab w:val="left" w:pos="1260"/>
          <w:tab w:val="right" w:leader="dot" w:pos="8806"/>
        </w:tabs>
        <w:rPr>
          <w:rFonts w:asciiTheme="minorHAnsi" w:hAnsiTheme="minorHAnsi" w:eastAsiaTheme="minorEastAsia" w:cstheme="minorBidi"/>
          <w:b/>
          <w:color w:val="000000" w:themeColor="text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"_Toc4757169"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五、</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价值时点</w:t>
      </w:r>
      <w:r>
        <w:rPr>
          <w:b/>
          <w:color w:val="000000" w:themeColor="text1"/>
          <w14:textFill>
            <w14:solidFill>
              <w14:schemeClr w14:val="tx1"/>
            </w14:solidFill>
          </w14:textFill>
        </w:rPr>
        <w:tab/>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PAGEREF _Toc4757169 \h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fldChar w:fldCharType="end"/>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"_Toc4757170"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六、</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价值类型</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3</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"_Toc4757171"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七、</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估价原则</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4</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"_Toc4757172"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八、</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估价依据</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4</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"_Toc4757173"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九、</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估价方法</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5</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"_Toc4757174"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十、</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bCs/>
          <w:color w:val="000000" w:themeColor="text1"/>
          <w14:textFill>
            <w14:solidFill>
              <w14:schemeClr w14:val="tx1"/>
            </w14:solidFill>
          </w14:textFill>
        </w:rPr>
        <w:t>估价结果</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5</w:t>
      </w:r>
    </w:p>
    <w:p>
      <w:pPr>
        <w:pStyle w:val="16"/>
        <w:tabs>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"_Toc4757175"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十一、注册房地产估价师</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6</w:t>
      </w:r>
    </w:p>
    <w:p>
      <w:pPr>
        <w:pStyle w:val="16"/>
        <w:tabs>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"_Toc4757176"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十二、实地查勘期</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6</w:t>
      </w:r>
    </w:p>
    <w:p>
      <w:pPr>
        <w:pStyle w:val="16"/>
        <w:tabs>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"_Toc4757177"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十三、估价作业期</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6</w:t>
      </w:r>
    </w:p>
    <w:p>
      <w:pPr>
        <w:pStyle w:val="14"/>
        <w:tabs>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"_Toc4757188" </w:instrText>
      </w:r>
      <w:r>
        <w:rPr>
          <w:color w:val="000000" w:themeColor="text1"/>
          <w14:textFill>
            <w14:solidFill>
              <w14:schemeClr w14:val="tx1"/>
            </w14:solidFill>
          </w14:textFill>
        </w:rPr>
        <w:fldChar w:fldCharType="separate"/>
      </w:r>
      <w:r>
        <w:rPr>
          <w:rStyle w:val="28"/>
          <w:rFonts w:ascii="宋体" w:hAnsi="宋体"/>
          <w:b/>
          <w:bCs/>
          <w:color w:val="000000" w:themeColor="text1"/>
          <w14:textFill>
            <w14:solidFill>
              <w14:schemeClr w14:val="tx1"/>
            </w14:solidFill>
          </w14:textFill>
        </w:rPr>
        <w:t>附件</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"_Toc4757189" </w:instrText>
      </w:r>
      <w:r>
        <w:rPr>
          <w:color w:val="000000" w:themeColor="text1"/>
          <w14:textFill>
            <w14:solidFill>
              <w14:schemeClr w14:val="tx1"/>
            </w14:solidFill>
          </w14:textFill>
        </w:rPr>
        <w:fldChar w:fldCharType="separate"/>
      </w:r>
      <w:r>
        <w:rPr>
          <w:rStyle w:val="28"/>
          <w:rFonts w:ascii="宋体" w:hAnsi="宋体"/>
          <w:b/>
          <w:color w:val="000000" w:themeColor="text1"/>
          <w14:textFill>
            <w14:solidFill>
              <w14:schemeClr w14:val="tx1"/>
            </w14:solidFill>
          </w14:textFill>
        </w:rPr>
        <w:t>(一)</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color w:val="000000" w:themeColor="text1"/>
          <w14:textFill>
            <w14:solidFill>
              <w14:schemeClr w14:val="tx1"/>
            </w14:solidFill>
          </w14:textFill>
        </w:rPr>
        <w:t>《</w:t>
      </w:r>
      <w:r>
        <w:rPr>
          <w:rStyle w:val="28"/>
          <w:rFonts w:hint="eastAsia" w:ascii="宋体" w:hAnsi="宋体"/>
          <w:b/>
          <w:color w:val="000000" w:themeColor="text1"/>
          <w:lang w:eastAsia="zh-CN"/>
          <w14:textFill>
            <w14:solidFill>
              <w14:schemeClr w14:val="tx1"/>
            </w14:solidFill>
          </w14:textFill>
        </w:rPr>
        <w:t>乌苏市人民法院</w:t>
      </w:r>
      <w:r>
        <w:rPr>
          <w:rStyle w:val="28"/>
          <w:rFonts w:ascii="宋体" w:hAnsi="宋体"/>
          <w:b/>
          <w:color w:val="000000" w:themeColor="text1"/>
          <w14:textFill>
            <w14:solidFill>
              <w14:schemeClr w14:val="tx1"/>
            </w14:solidFill>
          </w14:textFill>
        </w:rPr>
        <w:t>评估委托书》（复印件）</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"_Toc4757190" </w:instrText>
      </w:r>
      <w:r>
        <w:rPr>
          <w:color w:val="000000" w:themeColor="text1"/>
          <w14:textFill>
            <w14:solidFill>
              <w14:schemeClr w14:val="tx1"/>
            </w14:solidFill>
          </w14:textFill>
        </w:rPr>
        <w:fldChar w:fldCharType="separate"/>
      </w:r>
      <w:r>
        <w:rPr>
          <w:rStyle w:val="28"/>
          <w:rFonts w:ascii="宋体" w:hAnsi="宋体"/>
          <w:b/>
          <w:color w:val="000000" w:themeColor="text1"/>
          <w14:textFill>
            <w14:solidFill>
              <w14:schemeClr w14:val="tx1"/>
            </w14:solidFill>
          </w14:textFill>
        </w:rPr>
        <w:t>(二)</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color w:val="000000" w:themeColor="text1"/>
          <w14:textFill>
            <w14:solidFill>
              <w14:schemeClr w14:val="tx1"/>
            </w14:solidFill>
          </w14:textFill>
        </w:rPr>
        <w:t>估价对象位置示意图</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"_Toc4757191" </w:instrText>
      </w:r>
      <w:r>
        <w:rPr>
          <w:color w:val="000000" w:themeColor="text1"/>
          <w14:textFill>
            <w14:solidFill>
              <w14:schemeClr w14:val="tx1"/>
            </w14:solidFill>
          </w14:textFill>
        </w:rPr>
        <w:fldChar w:fldCharType="separate"/>
      </w:r>
      <w:r>
        <w:rPr>
          <w:rStyle w:val="28"/>
          <w:rFonts w:ascii="宋体" w:hAnsi="宋体"/>
          <w:b/>
          <w:color w:val="000000" w:themeColor="text1"/>
          <w14:textFill>
            <w14:solidFill>
              <w14:schemeClr w14:val="tx1"/>
            </w14:solidFill>
          </w14:textFill>
        </w:rPr>
        <w:t>(三)</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hint="eastAsia" w:ascii="宋体" w:hAnsi="宋体" w:eastAsiaTheme="minorEastAsia"/>
          <w:b/>
          <w:color w:val="000000" w:themeColor="text1"/>
          <w:lang w:eastAsia="zh-CN"/>
          <w14:textFill>
            <w14:solidFill>
              <w14:schemeClr w14:val="tx1"/>
            </w14:solidFill>
          </w14:textFill>
        </w:rPr>
        <w:t>《乌苏市房屋登记信息查询结果》</w:t>
      </w:r>
      <w:r>
        <w:rPr>
          <w:rStyle w:val="28"/>
          <w:rFonts w:ascii="宋体" w:hAnsi="宋体"/>
          <w:b/>
          <w:color w:val="000000" w:themeColor="text1"/>
          <w14:textFill>
            <w14:solidFill>
              <w14:schemeClr w14:val="tx1"/>
            </w14:solidFill>
          </w14:textFill>
        </w:rPr>
        <w:t>（复印件）</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Fonts w:hint="eastAsia"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"_Toc4757192" </w:instrText>
      </w:r>
      <w:r>
        <w:rPr>
          <w:color w:val="000000" w:themeColor="text1"/>
          <w14:textFill>
            <w14:solidFill>
              <w14:schemeClr w14:val="tx1"/>
            </w14:solidFill>
          </w14:textFill>
        </w:rPr>
        <w:fldChar w:fldCharType="separate"/>
      </w:r>
      <w:r>
        <w:rPr>
          <w:rStyle w:val="28"/>
          <w:rFonts w:ascii="宋体" w:hAnsi="宋体"/>
          <w:b/>
          <w:color w:val="000000" w:themeColor="text1"/>
          <w14:textFill>
            <w14:solidFill>
              <w14:schemeClr w14:val="tx1"/>
            </w14:solidFill>
          </w14:textFill>
        </w:rPr>
        <w:t>(四)</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color w:val="000000" w:themeColor="text1"/>
          <w14:textFill>
            <w14:solidFill>
              <w14:schemeClr w14:val="tx1"/>
            </w14:solidFill>
          </w14:textFill>
        </w:rPr>
        <w:t>影像资料照片、案例照片</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Fonts w:hint="default" w:eastAsia="宋体" w:asciiTheme="minorHAnsi" w:hAnsiTheme="minorHAnsi" w:cstheme="minorBidi"/>
          <w:b/>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"_Toc4757193" </w:instrText>
      </w:r>
      <w:r>
        <w:rPr>
          <w:color w:val="000000" w:themeColor="text1"/>
          <w14:textFill>
            <w14:solidFill>
              <w14:schemeClr w14:val="tx1"/>
            </w14:solidFill>
          </w14:textFill>
        </w:rPr>
        <w:fldChar w:fldCharType="separate"/>
      </w:r>
      <w:r>
        <w:rPr>
          <w:rStyle w:val="28"/>
          <w:rFonts w:ascii="宋体" w:hAnsi="宋体"/>
          <w:b/>
          <w:color w:val="000000" w:themeColor="text1"/>
          <w14:textFill>
            <w14:solidFill>
              <w14:schemeClr w14:val="tx1"/>
            </w14:solidFill>
          </w14:textFill>
        </w:rPr>
        <w:t>(五)</w:t>
      </w:r>
      <w:r>
        <w:rPr>
          <w:rFonts w:asciiTheme="minorHAnsi" w:hAnsiTheme="minorHAnsi" w:eastAsiaTheme="minorEastAsia" w:cstheme="minorBidi"/>
          <w:b/>
          <w:color w:val="000000" w:themeColor="text1"/>
          <w:szCs w:val="22"/>
          <w14:textFill>
            <w14:solidFill>
              <w14:schemeClr w14:val="tx1"/>
            </w14:solidFill>
          </w14:textFill>
        </w:rPr>
        <w:tab/>
      </w:r>
      <w:r>
        <w:rPr>
          <w:rStyle w:val="28"/>
          <w:rFonts w:ascii="宋体" w:hAnsi="宋体"/>
          <w:b/>
          <w:color w:val="000000" w:themeColor="text1"/>
          <w14:textFill>
            <w14:solidFill>
              <w14:schemeClr w14:val="tx1"/>
            </w14:solidFill>
          </w14:textFill>
        </w:rPr>
        <w:t>房地产价格评估机构营业执照（复印件）</w:t>
      </w:r>
      <w:r>
        <w:rPr>
          <w:b/>
          <w:color w:val="000000" w:themeColor="text1"/>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fldChar w:fldCharType="end"/>
      </w:r>
      <w:r>
        <w:rPr>
          <w:rFonts w:hint="eastAsia"/>
          <w:b/>
          <w:color w:val="000000" w:themeColor="text1"/>
          <w:lang w:val="en-US" w:eastAsia="zh-CN"/>
          <w14:textFill>
            <w14:solidFill>
              <w14:schemeClr w14:val="tx1"/>
            </w14:solidFill>
          </w14:textFill>
        </w:rPr>
        <w:t>7</w:t>
      </w:r>
    </w:p>
    <w:p>
      <w:pPr>
        <w:pStyle w:val="16"/>
        <w:tabs>
          <w:tab w:val="left" w:pos="1260"/>
          <w:tab w:val="right" w:leader="dot" w:pos="8806"/>
        </w:tabs>
        <w:rPr>
          <w:rStyle w:val="28"/>
          <w:rFonts w:hint="eastAsia" w:ascii="宋体" w:hAnsi="宋体" w:eastAsia="宋体"/>
          <w:b/>
          <w:color w:val="000000" w:themeColor="text1"/>
          <w:szCs w:val="22"/>
          <w:lang w:val="en-US" w:eastAsia="zh-CN"/>
          <w14:textFill>
            <w14:solidFill>
              <w14:schemeClr w14:val="tx1"/>
            </w14:solidFill>
          </w14:textFill>
        </w:rPr>
      </w:pPr>
      <w:r>
        <w:rPr>
          <w:rStyle w:val="28"/>
          <w:rFonts w:ascii="宋体" w:hAnsi="宋体"/>
          <w:b/>
          <w:color w:val="000000" w:themeColor="text1"/>
          <w:szCs w:val="22"/>
          <w14:textFill>
            <w14:solidFill>
              <w14:schemeClr w14:val="tx1"/>
            </w14:solidFill>
          </w14:textFill>
        </w:rPr>
        <w:fldChar w:fldCharType="begin"/>
      </w:r>
      <w:r>
        <w:rPr>
          <w:rStyle w:val="28"/>
          <w:rFonts w:ascii="宋体" w:hAnsi="宋体"/>
          <w:b/>
          <w:color w:val="000000" w:themeColor="text1"/>
          <w:szCs w:val="22"/>
          <w14:textFill>
            <w14:solidFill>
              <w14:schemeClr w14:val="tx1"/>
            </w14:solidFill>
          </w14:textFill>
        </w:rPr>
        <w:instrText xml:space="preserve"> HYPERLINK \l "_Toc4757194" </w:instrText>
      </w:r>
      <w:r>
        <w:rPr>
          <w:rStyle w:val="28"/>
          <w:rFonts w:ascii="宋体" w:hAnsi="宋体"/>
          <w:b/>
          <w:color w:val="000000" w:themeColor="text1"/>
          <w:szCs w:val="22"/>
          <w14:textFill>
            <w14:solidFill>
              <w14:schemeClr w14:val="tx1"/>
            </w14:solidFill>
          </w14:textFill>
        </w:rPr>
        <w:fldChar w:fldCharType="separate"/>
      </w:r>
      <w:r>
        <w:rPr>
          <w:rStyle w:val="28"/>
          <w:rFonts w:ascii="宋体" w:hAnsi="宋体"/>
          <w:b/>
          <w:color w:val="000000" w:themeColor="text1"/>
          <w:szCs w:val="22"/>
          <w14:textFill>
            <w14:solidFill>
              <w14:schemeClr w14:val="tx1"/>
            </w14:solidFill>
          </w14:textFill>
        </w:rPr>
        <w:t>(六)</w:t>
      </w:r>
      <w:r>
        <w:rPr>
          <w:rStyle w:val="28"/>
          <w:rFonts w:ascii="宋体" w:hAnsi="宋体"/>
          <w:b/>
          <w:color w:val="000000" w:themeColor="text1"/>
          <w:szCs w:val="22"/>
          <w14:textFill>
            <w14:solidFill>
              <w14:schemeClr w14:val="tx1"/>
            </w14:solidFill>
          </w14:textFill>
        </w:rPr>
        <w:tab/>
      </w:r>
      <w:r>
        <w:rPr>
          <w:rStyle w:val="28"/>
          <w:rFonts w:ascii="宋体" w:hAnsi="宋体"/>
          <w:b/>
          <w:color w:val="000000" w:themeColor="text1"/>
          <w:szCs w:val="22"/>
          <w14:textFill>
            <w14:solidFill>
              <w14:schemeClr w14:val="tx1"/>
            </w14:solidFill>
          </w14:textFill>
        </w:rPr>
        <w:t>房地产价格评估机构资格证书（复印件）</w:t>
      </w:r>
      <w:r>
        <w:rPr>
          <w:rStyle w:val="28"/>
          <w:rFonts w:ascii="宋体" w:hAnsi="宋体"/>
          <w:b/>
          <w:color w:val="000000" w:themeColor="text1"/>
          <w:szCs w:val="22"/>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rStyle w:val="28"/>
          <w:rFonts w:ascii="宋体" w:hAnsi="宋体"/>
          <w:b/>
          <w:color w:val="000000" w:themeColor="text1"/>
          <w:szCs w:val="22"/>
          <w14:textFill>
            <w14:solidFill>
              <w14:schemeClr w14:val="tx1"/>
            </w14:solidFill>
          </w14:textFill>
        </w:rPr>
        <w:fldChar w:fldCharType="end"/>
      </w:r>
      <w:r>
        <w:rPr>
          <w:rStyle w:val="28"/>
          <w:rFonts w:hint="eastAsia" w:ascii="宋体" w:hAnsi="宋体"/>
          <w:b/>
          <w:color w:val="000000" w:themeColor="text1"/>
          <w:szCs w:val="22"/>
          <w:lang w:val="en-US" w:eastAsia="zh-CN"/>
          <w14:textFill>
            <w14:solidFill>
              <w14:schemeClr w14:val="tx1"/>
            </w14:solidFill>
          </w14:textFill>
        </w:rPr>
        <w:t>7</w:t>
      </w:r>
    </w:p>
    <w:p>
      <w:pPr>
        <w:pStyle w:val="16"/>
        <w:tabs>
          <w:tab w:val="left" w:pos="1260"/>
          <w:tab w:val="right" w:leader="dot" w:pos="8806"/>
        </w:tabs>
        <w:rPr>
          <w:rStyle w:val="28"/>
          <w:rFonts w:hint="eastAsia" w:ascii="宋体" w:hAnsi="宋体" w:eastAsia="宋体"/>
          <w:b/>
          <w:color w:val="000000" w:themeColor="text1"/>
          <w:szCs w:val="22"/>
          <w:lang w:val="en-US" w:eastAsia="zh-CN"/>
          <w14:textFill>
            <w14:solidFill>
              <w14:schemeClr w14:val="tx1"/>
            </w14:solidFill>
          </w14:textFill>
        </w:rPr>
      </w:pPr>
      <w:r>
        <w:rPr>
          <w:rStyle w:val="28"/>
          <w:rFonts w:ascii="宋体" w:hAnsi="宋体"/>
          <w:b/>
          <w:color w:val="000000" w:themeColor="text1"/>
          <w:szCs w:val="22"/>
          <w14:textFill>
            <w14:solidFill>
              <w14:schemeClr w14:val="tx1"/>
            </w14:solidFill>
          </w14:textFill>
        </w:rPr>
        <w:fldChar w:fldCharType="begin"/>
      </w:r>
      <w:r>
        <w:rPr>
          <w:rStyle w:val="28"/>
          <w:rFonts w:ascii="宋体" w:hAnsi="宋体"/>
          <w:b/>
          <w:color w:val="000000" w:themeColor="text1"/>
          <w:szCs w:val="22"/>
          <w14:textFill>
            <w14:solidFill>
              <w14:schemeClr w14:val="tx1"/>
            </w14:solidFill>
          </w14:textFill>
        </w:rPr>
        <w:instrText xml:space="preserve"> HYPERLINK \l "_Toc4757195" </w:instrText>
      </w:r>
      <w:r>
        <w:rPr>
          <w:rStyle w:val="28"/>
          <w:rFonts w:ascii="宋体" w:hAnsi="宋体"/>
          <w:b/>
          <w:color w:val="000000" w:themeColor="text1"/>
          <w:szCs w:val="22"/>
          <w14:textFill>
            <w14:solidFill>
              <w14:schemeClr w14:val="tx1"/>
            </w14:solidFill>
          </w14:textFill>
        </w:rPr>
        <w:fldChar w:fldCharType="separate"/>
      </w:r>
      <w:r>
        <w:rPr>
          <w:rStyle w:val="28"/>
          <w:rFonts w:ascii="宋体" w:hAnsi="宋体"/>
          <w:b/>
          <w:color w:val="000000" w:themeColor="text1"/>
          <w:szCs w:val="22"/>
          <w14:textFill>
            <w14:solidFill>
              <w14:schemeClr w14:val="tx1"/>
            </w14:solidFill>
          </w14:textFill>
        </w:rPr>
        <w:t>(</w:t>
      </w:r>
      <w:r>
        <w:rPr>
          <w:rStyle w:val="28"/>
          <w:rFonts w:hint="eastAsia" w:ascii="宋体" w:hAnsi="宋体"/>
          <w:b/>
          <w:color w:val="000000" w:themeColor="text1"/>
          <w:szCs w:val="22"/>
          <w:lang w:eastAsia="zh-CN"/>
          <w14:textFill>
            <w14:solidFill>
              <w14:schemeClr w14:val="tx1"/>
            </w14:solidFill>
          </w14:textFill>
        </w:rPr>
        <w:t>七</w:t>
      </w:r>
      <w:r>
        <w:rPr>
          <w:rStyle w:val="28"/>
          <w:rFonts w:ascii="宋体" w:hAnsi="宋体"/>
          <w:b/>
          <w:color w:val="000000" w:themeColor="text1"/>
          <w:szCs w:val="22"/>
          <w14:textFill>
            <w14:solidFill>
              <w14:schemeClr w14:val="tx1"/>
            </w14:solidFill>
          </w14:textFill>
        </w:rPr>
        <w:t>)</w:t>
      </w:r>
      <w:r>
        <w:rPr>
          <w:rStyle w:val="28"/>
          <w:rFonts w:ascii="宋体" w:hAnsi="宋体"/>
          <w:b/>
          <w:color w:val="000000" w:themeColor="text1"/>
          <w:szCs w:val="22"/>
          <w14:textFill>
            <w14:solidFill>
              <w14:schemeClr w14:val="tx1"/>
            </w14:solidFill>
          </w14:textFill>
        </w:rPr>
        <w:tab/>
      </w:r>
      <w:r>
        <w:rPr>
          <w:rStyle w:val="28"/>
          <w:rFonts w:ascii="宋体" w:hAnsi="宋体"/>
          <w:b/>
          <w:color w:val="000000" w:themeColor="text1"/>
          <w:szCs w:val="22"/>
          <w14:textFill>
            <w14:solidFill>
              <w14:schemeClr w14:val="tx1"/>
            </w14:solidFill>
          </w14:textFill>
        </w:rPr>
        <w:t>房地产</w:t>
      </w:r>
      <w:r>
        <w:rPr>
          <w:rStyle w:val="28"/>
          <w:rFonts w:hint="eastAsia" w:ascii="宋体" w:hAnsi="宋体"/>
          <w:b/>
          <w:color w:val="000000" w:themeColor="text1"/>
          <w:szCs w:val="22"/>
          <w:lang w:eastAsia="zh-CN"/>
          <w14:textFill>
            <w14:solidFill>
              <w14:schemeClr w14:val="tx1"/>
            </w14:solidFill>
          </w14:textFill>
        </w:rPr>
        <w:t>估价师注册证书</w:t>
      </w:r>
      <w:r>
        <w:rPr>
          <w:rStyle w:val="28"/>
          <w:rFonts w:ascii="宋体" w:hAnsi="宋体"/>
          <w:b/>
          <w:color w:val="000000" w:themeColor="text1"/>
          <w:szCs w:val="22"/>
          <w14:textFill>
            <w14:solidFill>
              <w14:schemeClr w14:val="tx1"/>
            </w14:solidFill>
          </w14:textFill>
        </w:rPr>
        <w:t>（复印件）</w:t>
      </w:r>
      <w:r>
        <w:rPr>
          <w:rStyle w:val="28"/>
          <w:rFonts w:ascii="宋体" w:hAnsi="宋体"/>
          <w:b/>
          <w:color w:val="000000" w:themeColor="text1"/>
          <w:szCs w:val="22"/>
          <w14:textFill>
            <w14:solidFill>
              <w14:schemeClr w14:val="tx1"/>
            </w14:solidFill>
          </w14:textFill>
        </w:rPr>
        <w:tab/>
      </w:r>
      <w:r>
        <w:rPr>
          <w:rFonts w:hint="eastAsia"/>
          <w:b/>
          <w:color w:val="000000" w:themeColor="text1"/>
          <w:lang w:val="en-US" w:eastAsia="zh-CN"/>
          <w14:textFill>
            <w14:solidFill>
              <w14:schemeClr w14:val="tx1"/>
            </w14:solidFill>
          </w14:textFill>
        </w:rPr>
        <w:t>1</w:t>
      </w:r>
      <w:r>
        <w:rPr>
          <w:rStyle w:val="28"/>
          <w:rFonts w:ascii="宋体" w:hAnsi="宋体"/>
          <w:b/>
          <w:color w:val="000000" w:themeColor="text1"/>
          <w:szCs w:val="22"/>
          <w14:textFill>
            <w14:solidFill>
              <w14:schemeClr w14:val="tx1"/>
            </w14:solidFill>
          </w14:textFill>
        </w:rPr>
        <w:fldChar w:fldCharType="end"/>
      </w:r>
      <w:r>
        <w:rPr>
          <w:rStyle w:val="28"/>
          <w:rFonts w:hint="eastAsia" w:ascii="宋体" w:hAnsi="宋体"/>
          <w:b/>
          <w:color w:val="000000" w:themeColor="text1"/>
          <w:szCs w:val="22"/>
          <w:lang w:val="en-US" w:eastAsia="zh-CN"/>
          <w14:textFill>
            <w14:solidFill>
              <w14:schemeClr w14:val="tx1"/>
            </w14:solidFill>
          </w14:textFill>
        </w:rPr>
        <w:t>7</w:t>
      </w:r>
    </w:p>
    <w:p>
      <w:pPr>
        <w:adjustRightInd w:val="0"/>
        <w:snapToGrid w:val="0"/>
        <w:spacing w:line="360" w:lineRule="auto"/>
        <w:jc w:val="center"/>
        <w:outlineLvl w:val="0"/>
        <w:rPr>
          <w:rFonts w:ascii="宋体"/>
          <w:b/>
          <w:bCs/>
          <w:color w:val="000000" w:themeColor="text1"/>
          <w:sz w:val="28"/>
          <w:szCs w:val="28"/>
          <w14:textFill>
            <w14:solidFill>
              <w14:schemeClr w14:val="tx1"/>
            </w14:solidFill>
          </w14:textFill>
        </w:rPr>
      </w:pPr>
      <w:r>
        <w:rPr>
          <w:rFonts w:ascii="宋体" w:hAnsi="宋体"/>
          <w:b/>
          <w:bCs/>
          <w:color w:val="000000" w:themeColor="text1"/>
          <w:szCs w:val="21"/>
          <w14:textFill>
            <w14:solidFill>
              <w14:schemeClr w14:val="tx1"/>
            </w14:solidFill>
          </w14:textFill>
        </w:rPr>
        <w:fldChar w:fldCharType="end"/>
      </w:r>
      <w:r>
        <w:rPr>
          <w:rFonts w:ascii="宋体"/>
          <w:b/>
          <w:bCs/>
          <w:color w:val="000000" w:themeColor="text1"/>
          <w:sz w:val="32"/>
          <w:szCs w:val="32"/>
          <w14:textFill>
            <w14:solidFill>
              <w14:schemeClr w14:val="tx1"/>
            </w14:solidFill>
          </w14:textFill>
        </w:rPr>
        <w:br w:type="page"/>
      </w:r>
      <w:bookmarkEnd w:id="7"/>
      <w:bookmarkStart w:id="8" w:name="_Toc507161403"/>
      <w:bookmarkStart w:id="9" w:name="_Toc4757162"/>
      <w:bookmarkStart w:id="10" w:name="_Toc420665317"/>
      <w:r>
        <w:rPr>
          <w:rFonts w:hint="eastAsia" w:ascii="宋体" w:hAnsi="宋体"/>
          <w:b/>
          <w:bCs/>
          <w:color w:val="000000" w:themeColor="text1"/>
          <w:sz w:val="32"/>
          <w:szCs w:val="32"/>
          <w14:textFill>
            <w14:solidFill>
              <w14:schemeClr w14:val="tx1"/>
            </w14:solidFill>
          </w14:textFill>
        </w:rPr>
        <w:t>估价师声明</w:t>
      </w:r>
      <w:bookmarkEnd w:id="8"/>
      <w:bookmarkEnd w:id="9"/>
    </w:p>
    <w:p>
      <w:pPr>
        <w:adjustRightInd w:val="0"/>
        <w:snapToGrid w:val="0"/>
        <w:spacing w:line="360" w:lineRule="auto"/>
        <w:rPr>
          <w:rFonts w:asci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我们郑重声明：</w:t>
      </w:r>
    </w:p>
    <w:p>
      <w:pPr>
        <w:numPr>
          <w:ilvl w:val="0"/>
          <w:numId w:val="1"/>
        </w:numPr>
        <w:tabs>
          <w:tab w:val="left" w:pos="540"/>
          <w:tab w:val="left" w:pos="1080"/>
          <w:tab w:val="clear" w:pos="360"/>
        </w:tabs>
        <w:adjustRightInd w:val="0"/>
        <w:snapToGrid w:val="0"/>
        <w:spacing w:line="360" w:lineRule="auto"/>
        <w:ind w:left="0" w:firstLine="54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注册房地产估价师在估价报告中对事实的说明是真实和准确的，没有虚假记载、误导性陈述和重大遗漏；</w:t>
      </w:r>
    </w:p>
    <w:p>
      <w:pPr>
        <w:numPr>
          <w:ilvl w:val="0"/>
          <w:numId w:val="1"/>
        </w:numPr>
        <w:tabs>
          <w:tab w:val="left" w:pos="540"/>
          <w:tab w:val="left" w:pos="1080"/>
          <w:tab w:val="clear" w:pos="360"/>
        </w:tabs>
        <w:adjustRightInd w:val="0"/>
        <w:snapToGrid w:val="0"/>
        <w:spacing w:line="360" w:lineRule="auto"/>
        <w:ind w:left="0" w:firstLine="54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估价报告中的分析、意见和结论是注册房地产估价师独立、客观、公正的专业分析、意见和结论，但受到估价报告中已说明的估价假设和限制条件的限制；</w:t>
      </w:r>
    </w:p>
    <w:p>
      <w:pPr>
        <w:numPr>
          <w:ilvl w:val="0"/>
          <w:numId w:val="1"/>
        </w:numPr>
        <w:tabs>
          <w:tab w:val="left" w:pos="540"/>
          <w:tab w:val="left" w:pos="1080"/>
          <w:tab w:val="clear" w:pos="360"/>
        </w:tabs>
        <w:adjustRightInd w:val="0"/>
        <w:snapToGrid w:val="0"/>
        <w:spacing w:line="360" w:lineRule="auto"/>
        <w:ind w:left="0" w:firstLine="54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注册房地产估价师与估价报告中的估价对象没有现实或潜在的利益，与估价委托人及估价利害关系人没有利害关系，也对估价对象、估价委托人及估价利害关系人没有偏见；</w:t>
      </w:r>
    </w:p>
    <w:p>
      <w:pPr>
        <w:numPr>
          <w:ilvl w:val="0"/>
          <w:numId w:val="1"/>
        </w:numPr>
        <w:tabs>
          <w:tab w:val="left" w:pos="540"/>
          <w:tab w:val="left" w:pos="1080"/>
          <w:tab w:val="clear" w:pos="360"/>
        </w:tabs>
        <w:adjustRightInd w:val="0"/>
        <w:snapToGrid w:val="0"/>
        <w:spacing w:line="360" w:lineRule="auto"/>
        <w:ind w:left="0" w:firstLine="54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注册房地产估价师是按照中华人民共和国国家标准《房地产估价规范》（</w:t>
      </w:r>
      <w:r>
        <w:rPr>
          <w:rFonts w:ascii="宋体" w:hAnsi="宋体"/>
          <w:color w:val="000000" w:themeColor="text1"/>
          <w:sz w:val="24"/>
          <w14:textFill>
            <w14:solidFill>
              <w14:schemeClr w14:val="tx1"/>
            </w14:solidFill>
          </w14:textFill>
        </w:rPr>
        <w:t>GB/T</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50291-2015</w:t>
      </w:r>
      <w:r>
        <w:rPr>
          <w:rFonts w:hint="eastAsia" w:ascii="宋体" w:hAnsi="宋体"/>
          <w:color w:val="000000" w:themeColor="text1"/>
          <w:sz w:val="24"/>
          <w14:textFill>
            <w14:solidFill>
              <w14:schemeClr w14:val="tx1"/>
            </w14:solidFill>
          </w14:textFill>
        </w:rPr>
        <w:t>）、《房地产估价基本术语标准》（</w:t>
      </w:r>
      <w:r>
        <w:rPr>
          <w:rFonts w:ascii="宋体" w:hAnsi="宋体"/>
          <w:color w:val="000000" w:themeColor="text1"/>
          <w:sz w:val="24"/>
          <w14:textFill>
            <w14:solidFill>
              <w14:schemeClr w14:val="tx1"/>
            </w14:solidFill>
          </w14:textFill>
        </w:rPr>
        <w:t>GB/T 50899-2013</w:t>
      </w:r>
      <w:r>
        <w:rPr>
          <w:rFonts w:hint="eastAsia" w:ascii="宋体" w:hAnsi="宋体"/>
          <w:color w:val="000000" w:themeColor="text1"/>
          <w:sz w:val="24"/>
          <w14:textFill>
            <w14:solidFill>
              <w14:schemeClr w14:val="tx1"/>
            </w14:solidFill>
          </w14:textFill>
        </w:rPr>
        <w:t>）的规定进行估价工作，撰写估价报告。</w:t>
      </w:r>
    </w:p>
    <w:p>
      <w:pPr>
        <w:numPr>
          <w:ilvl w:val="0"/>
          <w:numId w:val="1"/>
        </w:numPr>
        <w:tabs>
          <w:tab w:val="left" w:pos="540"/>
          <w:tab w:val="left" w:pos="1080"/>
          <w:tab w:val="clear" w:pos="360"/>
        </w:tabs>
        <w:adjustRightInd w:val="0"/>
        <w:snapToGrid w:val="0"/>
        <w:spacing w:line="360" w:lineRule="auto"/>
        <w:ind w:left="0" w:firstLine="54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注册房地产估价师</w:t>
      </w:r>
      <w:r>
        <w:rPr>
          <w:rFonts w:hint="eastAsia" w:ascii="宋体" w:hAnsi="宋体"/>
          <w:color w:val="000000" w:themeColor="text1"/>
          <w:sz w:val="24"/>
          <w:lang w:eastAsia="zh-CN"/>
          <w14:textFill>
            <w14:solidFill>
              <w14:schemeClr w14:val="tx1"/>
            </w14:solidFill>
          </w14:textFill>
        </w:rPr>
        <w:t>杨小军、李晓俊</w:t>
      </w:r>
      <w:r>
        <w:rPr>
          <w:rFonts w:hint="eastAsia" w:ascii="宋体" w:hAnsi="宋体"/>
          <w:color w:val="000000" w:themeColor="text1"/>
          <w:sz w:val="24"/>
          <w14:textFill>
            <w14:solidFill>
              <w14:schemeClr w14:val="tx1"/>
            </w14:solidFill>
          </w14:textFill>
        </w:rPr>
        <w:t>已于</w:t>
      </w:r>
      <w:r>
        <w:rPr>
          <w:rFonts w:hint="eastAsia" w:ascii="宋体" w:hAnsi="宋体"/>
          <w:color w:val="000000" w:themeColor="text1"/>
          <w:sz w:val="24"/>
          <w:lang w:eastAsia="zh-CN"/>
          <w14:textFill>
            <w14:solidFill>
              <w14:schemeClr w14:val="tx1"/>
            </w14:solidFill>
          </w14:textFill>
        </w:rPr>
        <w:t>2020年5月26日</w:t>
      </w:r>
      <w:r>
        <w:rPr>
          <w:rFonts w:hint="eastAsia" w:ascii="宋体" w:hAnsi="宋体"/>
          <w:color w:val="000000" w:themeColor="text1"/>
          <w:sz w:val="24"/>
          <w14:textFill>
            <w14:solidFill>
              <w14:schemeClr w14:val="tx1"/>
            </w14:solidFill>
          </w14:textFill>
        </w:rPr>
        <w:t>对本估价报告中估价对象进行了实地查勘，但仅限于对评估标的物外观和使用状况。估价人员不承担对评估标的物建筑结构、质量进行调查的责任和其他被遮盖、未暴露及难于接触到部分进行检视的责任。注册房地产估价师</w:t>
      </w:r>
      <w:r>
        <w:rPr>
          <w:rFonts w:hint="eastAsia" w:ascii="宋体" w:hAnsi="宋体"/>
          <w:color w:val="000000" w:themeColor="text1"/>
          <w:sz w:val="24"/>
          <w:lang w:eastAsia="zh-CN"/>
          <w14:textFill>
            <w14:solidFill>
              <w14:schemeClr w14:val="tx1"/>
            </w14:solidFill>
          </w14:textFill>
        </w:rPr>
        <w:t>杨小军</w:t>
      </w:r>
      <w:r>
        <w:rPr>
          <w:rFonts w:hint="eastAsia" w:ascii="宋体" w:hAnsi="宋体"/>
          <w:color w:val="000000" w:themeColor="text1"/>
          <w:sz w:val="24"/>
          <w14:textFill>
            <w14:solidFill>
              <w14:schemeClr w14:val="tx1"/>
            </w14:solidFill>
          </w14:textFill>
        </w:rPr>
        <w:t>参与报告撰写。</w:t>
      </w:r>
    </w:p>
    <w:p>
      <w:pPr>
        <w:numPr>
          <w:ilvl w:val="0"/>
          <w:numId w:val="1"/>
        </w:numPr>
        <w:tabs>
          <w:tab w:val="left" w:pos="540"/>
          <w:tab w:val="left" w:pos="1080"/>
          <w:tab w:val="clear" w:pos="360"/>
        </w:tabs>
        <w:adjustRightInd w:val="0"/>
        <w:snapToGrid w:val="0"/>
        <w:spacing w:line="360" w:lineRule="auto"/>
        <w:ind w:left="0" w:firstLine="54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没有人对本估价报告提供重要专业帮助。</w:t>
      </w:r>
    </w:p>
    <w:p>
      <w:pPr>
        <w:numPr>
          <w:ilvl w:val="0"/>
          <w:numId w:val="1"/>
        </w:numPr>
        <w:tabs>
          <w:tab w:val="left" w:pos="540"/>
          <w:tab w:val="left" w:pos="1080"/>
          <w:tab w:val="clear" w:pos="360"/>
        </w:tabs>
        <w:adjustRightInd w:val="0"/>
        <w:snapToGrid w:val="0"/>
        <w:spacing w:line="360" w:lineRule="auto"/>
        <w:ind w:left="0" w:firstLine="54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参与估价的注册房地产估价师</w:t>
      </w:r>
    </w:p>
    <w:tbl>
      <w:tblPr>
        <w:tblStyle w:val="19"/>
        <w:tblW w:w="909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4"/>
        <w:gridCol w:w="1487"/>
        <w:gridCol w:w="2645"/>
        <w:gridCol w:w="1775"/>
        <w:gridCol w:w="2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1074"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姓名</w:t>
            </w:r>
          </w:p>
        </w:tc>
        <w:tc>
          <w:tcPr>
            <w:tcW w:w="1487" w:type="dxa"/>
            <w:tcBorders>
              <w:right w:val="single" w:color="auto" w:sz="4" w:space="0"/>
            </w:tcBorders>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注册号</w:t>
            </w:r>
          </w:p>
        </w:tc>
        <w:tc>
          <w:tcPr>
            <w:tcW w:w="2645" w:type="dxa"/>
            <w:tcBorders>
              <w:left w:val="single" w:color="auto" w:sz="4" w:space="0"/>
            </w:tcBorders>
            <w:vAlign w:val="center"/>
          </w:tcPr>
          <w:p>
            <w:pPr>
              <w:tabs>
                <w:tab w:val="left" w:pos="540"/>
                <w:tab w:val="left" w:pos="1080"/>
              </w:tabs>
              <w:snapToGrid w:val="0"/>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盖章</w:t>
            </w:r>
          </w:p>
        </w:tc>
        <w:tc>
          <w:tcPr>
            <w:tcW w:w="1775"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签名</w:t>
            </w:r>
          </w:p>
        </w:tc>
        <w:tc>
          <w:tcPr>
            <w:tcW w:w="2116"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1074" w:type="dxa"/>
            <w:vAlign w:val="center"/>
          </w:tcPr>
          <w:p>
            <w:pPr>
              <w:tabs>
                <w:tab w:val="left" w:pos="540"/>
                <w:tab w:val="left" w:pos="1080"/>
              </w:tabs>
              <w:snapToGrid w:val="0"/>
              <w:spacing w:line="360" w:lineRule="auto"/>
              <w:jc w:val="center"/>
              <w:rPr>
                <w:rFonts w:hint="eastAsia" w:asci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 xml:space="preserve"> 杨小军</w:t>
            </w:r>
          </w:p>
        </w:tc>
        <w:tc>
          <w:tcPr>
            <w:tcW w:w="1487" w:type="dxa"/>
            <w:tcBorders>
              <w:right w:val="single" w:color="auto" w:sz="4" w:space="0"/>
            </w:tcBorders>
            <w:vAlign w:val="center"/>
          </w:tcPr>
          <w:p>
            <w:pPr>
              <w:tabs>
                <w:tab w:val="left" w:pos="540"/>
                <w:tab w:val="left" w:pos="1080"/>
              </w:tabs>
              <w:snapToGrid w:val="0"/>
              <w:spacing w:line="360" w:lineRule="auto"/>
              <w:jc w:val="center"/>
              <w:rPr>
                <w:rFonts w:hint="eastAsia" w:asci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6519970004</w:t>
            </w:r>
          </w:p>
        </w:tc>
        <w:tc>
          <w:tcPr>
            <w:tcW w:w="2645" w:type="dxa"/>
            <w:tcBorders>
              <w:left w:val="single" w:color="auto" w:sz="4" w:space="0"/>
            </w:tcBorders>
            <w:vAlign w:val="center"/>
          </w:tcPr>
          <w:p>
            <w:pPr>
              <w:tabs>
                <w:tab w:val="left" w:pos="540"/>
                <w:tab w:val="left" w:pos="1080"/>
              </w:tabs>
              <w:snapToGrid w:val="0"/>
              <w:spacing w:line="360" w:lineRule="auto"/>
              <w:jc w:val="center"/>
              <w:rPr>
                <w:rFonts w:ascii="宋体" w:hAnsi="宋体"/>
                <w:color w:val="000000" w:themeColor="text1"/>
                <w:kern w:val="0"/>
                <w:sz w:val="24"/>
                <w14:textFill>
                  <w14:solidFill>
                    <w14:schemeClr w14:val="tx1"/>
                  </w14:solidFill>
                </w14:textFill>
              </w:rPr>
            </w:pPr>
          </w:p>
        </w:tc>
        <w:tc>
          <w:tcPr>
            <w:tcW w:w="1775"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916305" cy="463550"/>
                  <wp:effectExtent l="0" t="0" r="17145" b="12700"/>
                  <wp:docPr id="1030" name="图片 1" descr="名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 descr="名字"/>
                          <pic:cNvPicPr>
                            <a:picLocks noChangeAspect="1"/>
                          </pic:cNvPicPr>
                        </pic:nvPicPr>
                        <pic:blipFill>
                          <a:blip r:embed="rId10"/>
                          <a:stretch>
                            <a:fillRect/>
                          </a:stretch>
                        </pic:blipFill>
                        <pic:spPr>
                          <a:xfrm>
                            <a:off x="0" y="0"/>
                            <a:ext cx="916305" cy="463550"/>
                          </a:xfrm>
                          <a:prstGeom prst="rect">
                            <a:avLst/>
                          </a:prstGeom>
                          <a:noFill/>
                          <a:ln w="9525">
                            <a:noFill/>
                          </a:ln>
                        </pic:spPr>
                      </pic:pic>
                    </a:graphicData>
                  </a:graphic>
                </wp:inline>
              </w:drawing>
            </w:r>
          </w:p>
        </w:tc>
        <w:tc>
          <w:tcPr>
            <w:tcW w:w="2116"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r>
              <w:rPr>
                <w:rFonts w:hint="eastAsia" w:ascii="宋体" w:hAnsi="宋体"/>
                <w:color w:val="000000" w:themeColor="text1"/>
                <w:kern w:val="0"/>
                <w:sz w:val="24"/>
                <w:lang w:val="en-US" w:eastAsia="zh-CN"/>
                <w14:textFill>
                  <w14:solidFill>
                    <w14:schemeClr w14:val="tx1"/>
                  </w14:solidFill>
                </w14:textFill>
              </w:rPr>
              <w:t>2020年6月5日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rPr>
        <w:tc>
          <w:tcPr>
            <w:tcW w:w="1074"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李晓俊</w:t>
            </w:r>
          </w:p>
        </w:tc>
        <w:tc>
          <w:tcPr>
            <w:tcW w:w="1487" w:type="dxa"/>
            <w:tcBorders>
              <w:right w:val="single" w:color="auto" w:sz="4" w:space="0"/>
            </w:tcBorders>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6520020031</w:t>
            </w:r>
          </w:p>
        </w:tc>
        <w:tc>
          <w:tcPr>
            <w:tcW w:w="2645" w:type="dxa"/>
            <w:tcBorders>
              <w:left w:val="single" w:color="auto" w:sz="4" w:space="0"/>
            </w:tcBorders>
            <w:vAlign w:val="center"/>
          </w:tcPr>
          <w:p>
            <w:pPr>
              <w:tabs>
                <w:tab w:val="left" w:pos="540"/>
                <w:tab w:val="left" w:pos="1080"/>
              </w:tabs>
              <w:snapToGrid w:val="0"/>
              <w:spacing w:line="360" w:lineRule="auto"/>
              <w:jc w:val="center"/>
              <w:rPr>
                <w:rFonts w:ascii="宋体" w:hAnsi="宋体"/>
                <w:color w:val="000000" w:themeColor="text1"/>
                <w:kern w:val="0"/>
                <w:sz w:val="24"/>
                <w14:textFill>
                  <w14:solidFill>
                    <w14:schemeClr w14:val="tx1"/>
                  </w14:solidFill>
                </w14:textFill>
              </w:rPr>
            </w:pPr>
          </w:p>
        </w:tc>
        <w:tc>
          <w:tcPr>
            <w:tcW w:w="1775"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094740" cy="509905"/>
                  <wp:effectExtent l="0" t="0" r="1016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lum bright="-12000" contrast="42000"/>
                          </a:blip>
                          <a:stretch>
                            <a:fillRect/>
                          </a:stretch>
                        </pic:blipFill>
                        <pic:spPr>
                          <a:xfrm>
                            <a:off x="0" y="0"/>
                            <a:ext cx="1094740" cy="509905"/>
                          </a:xfrm>
                          <a:prstGeom prst="rect">
                            <a:avLst/>
                          </a:prstGeom>
                          <a:noFill/>
                          <a:ln>
                            <a:noFill/>
                          </a:ln>
                        </pic:spPr>
                      </pic:pic>
                    </a:graphicData>
                  </a:graphic>
                </wp:inline>
              </w:drawing>
            </w:r>
          </w:p>
        </w:tc>
        <w:tc>
          <w:tcPr>
            <w:tcW w:w="2116"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r>
              <w:rPr>
                <w:rFonts w:hint="eastAsia" w:ascii="宋体" w:hAnsi="宋体"/>
                <w:color w:val="000000" w:themeColor="text1"/>
                <w:kern w:val="0"/>
                <w:sz w:val="24"/>
                <w:lang w:val="en-US" w:eastAsia="zh-CN"/>
                <w14:textFill>
                  <w14:solidFill>
                    <w14:schemeClr w14:val="tx1"/>
                  </w14:solidFill>
                </w14:textFill>
              </w:rPr>
              <w:t>2020年6月5日</w:t>
            </w:r>
          </w:p>
        </w:tc>
      </w:tr>
    </w:tbl>
    <w:p>
      <w:pPr>
        <w:tabs>
          <w:tab w:val="left" w:pos="540"/>
          <w:tab w:val="left" w:pos="1080"/>
        </w:tabs>
        <w:adjustRightInd w:val="0"/>
        <w:snapToGrid w:val="0"/>
        <w:spacing w:line="500" w:lineRule="exact"/>
        <w:jc w:val="left"/>
        <w:rPr>
          <w:rFonts w:ascii="宋体"/>
          <w:color w:val="000000" w:themeColor="text1"/>
          <w:sz w:val="24"/>
          <w14:textFill>
            <w14:solidFill>
              <w14:schemeClr w14:val="tx1"/>
            </w14:solidFill>
          </w14:textFill>
        </w:rPr>
      </w:pPr>
    </w:p>
    <w:p>
      <w:pPr>
        <w:adjustRightInd w:val="0"/>
        <w:snapToGrid w:val="0"/>
        <w:spacing w:line="420" w:lineRule="auto"/>
        <w:jc w:val="center"/>
        <w:outlineLvl w:val="0"/>
        <w:rPr>
          <w:rFonts w:ascii="宋体"/>
          <w:b/>
          <w:bCs/>
          <w:color w:val="000000" w:themeColor="text1"/>
          <w:sz w:val="32"/>
          <w:szCs w:val="32"/>
          <w14:textFill>
            <w14:solidFill>
              <w14:schemeClr w14:val="tx1"/>
            </w14:solidFill>
          </w14:textFill>
        </w:rPr>
      </w:pPr>
      <w:r>
        <w:rPr>
          <w:rFonts w:ascii="宋体"/>
          <w:b/>
          <w:bCs/>
          <w:color w:val="000000" w:themeColor="text1"/>
          <w:sz w:val="32"/>
          <w:szCs w:val="32"/>
          <w14:textFill>
            <w14:solidFill>
              <w14:schemeClr w14:val="tx1"/>
            </w14:solidFill>
          </w14:textFill>
        </w:rPr>
        <w:br w:type="page"/>
      </w:r>
      <w:bookmarkEnd w:id="10"/>
      <w:bookmarkStart w:id="11" w:name="_Toc4757163"/>
      <w:r>
        <w:rPr>
          <w:rFonts w:hint="eastAsia" w:ascii="宋体" w:hAnsi="宋体"/>
          <w:b/>
          <w:bCs/>
          <w:color w:val="000000" w:themeColor="text1"/>
          <w:sz w:val="32"/>
          <w:szCs w:val="32"/>
          <w14:textFill>
            <w14:solidFill>
              <w14:schemeClr w14:val="tx1"/>
            </w14:solidFill>
          </w14:textFill>
        </w:rPr>
        <w:t>估价假设和限制条件</w:t>
      </w:r>
      <w:bookmarkEnd w:id="11"/>
    </w:p>
    <w:p>
      <w:pPr>
        <w:numPr>
          <w:ilvl w:val="0"/>
          <w:numId w:val="2"/>
        </w:numPr>
        <w:adjustRightInd w:val="0"/>
        <w:snapToGrid w:val="0"/>
        <w:spacing w:line="420" w:lineRule="auto"/>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一般假设</w:t>
      </w:r>
    </w:p>
    <w:p>
      <w:pPr>
        <w:adjustRightInd w:val="0"/>
        <w:snapToGrid w:val="0"/>
        <w:spacing w:line="420" w:lineRule="auto"/>
        <w:ind w:firstLine="480" w:firstLineChars="200"/>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w:t>
      </w:r>
      <w:r>
        <w:rPr>
          <w:rFonts w:hint="eastAsia" w:ascii="宋体" w:hAnsi="宋体"/>
          <w:bCs/>
          <w:color w:val="000000" w:themeColor="text1"/>
          <w:sz w:val="24"/>
          <w:lang w:eastAsia="zh-CN"/>
          <w14:textFill>
            <w14:solidFill>
              <w14:schemeClr w14:val="tx1"/>
            </w14:solidFill>
          </w14:textFill>
        </w:rPr>
        <w:t>案件双方当事人未提供权证资料《房屋所有权证》、《国有土地使用证》或《不动产权证》原件、复印件</w:t>
      </w:r>
      <w:r>
        <w:rPr>
          <w:rFonts w:hint="eastAsia"/>
          <w:color w:val="000000" w:themeColor="text1"/>
          <w:sz w:val="24"/>
          <w:lang w:eastAsia="zh-CN"/>
          <w14:textFill>
            <w14:solidFill>
              <w14:schemeClr w14:val="tx1"/>
            </w14:solidFill>
          </w14:textFill>
        </w:rPr>
        <w:t>，</w:t>
      </w:r>
      <w:r>
        <w:rPr>
          <w:rFonts w:hint="eastAsia" w:ascii="宋体" w:hAnsi="宋体"/>
          <w:bCs/>
          <w:color w:val="000000" w:themeColor="text1"/>
          <w:sz w:val="24"/>
          <w:lang w:eastAsia="zh-CN"/>
          <w14:textFill>
            <w14:solidFill>
              <w14:schemeClr w14:val="tx1"/>
            </w14:solidFill>
          </w14:textFill>
        </w:rPr>
        <w:t>本次估价以《乌苏市房屋登记信息查询结果》为依据</w:t>
      </w:r>
      <w:r>
        <w:rPr>
          <w:rFonts w:hint="eastAsia" w:ascii="宋体" w:hAnsi="宋体"/>
          <w:color w:val="000000" w:themeColor="text1"/>
          <w:sz w:val="24"/>
          <w14:textFill>
            <w14:solidFill>
              <w14:schemeClr w14:val="tx1"/>
            </w14:solidFill>
          </w14:textFill>
        </w:rPr>
        <w:t>，资料合法、真实、准确、完整。</w:t>
      </w:r>
    </w:p>
    <w:p>
      <w:pPr>
        <w:adjustRightInd w:val="0"/>
        <w:snapToGrid w:val="0"/>
        <w:spacing w:line="42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8"/>
        <w:numPr>
          <w:ilvl w:val="0"/>
          <w:numId w:val="3"/>
        </w:numPr>
        <w:tabs>
          <w:tab w:val="left" w:pos="851"/>
        </w:tabs>
        <w:adjustRightInd w:val="0"/>
        <w:snapToGrid w:val="0"/>
        <w:spacing w:line="420" w:lineRule="auto"/>
        <w:ind w:left="0" w:firstLine="480"/>
        <w:rPr>
          <w:rFonts w:asci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本报告中的房屋建筑物面积以</w:t>
      </w:r>
      <w:r>
        <w:rPr>
          <w:rFonts w:hint="eastAsia" w:ascii="宋体" w:hAnsi="宋体"/>
          <w:bCs/>
          <w:color w:val="000000" w:themeColor="text1"/>
          <w:sz w:val="24"/>
          <w:lang w:eastAsia="zh-CN"/>
          <w14:textFill>
            <w14:solidFill>
              <w14:schemeClr w14:val="tx1"/>
            </w14:solidFill>
          </w14:textFill>
        </w:rPr>
        <w:t>《乌苏市房屋登记信息查询结果》</w:t>
      </w:r>
      <w:r>
        <w:rPr>
          <w:rFonts w:hint="eastAsia" w:ascii="宋体" w:hAnsi="宋体"/>
          <w:color w:val="000000" w:themeColor="text1"/>
          <w:sz w:val="24"/>
          <w14:textFill>
            <w14:solidFill>
              <w14:schemeClr w14:val="tx1"/>
            </w14:solidFill>
          </w14:textFill>
        </w:rPr>
        <w:t>中记载内容为依据，注册房地产估价师未对房屋建筑面积进行专业测量，经现场查勘观察，估价对象房屋建筑面积与</w:t>
      </w:r>
      <w:r>
        <w:rPr>
          <w:rFonts w:hint="eastAsia" w:ascii="宋体" w:hAnsi="宋体"/>
          <w:bCs/>
          <w:color w:val="000000" w:themeColor="text1"/>
          <w:sz w:val="24"/>
          <w:lang w:eastAsia="zh-CN"/>
          <w14:textFill>
            <w14:solidFill>
              <w14:schemeClr w14:val="tx1"/>
            </w14:solidFill>
          </w14:textFill>
        </w:rPr>
        <w:t>《乌苏市房屋登记信息查询结果》</w:t>
      </w:r>
      <w:r>
        <w:rPr>
          <w:rFonts w:hint="eastAsia" w:ascii="宋体" w:hAnsi="宋体"/>
          <w:color w:val="000000" w:themeColor="text1"/>
          <w:sz w:val="24"/>
          <w14:textFill>
            <w14:solidFill>
              <w14:schemeClr w14:val="tx1"/>
            </w14:solidFill>
          </w14:textFill>
        </w:rPr>
        <w:t>记载建筑面积大体相当，估价对象房屋建筑面积为</w:t>
      </w:r>
      <w:r>
        <w:rPr>
          <w:rFonts w:hint="eastAsia" w:ascii="宋体" w:hAnsi="宋体"/>
          <w:color w:val="000000" w:themeColor="text1"/>
          <w:sz w:val="24"/>
          <w:lang w:eastAsia="zh-CN"/>
          <w14:textFill>
            <w14:solidFill>
              <w14:schemeClr w14:val="tx1"/>
            </w14:solidFill>
          </w14:textFill>
        </w:rPr>
        <w:t>113.87</w:t>
      </w:r>
      <w:r>
        <w:rPr>
          <w:rFonts w:hint="eastAsia" w:ascii="宋体" w:hAnsi="宋体"/>
          <w:color w:val="000000" w:themeColor="text1"/>
          <w:sz w:val="24"/>
          <w14:textFill>
            <w14:solidFill>
              <w14:schemeClr w14:val="tx1"/>
            </w14:solidFill>
          </w14:textFill>
        </w:rPr>
        <w:t>平方米。</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4、估价对象在价值时点的房地产市场为公开、平等、自愿的交易市场，即能满足以下条件：</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）交易双方自愿地进行交易；</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）交易双方处于利己动机进行交易；</w:t>
      </w:r>
      <w:r>
        <w:rPr>
          <w:rFonts w:ascii="宋体"/>
          <w:color w:val="000000" w:themeColor="text1"/>
          <w:sz w:val="24"/>
          <w14:textFill>
            <w14:solidFill>
              <w14:schemeClr w14:val="tx1"/>
            </w14:solidFill>
          </w14:textFill>
        </w:rPr>
        <w:t>  </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）交易双方精明、谨慎行事，并了解交易对象、知晓市场行情；</w:t>
      </w:r>
      <w:r>
        <w:rPr>
          <w:rFonts w:ascii="宋体"/>
          <w:color w:val="000000" w:themeColor="text1"/>
          <w:sz w:val="24"/>
          <w14:textFill>
            <w14:solidFill>
              <w14:schemeClr w14:val="tx1"/>
            </w14:solidFill>
          </w14:textFill>
        </w:rPr>
        <w:t>  </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）交易双方有较充裕的时间进行交易；</w:t>
      </w:r>
      <w:r>
        <w:rPr>
          <w:rFonts w:ascii="宋体"/>
          <w:color w:val="000000" w:themeColor="text1"/>
          <w:sz w:val="24"/>
          <w14:textFill>
            <w14:solidFill>
              <w14:schemeClr w14:val="tx1"/>
            </w14:solidFill>
          </w14:textFill>
        </w:rPr>
        <w:t>  </w:t>
      </w:r>
    </w:p>
    <w:p>
      <w:pPr>
        <w:numPr>
          <w:ilvl w:val="0"/>
          <w:numId w:val="4"/>
        </w:numPr>
        <w:adjustRightInd w:val="0"/>
        <w:snapToGrid w:val="0"/>
        <w:spacing w:line="420" w:lineRule="auto"/>
        <w:ind w:left="1134" w:hanging="65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不存在买者因特殊兴趣而给予附加出价</w:t>
      </w:r>
      <w:r>
        <w:rPr>
          <w:rFonts w:ascii="宋体" w:hAnsi="宋体"/>
          <w:color w:val="000000" w:themeColor="text1"/>
          <w:sz w:val="24"/>
          <w14:textFill>
            <w14:solidFill>
              <w14:schemeClr w14:val="tx1"/>
            </w14:solidFill>
          </w14:textFill>
        </w:rPr>
        <w:t>;</w:t>
      </w:r>
    </w:p>
    <w:p>
      <w:pPr>
        <w:adjustRightInd w:val="0"/>
        <w:snapToGrid w:val="0"/>
        <w:spacing w:line="420" w:lineRule="auto"/>
        <w:ind w:left="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5、估价对象应享有公共部位的通行权及水电等共用设施的使用权。</w:t>
      </w:r>
    </w:p>
    <w:p>
      <w:pPr>
        <w:adjustRightInd w:val="0"/>
        <w:snapToGrid w:val="0"/>
        <w:spacing w:line="420" w:lineRule="auto"/>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二、未定事项假设</w:t>
      </w:r>
      <w:r>
        <w:rPr>
          <w:rFonts w:ascii="宋体"/>
          <w:color w:val="000000" w:themeColor="text1"/>
          <w:sz w:val="24"/>
          <w14:textFill>
            <w14:solidFill>
              <w14:schemeClr w14:val="tx1"/>
            </w14:solidFill>
          </w14:textFill>
        </w:rPr>
        <w:t xml:space="preserve"> </w:t>
      </w:r>
    </w:p>
    <w:p>
      <w:pPr>
        <w:pStyle w:val="37"/>
        <w:numPr>
          <w:ilvl w:val="3"/>
          <w:numId w:val="2"/>
        </w:numPr>
        <w:tabs>
          <w:tab w:val="left" w:pos="284"/>
          <w:tab w:val="clear" w:pos="1680"/>
        </w:tabs>
        <w:adjustRightInd w:val="0"/>
        <w:snapToGrid w:val="0"/>
        <w:spacing w:line="420" w:lineRule="auto"/>
        <w:ind w:left="0" w:firstLine="480"/>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估价对象</w:t>
      </w:r>
      <w:r>
        <w:rPr>
          <w:rFonts w:hint="eastAsia" w:ascii="宋体" w:hAnsi="宋体"/>
          <w:bCs/>
          <w:color w:val="000000" w:themeColor="text1"/>
          <w:sz w:val="24"/>
          <w:lang w:eastAsia="zh-CN"/>
          <w14:textFill>
            <w14:solidFill>
              <w14:schemeClr w14:val="tx1"/>
            </w14:solidFill>
          </w14:textFill>
        </w:rPr>
        <w:t>《乌苏市房屋登记信息查询结果》</w:t>
      </w:r>
      <w:r>
        <w:rPr>
          <w:rFonts w:hint="eastAsia" w:ascii="宋体" w:hAnsi="宋体" w:cs="宋体"/>
          <w:color w:val="000000" w:themeColor="text1"/>
          <w:sz w:val="24"/>
          <w14:textFill>
            <w14:solidFill>
              <w14:schemeClr w14:val="tx1"/>
            </w14:solidFill>
          </w14:textFill>
        </w:rPr>
        <w:t>未记载估价对象房屋的建成年份，经注册房地产估价师实地调查，房屋建成年份为</w:t>
      </w:r>
      <w:r>
        <w:rPr>
          <w:rFonts w:hint="eastAsia" w:ascii="宋体" w:hAnsi="宋体" w:cs="宋体"/>
          <w:color w:val="000000" w:themeColor="text1"/>
          <w:sz w:val="24"/>
          <w:lang w:val="en-US" w:eastAsia="zh-CN"/>
          <w14:textFill>
            <w14:solidFill>
              <w14:schemeClr w14:val="tx1"/>
            </w14:solidFill>
          </w14:textFill>
        </w:rPr>
        <w:t>2001年</w:t>
      </w:r>
      <w:r>
        <w:rPr>
          <w:rFonts w:hint="eastAsia" w:ascii="宋体" w:hAnsi="宋体" w:cs="宋体"/>
          <w:color w:val="000000" w:themeColor="text1"/>
          <w:sz w:val="24"/>
          <w14:textFill>
            <w14:solidFill>
              <w14:schemeClr w14:val="tx1"/>
            </w14:solidFill>
          </w14:textFill>
        </w:rPr>
        <w:t>，本次估价房屋建成年份以实地调查为准。</w:t>
      </w:r>
    </w:p>
    <w:p>
      <w:pPr>
        <w:pStyle w:val="37"/>
        <w:numPr>
          <w:ilvl w:val="3"/>
          <w:numId w:val="2"/>
        </w:numPr>
        <w:tabs>
          <w:tab w:val="left" w:pos="284"/>
          <w:tab w:val="clear" w:pos="1680"/>
        </w:tabs>
        <w:adjustRightInd w:val="0"/>
        <w:snapToGrid w:val="0"/>
        <w:spacing w:line="420" w:lineRule="auto"/>
        <w:ind w:left="0"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本次估价对象</w:t>
      </w:r>
      <w:r>
        <w:rPr>
          <w:rFonts w:hint="eastAsia" w:ascii="宋体" w:hAnsi="宋体"/>
          <w:color w:val="000000" w:themeColor="text1"/>
          <w:sz w:val="24"/>
          <w:lang w:eastAsia="zh-CN"/>
          <w14:textFill>
            <w14:solidFill>
              <w14:schemeClr w14:val="tx1"/>
            </w14:solidFill>
          </w14:textFill>
        </w:rPr>
        <w:t>由法院</w:t>
      </w:r>
      <w:r>
        <w:rPr>
          <w:rFonts w:hint="eastAsia" w:ascii="宋体" w:hAnsi="宋体"/>
          <w:color w:val="000000" w:themeColor="text1"/>
          <w:sz w:val="24"/>
          <w14:textFill>
            <w14:solidFill>
              <w14:schemeClr w14:val="tx1"/>
            </w14:solidFill>
          </w14:textFill>
        </w:rPr>
        <w:t>带领现场指认，若与实际不符，应重新估价；估价人员现场查勘时，未能对其做建筑物基础、房屋结构上的测量和实验，本次估价假设其无建筑物基础、结构等方面的重大质量问题。</w:t>
      </w:r>
    </w:p>
    <w:p>
      <w:pPr>
        <w:pStyle w:val="37"/>
        <w:numPr>
          <w:ilvl w:val="3"/>
          <w:numId w:val="2"/>
        </w:numPr>
        <w:tabs>
          <w:tab w:val="left" w:pos="284"/>
          <w:tab w:val="clear" w:pos="1680"/>
        </w:tabs>
        <w:adjustRightInd w:val="0"/>
        <w:snapToGrid w:val="0"/>
        <w:spacing w:line="420" w:lineRule="auto"/>
        <w:ind w:left="0"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截止价值时点</w:t>
      </w:r>
      <w:r>
        <w:rPr>
          <w:rFonts w:hint="eastAsia" w:ascii="宋体" w:hAnsi="宋体"/>
          <w:color w:val="000000" w:themeColor="text1"/>
          <w:sz w:val="24"/>
          <w:lang w:eastAsia="zh-CN"/>
          <w14:textFill>
            <w14:solidFill>
              <w14:schemeClr w14:val="tx1"/>
            </w14:solidFill>
          </w14:textFill>
        </w:rPr>
        <w:t>委托人</w:t>
      </w:r>
      <w:r>
        <w:rPr>
          <w:rFonts w:hint="eastAsia" w:ascii="宋体" w:hAnsi="宋体"/>
          <w:color w:val="000000" w:themeColor="text1"/>
          <w:sz w:val="24"/>
          <w14:textFill>
            <w14:solidFill>
              <w14:schemeClr w14:val="tx1"/>
            </w14:solidFill>
          </w14:textFill>
        </w:rPr>
        <w:t>未提供估价对象的</w:t>
      </w:r>
      <w:r>
        <w:rPr>
          <w:rFonts w:hint="eastAsia" w:ascii="宋体" w:hAnsi="宋体"/>
          <w:color w:val="000000" w:themeColor="text1"/>
          <w:sz w:val="24"/>
          <w:lang w:eastAsia="zh-CN"/>
          <w14:textFill>
            <w14:solidFill>
              <w14:schemeClr w14:val="tx1"/>
            </w14:solidFill>
          </w14:textFill>
        </w:rPr>
        <w:t>土地权属</w:t>
      </w:r>
      <w:r>
        <w:rPr>
          <w:rFonts w:hint="eastAsia" w:ascii="宋体" w:hAnsi="宋体"/>
          <w:color w:val="000000" w:themeColor="text1"/>
          <w:sz w:val="24"/>
          <w14:textFill>
            <w14:solidFill>
              <w14:schemeClr w14:val="tx1"/>
            </w14:solidFill>
          </w14:textFill>
        </w:rPr>
        <w:t>资料，本次估价对房屋的土地取得方式、土地使用权类型和用途做如下假设：</w:t>
      </w:r>
      <w:r>
        <w:rPr>
          <w:rFonts w:hint="eastAsia" w:ascii="宋体" w:hAns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1）土地取得方式：以出让方式取得；</w:t>
      </w:r>
      <w:r>
        <w:rPr>
          <w:rFonts w:hint="eastAsia" w:ascii="宋体" w:hAns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2）土地使用权类型：出让国有建设用地；</w:t>
      </w:r>
      <w:r>
        <w:rPr>
          <w:rFonts w:hint="eastAsia" w:ascii="宋体" w:hAns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3）土地用途：按与房屋同一用途进行设定，土地用途为住宅用地；</w:t>
      </w:r>
    </w:p>
    <w:p>
      <w:pPr>
        <w:pStyle w:val="37"/>
        <w:adjustRightInd w:val="0"/>
        <w:snapToGrid w:val="0"/>
        <w:spacing w:line="420" w:lineRule="auto"/>
        <w:ind w:left="480" w:firstLine="0" w:firstLineChars="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4</w:t>
      </w:r>
      <w:r>
        <w:rPr>
          <w:rFonts w:hint="eastAsia" w:ascii="宋体" w:hAnsi="宋体"/>
          <w:color w:val="000000" w:themeColor="text1"/>
          <w:sz w:val="24"/>
          <w14:textFill>
            <w14:solidFill>
              <w14:schemeClr w14:val="tx1"/>
            </w14:solidFill>
          </w14:textFill>
        </w:rPr>
        <w:t>）土地使用年期：假设与建筑物经济寿命同时终止。</w:t>
      </w:r>
    </w:p>
    <w:p>
      <w:pPr>
        <w:pStyle w:val="37"/>
        <w:numPr>
          <w:ilvl w:val="3"/>
          <w:numId w:val="2"/>
        </w:numPr>
        <w:tabs>
          <w:tab w:val="left" w:pos="284"/>
          <w:tab w:val="clear" w:pos="1680"/>
        </w:tabs>
        <w:adjustRightInd w:val="0"/>
        <w:snapToGrid w:val="0"/>
        <w:spacing w:line="420" w:lineRule="auto"/>
        <w:ind w:left="0" w:firstLine="48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若上述情况与相关部门确定结果发生变化，评估结果须做相应调整。本次估价假设不考虑抵押权、典权等他项权利对估价对象市场价值影响。</w:t>
      </w:r>
    </w:p>
    <w:p>
      <w:pPr>
        <w:pStyle w:val="37"/>
        <w:adjustRightInd w:val="0"/>
        <w:snapToGrid w:val="0"/>
        <w:spacing w:line="420" w:lineRule="auto"/>
        <w:ind w:firstLine="0" w:firstLineChars="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w:t>
      </w:r>
      <w:r>
        <w:rPr>
          <w:rFonts w:hint="eastAsia" w:ascii="宋体" w:hAnsi="宋体" w:cs="宋体"/>
          <w:b/>
          <w:bCs/>
          <w:color w:val="000000" w:themeColor="text1"/>
          <w:sz w:val="24"/>
          <w14:textFill>
            <w14:solidFill>
              <w14:schemeClr w14:val="tx1"/>
            </w14:solidFill>
          </w14:textFill>
        </w:rPr>
        <w:t>背离事实假设</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、估价结果未考虑未来处置风险，未考虑变现处置时产生相关费用及应按相关法律、法规、政策规定缴纳的处置时产生的税费。</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、本估价结论未考虑国家政策、经济环境、处置方式、房地产本身的状况等因素及本报告假设条件发生重大变化，以及自然力和其他不可抗力因素对估价对象价值的影响。</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、假设估价对象无所有权和使用权异议，未考虑司法及行政机关依法裁定、决定查封和其他限制该房地产权力或影响其公开市场价值的情形，不存在法律、法规规定禁止估价对象按本次评估目的使用的其他情形。</w:t>
      </w:r>
    </w:p>
    <w:p>
      <w:pPr>
        <w:adjustRightInd w:val="0"/>
        <w:snapToGrid w:val="0"/>
        <w:spacing w:line="42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、本报告未考虑房地产所有权人所欠负的抵押、租赁、清算、抵债以及相关税费等因素可能影响房地产评估的任何限制。</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5、本报告以</w:t>
      </w:r>
      <w:r>
        <w:rPr>
          <w:rFonts w:hint="eastAsia" w:ascii="宋体" w:hAnsi="宋体"/>
          <w:color w:val="000000" w:themeColor="text1"/>
          <w:sz w:val="24"/>
          <w:lang w:eastAsia="zh-CN"/>
          <w14:textFill>
            <w14:solidFill>
              <w14:schemeClr w14:val="tx1"/>
            </w14:solidFill>
          </w14:textFill>
        </w:rPr>
        <w:t>乌苏市人民法院</w:t>
      </w:r>
      <w:r>
        <w:rPr>
          <w:rFonts w:hint="eastAsia" w:ascii="宋体" w:hAnsi="宋体"/>
          <w:color w:val="000000" w:themeColor="text1"/>
          <w:sz w:val="24"/>
          <w14:textFill>
            <w14:solidFill>
              <w14:schemeClr w14:val="tx1"/>
            </w14:solidFill>
          </w14:textFill>
        </w:rPr>
        <w:t>签发的委托书日期</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作为本次评估的价值时点，现场勘查日期为20</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5月26日</w:t>
      </w:r>
      <w:r>
        <w:rPr>
          <w:rFonts w:hint="eastAsia" w:ascii="宋体" w:hAnsi="宋体"/>
          <w:color w:val="000000" w:themeColor="text1"/>
          <w:sz w:val="24"/>
          <w14:textFill>
            <w14:solidFill>
              <w14:schemeClr w14:val="tx1"/>
            </w14:solidFill>
          </w14:textFill>
        </w:rPr>
        <w:t>， 假定估价对象在价值时点状况与在完成实地查勘之日的状况一致。假设在价值时点的房地产市场为公开、公平的均衡市场。</w:t>
      </w:r>
    </w:p>
    <w:p>
      <w:pPr>
        <w:adjustRightInd w:val="0"/>
        <w:snapToGrid w:val="0"/>
        <w:spacing w:line="420" w:lineRule="auto"/>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四、</w:t>
      </w:r>
      <w:r>
        <w:rPr>
          <w:rFonts w:hint="eastAsia" w:ascii="宋体" w:hAnsi="宋体"/>
          <w:b/>
          <w:color w:val="000000" w:themeColor="text1"/>
          <w:sz w:val="24"/>
          <w14:textFill>
            <w14:solidFill>
              <w14:schemeClr w14:val="tx1"/>
            </w14:solidFill>
          </w14:textFill>
        </w:rPr>
        <w:t>不相一致假设</w:t>
      </w:r>
    </w:p>
    <w:p>
      <w:pPr>
        <w:adjustRightInd w:val="0"/>
        <w:snapToGrid w:val="0"/>
        <w:spacing w:line="420" w:lineRule="auto"/>
        <w:ind w:firstLine="480" w:firstLineChars="200"/>
        <w:rPr>
          <w:rFonts w:hint="eastAsia" w:asci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1、本次估价以</w:t>
      </w:r>
      <w:r>
        <w:rPr>
          <w:rFonts w:hint="eastAsia" w:ascii="宋体" w:hAnsi="宋体"/>
          <w:bCs/>
          <w:color w:val="000000" w:themeColor="text1"/>
          <w:sz w:val="24"/>
          <w:lang w:eastAsia="zh-CN"/>
          <w14:textFill>
            <w14:solidFill>
              <w14:schemeClr w14:val="tx1"/>
            </w14:solidFill>
          </w14:textFill>
        </w:rPr>
        <w:t>《乌苏市房屋登记信息查询结果》</w:t>
      </w:r>
      <w:r>
        <w:rPr>
          <w:rFonts w:hint="eastAsia" w:ascii="宋体" w:hAnsi="宋体"/>
          <w:color w:val="000000" w:themeColor="text1"/>
          <w:sz w:val="24"/>
          <w14:textFill>
            <w14:solidFill>
              <w14:schemeClr w14:val="tx1"/>
            </w14:solidFill>
          </w14:textFill>
        </w:rPr>
        <w:t>内容为依据，估价对象的实际用途、房屋登记用途均为</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，用途之间不存在不一致，权属证明资料的</w:t>
      </w:r>
      <w:r>
        <w:rPr>
          <w:rFonts w:hint="eastAsia" w:ascii="宋体" w:hAnsi="宋体"/>
          <w:color w:val="000000" w:themeColor="text1"/>
          <w:sz w:val="24"/>
          <w:lang w:eastAsia="zh-CN"/>
          <w14:textFill>
            <w14:solidFill>
              <w14:schemeClr w14:val="tx1"/>
            </w14:solidFill>
          </w14:textFill>
        </w:rPr>
        <w:t>房屋所有权人</w:t>
      </w:r>
      <w:r>
        <w:rPr>
          <w:rFonts w:hint="eastAsia" w:ascii="宋体" w:hAnsi="宋体"/>
          <w:color w:val="000000" w:themeColor="text1"/>
          <w:sz w:val="24"/>
          <w14:textFill>
            <w14:solidFill>
              <w14:schemeClr w14:val="tx1"/>
            </w14:solidFill>
          </w14:textFill>
        </w:rPr>
        <w:t>为同一人，</w:t>
      </w:r>
      <w:r>
        <w:rPr>
          <w:rFonts w:hint="eastAsia" w:ascii="宋体" w:hAnsi="宋体"/>
          <w:color w:val="000000" w:themeColor="text1"/>
          <w:sz w:val="24"/>
          <w:lang w:eastAsia="zh-CN"/>
          <w14:textFill>
            <w14:solidFill>
              <w14:schemeClr w14:val="tx1"/>
            </w14:solidFill>
          </w14:textFill>
        </w:rPr>
        <w:t>房屋所有权人</w:t>
      </w:r>
      <w:r>
        <w:rPr>
          <w:rFonts w:hint="eastAsia" w:ascii="宋体" w:hAnsi="宋体"/>
          <w:color w:val="000000" w:themeColor="text1"/>
          <w:sz w:val="24"/>
          <w14:textFill>
            <w14:solidFill>
              <w14:schemeClr w14:val="tx1"/>
            </w14:solidFill>
          </w14:textFill>
        </w:rPr>
        <w:t>不存在不一致</w:t>
      </w:r>
      <w:r>
        <w:rPr>
          <w:rFonts w:hint="eastAsia" w:ascii="宋体" w:hAnsi="宋体"/>
          <w:color w:val="000000" w:themeColor="text1"/>
          <w:sz w:val="24"/>
          <w:lang w:eastAsia="zh-CN"/>
          <w14:textFill>
            <w14:solidFill>
              <w14:schemeClr w14:val="tx1"/>
            </w14:solidFill>
          </w14:textFill>
        </w:rPr>
        <w:t>；《乌苏市人民法院委托书》房屋坐落为</w:t>
      </w:r>
      <w:r>
        <w:rPr>
          <w:rFonts w:hint="eastAsia" w:ascii="宋体" w:hAnsi="宋体" w:cs="宋体"/>
          <w:color w:val="000000" w:themeColor="text1"/>
          <w:sz w:val="24"/>
          <w:lang w:eastAsia="zh-CN"/>
          <w14:textFill>
            <w14:solidFill>
              <w14:schemeClr w14:val="tx1"/>
            </w14:solidFill>
          </w14:textFill>
        </w:rPr>
        <w:t>塔城路001号院1幢1-102室，现场勘查房屋坐落为塔城北路</w:t>
      </w:r>
      <w:r>
        <w:rPr>
          <w:rFonts w:hint="eastAsia" w:ascii="宋体" w:hAnsi="宋体" w:cs="宋体"/>
          <w:color w:val="000000" w:themeColor="text1"/>
          <w:sz w:val="24"/>
          <w:lang w:val="en-US" w:eastAsia="zh-CN"/>
          <w14:textFill>
            <w14:solidFill>
              <w14:schemeClr w14:val="tx1"/>
            </w14:solidFill>
          </w14:textFill>
        </w:rPr>
        <w:t>415号财保小区</w:t>
      </w:r>
      <w:r>
        <w:rPr>
          <w:rFonts w:hint="eastAsia" w:ascii="宋体" w:hAnsi="宋体" w:cs="宋体"/>
          <w:color w:val="000000" w:themeColor="text1"/>
          <w:sz w:val="24"/>
          <w:lang w:eastAsia="zh-CN"/>
          <w14:textFill>
            <w14:solidFill>
              <w14:schemeClr w14:val="tx1"/>
            </w14:solidFill>
          </w14:textFill>
        </w:rPr>
        <w:t>1幢1-102</w:t>
      </w:r>
      <w:r>
        <w:rPr>
          <w:rFonts w:hint="eastAsia" w:ascii="宋体" w:hAnsi="宋体" w:cs="宋体"/>
          <w:color w:val="000000" w:themeColor="text1"/>
          <w:sz w:val="24"/>
          <w:lang w:val="en-US" w:eastAsia="zh-CN"/>
          <w14:textFill>
            <w14:solidFill>
              <w14:schemeClr w14:val="tx1"/>
            </w14:solidFill>
          </w14:textFill>
        </w:rPr>
        <w:t>室</w:t>
      </w:r>
      <w:r>
        <w:rPr>
          <w:rFonts w:hint="eastAsia" w:ascii="宋体" w:hAnsi="宋体"/>
          <w:color w:val="000000" w:themeColor="text1"/>
          <w:sz w:val="24"/>
          <w:lang w:eastAsia="zh-CN"/>
          <w14:textFill>
            <w14:solidFill>
              <w14:schemeClr w14:val="tx1"/>
            </w14:solidFill>
          </w14:textFill>
        </w:rPr>
        <w:t>，假设房屋坐落不存在不一致。</w:t>
      </w:r>
    </w:p>
    <w:p>
      <w:pPr>
        <w:adjustRightInd w:val="0"/>
        <w:snapToGrid w:val="0"/>
        <w:spacing w:line="420" w:lineRule="auto"/>
        <w:ind w:firstLine="480" w:firstLineChars="20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、本次估价假设估价对象合法取得相应分摊的土地使用权，土地用途与房屋用途之间不存在不一致</w:t>
      </w:r>
      <w:r>
        <w:rPr>
          <w:rFonts w:ascii="宋体"/>
          <w:color w:val="000000" w:themeColor="text1"/>
          <w:sz w:val="24"/>
          <w14:textFill>
            <w14:solidFill>
              <w14:schemeClr w14:val="tx1"/>
            </w14:solidFill>
          </w14:textFill>
        </w:rPr>
        <w:t>,</w:t>
      </w:r>
      <w:r>
        <w:rPr>
          <w:rFonts w:hint="eastAsia" w:ascii="宋体" w:hAnsi="宋体"/>
          <w:color w:val="000000" w:themeColor="text1"/>
          <w:sz w:val="24"/>
          <w:lang w:eastAsia="zh-CN"/>
          <w14:textFill>
            <w14:solidFill>
              <w14:schemeClr w14:val="tx1"/>
            </w14:solidFill>
          </w14:textFill>
        </w:rPr>
        <w:t>房屋所有权人</w:t>
      </w:r>
      <w:r>
        <w:rPr>
          <w:rFonts w:hint="eastAsia" w:ascii="宋体" w:hAnsi="宋体"/>
          <w:color w:val="000000" w:themeColor="text1"/>
          <w:sz w:val="24"/>
          <w14:textFill>
            <w14:solidFill>
              <w14:schemeClr w14:val="tx1"/>
            </w14:solidFill>
          </w14:textFill>
        </w:rPr>
        <w:t>不存在不一致。</w:t>
      </w:r>
    </w:p>
    <w:p>
      <w:pPr>
        <w:pStyle w:val="37"/>
        <w:numPr>
          <w:ilvl w:val="0"/>
          <w:numId w:val="5"/>
        </w:numPr>
        <w:adjustRightInd w:val="0"/>
        <w:snapToGrid w:val="0"/>
        <w:spacing w:line="420" w:lineRule="auto"/>
        <w:ind w:firstLineChars="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依据不足假设</w:t>
      </w:r>
    </w:p>
    <w:p>
      <w:pPr>
        <w:pStyle w:val="37"/>
        <w:adjustRightInd w:val="0"/>
        <w:snapToGrid w:val="0"/>
        <w:spacing w:line="420" w:lineRule="auto"/>
        <w:ind w:firstLine="48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因</w:t>
      </w:r>
      <w:r>
        <w:rPr>
          <w:rFonts w:hint="eastAsia" w:ascii="宋体" w:hAnsi="宋体"/>
          <w:color w:val="000000" w:themeColor="text1"/>
          <w:sz w:val="24"/>
          <w:lang w:eastAsia="zh-CN"/>
          <w14:textFill>
            <w14:solidFill>
              <w14:schemeClr w14:val="tx1"/>
            </w14:solidFill>
          </w14:textFill>
        </w:rPr>
        <w:t>委托人</w:t>
      </w:r>
      <w:r>
        <w:rPr>
          <w:rFonts w:hint="eastAsia" w:ascii="宋体" w:hAnsi="宋体"/>
          <w:color w:val="000000" w:themeColor="text1"/>
          <w:sz w:val="24"/>
          <w14:textFill>
            <w14:solidFill>
              <w14:schemeClr w14:val="tx1"/>
            </w14:solidFill>
          </w14:textFill>
        </w:rPr>
        <w:t>未提供估价对象的</w:t>
      </w:r>
      <w:r>
        <w:rPr>
          <w:rFonts w:hint="eastAsia" w:ascii="宋体" w:hAnsi="宋体"/>
          <w:color w:val="000000" w:themeColor="text1"/>
          <w:sz w:val="24"/>
          <w:lang w:eastAsia="zh-CN"/>
          <w14:textFill>
            <w14:solidFill>
              <w14:schemeClr w14:val="tx1"/>
            </w14:solidFill>
          </w14:textFill>
        </w:rPr>
        <w:t>土地权属</w:t>
      </w:r>
      <w:r>
        <w:rPr>
          <w:rFonts w:hint="eastAsia" w:ascii="宋体" w:hAnsi="宋体"/>
          <w:color w:val="000000" w:themeColor="text1"/>
          <w:sz w:val="24"/>
          <w14:textFill>
            <w14:solidFill>
              <w14:schemeClr w14:val="tx1"/>
            </w14:solidFill>
          </w14:textFill>
        </w:rPr>
        <w:t>证明，现对估价对象</w:t>
      </w:r>
      <w:r>
        <w:rPr>
          <w:rFonts w:hint="eastAsia" w:ascii="宋体" w:hAnsi="宋体"/>
          <w:color w:val="000000" w:themeColor="text1"/>
          <w:sz w:val="24"/>
          <w:lang w:eastAsia="zh-CN"/>
          <w14:textFill>
            <w14:solidFill>
              <w14:schemeClr w14:val="tx1"/>
            </w14:solidFill>
          </w14:textFill>
        </w:rPr>
        <w:t>土地</w:t>
      </w:r>
      <w:r>
        <w:rPr>
          <w:rFonts w:hint="eastAsia" w:ascii="宋体" w:hAnsi="宋体"/>
          <w:color w:val="000000" w:themeColor="text1"/>
          <w:sz w:val="24"/>
          <w14:textFill>
            <w14:solidFill>
              <w14:schemeClr w14:val="tx1"/>
            </w14:solidFill>
          </w14:textFill>
        </w:rPr>
        <w:t>进行如下假设：</w:t>
      </w:r>
    </w:p>
    <w:p>
      <w:pPr>
        <w:adjustRightInd w:val="0"/>
        <w:snapToGrid w:val="0"/>
        <w:spacing w:line="420" w:lineRule="auto"/>
        <w:ind w:firstLine="480" w:firstLineChars="200"/>
        <w:jc w:val="left"/>
        <w:rPr>
          <w:color w:val="000000" w:themeColor="text1"/>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委托</w:t>
      </w:r>
      <w:r>
        <w:rPr>
          <w:rFonts w:hint="eastAsia" w:ascii="宋体" w:hAnsi="宋体" w:cs="宋体"/>
          <w:color w:val="000000" w:themeColor="text1"/>
          <w:sz w:val="24"/>
          <w14:textFill>
            <w14:solidFill>
              <w14:schemeClr w14:val="tx1"/>
            </w14:solidFill>
          </w14:textFill>
        </w:rPr>
        <w:t>人未提供估价对象的《国有土地使用证》。因估价对象为小区内单套住宅故该房屋所占用的土地使用权为共有土地使用权，该房屋享有的土地使用权为分摊土地使用权,本次评估假设其能够合法办理《国有土地使用证》，且房屋所分摊的土地为出让土地使用权，未考虑其处置过程中是否补交土地地价款,若上述情况与相关部门确定结果发生变化，评估结果须做相应调整。</w:t>
      </w:r>
    </w:p>
    <w:p>
      <w:pPr>
        <w:adjustRightInd w:val="0"/>
        <w:snapToGrid w:val="0"/>
        <w:spacing w:line="420" w:lineRule="auto"/>
        <w:rPr>
          <w:rFonts w:ascii="宋体"/>
          <w:b/>
          <w:color w:val="000000" w:themeColor="text1"/>
          <w:sz w:val="24"/>
          <w14:textFill>
            <w14:solidFill>
              <w14:schemeClr w14:val="tx1"/>
            </w14:solidFill>
          </w14:textFill>
        </w:rPr>
      </w:pPr>
      <w:r>
        <w:rPr>
          <w:rFonts w:hint="eastAsia" w:ascii="宋体" w:hAnsi="宋体"/>
          <w:b/>
          <w:color w:val="000000" w:themeColor="text1"/>
          <w:sz w:val="24"/>
          <w:lang w:eastAsia="zh-CN"/>
          <w14:textFill>
            <w14:solidFill>
              <w14:schemeClr w14:val="tx1"/>
            </w14:solidFill>
          </w14:textFill>
        </w:rPr>
        <w:t>六</w:t>
      </w:r>
      <w:r>
        <w:rPr>
          <w:rFonts w:hint="eastAsia" w:ascii="宋体" w:hAnsi="宋体"/>
          <w:b/>
          <w:color w:val="000000" w:themeColor="text1"/>
          <w:sz w:val="24"/>
          <w14:textFill>
            <w14:solidFill>
              <w14:schemeClr w14:val="tx1"/>
            </w14:solidFill>
          </w14:textFill>
        </w:rPr>
        <w:t>、本报告使用的限制条件</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、估价结论为满足全部假设与限制条件下的价值，为估价对象房屋及分摊土地使用的房地合一价值。</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、本报告仅为司法拍卖（变卖）提供房地产市场价值参考依据，不得用于估价目的以外的一切用途。若改变估价目的及使用条件，需向本公司咨询后作必要修正甚至重新估价。</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、本报告以</w:t>
      </w:r>
      <w:r>
        <w:rPr>
          <w:rFonts w:hint="eastAsia" w:ascii="宋体" w:hAnsi="宋体"/>
          <w:color w:val="000000" w:themeColor="text1"/>
          <w:sz w:val="24"/>
          <w:lang w:eastAsia="zh-CN"/>
          <w14:textFill>
            <w14:solidFill>
              <w14:schemeClr w14:val="tx1"/>
            </w14:solidFill>
          </w14:textFill>
        </w:rPr>
        <w:t>乌苏市人民法院</w:t>
      </w:r>
      <w:r>
        <w:rPr>
          <w:rFonts w:hint="eastAsia" w:ascii="宋体" w:hAnsi="宋体"/>
          <w:color w:val="000000" w:themeColor="text1"/>
          <w:sz w:val="24"/>
          <w14:textFill>
            <w14:solidFill>
              <w14:schemeClr w14:val="tx1"/>
            </w14:solidFill>
          </w14:textFill>
        </w:rPr>
        <w:t>签发的鉴定委托书日期</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作为本次评估的价值时点。在拍卖（变卖）估价对象时，若与估价价值时点存在一定时间差异因素，应关注该区域内的类似</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房地产市场价格的变化情况，结合拍卖（变卖）时的市场状况对估价对象房地产市场价格进行调整或修正或重新评估。</w:t>
      </w:r>
    </w:p>
    <w:p>
      <w:pPr>
        <w:adjustRightInd w:val="0"/>
        <w:snapToGrid w:val="0"/>
        <w:spacing w:line="42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、本报告中的房屋建筑物面积、用途及房屋结构等以</w:t>
      </w:r>
      <w:r>
        <w:rPr>
          <w:rFonts w:hint="eastAsia" w:ascii="宋体" w:hAnsi="宋体"/>
          <w:color w:val="000000" w:themeColor="text1"/>
          <w:sz w:val="24"/>
          <w:lang w:eastAsia="zh-CN"/>
          <w14:textFill>
            <w14:solidFill>
              <w14:schemeClr w14:val="tx1"/>
            </w14:solidFill>
          </w14:textFill>
        </w:rPr>
        <w:t>《乌苏市房屋登记信息查询结果》</w:t>
      </w:r>
      <w:r>
        <w:rPr>
          <w:rFonts w:hint="eastAsia" w:ascii="宋体" w:hAnsi="宋体"/>
          <w:color w:val="000000" w:themeColor="text1"/>
          <w:sz w:val="24"/>
          <w14:textFill>
            <w14:solidFill>
              <w14:schemeClr w14:val="tx1"/>
            </w14:solidFill>
          </w14:textFill>
        </w:rPr>
        <w:t>中登记内容为依据。</w:t>
      </w:r>
    </w:p>
    <w:p>
      <w:pPr>
        <w:tabs>
          <w:tab w:val="left" w:pos="540"/>
          <w:tab w:val="left" w:pos="1080"/>
        </w:tabs>
        <w:adjustRightInd w:val="0"/>
        <w:snapToGrid w:val="0"/>
        <w:spacing w:line="420" w:lineRule="auto"/>
        <w:ind w:firstLine="480" w:firstLineChars="200"/>
        <w:rPr>
          <w:rFonts w:ascii="宋体" w:hAnsi="宋体"/>
          <w:color w:val="000000" w:themeColor="text1"/>
          <w:spacing w:val="-6"/>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、本报告使用有效期为一年，</w:t>
      </w:r>
      <w:r>
        <w:rPr>
          <w:rFonts w:hint="eastAsia" w:ascii="宋体" w:hAnsi="宋体"/>
          <w:color w:val="000000" w:themeColor="text1"/>
          <w:spacing w:val="-6"/>
          <w:sz w:val="24"/>
          <w14:textFill>
            <w14:solidFill>
              <w14:schemeClr w14:val="tx1"/>
            </w14:solidFill>
          </w14:textFill>
        </w:rPr>
        <w:t>自</w:t>
      </w:r>
      <w:r>
        <w:rPr>
          <w:rFonts w:hint="eastAsia" w:ascii="宋体" w:hAnsi="宋体"/>
          <w:color w:val="000000" w:themeColor="text1"/>
          <w:spacing w:val="-6"/>
          <w:sz w:val="24"/>
          <w:lang w:eastAsia="zh-CN"/>
          <w14:textFill>
            <w14:solidFill>
              <w14:schemeClr w14:val="tx1"/>
            </w14:solidFill>
          </w14:textFill>
        </w:rPr>
        <w:t>2020年6月5日</w:t>
      </w:r>
      <w:r>
        <w:rPr>
          <w:rFonts w:hint="eastAsia" w:ascii="宋体" w:hAnsi="宋体"/>
          <w:color w:val="000000" w:themeColor="text1"/>
          <w:spacing w:val="-6"/>
          <w:sz w:val="24"/>
          <w14:textFill>
            <w14:solidFill>
              <w14:schemeClr w14:val="tx1"/>
            </w14:solidFill>
          </w14:textFill>
        </w:rPr>
        <w:t>至</w:t>
      </w:r>
      <w:r>
        <w:rPr>
          <w:rFonts w:hint="eastAsia" w:ascii="宋体" w:hAnsi="宋体"/>
          <w:color w:val="000000" w:themeColor="text1"/>
          <w:spacing w:val="-6"/>
          <w:sz w:val="24"/>
          <w:lang w:eastAsia="zh-CN"/>
          <w14:textFill>
            <w14:solidFill>
              <w14:schemeClr w14:val="tx1"/>
            </w14:solidFill>
          </w14:textFill>
        </w:rPr>
        <w:t>2021年6月4日</w:t>
      </w:r>
      <w:r>
        <w:rPr>
          <w:rFonts w:hint="eastAsia" w:ascii="宋体" w:hAnsi="宋体"/>
          <w:color w:val="000000" w:themeColor="text1"/>
          <w:spacing w:val="-6"/>
          <w:sz w:val="24"/>
          <w14:textFill>
            <w14:solidFill>
              <w14:schemeClr w14:val="tx1"/>
            </w14:solidFill>
          </w14:textFill>
        </w:rPr>
        <w:t>。如</w:t>
      </w:r>
      <w:r>
        <w:rPr>
          <w:rFonts w:hint="eastAsia" w:ascii="宋体" w:hAnsi="宋体"/>
          <w:color w:val="000000" w:themeColor="text1"/>
          <w:sz w:val="24"/>
          <w14:textFill>
            <w14:solidFill>
              <w14:schemeClr w14:val="tx1"/>
            </w14:solidFill>
          </w14:textFill>
        </w:rPr>
        <w:t>超过有效期</w:t>
      </w:r>
      <w:r>
        <w:rPr>
          <w:rFonts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或价值时点之后、有效期之内估价对象或国家经济形势、城市规划、房地产税费政策等发生变化，对估价结果产生明显影响时，委托方应及时聘请房地产评估机构对估价结果作相应调整或重新估价。</w:t>
      </w:r>
    </w:p>
    <w:p>
      <w:pPr>
        <w:tabs>
          <w:tab w:val="left" w:pos="540"/>
          <w:tab w:val="left" w:pos="1080"/>
          <w:tab w:val="left" w:pos="1440"/>
        </w:tabs>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本报告专为委托人司法拍卖（变卖）提供房地产市场价值参考所使用，未经本公司同意，不得向估价委托人和估价报告审核部门之外的单位和个人提供；未经本公司书面同意，本估价报告的全部或部分及任何参考资料均不允许在任何公开发表的文件、通告或声明中引用，亦不得以其他任何方式公开发表。</w:t>
      </w:r>
    </w:p>
    <w:p>
      <w:pPr>
        <w:adjustRightInd w:val="0"/>
        <w:snapToGrid w:val="0"/>
        <w:spacing w:line="42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7、估价过程中遇到的不确定因素、或有事项非估价人员职业水平和能力所能评定估算，估价人员和估价机构对此类事项不承担任何责任。</w:t>
      </w:r>
    </w:p>
    <w:p>
      <w:pPr>
        <w:adjustRightInd w:val="0"/>
        <w:snapToGrid w:val="0"/>
        <w:spacing w:line="420" w:lineRule="auto"/>
        <w:ind w:firstLine="57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估价委托人提供的法律文件是此次估价的重要依据，我们并未向政府部门核实，委托人应对所提供资料的真实性、完整性、合法性负责，如因资料的失真、不完整等原因引起的后果，估价人员和估价机构不承担任何责任。</w:t>
      </w:r>
    </w:p>
    <w:p>
      <w:pPr>
        <w:adjustRightInd w:val="0"/>
        <w:snapToGrid w:val="0"/>
        <w:spacing w:line="420" w:lineRule="auto"/>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报告所称“市场价值”是指估价对象在保持现有用途并持续使用，以及在保持价值时点之状况和外部经济环境的前提下，为本报告书所确定的估价目的而提出的公允估价意见。该估价意见是指假定在充分发达的公开市场条件下，交易双方在交易地位平等、充分了解估价对象相关市场信息及交易双方独立和理智进行判断的前提下形成的公平市场价格。该价格并不代表具体资产在涉及产权变动或资产形态转变时的实际交易价格。</w:t>
      </w:r>
    </w:p>
    <w:p>
      <w:pPr>
        <w:adjustRightInd w:val="0"/>
        <w:snapToGrid w:val="0"/>
        <w:spacing w:line="420" w:lineRule="auto"/>
        <w:ind w:firstLine="57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10、根据《房地产估价规范》（</w:t>
      </w:r>
      <w:r>
        <w:rPr>
          <w:rFonts w:ascii="宋体" w:hAnsi="宋体"/>
          <w:color w:val="000000" w:themeColor="text1"/>
          <w:sz w:val="24"/>
          <w14:textFill>
            <w14:solidFill>
              <w14:schemeClr w14:val="tx1"/>
            </w14:solidFill>
          </w14:textFill>
        </w:rPr>
        <w:t>GB/T50291-2015</w:t>
      </w:r>
      <w:r>
        <w:rPr>
          <w:rFonts w:hint="eastAsia" w:ascii="宋体" w:hAnsi="宋体"/>
          <w:color w:val="000000" w:themeColor="text1"/>
          <w:sz w:val="24"/>
          <w14:textFill>
            <w14:solidFill>
              <w14:schemeClr w14:val="tx1"/>
            </w14:solidFill>
          </w14:textFill>
        </w:rPr>
        <w:t>）4.08.2.1“房地产司法拍卖估价应根据最高人民法院有关规定和人民法院的委托要求，评估拍卖房地产的市场价值或市场价格、其他特定价值或价格”。《最高人民法院关于人民法院民事执行中拍卖、变卖财产的规定》第八条规定“拍卖应当确定保留价，拍卖保留价由人民法院参照评估价确定；未作评估的，参照市价确定，并应当征询有关当事人的意见”。《</w:t>
      </w:r>
      <w:r>
        <w:rPr>
          <w:rFonts w:ascii="宋体" w:hAnsi="宋体"/>
          <w:color w:val="000000" w:themeColor="text1"/>
          <w:sz w:val="24"/>
          <w14:textFill>
            <w14:solidFill>
              <w14:schemeClr w14:val="tx1"/>
            </w14:solidFill>
          </w14:textFill>
        </w:rPr>
        <w:t>最高人民法院关于人民法院网络司法拍卖若干问题的规定</w:t>
      </w:r>
      <w:r>
        <w:rPr>
          <w:rFonts w:hint="eastAsia" w:ascii="宋体" w:hAnsi="宋体"/>
          <w:color w:val="000000" w:themeColor="text1"/>
          <w:sz w:val="24"/>
          <w14:textFill>
            <w14:solidFill>
              <w14:schemeClr w14:val="tx1"/>
            </w14:solidFill>
          </w14:textFill>
        </w:rPr>
        <w:t>》第十条规定“网络司法拍卖应当确定保留价，拍卖保留价即为起拍价。起拍价由人民法院参照评估价确定；未作评估的，参照市价确定，并征询当事人意见。” 故本次评估的价值内涵为市场价值，而并非拍卖保留价。</w:t>
      </w:r>
    </w:p>
    <w:p>
      <w:pPr>
        <w:adjustRightInd w:val="0"/>
        <w:snapToGrid w:val="0"/>
        <w:spacing w:line="420" w:lineRule="auto"/>
        <w:ind w:firstLine="57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1、本报告估价结果是对</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这一时点估价对象用于司法鉴定提供房地产市场价值的客观、公允反映，本公司对这一时点以后估价对象价值、现状、权属发生的重大变化不负任何责任。</w:t>
      </w:r>
    </w:p>
    <w:p>
      <w:pPr>
        <w:adjustRightInd w:val="0"/>
        <w:snapToGrid w:val="0"/>
        <w:spacing w:line="420" w:lineRule="auto"/>
        <w:ind w:firstLine="57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2、本估价报告分为“估价结果报告”和“估价技术报告”两部分。“估价结果报告”提供给估价委托人，“估价技术报告”部分内容根据有关规定由估价机构存档。</w:t>
      </w:r>
    </w:p>
    <w:p>
      <w:pPr>
        <w:adjustRightInd w:val="0"/>
        <w:snapToGrid w:val="0"/>
        <w:spacing w:line="420" w:lineRule="auto"/>
        <w:ind w:firstLine="600" w:firstLineChars="250"/>
        <w:rPr>
          <w:rFonts w:ascii="宋体"/>
          <w:color w:val="000000" w:themeColor="text1"/>
          <w:sz w:val="24"/>
          <w14:textFill>
            <w14:solidFill>
              <w14:schemeClr w14:val="tx1"/>
            </w14:solidFill>
          </w14:textFill>
        </w:rPr>
      </w:pPr>
      <w:bookmarkStart w:id="12" w:name="_Toc401757451"/>
      <w:r>
        <w:rPr>
          <w:rFonts w:ascii="宋体" w:hAnsi="宋体"/>
          <w:color w:val="000000" w:themeColor="text1"/>
          <w:sz w:val="24"/>
          <w14:textFill>
            <w14:solidFill>
              <w14:schemeClr w14:val="tx1"/>
            </w14:solidFill>
          </w14:textFill>
        </w:rPr>
        <w:t>1</w:t>
      </w:r>
      <w:r>
        <w:rPr>
          <w:rFonts w:hint="eastAsia" w:ascii="宋体" w:hAnsi="宋体"/>
          <w:color w:val="000000" w:themeColor="text1"/>
          <w:sz w:val="24"/>
          <w:lang w:val="en-US" w:eastAsia="zh-CN"/>
          <w14:textFill>
            <w14:solidFill>
              <w14:schemeClr w14:val="tx1"/>
            </w14:solidFill>
          </w14:textFill>
        </w:rPr>
        <w:t>3</w:t>
      </w:r>
      <w:r>
        <w:rPr>
          <w:rFonts w:hint="eastAsia" w:ascii="宋体" w:hAnsi="宋体"/>
          <w:color w:val="000000" w:themeColor="text1"/>
          <w:sz w:val="24"/>
          <w14:textFill>
            <w14:solidFill>
              <w14:schemeClr w14:val="tx1"/>
            </w14:solidFill>
          </w14:textFill>
        </w:rPr>
        <w:t>、本报告有若干附件，附件构成本报告之重要组成部分。</w:t>
      </w:r>
      <w:bookmarkEnd w:id="12"/>
    </w:p>
    <w:p>
      <w:pPr>
        <w:keepNext w:val="0"/>
        <w:keepLines w:val="0"/>
        <w:pageBreakBefore w:val="0"/>
        <w:widowControl w:val="0"/>
        <w:kinsoku/>
        <w:wordWrap/>
        <w:overflowPunct/>
        <w:topLinePunct w:val="0"/>
        <w:autoSpaceDE/>
        <w:autoSpaceDN/>
        <w:bidi w:val="0"/>
        <w:adjustRightInd w:val="0"/>
        <w:snapToGrid w:val="0"/>
        <w:spacing w:line="460" w:lineRule="exact"/>
        <w:ind w:right="420" w:rightChars="200"/>
        <w:jc w:val="center"/>
        <w:textAlignment w:val="auto"/>
        <w:outlineLvl w:val="0"/>
        <w:rPr>
          <w:rFonts w:ascii="宋体"/>
          <w:b/>
          <w:bCs/>
          <w:color w:val="000000" w:themeColor="text1"/>
          <w:sz w:val="32"/>
          <w:szCs w:val="32"/>
          <w14:textFill>
            <w14:solidFill>
              <w14:schemeClr w14:val="tx1"/>
            </w14:solidFill>
          </w14:textFill>
        </w:rPr>
      </w:pPr>
      <w:bookmarkStart w:id="13" w:name="_Toc420665318"/>
      <w:bookmarkStart w:id="14" w:name="_Toc426018802"/>
      <w:r>
        <w:rPr>
          <w:rFonts w:ascii="宋体"/>
          <w:b/>
          <w:bCs/>
          <w:color w:val="000000" w:themeColor="text1"/>
          <w:sz w:val="32"/>
          <w:szCs w:val="32"/>
          <w14:textFill>
            <w14:solidFill>
              <w14:schemeClr w14:val="tx1"/>
            </w14:solidFill>
          </w14:textFill>
        </w:rPr>
        <w:br w:type="page"/>
      </w:r>
      <w:bookmarkStart w:id="15" w:name="_Toc4757164"/>
      <w:r>
        <w:rPr>
          <w:rFonts w:hint="eastAsia" w:ascii="宋体" w:hAnsi="宋体"/>
          <w:b/>
          <w:bCs/>
          <w:color w:val="000000" w:themeColor="text1"/>
          <w:sz w:val="32"/>
          <w:szCs w:val="32"/>
          <w14:textFill>
            <w14:solidFill>
              <w14:schemeClr w14:val="tx1"/>
            </w14:solidFill>
          </w14:textFill>
        </w:rPr>
        <w:t>房地产估价结果报告</w:t>
      </w:r>
      <w:bookmarkEnd w:id="13"/>
      <w:bookmarkEnd w:id="14"/>
      <w:bookmarkEnd w:id="15"/>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930" w:right="420" w:rightChars="200" w:hanging="930"/>
        <w:textAlignment w:val="auto"/>
        <w:outlineLvl w:val="1"/>
        <w:rPr>
          <w:rFonts w:ascii="宋体"/>
          <w:color w:val="000000" w:themeColor="text1"/>
          <w:sz w:val="24"/>
          <w14:textFill>
            <w14:solidFill>
              <w14:schemeClr w14:val="tx1"/>
            </w14:solidFill>
          </w14:textFill>
        </w:rPr>
      </w:pPr>
      <w:bookmarkStart w:id="16" w:name="_Toc4757165"/>
      <w:r>
        <w:rPr>
          <w:rFonts w:hint="eastAsia" w:ascii="宋体" w:hAnsi="宋体"/>
          <w:b/>
          <w:bCs/>
          <w:color w:val="000000" w:themeColor="text1"/>
          <w:sz w:val="24"/>
          <w14:textFill>
            <w14:solidFill>
              <w14:schemeClr w14:val="tx1"/>
            </w14:solidFill>
          </w14:textFill>
        </w:rPr>
        <w:t>估价委托人</w:t>
      </w:r>
      <w:bookmarkEnd w:id="16"/>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机构名称：</w:t>
      </w:r>
      <w:r>
        <w:rPr>
          <w:rFonts w:hint="eastAsia" w:ascii="宋体" w:hAnsi="宋体"/>
          <w:color w:val="000000" w:themeColor="text1"/>
          <w:sz w:val="24"/>
          <w:lang w:eastAsia="zh-CN"/>
          <w14:textFill>
            <w14:solidFill>
              <w14:schemeClr w14:val="tx1"/>
            </w14:solidFill>
          </w14:textFill>
        </w:rPr>
        <w:t>乌苏市人民法院</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hint="eastAsia" w:ascii="宋体" w:hAnsi="宋体"/>
          <w:color w:val="000000" w:themeColor="text1"/>
          <w:sz w:val="24"/>
          <w:lang w:eastAsia="zh-CN"/>
          <w14:textFill>
            <w14:solidFill>
              <w14:schemeClr w14:val="tx1"/>
            </w14:solidFill>
          </w14:textFill>
        </w:rPr>
      </w:pPr>
      <w:bookmarkStart w:id="17" w:name="_Toc420665320"/>
      <w:bookmarkStart w:id="18" w:name="_Toc4757166"/>
      <w:bookmarkStart w:id="19" w:name="_Toc426018804"/>
      <w:r>
        <w:rPr>
          <w:rFonts w:hint="eastAsia" w:ascii="宋体" w:hAnsi="宋体"/>
          <w:color w:val="000000" w:themeColor="text1"/>
          <w:sz w:val="24"/>
          <w14:textFill>
            <w14:solidFill>
              <w14:schemeClr w14:val="tx1"/>
            </w14:solidFill>
          </w14:textFill>
        </w:rPr>
        <w:t>联系人：</w:t>
      </w:r>
      <w:r>
        <w:rPr>
          <w:rFonts w:hint="eastAsia" w:ascii="宋体" w:hAnsi="宋体"/>
          <w:color w:val="000000" w:themeColor="text1"/>
          <w:sz w:val="24"/>
          <w:lang w:eastAsia="zh-CN"/>
          <w14:textFill>
            <w14:solidFill>
              <w14:schemeClr w14:val="tx1"/>
            </w14:solidFill>
          </w14:textFill>
        </w:rPr>
        <w:t>依里夏提</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hint="default"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联系电话：</w:t>
      </w:r>
      <w:r>
        <w:rPr>
          <w:rFonts w:hint="eastAsia" w:ascii="宋体" w:hAnsi="宋体"/>
          <w:color w:val="000000" w:themeColor="text1"/>
          <w:sz w:val="24"/>
          <w:lang w:val="en-US" w:eastAsia="zh-CN"/>
          <w14:textFill>
            <w14:solidFill>
              <w14:schemeClr w14:val="tx1"/>
            </w14:solidFill>
          </w14:textFill>
        </w:rPr>
        <w:t>18699221340</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房地产估价机构</w:t>
      </w:r>
      <w:bookmarkEnd w:id="17"/>
      <w:bookmarkEnd w:id="18"/>
      <w:bookmarkEnd w:id="19"/>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名称：新疆驰远天合中辰房地产土地评估有限责任公司</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法定代表人：杨立才</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r>
        <w:rPr>
          <w:rFonts w:hint="eastAsia" w:ascii="宋体" w:hAnsi="宋体"/>
          <w:color w:val="000000" w:themeColor="text1"/>
          <w:sz w:val="24"/>
          <w:lang w:eastAsia="zh-CN"/>
          <w14:textFill>
            <w14:solidFill>
              <w14:schemeClr w14:val="tx1"/>
            </w14:solidFill>
          </w14:textFill>
        </w:rPr>
        <w:t>新疆乌鲁木齐市天山区</w:t>
      </w:r>
      <w:r>
        <w:rPr>
          <w:rFonts w:hint="eastAsia" w:ascii="宋体" w:hAnsi="宋体"/>
          <w:color w:val="000000" w:themeColor="text1"/>
          <w:sz w:val="24"/>
          <w14:textFill>
            <w14:solidFill>
              <w14:schemeClr w14:val="tx1"/>
            </w14:solidFill>
          </w14:textFill>
        </w:rPr>
        <w:t>新华南路</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号汇源酒店</w:t>
      </w:r>
      <w:r>
        <w:rPr>
          <w:rFonts w:hint="eastAsia" w:ascii="宋体" w:hAnsi="宋体"/>
          <w:color w:val="000000" w:themeColor="text1"/>
          <w:sz w:val="24"/>
          <w:lang w:val="en-US" w:eastAsia="zh-CN"/>
          <w14:textFill>
            <w14:solidFill>
              <w14:schemeClr w14:val="tx1"/>
            </w14:solidFill>
          </w14:textFill>
        </w:rPr>
        <w:t>14</w:t>
      </w:r>
      <w:r>
        <w:rPr>
          <w:rFonts w:hint="eastAsia" w:ascii="宋体" w:hAnsi="宋体"/>
          <w:color w:val="000000" w:themeColor="text1"/>
          <w:sz w:val="24"/>
          <w14:textFill>
            <w14:solidFill>
              <w14:schemeClr w14:val="tx1"/>
            </w14:solidFill>
          </w14:textFill>
        </w:rPr>
        <w:t>楼</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备案</w:t>
      </w:r>
      <w:r>
        <w:rPr>
          <w:rFonts w:hint="eastAsia" w:ascii="宋体" w:hAnsi="宋体"/>
          <w:color w:val="000000" w:themeColor="text1"/>
          <w:sz w:val="24"/>
          <w14:textFill>
            <w14:solidFill>
              <w14:schemeClr w14:val="tx1"/>
            </w14:solidFill>
          </w14:textFill>
        </w:rPr>
        <w:t>等级：</w:t>
      </w:r>
      <w:r>
        <w:rPr>
          <w:rFonts w:hint="eastAsia" w:ascii="宋体" w:hAnsi="宋体"/>
          <w:color w:val="000000" w:themeColor="text1"/>
          <w:sz w:val="24"/>
          <w:lang w:eastAsia="zh-CN"/>
          <w14:textFill>
            <w14:solidFill>
              <w14:schemeClr w14:val="tx1"/>
            </w14:solidFill>
          </w14:textFill>
        </w:rPr>
        <w:t>壹</w:t>
      </w:r>
      <w:r>
        <w:rPr>
          <w:rFonts w:hint="eastAsia" w:ascii="宋体" w:hAnsi="宋体"/>
          <w:color w:val="000000" w:themeColor="text1"/>
          <w:sz w:val="24"/>
          <w14:textFill>
            <w14:solidFill>
              <w14:schemeClr w14:val="tx1"/>
            </w14:solidFill>
          </w14:textFill>
        </w:rPr>
        <w:t>级</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统一社会信用代码：91650102748660850C</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hint="eastAsia" w:ascii="宋体" w:hAnsi="宋体" w:eastAsia="宋体"/>
          <w:color w:val="000000" w:themeColor="text1"/>
          <w:sz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证</w:t>
      </w:r>
      <w:r>
        <w:rPr>
          <w:rFonts w:hint="eastAsia" w:ascii="宋体" w:hAnsi="宋体"/>
          <w:color w:val="000000" w:themeColor="text1"/>
          <w:sz w:val="24"/>
          <w:lang w:eastAsia="zh-CN"/>
          <w14:textFill>
            <w14:solidFill>
              <w14:schemeClr w14:val="tx1"/>
            </w14:solidFill>
          </w14:textFill>
        </w:rPr>
        <w:t>书编</w:t>
      </w:r>
      <w:r>
        <w:rPr>
          <w:rFonts w:hint="eastAsia" w:ascii="宋体" w:hAnsi="宋体"/>
          <w:color w:val="000000" w:themeColor="text1"/>
          <w:sz w:val="24"/>
          <w14:textFill>
            <w14:solidFill>
              <w14:schemeClr w14:val="tx1"/>
            </w14:solidFill>
          </w14:textFill>
        </w:rPr>
        <w:t>号：</w:t>
      </w:r>
      <w:r>
        <w:rPr>
          <w:rFonts w:hint="eastAsia" w:ascii="宋体" w:hAnsi="宋体"/>
          <w:color w:val="000000" w:themeColor="text1"/>
          <w:sz w:val="24"/>
          <w:lang w:eastAsia="zh-CN"/>
          <w14:textFill>
            <w14:solidFill>
              <w14:schemeClr w14:val="tx1"/>
            </w14:solidFill>
          </w14:textFill>
        </w:rPr>
        <w:t>乌房</w:t>
      </w:r>
      <w:r>
        <w:rPr>
          <w:rFonts w:hint="eastAsia" w:ascii="宋体" w:hAnsi="宋体"/>
          <w:color w:val="000000" w:themeColor="text1"/>
          <w:sz w:val="24"/>
          <w14:textFill>
            <w14:solidFill>
              <w14:schemeClr w14:val="tx1"/>
            </w14:solidFill>
          </w14:textFill>
        </w:rPr>
        <w:t>估证</w:t>
      </w:r>
      <w:r>
        <w:rPr>
          <w:rFonts w:ascii="宋体" w:hAnsi="宋体"/>
          <w:color w:val="000000" w:themeColor="text1"/>
          <w:sz w:val="24"/>
          <w14:textFill>
            <w14:solidFill>
              <w14:schemeClr w14:val="tx1"/>
            </w14:solidFill>
          </w14:textFill>
        </w:rPr>
        <w:t>1-00</w:t>
      </w:r>
      <w:r>
        <w:rPr>
          <w:rFonts w:hint="eastAsia" w:ascii="宋体" w:hAnsi="宋体"/>
          <w:color w:val="000000" w:themeColor="text1"/>
          <w:sz w:val="24"/>
          <w:lang w:val="en-US" w:eastAsia="zh-CN"/>
          <w14:textFill>
            <w14:solidFill>
              <w14:schemeClr w14:val="tx1"/>
            </w14:solidFill>
          </w14:textFill>
        </w:rPr>
        <w:t>1</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有效期限：20</w:t>
      </w:r>
      <w:r>
        <w:rPr>
          <w:rFonts w:hint="eastAsia" w:ascii="宋体" w:hAnsi="宋体"/>
          <w:color w:val="000000" w:themeColor="text1"/>
          <w:sz w:val="24"/>
          <w:lang w:val="en-US" w:eastAsia="zh-CN"/>
          <w14:textFill>
            <w14:solidFill>
              <w14:schemeClr w14:val="tx1"/>
            </w14:solidFill>
          </w14:textFill>
        </w:rPr>
        <w:t>19</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lang w:val="en-US" w:eastAsia="zh-CN"/>
          <w14:textFill>
            <w14:solidFill>
              <w14:schemeClr w14:val="tx1"/>
            </w14:solidFill>
          </w14:textFill>
        </w:rPr>
        <w:t>27</w:t>
      </w:r>
      <w:r>
        <w:rPr>
          <w:rFonts w:hint="eastAsia" w:ascii="宋体" w:hAnsi="宋体"/>
          <w:color w:val="000000" w:themeColor="text1"/>
          <w:sz w:val="24"/>
          <w14:textFill>
            <w14:solidFill>
              <w14:schemeClr w14:val="tx1"/>
            </w14:solidFill>
          </w14:textFill>
        </w:rPr>
        <w:t>日至20</w:t>
      </w:r>
      <w:r>
        <w:rPr>
          <w:rFonts w:hint="eastAsia" w:ascii="宋体" w:hAnsi="宋体"/>
          <w:color w:val="000000" w:themeColor="text1"/>
          <w:sz w:val="24"/>
          <w:lang w:val="en-US" w:eastAsia="zh-CN"/>
          <w14:textFill>
            <w14:solidFill>
              <w14:schemeClr w14:val="tx1"/>
            </w14:solidFill>
          </w14:textFill>
        </w:rPr>
        <w:t>22</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lang w:val="en-US" w:eastAsia="zh-CN"/>
          <w14:textFill>
            <w14:solidFill>
              <w14:schemeClr w14:val="tx1"/>
            </w14:solidFill>
          </w14:textFill>
        </w:rPr>
        <w:t>27</w:t>
      </w:r>
      <w:r>
        <w:rPr>
          <w:rFonts w:hint="eastAsia" w:ascii="宋体" w:hAnsi="宋体"/>
          <w:color w:val="000000" w:themeColor="text1"/>
          <w:sz w:val="24"/>
          <w14:textFill>
            <w14:solidFill>
              <w14:schemeClr w14:val="tx1"/>
            </w14:solidFill>
          </w14:textFill>
        </w:rPr>
        <w:t>日</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电话：</w:t>
      </w:r>
      <w:r>
        <w:rPr>
          <w:rFonts w:ascii="宋体" w:hAnsi="宋体"/>
          <w:color w:val="000000" w:themeColor="text1"/>
          <w:sz w:val="24"/>
          <w14:textFill>
            <w14:solidFill>
              <w14:schemeClr w14:val="tx1"/>
            </w14:solidFill>
          </w14:textFill>
        </w:rPr>
        <w:t>0991-2823010</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b/>
          <w:bCs/>
          <w:color w:val="000000" w:themeColor="text1"/>
          <w:sz w:val="24"/>
          <w14:textFill>
            <w14:solidFill>
              <w14:schemeClr w14:val="tx1"/>
            </w14:solidFill>
          </w14:textFill>
        </w:rPr>
      </w:pPr>
      <w:bookmarkStart w:id="20" w:name="_Toc420665321"/>
      <w:bookmarkStart w:id="21" w:name="_Toc4757167"/>
      <w:bookmarkStart w:id="22" w:name="_Toc426018805"/>
      <w:r>
        <w:rPr>
          <w:rFonts w:hint="eastAsia" w:ascii="宋体" w:hAnsi="宋体"/>
          <w:b/>
          <w:bCs/>
          <w:color w:val="000000" w:themeColor="text1"/>
          <w:sz w:val="24"/>
          <w14:textFill>
            <w14:solidFill>
              <w14:schemeClr w14:val="tx1"/>
            </w14:solidFill>
          </w14:textFill>
        </w:rPr>
        <w:t>估价目的</w:t>
      </w:r>
      <w:bookmarkEnd w:id="20"/>
      <w:bookmarkEnd w:id="21"/>
      <w:bookmarkEnd w:id="22"/>
    </w:p>
    <w:p>
      <w:pPr>
        <w:keepNext w:val="0"/>
        <w:keepLines w:val="0"/>
        <w:pageBreakBefore w:val="0"/>
        <w:widowControl w:val="0"/>
        <w:kinsoku/>
        <w:wordWrap/>
        <w:overflowPunct/>
        <w:topLinePunct w:val="0"/>
        <w:autoSpaceDE/>
        <w:autoSpaceDN/>
        <w:bidi w:val="0"/>
        <w:spacing w:line="440" w:lineRule="exact"/>
        <w:ind w:firstLine="456" w:firstLineChars="200"/>
        <w:textAlignment w:val="auto"/>
        <w:rPr>
          <w:rFonts w:ascii="宋体"/>
          <w:b/>
          <w:bCs/>
          <w:color w:val="000000" w:themeColor="text1"/>
          <w:spacing w:val="-6"/>
          <w:sz w:val="24"/>
          <w14:textFill>
            <w14:solidFill>
              <w14:schemeClr w14:val="tx1"/>
            </w14:solidFill>
          </w14:textFill>
        </w:rPr>
      </w:pPr>
      <w:bookmarkStart w:id="23" w:name="_Toc523409906"/>
      <w:bookmarkStart w:id="24" w:name="_Toc481488920"/>
      <w:bookmarkStart w:id="25" w:name="_Toc523409820"/>
      <w:bookmarkStart w:id="26" w:name="_Toc480965063"/>
      <w:bookmarkStart w:id="27" w:name="_Toc520221725"/>
      <w:bookmarkStart w:id="28" w:name="_Toc481489345"/>
      <w:bookmarkStart w:id="29" w:name="_Toc523414672"/>
      <w:r>
        <w:rPr>
          <w:rFonts w:hint="eastAsia" w:ascii="宋体" w:hAnsi="宋体"/>
          <w:color w:val="000000" w:themeColor="text1"/>
          <w:spacing w:val="-6"/>
          <w:sz w:val="24"/>
          <w14:textFill>
            <w14:solidFill>
              <w14:schemeClr w14:val="tx1"/>
            </w14:solidFill>
          </w14:textFill>
        </w:rPr>
        <w:t>评定估价对象房地产市场价值，为司法拍卖（变卖）提供房地产市场价值参考依据。</w:t>
      </w:r>
      <w:bookmarkEnd w:id="23"/>
      <w:bookmarkEnd w:id="24"/>
      <w:bookmarkEnd w:id="25"/>
      <w:bookmarkEnd w:id="26"/>
      <w:bookmarkEnd w:id="27"/>
      <w:bookmarkEnd w:id="28"/>
      <w:bookmarkEnd w:id="29"/>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b/>
          <w:bCs/>
          <w:color w:val="000000" w:themeColor="text1"/>
          <w:sz w:val="24"/>
          <w14:textFill>
            <w14:solidFill>
              <w14:schemeClr w14:val="tx1"/>
            </w14:solidFill>
          </w14:textFill>
        </w:rPr>
      </w:pPr>
      <w:bookmarkStart w:id="30" w:name="_Toc4757168"/>
      <w:bookmarkStart w:id="31" w:name="_Toc426018806"/>
      <w:bookmarkStart w:id="32" w:name="_Toc420665322"/>
      <w:r>
        <w:rPr>
          <w:rFonts w:hint="eastAsia" w:ascii="宋体" w:hAnsi="宋体"/>
          <w:b/>
          <w:bCs/>
          <w:color w:val="000000" w:themeColor="text1"/>
          <w:sz w:val="24"/>
          <w14:textFill>
            <w14:solidFill>
              <w14:schemeClr w14:val="tx1"/>
            </w14:solidFill>
          </w14:textFill>
        </w:rPr>
        <w:t>估价对象</w:t>
      </w:r>
      <w:bookmarkEnd w:id="30"/>
      <w:bookmarkEnd w:id="31"/>
      <w:bookmarkEnd w:id="32"/>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color w:val="000000" w:themeColor="text1"/>
          <w:sz w:val="24"/>
          <w14:textFill>
            <w14:solidFill>
              <w14:schemeClr w14:val="tx1"/>
            </w14:solidFill>
          </w14:textFill>
        </w:rPr>
      </w:pPr>
      <w:bookmarkStart w:id="33" w:name="_Toc426018807"/>
      <w:bookmarkStart w:id="34" w:name="_Toc420665323"/>
      <w:r>
        <w:rPr>
          <w:rFonts w:ascii="宋体" w:hAnsi="宋体"/>
          <w:color w:val="000000" w:themeColor="text1"/>
          <w:sz w:val="24"/>
          <w14:textFill>
            <w14:solidFill>
              <w14:schemeClr w14:val="tx1"/>
            </w14:solidFill>
          </w14:textFill>
        </w:rPr>
        <w:t>1</w:t>
      </w:r>
      <w:r>
        <w:rPr>
          <w:rFonts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估价对象财产范围</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乌苏市塔城路001号院1幢1-102室住宅</w:t>
      </w:r>
      <w:r>
        <w:rPr>
          <w:rFonts w:hint="eastAsia" w:ascii="宋体" w:hAnsi="宋体" w:cs="宋体"/>
          <w:color w:val="000000" w:themeColor="text1"/>
          <w:sz w:val="24"/>
          <w14:textFill>
            <w14:solidFill>
              <w14:schemeClr w14:val="tx1"/>
            </w14:solidFill>
          </w14:textFill>
        </w:rPr>
        <w:t>房地产，房屋建筑面积</w:t>
      </w:r>
      <w:r>
        <w:rPr>
          <w:rFonts w:hint="eastAsia" w:ascii="宋体" w:hAnsi="宋体" w:cs="宋体"/>
          <w:color w:val="000000" w:themeColor="text1"/>
          <w:sz w:val="24"/>
          <w:lang w:eastAsia="zh-CN"/>
          <w14:textFill>
            <w14:solidFill>
              <w14:schemeClr w14:val="tx1"/>
            </w14:solidFill>
          </w14:textFill>
        </w:rPr>
        <w:t>113.87</w:t>
      </w:r>
      <w:r>
        <w:rPr>
          <w:rFonts w:hint="eastAsia" w:ascii="宋体" w:hAnsi="宋体" w:cs="宋体"/>
          <w:color w:val="000000" w:themeColor="text1"/>
          <w:sz w:val="24"/>
          <w14:textFill>
            <w14:solidFill>
              <w14:schemeClr w14:val="tx1"/>
            </w14:solidFill>
          </w14:textFill>
        </w:rPr>
        <w:t>平方米。</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财产范围包括建筑物（</w:t>
      </w:r>
      <w:r>
        <w:rPr>
          <w:rFonts w:hint="eastAsia" w:ascii="宋体" w:hAnsi="宋体" w:cs="宋体"/>
          <w:color w:val="000000" w:themeColor="text1"/>
          <w:sz w:val="24"/>
          <w:lang w:eastAsia="zh-CN"/>
          <w14:textFill>
            <w14:solidFill>
              <w14:schemeClr w14:val="tx1"/>
            </w14:solidFill>
          </w14:textFill>
        </w:rPr>
        <w:t>含室内二次装修</w:t>
      </w:r>
      <w:r>
        <w:rPr>
          <w:rFonts w:hint="eastAsia" w:ascii="宋体" w:hAnsi="宋体" w:cs="宋体"/>
          <w:color w:val="000000" w:themeColor="text1"/>
          <w:sz w:val="24"/>
          <w14:textFill>
            <w14:solidFill>
              <w14:schemeClr w14:val="tx1"/>
            </w14:solidFill>
          </w14:textFill>
        </w:rPr>
        <w:t>）、分摊的土地使用权及公共配套设施，不包括动产、债权债务、特许经营权等其他财产或权益。</w:t>
      </w:r>
    </w:p>
    <w:p>
      <w:pPr>
        <w:keepNext w:val="0"/>
        <w:keepLines w:val="0"/>
        <w:pageBreakBefore w:val="0"/>
        <w:widowControl w:val="0"/>
        <w:kinsoku/>
        <w:wordWrap/>
        <w:overflowPunct/>
        <w:topLinePunct w:val="0"/>
        <w:autoSpaceDE/>
        <w:autoSpaceDN/>
        <w:bidi w:val="0"/>
        <w:adjustRightInd w:val="0"/>
        <w:snapToGrid w:val="0"/>
        <w:spacing w:line="440" w:lineRule="exact"/>
        <w:ind w:right="23" w:rightChars="11" w:firstLine="480" w:firstLineChars="20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2.估价对象基本状况</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hint="eastAsia" w:ascii="宋体" w:hAns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（1）所有权人名称：</w:t>
      </w:r>
      <w:r>
        <w:rPr>
          <w:rFonts w:hint="eastAsia" w:ascii="宋体" w:hAnsi="宋体"/>
          <w:color w:val="000000" w:themeColor="text1"/>
          <w:sz w:val="24"/>
          <w:lang w:eastAsia="zh-CN"/>
          <w14:textFill>
            <w14:solidFill>
              <w14:schemeClr w14:val="tx1"/>
            </w14:solidFill>
          </w14:textFill>
        </w:rPr>
        <w:t>张佩凤</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pacing w:val="-6"/>
          <w:sz w:val="24"/>
          <w14:textFill>
            <w14:solidFill>
              <w14:schemeClr w14:val="tx1"/>
            </w14:solidFill>
          </w14:textFill>
        </w:rPr>
        <w:t>坐落：</w:t>
      </w:r>
      <w:r>
        <w:rPr>
          <w:rFonts w:hint="eastAsia" w:ascii="宋体" w:hAnsi="宋体"/>
          <w:color w:val="000000" w:themeColor="text1"/>
          <w:spacing w:val="-6"/>
          <w:sz w:val="24"/>
          <w:lang w:eastAsia="zh-CN"/>
          <w14:textFill>
            <w14:solidFill>
              <w14:schemeClr w14:val="tx1"/>
            </w14:solidFill>
          </w14:textFill>
        </w:rPr>
        <w:t>乌苏市塔城路001号院1幢1-102室</w:t>
      </w:r>
      <w:r>
        <w:rPr>
          <w:rFonts w:hint="eastAsia" w:ascii="宋体" w:hAnsi="宋体"/>
          <w:color w:val="000000" w:themeColor="text1"/>
          <w:spacing w:val="-6"/>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（3）总层数及所在层数：估价对象所在建筑总层数为</w:t>
      </w:r>
      <w:r>
        <w:rPr>
          <w:rFonts w:hint="eastAsia" w:ascii="宋体" w:hAnsi="宋体"/>
          <w:color w:val="000000" w:themeColor="text1"/>
          <w:sz w:val="24"/>
          <w:lang w:val="en-US" w:eastAsia="zh-CN"/>
          <w14:textFill>
            <w14:solidFill>
              <w14:schemeClr w14:val="tx1"/>
            </w14:solidFill>
          </w14:textFill>
        </w:rPr>
        <w:t>3层</w:t>
      </w:r>
      <w:r>
        <w:rPr>
          <w:rFonts w:hint="eastAsia" w:ascii="宋体" w:hAnsi="宋体"/>
          <w:color w:val="000000" w:themeColor="text1"/>
          <w:sz w:val="24"/>
          <w14:textFill>
            <w14:solidFill>
              <w14:schemeClr w14:val="tx1"/>
            </w14:solidFill>
          </w14:textFill>
        </w:rPr>
        <w:t>，估价对象位于第</w:t>
      </w:r>
      <w:r>
        <w:rPr>
          <w:rFonts w:hint="eastAsia" w:ascii="宋体" w:hAnsi="宋体"/>
          <w:color w:val="000000" w:themeColor="text1"/>
          <w:sz w:val="24"/>
          <w:lang w:eastAsia="zh-CN"/>
          <w14:textFill>
            <w14:solidFill>
              <w14:schemeClr w14:val="tx1"/>
            </w14:solidFill>
          </w14:textFill>
        </w:rPr>
        <w:t>1层</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（4）规模：房产建筑面积为</w:t>
      </w:r>
      <w:r>
        <w:rPr>
          <w:rFonts w:hint="eastAsia" w:ascii="宋体" w:hAnsi="宋体"/>
          <w:color w:val="000000" w:themeColor="text1"/>
          <w:sz w:val="24"/>
          <w:lang w:eastAsia="zh-CN"/>
          <w14:textFill>
            <w14:solidFill>
              <w14:schemeClr w14:val="tx1"/>
            </w14:solidFill>
          </w14:textFill>
        </w:rPr>
        <w:t>113.87</w:t>
      </w:r>
      <w:r>
        <w:rPr>
          <w:rFonts w:hint="eastAsia" w:ascii="宋体" w:hAnsi="宋体"/>
          <w:color w:val="000000" w:themeColor="text1"/>
          <w:sz w:val="24"/>
          <w14:textFill>
            <w14:solidFill>
              <w14:schemeClr w14:val="tx1"/>
            </w14:solidFill>
          </w14:textFill>
        </w:rPr>
        <w:t>平方米</w:t>
      </w:r>
      <w:r>
        <w:rPr>
          <w:rFonts w:hint="eastAsia" w:ascii="宋体" w:hAnsi="宋体"/>
          <w:color w:val="000000" w:themeColor="text1"/>
          <w:sz w:val="24"/>
          <w:lang w:eastAsia="zh-CN"/>
          <w14:textFill>
            <w14:solidFill>
              <w14:schemeClr w14:val="tx1"/>
            </w14:solidFill>
          </w14:textFill>
        </w:rPr>
        <w:t>，为三室一厅一卫房屋</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（5）用途：</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房产；</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（6）权属：估价对象已办理</w:t>
      </w:r>
      <w:r>
        <w:rPr>
          <w:rFonts w:hint="eastAsia" w:ascii="宋体" w:hAnsi="宋体"/>
          <w:color w:val="000000" w:themeColor="text1"/>
          <w:sz w:val="24"/>
          <w:lang w:eastAsia="zh-CN"/>
          <w14:textFill>
            <w14:solidFill>
              <w14:schemeClr w14:val="tx1"/>
            </w14:solidFill>
          </w14:textFill>
        </w:rPr>
        <w:t>《房屋所有权证》</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eastAsia="zh-CN"/>
          <w14:textFill>
            <w14:solidFill>
              <w14:schemeClr w14:val="tx1"/>
            </w14:solidFill>
          </w14:textFill>
        </w:rPr>
        <w:t>房屋所有权人</w:t>
      </w:r>
      <w:r>
        <w:rPr>
          <w:rFonts w:hint="eastAsia" w:ascii="宋体" w:hAnsi="宋体"/>
          <w:color w:val="000000" w:themeColor="text1"/>
          <w:sz w:val="24"/>
          <w14:textFill>
            <w14:solidFill>
              <w14:schemeClr w14:val="tx1"/>
            </w14:solidFill>
          </w14:textFill>
        </w:rPr>
        <w:t>为</w:t>
      </w:r>
      <w:r>
        <w:rPr>
          <w:rFonts w:hint="eastAsia" w:ascii="宋体" w:hAnsi="宋体"/>
          <w:color w:val="000000" w:themeColor="text1"/>
          <w:sz w:val="24"/>
          <w:lang w:eastAsia="zh-CN"/>
          <w14:textFill>
            <w14:solidFill>
              <w14:schemeClr w14:val="tx1"/>
            </w14:solidFill>
          </w14:textFill>
        </w:rPr>
        <w:t>张佩凤</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eastAsia="zh-CN"/>
          <w14:textFill>
            <w14:solidFill>
              <w14:schemeClr w14:val="tx1"/>
            </w14:solidFill>
          </w14:textFill>
        </w:rPr>
        <w:t>产权号</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00005333号</w:t>
      </w:r>
      <w:r>
        <w:rPr>
          <w:rFonts w:hint="eastAsia" w:ascii="宋体" w:hAnsi="宋体" w:cs="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 土地基本状况</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（1）四至：估价对象位于</w:t>
      </w:r>
      <w:r>
        <w:rPr>
          <w:rFonts w:hint="eastAsia" w:ascii="宋体" w:hAnsi="宋体" w:cs="宋体"/>
          <w:color w:val="000000" w:themeColor="text1"/>
          <w:sz w:val="24"/>
          <w:lang w:eastAsia="zh-CN"/>
          <w14:textFill>
            <w14:solidFill>
              <w14:schemeClr w14:val="tx1"/>
            </w14:solidFill>
          </w14:textFill>
        </w:rPr>
        <w:t>乌苏市塔城路001号院1幢1-102室</w:t>
      </w:r>
      <w:r>
        <w:rPr>
          <w:rFonts w:hint="eastAsia" w:ascii="宋体" w:hAnsi="宋体" w:cs="宋体"/>
          <w:color w:val="000000" w:themeColor="text1"/>
          <w:sz w:val="24"/>
          <w14:textFill>
            <w14:solidFill>
              <w14:schemeClr w14:val="tx1"/>
            </w14:solidFill>
          </w14:textFill>
        </w:rPr>
        <w:t>，地处</w:t>
      </w:r>
      <w:r>
        <w:rPr>
          <w:rFonts w:hint="eastAsia" w:ascii="宋体" w:hAnsi="宋体" w:cs="宋体"/>
          <w:color w:val="000000" w:themeColor="text1"/>
          <w:sz w:val="24"/>
          <w:lang w:eastAsia="zh-CN"/>
          <w14:textFill>
            <w14:solidFill>
              <w14:schemeClr w14:val="tx1"/>
            </w14:solidFill>
          </w14:textFill>
        </w:rPr>
        <w:t>乌苏市</w:t>
      </w:r>
      <w:r>
        <w:rPr>
          <w:rFonts w:hint="eastAsia" w:ascii="宋体" w:hAnsi="宋体" w:cs="宋体"/>
          <w:color w:val="000000" w:themeColor="text1"/>
          <w:sz w:val="24"/>
          <w14:textFill>
            <w14:solidFill>
              <w14:schemeClr w14:val="tx1"/>
            </w14:solidFill>
          </w14:textFill>
        </w:rPr>
        <w:t>一级</w:t>
      </w:r>
      <w:r>
        <w:rPr>
          <w:rFonts w:hint="eastAsia" w:ascii="宋体" w:hAnsi="宋体" w:cs="宋体"/>
          <w:color w:val="000000" w:themeColor="text1"/>
          <w:sz w:val="24"/>
          <w:lang w:eastAsia="zh-CN"/>
          <w14:textFill>
            <w14:solidFill>
              <w14:schemeClr w14:val="tx1"/>
            </w14:solidFill>
          </w14:textFill>
        </w:rPr>
        <w:t>住宅</w:t>
      </w:r>
      <w:r>
        <w:rPr>
          <w:rFonts w:hint="eastAsia" w:ascii="宋体" w:hAnsi="宋体" w:cs="宋体"/>
          <w:color w:val="000000" w:themeColor="text1"/>
          <w:sz w:val="24"/>
          <w14:textFill>
            <w14:solidFill>
              <w14:schemeClr w14:val="tx1"/>
            </w14:solidFill>
          </w14:textFill>
        </w:rPr>
        <w:t>地价区，四至：</w:t>
      </w:r>
      <w:r>
        <w:rPr>
          <w:rFonts w:hint="eastAsia" w:ascii="宋体" w:hAnsi="宋体" w:cs="宋体"/>
          <w:color w:val="000000" w:themeColor="text1"/>
          <w:sz w:val="24"/>
          <w:lang w:eastAsia="zh-CN"/>
          <w14:textFill>
            <w14:solidFill>
              <w14:schemeClr w14:val="tx1"/>
            </w14:solidFill>
          </w14:textFill>
        </w:rPr>
        <w:t>东至住宅楼、西至塔城北路、南至安达倾城小区、北至塔里木河西路</w:t>
      </w:r>
      <w:r>
        <w:rPr>
          <w:rFonts w:hint="eastAsia" w:ascii="宋体" w:hAnsi="宋体" w:cs="宋体"/>
          <w:color w:val="000000" w:themeColor="text1"/>
          <w:sz w:val="24"/>
          <w14:textFill>
            <w14:solidFill>
              <w14:schemeClr w14:val="tx1"/>
            </w14:solidFill>
          </w14:textFill>
        </w:rPr>
        <w:t xml:space="preserve">。 </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（2）地类用途：</w:t>
      </w:r>
      <w:r>
        <w:rPr>
          <w:rFonts w:hint="eastAsia" w:ascii="宋体" w:hAnsi="宋体" w:cs="宋体"/>
          <w:color w:val="000000" w:themeColor="text1"/>
          <w:sz w:val="24"/>
          <w:lang w:eastAsia="zh-CN"/>
          <w14:textFill>
            <w14:solidFill>
              <w14:schemeClr w14:val="tx1"/>
            </w14:solidFill>
          </w14:textFill>
        </w:rPr>
        <w:t>住宅</w:t>
      </w:r>
      <w:r>
        <w:rPr>
          <w:rFonts w:hint="eastAsia" w:ascii="宋体" w:hAnsi="宋体" w:cs="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（3）开发程度：宗地外达到“</w:t>
      </w:r>
      <w:r>
        <w:rPr>
          <w:rFonts w:hint="eastAsia" w:ascii="宋体" w:hAnsi="宋体" w:cs="宋体"/>
          <w:color w:val="000000" w:themeColor="text1"/>
          <w:sz w:val="24"/>
          <w:lang w:eastAsia="zh-CN"/>
          <w14:textFill>
            <w14:solidFill>
              <w14:schemeClr w14:val="tx1"/>
            </w14:solidFill>
          </w14:textFill>
        </w:rPr>
        <w:t>七通</w:t>
      </w:r>
      <w:r>
        <w:rPr>
          <w:rFonts w:hint="eastAsia" w:ascii="宋体" w:hAnsi="宋体" w:cs="宋体"/>
          <w:color w:val="000000" w:themeColor="text1"/>
          <w:sz w:val="24"/>
          <w14:textFill>
            <w14:solidFill>
              <w14:schemeClr w14:val="tx1"/>
            </w14:solidFill>
          </w14:textFill>
        </w:rPr>
        <w:t>”（即通电、通路、通上水、通下水、通讯、通暖</w:t>
      </w:r>
      <w:r>
        <w:rPr>
          <w:rFonts w:hint="eastAsia" w:ascii="宋体" w:hAnsi="宋体" w:cs="宋体"/>
          <w:color w:val="000000" w:themeColor="text1"/>
          <w:sz w:val="24"/>
          <w:lang w:eastAsia="zh-CN"/>
          <w14:textFill>
            <w14:solidFill>
              <w14:schemeClr w14:val="tx1"/>
            </w14:solidFill>
          </w14:textFill>
        </w:rPr>
        <w:t>、通气</w:t>
      </w:r>
      <w:r>
        <w:rPr>
          <w:rFonts w:hint="eastAsia" w:ascii="宋体" w:hAnsi="宋体" w:cs="宋体"/>
          <w:color w:val="000000" w:themeColor="text1"/>
          <w:sz w:val="24"/>
          <w14:textFill>
            <w14:solidFill>
              <w14:schemeClr w14:val="tx1"/>
            </w14:solidFill>
          </w14:textFill>
        </w:rPr>
        <w:t>）及宗地内场地平整；</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420" w:rightChars="200" w:firstLine="424" w:firstLineChars="177"/>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4.建筑物基本状况</w:t>
      </w:r>
    </w:p>
    <w:p>
      <w:pPr>
        <w:tabs>
          <w:tab w:val="left" w:pos="720"/>
        </w:tabs>
        <w:adjustRightInd w:val="0"/>
        <w:snapToGrid w:val="0"/>
        <w:spacing w:line="360" w:lineRule="auto"/>
        <w:ind w:right="420" w:rightChars="200" w:firstLine="371" w:firstLineChars="177"/>
        <w:jc w:val="center"/>
        <w:rPr>
          <w:rFonts w:hint="eastAsia" w:ascii="宋体" w:hAnsi="宋体"/>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637280" cy="2592705"/>
            <wp:effectExtent l="0" t="0" r="127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3637280" cy="2592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小区概况：</w:t>
      </w:r>
      <w:r>
        <w:rPr>
          <w:rFonts w:hint="eastAsia" w:asciiTheme="minorEastAsia" w:hAnsiTheme="minorEastAsia" w:eastAsiaTheme="minorEastAsia"/>
          <w:color w:val="000000" w:themeColor="text1"/>
          <w:sz w:val="24"/>
          <w:lang w:eastAsia="zh-CN"/>
          <w14:textFill>
            <w14:solidFill>
              <w14:schemeClr w14:val="tx1"/>
            </w14:solidFill>
          </w14:textFill>
        </w:rPr>
        <w:t>估价对象开发商为中国人民财产保险股份有限公司乌苏支公司；</w:t>
      </w:r>
      <w:r>
        <w:rPr>
          <w:rFonts w:hint="eastAsia" w:asciiTheme="minorEastAsia" w:hAnsiTheme="minorEastAsia" w:eastAsiaTheme="minorEastAsia"/>
          <w:color w:val="000000" w:themeColor="text1"/>
          <w:sz w:val="24"/>
          <w14:textFill>
            <w14:solidFill>
              <w14:schemeClr w14:val="tx1"/>
            </w14:solidFill>
          </w14:textFill>
        </w:rPr>
        <w:t>总层数为</w:t>
      </w:r>
      <w:r>
        <w:rPr>
          <w:rFonts w:hint="eastAsia" w:asciiTheme="minorEastAsia" w:hAnsiTheme="minorEastAsia" w:eastAsiaTheme="minorEastAsia"/>
          <w:color w:val="000000" w:themeColor="text1"/>
          <w:sz w:val="24"/>
          <w:lang w:val="en-US" w:eastAsia="zh-CN"/>
          <w14:textFill>
            <w14:solidFill>
              <w14:schemeClr w14:val="tx1"/>
            </w14:solidFill>
          </w14:textFill>
        </w:rPr>
        <w:t>3层</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lang w:eastAsia="zh-CN"/>
          <w14:textFill>
            <w14:solidFill>
              <w14:schemeClr w14:val="tx1"/>
            </w14:solidFill>
          </w14:textFill>
        </w:rPr>
        <w:t>所在层为</w:t>
      </w:r>
      <w:r>
        <w:rPr>
          <w:rFonts w:hint="eastAsia" w:asciiTheme="minorEastAsia" w:hAnsiTheme="minorEastAsia" w:eastAsiaTheme="minorEastAsia"/>
          <w:color w:val="000000" w:themeColor="text1"/>
          <w:sz w:val="24"/>
          <w:lang w:val="en-US" w:eastAsia="zh-CN"/>
          <w14:textFill>
            <w14:solidFill>
              <w14:schemeClr w14:val="tx1"/>
            </w14:solidFill>
          </w14:textFill>
        </w:rPr>
        <w:t>1层，小区</w:t>
      </w:r>
      <w:r>
        <w:rPr>
          <w:rFonts w:asciiTheme="minorEastAsia" w:hAnsiTheme="minorEastAsia" w:eastAsiaTheme="minorEastAsia"/>
          <w:color w:val="000000" w:themeColor="text1"/>
          <w:sz w:val="24"/>
          <w14:textFill>
            <w14:solidFill>
              <w14:schemeClr w14:val="tx1"/>
            </w14:solidFill>
          </w14:textFill>
        </w:rPr>
        <w:t>绿化</w:t>
      </w:r>
      <w:r>
        <w:rPr>
          <w:rFonts w:hint="eastAsia" w:asciiTheme="minorEastAsia" w:hAnsiTheme="minorEastAsia" w:eastAsiaTheme="minorEastAsia"/>
          <w:color w:val="000000" w:themeColor="text1"/>
          <w:sz w:val="24"/>
          <w:lang w:eastAsia="zh-CN"/>
          <w14:textFill>
            <w14:solidFill>
              <w14:schemeClr w14:val="tx1"/>
            </w14:solidFill>
          </w14:textFill>
        </w:rPr>
        <w:t>较差</w:t>
      </w:r>
      <w:r>
        <w:rPr>
          <w:rFonts w:asciiTheme="minorEastAsia" w:hAnsiTheme="minorEastAsia" w:eastAsiaTheme="minorEastAsia"/>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（2）建筑结构：</w:t>
      </w:r>
      <w:r>
        <w:rPr>
          <w:rFonts w:hint="eastAsia" w:ascii="宋体" w:hAnsi="宋体"/>
          <w:color w:val="000000" w:themeColor="text1"/>
          <w:sz w:val="24"/>
          <w:lang w:eastAsia="zh-CN"/>
          <w14:textFill>
            <w14:solidFill>
              <w14:schemeClr w14:val="tx1"/>
            </w14:solidFill>
          </w14:textFill>
        </w:rPr>
        <w:t>混合</w:t>
      </w:r>
      <w:r>
        <w:rPr>
          <w:rFonts w:hint="eastAsia" w:ascii="宋体" w:hAnsi="宋体"/>
          <w:color w:val="000000" w:themeColor="text1"/>
          <w:sz w:val="24"/>
          <w14:textFill>
            <w14:solidFill>
              <w14:schemeClr w14:val="tx1"/>
            </w14:solidFill>
          </w14:textFill>
        </w:rPr>
        <w:t>结构；</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（3）设施设备：</w:t>
      </w:r>
      <w:r>
        <w:rPr>
          <w:rFonts w:hint="eastAsia" w:ascii="宋体" w:hAnsi="宋体"/>
          <w:color w:val="000000" w:themeColor="text1"/>
          <w:sz w:val="24"/>
          <w:lang w:eastAsia="zh-CN"/>
          <w14:textFill>
            <w14:solidFill>
              <w14:schemeClr w14:val="tx1"/>
            </w14:solidFill>
          </w14:textFill>
        </w:rPr>
        <w:t>进户门</w:t>
      </w:r>
      <w:r>
        <w:rPr>
          <w:rFonts w:hint="eastAsia" w:ascii="宋体" w:hAnsi="宋体"/>
          <w:color w:val="000000" w:themeColor="text1"/>
          <w:sz w:val="24"/>
          <w14:textFill>
            <w14:solidFill>
              <w14:schemeClr w14:val="tx1"/>
            </w14:solidFill>
          </w14:textFill>
        </w:rPr>
        <w:t>为</w:t>
      </w:r>
      <w:r>
        <w:rPr>
          <w:rFonts w:hint="eastAsia" w:ascii="宋体" w:hAnsi="宋体"/>
          <w:color w:val="000000" w:themeColor="text1"/>
          <w:sz w:val="24"/>
          <w:lang w:eastAsia="zh-CN"/>
          <w14:textFill>
            <w14:solidFill>
              <w14:schemeClr w14:val="tx1"/>
            </w14:solidFill>
          </w14:textFill>
        </w:rPr>
        <w:t>防盗门</w:t>
      </w:r>
      <w:r>
        <w:rPr>
          <w:rFonts w:hint="eastAsia" w:ascii="宋体" w:hAnsi="宋体"/>
          <w:color w:val="000000" w:themeColor="text1"/>
          <w:sz w:val="24"/>
          <w14:textFill>
            <w14:solidFill>
              <w14:schemeClr w14:val="tx1"/>
            </w14:solidFill>
          </w14:textFill>
        </w:rPr>
        <w:t>，暗装供水、供电，电话线路，宽带，有线电视；水、电、暖、气等基础设施设备齐全，维护状况</w:t>
      </w:r>
      <w:r>
        <w:rPr>
          <w:rFonts w:hint="eastAsia" w:ascii="宋体" w:hAnsi="宋体"/>
          <w:color w:val="000000" w:themeColor="text1"/>
          <w:sz w:val="24"/>
          <w:lang w:eastAsia="zh-CN"/>
          <w14:textFill>
            <w14:solidFill>
              <w14:schemeClr w14:val="tx1"/>
            </w14:solidFill>
          </w14:textFill>
        </w:rPr>
        <w:t>较好</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（4）装饰装修：估价对象整栋楼外墙为涂料，</w:t>
      </w:r>
      <w:r>
        <w:rPr>
          <w:rFonts w:hint="eastAsia" w:ascii="宋体" w:hAnsi="宋体"/>
          <w:color w:val="000000" w:themeColor="text1"/>
          <w:sz w:val="24"/>
          <w:lang w:eastAsia="zh-CN"/>
          <w14:textFill>
            <w14:solidFill>
              <w14:schemeClr w14:val="tx1"/>
            </w14:solidFill>
          </w14:textFill>
        </w:rPr>
        <w:t>双层钢窗</w:t>
      </w:r>
      <w:r>
        <w:rPr>
          <w:rFonts w:hint="eastAsia" w:ascii="宋体" w:hAnsi="宋体"/>
          <w:color w:val="000000" w:themeColor="text1"/>
          <w:sz w:val="24"/>
          <w14:textFill>
            <w14:solidFill>
              <w14:schemeClr w14:val="tx1"/>
            </w14:solidFill>
          </w14:textFill>
        </w:rPr>
        <w:t>，进户门为防盗门，室内客厅：</w:t>
      </w:r>
      <w:r>
        <w:rPr>
          <w:rFonts w:hint="eastAsia" w:ascii="宋体" w:hAnsi="宋体"/>
          <w:color w:val="000000" w:themeColor="text1"/>
          <w:sz w:val="24"/>
          <w:lang w:eastAsia="zh-CN"/>
          <w14:textFill>
            <w14:solidFill>
              <w14:schemeClr w14:val="tx1"/>
            </w14:solidFill>
          </w14:textFill>
        </w:rPr>
        <w:t>地面为地板砖</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eastAsia="zh-CN"/>
          <w14:textFill>
            <w14:solidFill>
              <w14:schemeClr w14:val="tx1"/>
            </w14:solidFill>
          </w14:textFill>
        </w:rPr>
        <w:t>墙面贴墙纸</w:t>
      </w:r>
      <w:r>
        <w:rPr>
          <w:rFonts w:hint="eastAsia" w:ascii="宋体" w:hAnsi="宋体"/>
          <w:color w:val="000000" w:themeColor="text1"/>
          <w:sz w:val="24"/>
          <w14:textFill>
            <w14:solidFill>
              <w14:schemeClr w14:val="tx1"/>
            </w14:solidFill>
          </w14:textFill>
        </w:rPr>
        <w:t>，顶为石膏板吊顶；室内卧室：</w:t>
      </w:r>
      <w:r>
        <w:rPr>
          <w:rFonts w:hint="eastAsia" w:ascii="宋体" w:hAnsi="宋体"/>
          <w:color w:val="000000" w:themeColor="text1"/>
          <w:sz w:val="24"/>
          <w:lang w:eastAsia="zh-CN"/>
          <w14:textFill>
            <w14:solidFill>
              <w14:schemeClr w14:val="tx1"/>
            </w14:solidFill>
          </w14:textFill>
        </w:rPr>
        <w:t>地面为地板砖</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eastAsia="zh-CN"/>
          <w14:textFill>
            <w14:solidFill>
              <w14:schemeClr w14:val="tx1"/>
            </w14:solidFill>
          </w14:textFill>
        </w:rPr>
        <w:t>墙面乳胶漆粉刷</w:t>
      </w:r>
      <w:r>
        <w:rPr>
          <w:rFonts w:hint="eastAsia" w:ascii="宋体" w:hAnsi="宋体"/>
          <w:color w:val="000000" w:themeColor="text1"/>
          <w:sz w:val="24"/>
          <w14:textFill>
            <w14:solidFill>
              <w14:schemeClr w14:val="tx1"/>
            </w14:solidFill>
          </w14:textFill>
        </w:rPr>
        <w:t>，顶为</w:t>
      </w:r>
      <w:r>
        <w:rPr>
          <w:rFonts w:hint="eastAsia" w:ascii="宋体" w:hAnsi="宋体"/>
          <w:color w:val="000000" w:themeColor="text1"/>
          <w:sz w:val="24"/>
          <w:lang w:eastAsia="zh-CN"/>
          <w14:textFill>
            <w14:solidFill>
              <w14:schemeClr w14:val="tx1"/>
            </w14:solidFill>
          </w14:textFill>
        </w:rPr>
        <w:t>乳胶漆粉刷</w:t>
      </w:r>
      <w:r>
        <w:rPr>
          <w:rFonts w:hint="eastAsia" w:ascii="宋体" w:hAnsi="宋体"/>
          <w:color w:val="000000" w:themeColor="text1"/>
          <w:sz w:val="24"/>
          <w14:textFill>
            <w14:solidFill>
              <w14:schemeClr w14:val="tx1"/>
            </w14:solidFill>
          </w14:textFill>
        </w:rPr>
        <w:t>；室内厨房、卫生间地面为地</w:t>
      </w:r>
      <w:r>
        <w:rPr>
          <w:rFonts w:hint="eastAsia" w:ascii="宋体" w:hAnsi="宋体"/>
          <w:color w:val="000000" w:themeColor="text1"/>
          <w:sz w:val="24"/>
          <w:lang w:val="en-US" w:eastAsia="zh-CN"/>
          <w14:textFill>
            <w14:solidFill>
              <w14:schemeClr w14:val="tx1"/>
            </w14:solidFill>
          </w14:textFill>
        </w:rPr>
        <w:t>板</w:t>
      </w:r>
      <w:r>
        <w:rPr>
          <w:rFonts w:hint="eastAsia" w:ascii="宋体" w:hAnsi="宋体"/>
          <w:color w:val="000000" w:themeColor="text1"/>
          <w:sz w:val="24"/>
          <w14:textFill>
            <w14:solidFill>
              <w14:schemeClr w14:val="tx1"/>
            </w14:solidFill>
          </w14:textFill>
        </w:rPr>
        <w:t>砖，墙面为</w:t>
      </w:r>
      <w:r>
        <w:rPr>
          <w:rFonts w:hint="eastAsia" w:ascii="宋体" w:hAnsi="宋体"/>
          <w:color w:val="000000" w:themeColor="text1"/>
          <w:sz w:val="24"/>
          <w:lang w:val="en-US" w:eastAsia="zh-CN"/>
          <w14:textFill>
            <w14:solidFill>
              <w14:schemeClr w14:val="tx1"/>
            </w14:solidFill>
          </w14:textFill>
        </w:rPr>
        <w:t>瓷</w:t>
      </w:r>
      <w:r>
        <w:rPr>
          <w:rFonts w:hint="eastAsia" w:ascii="宋体" w:hAnsi="宋体"/>
          <w:color w:val="000000" w:themeColor="text1"/>
          <w:sz w:val="24"/>
          <w14:textFill>
            <w14:solidFill>
              <w14:schemeClr w14:val="tx1"/>
            </w14:solidFill>
          </w14:textFill>
        </w:rPr>
        <w:t>砖，顶为扣板</w:t>
      </w:r>
      <w:r>
        <w:rPr>
          <w:rFonts w:hint="eastAsia" w:ascii="宋体" w:hAnsi="宋体"/>
          <w:color w:val="000000" w:themeColor="text1"/>
          <w:sz w:val="24"/>
          <w:lang w:eastAsia="zh-CN"/>
          <w14:textFill>
            <w14:solidFill>
              <w14:schemeClr w14:val="tx1"/>
            </w14:solidFill>
          </w14:textFill>
        </w:rPr>
        <w:t>、推拉门</w:t>
      </w:r>
      <w:r>
        <w:rPr>
          <w:rFonts w:hint="eastAsia" w:ascii="宋体" w:hAnsi="宋体"/>
          <w:color w:val="000000" w:themeColor="text1"/>
          <w:sz w:val="24"/>
          <w14:textFill>
            <w14:solidFill>
              <w14:schemeClr w14:val="tx1"/>
            </w14:solidFill>
          </w14:textFill>
        </w:rPr>
        <w:t>；委估房产通路、通给水、通排水、通电、通讯、通暖、通天然气等设施齐全。</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（5）设备设施：委估房产上、下水、电、暖、通讯、消防、天然气等设施齐全。</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）修建年代：</w:t>
      </w:r>
      <w:r>
        <w:rPr>
          <w:rFonts w:hint="eastAsia" w:ascii="宋体" w:hAnsi="宋体"/>
          <w:color w:val="000000" w:themeColor="text1"/>
          <w:sz w:val="24"/>
          <w:lang w:val="en-US" w:eastAsia="zh-CN"/>
          <w14:textFill>
            <w14:solidFill>
              <w14:schemeClr w14:val="tx1"/>
            </w14:solidFill>
          </w14:textFill>
        </w:rPr>
        <w:t>2001年</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）使用及维护状况：无明显损毁状况，使用正常，维护</w:t>
      </w:r>
      <w:r>
        <w:rPr>
          <w:rFonts w:hint="eastAsia" w:ascii="宋体" w:hAnsi="宋体"/>
          <w:color w:val="000000" w:themeColor="text1"/>
          <w:sz w:val="24"/>
          <w:lang w:eastAsia="zh-CN"/>
          <w14:textFill>
            <w14:solidFill>
              <w14:schemeClr w14:val="tx1"/>
            </w14:solidFill>
          </w14:textFill>
        </w:rPr>
        <w:t>较好</w:t>
      </w:r>
      <w:r>
        <w:rPr>
          <w:rFonts w:hint="eastAsia" w:ascii="宋体" w:hAnsi="宋体"/>
          <w:color w:val="000000" w:themeColor="text1"/>
          <w:sz w:val="24"/>
          <w14:textFill>
            <w14:solidFill>
              <w14:schemeClr w14:val="tx1"/>
            </w14:solidFill>
          </w14:textFill>
        </w:rPr>
        <w:t>，约</w:t>
      </w:r>
      <w:r>
        <w:rPr>
          <w:rFonts w:hint="eastAsia" w:ascii="宋体" w:hAnsi="宋体"/>
          <w:color w:val="000000" w:themeColor="text1"/>
          <w:sz w:val="24"/>
          <w:lang w:eastAsia="zh-CN"/>
          <w14:textFill>
            <w14:solidFill>
              <w14:schemeClr w14:val="tx1"/>
            </w14:solidFill>
          </w14:textFill>
        </w:rPr>
        <w:t>八成新</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）总层数及所在层数：</w:t>
      </w:r>
      <w:r>
        <w:rPr>
          <w:rFonts w:hint="eastAsia" w:ascii="宋体" w:hAnsi="宋体"/>
          <w:color w:val="000000" w:themeColor="text1"/>
          <w:sz w:val="24"/>
          <w:lang w:eastAsia="zh-CN"/>
          <w14:textFill>
            <w14:solidFill>
              <w14:schemeClr w14:val="tx1"/>
            </w14:solidFill>
          </w14:textFill>
        </w:rPr>
        <w:t>总层数3层</w:t>
      </w:r>
      <w:r>
        <w:rPr>
          <w:rFonts w:hint="eastAsia" w:ascii="宋体" w:hAnsi="宋体"/>
          <w:color w:val="000000" w:themeColor="text1"/>
          <w:sz w:val="24"/>
          <w14:textFill>
            <w14:solidFill>
              <w14:schemeClr w14:val="tx1"/>
            </w14:solidFill>
          </w14:textFill>
        </w:rPr>
        <w:t>，所在层第</w:t>
      </w:r>
      <w:r>
        <w:rPr>
          <w:rFonts w:hint="eastAsia" w:ascii="宋体" w:hAnsi="宋体"/>
          <w:color w:val="000000" w:themeColor="text1"/>
          <w:sz w:val="24"/>
          <w:lang w:eastAsia="zh-CN"/>
          <w14:textFill>
            <w14:solidFill>
              <w14:schemeClr w14:val="tx1"/>
            </w14:solidFill>
          </w14:textFill>
        </w:rPr>
        <w:t>1层</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）估价对象房屋建筑面积</w:t>
      </w:r>
      <w:r>
        <w:rPr>
          <w:rFonts w:hint="eastAsia" w:ascii="宋体" w:hAnsi="宋体"/>
          <w:color w:val="000000" w:themeColor="text1"/>
          <w:sz w:val="24"/>
          <w:lang w:eastAsia="zh-CN"/>
          <w14:textFill>
            <w14:solidFill>
              <w14:schemeClr w14:val="tx1"/>
            </w14:solidFill>
          </w14:textFill>
        </w:rPr>
        <w:t>113.87</w:t>
      </w:r>
      <w:r>
        <w:rPr>
          <w:rFonts w:hint="eastAsia" w:ascii="宋体" w:hAnsi="宋体"/>
          <w:color w:val="000000" w:themeColor="text1"/>
          <w:sz w:val="24"/>
          <w14:textFill>
            <w14:solidFill>
              <w14:schemeClr w14:val="tx1"/>
            </w14:solidFill>
          </w14:textFill>
        </w:rPr>
        <w:t>平方米。</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right="23" w:rightChars="11" w:firstLine="424" w:firstLineChars="177"/>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（10）现状影像资料：</w:t>
      </w:r>
    </w:p>
    <w:p>
      <w:pPr>
        <w:keepNext w:val="0"/>
        <w:keepLines w:val="0"/>
        <w:pageBreakBefore w:val="0"/>
        <w:widowControl w:val="0"/>
        <w:numPr>
          <w:ilvl w:val="0"/>
          <w:numId w:val="0"/>
        </w:numPr>
        <w:tabs>
          <w:tab w:val="left" w:pos="720"/>
        </w:tabs>
        <w:kinsoku/>
        <w:wordWrap/>
        <w:overflowPunct/>
        <w:topLinePunct w:val="0"/>
        <w:autoSpaceDE/>
        <w:autoSpaceDN/>
        <w:bidi w:val="0"/>
        <w:adjustRightInd w:val="0"/>
        <w:snapToGrid w:val="0"/>
        <w:spacing w:line="440" w:lineRule="exact"/>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60612096" behindDoc="0" locked="0" layoutInCell="1" allowOverlap="1">
            <wp:simplePos x="0" y="0"/>
            <wp:positionH relativeFrom="column">
              <wp:posOffset>-267970</wp:posOffset>
            </wp:positionH>
            <wp:positionV relativeFrom="paragraph">
              <wp:posOffset>62865</wp:posOffset>
            </wp:positionV>
            <wp:extent cx="5842000" cy="5271135"/>
            <wp:effectExtent l="0" t="0" r="635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842000" cy="52711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440" w:lineRule="exact"/>
        <w:ind w:firstLine="210" w:firstLineChars="100"/>
        <w:textAlignment w:val="auto"/>
        <w:rPr>
          <w:rFonts w:hint="eastAsia" w:ascii="宋体" w:hAnsi="宋体"/>
          <w:color w:val="000000" w:themeColor="text1"/>
          <w:sz w:val="24"/>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5.</w:t>
      </w:r>
      <w:r>
        <w:rPr>
          <w:rFonts w:hint="eastAsia" w:ascii="宋体" w:hAnsi="宋体"/>
          <w:color w:val="000000" w:themeColor="text1"/>
          <w:sz w:val="24"/>
          <w14:textFill>
            <w14:solidFill>
              <w14:schemeClr w14:val="tx1"/>
            </w14:solidFill>
          </w14:textFill>
        </w:rPr>
        <w:t>估价对象权益状况</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w:t>
      </w:r>
      <w:r>
        <w:rPr>
          <w:rFonts w:hint="eastAsia" w:ascii="宋体" w:hAnsi="宋体"/>
          <w:color w:val="000000" w:themeColor="text1"/>
          <w:sz w:val="24"/>
          <w:lang w:eastAsia="zh-CN"/>
          <w14:textFill>
            <w14:solidFill>
              <w14:schemeClr w14:val="tx1"/>
            </w14:solidFill>
          </w14:textFill>
        </w:rPr>
        <w:t>乌苏</w:t>
      </w:r>
      <w:r>
        <w:rPr>
          <w:rFonts w:hint="eastAsia" w:ascii="宋体" w:hAnsi="宋体"/>
          <w:color w:val="000000" w:themeColor="text1"/>
          <w:sz w:val="24"/>
          <w14:textFill>
            <w14:solidFill>
              <w14:schemeClr w14:val="tx1"/>
            </w14:solidFill>
          </w14:textFill>
        </w:rPr>
        <w:t>市</w:t>
      </w:r>
      <w:r>
        <w:rPr>
          <w:rFonts w:hint="eastAsia" w:ascii="宋体" w:hAnsi="宋体"/>
          <w:color w:val="000000" w:themeColor="text1"/>
          <w:sz w:val="24"/>
          <w:lang w:eastAsia="zh-CN"/>
          <w14:textFill>
            <w14:solidFill>
              <w14:schemeClr w14:val="tx1"/>
            </w14:solidFill>
          </w14:textFill>
        </w:rPr>
        <w:t>房屋</w:t>
      </w:r>
      <w:r>
        <w:rPr>
          <w:rFonts w:hint="eastAsia" w:ascii="宋体" w:hAnsi="宋体"/>
          <w:color w:val="000000" w:themeColor="text1"/>
          <w:sz w:val="24"/>
          <w14:textFill>
            <w14:solidFill>
              <w14:schemeClr w14:val="tx1"/>
            </w14:solidFill>
          </w14:textFill>
        </w:rPr>
        <w:t>登记信息查询结果》登记如下：</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 xml:space="preserve">                                                       2020019</w:t>
      </w:r>
    </w:p>
    <w:tbl>
      <w:tblPr>
        <w:tblStyle w:val="19"/>
        <w:tblW w:w="7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5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80" w:type="dxa"/>
            <w:shd w:val="clear" w:color="auto" w:fill="auto"/>
            <w:noWrap/>
            <w:vAlign w:val="center"/>
          </w:tcPr>
          <w:p>
            <w:pPr>
              <w:widowControl/>
              <w:jc w:val="center"/>
              <w:rPr>
                <w:rFonts w:hint="eastAsia" w:ascii="宋体" w:hAnsi="宋体" w:eastAsia="宋体" w:cs="宋体"/>
                <w:color w:val="000000" w:themeColor="text1"/>
                <w:kern w:val="0"/>
                <w:sz w:val="24"/>
                <w:szCs w:val="28"/>
                <w:lang w:eastAsia="zh-CN"/>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被查询申请人</w:t>
            </w:r>
          </w:p>
        </w:tc>
        <w:tc>
          <w:tcPr>
            <w:tcW w:w="5527" w:type="dxa"/>
            <w:shd w:val="clear" w:color="auto" w:fill="auto"/>
            <w:noWrap/>
            <w:vAlign w:val="center"/>
          </w:tcPr>
          <w:p>
            <w:pPr>
              <w:widowControl/>
              <w:jc w:val="center"/>
              <w:rPr>
                <w:rFonts w:hint="default" w:ascii="宋体" w:hAnsi="宋体" w:eastAsia="宋体" w:cs="宋体"/>
                <w:color w:val="000000" w:themeColor="text1"/>
                <w:kern w:val="0"/>
                <w:sz w:val="24"/>
                <w:szCs w:val="28"/>
                <w:lang w:val="en-US" w:eastAsia="zh-CN"/>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张佩凤（身份证号：</w:t>
            </w:r>
            <w:r>
              <w:rPr>
                <w:rFonts w:hint="eastAsia" w:ascii="宋体" w:hAnsi="宋体" w:cs="宋体"/>
                <w:color w:val="000000" w:themeColor="text1"/>
                <w:kern w:val="0"/>
                <w:sz w:val="24"/>
                <w:szCs w:val="28"/>
                <w:lang w:val="en-US" w:eastAsia="zh-CN"/>
                <w14:textFill>
                  <w14:solidFill>
                    <w14:schemeClr w14:val="tx1"/>
                  </w14:solidFill>
                </w14:textFill>
              </w:rPr>
              <w:t>654222196401030042</w:t>
            </w:r>
            <w:r>
              <w:rPr>
                <w:rFonts w:hint="eastAsia" w:ascii="宋体" w:hAnsi="宋体" w:cs="宋体"/>
                <w:color w:val="000000" w:themeColor="text1"/>
                <w:kern w:val="0"/>
                <w:sz w:val="24"/>
                <w:szCs w:val="2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80" w:type="dxa"/>
            <w:shd w:val="clear" w:color="auto" w:fill="auto"/>
            <w:noWrap/>
            <w:vAlign w:val="center"/>
          </w:tcPr>
          <w:p>
            <w:pPr>
              <w:widowControl/>
              <w:jc w:val="center"/>
              <w:rPr>
                <w:rFonts w:ascii="宋体" w:hAnsi="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查询目的</w:t>
            </w:r>
          </w:p>
        </w:tc>
        <w:tc>
          <w:tcPr>
            <w:tcW w:w="5527" w:type="dxa"/>
            <w:shd w:val="clear" w:color="auto" w:fill="auto"/>
            <w:noWrap/>
            <w:vAlign w:val="center"/>
          </w:tcPr>
          <w:p>
            <w:pPr>
              <w:widowControl/>
              <w:jc w:val="both"/>
              <w:rPr>
                <w:rFonts w:hint="eastAsia" w:ascii="宋体" w:hAnsi="宋体" w:eastAsia="宋体" w:cs="宋体"/>
                <w:color w:val="000000" w:themeColor="text1"/>
                <w:kern w:val="0"/>
                <w:sz w:val="24"/>
                <w:szCs w:val="28"/>
                <w:lang w:eastAsia="zh-CN"/>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查询在乌苏市房产登记信息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07" w:type="dxa"/>
            <w:gridSpan w:val="2"/>
            <w:shd w:val="clear" w:color="auto" w:fill="auto"/>
            <w:noWrap/>
            <w:vAlign w:val="center"/>
          </w:tcPr>
          <w:p>
            <w:pPr>
              <w:widowControl/>
              <w:ind w:firstLine="2880" w:firstLineChars="1200"/>
              <w:jc w:val="left"/>
              <w:rPr>
                <w:rFonts w:hint="eastAsia" w:ascii="宋体" w:hAnsi="宋体" w:cs="宋体"/>
                <w:color w:val="000000" w:themeColor="text1"/>
                <w:kern w:val="0"/>
                <w:sz w:val="24"/>
                <w:szCs w:val="28"/>
                <w:lang w:eastAsia="zh-CN"/>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查</w:t>
            </w:r>
            <w:r>
              <w:rPr>
                <w:rFonts w:hint="eastAsia" w:ascii="宋体" w:hAnsi="宋体" w:cs="宋体"/>
                <w:color w:val="000000" w:themeColor="text1"/>
                <w:kern w:val="0"/>
                <w:sz w:val="24"/>
                <w:szCs w:val="28"/>
                <w:lang w:val="en-US" w:eastAsia="zh-CN"/>
                <w14:textFill>
                  <w14:solidFill>
                    <w14:schemeClr w14:val="tx1"/>
                  </w14:solidFill>
                </w14:textFill>
              </w:rPr>
              <w:t xml:space="preserve"> </w:t>
            </w:r>
            <w:r>
              <w:rPr>
                <w:rFonts w:hint="eastAsia" w:ascii="宋体" w:hAnsi="宋体" w:cs="宋体"/>
                <w:color w:val="000000" w:themeColor="text1"/>
                <w:kern w:val="0"/>
                <w:sz w:val="24"/>
                <w:szCs w:val="28"/>
                <w:lang w:eastAsia="zh-CN"/>
                <w14:textFill>
                  <w14:solidFill>
                    <w14:schemeClr w14:val="tx1"/>
                  </w14:solidFill>
                </w14:textFill>
              </w:rPr>
              <w:t>询</w:t>
            </w:r>
            <w:r>
              <w:rPr>
                <w:rFonts w:hint="eastAsia" w:ascii="宋体" w:hAnsi="宋体" w:cs="宋体"/>
                <w:color w:val="000000" w:themeColor="text1"/>
                <w:kern w:val="0"/>
                <w:sz w:val="24"/>
                <w:szCs w:val="28"/>
                <w:lang w:val="en-US" w:eastAsia="zh-CN"/>
                <w14:textFill>
                  <w14:solidFill>
                    <w14:schemeClr w14:val="tx1"/>
                  </w14:solidFill>
                </w14:textFill>
              </w:rPr>
              <w:t xml:space="preserve"> </w:t>
            </w:r>
            <w:r>
              <w:rPr>
                <w:rFonts w:hint="eastAsia" w:ascii="宋体" w:hAnsi="宋体" w:cs="宋体"/>
                <w:color w:val="000000" w:themeColor="text1"/>
                <w:kern w:val="0"/>
                <w:sz w:val="24"/>
                <w:szCs w:val="28"/>
                <w:lang w:eastAsia="zh-CN"/>
                <w14:textFill>
                  <w14:solidFill>
                    <w14:schemeClr w14:val="tx1"/>
                  </w14:solidFill>
                </w14:textFill>
              </w:rPr>
              <w:t>结</w:t>
            </w:r>
            <w:r>
              <w:rPr>
                <w:rFonts w:hint="eastAsia" w:ascii="宋体" w:hAnsi="宋体" w:cs="宋体"/>
                <w:color w:val="000000" w:themeColor="text1"/>
                <w:kern w:val="0"/>
                <w:sz w:val="24"/>
                <w:szCs w:val="28"/>
                <w:lang w:val="en-US" w:eastAsia="zh-CN"/>
                <w14:textFill>
                  <w14:solidFill>
                    <w14:schemeClr w14:val="tx1"/>
                  </w14:solidFill>
                </w14:textFill>
              </w:rPr>
              <w:t xml:space="preserve"> </w:t>
            </w:r>
            <w:r>
              <w:rPr>
                <w:rFonts w:hint="eastAsia" w:ascii="宋体" w:hAnsi="宋体" w:cs="宋体"/>
                <w:color w:val="000000" w:themeColor="text1"/>
                <w:kern w:val="0"/>
                <w:sz w:val="24"/>
                <w:szCs w:val="28"/>
                <w:lang w:eastAsia="zh-CN"/>
                <w14:textFill>
                  <w14:solidFill>
                    <w14:schemeClr w14:val="tx1"/>
                  </w14:solidFill>
                </w14:textFill>
              </w:rPr>
              <w:t>果</w:t>
            </w:r>
          </w:p>
          <w:p>
            <w:pPr>
              <w:widowControl/>
              <w:jc w:val="left"/>
              <w:rPr>
                <w:rFonts w:hint="eastAsia" w:ascii="宋体" w:hAnsi="宋体" w:cs="宋体"/>
                <w:color w:val="000000" w:themeColor="text1"/>
                <w:kern w:val="0"/>
                <w:sz w:val="24"/>
                <w:szCs w:val="28"/>
                <w:lang w:val="en-US" w:eastAsia="zh-CN"/>
                <w14:textFill>
                  <w14:solidFill>
                    <w14:schemeClr w14:val="tx1"/>
                  </w14:solidFill>
                </w14:textFill>
              </w:rPr>
            </w:pPr>
            <w:r>
              <w:rPr>
                <w:rFonts w:hint="eastAsia" w:ascii="宋体" w:hAnsi="宋体" w:cs="宋体"/>
                <w:color w:val="000000" w:themeColor="text1"/>
                <w:kern w:val="0"/>
                <w:sz w:val="24"/>
                <w:szCs w:val="28"/>
                <w:lang w:eastAsia="zh-CN"/>
                <w14:textFill>
                  <w14:solidFill>
                    <w14:schemeClr w14:val="tx1"/>
                  </w14:solidFill>
                </w14:textFill>
              </w:rPr>
              <w:t>经查询塔城路001号院</w:t>
            </w:r>
            <w:r>
              <w:rPr>
                <w:rFonts w:hint="eastAsia" w:ascii="宋体" w:hAnsi="宋体" w:cs="宋体"/>
                <w:color w:val="000000" w:themeColor="text1"/>
                <w:kern w:val="0"/>
                <w:sz w:val="24"/>
                <w:szCs w:val="28"/>
                <w:lang w:val="en-US" w:eastAsia="zh-CN"/>
                <w14:textFill>
                  <w14:solidFill>
                    <w14:schemeClr w14:val="tx1"/>
                  </w14:solidFill>
                </w14:textFill>
              </w:rPr>
              <w:t>，属张佩凤所有，产权号：00005333，面积：113.87平方米，登记时间：2012-06-28,。</w:t>
            </w:r>
          </w:p>
          <w:p>
            <w:pPr>
              <w:widowControl/>
              <w:jc w:val="left"/>
              <w:rPr>
                <w:rFonts w:hint="default" w:ascii="宋体" w:hAnsi="宋体" w:cs="宋体"/>
                <w:color w:val="000000" w:themeColor="text1"/>
                <w:kern w:val="0"/>
                <w:sz w:val="24"/>
                <w:szCs w:val="28"/>
                <w:lang w:val="en-US" w:eastAsia="zh-CN"/>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1、2020-3-23乌苏市法院司法限制3年。【2020新4202执189号（2017）新4202民初1402号】</w:t>
            </w:r>
          </w:p>
        </w:tc>
      </w:tr>
    </w:tbl>
    <w:p>
      <w:pPr>
        <w:keepNext w:val="0"/>
        <w:keepLines w:val="0"/>
        <w:pageBreakBefore w:val="0"/>
        <w:widowControl w:val="0"/>
        <w:numPr>
          <w:ilvl w:val="0"/>
          <w:numId w:val="0"/>
        </w:numPr>
        <w:tabs>
          <w:tab w:val="left" w:pos="720"/>
        </w:tabs>
        <w:kinsoku/>
        <w:wordWrap/>
        <w:overflowPunct/>
        <w:topLinePunct w:val="0"/>
        <w:autoSpaceDE/>
        <w:autoSpaceDN/>
        <w:bidi w:val="0"/>
        <w:adjustRightInd w:val="0"/>
        <w:snapToGrid w:val="0"/>
        <w:spacing w:line="440" w:lineRule="exact"/>
        <w:ind w:leftChars="200"/>
        <w:textAlignment w:val="auto"/>
        <w:rPr>
          <w:rFonts w:hint="eastAsia" w:ascii="宋体" w:hAnsi="宋体"/>
          <w:color w:val="000000" w:themeColor="text1"/>
          <w:sz w:val="24"/>
          <w:lang w:eastAsia="zh-CN"/>
          <w14:textFill>
            <w14:solidFill>
              <w14:schemeClr w14:val="tx1"/>
            </w14:solidFill>
          </w14:textFill>
        </w:rPr>
      </w:pPr>
      <w:bookmarkStart w:id="35" w:name="_Toc4757169"/>
      <w:r>
        <w:rPr>
          <w:rFonts w:hint="eastAsia" w:ascii="宋体" w:hAnsi="宋体"/>
          <w:color w:val="000000" w:themeColor="text1"/>
          <w:sz w:val="24"/>
          <w:lang w:eastAsia="zh-CN"/>
          <w14:textFill>
            <w14:solidFill>
              <w14:schemeClr w14:val="tx1"/>
            </w14:solidFill>
          </w14:textFill>
        </w:rPr>
        <w:t>该房屋所占用的土地使用权为共有土地使用权，该房屋享有的土地使用权为分摊</w:t>
      </w:r>
    </w:p>
    <w:p>
      <w:pPr>
        <w:keepNext w:val="0"/>
        <w:keepLines w:val="0"/>
        <w:pageBreakBefore w:val="0"/>
        <w:widowControl w:val="0"/>
        <w:numPr>
          <w:ilvl w:val="0"/>
          <w:numId w:val="0"/>
        </w:numPr>
        <w:tabs>
          <w:tab w:val="left" w:pos="720"/>
        </w:tabs>
        <w:kinsoku/>
        <w:wordWrap/>
        <w:overflowPunct/>
        <w:topLinePunct w:val="0"/>
        <w:autoSpaceDE/>
        <w:autoSpaceDN/>
        <w:bidi w:val="0"/>
        <w:adjustRightInd w:val="0"/>
        <w:snapToGrid w:val="0"/>
        <w:spacing w:line="440" w:lineRule="exact"/>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土地使用权。</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价值时点</w:t>
      </w:r>
      <w:bookmarkEnd w:id="33"/>
      <w:bookmarkEnd w:id="34"/>
      <w:bookmarkEnd w:id="35"/>
    </w:p>
    <w:p>
      <w:pPr>
        <w:keepNext w:val="0"/>
        <w:keepLines w:val="0"/>
        <w:pageBreakBefore w:val="0"/>
        <w:widowControl w:val="0"/>
        <w:tabs>
          <w:tab w:val="left" w:pos="8789"/>
        </w:tabs>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bookmarkStart w:id="36" w:name="_Toc426018808"/>
      <w:bookmarkStart w:id="37" w:name="_Toc420665324"/>
      <w:bookmarkStart w:id="38" w:name="_Toc4757170"/>
      <w:r>
        <w:rPr>
          <w:rFonts w:hint="eastAsia" w:ascii="宋体" w:hAnsi="宋体"/>
          <w:color w:val="000000" w:themeColor="text1"/>
          <w:sz w:val="24"/>
          <w14:textFill>
            <w14:solidFill>
              <w14:schemeClr w14:val="tx1"/>
            </w14:solidFill>
          </w14:textFill>
        </w:rPr>
        <w:t>估价人员现场勘查日期为</w:t>
      </w:r>
      <w:r>
        <w:rPr>
          <w:rFonts w:hint="eastAsia" w:ascii="宋体" w:hAnsi="宋体"/>
          <w:color w:val="000000" w:themeColor="text1"/>
          <w:sz w:val="24"/>
          <w:lang w:eastAsia="zh-CN"/>
          <w14:textFill>
            <w14:solidFill>
              <w14:schemeClr w14:val="tx1"/>
            </w14:solidFill>
          </w14:textFill>
        </w:rPr>
        <w:t>2020年5月26日</w:t>
      </w:r>
      <w:r>
        <w:rPr>
          <w:rFonts w:hint="eastAsia" w:ascii="宋体" w:hAnsi="宋体"/>
          <w:color w:val="000000" w:themeColor="text1"/>
          <w:sz w:val="24"/>
          <w14:textFill>
            <w14:solidFill>
              <w14:schemeClr w14:val="tx1"/>
            </w14:solidFill>
          </w14:textFill>
        </w:rPr>
        <w:t>，委托方</w:t>
      </w:r>
      <w:r>
        <w:rPr>
          <w:rFonts w:hint="eastAsia" w:ascii="宋体" w:hAnsi="宋体"/>
          <w:color w:val="000000" w:themeColor="text1"/>
          <w:sz w:val="24"/>
          <w:lang w:eastAsia="zh-CN"/>
          <w14:textFill>
            <w14:solidFill>
              <w14:schemeClr w14:val="tx1"/>
            </w14:solidFill>
          </w14:textFill>
        </w:rPr>
        <w:t>乌苏</w:t>
      </w:r>
      <w:r>
        <w:rPr>
          <w:rFonts w:hint="eastAsia" w:ascii="宋体" w:hAnsi="宋体"/>
          <w:color w:val="000000" w:themeColor="text1"/>
          <w:sz w:val="24"/>
          <w14:textFill>
            <w14:solidFill>
              <w14:schemeClr w14:val="tx1"/>
            </w14:solidFill>
          </w14:textFill>
        </w:rPr>
        <w:t>市人民法院签发的委托书日期</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，依据《最高人民法院关于人民法院委托评估、拍卖和变卖工作的若干规定》（法释〔</w:t>
      </w:r>
      <w:r>
        <w:rPr>
          <w:rFonts w:ascii="宋体" w:hAnsi="宋体"/>
          <w:color w:val="000000" w:themeColor="text1"/>
          <w:sz w:val="24"/>
          <w14:textFill>
            <w14:solidFill>
              <w14:schemeClr w14:val="tx1"/>
            </w14:solidFill>
          </w14:textFill>
        </w:rPr>
        <w:t>2009</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16</w:t>
      </w:r>
      <w:r>
        <w:rPr>
          <w:rFonts w:hint="eastAsia" w:ascii="宋体" w:hAnsi="宋体"/>
          <w:color w:val="000000" w:themeColor="text1"/>
          <w:sz w:val="24"/>
          <w14:textFill>
            <w14:solidFill>
              <w14:schemeClr w14:val="tx1"/>
            </w14:solidFill>
          </w14:textFill>
        </w:rPr>
        <w:t>号），本次评估以委托书日期</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作为本次评估的价值时点</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并假定估价对象在价值时点状况与在完成实地查勘之日的状况一致。</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价值类型</w:t>
      </w:r>
      <w:bookmarkEnd w:id="36"/>
      <w:bookmarkEnd w:id="37"/>
      <w:bookmarkEnd w:id="38"/>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（一）价值类型名称</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本次估价采用的价值标准为市场价值标准，即估价对象在市场上最可能形成的价值或价格，其价值类型为市场价值或市场价格。</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（二）价值定义</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市场价值或价格为估价对象经适当营销后，由熟悉情况、谨慎行事且不受强迫的交易双方，以公平交易方式在价值时点自愿进行交易的金额。</w:t>
      </w:r>
    </w:p>
    <w:p>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textAlignment w:val="auto"/>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价值内涵</w:t>
      </w:r>
    </w:p>
    <w:p>
      <w:pPr>
        <w:keepNext w:val="0"/>
        <w:keepLines w:val="0"/>
        <w:pageBreakBefore w:val="0"/>
        <w:widowControl w:val="0"/>
        <w:tabs>
          <w:tab w:val="left" w:pos="720"/>
        </w:tabs>
        <w:kinsoku/>
        <w:wordWrap/>
        <w:overflowPunct/>
        <w:topLinePunct w:val="0"/>
        <w:autoSpaceDE/>
        <w:autoSpaceDN/>
        <w:bidi w:val="0"/>
        <w:adjustRightInd w:val="0"/>
        <w:snapToGrid w:val="0"/>
        <w:spacing w:line="440" w:lineRule="exact"/>
        <w:ind w:firstLine="480" w:firstLineChars="200"/>
        <w:textAlignment w:val="auto"/>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价值内涵是估价对象在价值时点，满足估价假设和限制条件下包括建筑物和分摊的土地使用权及公共配套设施。本次估价结果仅包含了估价对象</w:t>
      </w:r>
      <w:r>
        <w:rPr>
          <w:rFonts w:hint="eastAsia" w:ascii="宋体" w:hAnsi="宋体"/>
          <w:color w:val="000000" w:themeColor="text1"/>
          <w:sz w:val="24"/>
          <w14:textFill>
            <w14:solidFill>
              <w14:schemeClr w14:val="tx1"/>
            </w14:solidFill>
          </w14:textFill>
        </w:rPr>
        <w:t>建筑物（</w:t>
      </w:r>
      <w:r>
        <w:rPr>
          <w:rFonts w:hint="eastAsia" w:ascii="宋体" w:hAnsi="宋体"/>
          <w:color w:val="000000" w:themeColor="text1"/>
          <w:sz w:val="24"/>
          <w:lang w:eastAsia="zh-CN"/>
          <w14:textFill>
            <w14:solidFill>
              <w14:schemeClr w14:val="tx1"/>
            </w14:solidFill>
          </w14:textFill>
        </w:rPr>
        <w:t>含室内二次装修</w:t>
      </w:r>
      <w:r>
        <w:rPr>
          <w:rFonts w:hint="eastAsia" w:ascii="宋体" w:hAnsi="宋体"/>
          <w:color w:val="000000" w:themeColor="text1"/>
          <w:sz w:val="24"/>
          <w14:textFill>
            <w14:solidFill>
              <w14:schemeClr w14:val="tx1"/>
            </w14:solidFill>
          </w14:textFill>
        </w:rPr>
        <w:t>）、分摊的土地使用权及公共配套设施，不包括动产、债权债务、特许经营权等其他财产或权益</w:t>
      </w:r>
      <w:r>
        <w:rPr>
          <w:rFonts w:hint="eastAsia" w:ascii="宋体"/>
          <w:color w:val="000000" w:themeColor="text1"/>
          <w:sz w:val="24"/>
          <w14:textFill>
            <w14:solidFill>
              <w14:schemeClr w14:val="tx1"/>
            </w14:solidFill>
          </w14:textFill>
        </w:rPr>
        <w:t>；付款方式是一次性付清房价款，房屋面积内涵是建筑面积；开发程度为现房，具备“</w:t>
      </w:r>
      <w:bookmarkStart w:id="39" w:name="_Toc420665326"/>
      <w:bookmarkStart w:id="40" w:name="_Toc426018810"/>
      <w:bookmarkStart w:id="41" w:name="_Toc426018809"/>
      <w:bookmarkStart w:id="42" w:name="_Toc420665325"/>
      <w:r>
        <w:rPr>
          <w:rFonts w:hint="eastAsia" w:ascii="宋体"/>
          <w:color w:val="000000" w:themeColor="text1"/>
          <w:sz w:val="24"/>
          <w:lang w:eastAsia="zh-CN"/>
          <w14:textFill>
            <w14:solidFill>
              <w14:schemeClr w14:val="tx1"/>
            </w14:solidFill>
          </w14:textFill>
        </w:rPr>
        <w:t>七通一平</w:t>
      </w:r>
      <w:r>
        <w:rPr>
          <w:rFonts w:hint="eastAsia" w:ascii="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；没有扣除实现处置时处置费用和税金。</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hAnsi="宋体"/>
          <w:b/>
          <w:bCs/>
          <w:color w:val="000000" w:themeColor="text1"/>
          <w:sz w:val="24"/>
          <w14:textFill>
            <w14:solidFill>
              <w14:schemeClr w14:val="tx1"/>
            </w14:solidFill>
          </w14:textFill>
        </w:rPr>
      </w:pPr>
      <w:bookmarkStart w:id="43" w:name="_Toc4757171"/>
      <w:r>
        <w:rPr>
          <w:rFonts w:hint="eastAsia" w:ascii="宋体" w:hAnsi="宋体"/>
          <w:b/>
          <w:bCs/>
          <w:color w:val="000000" w:themeColor="text1"/>
          <w:sz w:val="24"/>
          <w14:textFill>
            <w14:solidFill>
              <w14:schemeClr w14:val="tx1"/>
            </w14:solidFill>
          </w14:textFill>
        </w:rPr>
        <w:t>估价原则</w:t>
      </w:r>
      <w:bookmarkEnd w:id="39"/>
      <w:bookmarkEnd w:id="40"/>
      <w:bookmarkEnd w:id="43"/>
    </w:p>
    <w:p>
      <w:pPr>
        <w:keepNext w:val="0"/>
        <w:keepLines w:val="0"/>
        <w:pageBreakBefore w:val="0"/>
        <w:widowControl w:val="0"/>
        <w:tabs>
          <w:tab w:val="left" w:pos="-567"/>
        </w:tabs>
        <w:kinsoku/>
        <w:wordWrap/>
        <w:overflowPunct/>
        <w:topLinePunct w:val="0"/>
        <w:autoSpaceDE/>
        <w:autoSpaceDN/>
        <w:bidi w:val="0"/>
        <w:adjustRightInd w:val="0"/>
        <w:snapToGrid w:val="0"/>
        <w:spacing w:line="440" w:lineRule="exact"/>
        <w:ind w:firstLine="480" w:firstLineChars="20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本次估价遵守独立、客观、公正、合法及最高最佳使用原则、价值时点原则、替代原则等技术性原则。</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b/>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（一）独立、客观、公正原则</w:t>
      </w:r>
      <w:r>
        <w:rPr>
          <w:rFonts w:ascii="宋体" w:hAns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要求估价机构有完全独立性，估价机构和估价人员与估价对象及相关当事人没有利害关系，不受外部干扰因素影响，从实际出发，公平合理地进行估价。</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（二）合法原则</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应以估价对象的合法使用、合法处分为前提进行。所谓合法，是指符合国家的法律、法规和当地政府的有关规定，其权益才能受法律保护，并体现其权益价值。</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（三）最高最佳使用原则</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（四）价值时点原则</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估价结果应是估价对象在价值时点的客观合理价格或价值。</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（五）替代原则</w:t>
      </w:r>
      <w:r>
        <w:rPr>
          <w:rFonts w:asci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    估价结果不得明显偏离类似房地产在同等条件下的正常价格。同一供求范围内，在用途、规模、档次、建筑结构等方面类似的房地产之间具有相互影响作用，其价格会相互牵掣而趋于一致。</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hAnsi="宋体"/>
          <w:b/>
          <w:bCs/>
          <w:color w:val="000000" w:themeColor="text1"/>
          <w:sz w:val="24"/>
          <w14:textFill>
            <w14:solidFill>
              <w14:schemeClr w14:val="tx1"/>
            </w14:solidFill>
          </w14:textFill>
        </w:rPr>
      </w:pPr>
      <w:bookmarkStart w:id="44" w:name="_Toc4757172"/>
      <w:r>
        <w:rPr>
          <w:rFonts w:hint="eastAsia" w:ascii="宋体" w:hAnsi="宋体"/>
          <w:b/>
          <w:bCs/>
          <w:color w:val="000000" w:themeColor="text1"/>
          <w:sz w:val="24"/>
          <w14:textFill>
            <w14:solidFill>
              <w14:schemeClr w14:val="tx1"/>
            </w14:solidFill>
          </w14:textFill>
        </w:rPr>
        <w:t>估价依据</w:t>
      </w:r>
      <w:bookmarkEnd w:id="41"/>
      <w:bookmarkEnd w:id="42"/>
      <w:bookmarkEnd w:id="44"/>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（一）本次估价所依据的有关法律、法规和部门规章</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652" w:leftChars="344" w:hanging="930"/>
        <w:textAlignment w:val="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、《中华人民共和国城市房地产管理法》</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652" w:leftChars="344" w:hanging="930"/>
        <w:textAlignment w:val="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《中华人民共和国土地管理法》</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652" w:leftChars="344" w:hanging="930"/>
        <w:textAlignment w:val="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《中华人民共和国物权法》</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81" w:leftChars="86" w:firstLine="528" w:firstLineChars="220"/>
        <w:textAlignment w:val="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《中华人民共和国资产评估法》</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81" w:leftChars="86" w:firstLine="528" w:firstLineChars="22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5、《最高人民法院关于人民法院委托评估、拍卖和变卖工作的若干规定》（法释〔</w:t>
      </w:r>
      <w:r>
        <w:rPr>
          <w:rFonts w:ascii="宋体" w:hAnsi="宋体"/>
          <w:color w:val="000000" w:themeColor="text1"/>
          <w:sz w:val="24"/>
          <w14:textFill>
            <w14:solidFill>
              <w14:schemeClr w14:val="tx1"/>
            </w14:solidFill>
          </w14:textFill>
        </w:rPr>
        <w:t>2009</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16</w:t>
      </w:r>
      <w:r>
        <w:rPr>
          <w:rFonts w:hint="eastAsia" w:ascii="宋体" w:hAnsi="宋体"/>
          <w:color w:val="000000" w:themeColor="text1"/>
          <w:sz w:val="24"/>
          <w14:textFill>
            <w14:solidFill>
              <w14:schemeClr w14:val="tx1"/>
            </w14:solidFill>
          </w14:textFill>
        </w:rPr>
        <w:t>号）</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left="105" w:leftChars="50" w:firstLine="240" w:firstLineChars="10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（二）本次估价采用的技术规程</w:t>
      </w:r>
      <w:r>
        <w:rPr>
          <w:rFonts w:ascii="宋体"/>
          <w:color w:val="000000" w:themeColor="text1"/>
          <w:sz w:val="24"/>
          <w14:textFill>
            <w14:solidFill>
              <w14:schemeClr w14:val="tx1"/>
            </w14:solidFill>
          </w14:textFill>
        </w:rPr>
        <w:br w:type="textWrapping"/>
      </w:r>
      <w:r>
        <w:rPr>
          <w:rFonts w:ascii="宋体" w:hAnsi="宋体"/>
          <w:color w:val="000000" w:themeColor="text1"/>
          <w:sz w:val="24"/>
          <w14:textFill>
            <w14:solidFill>
              <w14:schemeClr w14:val="tx1"/>
            </w14:solidFill>
          </w14:textFill>
        </w:rPr>
        <w:t xml:space="preserve">    1</w:t>
      </w:r>
      <w:r>
        <w:rPr>
          <w:rFonts w:hint="eastAsia"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中华人民共和国国家标准《房地产估价规范》</w:t>
      </w:r>
      <w:r>
        <w:rPr>
          <w:rFonts w:ascii="宋体" w:hAnsi="宋体"/>
          <w:color w:val="000000" w:themeColor="text1"/>
          <w:sz w:val="24"/>
          <w14:textFill>
            <w14:solidFill>
              <w14:schemeClr w14:val="tx1"/>
            </w14:solidFill>
          </w14:textFill>
        </w:rPr>
        <w:t>GB/T 50291—2015</w:t>
      </w:r>
    </w:p>
    <w:p>
      <w:pPr>
        <w:keepNext w:val="0"/>
        <w:keepLines w:val="0"/>
        <w:pageBreakBefore w:val="0"/>
        <w:widowControl w:val="0"/>
        <w:tabs>
          <w:tab w:val="left" w:pos="-709"/>
        </w:tabs>
        <w:kinsoku/>
        <w:wordWrap/>
        <w:overflowPunct/>
        <w:topLinePunct w:val="0"/>
        <w:autoSpaceDE/>
        <w:autoSpaceDN/>
        <w:bidi w:val="0"/>
        <w:adjustRightInd w:val="0"/>
        <w:snapToGrid w:val="0"/>
        <w:spacing w:line="440" w:lineRule="exact"/>
        <w:ind w:right="420" w:rightChars="200" w:firstLine="600" w:firstLineChars="25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2、中华人民共和国国家标准《房地产估价基本术语标准》</w:t>
      </w:r>
      <w:r>
        <w:rPr>
          <w:rFonts w:ascii="宋体" w:hAnsi="宋体"/>
          <w:color w:val="000000" w:themeColor="text1"/>
          <w:sz w:val="24"/>
          <w14:textFill>
            <w14:solidFill>
              <w14:schemeClr w14:val="tx1"/>
            </w14:solidFill>
          </w14:textFill>
        </w:rPr>
        <w:t>GB/T 50899—2013</w:t>
      </w:r>
    </w:p>
    <w:p>
      <w:pPr>
        <w:keepNext w:val="0"/>
        <w:keepLines w:val="0"/>
        <w:pageBreakBefore w:val="0"/>
        <w:widowControl w:val="0"/>
        <w:kinsoku/>
        <w:wordWrap/>
        <w:overflowPunct/>
        <w:topLinePunct w:val="0"/>
        <w:autoSpaceDE/>
        <w:autoSpaceDN/>
        <w:bidi w:val="0"/>
        <w:adjustRightInd w:val="0"/>
        <w:snapToGrid w:val="0"/>
        <w:spacing w:line="440" w:lineRule="exact"/>
        <w:ind w:left="142" w:right="420" w:rightChars="200" w:firstLine="240" w:firstLineChars="1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（三）委托方及当事人提供的相关资料</w:t>
      </w:r>
    </w:p>
    <w:p>
      <w:pPr>
        <w:pStyle w:val="37"/>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Chars="0"/>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乌苏市人民法院</w:t>
      </w:r>
      <w:r>
        <w:rPr>
          <w:rFonts w:hint="eastAsia" w:ascii="宋体" w:hAnsi="宋体" w:cs="宋体"/>
          <w:color w:val="000000" w:themeColor="text1"/>
          <w:sz w:val="24"/>
          <w14:textFill>
            <w14:solidFill>
              <w14:schemeClr w14:val="tx1"/>
            </w14:solidFill>
          </w14:textFill>
        </w:rPr>
        <w:t>委托书</w:t>
      </w:r>
    </w:p>
    <w:p>
      <w:pPr>
        <w:pStyle w:val="37"/>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Chars="0"/>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stheme="minorBidi"/>
          <w:color w:val="000000" w:themeColor="text1"/>
          <w:sz w:val="24"/>
          <w14:textFill>
            <w14:solidFill>
              <w14:schemeClr w14:val="tx1"/>
            </w14:solidFill>
          </w14:textFill>
        </w:rPr>
        <w:t>《</w:t>
      </w:r>
      <w:r>
        <w:rPr>
          <w:rFonts w:hint="eastAsia" w:asciiTheme="minorEastAsia" w:hAnsiTheme="minorEastAsia" w:eastAsiaTheme="minorEastAsia" w:cstheme="minorBidi"/>
          <w:color w:val="000000" w:themeColor="text1"/>
          <w:sz w:val="24"/>
          <w:lang w:eastAsia="zh-CN"/>
          <w14:textFill>
            <w14:solidFill>
              <w14:schemeClr w14:val="tx1"/>
            </w14:solidFill>
          </w14:textFill>
        </w:rPr>
        <w:t>乌苏市房屋登记信息查询结果</w:t>
      </w:r>
      <w:r>
        <w:rPr>
          <w:rFonts w:hint="eastAsia" w:asciiTheme="minorEastAsia" w:hAnsiTheme="minorEastAsia" w:eastAsiaTheme="minorEastAsia" w:cstheme="minorBidi"/>
          <w:color w:val="000000" w:themeColor="text1"/>
          <w:sz w:val="24"/>
          <w14:textFill>
            <w14:solidFill>
              <w14:schemeClr w14:val="tx1"/>
            </w14:solidFill>
          </w14:textFill>
        </w:rPr>
        <w:t>》</w:t>
      </w:r>
    </w:p>
    <w:p>
      <w:pPr>
        <w:pStyle w:val="37"/>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Chars="0"/>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其他相关资料</w:t>
      </w:r>
    </w:p>
    <w:p>
      <w:pPr>
        <w:pStyle w:val="37"/>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firstLineChars="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估价方收集的相关资料</w:t>
      </w:r>
    </w:p>
    <w:p>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720" w:leftChars="0"/>
        <w:textAlignment w:val="auto"/>
        <w:rPr>
          <w:rFonts w:asciiTheme="minorEastAsia" w:hAnsiTheme="minorEastAsia" w:eastAsiaTheme="minorEastAsia"/>
          <w:color w:val="000000" w:themeColor="text1"/>
          <w:sz w:val="24"/>
          <w14:textFill>
            <w14:solidFill>
              <w14:schemeClr w14:val="tx1"/>
            </w14:solidFill>
          </w14:textFill>
        </w:rPr>
      </w:pPr>
      <w:bookmarkStart w:id="45" w:name="_Toc426018811"/>
      <w:bookmarkStart w:id="46" w:name="_Toc420665327"/>
      <w:r>
        <w:rPr>
          <w:rFonts w:hint="eastAsia" w:asciiTheme="minorEastAsia" w:hAnsiTheme="minorEastAsia" w:eastAsiaTheme="minorEastAsia"/>
          <w:color w:val="000000" w:themeColor="text1"/>
          <w:sz w:val="24"/>
          <w:lang w:val="en-US" w:eastAsia="zh-CN"/>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估价人员现场实地勘察资料和估价机构掌握的其他相关资料</w:t>
      </w:r>
    </w:p>
    <w:p>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720" w:leftChars="0"/>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估价对象所在区域房地产市场状况、同类房地产市场交易等数据资料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宋体" w:hAnsi="宋体"/>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3、</w:t>
      </w:r>
      <w:r>
        <w:rPr>
          <w:rFonts w:hint="eastAsia" w:ascii="宋体" w:hAnsi="宋体"/>
          <w:color w:val="000000" w:themeColor="text1"/>
          <w:sz w:val="24"/>
          <w14:textFill>
            <w14:solidFill>
              <w14:schemeClr w14:val="tx1"/>
            </w14:solidFill>
          </w14:textFill>
        </w:rPr>
        <w:t>其他相关资料</w:t>
      </w:r>
    </w:p>
    <w:p>
      <w:pPr>
        <w:keepNext w:val="0"/>
        <w:keepLines w:val="0"/>
        <w:pageBreakBefore w:val="0"/>
        <w:widowControl w:val="0"/>
        <w:numPr>
          <w:ilvl w:val="0"/>
          <w:numId w:val="6"/>
        </w:numPr>
        <w:tabs>
          <w:tab w:val="left" w:pos="720"/>
        </w:tabs>
        <w:kinsoku/>
        <w:wordWrap/>
        <w:overflowPunct/>
        <w:topLinePunct w:val="0"/>
        <w:autoSpaceDE/>
        <w:autoSpaceDN/>
        <w:bidi w:val="0"/>
        <w:adjustRightInd w:val="0"/>
        <w:snapToGrid w:val="0"/>
        <w:spacing w:line="440" w:lineRule="exact"/>
        <w:ind w:left="1140" w:right="420" w:rightChars="200" w:hanging="1140"/>
        <w:textAlignment w:val="auto"/>
        <w:outlineLvl w:val="1"/>
        <w:rPr>
          <w:rFonts w:ascii="宋体" w:hAnsi="宋体"/>
          <w:b/>
          <w:bCs/>
          <w:color w:val="000000" w:themeColor="text1"/>
          <w:sz w:val="24"/>
          <w14:textFill>
            <w14:solidFill>
              <w14:schemeClr w14:val="tx1"/>
            </w14:solidFill>
          </w14:textFill>
        </w:rPr>
      </w:pPr>
      <w:bookmarkStart w:id="47" w:name="_Toc4757173"/>
      <w:r>
        <w:rPr>
          <w:rFonts w:hint="eastAsia" w:ascii="宋体" w:hAnsi="宋体"/>
          <w:b/>
          <w:bCs/>
          <w:color w:val="000000" w:themeColor="text1"/>
          <w:sz w:val="24"/>
          <w14:textFill>
            <w14:solidFill>
              <w14:schemeClr w14:val="tx1"/>
            </w14:solidFill>
          </w14:textFill>
        </w:rPr>
        <w:t>估价方法</w:t>
      </w:r>
      <w:bookmarkEnd w:id="45"/>
      <w:bookmarkEnd w:id="46"/>
      <w:bookmarkEnd w:id="47"/>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估价目的及估价对象的状况，分别采取不同的估价方法。估价方法通常有比较法、成本法、收益法、假设开发法四种。比较法适用于同类房地产交易案例较多的估价；收益法适用于有收益或有潜在收益的房地产估价；成本法适用于无市场依据或市场依据不充分而不易采用比较法、收益法、假设开发法进行估价的情况下的房地产估价；假设开发法适用于具有投资开发或再开发潜力的房地产估价。</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由于估价对象为</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房地产，存量</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房地产价格与成本关联性弱，房地产开发成本不能准确反映房地产的实际市场价值，故不宜选用成本法；假设开发法适用于具有投资开发或再开发潜力的房地产估价，估价对象为已建成的</w:t>
      </w:r>
      <w:r>
        <w:rPr>
          <w:rFonts w:hint="eastAsia" w:ascii="宋体" w:hAnsi="宋体"/>
          <w:color w:val="000000" w:themeColor="text1"/>
          <w:sz w:val="24"/>
          <w:lang w:eastAsia="zh-CN"/>
          <w14:textFill>
            <w14:solidFill>
              <w14:schemeClr w14:val="tx1"/>
            </w14:solidFill>
          </w14:textFill>
        </w:rPr>
        <w:t>住宅</w:t>
      </w:r>
      <w:r>
        <w:rPr>
          <w:rFonts w:hint="eastAsia" w:ascii="宋体" w:hAnsi="宋体"/>
          <w:color w:val="000000" w:themeColor="text1"/>
          <w:sz w:val="24"/>
          <w14:textFill>
            <w14:solidFill>
              <w14:schemeClr w14:val="tx1"/>
            </w14:solidFill>
          </w14:textFill>
        </w:rPr>
        <w:t>用房，所以不宜采用假设开发法进行市场价值评估；估价对象所处区域市场交易案例较多且区域内有与估价对象类似房地产租赁可比实例故可选用比较法和收益法。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比较法：是在同一市场条件下，根据替代原则，选用和估价对象类似的房地产的已知价格与待估房地产加以比较对照，并做适当的修正，以此估算估价对象的客观合理价格或价值的方法。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收益法：预测估价对象的未来收益，利用报酬率或资本化率、收益乘数将未来收益转换为价值得到估价对象价值或价格的方法。</w:t>
      </w:r>
    </w:p>
    <w:p>
      <w:pPr>
        <w:pStyle w:val="37"/>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firstLineChars="0"/>
        <w:textAlignment w:val="auto"/>
        <w:outlineLvl w:val="1"/>
        <w:rPr>
          <w:rFonts w:ascii="宋体"/>
          <w:b/>
          <w:bCs/>
          <w:color w:val="000000" w:themeColor="text1"/>
          <w:sz w:val="24"/>
          <w14:textFill>
            <w14:solidFill>
              <w14:schemeClr w14:val="tx1"/>
            </w14:solidFill>
          </w14:textFill>
        </w:rPr>
      </w:pPr>
      <w:bookmarkStart w:id="48" w:name="_Toc426018812"/>
      <w:bookmarkStart w:id="49" w:name="_Toc4757174"/>
      <w:bookmarkStart w:id="50" w:name="_Toc420665328"/>
      <w:r>
        <w:rPr>
          <w:rFonts w:hint="eastAsia" w:ascii="宋体" w:hAnsi="宋体"/>
          <w:b/>
          <w:bCs/>
          <w:color w:val="000000" w:themeColor="text1"/>
          <w:sz w:val="24"/>
          <w14:textFill>
            <w14:solidFill>
              <w14:schemeClr w14:val="tx1"/>
            </w14:solidFill>
          </w14:textFill>
        </w:rPr>
        <w:t>估价结果</w:t>
      </w:r>
      <w:bookmarkEnd w:id="48"/>
      <w:bookmarkEnd w:id="49"/>
      <w:bookmarkEnd w:id="50"/>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根据估价目的，遵循估价原则，按照估价程序，采用科学的估价方法，本公司估价人员经过认真分析和测算，并结合估价经验与对影响估价标的价格因素分析，确定估价对象在价值时点</w:t>
      </w:r>
      <w:r>
        <w:rPr>
          <w:rFonts w:hint="eastAsia" w:ascii="宋体" w:hAnsi="宋体"/>
          <w:color w:val="000000" w:themeColor="text1"/>
          <w:sz w:val="24"/>
          <w:lang w:eastAsia="zh-CN"/>
          <w14:textFill>
            <w14:solidFill>
              <w14:schemeClr w14:val="tx1"/>
            </w14:solidFill>
          </w14:textFill>
        </w:rPr>
        <w:t>2020年5月19日</w:t>
      </w:r>
      <w:r>
        <w:rPr>
          <w:rFonts w:hint="eastAsia" w:ascii="宋体" w:hAnsi="宋体"/>
          <w:color w:val="000000" w:themeColor="text1"/>
          <w:sz w:val="24"/>
          <w14:textFill>
            <w14:solidFill>
              <w14:schemeClr w14:val="tx1"/>
            </w14:solidFill>
          </w14:textFill>
        </w:rPr>
        <w:t>的市场价值为：</w:t>
      </w:r>
    </w:p>
    <w:p>
      <w:pPr>
        <w:keepNext w:val="0"/>
        <w:keepLines w:val="0"/>
        <w:pageBreakBefore w:val="0"/>
        <w:widowControl w:val="0"/>
        <w:kinsoku/>
        <w:wordWrap/>
        <w:overflowPunct/>
        <w:topLinePunct w:val="0"/>
        <w:autoSpaceDE/>
        <w:autoSpaceDN/>
        <w:bidi w:val="0"/>
        <w:adjustRightInd w:val="0"/>
        <w:snapToGrid w:val="0"/>
        <w:spacing w:line="440" w:lineRule="exact"/>
        <w:ind w:firstLine="3360" w:firstLineChars="1400"/>
        <w:jc w:val="both"/>
        <w:textAlignment w:val="auto"/>
        <w:rPr>
          <w:rFonts w:ascii="宋体" w:hAnsi="宋体"/>
          <w:color w:val="000000" w:themeColor="text1"/>
          <w:sz w:val="24"/>
          <w14:textFill>
            <w14:solidFill>
              <w14:schemeClr w14:val="tx1"/>
            </w14:solidFill>
          </w14:textFill>
        </w:rPr>
      </w:pPr>
      <w:bookmarkStart w:id="51" w:name="_Toc426018813"/>
      <w:bookmarkStart w:id="52" w:name="_Toc420665329"/>
      <w:r>
        <w:rPr>
          <w:rFonts w:hint="eastAsia" w:ascii="宋体" w:hAnsi="宋体"/>
          <w:color w:val="000000" w:themeColor="text1"/>
          <w:sz w:val="24"/>
          <w14:textFill>
            <w14:solidFill>
              <w14:schemeClr w14:val="tx1"/>
            </w14:solidFill>
          </w14:textFill>
        </w:rPr>
        <w:t>估价结果汇总表</w:t>
      </w:r>
    </w:p>
    <w:tbl>
      <w:tblPr>
        <w:tblStyle w:val="19"/>
        <w:tblW w:w="833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59"/>
        <w:gridCol w:w="2343"/>
        <w:gridCol w:w="1419"/>
        <w:gridCol w:w="1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rPr>
        <w:tc>
          <w:tcPr>
            <w:tcW w:w="5402" w:type="dxa"/>
            <w:gridSpan w:val="2"/>
            <w:vAlign w:val="center"/>
          </w:tcPr>
          <w:p>
            <w:pPr>
              <w:snapToGrid w:val="0"/>
              <w:spacing w:line="480" w:lineRule="exact"/>
              <w:ind w:firstLine="3570" w:firstLineChars="1700"/>
              <w:jc w:val="center"/>
              <w:rPr>
                <w:rFonts w:ascii="宋体"/>
                <w:color w:val="000000" w:themeColor="text1"/>
                <w:szCs w:val="21"/>
                <w14:textFill>
                  <w14:solidFill>
                    <w14:schemeClr w14:val="tx1"/>
                  </w14:solidFill>
                </w14:textFill>
              </w:rPr>
            </w:pPr>
            <w:r>
              <w:rPr>
                <w:color w:val="000000" w:themeColor="text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-64770</wp:posOffset>
                      </wp:positionH>
                      <wp:positionV relativeFrom="paragraph">
                        <wp:posOffset>21590</wp:posOffset>
                      </wp:positionV>
                      <wp:extent cx="3429635" cy="582930"/>
                      <wp:effectExtent l="635" t="4445" r="17780" b="22225"/>
                      <wp:wrapNone/>
                      <wp:docPr id="10" name="自选图形 8"/>
                      <wp:cNvGraphicFramePr/>
                      <a:graphic xmlns:a="http://schemas.openxmlformats.org/drawingml/2006/main">
                        <a:graphicData uri="http://schemas.microsoft.com/office/word/2010/wordprocessingShape">
                          <wps:wsp>
                            <wps:cNvCnPr/>
                            <wps:spPr>
                              <a:xfrm>
                                <a:off x="0" y="0"/>
                                <a:ext cx="34296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5.1pt;margin-top:1.7pt;height:45.9pt;width:270.05pt;z-index:251671552;mso-width-relative:page;mso-height-relative:page;" filled="f" stroked="t" coordsize="21600,21600" o:gfxdata="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IKvZ1wAAAAgBAAAP&#10;AAAAAAAAAAEAIAAAACIAAABkcnMvZG93bnJldi54bWxQSwECFAAUAAAACACHTuJAe/5IfOABAACb&#10;AwAADgAAAAAAAAABACAAAAAmAQAAZHJzL2Uyb0RvYy54bWxQSwUGAAAAAAYABgBZAQAAeAUAAAAA&#10;">
                      <v:fill on="f" focussize="0,0"/>
                      <v:stroke color="#000000" joinstyle="round"/>
                      <v:imagedata o:title=""/>
                      <o:lock v:ext="edit" aspectratio="f"/>
                    </v:shape>
                  </w:pict>
                </mc:Fallback>
              </mc:AlternateContent>
            </w:r>
            <w:r>
              <w:rPr>
                <w:rFonts w:hint="eastAsia" w:ascii="宋体" w:hAnsi="宋体"/>
                <w:color w:val="000000" w:themeColor="text1"/>
                <w:szCs w:val="21"/>
                <w14:textFill>
                  <w14:solidFill>
                    <w14:schemeClr w14:val="tx1"/>
                  </w14:solidFill>
                </w14:textFill>
              </w:rPr>
              <w:t>估价方法</w:t>
            </w:r>
          </w:p>
          <w:p>
            <w:pPr>
              <w:snapToGrid w:val="0"/>
              <w:spacing w:line="480" w:lineRule="exact"/>
              <w:jc w:val="both"/>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相关结果</w:t>
            </w:r>
          </w:p>
        </w:tc>
        <w:tc>
          <w:tcPr>
            <w:tcW w:w="1419" w:type="dxa"/>
            <w:tcBorders>
              <w:right w:val="single" w:color="auto" w:sz="4" w:space="0"/>
            </w:tcBorders>
            <w:vAlign w:val="center"/>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比较法</w:t>
            </w:r>
          </w:p>
        </w:tc>
        <w:tc>
          <w:tcPr>
            <w:tcW w:w="1509" w:type="dxa"/>
            <w:tcBorders>
              <w:right w:val="single" w:color="auto" w:sz="4" w:space="0"/>
            </w:tcBorders>
            <w:vAlign w:val="center"/>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收益法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3059" w:type="dxa"/>
            <w:vMerge w:val="restart"/>
            <w:vAlign w:val="center"/>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测算结果</w:t>
            </w:r>
          </w:p>
        </w:tc>
        <w:tc>
          <w:tcPr>
            <w:tcW w:w="2343" w:type="dxa"/>
            <w:vAlign w:val="top"/>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总价</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元</w:t>
            </w:r>
            <w:r>
              <w:rPr>
                <w:rFonts w:ascii="宋体" w:hAnsi="宋体"/>
                <w:color w:val="000000" w:themeColor="text1"/>
                <w:szCs w:val="21"/>
                <w14:textFill>
                  <w14:solidFill>
                    <w14:schemeClr w14:val="tx1"/>
                  </w14:solidFill>
                </w14:textFill>
              </w:rPr>
              <w:t>)</w:t>
            </w:r>
          </w:p>
        </w:tc>
        <w:tc>
          <w:tcPr>
            <w:tcW w:w="1419" w:type="dxa"/>
            <w:tcBorders>
              <w:right w:val="single" w:color="auto" w:sz="4" w:space="0"/>
            </w:tcBorders>
            <w:vAlign w:val="top"/>
          </w:tcPr>
          <w:p>
            <w:pPr>
              <w:snapToGrid w:val="0"/>
              <w:spacing w:line="480" w:lineRule="exact"/>
              <w:jc w:val="center"/>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231156</w:t>
            </w:r>
          </w:p>
        </w:tc>
        <w:tc>
          <w:tcPr>
            <w:tcW w:w="1509" w:type="dxa"/>
            <w:tcBorders>
              <w:right w:val="single" w:color="auto" w:sz="4" w:space="0"/>
            </w:tcBorders>
            <w:vAlign w:val="top"/>
          </w:tcPr>
          <w:p>
            <w:pPr>
              <w:snapToGrid w:val="0"/>
              <w:spacing w:line="480" w:lineRule="exact"/>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116603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3059" w:type="dxa"/>
            <w:vMerge w:val="continue"/>
            <w:vAlign w:val="center"/>
          </w:tcPr>
          <w:p>
            <w:pPr>
              <w:snapToGrid w:val="0"/>
              <w:spacing w:line="480" w:lineRule="exact"/>
              <w:jc w:val="center"/>
              <w:rPr>
                <w:rFonts w:ascii="宋体"/>
                <w:color w:val="000000" w:themeColor="text1"/>
                <w:szCs w:val="21"/>
                <w14:textFill>
                  <w14:solidFill>
                    <w14:schemeClr w14:val="tx1"/>
                  </w14:solidFill>
                </w14:textFill>
              </w:rPr>
            </w:pPr>
          </w:p>
        </w:tc>
        <w:tc>
          <w:tcPr>
            <w:tcW w:w="2343" w:type="dxa"/>
            <w:vAlign w:val="top"/>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单价</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元</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平方米</w:t>
            </w:r>
            <w:r>
              <w:rPr>
                <w:rFonts w:ascii="宋体" w:hAnsi="宋体"/>
                <w:color w:val="000000" w:themeColor="text1"/>
                <w:szCs w:val="21"/>
                <w14:textFill>
                  <w14:solidFill>
                    <w14:schemeClr w14:val="tx1"/>
                  </w14:solidFill>
                </w14:textFill>
              </w:rPr>
              <w:t>)</w:t>
            </w:r>
          </w:p>
        </w:tc>
        <w:tc>
          <w:tcPr>
            <w:tcW w:w="1419" w:type="dxa"/>
            <w:tcBorders>
              <w:right w:val="single" w:color="auto" w:sz="4" w:space="0"/>
            </w:tcBorders>
            <w:vAlign w:val="top"/>
          </w:tcPr>
          <w:p>
            <w:pPr>
              <w:snapToGrid w:val="0"/>
              <w:spacing w:line="480" w:lineRule="exact"/>
              <w:jc w:val="center"/>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2030</w:t>
            </w:r>
          </w:p>
        </w:tc>
        <w:tc>
          <w:tcPr>
            <w:tcW w:w="1509" w:type="dxa"/>
            <w:tcBorders>
              <w:right w:val="single" w:color="auto" w:sz="4" w:space="0"/>
            </w:tcBorders>
            <w:vAlign w:val="top"/>
          </w:tcPr>
          <w:p>
            <w:pPr>
              <w:snapToGrid w:val="0"/>
              <w:spacing w:line="480" w:lineRule="exact"/>
              <w:jc w:val="center"/>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059" w:type="dxa"/>
            <w:vMerge w:val="restart"/>
            <w:vAlign w:val="center"/>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评估价值</w:t>
            </w:r>
          </w:p>
        </w:tc>
        <w:tc>
          <w:tcPr>
            <w:tcW w:w="2343" w:type="dxa"/>
            <w:vAlign w:val="top"/>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总价</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元</w:t>
            </w:r>
            <w:r>
              <w:rPr>
                <w:rFonts w:ascii="宋体" w:hAnsi="宋体"/>
                <w:color w:val="000000" w:themeColor="text1"/>
                <w:szCs w:val="21"/>
                <w14:textFill>
                  <w14:solidFill>
                    <w14:schemeClr w14:val="tx1"/>
                  </w14:solidFill>
                </w14:textFill>
              </w:rPr>
              <w:t>)</w:t>
            </w:r>
          </w:p>
        </w:tc>
        <w:tc>
          <w:tcPr>
            <w:tcW w:w="2928" w:type="dxa"/>
            <w:gridSpan w:val="2"/>
            <w:tcBorders>
              <w:top w:val="single" w:color="auto" w:sz="4" w:space="0"/>
              <w:bottom w:val="single" w:color="auto" w:sz="4" w:space="0"/>
              <w:right w:val="single" w:color="auto" w:sz="4" w:space="0"/>
            </w:tcBorders>
            <w:vAlign w:val="top"/>
          </w:tcPr>
          <w:p>
            <w:pPr>
              <w:snapToGrid w:val="0"/>
              <w:spacing w:line="480" w:lineRule="exact"/>
              <w:jc w:val="center"/>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231156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3059" w:type="dxa"/>
            <w:vMerge w:val="continue"/>
            <w:vAlign w:val="center"/>
          </w:tcPr>
          <w:p>
            <w:pPr>
              <w:snapToGrid w:val="0"/>
              <w:spacing w:line="480" w:lineRule="exact"/>
              <w:jc w:val="center"/>
              <w:rPr>
                <w:rFonts w:ascii="宋体"/>
                <w:color w:val="000000" w:themeColor="text1"/>
                <w:szCs w:val="21"/>
                <w14:textFill>
                  <w14:solidFill>
                    <w14:schemeClr w14:val="tx1"/>
                  </w14:solidFill>
                </w14:textFill>
              </w:rPr>
            </w:pPr>
          </w:p>
        </w:tc>
        <w:tc>
          <w:tcPr>
            <w:tcW w:w="2343" w:type="dxa"/>
            <w:vAlign w:val="top"/>
          </w:tcPr>
          <w:p>
            <w:pPr>
              <w:snapToGrid w:val="0"/>
              <w:spacing w:line="480" w:lineRule="exact"/>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单价</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元</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平方米</w:t>
            </w:r>
            <w:r>
              <w:rPr>
                <w:rFonts w:ascii="宋体" w:hAnsi="宋体"/>
                <w:color w:val="000000" w:themeColor="text1"/>
                <w:szCs w:val="21"/>
                <w14:textFill>
                  <w14:solidFill>
                    <w14:schemeClr w14:val="tx1"/>
                  </w14:solidFill>
                </w14:textFill>
              </w:rPr>
              <w:t>)</w:t>
            </w:r>
          </w:p>
        </w:tc>
        <w:tc>
          <w:tcPr>
            <w:tcW w:w="2928" w:type="dxa"/>
            <w:gridSpan w:val="2"/>
            <w:tcBorders>
              <w:top w:val="single" w:color="auto" w:sz="4" w:space="0"/>
              <w:bottom w:val="single" w:color="auto" w:sz="4" w:space="0"/>
              <w:right w:val="single" w:color="auto" w:sz="4" w:space="0"/>
            </w:tcBorders>
            <w:vAlign w:val="top"/>
          </w:tcPr>
          <w:p>
            <w:pPr>
              <w:snapToGrid w:val="0"/>
              <w:spacing w:line="480" w:lineRule="exact"/>
              <w:jc w:val="center"/>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2030</w:t>
            </w:r>
          </w:p>
        </w:tc>
      </w:tr>
    </w:tbl>
    <w:p>
      <w:pPr>
        <w:pStyle w:val="38"/>
        <w:keepNext w:val="0"/>
        <w:keepLines w:val="0"/>
        <w:pageBreakBefore w:val="0"/>
        <w:widowControl w:val="0"/>
        <w:kinsoku/>
        <w:wordWrap/>
        <w:overflowPunct/>
        <w:topLinePunct w:val="0"/>
        <w:autoSpaceDE/>
        <w:autoSpaceDN/>
        <w:bidi w:val="0"/>
        <w:spacing w:line="400" w:lineRule="exact"/>
        <w:ind w:firstLine="480"/>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总价大写金额：人民币</w:t>
      </w:r>
      <w:r>
        <w:rPr>
          <w:rFonts w:ascii="宋体" w:hAnsi="宋体"/>
          <w:color w:val="000000" w:themeColor="text1"/>
          <w:sz w:val="24"/>
          <w:szCs w:val="24"/>
          <w14:textFill>
            <w14:solidFill>
              <w14:schemeClr w14:val="tx1"/>
            </w14:solidFill>
          </w14:textFill>
        </w:rPr>
        <w:fldChar w:fldCharType="begin"/>
      </w:r>
      <w:r>
        <w:rPr>
          <w:rFonts w:hint="eastAsia" w:ascii="宋体" w:hAnsi="宋体"/>
          <w:color w:val="000000" w:themeColor="text1"/>
          <w:sz w:val="24"/>
          <w:szCs w:val="24"/>
          <w14:textFill>
            <w14:solidFill>
              <w14:schemeClr w14:val="tx1"/>
            </w14:solidFill>
          </w14:textFill>
        </w:rPr>
        <w:instrText xml:space="preserve">= 2711429 \* CHINESENUM2</w:instrText>
      </w:r>
      <w:r>
        <w:rPr>
          <w:rFonts w:ascii="宋体" w:hAnsi="宋体"/>
          <w:color w:val="000000" w:themeColor="text1"/>
          <w:sz w:val="24"/>
          <w:szCs w:val="24"/>
          <w14:textFill>
            <w14:solidFill>
              <w14:schemeClr w14:val="tx1"/>
            </w14:solidFill>
          </w14:textFill>
        </w:rPr>
        <w:fldChar w:fldCharType="separate"/>
      </w:r>
      <w:r>
        <w:rPr>
          <w:rFonts w:hint="eastAsia" w:ascii="宋体" w:hAnsi="宋体"/>
          <w:color w:val="000000" w:themeColor="text1"/>
          <w:sz w:val="24"/>
          <w:szCs w:val="24"/>
          <w:lang w:eastAsia="zh-CN"/>
          <w14:textFill>
            <w14:solidFill>
              <w14:schemeClr w14:val="tx1"/>
            </w14:solidFill>
          </w14:textFill>
        </w:rPr>
        <w:t>贰拾叁万壹仟壹佰伍拾陆</w:t>
      </w:r>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元整</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单价大写金额：人民币</w:t>
      </w: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w:instrText>
      </w:r>
      <w:r>
        <w:rPr>
          <w:rFonts w:hint="eastAsia" w:ascii="宋体" w:hAnsi="宋体"/>
          <w:color w:val="000000" w:themeColor="text1"/>
          <w:sz w:val="24"/>
          <w14:textFill>
            <w14:solidFill>
              <w14:schemeClr w14:val="tx1"/>
            </w14:solidFill>
          </w14:textFill>
        </w:rPr>
        <w:instrText xml:space="preserve">= 6289 \* CHINESENUM2</w:instrText>
      </w:r>
      <w:r>
        <w:rPr>
          <w:rFonts w:ascii="宋体" w:hAnsi="宋体"/>
          <w:color w:val="000000" w:themeColor="text1"/>
          <w:sz w:val="24"/>
          <w14:textFill>
            <w14:solidFill>
              <w14:schemeClr w14:val="tx1"/>
            </w14:solidFill>
          </w14:textFill>
        </w:rPr>
        <w:instrText xml:space="preserve"> </w:instrText>
      </w:r>
      <w:r>
        <w:rPr>
          <w:rFonts w:ascii="宋体" w:hAnsi="宋体"/>
          <w:color w:val="000000" w:themeColor="text1"/>
          <w:sz w:val="24"/>
          <w14:textFill>
            <w14:solidFill>
              <w14:schemeClr w14:val="tx1"/>
            </w14:solidFill>
          </w14:textFill>
        </w:rPr>
        <w:fldChar w:fldCharType="separate"/>
      </w:r>
      <w:r>
        <w:rPr>
          <w:rFonts w:hint="eastAsia" w:ascii="宋体" w:hAnsi="宋体"/>
          <w:color w:val="000000" w:themeColor="text1"/>
          <w:sz w:val="24"/>
          <w:lang w:eastAsia="zh-CN"/>
          <w14:textFill>
            <w14:solidFill>
              <w14:schemeClr w14:val="tx1"/>
            </w14:solidFill>
          </w14:textFill>
        </w:rPr>
        <w:t>贰仟零叁拾</w:t>
      </w:r>
      <w:r>
        <w:rPr>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元每平方米</w:t>
      </w:r>
    </w:p>
    <w:bookmarkEnd w:id="51"/>
    <w:bookmarkEnd w:id="52"/>
    <w:p>
      <w:pPr>
        <w:pStyle w:val="37"/>
        <w:keepNext w:val="0"/>
        <w:keepLines w:val="0"/>
        <w:pageBreakBefore w:val="0"/>
        <w:widowControl w:val="0"/>
        <w:kinsoku/>
        <w:wordWrap/>
        <w:overflowPunct/>
        <w:topLinePunct w:val="0"/>
        <w:autoSpaceDE/>
        <w:autoSpaceDN/>
        <w:bidi w:val="0"/>
        <w:adjustRightInd w:val="0"/>
        <w:snapToGrid w:val="0"/>
        <w:spacing w:line="400" w:lineRule="exact"/>
        <w:ind w:right="23" w:rightChars="11" w:firstLine="0" w:firstLineChars="0"/>
        <w:textAlignment w:val="auto"/>
        <w:outlineLvl w:val="1"/>
        <w:rPr>
          <w:rFonts w:ascii="宋体" w:hAnsi="宋体"/>
          <w:b/>
          <w:bCs/>
          <w:color w:val="000000" w:themeColor="text1"/>
          <w:sz w:val="24"/>
          <w14:textFill>
            <w14:solidFill>
              <w14:schemeClr w14:val="tx1"/>
            </w14:solidFill>
          </w14:textFill>
        </w:rPr>
      </w:pPr>
      <w:bookmarkStart w:id="53" w:name="_Toc4757175"/>
      <w:bookmarkStart w:id="54" w:name="_Toc508186412"/>
      <w:r>
        <w:rPr>
          <w:rFonts w:hint="eastAsia" w:ascii="宋体" w:hAnsi="宋体"/>
          <w:b/>
          <w:bCs/>
          <w:color w:val="000000" w:themeColor="text1"/>
          <w:sz w:val="24"/>
          <w14:textFill>
            <w14:solidFill>
              <w14:schemeClr w14:val="tx1"/>
            </w14:solidFill>
          </w14:textFill>
        </w:rPr>
        <w:t>十一、注册房地产估价师</w:t>
      </w:r>
      <w:bookmarkEnd w:id="53"/>
      <w:bookmarkEnd w:id="54"/>
    </w:p>
    <w:p>
      <w:pPr>
        <w:pStyle w:val="37"/>
        <w:keepNext w:val="0"/>
        <w:keepLines w:val="0"/>
        <w:pageBreakBefore w:val="0"/>
        <w:widowControl w:val="0"/>
        <w:tabs>
          <w:tab w:val="left" w:pos="540"/>
          <w:tab w:val="left" w:pos="1080"/>
        </w:tabs>
        <w:kinsoku/>
        <w:wordWrap/>
        <w:overflowPunct/>
        <w:topLinePunct w:val="0"/>
        <w:autoSpaceDE/>
        <w:autoSpaceDN/>
        <w:bidi w:val="0"/>
        <w:adjustRightInd w:val="0"/>
        <w:snapToGrid w:val="0"/>
        <w:spacing w:line="400" w:lineRule="exact"/>
        <w:ind w:left="720" w:firstLine="0" w:firstLineChars="0"/>
        <w:jc w:val="center"/>
        <w:textAlignment w:val="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参与估价的注册房地产估价师</w:t>
      </w:r>
    </w:p>
    <w:tbl>
      <w:tblPr>
        <w:tblStyle w:val="19"/>
        <w:tblW w:w="909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4"/>
        <w:gridCol w:w="1487"/>
        <w:gridCol w:w="2820"/>
        <w:gridCol w:w="1688"/>
        <w:gridCol w:w="2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trPr>
        <w:tc>
          <w:tcPr>
            <w:tcW w:w="1074"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bookmarkStart w:id="55" w:name="_Toc420665331"/>
            <w:bookmarkStart w:id="56" w:name="_Toc426018815"/>
            <w:bookmarkStart w:id="57" w:name="_Toc4757176"/>
            <w:r>
              <w:rPr>
                <w:rFonts w:hint="eastAsia" w:ascii="宋体" w:hAnsi="宋体"/>
                <w:color w:val="000000" w:themeColor="text1"/>
                <w:kern w:val="0"/>
                <w:sz w:val="24"/>
                <w14:textFill>
                  <w14:solidFill>
                    <w14:schemeClr w14:val="tx1"/>
                  </w14:solidFill>
                </w14:textFill>
              </w:rPr>
              <w:t>姓名</w:t>
            </w:r>
          </w:p>
        </w:tc>
        <w:tc>
          <w:tcPr>
            <w:tcW w:w="1487" w:type="dxa"/>
            <w:tcBorders>
              <w:right w:val="single" w:color="auto" w:sz="4" w:space="0"/>
            </w:tcBorders>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注册号</w:t>
            </w:r>
          </w:p>
        </w:tc>
        <w:tc>
          <w:tcPr>
            <w:tcW w:w="2820" w:type="dxa"/>
            <w:tcBorders>
              <w:left w:val="single" w:color="auto" w:sz="4" w:space="0"/>
            </w:tcBorders>
            <w:vAlign w:val="center"/>
          </w:tcPr>
          <w:p>
            <w:pPr>
              <w:tabs>
                <w:tab w:val="left" w:pos="540"/>
                <w:tab w:val="left" w:pos="1080"/>
              </w:tabs>
              <w:snapToGrid w:val="0"/>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盖章</w:t>
            </w:r>
          </w:p>
        </w:tc>
        <w:tc>
          <w:tcPr>
            <w:tcW w:w="168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签名</w:t>
            </w:r>
          </w:p>
        </w:tc>
        <w:tc>
          <w:tcPr>
            <w:tcW w:w="202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1074" w:type="dxa"/>
            <w:vAlign w:val="center"/>
          </w:tcPr>
          <w:p>
            <w:pPr>
              <w:tabs>
                <w:tab w:val="left" w:pos="540"/>
                <w:tab w:val="left" w:pos="1080"/>
              </w:tabs>
              <w:snapToGrid w:val="0"/>
              <w:spacing w:line="360" w:lineRule="auto"/>
              <w:jc w:val="center"/>
              <w:rPr>
                <w:rFonts w:hint="eastAsia" w:asci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 xml:space="preserve"> 杨小军</w:t>
            </w:r>
          </w:p>
        </w:tc>
        <w:tc>
          <w:tcPr>
            <w:tcW w:w="1487" w:type="dxa"/>
            <w:tcBorders>
              <w:right w:val="single" w:color="auto" w:sz="4" w:space="0"/>
            </w:tcBorders>
            <w:vAlign w:val="center"/>
          </w:tcPr>
          <w:p>
            <w:pPr>
              <w:tabs>
                <w:tab w:val="left" w:pos="540"/>
                <w:tab w:val="left" w:pos="1080"/>
              </w:tabs>
              <w:snapToGrid w:val="0"/>
              <w:spacing w:line="360" w:lineRule="auto"/>
              <w:jc w:val="center"/>
              <w:rPr>
                <w:rFonts w:hint="eastAsia" w:asci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lang w:eastAsia="zh-CN"/>
                <w14:textFill>
                  <w14:solidFill>
                    <w14:schemeClr w14:val="tx1"/>
                  </w14:solidFill>
                </w14:textFill>
              </w:rPr>
              <w:t>6519970004</w:t>
            </w:r>
          </w:p>
        </w:tc>
        <w:tc>
          <w:tcPr>
            <w:tcW w:w="2820" w:type="dxa"/>
            <w:tcBorders>
              <w:left w:val="single" w:color="auto" w:sz="4" w:space="0"/>
            </w:tcBorders>
            <w:vAlign w:val="center"/>
          </w:tcPr>
          <w:p>
            <w:pPr>
              <w:tabs>
                <w:tab w:val="left" w:pos="540"/>
                <w:tab w:val="left" w:pos="1080"/>
              </w:tabs>
              <w:snapToGrid w:val="0"/>
              <w:spacing w:line="360" w:lineRule="auto"/>
              <w:jc w:val="center"/>
              <w:rPr>
                <w:rFonts w:ascii="宋体" w:hAnsi="宋体"/>
                <w:color w:val="000000" w:themeColor="text1"/>
                <w:kern w:val="0"/>
                <w:sz w:val="24"/>
                <w14:textFill>
                  <w14:solidFill>
                    <w14:schemeClr w14:val="tx1"/>
                  </w14:solidFill>
                </w14:textFill>
              </w:rPr>
            </w:pPr>
          </w:p>
        </w:tc>
        <w:tc>
          <w:tcPr>
            <w:tcW w:w="168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923925" cy="467360"/>
                  <wp:effectExtent l="0" t="0" r="9525" b="8890"/>
                  <wp:docPr id="35" name="图片 1" descr="名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名字"/>
                          <pic:cNvPicPr>
                            <a:picLocks noChangeAspect="1"/>
                          </pic:cNvPicPr>
                        </pic:nvPicPr>
                        <pic:blipFill>
                          <a:blip r:embed="rId10"/>
                          <a:stretch>
                            <a:fillRect/>
                          </a:stretch>
                        </pic:blipFill>
                        <pic:spPr>
                          <a:xfrm>
                            <a:off x="0" y="0"/>
                            <a:ext cx="923925" cy="467360"/>
                          </a:xfrm>
                          <a:prstGeom prst="rect">
                            <a:avLst/>
                          </a:prstGeom>
                          <a:noFill/>
                          <a:ln w="9525">
                            <a:noFill/>
                          </a:ln>
                        </pic:spPr>
                      </pic:pic>
                    </a:graphicData>
                  </a:graphic>
                </wp:inline>
              </w:drawing>
            </w:r>
          </w:p>
        </w:tc>
        <w:tc>
          <w:tcPr>
            <w:tcW w:w="202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r>
              <w:rPr>
                <w:rFonts w:hint="eastAsia" w:ascii="宋体" w:hAnsi="宋体"/>
                <w:color w:val="000000" w:themeColor="text1"/>
                <w:kern w:val="0"/>
                <w:sz w:val="24"/>
                <w:lang w:val="en-US" w:eastAsia="zh-CN"/>
                <w14:textFill>
                  <w14:solidFill>
                    <w14:schemeClr w14:val="tx1"/>
                  </w14:solidFill>
                </w14:textFill>
              </w:rPr>
              <w:t>2020年6月5日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rPr>
        <w:tc>
          <w:tcPr>
            <w:tcW w:w="1074"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李晓俊</w:t>
            </w:r>
          </w:p>
        </w:tc>
        <w:tc>
          <w:tcPr>
            <w:tcW w:w="1487" w:type="dxa"/>
            <w:tcBorders>
              <w:right w:val="single" w:color="auto" w:sz="4" w:space="0"/>
            </w:tcBorders>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6520020031</w:t>
            </w:r>
          </w:p>
        </w:tc>
        <w:tc>
          <w:tcPr>
            <w:tcW w:w="2820" w:type="dxa"/>
            <w:tcBorders>
              <w:left w:val="single" w:color="auto" w:sz="4" w:space="0"/>
            </w:tcBorders>
            <w:vAlign w:val="center"/>
          </w:tcPr>
          <w:p>
            <w:pPr>
              <w:tabs>
                <w:tab w:val="left" w:pos="540"/>
                <w:tab w:val="left" w:pos="1080"/>
              </w:tabs>
              <w:snapToGrid w:val="0"/>
              <w:spacing w:line="360" w:lineRule="auto"/>
              <w:jc w:val="center"/>
              <w:rPr>
                <w:rFonts w:ascii="宋体" w:hAnsi="宋体"/>
                <w:color w:val="000000" w:themeColor="text1"/>
                <w:kern w:val="0"/>
                <w:sz w:val="24"/>
                <w14:textFill>
                  <w14:solidFill>
                    <w14:schemeClr w14:val="tx1"/>
                  </w14:solidFill>
                </w14:textFill>
              </w:rPr>
            </w:pPr>
          </w:p>
        </w:tc>
        <w:tc>
          <w:tcPr>
            <w:tcW w:w="168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094740" cy="509905"/>
                  <wp:effectExtent l="0" t="0" r="1016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lum bright="-12000" contrast="42000"/>
                          </a:blip>
                          <a:stretch>
                            <a:fillRect/>
                          </a:stretch>
                        </pic:blipFill>
                        <pic:spPr>
                          <a:xfrm>
                            <a:off x="0" y="0"/>
                            <a:ext cx="1094740" cy="509905"/>
                          </a:xfrm>
                          <a:prstGeom prst="rect">
                            <a:avLst/>
                          </a:prstGeom>
                          <a:noFill/>
                          <a:ln>
                            <a:noFill/>
                          </a:ln>
                        </pic:spPr>
                      </pic:pic>
                    </a:graphicData>
                  </a:graphic>
                </wp:inline>
              </w:drawing>
            </w:r>
          </w:p>
        </w:tc>
        <w:tc>
          <w:tcPr>
            <w:tcW w:w="2028" w:type="dxa"/>
            <w:vAlign w:val="center"/>
          </w:tcPr>
          <w:p>
            <w:pPr>
              <w:tabs>
                <w:tab w:val="left" w:pos="540"/>
                <w:tab w:val="left" w:pos="1080"/>
              </w:tabs>
              <w:snapToGrid w:val="0"/>
              <w:spacing w:line="360" w:lineRule="auto"/>
              <w:jc w:val="center"/>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r>
              <w:rPr>
                <w:rFonts w:hint="eastAsia" w:ascii="宋体" w:hAnsi="宋体"/>
                <w:color w:val="000000" w:themeColor="text1"/>
                <w:kern w:val="0"/>
                <w:sz w:val="24"/>
                <w:lang w:val="en-US" w:eastAsia="zh-CN"/>
                <w14:textFill>
                  <w14:solidFill>
                    <w14:schemeClr w14:val="tx1"/>
                  </w14:solidFill>
                </w14:textFill>
              </w:rPr>
              <w:t>2020年6月5日</w:t>
            </w:r>
          </w:p>
        </w:tc>
      </w:tr>
    </w:tbl>
    <w:p>
      <w:pPr>
        <w:pStyle w:val="37"/>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outlineLvl w:val="1"/>
        <w:rPr>
          <w:rFonts w:asci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十二、实地查勘期</w:t>
      </w:r>
      <w:bookmarkEnd w:id="55"/>
      <w:bookmarkEnd w:id="56"/>
      <w:bookmarkEnd w:id="57"/>
    </w:p>
    <w:p>
      <w:pPr>
        <w:keepNext w:val="0"/>
        <w:keepLines w:val="0"/>
        <w:pageBreakBefore w:val="0"/>
        <w:widowControl w:val="0"/>
        <w:kinsoku/>
        <w:wordWrap/>
        <w:overflowPunct/>
        <w:topLinePunct w:val="0"/>
        <w:autoSpaceDE/>
        <w:autoSpaceDN/>
        <w:bidi w:val="0"/>
        <w:adjustRightInd w:val="0"/>
        <w:snapToGrid w:val="0"/>
        <w:spacing w:line="400" w:lineRule="exact"/>
        <w:ind w:left="142" w:right="23" w:rightChars="11" w:firstLine="480" w:firstLineChars="200"/>
        <w:textAlignment w:val="auto"/>
        <w:rPr>
          <w:rFonts w:ascii="宋体"/>
          <w:color w:val="000000" w:themeColor="text1"/>
          <w:sz w:val="24"/>
          <w14:textFill>
            <w14:solidFill>
              <w14:schemeClr w14:val="tx1"/>
            </w14:solidFill>
          </w14:textFill>
        </w:rPr>
      </w:pPr>
      <w:bookmarkStart w:id="58" w:name="_Toc426018816"/>
      <w:bookmarkStart w:id="59" w:name="_Toc420665332"/>
      <w:r>
        <w:rPr>
          <w:rFonts w:hint="eastAsia" w:ascii="宋体" w:hAnsi="宋体"/>
          <w:color w:val="000000" w:themeColor="text1"/>
          <w:sz w:val="24"/>
          <w:lang w:eastAsia="zh-CN"/>
          <w14:textFill>
            <w14:solidFill>
              <w14:schemeClr w14:val="tx1"/>
            </w14:solidFill>
          </w14:textFill>
        </w:rPr>
        <w:t>二零二零年五月二十六日</w:t>
      </w:r>
      <w:r>
        <w:rPr>
          <w:rFonts w:hint="eastAsia" w:ascii="宋体" w:hAnsi="宋体"/>
          <w:color w:val="000000" w:themeColor="text1"/>
          <w:sz w:val="24"/>
          <w14:textFill>
            <w14:solidFill>
              <w14:schemeClr w14:val="tx1"/>
            </w14:solidFill>
          </w14:textFill>
        </w:rPr>
        <w:t>当日</w:t>
      </w:r>
      <w:r>
        <w:rPr>
          <w:rFonts w:hint="eastAsia" w:ascii="宋体" w:hAnsi="宋体"/>
          <w:color w:val="000000" w:themeColor="text1"/>
          <w:sz w:val="24"/>
          <w:lang w:eastAsia="zh-CN"/>
          <w14:textFill>
            <w14:solidFill>
              <w14:schemeClr w14:val="tx1"/>
            </w14:solidFill>
          </w14:textFill>
        </w:rPr>
        <w:t>下</w:t>
      </w:r>
      <w:r>
        <w:rPr>
          <w:rFonts w:hint="eastAsia" w:ascii="宋体" w:hAnsi="宋体"/>
          <w:color w:val="000000" w:themeColor="text1"/>
          <w:sz w:val="24"/>
          <w14:textFill>
            <w14:solidFill>
              <w14:schemeClr w14:val="tx1"/>
            </w14:solidFill>
          </w14:textFill>
        </w:rPr>
        <w:t>午</w:t>
      </w:r>
      <w:r>
        <w:rPr>
          <w:rFonts w:hint="eastAsia" w:ascii="宋体" w:hAnsi="宋体"/>
          <w:color w:val="000000" w:themeColor="text1"/>
          <w:sz w:val="24"/>
          <w:lang w:val="en-US" w:eastAsia="zh-CN"/>
          <w14:textFill>
            <w14:solidFill>
              <w14:schemeClr w14:val="tx1"/>
            </w14:solidFill>
          </w14:textFill>
        </w:rPr>
        <w:t>17:00</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18：0</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完成现场实地查勘</w:t>
      </w:r>
    </w:p>
    <w:p>
      <w:pPr>
        <w:pStyle w:val="37"/>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outlineLvl w:val="1"/>
        <w:rPr>
          <w:rFonts w:ascii="宋体"/>
          <w:b/>
          <w:bCs/>
          <w:color w:val="000000" w:themeColor="text1"/>
          <w:sz w:val="24"/>
          <w14:textFill>
            <w14:solidFill>
              <w14:schemeClr w14:val="tx1"/>
            </w14:solidFill>
          </w14:textFill>
        </w:rPr>
      </w:pPr>
      <w:bookmarkStart w:id="60" w:name="_Toc4757177"/>
      <w:r>
        <w:rPr>
          <w:rFonts w:hint="eastAsia" w:ascii="宋体" w:hAnsi="宋体"/>
          <w:b/>
          <w:bCs/>
          <w:color w:val="000000" w:themeColor="text1"/>
          <w:sz w:val="24"/>
          <w14:textFill>
            <w14:solidFill>
              <w14:schemeClr w14:val="tx1"/>
            </w14:solidFill>
          </w14:textFill>
        </w:rPr>
        <w:t>十三、估价作业期</w:t>
      </w:r>
      <w:bookmarkEnd w:id="58"/>
      <w:bookmarkEnd w:id="59"/>
      <w:bookmarkEnd w:id="60"/>
    </w:p>
    <w:p>
      <w:pPr>
        <w:keepNext w:val="0"/>
        <w:keepLines w:val="0"/>
        <w:pageBreakBefore w:val="0"/>
        <w:widowControl w:val="0"/>
        <w:kinsoku/>
        <w:wordWrap/>
        <w:overflowPunct/>
        <w:topLinePunct w:val="0"/>
        <w:autoSpaceDE/>
        <w:autoSpaceDN/>
        <w:bidi w:val="0"/>
        <w:adjustRightInd w:val="0"/>
        <w:snapToGrid w:val="0"/>
        <w:spacing w:line="400" w:lineRule="exact"/>
        <w:ind w:left="142" w:right="23" w:rightChars="11" w:firstLine="480" w:firstLineChars="200"/>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二零二零年五月二十六日至二零二零年六月五日</w:t>
      </w:r>
    </w:p>
    <w:p>
      <w:pPr>
        <w:adjustRightInd w:val="0"/>
        <w:snapToGrid w:val="0"/>
        <w:spacing w:line="360" w:lineRule="auto"/>
        <w:ind w:left="210" w:leftChars="100" w:right="23" w:rightChars="11" w:firstLine="480" w:firstLineChars="200"/>
        <w:rPr>
          <w:rFonts w:ascii="宋体" w:hAnsi="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hint="eastAsia"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firstLine="5160" w:firstLineChars="2150"/>
        <w:jc w:val="right"/>
        <w:textAlignment w:val="auto"/>
        <w:rPr>
          <w:rFonts w:ascii="宋体"/>
          <w:bCs/>
          <w:color w:val="000000" w:themeColor="text1"/>
          <w:sz w:val="24"/>
          <w:szCs w:val="20"/>
          <w14:textFill>
            <w14:solidFill>
              <w14:schemeClr w14:val="tx1"/>
            </w14:solidFill>
          </w14:textFill>
        </w:rPr>
      </w:pPr>
      <w:r>
        <w:rPr>
          <w:rFonts w:hint="eastAsia" w:ascii="宋体" w:hAnsi="宋体"/>
          <w:bCs/>
          <w:color w:val="000000" w:themeColor="text1"/>
          <w:sz w:val="24"/>
          <w:szCs w:val="20"/>
          <w14:textFill>
            <w14:solidFill>
              <w14:schemeClr w14:val="tx1"/>
            </w14:solidFill>
          </w14:textFill>
        </w:rPr>
        <w:t>新疆驰远天合中辰房地产土地</w:t>
      </w: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jc w:val="center"/>
        <w:textAlignment w:val="auto"/>
        <w:rPr>
          <w:rFonts w:ascii="宋体"/>
          <w:bCs/>
          <w:color w:val="000000" w:themeColor="text1"/>
          <w:sz w:val="24"/>
          <w:szCs w:val="20"/>
          <w14:textFill>
            <w14:solidFill>
              <w14:schemeClr w14:val="tx1"/>
            </w14:solidFill>
          </w14:textFill>
        </w:rPr>
      </w:pPr>
      <w:r>
        <w:rPr>
          <w:rFonts w:hint="eastAsia" w:ascii="宋体" w:hAnsi="宋体"/>
          <w:bCs/>
          <w:color w:val="000000" w:themeColor="text1"/>
          <w:sz w:val="24"/>
          <w:szCs w:val="20"/>
          <w:lang w:val="en-US" w:eastAsia="zh-CN"/>
          <w14:textFill>
            <w14:solidFill>
              <w14:schemeClr w14:val="tx1"/>
            </w14:solidFill>
          </w14:textFill>
        </w:rPr>
        <w:t xml:space="preserve">                                            </w:t>
      </w:r>
      <w:r>
        <w:rPr>
          <w:rFonts w:hint="eastAsia" w:ascii="宋体" w:hAnsi="宋体"/>
          <w:bCs/>
          <w:color w:val="000000" w:themeColor="text1"/>
          <w:sz w:val="24"/>
          <w:szCs w:val="20"/>
          <w14:textFill>
            <w14:solidFill>
              <w14:schemeClr w14:val="tx1"/>
            </w14:solidFill>
          </w14:textFill>
        </w:rPr>
        <w:t>评估有限责任公司</w:t>
      </w:r>
    </w:p>
    <w:p>
      <w:pPr>
        <w:keepNext w:val="0"/>
        <w:keepLines w:val="0"/>
        <w:pageBreakBefore w:val="0"/>
        <w:widowControl w:val="0"/>
        <w:kinsoku/>
        <w:wordWrap/>
        <w:overflowPunct/>
        <w:topLinePunct w:val="0"/>
        <w:autoSpaceDE/>
        <w:autoSpaceDN/>
        <w:bidi w:val="0"/>
        <w:adjustRightInd w:val="0"/>
        <w:snapToGrid w:val="0"/>
        <w:spacing w:line="440" w:lineRule="exact"/>
        <w:ind w:right="420" w:rightChars="200"/>
        <w:jc w:val="center"/>
        <w:textAlignment w:val="auto"/>
        <w:rPr>
          <w:rFonts w:hint="eastAsia" w:ascii="宋体" w:hAnsi="宋体" w:eastAsia="宋体"/>
          <w:bCs/>
          <w:color w:val="000000" w:themeColor="text1"/>
          <w:sz w:val="24"/>
          <w:szCs w:val="20"/>
          <w:lang w:eastAsia="zh-CN"/>
          <w14:textFill>
            <w14:solidFill>
              <w14:schemeClr w14:val="tx1"/>
            </w14:solidFill>
          </w14:textFill>
        </w:rPr>
      </w:pPr>
      <w:r>
        <w:rPr>
          <w:rFonts w:hint="eastAsia" w:ascii="宋体" w:hAnsi="宋体"/>
          <w:bCs/>
          <w:color w:val="000000" w:themeColor="text1"/>
          <w:sz w:val="24"/>
          <w:szCs w:val="20"/>
          <w:lang w:val="en-US" w:eastAsia="zh-CN"/>
          <w14:textFill>
            <w14:solidFill>
              <w14:schemeClr w14:val="tx1"/>
            </w14:solidFill>
          </w14:textFill>
        </w:rPr>
        <w:t xml:space="preserve">                                            </w:t>
      </w:r>
      <w:r>
        <w:rPr>
          <w:rFonts w:hint="eastAsia" w:ascii="宋体" w:hAnsi="宋体"/>
          <w:bCs/>
          <w:color w:val="000000" w:themeColor="text1"/>
          <w:sz w:val="24"/>
          <w:szCs w:val="20"/>
          <w:lang w:eastAsia="zh-CN"/>
          <w14:textFill>
            <w14:solidFill>
              <w14:schemeClr w14:val="tx1"/>
            </w14:solidFill>
          </w14:textFill>
        </w:rPr>
        <w:t>二零二零年六月五日</w:t>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adjustRightInd w:val="0"/>
        <w:snapToGrid w:val="0"/>
        <w:spacing w:line="360" w:lineRule="auto"/>
        <w:ind w:firstLine="3052" w:firstLineChars="950"/>
        <w:outlineLvl w:val="0"/>
        <w:rPr>
          <w:rFonts w:hint="eastAsia" w:ascii="宋体" w:hAnsi="宋体" w:cs="宋体"/>
          <w:b/>
          <w:bCs/>
          <w:color w:val="000000" w:themeColor="text1"/>
          <w:sz w:val="32"/>
          <w:szCs w:val="32"/>
          <w14:textFill>
            <w14:solidFill>
              <w14:schemeClr w14:val="tx1"/>
            </w14:solidFill>
          </w14:textFill>
        </w:rPr>
      </w:pPr>
      <w:bookmarkStart w:id="61" w:name="_Toc510004196"/>
      <w:bookmarkStart w:id="62" w:name="_Toc481483895"/>
      <w:bookmarkStart w:id="63" w:name="_Toc4757178"/>
    </w:p>
    <w:p>
      <w:pPr>
        <w:adjustRightInd w:val="0"/>
        <w:snapToGrid w:val="0"/>
        <w:spacing w:line="360" w:lineRule="auto"/>
        <w:ind w:firstLine="3052" w:firstLineChars="950"/>
        <w:outlineLvl w:val="0"/>
        <w:rPr>
          <w:rFonts w:hint="eastAsia" w:ascii="宋体" w:hAnsi="宋体" w:cs="宋体"/>
          <w:b/>
          <w:bCs/>
          <w:color w:val="000000" w:themeColor="text1"/>
          <w:sz w:val="32"/>
          <w:szCs w:val="32"/>
          <w14:textFill>
            <w14:solidFill>
              <w14:schemeClr w14:val="tx1"/>
            </w14:solidFill>
          </w14:textFill>
        </w:rPr>
      </w:pPr>
    </w:p>
    <w:bookmarkEnd w:id="61"/>
    <w:bookmarkEnd w:id="62"/>
    <w:bookmarkEnd w:id="63"/>
    <w:p>
      <w:pPr>
        <w:adjustRightInd w:val="0"/>
        <w:snapToGrid w:val="0"/>
        <w:spacing w:line="360" w:lineRule="auto"/>
        <w:jc w:val="both"/>
        <w:rPr>
          <w:rFonts w:ascii="宋体" w:hAnsi="宋体"/>
          <w:b/>
          <w:bCs/>
          <w:color w:val="000000" w:themeColor="text1"/>
          <w:sz w:val="32"/>
          <w:szCs w:val="32"/>
          <w14:textFill>
            <w14:solidFill>
              <w14:schemeClr w14:val="tx1"/>
            </w14:solidFill>
          </w14:textFill>
        </w:rPr>
      </w:pPr>
      <w:bookmarkStart w:id="64" w:name="_Toc4757188"/>
      <w:bookmarkStart w:id="72" w:name="_GoBack"/>
      <w:bookmarkEnd w:id="72"/>
    </w:p>
    <w:p>
      <w:pPr>
        <w:adjustRightInd w:val="0"/>
        <w:snapToGrid w:val="0"/>
        <w:spacing w:line="360" w:lineRule="auto"/>
        <w:ind w:firstLine="3855" w:firstLineChars="1200"/>
        <w:jc w:val="both"/>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附</w:t>
      </w:r>
      <w:r>
        <w:rPr>
          <w:rFonts w:hint="eastAsia" w:ascii="宋体" w:hAnsi="宋体"/>
          <w:b/>
          <w:bCs/>
          <w:color w:val="000000" w:themeColor="text1"/>
          <w:sz w:val="32"/>
          <w:szCs w:val="32"/>
          <w:lang w:val="en-US" w:eastAsia="zh-CN"/>
          <w14:textFill>
            <w14:solidFill>
              <w14:schemeClr w14:val="tx1"/>
            </w14:solidFill>
          </w14:textFill>
        </w:rPr>
        <w:t xml:space="preserve">    </w:t>
      </w:r>
      <w:r>
        <w:rPr>
          <w:rFonts w:hint="eastAsia" w:ascii="宋体" w:hAnsi="宋体"/>
          <w:b/>
          <w:bCs/>
          <w:color w:val="000000" w:themeColor="text1"/>
          <w:sz w:val="32"/>
          <w:szCs w:val="32"/>
          <w14:textFill>
            <w14:solidFill>
              <w14:schemeClr w14:val="tx1"/>
            </w14:solidFill>
          </w14:textFill>
        </w:rPr>
        <w:t>件</w:t>
      </w:r>
      <w:bookmarkEnd w:id="64"/>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65" w:name="_Toc4757189"/>
      <w:r>
        <w:rPr>
          <w:rFonts w:hint="eastAsia" w:ascii="宋体" w:hAnsi="宋体" w:eastAsia="宋体"/>
          <w:b w:val="0"/>
          <w:color w:val="000000" w:themeColor="text1"/>
          <w:sz w:val="24"/>
          <w14:textFill>
            <w14:solidFill>
              <w14:schemeClr w14:val="tx1"/>
            </w14:solidFill>
          </w14:textFill>
        </w:rPr>
        <w:t>《</w:t>
      </w:r>
      <w:r>
        <w:rPr>
          <w:rFonts w:hint="eastAsia" w:ascii="宋体" w:hAnsi="宋体" w:eastAsia="宋体"/>
          <w:b w:val="0"/>
          <w:color w:val="000000" w:themeColor="text1"/>
          <w:sz w:val="24"/>
          <w:lang w:eastAsia="zh-CN"/>
          <w14:textFill>
            <w14:solidFill>
              <w14:schemeClr w14:val="tx1"/>
            </w14:solidFill>
          </w14:textFill>
        </w:rPr>
        <w:t>乌苏市人民法院</w:t>
      </w:r>
      <w:r>
        <w:rPr>
          <w:rFonts w:hint="eastAsia" w:ascii="宋体" w:hAnsi="宋体" w:eastAsia="宋体"/>
          <w:b w:val="0"/>
          <w:color w:val="000000" w:themeColor="text1"/>
          <w:sz w:val="24"/>
          <w14:textFill>
            <w14:solidFill>
              <w14:schemeClr w14:val="tx1"/>
            </w14:solidFill>
          </w14:textFill>
        </w:rPr>
        <w:t>委托书》（复印件）</w:t>
      </w:r>
      <w:bookmarkEnd w:id="65"/>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66" w:name="_Toc4757190"/>
      <w:r>
        <w:rPr>
          <w:rFonts w:hint="eastAsia" w:ascii="宋体" w:hAnsi="宋体" w:eastAsia="宋体"/>
          <w:b w:val="0"/>
          <w:color w:val="000000" w:themeColor="text1"/>
          <w:sz w:val="24"/>
          <w14:textFill>
            <w14:solidFill>
              <w14:schemeClr w14:val="tx1"/>
            </w14:solidFill>
          </w14:textFill>
        </w:rPr>
        <w:t>估价对象位置示意图</w:t>
      </w:r>
      <w:bookmarkEnd w:id="66"/>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67" w:name="_Toc4757191"/>
      <w:r>
        <w:rPr>
          <w:rFonts w:hint="eastAsia" w:ascii="宋体" w:hAnsi="宋体" w:eastAsia="宋体"/>
          <w:b w:val="0"/>
          <w:color w:val="000000" w:themeColor="text1"/>
          <w:sz w:val="24"/>
          <w:lang w:eastAsia="zh-CN"/>
          <w14:textFill>
            <w14:solidFill>
              <w14:schemeClr w14:val="tx1"/>
            </w14:solidFill>
          </w14:textFill>
        </w:rPr>
        <w:t>《乌苏市房屋登记信息查询结果》</w:t>
      </w:r>
      <w:r>
        <w:rPr>
          <w:rFonts w:hint="eastAsia" w:ascii="宋体" w:hAnsi="宋体" w:eastAsia="宋体"/>
          <w:b w:val="0"/>
          <w:color w:val="000000" w:themeColor="text1"/>
          <w:sz w:val="24"/>
          <w14:textFill>
            <w14:solidFill>
              <w14:schemeClr w14:val="tx1"/>
            </w14:solidFill>
          </w14:textFill>
        </w:rPr>
        <w:t>（复印件）</w:t>
      </w:r>
      <w:bookmarkEnd w:id="67"/>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68" w:name="_Toc4757192"/>
      <w:r>
        <w:rPr>
          <w:rFonts w:hint="eastAsia" w:ascii="宋体" w:hAnsi="宋体" w:eastAsia="宋体"/>
          <w:b w:val="0"/>
          <w:color w:val="000000" w:themeColor="text1"/>
          <w:sz w:val="24"/>
          <w14:textFill>
            <w14:solidFill>
              <w14:schemeClr w14:val="tx1"/>
            </w14:solidFill>
          </w14:textFill>
        </w:rPr>
        <w:t>影像资料照片、案例照片</w:t>
      </w:r>
      <w:bookmarkEnd w:id="68"/>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69" w:name="_Toc4757193"/>
      <w:r>
        <w:rPr>
          <w:rFonts w:hint="eastAsia" w:ascii="宋体" w:hAnsi="宋体" w:eastAsia="宋体"/>
          <w:b w:val="0"/>
          <w:color w:val="000000" w:themeColor="text1"/>
          <w:sz w:val="24"/>
          <w:lang w:eastAsia="zh-CN"/>
          <w14:textFill>
            <w14:solidFill>
              <w14:schemeClr w14:val="tx1"/>
            </w14:solidFill>
          </w14:textFill>
        </w:rPr>
        <w:t>实地查勘记录表</w:t>
      </w:r>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r>
        <w:rPr>
          <w:rFonts w:hint="eastAsia" w:ascii="宋体" w:hAnsi="宋体" w:eastAsia="宋体"/>
          <w:b w:val="0"/>
          <w:color w:val="000000" w:themeColor="text1"/>
          <w:sz w:val="24"/>
          <w14:textFill>
            <w14:solidFill>
              <w14:schemeClr w14:val="tx1"/>
            </w14:solidFill>
          </w14:textFill>
        </w:rPr>
        <w:t>房地产价格评估机构营业执照（复印件）</w:t>
      </w:r>
      <w:bookmarkEnd w:id="69"/>
    </w:p>
    <w:p>
      <w:pPr>
        <w:pStyle w:val="4"/>
        <w:numPr>
          <w:ilvl w:val="0"/>
          <w:numId w:val="10"/>
        </w:numPr>
        <w:spacing w:line="360" w:lineRule="auto"/>
        <w:rPr>
          <w:rFonts w:ascii="宋体" w:hAnsi="宋体" w:eastAsia="宋体"/>
          <w:b w:val="0"/>
          <w:color w:val="000000" w:themeColor="text1"/>
          <w:sz w:val="24"/>
          <w14:textFill>
            <w14:solidFill>
              <w14:schemeClr w14:val="tx1"/>
            </w14:solidFill>
          </w14:textFill>
        </w:rPr>
      </w:pPr>
      <w:bookmarkStart w:id="70" w:name="_Toc4757194"/>
      <w:r>
        <w:rPr>
          <w:rFonts w:hint="eastAsia" w:ascii="宋体" w:hAnsi="宋体" w:eastAsia="宋体"/>
          <w:b w:val="0"/>
          <w:color w:val="000000" w:themeColor="text1"/>
          <w:sz w:val="24"/>
          <w14:textFill>
            <w14:solidFill>
              <w14:schemeClr w14:val="tx1"/>
            </w14:solidFill>
          </w14:textFill>
        </w:rPr>
        <w:t>房地产价格评估机构资格证书（复印件）</w:t>
      </w:r>
      <w:bookmarkEnd w:id="70"/>
    </w:p>
    <w:p>
      <w:pPr>
        <w:pStyle w:val="4"/>
        <w:spacing w:line="360" w:lineRule="auto"/>
        <w:ind w:left="0" w:firstLine="480" w:firstLineChars="200"/>
        <w:rPr>
          <w:rFonts w:hint="eastAsia" w:ascii="宋体" w:hAnsi="宋体" w:eastAsia="宋体"/>
          <w:b w:val="0"/>
          <w:color w:val="000000" w:themeColor="text1"/>
          <w:sz w:val="24"/>
          <w14:textFill>
            <w14:solidFill>
              <w14:schemeClr w14:val="tx1"/>
            </w14:solidFill>
          </w14:textFill>
        </w:rPr>
      </w:pPr>
      <w:bookmarkStart w:id="71" w:name="_Toc4757195"/>
      <w:r>
        <w:rPr>
          <w:rFonts w:hint="eastAsia" w:ascii="宋体" w:hAnsi="宋体" w:eastAsia="宋体"/>
          <w:b w:val="0"/>
          <w:color w:val="000000" w:themeColor="text1"/>
          <w:sz w:val="24"/>
          <w14:textFill>
            <w14:solidFill>
              <w14:schemeClr w14:val="tx1"/>
            </w14:solidFill>
          </w14:textFill>
        </w:rPr>
        <w:t>（七） 房地产估价师注册证书（复印件）</w:t>
      </w:r>
      <w:bookmarkEnd w:id="71"/>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adjustRightInd w:val="0"/>
        <w:snapToGrid w:val="0"/>
        <w:spacing w:line="500" w:lineRule="exact"/>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87560704" behindDoc="0" locked="0" layoutInCell="1" allowOverlap="1">
            <wp:simplePos x="0" y="0"/>
            <wp:positionH relativeFrom="column">
              <wp:posOffset>-120015</wp:posOffset>
            </wp:positionH>
            <wp:positionV relativeFrom="paragraph">
              <wp:posOffset>184785</wp:posOffset>
            </wp:positionV>
            <wp:extent cx="5713095" cy="7392670"/>
            <wp:effectExtent l="0" t="0" r="1905" b="17780"/>
            <wp:wrapSquare wrapText="bothSides"/>
            <wp:docPr id="17" name="图片 17"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委托书"/>
                    <pic:cNvPicPr>
                      <a:picLocks noChangeAspect="1"/>
                    </pic:cNvPicPr>
                  </pic:nvPicPr>
                  <pic:blipFill>
                    <a:blip r:embed="rId14"/>
                    <a:stretch>
                      <a:fillRect/>
                    </a:stretch>
                  </pic:blipFill>
                  <pic:spPr>
                    <a:xfrm>
                      <a:off x="0" y="0"/>
                      <a:ext cx="5713095" cy="7392670"/>
                    </a:xfrm>
                    <a:prstGeom prst="rect">
                      <a:avLst/>
                    </a:prstGeom>
                  </pic:spPr>
                </pic:pic>
              </a:graphicData>
            </a:graphic>
          </wp:anchor>
        </w:drawing>
      </w:r>
    </w:p>
    <w:p>
      <w:pPr>
        <w:rPr>
          <w:color w:val="000000" w:themeColor="text1"/>
          <w14:textFill>
            <w14:solidFill>
              <w14:schemeClr w14:val="tx1"/>
            </w14:solidFill>
          </w14:textFill>
        </w:rPr>
      </w:pPr>
    </w:p>
    <w:bookmarkEnd w:id="0"/>
    <w:bookmarkEnd w:id="1"/>
    <w:bookmarkEnd w:id="2"/>
    <w:bookmarkEnd w:id="3"/>
    <w:p>
      <w:pPr>
        <w:rPr>
          <w:rFonts w:hint="eastAsia" w:eastAsia="宋体"/>
          <w:color w:val="000000" w:themeColor="text1"/>
          <w:lang w:eastAsia="zh-CN"/>
          <w14:textFill>
            <w14:solidFill>
              <w14:schemeClr w14:val="tx1"/>
            </w14:solidFill>
          </w14:textFill>
        </w:rPr>
      </w:pPr>
    </w:p>
    <w:p>
      <w:pPr>
        <w:jc w:val="center"/>
        <w:rPr>
          <w:rFonts w:hint="eastAsia"/>
          <w:b/>
          <w:bCs/>
          <w:color w:val="000000" w:themeColor="text1"/>
          <w:sz w:val="32"/>
          <w:szCs w:val="40"/>
          <w:lang w:eastAsia="zh-CN"/>
          <w14:textFill>
            <w14:solidFill>
              <w14:schemeClr w14:val="tx1"/>
            </w14:solidFill>
          </w14:textFill>
        </w:rPr>
      </w:pPr>
      <w:r>
        <w:rPr>
          <w:rFonts w:hint="eastAsia"/>
          <w:b/>
          <w:bCs/>
          <w:color w:val="000000" w:themeColor="text1"/>
          <w:sz w:val="32"/>
          <w:szCs w:val="40"/>
          <w:lang w:eastAsia="zh-CN"/>
          <w14:textFill>
            <w14:solidFill>
              <w14:schemeClr w14:val="tx1"/>
            </w14:solidFill>
          </w14:textFill>
        </w:rPr>
        <w:t>位</w:t>
      </w:r>
      <w:r>
        <w:rPr>
          <w:rFonts w:hint="eastAsia"/>
          <w:b/>
          <w:bCs/>
          <w:color w:val="000000" w:themeColor="text1"/>
          <w:sz w:val="32"/>
          <w:szCs w:val="40"/>
          <w:lang w:val="en-US" w:eastAsia="zh-CN"/>
          <w14:textFill>
            <w14:solidFill>
              <w14:schemeClr w14:val="tx1"/>
            </w14:solidFill>
          </w14:textFill>
        </w:rPr>
        <w:t xml:space="preserve"> </w:t>
      </w:r>
      <w:r>
        <w:rPr>
          <w:rFonts w:hint="eastAsia"/>
          <w:b/>
          <w:bCs/>
          <w:color w:val="000000" w:themeColor="text1"/>
          <w:sz w:val="32"/>
          <w:szCs w:val="40"/>
          <w:lang w:eastAsia="zh-CN"/>
          <w14:textFill>
            <w14:solidFill>
              <w14:schemeClr w14:val="tx1"/>
            </w14:solidFill>
          </w14:textFill>
        </w:rPr>
        <w:t>置</w:t>
      </w:r>
      <w:r>
        <w:rPr>
          <w:rFonts w:hint="eastAsia"/>
          <w:b/>
          <w:bCs/>
          <w:color w:val="000000" w:themeColor="text1"/>
          <w:sz w:val="32"/>
          <w:szCs w:val="40"/>
          <w:lang w:val="en-US" w:eastAsia="zh-CN"/>
          <w14:textFill>
            <w14:solidFill>
              <w14:schemeClr w14:val="tx1"/>
            </w14:solidFill>
          </w14:textFill>
        </w:rPr>
        <w:t xml:space="preserve"> </w:t>
      </w:r>
      <w:r>
        <w:rPr>
          <w:rFonts w:hint="eastAsia"/>
          <w:b/>
          <w:bCs/>
          <w:color w:val="000000" w:themeColor="text1"/>
          <w:sz w:val="32"/>
          <w:szCs w:val="40"/>
          <w:lang w:eastAsia="zh-CN"/>
          <w14:textFill>
            <w14:solidFill>
              <w14:schemeClr w14:val="tx1"/>
            </w14:solidFill>
          </w14:textFill>
        </w:rPr>
        <w:t>示</w:t>
      </w:r>
      <w:r>
        <w:rPr>
          <w:rFonts w:hint="eastAsia"/>
          <w:b/>
          <w:bCs/>
          <w:color w:val="000000" w:themeColor="text1"/>
          <w:sz w:val="32"/>
          <w:szCs w:val="40"/>
          <w:lang w:val="en-US" w:eastAsia="zh-CN"/>
          <w14:textFill>
            <w14:solidFill>
              <w14:schemeClr w14:val="tx1"/>
            </w14:solidFill>
          </w14:textFill>
        </w:rPr>
        <w:t xml:space="preserve"> </w:t>
      </w:r>
      <w:r>
        <w:rPr>
          <w:rFonts w:hint="eastAsia"/>
          <w:b/>
          <w:bCs/>
          <w:color w:val="000000" w:themeColor="text1"/>
          <w:sz w:val="32"/>
          <w:szCs w:val="40"/>
          <w:lang w:eastAsia="zh-CN"/>
          <w14:textFill>
            <w14:solidFill>
              <w14:schemeClr w14:val="tx1"/>
            </w14:solidFill>
          </w14:textFill>
        </w:rPr>
        <w:t>意</w:t>
      </w:r>
      <w:r>
        <w:rPr>
          <w:rFonts w:hint="eastAsia"/>
          <w:b/>
          <w:bCs/>
          <w:color w:val="000000" w:themeColor="text1"/>
          <w:sz w:val="32"/>
          <w:szCs w:val="40"/>
          <w:lang w:val="en-US" w:eastAsia="zh-CN"/>
          <w14:textFill>
            <w14:solidFill>
              <w14:schemeClr w14:val="tx1"/>
            </w14:solidFill>
          </w14:textFill>
        </w:rPr>
        <w:t xml:space="preserve"> </w:t>
      </w:r>
      <w:r>
        <w:rPr>
          <w:rFonts w:hint="eastAsia"/>
          <w:b/>
          <w:bCs/>
          <w:color w:val="000000" w:themeColor="text1"/>
          <w:sz w:val="32"/>
          <w:szCs w:val="40"/>
          <w:lang w:eastAsia="zh-CN"/>
          <w14:textFill>
            <w14:solidFill>
              <w14:schemeClr w14:val="tx1"/>
            </w14:solidFill>
          </w14:textFill>
        </w:rPr>
        <w:t>图</w:t>
      </w:r>
    </w:p>
    <w:p>
      <w:pPr>
        <w:jc w:val="cente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4592955" cy="4072255"/>
            <wp:effectExtent l="0" t="0" r="17145"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4592955" cy="4072255"/>
                    </a:xfrm>
                    <a:prstGeom prst="rect">
                      <a:avLst/>
                    </a:prstGeom>
                    <a:noFill/>
                    <a:ln>
                      <a:noFill/>
                    </a:ln>
                  </pic:spPr>
                </pic:pic>
              </a:graphicData>
            </a:graphic>
          </wp:inline>
        </w:drawing>
      </w: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5596890" cy="7479665"/>
            <wp:effectExtent l="0" t="0" r="3810" b="6985"/>
            <wp:docPr id="21" name="图片 21" descr="查询结果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查询结果表"/>
                    <pic:cNvPicPr>
                      <a:picLocks noChangeAspect="1"/>
                    </pic:cNvPicPr>
                  </pic:nvPicPr>
                  <pic:blipFill>
                    <a:blip r:embed="rId16"/>
                    <a:stretch>
                      <a:fillRect/>
                    </a:stretch>
                  </pic:blipFill>
                  <pic:spPr>
                    <a:xfrm>
                      <a:off x="0" y="0"/>
                      <a:ext cx="5596890" cy="7479665"/>
                    </a:xfrm>
                    <a:prstGeom prst="rect">
                      <a:avLst/>
                    </a:prstGeom>
                  </pic:spPr>
                </pic:pic>
              </a:graphicData>
            </a:graphic>
          </wp:inline>
        </w:drawing>
      </w:r>
    </w:p>
    <w:p>
      <w:pPr>
        <w:rPr>
          <w:rFonts w:hint="eastAsia"/>
          <w:color w:val="000000" w:themeColor="text1"/>
          <w:lang w:eastAsia="zh-CN"/>
          <w14:textFill>
            <w14:solidFill>
              <w14:schemeClr w14:val="tx1"/>
            </w14:solidFill>
          </w14:textFill>
        </w:rPr>
      </w:pPr>
    </w:p>
    <w:p>
      <w:pPr>
        <w:tabs>
          <w:tab w:val="left" w:pos="6720"/>
        </w:tabs>
        <w:rPr>
          <w:rFonts w:hint="eastAsia"/>
          <w:color w:val="000000" w:themeColor="text1"/>
          <w:lang w:eastAsia="zh-CN"/>
          <w14:textFill>
            <w14:solidFill>
              <w14:schemeClr w14:val="tx1"/>
            </w14:solidFill>
          </w14:textFill>
        </w:rPr>
      </w:pPr>
    </w:p>
    <w:p>
      <w:pPr>
        <w:pStyle w:val="2"/>
        <w:keepNext/>
        <w:keepLines/>
        <w:pageBreakBefore w:val="0"/>
        <w:widowControl w:val="0"/>
        <w:kinsoku/>
        <w:wordWrap/>
        <w:overflowPunct/>
        <w:topLinePunct w:val="0"/>
        <w:autoSpaceDE/>
        <w:autoSpaceDN/>
        <w:bidi w:val="0"/>
        <w:adjustRightInd/>
        <w:snapToGrid/>
        <w:spacing w:line="44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估价对象影像资料</w:t>
      </w:r>
    </w:p>
    <w:p>
      <w:pP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87477760" behindDoc="0" locked="0" layoutInCell="1" allowOverlap="1">
            <wp:simplePos x="0" y="0"/>
            <wp:positionH relativeFrom="column">
              <wp:posOffset>439420</wp:posOffset>
            </wp:positionH>
            <wp:positionV relativeFrom="paragraph">
              <wp:posOffset>4919345</wp:posOffset>
            </wp:positionV>
            <wp:extent cx="4949825" cy="1987550"/>
            <wp:effectExtent l="0" t="0" r="3175" b="12700"/>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4949825" cy="198755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87476736" behindDoc="0" locked="0" layoutInCell="1" allowOverlap="1">
            <wp:simplePos x="0" y="0"/>
            <wp:positionH relativeFrom="column">
              <wp:posOffset>280035</wp:posOffset>
            </wp:positionH>
            <wp:positionV relativeFrom="paragraph">
              <wp:posOffset>60960</wp:posOffset>
            </wp:positionV>
            <wp:extent cx="5100320" cy="4653280"/>
            <wp:effectExtent l="0" t="0" r="5080" b="1397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100320" cy="4653280"/>
                    </a:xfrm>
                    <a:prstGeom prst="rect">
                      <a:avLst/>
                    </a:prstGeom>
                    <a:noFill/>
                    <a:ln>
                      <a:noFill/>
                    </a:ln>
                  </pic:spPr>
                </pic:pic>
              </a:graphicData>
            </a:graphic>
          </wp:anchor>
        </w:drawing>
      </w: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87559680" behindDoc="0" locked="0" layoutInCell="1" allowOverlap="1">
            <wp:simplePos x="0" y="0"/>
            <wp:positionH relativeFrom="column">
              <wp:posOffset>467995</wp:posOffset>
            </wp:positionH>
            <wp:positionV relativeFrom="paragraph">
              <wp:posOffset>100330</wp:posOffset>
            </wp:positionV>
            <wp:extent cx="4993640" cy="4338955"/>
            <wp:effectExtent l="0" t="0" r="16510" b="444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rcRect b="4514"/>
                    <a:stretch>
                      <a:fillRect/>
                    </a:stretch>
                  </pic:blipFill>
                  <pic:spPr>
                    <a:xfrm>
                      <a:off x="0" y="0"/>
                      <a:ext cx="4993640" cy="4338955"/>
                    </a:xfrm>
                    <a:prstGeom prst="rect">
                      <a:avLst/>
                    </a:prstGeom>
                    <a:noFill/>
                    <a:ln>
                      <a:noFill/>
                    </a:ln>
                  </pic:spPr>
                </pic:pic>
              </a:graphicData>
            </a:graphic>
          </wp:anchor>
        </w:drawing>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厨房                                卫生间</w:t>
      </w: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jc w:val="center"/>
        <w:rPr>
          <w:rFonts w:hint="eastAsia"/>
          <w:b/>
          <w:bCs/>
          <w:color w:val="000000" w:themeColor="text1"/>
          <w:sz w:val="28"/>
          <w:szCs w:val="36"/>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r>
        <w:rPr>
          <w:rFonts w:hint="eastAsia"/>
          <w:b/>
          <w:bCs/>
          <w:color w:val="000000" w:themeColor="text1"/>
          <w:sz w:val="28"/>
          <w:szCs w:val="36"/>
          <w:lang w:val="en-US" w:eastAsia="zh-CN"/>
          <w14:textFill>
            <w14:solidFill>
              <w14:schemeClr w14:val="tx1"/>
            </w14:solidFill>
          </w14:textFill>
        </w:rPr>
        <w:t xml:space="preserve">  比 较 实 例 照 片</w:t>
      </w:r>
    </w:p>
    <w:p>
      <w:pPr>
        <w:rPr>
          <w:rFonts w:hint="eastAsia"/>
          <w:b w:val="0"/>
          <w:bCs w:val="0"/>
          <w:color w:val="000000" w:themeColor="text1"/>
          <w:sz w:val="24"/>
          <w:szCs w:val="24"/>
          <w:lang w:val="en-US" w:eastAsia="zh-CN"/>
          <w14:textFill>
            <w14:solidFill>
              <w14:schemeClr w14:val="tx1"/>
            </w14:solidFill>
          </w14:textFill>
        </w:rPr>
      </w:pPr>
      <w:r>
        <w:rPr>
          <w:rFonts w:hint="eastAsia" w:ascii="宋体" w:hAnsi="宋体" w:eastAsia="宋体"/>
          <w:b w:val="0"/>
          <w:color w:val="000000" w:themeColor="text1"/>
          <w:sz w:val="24"/>
          <w:lang w:eastAsia="zh-CN"/>
          <w14:textFill>
            <w14:solidFill>
              <w14:schemeClr w14:val="tx1"/>
            </w14:solidFill>
          </w14:textFill>
        </w:rPr>
        <w:drawing>
          <wp:anchor distT="0" distB="0" distL="114300" distR="114300" simplePos="0" relativeHeight="287564800" behindDoc="0" locked="0" layoutInCell="1" allowOverlap="1">
            <wp:simplePos x="0" y="0"/>
            <wp:positionH relativeFrom="column">
              <wp:posOffset>1527175</wp:posOffset>
            </wp:positionH>
            <wp:positionV relativeFrom="paragraph">
              <wp:posOffset>71120</wp:posOffset>
            </wp:positionV>
            <wp:extent cx="2699385" cy="2430145"/>
            <wp:effectExtent l="0" t="0" r="5715" b="8255"/>
            <wp:wrapSquare wrapText="bothSides"/>
            <wp:docPr id="6" name="图片 1" descr="IMG_20180111_1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0180111_121444"/>
                    <pic:cNvPicPr>
                      <a:picLocks noChangeAspect="1"/>
                    </pic:cNvPicPr>
                  </pic:nvPicPr>
                  <pic:blipFill>
                    <a:blip r:embed="rId19"/>
                    <a:stretch>
                      <a:fillRect/>
                    </a:stretch>
                  </pic:blipFill>
                  <pic:spPr>
                    <a:xfrm>
                      <a:off x="0" y="0"/>
                      <a:ext cx="2699385" cy="2430145"/>
                    </a:xfrm>
                    <a:prstGeom prst="rect">
                      <a:avLst/>
                    </a:prstGeom>
                    <a:noFill/>
                    <a:ln>
                      <a:noFill/>
                    </a:ln>
                  </pic:spPr>
                </pic:pic>
              </a:graphicData>
            </a:graphic>
          </wp:anchor>
        </w:drawing>
      </w:r>
    </w:p>
    <w:p>
      <w:pPr>
        <w:rPr>
          <w:rFonts w:hint="eastAsia"/>
          <w:b w:val="0"/>
          <w:bCs w:val="0"/>
          <w:color w:val="000000" w:themeColor="text1"/>
          <w:sz w:val="24"/>
          <w:szCs w:val="24"/>
          <w:lang w:val="en-US" w:eastAsia="zh-CN"/>
          <w14:textFill>
            <w14:solidFill>
              <w14:schemeClr w14:val="tx1"/>
            </w14:solidFill>
          </w14:textFill>
        </w:rPr>
      </w:pPr>
    </w:p>
    <w:p>
      <w:pPr>
        <w:rPr>
          <w:rFonts w:hint="eastAsia"/>
          <w:b w:val="0"/>
          <w:bCs w:val="0"/>
          <w:color w:val="000000" w:themeColor="text1"/>
          <w:sz w:val="24"/>
          <w:szCs w:val="24"/>
          <w:lang w:val="en-US" w:eastAsia="zh-CN"/>
          <w14:textFill>
            <w14:solidFill>
              <w14:schemeClr w14:val="tx1"/>
            </w14:solidFill>
          </w14:textFill>
        </w:rPr>
      </w:pPr>
    </w:p>
    <w:p>
      <w:pPr>
        <w:rPr>
          <w:rFonts w:hint="eastAsia"/>
          <w:b w:val="0"/>
          <w:bCs w:val="0"/>
          <w:color w:val="000000" w:themeColor="text1"/>
          <w:sz w:val="24"/>
          <w:szCs w:val="24"/>
          <w:lang w:val="en-US" w:eastAsia="zh-CN"/>
          <w14:textFill>
            <w14:solidFill>
              <w14:schemeClr w14:val="tx1"/>
            </w14:solidFill>
          </w14:textFill>
        </w:rPr>
      </w:pPr>
    </w:p>
    <w:p>
      <w:pPr>
        <w:rPr>
          <w:rFonts w:hint="eastAsia"/>
          <w:b w:val="0"/>
          <w:bCs w:val="0"/>
          <w:color w:val="000000" w:themeColor="text1"/>
          <w:sz w:val="24"/>
          <w:szCs w:val="24"/>
          <w:lang w:val="en-US" w:eastAsia="zh-CN"/>
          <w14:textFill>
            <w14:solidFill>
              <w14:schemeClr w14:val="tx1"/>
            </w14:solidFill>
          </w14:textFill>
        </w:rPr>
      </w:pPr>
    </w:p>
    <w:p>
      <w:pPr>
        <w:ind w:firstLine="480" w:firstLineChars="200"/>
        <w:jc w:val="left"/>
        <w:rPr>
          <w:rFonts w:hint="eastAsia"/>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比较实例A：</w:t>
      </w: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87565824" behindDoc="0" locked="0" layoutInCell="1" allowOverlap="1">
            <wp:simplePos x="0" y="0"/>
            <wp:positionH relativeFrom="column">
              <wp:posOffset>1517015</wp:posOffset>
            </wp:positionH>
            <wp:positionV relativeFrom="paragraph">
              <wp:posOffset>102870</wp:posOffset>
            </wp:positionV>
            <wp:extent cx="2719705" cy="2283460"/>
            <wp:effectExtent l="0" t="0" r="4445" b="2540"/>
            <wp:wrapSquare wrapText="bothSides"/>
            <wp:docPr id="16" name="图片 16" descr="3717797CAD6F3EF62BFD1BAB40984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717797CAD6F3EF62BFD1BAB40984E3E"/>
                    <pic:cNvPicPr>
                      <a:picLocks noChangeAspect="1"/>
                    </pic:cNvPicPr>
                  </pic:nvPicPr>
                  <pic:blipFill>
                    <a:blip r:embed="rId20"/>
                    <a:stretch>
                      <a:fillRect/>
                    </a:stretch>
                  </pic:blipFill>
                  <pic:spPr>
                    <a:xfrm>
                      <a:off x="0" y="0"/>
                      <a:ext cx="2719705" cy="2283460"/>
                    </a:xfrm>
                    <a:prstGeom prst="rect">
                      <a:avLst/>
                    </a:prstGeom>
                  </pic:spPr>
                </pic:pic>
              </a:graphicData>
            </a:graphic>
          </wp:anchor>
        </w:drawing>
      </w:r>
    </w:p>
    <w:p>
      <w:pPr>
        <w:pStyle w:val="2"/>
        <w:rPr>
          <w:rFonts w:hint="default"/>
          <w:color w:val="000000" w:themeColor="text1"/>
          <w:lang w:val="en-US" w:eastAsia="zh-CN"/>
          <w14:textFill>
            <w14:solidFill>
              <w14:schemeClr w14:val="tx1"/>
            </w14:solidFill>
          </w14:textFill>
        </w:rPr>
      </w:pPr>
    </w:p>
    <w:p>
      <w:pPr>
        <w:ind w:firstLine="480" w:firstLineChars="200"/>
        <w:jc w:val="left"/>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比较实例B：</w:t>
      </w: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pStyle w:val="2"/>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drawing>
          <wp:anchor distT="0" distB="0" distL="114300" distR="114300" simplePos="0" relativeHeight="287563776" behindDoc="0" locked="0" layoutInCell="1" allowOverlap="1">
            <wp:simplePos x="0" y="0"/>
            <wp:positionH relativeFrom="column">
              <wp:posOffset>1511300</wp:posOffset>
            </wp:positionH>
            <wp:positionV relativeFrom="paragraph">
              <wp:posOffset>398145</wp:posOffset>
            </wp:positionV>
            <wp:extent cx="2715260" cy="2462530"/>
            <wp:effectExtent l="0" t="0" r="8890" b="13970"/>
            <wp:wrapSquare wrapText="bothSides"/>
            <wp:docPr id="24" name="图片 24" descr="繁荣小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繁荣小区"/>
                    <pic:cNvPicPr>
                      <a:picLocks noChangeAspect="1"/>
                    </pic:cNvPicPr>
                  </pic:nvPicPr>
                  <pic:blipFill>
                    <a:blip r:embed="rId21"/>
                    <a:stretch>
                      <a:fillRect/>
                    </a:stretch>
                  </pic:blipFill>
                  <pic:spPr>
                    <a:xfrm>
                      <a:off x="0" y="0"/>
                      <a:ext cx="2715260" cy="2462530"/>
                    </a:xfrm>
                    <a:prstGeom prst="rect">
                      <a:avLst/>
                    </a:prstGeom>
                  </pic:spPr>
                </pic:pic>
              </a:graphicData>
            </a:graphic>
          </wp:anchor>
        </w:drawing>
      </w:r>
    </w:p>
    <w:p>
      <w:pPr>
        <w:rPr>
          <w:rFonts w:hint="eastAsia"/>
          <w:color w:val="000000" w:themeColor="text1"/>
          <w:lang w:val="en-US" w:eastAsia="zh-CN"/>
          <w14:textFill>
            <w14:solidFill>
              <w14:schemeClr w14:val="tx1"/>
            </w14:solidFill>
          </w14:textFill>
        </w:rPr>
      </w:pPr>
    </w:p>
    <w:p>
      <w:pPr>
        <w:ind w:firstLine="480" w:firstLineChars="200"/>
        <w:rPr>
          <w:rFonts w:hint="eastAsia"/>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比较实例C：</w:t>
      </w:r>
    </w:p>
    <w:p>
      <w:pPr>
        <w:ind w:firstLine="3373" w:firstLineChars="1400"/>
        <w:rPr>
          <w:rFonts w:hint="eastAsia"/>
          <w:b/>
          <w:bCs/>
          <w:color w:val="000000" w:themeColor="text1"/>
          <w:sz w:val="24"/>
          <w:szCs w:val="32"/>
          <w:lang w:eastAsia="zh-CN"/>
          <w14:textFill>
            <w14:solidFill>
              <w14:schemeClr w14:val="tx1"/>
            </w14:solidFill>
          </w14:textFill>
        </w:rPr>
      </w:pPr>
    </w:p>
    <w:p>
      <w:pPr>
        <w:ind w:firstLine="3373" w:firstLineChars="1400"/>
        <w:rPr>
          <w:rFonts w:hint="eastAsia"/>
          <w:b/>
          <w:bCs/>
          <w:color w:val="000000" w:themeColor="text1"/>
          <w:sz w:val="24"/>
          <w:szCs w:val="32"/>
          <w:lang w:eastAsia="zh-CN"/>
          <w14:textFill>
            <w14:solidFill>
              <w14:schemeClr w14:val="tx1"/>
            </w14:solidFill>
          </w14:textFill>
        </w:rPr>
      </w:pPr>
    </w:p>
    <w:p>
      <w:pPr>
        <w:ind w:firstLine="3373" w:firstLineChars="1400"/>
        <w:rPr>
          <w:rFonts w:hint="eastAsia"/>
          <w:b/>
          <w:bCs/>
          <w:color w:val="000000" w:themeColor="text1"/>
          <w:sz w:val="24"/>
          <w:szCs w:val="32"/>
          <w:lang w:eastAsia="zh-CN"/>
          <w14:textFill>
            <w14:solidFill>
              <w14:schemeClr w14:val="tx1"/>
            </w14:solidFill>
          </w14:textFill>
        </w:rPr>
      </w:pPr>
    </w:p>
    <w:p>
      <w:pPr>
        <w:ind w:firstLine="3373" w:firstLineChars="1400"/>
        <w:rPr>
          <w:rFonts w:hint="eastAsia"/>
          <w:b/>
          <w:bCs/>
          <w:color w:val="000000" w:themeColor="text1"/>
          <w:sz w:val="24"/>
          <w:szCs w:val="32"/>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jc w:val="center"/>
        <w:rPr>
          <w:rFonts w:hint="eastAsia" w:eastAsia="宋体"/>
          <w:b/>
          <w:bCs/>
          <w:color w:val="000000" w:themeColor="text1"/>
          <w:sz w:val="28"/>
          <w:szCs w:val="36"/>
          <w:lang w:eastAsia="zh-CN"/>
          <w14:textFill>
            <w14:solidFill>
              <w14:schemeClr w14:val="tx1"/>
            </w14:solidFill>
          </w14:textFill>
        </w:rPr>
      </w:pPr>
      <w:r>
        <w:rPr>
          <w:rFonts w:hint="eastAsia"/>
          <w:b/>
          <w:bCs/>
          <w:color w:val="000000" w:themeColor="text1"/>
          <w:sz w:val="28"/>
          <w:szCs w:val="36"/>
          <w:lang w:eastAsia="zh-CN"/>
          <w14:textFill>
            <w14:solidFill>
              <w14:schemeClr w14:val="tx1"/>
            </w14:solidFill>
          </w14:textFill>
        </w:rPr>
        <w:t>比较实例位置示意图</w:t>
      </w:r>
    </w:p>
    <w:p>
      <w:pP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r>
        <w:drawing>
          <wp:inline distT="0" distB="0" distL="114300" distR="114300">
            <wp:extent cx="5172075" cy="49530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172075" cy="4953000"/>
                    </a:xfrm>
                    <a:prstGeom prst="rect">
                      <a:avLst/>
                    </a:prstGeom>
                    <a:noFill/>
                    <a:ln>
                      <a:noFill/>
                    </a:ln>
                  </pic:spPr>
                </pic:pic>
              </a:graphicData>
            </a:graphic>
          </wp:inline>
        </w:drawing>
      </w: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597525" cy="7991475"/>
            <wp:effectExtent l="0" t="0" r="3175" b="9525"/>
            <wp:docPr id="23" name="图片 23" descr="实地查勘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实地查勘表"/>
                    <pic:cNvPicPr>
                      <a:picLocks noChangeAspect="1"/>
                    </pic:cNvPicPr>
                  </pic:nvPicPr>
                  <pic:blipFill>
                    <a:blip r:embed="rId23"/>
                    <a:stretch>
                      <a:fillRect/>
                    </a:stretch>
                  </pic:blipFill>
                  <pic:spPr>
                    <a:xfrm>
                      <a:off x="0" y="0"/>
                      <a:ext cx="5597525" cy="7991475"/>
                    </a:xfrm>
                    <a:prstGeom prst="rect">
                      <a:avLst/>
                    </a:prstGeom>
                  </pic:spPr>
                </pic:pic>
              </a:graphicData>
            </a:graphic>
          </wp:inline>
        </w:drawing>
      </w:r>
    </w:p>
    <w:p>
      <w:pPr>
        <w:rPr>
          <w:rFonts w:hint="eastAsia"/>
          <w:color w:val="000000" w:themeColor="text1"/>
          <w:lang w:val="en-US"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drawing>
          <wp:anchor distT="0" distB="0" distL="0" distR="0" simplePos="0" relativeHeight="287555584" behindDoc="0" locked="0" layoutInCell="1" allowOverlap="1">
            <wp:simplePos x="0" y="0"/>
            <wp:positionH relativeFrom="column">
              <wp:posOffset>1166495</wp:posOffset>
            </wp:positionH>
            <wp:positionV relativeFrom="paragraph">
              <wp:posOffset>121285</wp:posOffset>
            </wp:positionV>
            <wp:extent cx="3215640" cy="4152900"/>
            <wp:effectExtent l="0" t="0" r="381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a:lum bright="-20000"/>
                    </a:blip>
                    <a:srcRect/>
                    <a:stretch>
                      <a:fillRect/>
                    </a:stretch>
                  </pic:blipFill>
                  <pic:spPr>
                    <a:xfrm>
                      <a:off x="2463800" y="5103495"/>
                      <a:ext cx="3215640" cy="4152900"/>
                    </a:xfrm>
                    <a:prstGeom prst="rect">
                      <a:avLst/>
                    </a:prstGeom>
                    <a:noFill/>
                    <a:ln w="9525">
                      <a:noFill/>
                      <a:miter lim="800000"/>
                      <a:headEnd/>
                      <a:tailEnd/>
                    </a:ln>
                  </pic:spPr>
                </pic:pic>
              </a:graphicData>
            </a:graphic>
          </wp:anchor>
        </w:drawing>
      </w: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393690" cy="3857625"/>
            <wp:effectExtent l="0" t="0" r="16510" b="9525"/>
            <wp:docPr id="12" name="图片 12" descr="微信图片_2019102419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024193708"/>
                    <pic:cNvPicPr>
                      <a:picLocks noChangeAspect="1"/>
                    </pic:cNvPicPr>
                  </pic:nvPicPr>
                  <pic:blipFill>
                    <a:blip r:embed="rId25"/>
                    <a:stretch>
                      <a:fillRect/>
                    </a:stretch>
                  </pic:blipFill>
                  <pic:spPr>
                    <a:xfrm>
                      <a:off x="0" y="0"/>
                      <a:ext cx="5393690" cy="3857625"/>
                    </a:xfrm>
                    <a:prstGeom prst="rect">
                      <a:avLst/>
                    </a:prstGeom>
                  </pic:spPr>
                </pic:pic>
              </a:graphicData>
            </a:graphic>
          </wp:inline>
        </w:drawing>
      </w:r>
    </w:p>
    <w:p>
      <w:pPr>
        <w:pStyle w:val="2"/>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87558656" behindDoc="0" locked="0" layoutInCell="1" allowOverlap="1">
            <wp:simplePos x="0" y="0"/>
            <wp:positionH relativeFrom="column">
              <wp:posOffset>153035</wp:posOffset>
            </wp:positionH>
            <wp:positionV relativeFrom="paragraph">
              <wp:posOffset>4364990</wp:posOffset>
            </wp:positionV>
            <wp:extent cx="5271770" cy="3777615"/>
            <wp:effectExtent l="0" t="0" r="508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lum bright="6000"/>
                    </a:blip>
                    <a:srcRect t="1458"/>
                    <a:stretch>
                      <a:fillRect/>
                    </a:stretch>
                  </pic:blipFill>
                  <pic:spPr>
                    <a:xfrm>
                      <a:off x="0" y="0"/>
                      <a:ext cx="5271770" cy="377761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87556608" behindDoc="0" locked="0" layoutInCell="1" allowOverlap="1">
            <wp:simplePos x="0" y="0"/>
            <wp:positionH relativeFrom="column">
              <wp:posOffset>145415</wp:posOffset>
            </wp:positionH>
            <wp:positionV relativeFrom="paragraph">
              <wp:posOffset>133350</wp:posOffset>
            </wp:positionV>
            <wp:extent cx="5273675" cy="3693160"/>
            <wp:effectExtent l="0" t="0" r="3175"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lum bright="6000"/>
                    </a:blip>
                    <a:srcRect t="2921"/>
                    <a:stretch>
                      <a:fillRect/>
                    </a:stretch>
                  </pic:blipFill>
                  <pic:spPr>
                    <a:xfrm>
                      <a:off x="0" y="0"/>
                      <a:ext cx="5273675" cy="3693160"/>
                    </a:xfrm>
                    <a:prstGeom prst="rect">
                      <a:avLst/>
                    </a:prstGeom>
                    <a:noFill/>
                    <a:ln>
                      <a:noFill/>
                    </a:ln>
                  </pic:spPr>
                </pic:pic>
              </a:graphicData>
            </a:graphic>
          </wp:anchor>
        </w:drawing>
      </w:r>
    </w:p>
    <w:sectPr>
      <w:footerReference r:id="rId6" w:type="first"/>
      <w:headerReference r:id="rId3" w:type="default"/>
      <w:footerReference r:id="rId4" w:type="default"/>
      <w:footerReference r:id="rId5" w:type="even"/>
      <w:pgSz w:w="11906" w:h="16838"/>
      <w:pgMar w:top="1213" w:right="1293" w:bottom="249" w:left="179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rPr>
        <w:sz w:val="21"/>
      </w:rPr>
    </w:pPr>
    <w:r>
      <w:rPr>
        <w:rFonts w:hint="eastAsia"/>
        <w:sz w:val="21"/>
      </w:rPr>
      <w:t>地址：</w:t>
    </w:r>
    <w:r>
      <w:rPr>
        <w:rFonts w:hint="eastAsia"/>
        <w:sz w:val="21"/>
        <w:lang w:eastAsia="zh-CN"/>
      </w:rPr>
      <w:t>乌苏市</w:t>
    </w:r>
    <w:r>
      <w:rPr>
        <w:rFonts w:hint="eastAsia"/>
        <w:sz w:val="21"/>
      </w:rPr>
      <w:t>新华南路140号汇源酒店23楼</w:t>
    </w:r>
    <w:r>
      <w:rPr>
        <w:rFonts w:hint="eastAsia"/>
        <w:sz w:val="21"/>
        <w:lang w:val="en-US" w:eastAsia="zh-CN"/>
      </w:rPr>
      <w:t xml:space="preserve">                               </w:t>
    </w:r>
    <w:r>
      <w:rPr>
        <w:rFonts w:hint="eastAsia"/>
        <w:sz w:val="21"/>
      </w:rPr>
      <w:t>邮编：</w:t>
    </w:r>
    <w:r>
      <w:rPr>
        <w:sz w:val="21"/>
      </w:rPr>
      <w:t>830002</w:t>
    </w:r>
  </w:p>
  <w:p>
    <w:pPr>
      <w:pStyle w:val="12"/>
      <w:jc w:val="both"/>
      <w:rPr>
        <w:sz w:val="21"/>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-167640</wp:posOffset>
              </wp:positionV>
              <wp:extent cx="5486400" cy="0"/>
              <wp:effectExtent l="0" t="19050" r="0" b="19050"/>
              <wp:wrapNone/>
              <wp:docPr id="13" name="直线 2"/>
              <wp:cNvGraphicFramePr/>
              <a:graphic xmlns:a="http://schemas.openxmlformats.org/drawingml/2006/main">
                <a:graphicData uri="http://schemas.microsoft.com/office/word/2010/wordprocessingShape">
                  <wps:wsp>
                    <wps:cNvCnPr/>
                    <wps:spPr>
                      <a:xfrm>
                        <a:off x="0" y="0"/>
                        <a:ext cx="5486400"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13.2pt;height:0pt;width:432pt;z-index:251661312;mso-width-relative:page;mso-height-relative:page;" filled="f" stroked="t" coordsize="21600,21600" o:gfxdata="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oPbdUAAAAIAQAADwAAAAAAAAABACAAAAAiAAAAZHJz&#10;L2Rvd25yZXYueG1sUEsBAhQAFAAAAAgAh07iQE9J0CvOAQAAjwMAAA4AAAAAAAAAAQAgAAAAJAEA&#10;AGRycy9lMm9Eb2MueG1sUEsFBgAAAAAGAAYAWQEAAGQFAAAAAA==&#10;">
              <v:fill on="f" focussize="0,0"/>
              <v:stroke weight="3pt" color="#000000" linestyle="thinThin" joinstyle="round"/>
              <v:imagedata o:title=""/>
              <o:lock v:ext="edit" aspectratio="f"/>
            </v:line>
          </w:pict>
        </mc:Fallback>
      </mc:AlternateContent>
    </w:r>
    <w:r>
      <w:rPr>
        <w:rFonts w:hint="eastAsia"/>
        <w:sz w:val="21"/>
      </w:rPr>
      <w:t>电话：（</w:t>
    </w:r>
    <w:r>
      <w:rPr>
        <w:sz w:val="21"/>
      </w:rPr>
      <w:t>0991</w:t>
    </w:r>
    <w:r>
      <w:rPr>
        <w:rFonts w:hint="eastAsia"/>
        <w:sz w:val="21"/>
      </w:rPr>
      <w:t>）</w:t>
    </w:r>
    <w:r>
      <w:rPr>
        <w:sz w:val="21"/>
      </w:rPr>
      <w:t xml:space="preserve">2823050     2823010                                    </w:t>
    </w:r>
    <w:r>
      <w:rPr>
        <w:rFonts w:hint="eastAsia"/>
        <w:sz w:val="21"/>
      </w:rPr>
      <w:t>第</w:t>
    </w:r>
    <w:r>
      <w:rPr>
        <w:rStyle w:val="23"/>
      </w:rPr>
      <w:fldChar w:fldCharType="begin"/>
    </w:r>
    <w:r>
      <w:rPr>
        <w:rStyle w:val="23"/>
      </w:rPr>
      <w:instrText xml:space="preserve"> PAGE </w:instrText>
    </w:r>
    <w:r>
      <w:rPr>
        <w:rStyle w:val="23"/>
      </w:rPr>
      <w:fldChar w:fldCharType="separate"/>
    </w:r>
    <w:r>
      <w:rPr>
        <w:rStyle w:val="23"/>
      </w:rPr>
      <w:t>3</w:t>
    </w:r>
    <w:r>
      <w:rPr>
        <w:rStyle w:val="23"/>
      </w:rPr>
      <w:fldChar w:fldCharType="end"/>
    </w:r>
    <w:r>
      <w:rPr>
        <w:rStyle w:val="23"/>
        <w:rFonts w:hint="eastAsia"/>
        <w:sz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40</w:t>
    </w:r>
    <w:r>
      <w:rPr>
        <w:rStyle w:val="23"/>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rPr>
        <w:sz w:val="21"/>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-94615</wp:posOffset>
              </wp:positionV>
              <wp:extent cx="5486400" cy="0"/>
              <wp:effectExtent l="0" t="19050" r="0" b="19050"/>
              <wp:wrapNone/>
              <wp:docPr id="11" name="直线 1"/>
              <wp:cNvGraphicFramePr/>
              <a:graphic xmlns:a="http://schemas.openxmlformats.org/drawingml/2006/main">
                <a:graphicData uri="http://schemas.microsoft.com/office/word/2010/wordprocessingShape">
                  <wps:wsp>
                    <wps:cNvCnPr/>
                    <wps:spPr>
                      <a:xfrm>
                        <a:off x="0" y="0"/>
                        <a:ext cx="5486400"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0pt;margin-top:-7.45pt;height:0pt;width:432pt;z-index:251660288;mso-width-relative:page;mso-height-relative:page;" filled="f" stroked="t" coordsize="21600,21600" o:gfxdata="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IwrK1QAAAAgBAAAPAAAAAAAAAAEAIAAAACIAAABkcnMv&#10;ZG93bnJldi54bWxQSwECFAAUAAAACACHTuJAz7AHb80BAACPAwAADgAAAAAAAAABACAAAAAkAQAA&#10;ZHJzL2Uyb0RvYy54bWxQSwUGAAAAAAYABgBZAQAAYwUAAAAA&#10;">
              <v:fill on="f" focussize="0,0"/>
              <v:stroke weight="3pt" color="#000000" linestyle="thinThin" joinstyle="round"/>
              <v:imagedata o:title=""/>
              <o:lock v:ext="edit" aspectratio="f"/>
            </v:line>
          </w:pict>
        </mc:Fallback>
      </mc:AlternateContent>
    </w:r>
    <w:r>
      <w:rPr>
        <w:rFonts w:hint="eastAsia"/>
        <w:sz w:val="21"/>
      </w:rPr>
      <w:t>地址：</w:t>
    </w:r>
    <w:r>
      <w:rPr>
        <w:rFonts w:hint="eastAsia"/>
        <w:sz w:val="21"/>
        <w:lang w:eastAsia="zh-CN"/>
      </w:rPr>
      <w:t>乌苏市</w:t>
    </w:r>
    <w:r>
      <w:rPr>
        <w:rFonts w:hint="eastAsia"/>
        <w:sz w:val="21"/>
      </w:rPr>
      <w:t>新华南路140号汇源酒店</w:t>
    </w:r>
    <w:r>
      <w:rPr>
        <w:sz w:val="21"/>
      </w:rPr>
      <w:t>1</w:t>
    </w:r>
    <w:r>
      <w:rPr>
        <w:rFonts w:hint="eastAsia"/>
        <w:sz w:val="21"/>
      </w:rPr>
      <w:t>4楼</w:t>
    </w:r>
    <w:r>
      <w:rPr>
        <w:rFonts w:hint="eastAsia"/>
        <w:sz w:val="21"/>
        <w:lang w:val="en-US" w:eastAsia="zh-CN"/>
      </w:rPr>
      <w:t xml:space="preserve">                                </w:t>
    </w:r>
    <w:r>
      <w:rPr>
        <w:rFonts w:hint="eastAsia"/>
        <w:sz w:val="21"/>
      </w:rPr>
      <w:t>邮编：</w:t>
    </w:r>
    <w:r>
      <w:rPr>
        <w:sz w:val="21"/>
      </w:rPr>
      <w:t>830002</w:t>
    </w:r>
  </w:p>
  <w:p>
    <w:pPr>
      <w:pStyle w:val="12"/>
      <w:jc w:val="both"/>
      <w:rPr>
        <w:sz w:val="21"/>
      </w:rPr>
    </w:pPr>
    <w:r>
      <w:rPr>
        <w:rFonts w:hint="eastAsia"/>
        <w:sz w:val="21"/>
      </w:rPr>
      <w:t>电话：（</w:t>
    </w:r>
    <w:r>
      <w:rPr>
        <w:sz w:val="21"/>
      </w:rPr>
      <w:t>0991</w:t>
    </w:r>
    <w:r>
      <w:rPr>
        <w:rFonts w:hint="eastAsia"/>
        <w:sz w:val="21"/>
      </w:rPr>
      <w:t>）</w:t>
    </w:r>
    <w:r>
      <w:rPr>
        <w:sz w:val="21"/>
      </w:rPr>
      <w:t xml:space="preserve">2823050     2823010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114300" distR="114300">
          <wp:extent cx="298450" cy="374650"/>
          <wp:effectExtent l="0" t="0" r="6350" b="6350"/>
          <wp:docPr id="14" name="图片 1" descr="c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yth"/>
                  <pic:cNvPicPr>
                    <a:picLocks noChangeAspect="1"/>
                  </pic:cNvPicPr>
                </pic:nvPicPr>
                <pic:blipFill>
                  <a:blip r:embed="rId1"/>
                  <a:stretch>
                    <a:fillRect/>
                  </a:stretch>
                </pic:blipFill>
                <pic:spPr>
                  <a:xfrm>
                    <a:off x="0" y="0"/>
                    <a:ext cx="298450" cy="374650"/>
                  </a:xfrm>
                  <a:prstGeom prst="rect">
                    <a:avLst/>
                  </a:prstGeom>
                  <a:noFill/>
                  <a:ln>
                    <a:noFill/>
                  </a:ln>
                </pic:spPr>
              </pic:pic>
            </a:graphicData>
          </a:graphic>
        </wp:inline>
      </w:drawing>
    </w:r>
    <w:r>
      <w:rPr>
        <w:rFonts w:hint="eastAsia"/>
      </w:rPr>
      <w:t xml:space="preserve">                                    </w:t>
    </w:r>
    <w:r>
      <w:rPr>
        <w:rFonts w:hint="eastAsia"/>
        <w:b/>
        <w:sz w:val="24"/>
        <w:szCs w:val="24"/>
      </w:rPr>
      <w:t>新疆驰远天合中辰房地产土地评估有限责任公司</w:t>
    </w:r>
  </w:p>
  <w:p>
    <w:pPr>
      <w:pStyle w:val="13"/>
      <w:pBdr>
        <w:bottom w:val="none" w:color="auto" w:sz="0" w:space="0"/>
      </w:pBdr>
      <w:rPr>
        <w:rFonts w:hint="eastAsia" w:eastAsia="宋体"/>
        <w:b/>
        <w:bCs/>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BCD"/>
    <w:multiLevelType w:val="multilevel"/>
    <w:tmpl w:val="03C00BCD"/>
    <w:lvl w:ilvl="0" w:tentative="0">
      <w:start w:val="1"/>
      <w:numFmt w:val="japaneseCounting"/>
      <w:lvlText w:val="%1、"/>
      <w:lvlJc w:val="left"/>
      <w:pPr>
        <w:tabs>
          <w:tab w:val="left" w:pos="862"/>
        </w:tabs>
        <w:ind w:left="862" w:hanging="720"/>
      </w:pPr>
      <w:rPr>
        <w:rFonts w:hint="eastAsia" w:cs="Times New Roman"/>
        <w:b/>
        <w:sz w:val="24"/>
        <w:szCs w:val="24"/>
        <w:lang w:val="en-US"/>
      </w:rPr>
    </w:lvl>
    <w:lvl w:ilvl="1" w:tentative="0">
      <w:start w:val="1"/>
      <w:numFmt w:val="decimal"/>
      <w:lvlText w:val="%2."/>
      <w:lvlJc w:val="left"/>
      <w:pPr>
        <w:tabs>
          <w:tab w:val="left" w:pos="840"/>
        </w:tabs>
        <w:ind w:left="840" w:hanging="420"/>
      </w:pPr>
      <w:rPr>
        <w:rFonts w:hint="eastAsia" w:cs="Times New Roman"/>
        <w:b w:val="0"/>
        <w:sz w:val="28"/>
        <w:szCs w:val="28"/>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CFB1889"/>
    <w:multiLevelType w:val="multilevel"/>
    <w:tmpl w:val="0CFB1889"/>
    <w:lvl w:ilvl="0" w:tentative="0">
      <w:start w:val="1"/>
      <w:numFmt w:val="japaneseCounting"/>
      <w:lvlText w:val="%1、"/>
      <w:lvlJc w:val="left"/>
      <w:pPr>
        <w:tabs>
          <w:tab w:val="left" w:pos="720"/>
        </w:tabs>
        <w:ind w:left="720" w:hanging="720"/>
      </w:pPr>
      <w:rPr>
        <w:rFonts w:hint="eastAsia" w:cs="Times New Roman"/>
      </w:rPr>
    </w:lvl>
    <w:lvl w:ilvl="1" w:tentative="0">
      <w:start w:val="1"/>
      <w:numFmt w:val="decimal"/>
      <w:lvlText w:val="%2、"/>
      <w:lvlJc w:val="left"/>
      <w:pPr>
        <w:tabs>
          <w:tab w:val="left" w:pos="1140"/>
        </w:tabs>
        <w:ind w:left="1140" w:hanging="720"/>
      </w:pPr>
      <w:rPr>
        <w:rFonts w:hint="eastAsia" w:hAnsi="宋体"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21892A46"/>
    <w:multiLevelType w:val="multilevel"/>
    <w:tmpl w:val="21892A46"/>
    <w:lvl w:ilvl="0" w:tentative="0">
      <w:start w:val="3"/>
      <w:numFmt w:val="japaneseCounting"/>
      <w:lvlText w:val="（%1）"/>
      <w:lvlJc w:val="left"/>
      <w:pPr>
        <w:ind w:left="1200" w:hanging="7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2D43EFE"/>
    <w:multiLevelType w:val="multilevel"/>
    <w:tmpl w:val="32D43EFE"/>
    <w:lvl w:ilvl="0" w:tentative="0">
      <w:start w:val="3"/>
      <w:numFmt w:val="decimal"/>
      <w:lvlText w:val="%1、"/>
      <w:lvlJc w:val="left"/>
      <w:pPr>
        <w:ind w:left="786" w:hanging="360"/>
      </w:pPr>
      <w:rPr>
        <w:rFonts w:hint="default"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7185E69"/>
    <w:multiLevelType w:val="multilevel"/>
    <w:tmpl w:val="37185E69"/>
    <w:lvl w:ilvl="0" w:tentative="0">
      <w:start w:val="1"/>
      <w:numFmt w:val="chineseCountingThousand"/>
      <w:lvlText w:val="(%1)"/>
      <w:lvlJc w:val="left"/>
      <w:pPr>
        <w:ind w:left="988" w:hanging="420"/>
      </w:pPr>
    </w:lvl>
    <w:lvl w:ilvl="1" w:tentative="0">
      <w:start w:val="1"/>
      <w:numFmt w:val="lowerLetter"/>
      <w:lvlText w:val="%2)"/>
      <w:lvlJc w:val="left"/>
      <w:pPr>
        <w:ind w:left="1395" w:hanging="420"/>
      </w:pPr>
      <w:rPr>
        <w:rFonts w:cs="Times New Roman"/>
      </w:rPr>
    </w:lvl>
    <w:lvl w:ilvl="2" w:tentative="0">
      <w:start w:val="1"/>
      <w:numFmt w:val="lowerRoman"/>
      <w:lvlText w:val="%3."/>
      <w:lvlJc w:val="right"/>
      <w:pPr>
        <w:ind w:left="1815" w:hanging="420"/>
      </w:pPr>
      <w:rPr>
        <w:rFonts w:cs="Times New Roman"/>
      </w:rPr>
    </w:lvl>
    <w:lvl w:ilvl="3" w:tentative="0">
      <w:start w:val="1"/>
      <w:numFmt w:val="decimal"/>
      <w:lvlText w:val="%4."/>
      <w:lvlJc w:val="left"/>
      <w:pPr>
        <w:ind w:left="2235" w:hanging="420"/>
      </w:pPr>
      <w:rPr>
        <w:rFonts w:cs="Times New Roman"/>
      </w:rPr>
    </w:lvl>
    <w:lvl w:ilvl="4" w:tentative="0">
      <w:start w:val="1"/>
      <w:numFmt w:val="lowerLetter"/>
      <w:lvlText w:val="%5)"/>
      <w:lvlJc w:val="left"/>
      <w:pPr>
        <w:ind w:left="2655" w:hanging="420"/>
      </w:pPr>
      <w:rPr>
        <w:rFonts w:cs="Times New Roman"/>
      </w:rPr>
    </w:lvl>
    <w:lvl w:ilvl="5" w:tentative="0">
      <w:start w:val="1"/>
      <w:numFmt w:val="lowerRoman"/>
      <w:lvlText w:val="%6."/>
      <w:lvlJc w:val="right"/>
      <w:pPr>
        <w:ind w:left="3075" w:hanging="420"/>
      </w:pPr>
      <w:rPr>
        <w:rFonts w:cs="Times New Roman"/>
      </w:rPr>
    </w:lvl>
    <w:lvl w:ilvl="6" w:tentative="0">
      <w:start w:val="1"/>
      <w:numFmt w:val="decimal"/>
      <w:lvlText w:val="%7."/>
      <w:lvlJc w:val="left"/>
      <w:pPr>
        <w:ind w:left="3495" w:hanging="420"/>
      </w:pPr>
      <w:rPr>
        <w:rFonts w:cs="Times New Roman"/>
      </w:rPr>
    </w:lvl>
    <w:lvl w:ilvl="7" w:tentative="0">
      <w:start w:val="1"/>
      <w:numFmt w:val="lowerLetter"/>
      <w:lvlText w:val="%8)"/>
      <w:lvlJc w:val="left"/>
      <w:pPr>
        <w:ind w:left="3915" w:hanging="420"/>
      </w:pPr>
      <w:rPr>
        <w:rFonts w:cs="Times New Roman"/>
      </w:rPr>
    </w:lvl>
    <w:lvl w:ilvl="8" w:tentative="0">
      <w:start w:val="1"/>
      <w:numFmt w:val="lowerRoman"/>
      <w:lvlText w:val="%9."/>
      <w:lvlJc w:val="right"/>
      <w:pPr>
        <w:ind w:left="4335" w:hanging="420"/>
      </w:pPr>
      <w:rPr>
        <w:rFonts w:cs="Times New Roman"/>
      </w:rPr>
    </w:lvl>
  </w:abstractNum>
  <w:abstractNum w:abstractNumId="5">
    <w:nsid w:val="3BF726DF"/>
    <w:multiLevelType w:val="multilevel"/>
    <w:tmpl w:val="3BF726DF"/>
    <w:lvl w:ilvl="0" w:tentative="0">
      <w:start w:val="1"/>
      <w:numFmt w:val="decimal"/>
      <w:lvlText w:val="%1、"/>
      <w:lvlJc w:val="left"/>
      <w:pPr>
        <w:ind w:left="1080" w:hanging="360"/>
      </w:pPr>
      <w:rPr>
        <w:rFonts w:hint="default" w:hAnsi="宋体"/>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6">
    <w:nsid w:val="40B53140"/>
    <w:multiLevelType w:val="multilevel"/>
    <w:tmpl w:val="40B53140"/>
    <w:lvl w:ilvl="0" w:tentative="0">
      <w:start w:val="5"/>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4F17A52"/>
    <w:multiLevelType w:val="multilevel"/>
    <w:tmpl w:val="54F17A52"/>
    <w:lvl w:ilvl="0" w:tentative="0">
      <w:start w:val="10"/>
      <w:numFmt w:val="japaneseCounting"/>
      <w:lvlText w:val="%1、"/>
      <w:lvlJc w:val="left"/>
      <w:pPr>
        <w:ind w:left="720" w:hanging="72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2E041C6"/>
    <w:multiLevelType w:val="multilevel"/>
    <w:tmpl w:val="72E041C6"/>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7E3215CC"/>
    <w:multiLevelType w:val="multilevel"/>
    <w:tmpl w:val="7E3215CC"/>
    <w:lvl w:ilvl="0" w:tentative="0">
      <w:start w:val="5"/>
      <w:numFmt w:val="japaneseCounting"/>
      <w:lvlText w:val="%1、"/>
      <w:lvlJc w:val="left"/>
      <w:pPr>
        <w:ind w:left="510" w:hanging="51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
  </w:num>
  <w:num w:numId="3">
    <w:abstractNumId w:val="3"/>
  </w:num>
  <w:num w:numId="4">
    <w:abstractNumId w:val="6"/>
  </w:num>
  <w:num w:numId="5">
    <w:abstractNumId w:val="9"/>
  </w:num>
  <w:num w:numId="6">
    <w:abstractNumId w:val="0"/>
  </w:num>
  <w:num w:numId="7">
    <w:abstractNumId w:val="2"/>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3C9"/>
    <w:rsid w:val="000008A1"/>
    <w:rsid w:val="00000972"/>
    <w:rsid w:val="00001B1D"/>
    <w:rsid w:val="00002B01"/>
    <w:rsid w:val="00004045"/>
    <w:rsid w:val="000053C9"/>
    <w:rsid w:val="00006213"/>
    <w:rsid w:val="00006FFA"/>
    <w:rsid w:val="0000751B"/>
    <w:rsid w:val="000078F3"/>
    <w:rsid w:val="00007994"/>
    <w:rsid w:val="0001076B"/>
    <w:rsid w:val="00010949"/>
    <w:rsid w:val="00011095"/>
    <w:rsid w:val="0001521A"/>
    <w:rsid w:val="00016216"/>
    <w:rsid w:val="000173D0"/>
    <w:rsid w:val="000174E1"/>
    <w:rsid w:val="000179C8"/>
    <w:rsid w:val="00017A33"/>
    <w:rsid w:val="000204F1"/>
    <w:rsid w:val="000210EC"/>
    <w:rsid w:val="0002137F"/>
    <w:rsid w:val="000227ED"/>
    <w:rsid w:val="000272C3"/>
    <w:rsid w:val="00027757"/>
    <w:rsid w:val="00030EB8"/>
    <w:rsid w:val="00030F32"/>
    <w:rsid w:val="0003109D"/>
    <w:rsid w:val="00031E95"/>
    <w:rsid w:val="0003215E"/>
    <w:rsid w:val="00033151"/>
    <w:rsid w:val="00033BFF"/>
    <w:rsid w:val="000347C2"/>
    <w:rsid w:val="00034B93"/>
    <w:rsid w:val="00034D54"/>
    <w:rsid w:val="00034E5B"/>
    <w:rsid w:val="00034E7D"/>
    <w:rsid w:val="00035B12"/>
    <w:rsid w:val="00037A73"/>
    <w:rsid w:val="000403AB"/>
    <w:rsid w:val="00042C39"/>
    <w:rsid w:val="00042DEE"/>
    <w:rsid w:val="00043C55"/>
    <w:rsid w:val="00043CB8"/>
    <w:rsid w:val="00045140"/>
    <w:rsid w:val="000456E4"/>
    <w:rsid w:val="000461BD"/>
    <w:rsid w:val="00046C59"/>
    <w:rsid w:val="00046EDC"/>
    <w:rsid w:val="000501BB"/>
    <w:rsid w:val="00050592"/>
    <w:rsid w:val="000511A7"/>
    <w:rsid w:val="00052DEE"/>
    <w:rsid w:val="000569B7"/>
    <w:rsid w:val="00056AAC"/>
    <w:rsid w:val="00057558"/>
    <w:rsid w:val="0006080C"/>
    <w:rsid w:val="00060CB2"/>
    <w:rsid w:val="00061D2A"/>
    <w:rsid w:val="00062435"/>
    <w:rsid w:val="00062A00"/>
    <w:rsid w:val="00063DEB"/>
    <w:rsid w:val="0006582D"/>
    <w:rsid w:val="00072160"/>
    <w:rsid w:val="00075548"/>
    <w:rsid w:val="00076F87"/>
    <w:rsid w:val="000770D3"/>
    <w:rsid w:val="00077346"/>
    <w:rsid w:val="0008042C"/>
    <w:rsid w:val="0008068B"/>
    <w:rsid w:val="000814B2"/>
    <w:rsid w:val="000820F6"/>
    <w:rsid w:val="000826D6"/>
    <w:rsid w:val="00082B1E"/>
    <w:rsid w:val="000902F2"/>
    <w:rsid w:val="00091155"/>
    <w:rsid w:val="00091918"/>
    <w:rsid w:val="0009262D"/>
    <w:rsid w:val="00092E4E"/>
    <w:rsid w:val="000931FE"/>
    <w:rsid w:val="00093D44"/>
    <w:rsid w:val="000942E0"/>
    <w:rsid w:val="00096B1A"/>
    <w:rsid w:val="00096CD9"/>
    <w:rsid w:val="000A32A8"/>
    <w:rsid w:val="000A3490"/>
    <w:rsid w:val="000A5132"/>
    <w:rsid w:val="000A5E7E"/>
    <w:rsid w:val="000A76A3"/>
    <w:rsid w:val="000B305F"/>
    <w:rsid w:val="000B3B6B"/>
    <w:rsid w:val="000B4778"/>
    <w:rsid w:val="000B4E6F"/>
    <w:rsid w:val="000B61C8"/>
    <w:rsid w:val="000C013F"/>
    <w:rsid w:val="000C184A"/>
    <w:rsid w:val="000C1B40"/>
    <w:rsid w:val="000C29E9"/>
    <w:rsid w:val="000C29FD"/>
    <w:rsid w:val="000C3721"/>
    <w:rsid w:val="000C39E9"/>
    <w:rsid w:val="000C60C4"/>
    <w:rsid w:val="000C61D8"/>
    <w:rsid w:val="000C6340"/>
    <w:rsid w:val="000C6457"/>
    <w:rsid w:val="000D06E6"/>
    <w:rsid w:val="000D119E"/>
    <w:rsid w:val="000D2D6D"/>
    <w:rsid w:val="000D408F"/>
    <w:rsid w:val="000D442C"/>
    <w:rsid w:val="000D5304"/>
    <w:rsid w:val="000D5F31"/>
    <w:rsid w:val="000D677C"/>
    <w:rsid w:val="000D6F8C"/>
    <w:rsid w:val="000E051B"/>
    <w:rsid w:val="000E0864"/>
    <w:rsid w:val="000E0A1B"/>
    <w:rsid w:val="000E0AFE"/>
    <w:rsid w:val="000E2A30"/>
    <w:rsid w:val="000E4E78"/>
    <w:rsid w:val="000E545D"/>
    <w:rsid w:val="000E5E31"/>
    <w:rsid w:val="000E6341"/>
    <w:rsid w:val="000E6578"/>
    <w:rsid w:val="000F09A8"/>
    <w:rsid w:val="000F178F"/>
    <w:rsid w:val="000F2E4B"/>
    <w:rsid w:val="000F3381"/>
    <w:rsid w:val="000F467F"/>
    <w:rsid w:val="000F4D22"/>
    <w:rsid w:val="000F50E8"/>
    <w:rsid w:val="000F626F"/>
    <w:rsid w:val="000F7E99"/>
    <w:rsid w:val="00101579"/>
    <w:rsid w:val="00103358"/>
    <w:rsid w:val="00105678"/>
    <w:rsid w:val="001068E3"/>
    <w:rsid w:val="00106A42"/>
    <w:rsid w:val="00106FB7"/>
    <w:rsid w:val="00112831"/>
    <w:rsid w:val="00115774"/>
    <w:rsid w:val="001165CC"/>
    <w:rsid w:val="00117F98"/>
    <w:rsid w:val="00120F4C"/>
    <w:rsid w:val="00121943"/>
    <w:rsid w:val="00122807"/>
    <w:rsid w:val="00123D93"/>
    <w:rsid w:val="00123F6B"/>
    <w:rsid w:val="00125383"/>
    <w:rsid w:val="001265AD"/>
    <w:rsid w:val="00127439"/>
    <w:rsid w:val="00132B5A"/>
    <w:rsid w:val="0013363A"/>
    <w:rsid w:val="0013417C"/>
    <w:rsid w:val="00134594"/>
    <w:rsid w:val="001348BC"/>
    <w:rsid w:val="00134B87"/>
    <w:rsid w:val="0014258A"/>
    <w:rsid w:val="00143405"/>
    <w:rsid w:val="00144853"/>
    <w:rsid w:val="00144BCB"/>
    <w:rsid w:val="001465D5"/>
    <w:rsid w:val="0014732A"/>
    <w:rsid w:val="00147719"/>
    <w:rsid w:val="001503C0"/>
    <w:rsid w:val="00151A6F"/>
    <w:rsid w:val="001536B3"/>
    <w:rsid w:val="00154A9D"/>
    <w:rsid w:val="00155394"/>
    <w:rsid w:val="001577A7"/>
    <w:rsid w:val="00157877"/>
    <w:rsid w:val="00161532"/>
    <w:rsid w:val="00163711"/>
    <w:rsid w:val="0016386A"/>
    <w:rsid w:val="0016536E"/>
    <w:rsid w:val="001655B1"/>
    <w:rsid w:val="001673E8"/>
    <w:rsid w:val="00167C1B"/>
    <w:rsid w:val="00170342"/>
    <w:rsid w:val="00170D04"/>
    <w:rsid w:val="00171142"/>
    <w:rsid w:val="0017369D"/>
    <w:rsid w:val="00174D79"/>
    <w:rsid w:val="00174ED8"/>
    <w:rsid w:val="00175756"/>
    <w:rsid w:val="001760ED"/>
    <w:rsid w:val="00177C02"/>
    <w:rsid w:val="00180A0D"/>
    <w:rsid w:val="00180BD5"/>
    <w:rsid w:val="00181576"/>
    <w:rsid w:val="001821A3"/>
    <w:rsid w:val="00184EE0"/>
    <w:rsid w:val="001867BA"/>
    <w:rsid w:val="00187272"/>
    <w:rsid w:val="00190E64"/>
    <w:rsid w:val="0019297E"/>
    <w:rsid w:val="00195E3F"/>
    <w:rsid w:val="001975A2"/>
    <w:rsid w:val="001A10E1"/>
    <w:rsid w:val="001A3C7A"/>
    <w:rsid w:val="001A5956"/>
    <w:rsid w:val="001A5C31"/>
    <w:rsid w:val="001A719B"/>
    <w:rsid w:val="001A76A6"/>
    <w:rsid w:val="001A78B4"/>
    <w:rsid w:val="001B2C0C"/>
    <w:rsid w:val="001B2D84"/>
    <w:rsid w:val="001B318F"/>
    <w:rsid w:val="001B32AF"/>
    <w:rsid w:val="001B3ABD"/>
    <w:rsid w:val="001B53CB"/>
    <w:rsid w:val="001B59E8"/>
    <w:rsid w:val="001B6DBE"/>
    <w:rsid w:val="001B6EF4"/>
    <w:rsid w:val="001C0EE6"/>
    <w:rsid w:val="001C481B"/>
    <w:rsid w:val="001C4C78"/>
    <w:rsid w:val="001C54A6"/>
    <w:rsid w:val="001C6255"/>
    <w:rsid w:val="001D0005"/>
    <w:rsid w:val="001D0D44"/>
    <w:rsid w:val="001D2ECD"/>
    <w:rsid w:val="001D3F19"/>
    <w:rsid w:val="001D71DF"/>
    <w:rsid w:val="001D790C"/>
    <w:rsid w:val="001E2CFA"/>
    <w:rsid w:val="001E3123"/>
    <w:rsid w:val="001E36CA"/>
    <w:rsid w:val="001E5025"/>
    <w:rsid w:val="001E66AA"/>
    <w:rsid w:val="001E6B28"/>
    <w:rsid w:val="001E79AD"/>
    <w:rsid w:val="001F1323"/>
    <w:rsid w:val="001F1A29"/>
    <w:rsid w:val="001F300B"/>
    <w:rsid w:val="001F60DA"/>
    <w:rsid w:val="001F6712"/>
    <w:rsid w:val="001F6C4F"/>
    <w:rsid w:val="001F6EBF"/>
    <w:rsid w:val="001F7714"/>
    <w:rsid w:val="00200103"/>
    <w:rsid w:val="002014F0"/>
    <w:rsid w:val="00201621"/>
    <w:rsid w:val="00202457"/>
    <w:rsid w:val="00203BD6"/>
    <w:rsid w:val="00203F38"/>
    <w:rsid w:val="002044AE"/>
    <w:rsid w:val="00205C76"/>
    <w:rsid w:val="002065DA"/>
    <w:rsid w:val="00206A49"/>
    <w:rsid w:val="00207268"/>
    <w:rsid w:val="00214CEA"/>
    <w:rsid w:val="0021581C"/>
    <w:rsid w:val="002171FD"/>
    <w:rsid w:val="0021721E"/>
    <w:rsid w:val="00217B6D"/>
    <w:rsid w:val="00220F87"/>
    <w:rsid w:val="00221340"/>
    <w:rsid w:val="00221785"/>
    <w:rsid w:val="00222069"/>
    <w:rsid w:val="00222EDE"/>
    <w:rsid w:val="002245F1"/>
    <w:rsid w:val="00225E6B"/>
    <w:rsid w:val="0022608A"/>
    <w:rsid w:val="002278DD"/>
    <w:rsid w:val="00230401"/>
    <w:rsid w:val="00230E8F"/>
    <w:rsid w:val="002312E0"/>
    <w:rsid w:val="00233492"/>
    <w:rsid w:val="00234A28"/>
    <w:rsid w:val="00235381"/>
    <w:rsid w:val="002353EA"/>
    <w:rsid w:val="00236065"/>
    <w:rsid w:val="00240826"/>
    <w:rsid w:val="00241F44"/>
    <w:rsid w:val="0024448E"/>
    <w:rsid w:val="00246EF0"/>
    <w:rsid w:val="0024756C"/>
    <w:rsid w:val="00247639"/>
    <w:rsid w:val="00254BEF"/>
    <w:rsid w:val="002559B9"/>
    <w:rsid w:val="00255B3D"/>
    <w:rsid w:val="0025749F"/>
    <w:rsid w:val="002574A8"/>
    <w:rsid w:val="00260093"/>
    <w:rsid w:val="002638E4"/>
    <w:rsid w:val="002641B1"/>
    <w:rsid w:val="00266FB2"/>
    <w:rsid w:val="002670CE"/>
    <w:rsid w:val="00267571"/>
    <w:rsid w:val="00267FC3"/>
    <w:rsid w:val="00270ED8"/>
    <w:rsid w:val="002734D5"/>
    <w:rsid w:val="00274DEF"/>
    <w:rsid w:val="00274F04"/>
    <w:rsid w:val="00275815"/>
    <w:rsid w:val="00275D2D"/>
    <w:rsid w:val="002770C1"/>
    <w:rsid w:val="002814B9"/>
    <w:rsid w:val="00283CD5"/>
    <w:rsid w:val="002855CA"/>
    <w:rsid w:val="00286AD1"/>
    <w:rsid w:val="00286AEF"/>
    <w:rsid w:val="00287B1D"/>
    <w:rsid w:val="0029243B"/>
    <w:rsid w:val="002938BC"/>
    <w:rsid w:val="00295C92"/>
    <w:rsid w:val="0029757F"/>
    <w:rsid w:val="00297F87"/>
    <w:rsid w:val="002A014F"/>
    <w:rsid w:val="002A0409"/>
    <w:rsid w:val="002A0601"/>
    <w:rsid w:val="002A1E86"/>
    <w:rsid w:val="002A2FB1"/>
    <w:rsid w:val="002A32A8"/>
    <w:rsid w:val="002A41CC"/>
    <w:rsid w:val="002A45E2"/>
    <w:rsid w:val="002A4705"/>
    <w:rsid w:val="002A72D5"/>
    <w:rsid w:val="002B006F"/>
    <w:rsid w:val="002B12FC"/>
    <w:rsid w:val="002B15CD"/>
    <w:rsid w:val="002B4423"/>
    <w:rsid w:val="002B7B1E"/>
    <w:rsid w:val="002B7F07"/>
    <w:rsid w:val="002B7F3D"/>
    <w:rsid w:val="002C012D"/>
    <w:rsid w:val="002C0BA4"/>
    <w:rsid w:val="002C2FB6"/>
    <w:rsid w:val="002C5894"/>
    <w:rsid w:val="002C653B"/>
    <w:rsid w:val="002C675D"/>
    <w:rsid w:val="002C7F29"/>
    <w:rsid w:val="002D2496"/>
    <w:rsid w:val="002D3B72"/>
    <w:rsid w:val="002D4525"/>
    <w:rsid w:val="002D4BBD"/>
    <w:rsid w:val="002D5109"/>
    <w:rsid w:val="002D590B"/>
    <w:rsid w:val="002D6B35"/>
    <w:rsid w:val="002E0AFD"/>
    <w:rsid w:val="002E1294"/>
    <w:rsid w:val="002E29CB"/>
    <w:rsid w:val="002E3A14"/>
    <w:rsid w:val="002E53B1"/>
    <w:rsid w:val="002E5A74"/>
    <w:rsid w:val="002E7728"/>
    <w:rsid w:val="002E79B0"/>
    <w:rsid w:val="002F00AD"/>
    <w:rsid w:val="002F00D1"/>
    <w:rsid w:val="002F0D0B"/>
    <w:rsid w:val="002F0FC5"/>
    <w:rsid w:val="002F1F3C"/>
    <w:rsid w:val="002F2555"/>
    <w:rsid w:val="002F2784"/>
    <w:rsid w:val="002F3A1C"/>
    <w:rsid w:val="002F3CDE"/>
    <w:rsid w:val="002F4610"/>
    <w:rsid w:val="002F5DEA"/>
    <w:rsid w:val="002F7C35"/>
    <w:rsid w:val="003001AC"/>
    <w:rsid w:val="0030044F"/>
    <w:rsid w:val="00300B6C"/>
    <w:rsid w:val="0030135D"/>
    <w:rsid w:val="00301406"/>
    <w:rsid w:val="00305530"/>
    <w:rsid w:val="003071D0"/>
    <w:rsid w:val="00310A8C"/>
    <w:rsid w:val="00314B62"/>
    <w:rsid w:val="003153EA"/>
    <w:rsid w:val="00315720"/>
    <w:rsid w:val="0031704F"/>
    <w:rsid w:val="003210FD"/>
    <w:rsid w:val="00322FE0"/>
    <w:rsid w:val="00324111"/>
    <w:rsid w:val="00327D02"/>
    <w:rsid w:val="003307E7"/>
    <w:rsid w:val="00330B36"/>
    <w:rsid w:val="003326A4"/>
    <w:rsid w:val="00332E49"/>
    <w:rsid w:val="003344C3"/>
    <w:rsid w:val="00335A97"/>
    <w:rsid w:val="0033656B"/>
    <w:rsid w:val="00340D16"/>
    <w:rsid w:val="00341121"/>
    <w:rsid w:val="00341FF3"/>
    <w:rsid w:val="00343A78"/>
    <w:rsid w:val="00343E4A"/>
    <w:rsid w:val="00344DE1"/>
    <w:rsid w:val="003507ED"/>
    <w:rsid w:val="003511FB"/>
    <w:rsid w:val="003518AB"/>
    <w:rsid w:val="0035321E"/>
    <w:rsid w:val="003534CD"/>
    <w:rsid w:val="0035550E"/>
    <w:rsid w:val="00355542"/>
    <w:rsid w:val="0035557C"/>
    <w:rsid w:val="00357698"/>
    <w:rsid w:val="00357DC5"/>
    <w:rsid w:val="003610C2"/>
    <w:rsid w:val="003626B1"/>
    <w:rsid w:val="0036279D"/>
    <w:rsid w:val="00362AE8"/>
    <w:rsid w:val="003643AD"/>
    <w:rsid w:val="003653A3"/>
    <w:rsid w:val="003659D4"/>
    <w:rsid w:val="00366455"/>
    <w:rsid w:val="003665D0"/>
    <w:rsid w:val="003730CD"/>
    <w:rsid w:val="00376C11"/>
    <w:rsid w:val="003771CD"/>
    <w:rsid w:val="00380512"/>
    <w:rsid w:val="00380E14"/>
    <w:rsid w:val="00381C1B"/>
    <w:rsid w:val="003827BF"/>
    <w:rsid w:val="0038333A"/>
    <w:rsid w:val="00384585"/>
    <w:rsid w:val="003868DE"/>
    <w:rsid w:val="00386906"/>
    <w:rsid w:val="0039212F"/>
    <w:rsid w:val="0039398E"/>
    <w:rsid w:val="00393F63"/>
    <w:rsid w:val="003957B2"/>
    <w:rsid w:val="00396F17"/>
    <w:rsid w:val="003A1541"/>
    <w:rsid w:val="003A1932"/>
    <w:rsid w:val="003A2CAE"/>
    <w:rsid w:val="003A3434"/>
    <w:rsid w:val="003A3993"/>
    <w:rsid w:val="003A4934"/>
    <w:rsid w:val="003A539A"/>
    <w:rsid w:val="003A71C8"/>
    <w:rsid w:val="003A7389"/>
    <w:rsid w:val="003A7EF6"/>
    <w:rsid w:val="003B14AE"/>
    <w:rsid w:val="003B20F5"/>
    <w:rsid w:val="003B24B7"/>
    <w:rsid w:val="003B258A"/>
    <w:rsid w:val="003B28A6"/>
    <w:rsid w:val="003B2D3E"/>
    <w:rsid w:val="003B2EA4"/>
    <w:rsid w:val="003B4D7E"/>
    <w:rsid w:val="003B4FD7"/>
    <w:rsid w:val="003B55D6"/>
    <w:rsid w:val="003B5A02"/>
    <w:rsid w:val="003B5DF4"/>
    <w:rsid w:val="003B6604"/>
    <w:rsid w:val="003B6684"/>
    <w:rsid w:val="003C158C"/>
    <w:rsid w:val="003C1CAC"/>
    <w:rsid w:val="003C21F0"/>
    <w:rsid w:val="003C2A0F"/>
    <w:rsid w:val="003C4442"/>
    <w:rsid w:val="003C5E4E"/>
    <w:rsid w:val="003D047B"/>
    <w:rsid w:val="003D32BA"/>
    <w:rsid w:val="003D3F62"/>
    <w:rsid w:val="003D6DEB"/>
    <w:rsid w:val="003D7445"/>
    <w:rsid w:val="003D7CE2"/>
    <w:rsid w:val="003E03B7"/>
    <w:rsid w:val="003E0DB2"/>
    <w:rsid w:val="003E1FC8"/>
    <w:rsid w:val="003E3170"/>
    <w:rsid w:val="003E3BFD"/>
    <w:rsid w:val="003E5101"/>
    <w:rsid w:val="003E5C98"/>
    <w:rsid w:val="003E6A42"/>
    <w:rsid w:val="003F18D4"/>
    <w:rsid w:val="003F1E52"/>
    <w:rsid w:val="003F1EF3"/>
    <w:rsid w:val="003F51E1"/>
    <w:rsid w:val="0040002F"/>
    <w:rsid w:val="00401D85"/>
    <w:rsid w:val="00404D45"/>
    <w:rsid w:val="00405F1D"/>
    <w:rsid w:val="0040642D"/>
    <w:rsid w:val="0040675B"/>
    <w:rsid w:val="00407C22"/>
    <w:rsid w:val="004116F3"/>
    <w:rsid w:val="00411F6F"/>
    <w:rsid w:val="0041221F"/>
    <w:rsid w:val="0041408D"/>
    <w:rsid w:val="0041466C"/>
    <w:rsid w:val="00416F98"/>
    <w:rsid w:val="00417090"/>
    <w:rsid w:val="004231F9"/>
    <w:rsid w:val="00423A0F"/>
    <w:rsid w:val="00423FF2"/>
    <w:rsid w:val="004248DF"/>
    <w:rsid w:val="00425D01"/>
    <w:rsid w:val="00426015"/>
    <w:rsid w:val="00427C98"/>
    <w:rsid w:val="00427FEF"/>
    <w:rsid w:val="0043366D"/>
    <w:rsid w:val="00434A14"/>
    <w:rsid w:val="00435A38"/>
    <w:rsid w:val="00435AFA"/>
    <w:rsid w:val="004375F8"/>
    <w:rsid w:val="00441FEB"/>
    <w:rsid w:val="00442956"/>
    <w:rsid w:val="00443B68"/>
    <w:rsid w:val="0044621A"/>
    <w:rsid w:val="00450487"/>
    <w:rsid w:val="004543B2"/>
    <w:rsid w:val="00454F36"/>
    <w:rsid w:val="00455F2C"/>
    <w:rsid w:val="0046006F"/>
    <w:rsid w:val="00461823"/>
    <w:rsid w:val="0046466B"/>
    <w:rsid w:val="00466CC8"/>
    <w:rsid w:val="00467D54"/>
    <w:rsid w:val="00471DE9"/>
    <w:rsid w:val="004734BE"/>
    <w:rsid w:val="004736F5"/>
    <w:rsid w:val="00474C09"/>
    <w:rsid w:val="00475019"/>
    <w:rsid w:val="00477102"/>
    <w:rsid w:val="004776B8"/>
    <w:rsid w:val="00482C96"/>
    <w:rsid w:val="00482E0F"/>
    <w:rsid w:val="00483C17"/>
    <w:rsid w:val="004851F3"/>
    <w:rsid w:val="00485D74"/>
    <w:rsid w:val="00487B5B"/>
    <w:rsid w:val="00490445"/>
    <w:rsid w:val="0049098B"/>
    <w:rsid w:val="004910CD"/>
    <w:rsid w:val="00492DD2"/>
    <w:rsid w:val="00496BC6"/>
    <w:rsid w:val="00497411"/>
    <w:rsid w:val="004A1651"/>
    <w:rsid w:val="004A1F59"/>
    <w:rsid w:val="004A26C7"/>
    <w:rsid w:val="004A3B13"/>
    <w:rsid w:val="004A480A"/>
    <w:rsid w:val="004A52D3"/>
    <w:rsid w:val="004A5C7A"/>
    <w:rsid w:val="004A60C7"/>
    <w:rsid w:val="004A62C9"/>
    <w:rsid w:val="004A67F2"/>
    <w:rsid w:val="004A6FDD"/>
    <w:rsid w:val="004A74A4"/>
    <w:rsid w:val="004A77C5"/>
    <w:rsid w:val="004B35FC"/>
    <w:rsid w:val="004B570B"/>
    <w:rsid w:val="004B7D40"/>
    <w:rsid w:val="004C05D9"/>
    <w:rsid w:val="004C1895"/>
    <w:rsid w:val="004C1F4D"/>
    <w:rsid w:val="004C2704"/>
    <w:rsid w:val="004C2910"/>
    <w:rsid w:val="004C32AA"/>
    <w:rsid w:val="004C41BC"/>
    <w:rsid w:val="004C4363"/>
    <w:rsid w:val="004C4C5C"/>
    <w:rsid w:val="004C5DBB"/>
    <w:rsid w:val="004C5DF7"/>
    <w:rsid w:val="004C6425"/>
    <w:rsid w:val="004C7114"/>
    <w:rsid w:val="004C775F"/>
    <w:rsid w:val="004D0F8E"/>
    <w:rsid w:val="004D300C"/>
    <w:rsid w:val="004D6A43"/>
    <w:rsid w:val="004E1BF4"/>
    <w:rsid w:val="004E3939"/>
    <w:rsid w:val="004E3FBE"/>
    <w:rsid w:val="004E4345"/>
    <w:rsid w:val="004E4643"/>
    <w:rsid w:val="004F08A3"/>
    <w:rsid w:val="004F0CC3"/>
    <w:rsid w:val="004F235B"/>
    <w:rsid w:val="004F2E62"/>
    <w:rsid w:val="004F3B36"/>
    <w:rsid w:val="004F4332"/>
    <w:rsid w:val="004F5D4B"/>
    <w:rsid w:val="004F7415"/>
    <w:rsid w:val="004F7621"/>
    <w:rsid w:val="00500F05"/>
    <w:rsid w:val="005011F0"/>
    <w:rsid w:val="005014DA"/>
    <w:rsid w:val="00501DA1"/>
    <w:rsid w:val="00501E42"/>
    <w:rsid w:val="00502F12"/>
    <w:rsid w:val="005043FC"/>
    <w:rsid w:val="005063ED"/>
    <w:rsid w:val="00506FC6"/>
    <w:rsid w:val="00507DED"/>
    <w:rsid w:val="005104FD"/>
    <w:rsid w:val="005108A0"/>
    <w:rsid w:val="00511313"/>
    <w:rsid w:val="00512583"/>
    <w:rsid w:val="00513AC6"/>
    <w:rsid w:val="00514BB9"/>
    <w:rsid w:val="005153C6"/>
    <w:rsid w:val="00515EBB"/>
    <w:rsid w:val="00516A5F"/>
    <w:rsid w:val="00522057"/>
    <w:rsid w:val="005223D4"/>
    <w:rsid w:val="00522DCD"/>
    <w:rsid w:val="00522EE4"/>
    <w:rsid w:val="00525D78"/>
    <w:rsid w:val="005307C1"/>
    <w:rsid w:val="005318A1"/>
    <w:rsid w:val="005325A2"/>
    <w:rsid w:val="005364CD"/>
    <w:rsid w:val="005364E2"/>
    <w:rsid w:val="00537964"/>
    <w:rsid w:val="00537BB7"/>
    <w:rsid w:val="005426FD"/>
    <w:rsid w:val="00542EB9"/>
    <w:rsid w:val="00543D75"/>
    <w:rsid w:val="0054740A"/>
    <w:rsid w:val="00550EE7"/>
    <w:rsid w:val="005525C8"/>
    <w:rsid w:val="00553397"/>
    <w:rsid w:val="00554347"/>
    <w:rsid w:val="00557171"/>
    <w:rsid w:val="0056030F"/>
    <w:rsid w:val="0056054C"/>
    <w:rsid w:val="0056113E"/>
    <w:rsid w:val="00561280"/>
    <w:rsid w:val="00561A53"/>
    <w:rsid w:val="00562A66"/>
    <w:rsid w:val="005634C8"/>
    <w:rsid w:val="00563DC0"/>
    <w:rsid w:val="00564C00"/>
    <w:rsid w:val="005655C9"/>
    <w:rsid w:val="005663B7"/>
    <w:rsid w:val="005711B4"/>
    <w:rsid w:val="0057135B"/>
    <w:rsid w:val="00571619"/>
    <w:rsid w:val="00571FE2"/>
    <w:rsid w:val="00572BEA"/>
    <w:rsid w:val="00573E8B"/>
    <w:rsid w:val="00574214"/>
    <w:rsid w:val="00574CEF"/>
    <w:rsid w:val="00575AE7"/>
    <w:rsid w:val="00577AB2"/>
    <w:rsid w:val="005816D2"/>
    <w:rsid w:val="00581C2A"/>
    <w:rsid w:val="00581C59"/>
    <w:rsid w:val="00581EE5"/>
    <w:rsid w:val="00582273"/>
    <w:rsid w:val="00583464"/>
    <w:rsid w:val="005840A1"/>
    <w:rsid w:val="0058428C"/>
    <w:rsid w:val="00584640"/>
    <w:rsid w:val="00584C44"/>
    <w:rsid w:val="00585893"/>
    <w:rsid w:val="00585D03"/>
    <w:rsid w:val="00590920"/>
    <w:rsid w:val="005910AD"/>
    <w:rsid w:val="00592486"/>
    <w:rsid w:val="005940AD"/>
    <w:rsid w:val="005951B3"/>
    <w:rsid w:val="00597826"/>
    <w:rsid w:val="00597E5A"/>
    <w:rsid w:val="005A0235"/>
    <w:rsid w:val="005A1A64"/>
    <w:rsid w:val="005A1BDF"/>
    <w:rsid w:val="005A2E32"/>
    <w:rsid w:val="005A3330"/>
    <w:rsid w:val="005A357A"/>
    <w:rsid w:val="005A4B11"/>
    <w:rsid w:val="005A4FF1"/>
    <w:rsid w:val="005A6A7E"/>
    <w:rsid w:val="005B0508"/>
    <w:rsid w:val="005B122B"/>
    <w:rsid w:val="005B12E6"/>
    <w:rsid w:val="005B1BA2"/>
    <w:rsid w:val="005B23DF"/>
    <w:rsid w:val="005B342C"/>
    <w:rsid w:val="005B356C"/>
    <w:rsid w:val="005B4482"/>
    <w:rsid w:val="005B725C"/>
    <w:rsid w:val="005B7F16"/>
    <w:rsid w:val="005C1A4D"/>
    <w:rsid w:val="005C2D39"/>
    <w:rsid w:val="005C3CB0"/>
    <w:rsid w:val="005C4ABF"/>
    <w:rsid w:val="005D4D54"/>
    <w:rsid w:val="005D4FAE"/>
    <w:rsid w:val="005D5449"/>
    <w:rsid w:val="005D646B"/>
    <w:rsid w:val="005D6C7D"/>
    <w:rsid w:val="005D781F"/>
    <w:rsid w:val="005E0CF9"/>
    <w:rsid w:val="005E11E6"/>
    <w:rsid w:val="005E14F4"/>
    <w:rsid w:val="005E47DE"/>
    <w:rsid w:val="005E5EF7"/>
    <w:rsid w:val="005E6420"/>
    <w:rsid w:val="005F0267"/>
    <w:rsid w:val="005F0AA4"/>
    <w:rsid w:val="005F27AC"/>
    <w:rsid w:val="005F315E"/>
    <w:rsid w:val="005F337D"/>
    <w:rsid w:val="005F6905"/>
    <w:rsid w:val="005F77D0"/>
    <w:rsid w:val="00600777"/>
    <w:rsid w:val="006015D3"/>
    <w:rsid w:val="006017B7"/>
    <w:rsid w:val="0060223D"/>
    <w:rsid w:val="00603673"/>
    <w:rsid w:val="0060389C"/>
    <w:rsid w:val="00604CA4"/>
    <w:rsid w:val="006051E6"/>
    <w:rsid w:val="00605C1C"/>
    <w:rsid w:val="00606F11"/>
    <w:rsid w:val="00606FE8"/>
    <w:rsid w:val="00607F89"/>
    <w:rsid w:val="00610163"/>
    <w:rsid w:val="00610393"/>
    <w:rsid w:val="00610F70"/>
    <w:rsid w:val="00611EC9"/>
    <w:rsid w:val="00612C13"/>
    <w:rsid w:val="00615340"/>
    <w:rsid w:val="0061640B"/>
    <w:rsid w:val="0061683A"/>
    <w:rsid w:val="00622197"/>
    <w:rsid w:val="00624B44"/>
    <w:rsid w:val="00625407"/>
    <w:rsid w:val="00625DC0"/>
    <w:rsid w:val="00626834"/>
    <w:rsid w:val="00626CE6"/>
    <w:rsid w:val="00626EB5"/>
    <w:rsid w:val="00627D1D"/>
    <w:rsid w:val="00631BE5"/>
    <w:rsid w:val="00636209"/>
    <w:rsid w:val="006368C4"/>
    <w:rsid w:val="00640617"/>
    <w:rsid w:val="00640BF9"/>
    <w:rsid w:val="00644741"/>
    <w:rsid w:val="0064726F"/>
    <w:rsid w:val="00647A73"/>
    <w:rsid w:val="0065256F"/>
    <w:rsid w:val="00652B77"/>
    <w:rsid w:val="0065625E"/>
    <w:rsid w:val="0065724E"/>
    <w:rsid w:val="00661298"/>
    <w:rsid w:val="00662A57"/>
    <w:rsid w:val="00664AD0"/>
    <w:rsid w:val="00665FFF"/>
    <w:rsid w:val="006672B4"/>
    <w:rsid w:val="00670E21"/>
    <w:rsid w:val="006712A5"/>
    <w:rsid w:val="00671821"/>
    <w:rsid w:val="00674B49"/>
    <w:rsid w:val="00676585"/>
    <w:rsid w:val="00677AB9"/>
    <w:rsid w:val="00680E80"/>
    <w:rsid w:val="00681BB2"/>
    <w:rsid w:val="00682FF0"/>
    <w:rsid w:val="0068377A"/>
    <w:rsid w:val="00683BE5"/>
    <w:rsid w:val="00685914"/>
    <w:rsid w:val="00685E7E"/>
    <w:rsid w:val="0068762A"/>
    <w:rsid w:val="00691337"/>
    <w:rsid w:val="00691F87"/>
    <w:rsid w:val="00692D0F"/>
    <w:rsid w:val="00693770"/>
    <w:rsid w:val="00697310"/>
    <w:rsid w:val="00697C94"/>
    <w:rsid w:val="006A1588"/>
    <w:rsid w:val="006A1A22"/>
    <w:rsid w:val="006A2E6C"/>
    <w:rsid w:val="006A71A6"/>
    <w:rsid w:val="006A77AD"/>
    <w:rsid w:val="006B038F"/>
    <w:rsid w:val="006B0B25"/>
    <w:rsid w:val="006B12C5"/>
    <w:rsid w:val="006B2677"/>
    <w:rsid w:val="006B339C"/>
    <w:rsid w:val="006B3DBA"/>
    <w:rsid w:val="006B4541"/>
    <w:rsid w:val="006B4F88"/>
    <w:rsid w:val="006B52A6"/>
    <w:rsid w:val="006C2197"/>
    <w:rsid w:val="006C2548"/>
    <w:rsid w:val="006C3724"/>
    <w:rsid w:val="006C684F"/>
    <w:rsid w:val="006D2373"/>
    <w:rsid w:val="006D4231"/>
    <w:rsid w:val="006D7D3B"/>
    <w:rsid w:val="006E0E44"/>
    <w:rsid w:val="006E21B4"/>
    <w:rsid w:val="006E259E"/>
    <w:rsid w:val="006E2BB8"/>
    <w:rsid w:val="006E2D4B"/>
    <w:rsid w:val="006E3AD4"/>
    <w:rsid w:val="006E40D8"/>
    <w:rsid w:val="006E4E03"/>
    <w:rsid w:val="006E5BDF"/>
    <w:rsid w:val="006E5DB9"/>
    <w:rsid w:val="006F19D2"/>
    <w:rsid w:val="006F227A"/>
    <w:rsid w:val="006F3100"/>
    <w:rsid w:val="006F3DD4"/>
    <w:rsid w:val="006F4D6B"/>
    <w:rsid w:val="006F5B84"/>
    <w:rsid w:val="006F6082"/>
    <w:rsid w:val="006F6208"/>
    <w:rsid w:val="006F6B60"/>
    <w:rsid w:val="006F7491"/>
    <w:rsid w:val="006F74D2"/>
    <w:rsid w:val="00700AF3"/>
    <w:rsid w:val="00703C58"/>
    <w:rsid w:val="007041C8"/>
    <w:rsid w:val="00704FE5"/>
    <w:rsid w:val="00705426"/>
    <w:rsid w:val="00705F34"/>
    <w:rsid w:val="00706272"/>
    <w:rsid w:val="00707AB6"/>
    <w:rsid w:val="007100E8"/>
    <w:rsid w:val="00713BBD"/>
    <w:rsid w:val="00713F12"/>
    <w:rsid w:val="007142A8"/>
    <w:rsid w:val="00714A16"/>
    <w:rsid w:val="00715683"/>
    <w:rsid w:val="00716214"/>
    <w:rsid w:val="00717428"/>
    <w:rsid w:val="0071762E"/>
    <w:rsid w:val="00717A34"/>
    <w:rsid w:val="0072105D"/>
    <w:rsid w:val="00721BD8"/>
    <w:rsid w:val="0072699E"/>
    <w:rsid w:val="00727ED3"/>
    <w:rsid w:val="00730822"/>
    <w:rsid w:val="00732608"/>
    <w:rsid w:val="00732E59"/>
    <w:rsid w:val="007338BE"/>
    <w:rsid w:val="00733C83"/>
    <w:rsid w:val="0073561F"/>
    <w:rsid w:val="00736070"/>
    <w:rsid w:val="007367E0"/>
    <w:rsid w:val="00737378"/>
    <w:rsid w:val="00740A99"/>
    <w:rsid w:val="00742A09"/>
    <w:rsid w:val="00743F10"/>
    <w:rsid w:val="0074488D"/>
    <w:rsid w:val="00746227"/>
    <w:rsid w:val="00747876"/>
    <w:rsid w:val="00750205"/>
    <w:rsid w:val="007503D6"/>
    <w:rsid w:val="007533BA"/>
    <w:rsid w:val="00753C5F"/>
    <w:rsid w:val="00755C13"/>
    <w:rsid w:val="00756F1F"/>
    <w:rsid w:val="00757013"/>
    <w:rsid w:val="007608DB"/>
    <w:rsid w:val="00761F0E"/>
    <w:rsid w:val="00762085"/>
    <w:rsid w:val="007624CE"/>
    <w:rsid w:val="007637C9"/>
    <w:rsid w:val="00763C61"/>
    <w:rsid w:val="00764E5A"/>
    <w:rsid w:val="00765C06"/>
    <w:rsid w:val="007662AB"/>
    <w:rsid w:val="00772534"/>
    <w:rsid w:val="0077256B"/>
    <w:rsid w:val="00772AA0"/>
    <w:rsid w:val="00773DCE"/>
    <w:rsid w:val="00775D24"/>
    <w:rsid w:val="00775F66"/>
    <w:rsid w:val="00776711"/>
    <w:rsid w:val="0077713B"/>
    <w:rsid w:val="007825C2"/>
    <w:rsid w:val="00782B26"/>
    <w:rsid w:val="00783113"/>
    <w:rsid w:val="0078339C"/>
    <w:rsid w:val="007839D0"/>
    <w:rsid w:val="007843BC"/>
    <w:rsid w:val="0078492F"/>
    <w:rsid w:val="007850B8"/>
    <w:rsid w:val="007860B2"/>
    <w:rsid w:val="007870C1"/>
    <w:rsid w:val="0079048A"/>
    <w:rsid w:val="0079199E"/>
    <w:rsid w:val="00791DA7"/>
    <w:rsid w:val="007951DC"/>
    <w:rsid w:val="00795FFF"/>
    <w:rsid w:val="00796D33"/>
    <w:rsid w:val="00797351"/>
    <w:rsid w:val="00797F14"/>
    <w:rsid w:val="007A0A5C"/>
    <w:rsid w:val="007A119A"/>
    <w:rsid w:val="007A12AF"/>
    <w:rsid w:val="007A2B84"/>
    <w:rsid w:val="007A38AC"/>
    <w:rsid w:val="007A558E"/>
    <w:rsid w:val="007A5C0B"/>
    <w:rsid w:val="007A65B4"/>
    <w:rsid w:val="007A68D1"/>
    <w:rsid w:val="007B27B9"/>
    <w:rsid w:val="007B36DE"/>
    <w:rsid w:val="007B4079"/>
    <w:rsid w:val="007B4531"/>
    <w:rsid w:val="007B487C"/>
    <w:rsid w:val="007B4ABE"/>
    <w:rsid w:val="007B4DE1"/>
    <w:rsid w:val="007B61DB"/>
    <w:rsid w:val="007B69BB"/>
    <w:rsid w:val="007B6EE6"/>
    <w:rsid w:val="007B7CDE"/>
    <w:rsid w:val="007C1990"/>
    <w:rsid w:val="007C1E26"/>
    <w:rsid w:val="007C6325"/>
    <w:rsid w:val="007C71CA"/>
    <w:rsid w:val="007C7429"/>
    <w:rsid w:val="007C772F"/>
    <w:rsid w:val="007C7FF7"/>
    <w:rsid w:val="007D2A98"/>
    <w:rsid w:val="007D49D0"/>
    <w:rsid w:val="007D4D8F"/>
    <w:rsid w:val="007D5D0A"/>
    <w:rsid w:val="007D650B"/>
    <w:rsid w:val="007D766D"/>
    <w:rsid w:val="007E0B24"/>
    <w:rsid w:val="007E1D87"/>
    <w:rsid w:val="007E2175"/>
    <w:rsid w:val="007E2654"/>
    <w:rsid w:val="007E512C"/>
    <w:rsid w:val="007E5752"/>
    <w:rsid w:val="007E6616"/>
    <w:rsid w:val="007E6D2B"/>
    <w:rsid w:val="007E6F19"/>
    <w:rsid w:val="007F14DB"/>
    <w:rsid w:val="007F1C59"/>
    <w:rsid w:val="007F1F80"/>
    <w:rsid w:val="007F28F0"/>
    <w:rsid w:val="007F3F62"/>
    <w:rsid w:val="007F4F6E"/>
    <w:rsid w:val="007F7FCB"/>
    <w:rsid w:val="00800A9F"/>
    <w:rsid w:val="00800D9E"/>
    <w:rsid w:val="00802066"/>
    <w:rsid w:val="00804E04"/>
    <w:rsid w:val="008056E8"/>
    <w:rsid w:val="00806121"/>
    <w:rsid w:val="00807577"/>
    <w:rsid w:val="00807A11"/>
    <w:rsid w:val="00811827"/>
    <w:rsid w:val="0081301F"/>
    <w:rsid w:val="00815A17"/>
    <w:rsid w:val="0081650F"/>
    <w:rsid w:val="008165E5"/>
    <w:rsid w:val="008168D4"/>
    <w:rsid w:val="00820A84"/>
    <w:rsid w:val="00827E1C"/>
    <w:rsid w:val="00830580"/>
    <w:rsid w:val="00830F3E"/>
    <w:rsid w:val="00831B64"/>
    <w:rsid w:val="00831BF5"/>
    <w:rsid w:val="0083215D"/>
    <w:rsid w:val="00832280"/>
    <w:rsid w:val="00832441"/>
    <w:rsid w:val="00832B0F"/>
    <w:rsid w:val="008334BE"/>
    <w:rsid w:val="00833EA8"/>
    <w:rsid w:val="008348E9"/>
    <w:rsid w:val="00835D7A"/>
    <w:rsid w:val="00836A02"/>
    <w:rsid w:val="00836B51"/>
    <w:rsid w:val="00836F63"/>
    <w:rsid w:val="00837129"/>
    <w:rsid w:val="00841076"/>
    <w:rsid w:val="00841719"/>
    <w:rsid w:val="00841F40"/>
    <w:rsid w:val="008424D9"/>
    <w:rsid w:val="00843E4E"/>
    <w:rsid w:val="00844483"/>
    <w:rsid w:val="0084554E"/>
    <w:rsid w:val="00845B7A"/>
    <w:rsid w:val="00845F4D"/>
    <w:rsid w:val="00846A06"/>
    <w:rsid w:val="00850D1C"/>
    <w:rsid w:val="00850DD6"/>
    <w:rsid w:val="008548AA"/>
    <w:rsid w:val="0085616C"/>
    <w:rsid w:val="00857068"/>
    <w:rsid w:val="00860D6C"/>
    <w:rsid w:val="00861973"/>
    <w:rsid w:val="0086243E"/>
    <w:rsid w:val="00863119"/>
    <w:rsid w:val="008648FB"/>
    <w:rsid w:val="0086532C"/>
    <w:rsid w:val="0086568D"/>
    <w:rsid w:val="00867859"/>
    <w:rsid w:val="0087098E"/>
    <w:rsid w:val="008722A9"/>
    <w:rsid w:val="008722C4"/>
    <w:rsid w:val="0087660E"/>
    <w:rsid w:val="00876737"/>
    <w:rsid w:val="00876879"/>
    <w:rsid w:val="00877434"/>
    <w:rsid w:val="008775BD"/>
    <w:rsid w:val="00882118"/>
    <w:rsid w:val="008822D8"/>
    <w:rsid w:val="00883BC7"/>
    <w:rsid w:val="0088472F"/>
    <w:rsid w:val="00884C86"/>
    <w:rsid w:val="00884E5A"/>
    <w:rsid w:val="00885316"/>
    <w:rsid w:val="0088601D"/>
    <w:rsid w:val="008869A8"/>
    <w:rsid w:val="008873C0"/>
    <w:rsid w:val="0089132A"/>
    <w:rsid w:val="00891B64"/>
    <w:rsid w:val="008921B2"/>
    <w:rsid w:val="008928E2"/>
    <w:rsid w:val="00892C8F"/>
    <w:rsid w:val="00892F8F"/>
    <w:rsid w:val="00894050"/>
    <w:rsid w:val="0089451A"/>
    <w:rsid w:val="00894B3E"/>
    <w:rsid w:val="00895488"/>
    <w:rsid w:val="008974C0"/>
    <w:rsid w:val="00897829"/>
    <w:rsid w:val="008A0875"/>
    <w:rsid w:val="008A0F5D"/>
    <w:rsid w:val="008A1B10"/>
    <w:rsid w:val="008A2C3E"/>
    <w:rsid w:val="008A31E7"/>
    <w:rsid w:val="008A3D4E"/>
    <w:rsid w:val="008A49B3"/>
    <w:rsid w:val="008A4AF3"/>
    <w:rsid w:val="008A5617"/>
    <w:rsid w:val="008A64B1"/>
    <w:rsid w:val="008B08D9"/>
    <w:rsid w:val="008B1F84"/>
    <w:rsid w:val="008B36DD"/>
    <w:rsid w:val="008B3F59"/>
    <w:rsid w:val="008B6BC4"/>
    <w:rsid w:val="008B6C78"/>
    <w:rsid w:val="008B7436"/>
    <w:rsid w:val="008B7CDA"/>
    <w:rsid w:val="008C03CA"/>
    <w:rsid w:val="008C1428"/>
    <w:rsid w:val="008C22E1"/>
    <w:rsid w:val="008C68E3"/>
    <w:rsid w:val="008C7495"/>
    <w:rsid w:val="008C7EE6"/>
    <w:rsid w:val="008D1FE4"/>
    <w:rsid w:val="008D2015"/>
    <w:rsid w:val="008D240F"/>
    <w:rsid w:val="008D4D99"/>
    <w:rsid w:val="008D5691"/>
    <w:rsid w:val="008D5FC9"/>
    <w:rsid w:val="008D653A"/>
    <w:rsid w:val="008D668A"/>
    <w:rsid w:val="008D6E12"/>
    <w:rsid w:val="008E065C"/>
    <w:rsid w:val="008E2871"/>
    <w:rsid w:val="008E2D6F"/>
    <w:rsid w:val="008E30FC"/>
    <w:rsid w:val="008E316C"/>
    <w:rsid w:val="008E3430"/>
    <w:rsid w:val="008E4016"/>
    <w:rsid w:val="008E5468"/>
    <w:rsid w:val="008E60E3"/>
    <w:rsid w:val="008E611A"/>
    <w:rsid w:val="008E7471"/>
    <w:rsid w:val="008F26B1"/>
    <w:rsid w:val="008F2A37"/>
    <w:rsid w:val="008F2F33"/>
    <w:rsid w:val="008F751F"/>
    <w:rsid w:val="009010EC"/>
    <w:rsid w:val="00903377"/>
    <w:rsid w:val="009037DD"/>
    <w:rsid w:val="00904775"/>
    <w:rsid w:val="0090732B"/>
    <w:rsid w:val="00911370"/>
    <w:rsid w:val="00913DD0"/>
    <w:rsid w:val="009163EA"/>
    <w:rsid w:val="00920361"/>
    <w:rsid w:val="00923B63"/>
    <w:rsid w:val="00924FDB"/>
    <w:rsid w:val="00925525"/>
    <w:rsid w:val="0093040E"/>
    <w:rsid w:val="00931054"/>
    <w:rsid w:val="009311E8"/>
    <w:rsid w:val="009315FB"/>
    <w:rsid w:val="00931E76"/>
    <w:rsid w:val="00932D5D"/>
    <w:rsid w:val="0093436D"/>
    <w:rsid w:val="00935B33"/>
    <w:rsid w:val="00936C4C"/>
    <w:rsid w:val="00936F6B"/>
    <w:rsid w:val="00937789"/>
    <w:rsid w:val="00937941"/>
    <w:rsid w:val="009408C0"/>
    <w:rsid w:val="0094116C"/>
    <w:rsid w:val="0094157C"/>
    <w:rsid w:val="00942844"/>
    <w:rsid w:val="009433A7"/>
    <w:rsid w:val="009453C9"/>
    <w:rsid w:val="009466C5"/>
    <w:rsid w:val="009469D8"/>
    <w:rsid w:val="009500F3"/>
    <w:rsid w:val="0095026B"/>
    <w:rsid w:val="00950C97"/>
    <w:rsid w:val="00950ED2"/>
    <w:rsid w:val="00954059"/>
    <w:rsid w:val="0095406C"/>
    <w:rsid w:val="00954505"/>
    <w:rsid w:val="00954611"/>
    <w:rsid w:val="009558E2"/>
    <w:rsid w:val="00955E13"/>
    <w:rsid w:val="00956677"/>
    <w:rsid w:val="00957831"/>
    <w:rsid w:val="00957AD4"/>
    <w:rsid w:val="009605F6"/>
    <w:rsid w:val="00962C0C"/>
    <w:rsid w:val="009631E5"/>
    <w:rsid w:val="00966A79"/>
    <w:rsid w:val="00967A22"/>
    <w:rsid w:val="009708EC"/>
    <w:rsid w:val="0097289D"/>
    <w:rsid w:val="00972CFF"/>
    <w:rsid w:val="0097363E"/>
    <w:rsid w:val="00973733"/>
    <w:rsid w:val="009762C4"/>
    <w:rsid w:val="0097723D"/>
    <w:rsid w:val="00980A3D"/>
    <w:rsid w:val="009810D8"/>
    <w:rsid w:val="00983B02"/>
    <w:rsid w:val="00983B1B"/>
    <w:rsid w:val="00983C44"/>
    <w:rsid w:val="009845DB"/>
    <w:rsid w:val="0098623A"/>
    <w:rsid w:val="009868CB"/>
    <w:rsid w:val="00986C48"/>
    <w:rsid w:val="009877AD"/>
    <w:rsid w:val="00991217"/>
    <w:rsid w:val="009926D1"/>
    <w:rsid w:val="00993C97"/>
    <w:rsid w:val="00996247"/>
    <w:rsid w:val="00996C49"/>
    <w:rsid w:val="0099715E"/>
    <w:rsid w:val="009975EE"/>
    <w:rsid w:val="00997746"/>
    <w:rsid w:val="009A0191"/>
    <w:rsid w:val="009A3861"/>
    <w:rsid w:val="009A4195"/>
    <w:rsid w:val="009A583B"/>
    <w:rsid w:val="009B0688"/>
    <w:rsid w:val="009B08C0"/>
    <w:rsid w:val="009B13F3"/>
    <w:rsid w:val="009B42C2"/>
    <w:rsid w:val="009B6F98"/>
    <w:rsid w:val="009B7257"/>
    <w:rsid w:val="009B7ACD"/>
    <w:rsid w:val="009C12FE"/>
    <w:rsid w:val="009C1A78"/>
    <w:rsid w:val="009C4283"/>
    <w:rsid w:val="009C4C86"/>
    <w:rsid w:val="009C63AD"/>
    <w:rsid w:val="009C69B9"/>
    <w:rsid w:val="009C7051"/>
    <w:rsid w:val="009D0C9A"/>
    <w:rsid w:val="009D1479"/>
    <w:rsid w:val="009D3BFA"/>
    <w:rsid w:val="009D411F"/>
    <w:rsid w:val="009D4BFA"/>
    <w:rsid w:val="009D4EE5"/>
    <w:rsid w:val="009D5415"/>
    <w:rsid w:val="009D60CB"/>
    <w:rsid w:val="009D6BF1"/>
    <w:rsid w:val="009D6CE3"/>
    <w:rsid w:val="009D6EA3"/>
    <w:rsid w:val="009D753A"/>
    <w:rsid w:val="009D79DB"/>
    <w:rsid w:val="009E02CE"/>
    <w:rsid w:val="009E2BB6"/>
    <w:rsid w:val="009E4CA8"/>
    <w:rsid w:val="009E7443"/>
    <w:rsid w:val="009E74BC"/>
    <w:rsid w:val="009E7E9F"/>
    <w:rsid w:val="009F0AC2"/>
    <w:rsid w:val="009F0ED6"/>
    <w:rsid w:val="009F1BC4"/>
    <w:rsid w:val="009F22BA"/>
    <w:rsid w:val="009F32A5"/>
    <w:rsid w:val="009F47C6"/>
    <w:rsid w:val="009F4B48"/>
    <w:rsid w:val="009F51F4"/>
    <w:rsid w:val="00A00CC1"/>
    <w:rsid w:val="00A00EF1"/>
    <w:rsid w:val="00A06474"/>
    <w:rsid w:val="00A06FDE"/>
    <w:rsid w:val="00A12E3C"/>
    <w:rsid w:val="00A13ADF"/>
    <w:rsid w:val="00A20053"/>
    <w:rsid w:val="00A21C96"/>
    <w:rsid w:val="00A23E0F"/>
    <w:rsid w:val="00A24384"/>
    <w:rsid w:val="00A263F6"/>
    <w:rsid w:val="00A26A80"/>
    <w:rsid w:val="00A27451"/>
    <w:rsid w:val="00A30EB7"/>
    <w:rsid w:val="00A310BD"/>
    <w:rsid w:val="00A319F6"/>
    <w:rsid w:val="00A32191"/>
    <w:rsid w:val="00A339BF"/>
    <w:rsid w:val="00A33C34"/>
    <w:rsid w:val="00A33D88"/>
    <w:rsid w:val="00A343C5"/>
    <w:rsid w:val="00A35BAD"/>
    <w:rsid w:val="00A35E0F"/>
    <w:rsid w:val="00A35FAC"/>
    <w:rsid w:val="00A367CB"/>
    <w:rsid w:val="00A377CB"/>
    <w:rsid w:val="00A40CE7"/>
    <w:rsid w:val="00A41839"/>
    <w:rsid w:val="00A42336"/>
    <w:rsid w:val="00A424E3"/>
    <w:rsid w:val="00A44455"/>
    <w:rsid w:val="00A4591C"/>
    <w:rsid w:val="00A45A94"/>
    <w:rsid w:val="00A469B6"/>
    <w:rsid w:val="00A504A0"/>
    <w:rsid w:val="00A5067E"/>
    <w:rsid w:val="00A516C0"/>
    <w:rsid w:val="00A51C85"/>
    <w:rsid w:val="00A51D56"/>
    <w:rsid w:val="00A565A6"/>
    <w:rsid w:val="00A570E2"/>
    <w:rsid w:val="00A60DBB"/>
    <w:rsid w:val="00A6187B"/>
    <w:rsid w:val="00A61F2E"/>
    <w:rsid w:val="00A63146"/>
    <w:rsid w:val="00A63D00"/>
    <w:rsid w:val="00A64E9F"/>
    <w:rsid w:val="00A654DF"/>
    <w:rsid w:val="00A657E5"/>
    <w:rsid w:val="00A65C38"/>
    <w:rsid w:val="00A6665D"/>
    <w:rsid w:val="00A66B67"/>
    <w:rsid w:val="00A670BC"/>
    <w:rsid w:val="00A67CDC"/>
    <w:rsid w:val="00A71E6E"/>
    <w:rsid w:val="00A72044"/>
    <w:rsid w:val="00A73201"/>
    <w:rsid w:val="00A7339B"/>
    <w:rsid w:val="00A74A4D"/>
    <w:rsid w:val="00A76DD6"/>
    <w:rsid w:val="00A80730"/>
    <w:rsid w:val="00A81018"/>
    <w:rsid w:val="00A81461"/>
    <w:rsid w:val="00A823BF"/>
    <w:rsid w:val="00A82FF8"/>
    <w:rsid w:val="00A83FA4"/>
    <w:rsid w:val="00A83FEA"/>
    <w:rsid w:val="00A8453C"/>
    <w:rsid w:val="00A87959"/>
    <w:rsid w:val="00A87E94"/>
    <w:rsid w:val="00A90810"/>
    <w:rsid w:val="00A92955"/>
    <w:rsid w:val="00A9382D"/>
    <w:rsid w:val="00A9427D"/>
    <w:rsid w:val="00A95BDF"/>
    <w:rsid w:val="00AA032B"/>
    <w:rsid w:val="00AA1918"/>
    <w:rsid w:val="00AA5BAE"/>
    <w:rsid w:val="00AA5E37"/>
    <w:rsid w:val="00AA7A5B"/>
    <w:rsid w:val="00AB0F45"/>
    <w:rsid w:val="00AB0FD0"/>
    <w:rsid w:val="00AB1442"/>
    <w:rsid w:val="00AB234E"/>
    <w:rsid w:val="00AB3A03"/>
    <w:rsid w:val="00AB3E7A"/>
    <w:rsid w:val="00AB4A11"/>
    <w:rsid w:val="00AB5213"/>
    <w:rsid w:val="00AB7A1D"/>
    <w:rsid w:val="00AC33D5"/>
    <w:rsid w:val="00AC37B1"/>
    <w:rsid w:val="00AC40BF"/>
    <w:rsid w:val="00AC5256"/>
    <w:rsid w:val="00AC57E7"/>
    <w:rsid w:val="00AC5E78"/>
    <w:rsid w:val="00AC5E86"/>
    <w:rsid w:val="00AC69AD"/>
    <w:rsid w:val="00AD0262"/>
    <w:rsid w:val="00AD02EE"/>
    <w:rsid w:val="00AD0F43"/>
    <w:rsid w:val="00AD16E0"/>
    <w:rsid w:val="00AD436A"/>
    <w:rsid w:val="00AD445D"/>
    <w:rsid w:val="00AD5D53"/>
    <w:rsid w:val="00AE0C52"/>
    <w:rsid w:val="00AE1A4F"/>
    <w:rsid w:val="00AE209C"/>
    <w:rsid w:val="00AE217F"/>
    <w:rsid w:val="00AE2D3D"/>
    <w:rsid w:val="00AE2DB8"/>
    <w:rsid w:val="00AE36E9"/>
    <w:rsid w:val="00AE4472"/>
    <w:rsid w:val="00AE512B"/>
    <w:rsid w:val="00AE614D"/>
    <w:rsid w:val="00AE7710"/>
    <w:rsid w:val="00AE7D87"/>
    <w:rsid w:val="00AF2375"/>
    <w:rsid w:val="00AF7755"/>
    <w:rsid w:val="00AF77BF"/>
    <w:rsid w:val="00AF7D3A"/>
    <w:rsid w:val="00B003E5"/>
    <w:rsid w:val="00B00B31"/>
    <w:rsid w:val="00B00CBE"/>
    <w:rsid w:val="00B01FA3"/>
    <w:rsid w:val="00B0502B"/>
    <w:rsid w:val="00B059F3"/>
    <w:rsid w:val="00B05D51"/>
    <w:rsid w:val="00B06013"/>
    <w:rsid w:val="00B07264"/>
    <w:rsid w:val="00B0792F"/>
    <w:rsid w:val="00B1022F"/>
    <w:rsid w:val="00B114C6"/>
    <w:rsid w:val="00B1213D"/>
    <w:rsid w:val="00B12489"/>
    <w:rsid w:val="00B13627"/>
    <w:rsid w:val="00B13C1D"/>
    <w:rsid w:val="00B15FD4"/>
    <w:rsid w:val="00B20A8A"/>
    <w:rsid w:val="00B20B03"/>
    <w:rsid w:val="00B217E1"/>
    <w:rsid w:val="00B2191D"/>
    <w:rsid w:val="00B21C86"/>
    <w:rsid w:val="00B21F3B"/>
    <w:rsid w:val="00B24D3E"/>
    <w:rsid w:val="00B2776B"/>
    <w:rsid w:val="00B27788"/>
    <w:rsid w:val="00B31822"/>
    <w:rsid w:val="00B31CE5"/>
    <w:rsid w:val="00B360FA"/>
    <w:rsid w:val="00B366F0"/>
    <w:rsid w:val="00B41583"/>
    <w:rsid w:val="00B43DFB"/>
    <w:rsid w:val="00B43FEE"/>
    <w:rsid w:val="00B44B41"/>
    <w:rsid w:val="00B44D43"/>
    <w:rsid w:val="00B452C4"/>
    <w:rsid w:val="00B4556B"/>
    <w:rsid w:val="00B465B0"/>
    <w:rsid w:val="00B46A95"/>
    <w:rsid w:val="00B47742"/>
    <w:rsid w:val="00B47B29"/>
    <w:rsid w:val="00B5075B"/>
    <w:rsid w:val="00B51728"/>
    <w:rsid w:val="00B517A9"/>
    <w:rsid w:val="00B532C6"/>
    <w:rsid w:val="00B536C3"/>
    <w:rsid w:val="00B538B2"/>
    <w:rsid w:val="00B54C72"/>
    <w:rsid w:val="00B55BEB"/>
    <w:rsid w:val="00B560FF"/>
    <w:rsid w:val="00B56CDC"/>
    <w:rsid w:val="00B579C4"/>
    <w:rsid w:val="00B6192D"/>
    <w:rsid w:val="00B623C5"/>
    <w:rsid w:val="00B626FA"/>
    <w:rsid w:val="00B64B19"/>
    <w:rsid w:val="00B65346"/>
    <w:rsid w:val="00B66B26"/>
    <w:rsid w:val="00B70141"/>
    <w:rsid w:val="00B70B6B"/>
    <w:rsid w:val="00B710D2"/>
    <w:rsid w:val="00B7128D"/>
    <w:rsid w:val="00B714BF"/>
    <w:rsid w:val="00B71857"/>
    <w:rsid w:val="00B73F30"/>
    <w:rsid w:val="00B73F73"/>
    <w:rsid w:val="00B7478D"/>
    <w:rsid w:val="00B76177"/>
    <w:rsid w:val="00B76BC9"/>
    <w:rsid w:val="00B77733"/>
    <w:rsid w:val="00B81A4F"/>
    <w:rsid w:val="00B824E5"/>
    <w:rsid w:val="00B85094"/>
    <w:rsid w:val="00B87C77"/>
    <w:rsid w:val="00B90289"/>
    <w:rsid w:val="00B90614"/>
    <w:rsid w:val="00B9091F"/>
    <w:rsid w:val="00B911C0"/>
    <w:rsid w:val="00B91A0B"/>
    <w:rsid w:val="00B921FD"/>
    <w:rsid w:val="00B92658"/>
    <w:rsid w:val="00B926ED"/>
    <w:rsid w:val="00B95052"/>
    <w:rsid w:val="00B96056"/>
    <w:rsid w:val="00B97F5A"/>
    <w:rsid w:val="00BA05F1"/>
    <w:rsid w:val="00BA07E3"/>
    <w:rsid w:val="00BA0FFC"/>
    <w:rsid w:val="00BA12DF"/>
    <w:rsid w:val="00BA1B0D"/>
    <w:rsid w:val="00BA1DFA"/>
    <w:rsid w:val="00BA4F20"/>
    <w:rsid w:val="00BA5463"/>
    <w:rsid w:val="00BA5BC6"/>
    <w:rsid w:val="00BA6222"/>
    <w:rsid w:val="00BA6E62"/>
    <w:rsid w:val="00BA73C3"/>
    <w:rsid w:val="00BA7820"/>
    <w:rsid w:val="00BA7B8A"/>
    <w:rsid w:val="00BB06C6"/>
    <w:rsid w:val="00BB17E9"/>
    <w:rsid w:val="00BB184A"/>
    <w:rsid w:val="00BB20AF"/>
    <w:rsid w:val="00BB3B94"/>
    <w:rsid w:val="00BB44F2"/>
    <w:rsid w:val="00BB70D7"/>
    <w:rsid w:val="00BB75AC"/>
    <w:rsid w:val="00BC0690"/>
    <w:rsid w:val="00BC3F52"/>
    <w:rsid w:val="00BC46D5"/>
    <w:rsid w:val="00BC5C0A"/>
    <w:rsid w:val="00BC5D36"/>
    <w:rsid w:val="00BC778E"/>
    <w:rsid w:val="00BD3E64"/>
    <w:rsid w:val="00BD4AB2"/>
    <w:rsid w:val="00BD6B6B"/>
    <w:rsid w:val="00BE278C"/>
    <w:rsid w:val="00BE2B2D"/>
    <w:rsid w:val="00BE37D7"/>
    <w:rsid w:val="00BE3836"/>
    <w:rsid w:val="00BE4B20"/>
    <w:rsid w:val="00BE578D"/>
    <w:rsid w:val="00BE5E46"/>
    <w:rsid w:val="00BE7504"/>
    <w:rsid w:val="00BF2B6B"/>
    <w:rsid w:val="00BF3E16"/>
    <w:rsid w:val="00BF5F5B"/>
    <w:rsid w:val="00BF72C1"/>
    <w:rsid w:val="00C001C0"/>
    <w:rsid w:val="00C007C3"/>
    <w:rsid w:val="00C013E8"/>
    <w:rsid w:val="00C0375A"/>
    <w:rsid w:val="00C039B4"/>
    <w:rsid w:val="00C055A6"/>
    <w:rsid w:val="00C079AC"/>
    <w:rsid w:val="00C07D20"/>
    <w:rsid w:val="00C10925"/>
    <w:rsid w:val="00C11E9E"/>
    <w:rsid w:val="00C123FE"/>
    <w:rsid w:val="00C146E8"/>
    <w:rsid w:val="00C16723"/>
    <w:rsid w:val="00C1750B"/>
    <w:rsid w:val="00C1779B"/>
    <w:rsid w:val="00C2024F"/>
    <w:rsid w:val="00C22824"/>
    <w:rsid w:val="00C251B8"/>
    <w:rsid w:val="00C26A98"/>
    <w:rsid w:val="00C30CE0"/>
    <w:rsid w:val="00C31028"/>
    <w:rsid w:val="00C31CD7"/>
    <w:rsid w:val="00C31F75"/>
    <w:rsid w:val="00C362C9"/>
    <w:rsid w:val="00C363C8"/>
    <w:rsid w:val="00C369B2"/>
    <w:rsid w:val="00C376CB"/>
    <w:rsid w:val="00C37EED"/>
    <w:rsid w:val="00C40782"/>
    <w:rsid w:val="00C4189E"/>
    <w:rsid w:val="00C5017C"/>
    <w:rsid w:val="00C51403"/>
    <w:rsid w:val="00C51B7D"/>
    <w:rsid w:val="00C53155"/>
    <w:rsid w:val="00C532D1"/>
    <w:rsid w:val="00C53CEB"/>
    <w:rsid w:val="00C53DF0"/>
    <w:rsid w:val="00C5481B"/>
    <w:rsid w:val="00C55B7E"/>
    <w:rsid w:val="00C56002"/>
    <w:rsid w:val="00C5686A"/>
    <w:rsid w:val="00C60009"/>
    <w:rsid w:val="00C62399"/>
    <w:rsid w:val="00C642A5"/>
    <w:rsid w:val="00C654A5"/>
    <w:rsid w:val="00C65B1A"/>
    <w:rsid w:val="00C65B75"/>
    <w:rsid w:val="00C6657F"/>
    <w:rsid w:val="00C67269"/>
    <w:rsid w:val="00C700DD"/>
    <w:rsid w:val="00C70A35"/>
    <w:rsid w:val="00C72760"/>
    <w:rsid w:val="00C72C54"/>
    <w:rsid w:val="00C73923"/>
    <w:rsid w:val="00C7450F"/>
    <w:rsid w:val="00C75DE6"/>
    <w:rsid w:val="00C75FAE"/>
    <w:rsid w:val="00C81783"/>
    <w:rsid w:val="00C81D79"/>
    <w:rsid w:val="00C8430D"/>
    <w:rsid w:val="00C85035"/>
    <w:rsid w:val="00C8605B"/>
    <w:rsid w:val="00C86758"/>
    <w:rsid w:val="00C870E3"/>
    <w:rsid w:val="00C876D2"/>
    <w:rsid w:val="00C90D0C"/>
    <w:rsid w:val="00C9122A"/>
    <w:rsid w:val="00C922E4"/>
    <w:rsid w:val="00C9380F"/>
    <w:rsid w:val="00C94B8D"/>
    <w:rsid w:val="00C955B4"/>
    <w:rsid w:val="00C95AAA"/>
    <w:rsid w:val="00C96B97"/>
    <w:rsid w:val="00C96BD5"/>
    <w:rsid w:val="00CA06AA"/>
    <w:rsid w:val="00CA0AA9"/>
    <w:rsid w:val="00CA0D8D"/>
    <w:rsid w:val="00CA1D03"/>
    <w:rsid w:val="00CA27B3"/>
    <w:rsid w:val="00CA45FB"/>
    <w:rsid w:val="00CA4CC6"/>
    <w:rsid w:val="00CA594C"/>
    <w:rsid w:val="00CA6036"/>
    <w:rsid w:val="00CA68DF"/>
    <w:rsid w:val="00CA7873"/>
    <w:rsid w:val="00CA7BCB"/>
    <w:rsid w:val="00CB25EC"/>
    <w:rsid w:val="00CB3B31"/>
    <w:rsid w:val="00CB42C0"/>
    <w:rsid w:val="00CB5754"/>
    <w:rsid w:val="00CB582A"/>
    <w:rsid w:val="00CB5B28"/>
    <w:rsid w:val="00CB5CD3"/>
    <w:rsid w:val="00CC3A54"/>
    <w:rsid w:val="00CC42D8"/>
    <w:rsid w:val="00CC5597"/>
    <w:rsid w:val="00CC6743"/>
    <w:rsid w:val="00CC7270"/>
    <w:rsid w:val="00CC7AE9"/>
    <w:rsid w:val="00CD1030"/>
    <w:rsid w:val="00CD46FA"/>
    <w:rsid w:val="00CD51BB"/>
    <w:rsid w:val="00CD5544"/>
    <w:rsid w:val="00CD71C9"/>
    <w:rsid w:val="00CD7C33"/>
    <w:rsid w:val="00CE216E"/>
    <w:rsid w:val="00CE61C4"/>
    <w:rsid w:val="00CE63E2"/>
    <w:rsid w:val="00CE6494"/>
    <w:rsid w:val="00CE75DE"/>
    <w:rsid w:val="00CE76D0"/>
    <w:rsid w:val="00CE78C6"/>
    <w:rsid w:val="00CE7A95"/>
    <w:rsid w:val="00CE7F6A"/>
    <w:rsid w:val="00CF0206"/>
    <w:rsid w:val="00CF1F18"/>
    <w:rsid w:val="00CF4B8D"/>
    <w:rsid w:val="00CF4F01"/>
    <w:rsid w:val="00CF5321"/>
    <w:rsid w:val="00CF5CB1"/>
    <w:rsid w:val="00CF70BA"/>
    <w:rsid w:val="00CF711A"/>
    <w:rsid w:val="00D01426"/>
    <w:rsid w:val="00D02C7B"/>
    <w:rsid w:val="00D0324B"/>
    <w:rsid w:val="00D044FF"/>
    <w:rsid w:val="00D04838"/>
    <w:rsid w:val="00D04B81"/>
    <w:rsid w:val="00D06010"/>
    <w:rsid w:val="00D062A1"/>
    <w:rsid w:val="00D06D1B"/>
    <w:rsid w:val="00D106CB"/>
    <w:rsid w:val="00D11234"/>
    <w:rsid w:val="00D11A84"/>
    <w:rsid w:val="00D137BF"/>
    <w:rsid w:val="00D13847"/>
    <w:rsid w:val="00D14B10"/>
    <w:rsid w:val="00D1658A"/>
    <w:rsid w:val="00D16A07"/>
    <w:rsid w:val="00D17EC1"/>
    <w:rsid w:val="00D2020B"/>
    <w:rsid w:val="00D2047D"/>
    <w:rsid w:val="00D229F1"/>
    <w:rsid w:val="00D266A9"/>
    <w:rsid w:val="00D30336"/>
    <w:rsid w:val="00D31617"/>
    <w:rsid w:val="00D32431"/>
    <w:rsid w:val="00D32EB3"/>
    <w:rsid w:val="00D3390D"/>
    <w:rsid w:val="00D353DD"/>
    <w:rsid w:val="00D36A2C"/>
    <w:rsid w:val="00D37600"/>
    <w:rsid w:val="00D40461"/>
    <w:rsid w:val="00D404EB"/>
    <w:rsid w:val="00D412B4"/>
    <w:rsid w:val="00D423B5"/>
    <w:rsid w:val="00D4327B"/>
    <w:rsid w:val="00D4342A"/>
    <w:rsid w:val="00D450BF"/>
    <w:rsid w:val="00D4767E"/>
    <w:rsid w:val="00D50F82"/>
    <w:rsid w:val="00D5170B"/>
    <w:rsid w:val="00D53C0D"/>
    <w:rsid w:val="00D53E62"/>
    <w:rsid w:val="00D54E72"/>
    <w:rsid w:val="00D5504E"/>
    <w:rsid w:val="00D556EB"/>
    <w:rsid w:val="00D56528"/>
    <w:rsid w:val="00D63130"/>
    <w:rsid w:val="00D632BC"/>
    <w:rsid w:val="00D6407A"/>
    <w:rsid w:val="00D6537A"/>
    <w:rsid w:val="00D67805"/>
    <w:rsid w:val="00D7012C"/>
    <w:rsid w:val="00D70404"/>
    <w:rsid w:val="00D71547"/>
    <w:rsid w:val="00D723E2"/>
    <w:rsid w:val="00D72CC7"/>
    <w:rsid w:val="00D72DFB"/>
    <w:rsid w:val="00D72E7B"/>
    <w:rsid w:val="00D7452D"/>
    <w:rsid w:val="00D80EDF"/>
    <w:rsid w:val="00D80FA9"/>
    <w:rsid w:val="00D81F6B"/>
    <w:rsid w:val="00D83308"/>
    <w:rsid w:val="00D83730"/>
    <w:rsid w:val="00D83C63"/>
    <w:rsid w:val="00D8462E"/>
    <w:rsid w:val="00D84734"/>
    <w:rsid w:val="00D862F4"/>
    <w:rsid w:val="00D86875"/>
    <w:rsid w:val="00D87890"/>
    <w:rsid w:val="00D92AF0"/>
    <w:rsid w:val="00D92F2F"/>
    <w:rsid w:val="00D933D8"/>
    <w:rsid w:val="00D941A1"/>
    <w:rsid w:val="00D95BB5"/>
    <w:rsid w:val="00D95D40"/>
    <w:rsid w:val="00D96216"/>
    <w:rsid w:val="00D9672B"/>
    <w:rsid w:val="00D968A7"/>
    <w:rsid w:val="00D972BB"/>
    <w:rsid w:val="00DA075A"/>
    <w:rsid w:val="00DA1478"/>
    <w:rsid w:val="00DA317E"/>
    <w:rsid w:val="00DA3497"/>
    <w:rsid w:val="00DA7843"/>
    <w:rsid w:val="00DB13B3"/>
    <w:rsid w:val="00DB1F6F"/>
    <w:rsid w:val="00DB209B"/>
    <w:rsid w:val="00DB2D46"/>
    <w:rsid w:val="00DB3937"/>
    <w:rsid w:val="00DB6CA8"/>
    <w:rsid w:val="00DB6FD3"/>
    <w:rsid w:val="00DC11E4"/>
    <w:rsid w:val="00DC1CD8"/>
    <w:rsid w:val="00DC44AD"/>
    <w:rsid w:val="00DC5611"/>
    <w:rsid w:val="00DC7065"/>
    <w:rsid w:val="00DC70E1"/>
    <w:rsid w:val="00DD0627"/>
    <w:rsid w:val="00DD0A82"/>
    <w:rsid w:val="00DD0AE9"/>
    <w:rsid w:val="00DD0DF6"/>
    <w:rsid w:val="00DD3A0D"/>
    <w:rsid w:val="00DD3F1A"/>
    <w:rsid w:val="00DD45EA"/>
    <w:rsid w:val="00DD6D01"/>
    <w:rsid w:val="00DD7B92"/>
    <w:rsid w:val="00DE1206"/>
    <w:rsid w:val="00DE1D3C"/>
    <w:rsid w:val="00DE2362"/>
    <w:rsid w:val="00DE2A64"/>
    <w:rsid w:val="00DE2BED"/>
    <w:rsid w:val="00DE2C19"/>
    <w:rsid w:val="00DE3969"/>
    <w:rsid w:val="00DE3F03"/>
    <w:rsid w:val="00DE4ABE"/>
    <w:rsid w:val="00DE5E3B"/>
    <w:rsid w:val="00DE6C3C"/>
    <w:rsid w:val="00DE755F"/>
    <w:rsid w:val="00DE795D"/>
    <w:rsid w:val="00DF06EE"/>
    <w:rsid w:val="00DF1379"/>
    <w:rsid w:val="00DF27AD"/>
    <w:rsid w:val="00DF407B"/>
    <w:rsid w:val="00DF47D7"/>
    <w:rsid w:val="00DF4DD3"/>
    <w:rsid w:val="00DF51C3"/>
    <w:rsid w:val="00DF53E0"/>
    <w:rsid w:val="00DF54F6"/>
    <w:rsid w:val="00DF5601"/>
    <w:rsid w:val="00DF75B9"/>
    <w:rsid w:val="00DF7F56"/>
    <w:rsid w:val="00E027FE"/>
    <w:rsid w:val="00E04379"/>
    <w:rsid w:val="00E04E56"/>
    <w:rsid w:val="00E04E68"/>
    <w:rsid w:val="00E0555F"/>
    <w:rsid w:val="00E07399"/>
    <w:rsid w:val="00E101E4"/>
    <w:rsid w:val="00E13403"/>
    <w:rsid w:val="00E14A80"/>
    <w:rsid w:val="00E14D83"/>
    <w:rsid w:val="00E16B23"/>
    <w:rsid w:val="00E202F8"/>
    <w:rsid w:val="00E2035C"/>
    <w:rsid w:val="00E212B4"/>
    <w:rsid w:val="00E2338E"/>
    <w:rsid w:val="00E241E7"/>
    <w:rsid w:val="00E25251"/>
    <w:rsid w:val="00E30EE4"/>
    <w:rsid w:val="00E31202"/>
    <w:rsid w:val="00E34657"/>
    <w:rsid w:val="00E34C7A"/>
    <w:rsid w:val="00E36DDE"/>
    <w:rsid w:val="00E4085E"/>
    <w:rsid w:val="00E40F7E"/>
    <w:rsid w:val="00E42627"/>
    <w:rsid w:val="00E43196"/>
    <w:rsid w:val="00E43676"/>
    <w:rsid w:val="00E444EE"/>
    <w:rsid w:val="00E457B5"/>
    <w:rsid w:val="00E45AF5"/>
    <w:rsid w:val="00E46F0A"/>
    <w:rsid w:val="00E50365"/>
    <w:rsid w:val="00E504FF"/>
    <w:rsid w:val="00E52D5B"/>
    <w:rsid w:val="00E53381"/>
    <w:rsid w:val="00E54506"/>
    <w:rsid w:val="00E558CB"/>
    <w:rsid w:val="00E6018D"/>
    <w:rsid w:val="00E60993"/>
    <w:rsid w:val="00E60B64"/>
    <w:rsid w:val="00E61737"/>
    <w:rsid w:val="00E62CE5"/>
    <w:rsid w:val="00E63B89"/>
    <w:rsid w:val="00E64450"/>
    <w:rsid w:val="00E64E0E"/>
    <w:rsid w:val="00E66278"/>
    <w:rsid w:val="00E66B9D"/>
    <w:rsid w:val="00E67901"/>
    <w:rsid w:val="00E6791B"/>
    <w:rsid w:val="00E70AD5"/>
    <w:rsid w:val="00E70EFD"/>
    <w:rsid w:val="00E7144B"/>
    <w:rsid w:val="00E74706"/>
    <w:rsid w:val="00E74CDC"/>
    <w:rsid w:val="00E76348"/>
    <w:rsid w:val="00E802AF"/>
    <w:rsid w:val="00E80410"/>
    <w:rsid w:val="00E8120D"/>
    <w:rsid w:val="00E81467"/>
    <w:rsid w:val="00E82814"/>
    <w:rsid w:val="00E83C60"/>
    <w:rsid w:val="00E84D84"/>
    <w:rsid w:val="00E85411"/>
    <w:rsid w:val="00E85474"/>
    <w:rsid w:val="00E86802"/>
    <w:rsid w:val="00E8724A"/>
    <w:rsid w:val="00E874D1"/>
    <w:rsid w:val="00E94A90"/>
    <w:rsid w:val="00E94BF8"/>
    <w:rsid w:val="00E957F3"/>
    <w:rsid w:val="00E95AC3"/>
    <w:rsid w:val="00E96B22"/>
    <w:rsid w:val="00E97464"/>
    <w:rsid w:val="00EA1DF5"/>
    <w:rsid w:val="00EA2355"/>
    <w:rsid w:val="00EA3699"/>
    <w:rsid w:val="00EA3832"/>
    <w:rsid w:val="00EA6614"/>
    <w:rsid w:val="00EB023F"/>
    <w:rsid w:val="00EB0335"/>
    <w:rsid w:val="00EB1046"/>
    <w:rsid w:val="00EB223D"/>
    <w:rsid w:val="00EB2D03"/>
    <w:rsid w:val="00EB351C"/>
    <w:rsid w:val="00EB49C7"/>
    <w:rsid w:val="00EB6F6E"/>
    <w:rsid w:val="00EB7D39"/>
    <w:rsid w:val="00EC0672"/>
    <w:rsid w:val="00EC1BA2"/>
    <w:rsid w:val="00EC2E69"/>
    <w:rsid w:val="00EC35A1"/>
    <w:rsid w:val="00EC5695"/>
    <w:rsid w:val="00EC675D"/>
    <w:rsid w:val="00EC6CC2"/>
    <w:rsid w:val="00EC7D3A"/>
    <w:rsid w:val="00ED0179"/>
    <w:rsid w:val="00ED0259"/>
    <w:rsid w:val="00ED0EAB"/>
    <w:rsid w:val="00ED2262"/>
    <w:rsid w:val="00ED2E21"/>
    <w:rsid w:val="00ED3EA4"/>
    <w:rsid w:val="00ED51E0"/>
    <w:rsid w:val="00ED5D20"/>
    <w:rsid w:val="00ED6AEB"/>
    <w:rsid w:val="00ED6F05"/>
    <w:rsid w:val="00EE0D99"/>
    <w:rsid w:val="00EE5791"/>
    <w:rsid w:val="00EE5D89"/>
    <w:rsid w:val="00EE630F"/>
    <w:rsid w:val="00EE68E1"/>
    <w:rsid w:val="00EF0AA7"/>
    <w:rsid w:val="00EF135B"/>
    <w:rsid w:val="00EF1819"/>
    <w:rsid w:val="00EF20B1"/>
    <w:rsid w:val="00EF43B9"/>
    <w:rsid w:val="00EF6A21"/>
    <w:rsid w:val="00EF71CD"/>
    <w:rsid w:val="00EF726B"/>
    <w:rsid w:val="00EF7365"/>
    <w:rsid w:val="00EF75FE"/>
    <w:rsid w:val="00EF7B2F"/>
    <w:rsid w:val="00F008E0"/>
    <w:rsid w:val="00F00D22"/>
    <w:rsid w:val="00F049A1"/>
    <w:rsid w:val="00F04D52"/>
    <w:rsid w:val="00F05A21"/>
    <w:rsid w:val="00F10158"/>
    <w:rsid w:val="00F1060C"/>
    <w:rsid w:val="00F10CC4"/>
    <w:rsid w:val="00F132F5"/>
    <w:rsid w:val="00F13979"/>
    <w:rsid w:val="00F13CA4"/>
    <w:rsid w:val="00F14444"/>
    <w:rsid w:val="00F21528"/>
    <w:rsid w:val="00F22545"/>
    <w:rsid w:val="00F23988"/>
    <w:rsid w:val="00F23D43"/>
    <w:rsid w:val="00F249DE"/>
    <w:rsid w:val="00F25C06"/>
    <w:rsid w:val="00F26745"/>
    <w:rsid w:val="00F27216"/>
    <w:rsid w:val="00F27285"/>
    <w:rsid w:val="00F31094"/>
    <w:rsid w:val="00F31325"/>
    <w:rsid w:val="00F31421"/>
    <w:rsid w:val="00F31E0E"/>
    <w:rsid w:val="00F31F23"/>
    <w:rsid w:val="00F3215F"/>
    <w:rsid w:val="00F36517"/>
    <w:rsid w:val="00F36698"/>
    <w:rsid w:val="00F36BED"/>
    <w:rsid w:val="00F37F21"/>
    <w:rsid w:val="00F37F79"/>
    <w:rsid w:val="00F40B83"/>
    <w:rsid w:val="00F41E76"/>
    <w:rsid w:val="00F434ED"/>
    <w:rsid w:val="00F43953"/>
    <w:rsid w:val="00F44079"/>
    <w:rsid w:val="00F44267"/>
    <w:rsid w:val="00F45D13"/>
    <w:rsid w:val="00F46D9E"/>
    <w:rsid w:val="00F518CD"/>
    <w:rsid w:val="00F52CDB"/>
    <w:rsid w:val="00F53316"/>
    <w:rsid w:val="00F5441D"/>
    <w:rsid w:val="00F54DF5"/>
    <w:rsid w:val="00F566B6"/>
    <w:rsid w:val="00F5736C"/>
    <w:rsid w:val="00F616C9"/>
    <w:rsid w:val="00F61956"/>
    <w:rsid w:val="00F650EA"/>
    <w:rsid w:val="00F65EE0"/>
    <w:rsid w:val="00F66DED"/>
    <w:rsid w:val="00F67965"/>
    <w:rsid w:val="00F67A15"/>
    <w:rsid w:val="00F701A0"/>
    <w:rsid w:val="00F71D5F"/>
    <w:rsid w:val="00F73AB3"/>
    <w:rsid w:val="00F741B4"/>
    <w:rsid w:val="00F75559"/>
    <w:rsid w:val="00F75D46"/>
    <w:rsid w:val="00F80201"/>
    <w:rsid w:val="00F81873"/>
    <w:rsid w:val="00F8359F"/>
    <w:rsid w:val="00F836BE"/>
    <w:rsid w:val="00F83AD3"/>
    <w:rsid w:val="00F86C73"/>
    <w:rsid w:val="00F900C2"/>
    <w:rsid w:val="00F937CD"/>
    <w:rsid w:val="00F94DBE"/>
    <w:rsid w:val="00F96F14"/>
    <w:rsid w:val="00FA0359"/>
    <w:rsid w:val="00FA0522"/>
    <w:rsid w:val="00FA0C0F"/>
    <w:rsid w:val="00FA121D"/>
    <w:rsid w:val="00FA1DBB"/>
    <w:rsid w:val="00FA1E11"/>
    <w:rsid w:val="00FA23AE"/>
    <w:rsid w:val="00FA2541"/>
    <w:rsid w:val="00FA5817"/>
    <w:rsid w:val="00FB243F"/>
    <w:rsid w:val="00FB2D56"/>
    <w:rsid w:val="00FB2FB0"/>
    <w:rsid w:val="00FB4403"/>
    <w:rsid w:val="00FC0567"/>
    <w:rsid w:val="00FC20B7"/>
    <w:rsid w:val="00FC21A4"/>
    <w:rsid w:val="00FC2C23"/>
    <w:rsid w:val="00FC2ED6"/>
    <w:rsid w:val="00FC3F6B"/>
    <w:rsid w:val="00FC40DC"/>
    <w:rsid w:val="00FC5C4C"/>
    <w:rsid w:val="00FC6666"/>
    <w:rsid w:val="00FC6B2A"/>
    <w:rsid w:val="00FC73FA"/>
    <w:rsid w:val="00FC754D"/>
    <w:rsid w:val="00FC77AC"/>
    <w:rsid w:val="00FD1339"/>
    <w:rsid w:val="00FD16D0"/>
    <w:rsid w:val="00FD1A79"/>
    <w:rsid w:val="00FD3E57"/>
    <w:rsid w:val="00FD3F86"/>
    <w:rsid w:val="00FD4801"/>
    <w:rsid w:val="00FD573E"/>
    <w:rsid w:val="00FE00C2"/>
    <w:rsid w:val="00FE18DC"/>
    <w:rsid w:val="00FE2F53"/>
    <w:rsid w:val="00FE3FC1"/>
    <w:rsid w:val="00FE5DC8"/>
    <w:rsid w:val="00FE6CD1"/>
    <w:rsid w:val="00FE74F0"/>
    <w:rsid w:val="00FE7FB8"/>
    <w:rsid w:val="00FF0781"/>
    <w:rsid w:val="00FF0F1B"/>
    <w:rsid w:val="00FF1CD5"/>
    <w:rsid w:val="00FF1F49"/>
    <w:rsid w:val="00FF2439"/>
    <w:rsid w:val="00FF2F4D"/>
    <w:rsid w:val="00FF352A"/>
    <w:rsid w:val="00FF3BFC"/>
    <w:rsid w:val="00FF4942"/>
    <w:rsid w:val="00FF519A"/>
    <w:rsid w:val="00FF56F4"/>
    <w:rsid w:val="00FF5AAA"/>
    <w:rsid w:val="00FF5C83"/>
    <w:rsid w:val="00FF6583"/>
    <w:rsid w:val="00FF705C"/>
    <w:rsid w:val="00FF742C"/>
    <w:rsid w:val="00FF7930"/>
    <w:rsid w:val="00FF7DD5"/>
    <w:rsid w:val="01102613"/>
    <w:rsid w:val="011D1D30"/>
    <w:rsid w:val="01297B02"/>
    <w:rsid w:val="016E0E4B"/>
    <w:rsid w:val="0177012B"/>
    <w:rsid w:val="017F7E0A"/>
    <w:rsid w:val="019732E4"/>
    <w:rsid w:val="01AB53D8"/>
    <w:rsid w:val="01AC3269"/>
    <w:rsid w:val="01BD6C8D"/>
    <w:rsid w:val="01C2574E"/>
    <w:rsid w:val="01E30588"/>
    <w:rsid w:val="01E81329"/>
    <w:rsid w:val="020F3381"/>
    <w:rsid w:val="021C0E55"/>
    <w:rsid w:val="02204452"/>
    <w:rsid w:val="022E16B9"/>
    <w:rsid w:val="02327757"/>
    <w:rsid w:val="025C4F79"/>
    <w:rsid w:val="02691AD8"/>
    <w:rsid w:val="026E7F50"/>
    <w:rsid w:val="02873AE9"/>
    <w:rsid w:val="029D2E9F"/>
    <w:rsid w:val="02C6686B"/>
    <w:rsid w:val="02D22811"/>
    <w:rsid w:val="02D327ED"/>
    <w:rsid w:val="02F510AC"/>
    <w:rsid w:val="03326BB5"/>
    <w:rsid w:val="038D415F"/>
    <w:rsid w:val="038E3CB2"/>
    <w:rsid w:val="03913C11"/>
    <w:rsid w:val="03A03CFD"/>
    <w:rsid w:val="03BB4E6E"/>
    <w:rsid w:val="03CA5035"/>
    <w:rsid w:val="03CF115E"/>
    <w:rsid w:val="03DD1DB3"/>
    <w:rsid w:val="03E434A7"/>
    <w:rsid w:val="03F7432D"/>
    <w:rsid w:val="042D3105"/>
    <w:rsid w:val="04547331"/>
    <w:rsid w:val="04606437"/>
    <w:rsid w:val="046338F5"/>
    <w:rsid w:val="046F650A"/>
    <w:rsid w:val="048803AD"/>
    <w:rsid w:val="048A64A7"/>
    <w:rsid w:val="049C1D74"/>
    <w:rsid w:val="04DD1871"/>
    <w:rsid w:val="04F64503"/>
    <w:rsid w:val="05052872"/>
    <w:rsid w:val="051B28AD"/>
    <w:rsid w:val="05421668"/>
    <w:rsid w:val="05476252"/>
    <w:rsid w:val="0569029B"/>
    <w:rsid w:val="05751CC3"/>
    <w:rsid w:val="057A6930"/>
    <w:rsid w:val="05A9492D"/>
    <w:rsid w:val="05AE1137"/>
    <w:rsid w:val="05BF3F1B"/>
    <w:rsid w:val="05CE51DB"/>
    <w:rsid w:val="05D86D40"/>
    <w:rsid w:val="06057465"/>
    <w:rsid w:val="060D19C9"/>
    <w:rsid w:val="060E6426"/>
    <w:rsid w:val="062A0077"/>
    <w:rsid w:val="063407F7"/>
    <w:rsid w:val="064D6DEE"/>
    <w:rsid w:val="066E2722"/>
    <w:rsid w:val="06816941"/>
    <w:rsid w:val="068B075D"/>
    <w:rsid w:val="06B9295B"/>
    <w:rsid w:val="06C75B82"/>
    <w:rsid w:val="06E312C0"/>
    <w:rsid w:val="0712027B"/>
    <w:rsid w:val="07492E29"/>
    <w:rsid w:val="07504020"/>
    <w:rsid w:val="075935B4"/>
    <w:rsid w:val="075C2874"/>
    <w:rsid w:val="0779705B"/>
    <w:rsid w:val="077D4343"/>
    <w:rsid w:val="078A68EA"/>
    <w:rsid w:val="07AF593F"/>
    <w:rsid w:val="07BD7AE9"/>
    <w:rsid w:val="07C3432C"/>
    <w:rsid w:val="07C652B2"/>
    <w:rsid w:val="07C7740D"/>
    <w:rsid w:val="07C86622"/>
    <w:rsid w:val="07E3430F"/>
    <w:rsid w:val="07E61CA7"/>
    <w:rsid w:val="07E9588A"/>
    <w:rsid w:val="07FC1204"/>
    <w:rsid w:val="082635C7"/>
    <w:rsid w:val="0842632A"/>
    <w:rsid w:val="0853024C"/>
    <w:rsid w:val="088D1D44"/>
    <w:rsid w:val="088E0630"/>
    <w:rsid w:val="08CF696E"/>
    <w:rsid w:val="08D577E9"/>
    <w:rsid w:val="08EC0708"/>
    <w:rsid w:val="09091BC4"/>
    <w:rsid w:val="0928102F"/>
    <w:rsid w:val="0945395D"/>
    <w:rsid w:val="09483BC6"/>
    <w:rsid w:val="094E42DD"/>
    <w:rsid w:val="09572A43"/>
    <w:rsid w:val="09581E56"/>
    <w:rsid w:val="097709EE"/>
    <w:rsid w:val="097D20BB"/>
    <w:rsid w:val="09887900"/>
    <w:rsid w:val="09A46764"/>
    <w:rsid w:val="09A61771"/>
    <w:rsid w:val="09BF329A"/>
    <w:rsid w:val="09CF6E8C"/>
    <w:rsid w:val="09DC7519"/>
    <w:rsid w:val="0A0C5BC3"/>
    <w:rsid w:val="0A1F273E"/>
    <w:rsid w:val="0A2B3561"/>
    <w:rsid w:val="0A40637E"/>
    <w:rsid w:val="0A6B1A62"/>
    <w:rsid w:val="0A6F27B0"/>
    <w:rsid w:val="0A862DF7"/>
    <w:rsid w:val="0A8C44D8"/>
    <w:rsid w:val="0A8D0E8C"/>
    <w:rsid w:val="0AA963EF"/>
    <w:rsid w:val="0AC60F9E"/>
    <w:rsid w:val="0AC854F5"/>
    <w:rsid w:val="0AD47686"/>
    <w:rsid w:val="0AE11B04"/>
    <w:rsid w:val="0AE80A1B"/>
    <w:rsid w:val="0AFA69C8"/>
    <w:rsid w:val="0B000F9D"/>
    <w:rsid w:val="0B1C6315"/>
    <w:rsid w:val="0B2A7B07"/>
    <w:rsid w:val="0B2E6A62"/>
    <w:rsid w:val="0B507298"/>
    <w:rsid w:val="0B822DCA"/>
    <w:rsid w:val="0BD97398"/>
    <w:rsid w:val="0BE07E14"/>
    <w:rsid w:val="0BE349E5"/>
    <w:rsid w:val="0BEC2BE7"/>
    <w:rsid w:val="0C26593D"/>
    <w:rsid w:val="0C2C622F"/>
    <w:rsid w:val="0C4D7486"/>
    <w:rsid w:val="0C4F77F1"/>
    <w:rsid w:val="0C7D6993"/>
    <w:rsid w:val="0C872073"/>
    <w:rsid w:val="0CA20E59"/>
    <w:rsid w:val="0CA57C4C"/>
    <w:rsid w:val="0CC104B1"/>
    <w:rsid w:val="0CD84D59"/>
    <w:rsid w:val="0CDB2209"/>
    <w:rsid w:val="0CE858AA"/>
    <w:rsid w:val="0D004F46"/>
    <w:rsid w:val="0D091A52"/>
    <w:rsid w:val="0D3E5E6A"/>
    <w:rsid w:val="0D423100"/>
    <w:rsid w:val="0D4B0521"/>
    <w:rsid w:val="0D645F52"/>
    <w:rsid w:val="0D674BA0"/>
    <w:rsid w:val="0D8177A5"/>
    <w:rsid w:val="0D8C3258"/>
    <w:rsid w:val="0D9376EE"/>
    <w:rsid w:val="0DA27332"/>
    <w:rsid w:val="0DD104B4"/>
    <w:rsid w:val="0DD960A7"/>
    <w:rsid w:val="0DDD01AB"/>
    <w:rsid w:val="0DFE65B8"/>
    <w:rsid w:val="0E2C7A05"/>
    <w:rsid w:val="0E2E49AF"/>
    <w:rsid w:val="0E305CD9"/>
    <w:rsid w:val="0E327C17"/>
    <w:rsid w:val="0E5E78C2"/>
    <w:rsid w:val="0E830B1F"/>
    <w:rsid w:val="0E830C2C"/>
    <w:rsid w:val="0E887A3B"/>
    <w:rsid w:val="0EB23E9B"/>
    <w:rsid w:val="0EB85AA7"/>
    <w:rsid w:val="0ECE5A9C"/>
    <w:rsid w:val="0EE95207"/>
    <w:rsid w:val="0EEA4A4C"/>
    <w:rsid w:val="0EF2780B"/>
    <w:rsid w:val="0EFF159B"/>
    <w:rsid w:val="0F075F8A"/>
    <w:rsid w:val="0F0B7997"/>
    <w:rsid w:val="0F186D83"/>
    <w:rsid w:val="0F2403A4"/>
    <w:rsid w:val="0F3921C5"/>
    <w:rsid w:val="0F3D6572"/>
    <w:rsid w:val="0F465311"/>
    <w:rsid w:val="0F7C5241"/>
    <w:rsid w:val="0F806410"/>
    <w:rsid w:val="0F985326"/>
    <w:rsid w:val="0F990392"/>
    <w:rsid w:val="0FA75EEB"/>
    <w:rsid w:val="0FAB01C9"/>
    <w:rsid w:val="0FBD00B0"/>
    <w:rsid w:val="0FC36BDD"/>
    <w:rsid w:val="0FCA1E5D"/>
    <w:rsid w:val="0FEA0514"/>
    <w:rsid w:val="0FF729D3"/>
    <w:rsid w:val="0FFB29C8"/>
    <w:rsid w:val="0FFC5F78"/>
    <w:rsid w:val="10190D22"/>
    <w:rsid w:val="1028326A"/>
    <w:rsid w:val="10550561"/>
    <w:rsid w:val="105939F5"/>
    <w:rsid w:val="106D1B78"/>
    <w:rsid w:val="10897804"/>
    <w:rsid w:val="10A161E2"/>
    <w:rsid w:val="10A30265"/>
    <w:rsid w:val="10A44AB3"/>
    <w:rsid w:val="10AD0856"/>
    <w:rsid w:val="10BB251B"/>
    <w:rsid w:val="10DC2ABA"/>
    <w:rsid w:val="11093952"/>
    <w:rsid w:val="111812F0"/>
    <w:rsid w:val="11202F5E"/>
    <w:rsid w:val="113876AD"/>
    <w:rsid w:val="114E3DBB"/>
    <w:rsid w:val="1156434F"/>
    <w:rsid w:val="115B7EFF"/>
    <w:rsid w:val="116E0B30"/>
    <w:rsid w:val="118B38F9"/>
    <w:rsid w:val="118E7238"/>
    <w:rsid w:val="11C67052"/>
    <w:rsid w:val="11DA612F"/>
    <w:rsid w:val="11F10DF1"/>
    <w:rsid w:val="11F124E7"/>
    <w:rsid w:val="12192F18"/>
    <w:rsid w:val="121A7C8C"/>
    <w:rsid w:val="121B5932"/>
    <w:rsid w:val="121D2310"/>
    <w:rsid w:val="1226562A"/>
    <w:rsid w:val="122C2BF7"/>
    <w:rsid w:val="122D52F3"/>
    <w:rsid w:val="12407CC6"/>
    <w:rsid w:val="12752F0D"/>
    <w:rsid w:val="12783AC2"/>
    <w:rsid w:val="129212DD"/>
    <w:rsid w:val="129A58F7"/>
    <w:rsid w:val="129E01CF"/>
    <w:rsid w:val="12A23368"/>
    <w:rsid w:val="12B2073D"/>
    <w:rsid w:val="12BC6F73"/>
    <w:rsid w:val="12F06991"/>
    <w:rsid w:val="130A3CCC"/>
    <w:rsid w:val="1319431B"/>
    <w:rsid w:val="1370797B"/>
    <w:rsid w:val="13823E37"/>
    <w:rsid w:val="138B00FD"/>
    <w:rsid w:val="13AB25D3"/>
    <w:rsid w:val="13AB451E"/>
    <w:rsid w:val="13D81560"/>
    <w:rsid w:val="13DA66E0"/>
    <w:rsid w:val="14103AFC"/>
    <w:rsid w:val="1410586D"/>
    <w:rsid w:val="14355B68"/>
    <w:rsid w:val="144A305D"/>
    <w:rsid w:val="145929D3"/>
    <w:rsid w:val="146D5589"/>
    <w:rsid w:val="14864992"/>
    <w:rsid w:val="14AE5D75"/>
    <w:rsid w:val="14D81B38"/>
    <w:rsid w:val="15000433"/>
    <w:rsid w:val="15306952"/>
    <w:rsid w:val="15451D52"/>
    <w:rsid w:val="156E24B9"/>
    <w:rsid w:val="15756C92"/>
    <w:rsid w:val="157D5542"/>
    <w:rsid w:val="158439B5"/>
    <w:rsid w:val="158478F1"/>
    <w:rsid w:val="15CA3BEA"/>
    <w:rsid w:val="15DC5859"/>
    <w:rsid w:val="15F83D92"/>
    <w:rsid w:val="16172D8A"/>
    <w:rsid w:val="161B61ED"/>
    <w:rsid w:val="162069F7"/>
    <w:rsid w:val="16614541"/>
    <w:rsid w:val="16700066"/>
    <w:rsid w:val="1672325A"/>
    <w:rsid w:val="16916D7E"/>
    <w:rsid w:val="16924411"/>
    <w:rsid w:val="16BF4BE4"/>
    <w:rsid w:val="16E17FF9"/>
    <w:rsid w:val="16EB46AD"/>
    <w:rsid w:val="171C0407"/>
    <w:rsid w:val="172A372F"/>
    <w:rsid w:val="17620C3B"/>
    <w:rsid w:val="17C64237"/>
    <w:rsid w:val="17CE14BE"/>
    <w:rsid w:val="17D4662B"/>
    <w:rsid w:val="17F302A9"/>
    <w:rsid w:val="180062C4"/>
    <w:rsid w:val="180A5BD1"/>
    <w:rsid w:val="18104BE1"/>
    <w:rsid w:val="18207C22"/>
    <w:rsid w:val="188B5962"/>
    <w:rsid w:val="18945489"/>
    <w:rsid w:val="18961A61"/>
    <w:rsid w:val="18976D70"/>
    <w:rsid w:val="18A564D0"/>
    <w:rsid w:val="18AB1627"/>
    <w:rsid w:val="18AE1BED"/>
    <w:rsid w:val="190F52FA"/>
    <w:rsid w:val="1916171F"/>
    <w:rsid w:val="1917433C"/>
    <w:rsid w:val="19452F46"/>
    <w:rsid w:val="194D6193"/>
    <w:rsid w:val="19813507"/>
    <w:rsid w:val="19AA6FEB"/>
    <w:rsid w:val="19C7587C"/>
    <w:rsid w:val="19D97AFF"/>
    <w:rsid w:val="19FD12F6"/>
    <w:rsid w:val="1A0F7BCF"/>
    <w:rsid w:val="1A2C1FF1"/>
    <w:rsid w:val="1A320D97"/>
    <w:rsid w:val="1A6847C1"/>
    <w:rsid w:val="1A6B6A23"/>
    <w:rsid w:val="1A710B68"/>
    <w:rsid w:val="1A912DDC"/>
    <w:rsid w:val="1A9846BA"/>
    <w:rsid w:val="1AB942E8"/>
    <w:rsid w:val="1AE36C1E"/>
    <w:rsid w:val="1AF0472E"/>
    <w:rsid w:val="1B09414B"/>
    <w:rsid w:val="1B24116D"/>
    <w:rsid w:val="1B2859DB"/>
    <w:rsid w:val="1B340AC0"/>
    <w:rsid w:val="1B6F5832"/>
    <w:rsid w:val="1B725F4F"/>
    <w:rsid w:val="1B8B6113"/>
    <w:rsid w:val="1B8D5059"/>
    <w:rsid w:val="1B9A2C00"/>
    <w:rsid w:val="1BCD7150"/>
    <w:rsid w:val="1BF74C36"/>
    <w:rsid w:val="1BFB05BA"/>
    <w:rsid w:val="1C301F8D"/>
    <w:rsid w:val="1C3569EA"/>
    <w:rsid w:val="1C4415ED"/>
    <w:rsid w:val="1C5027E7"/>
    <w:rsid w:val="1C597C3B"/>
    <w:rsid w:val="1C5A3137"/>
    <w:rsid w:val="1C9856DD"/>
    <w:rsid w:val="1CAA37F7"/>
    <w:rsid w:val="1CB23098"/>
    <w:rsid w:val="1CC114C7"/>
    <w:rsid w:val="1CC114FC"/>
    <w:rsid w:val="1CCD1576"/>
    <w:rsid w:val="1CF46EF3"/>
    <w:rsid w:val="1D0B5BB0"/>
    <w:rsid w:val="1D126A58"/>
    <w:rsid w:val="1D1E1C07"/>
    <w:rsid w:val="1D330898"/>
    <w:rsid w:val="1D410A53"/>
    <w:rsid w:val="1D4B0958"/>
    <w:rsid w:val="1D617D70"/>
    <w:rsid w:val="1D973C12"/>
    <w:rsid w:val="1DE56E43"/>
    <w:rsid w:val="1E056E3F"/>
    <w:rsid w:val="1E5D346E"/>
    <w:rsid w:val="1E752285"/>
    <w:rsid w:val="1E79637D"/>
    <w:rsid w:val="1E7A0EBC"/>
    <w:rsid w:val="1EAD2C8E"/>
    <w:rsid w:val="1EE61915"/>
    <w:rsid w:val="1EFE3F14"/>
    <w:rsid w:val="1EFF5891"/>
    <w:rsid w:val="1F0C5342"/>
    <w:rsid w:val="1F1C30DA"/>
    <w:rsid w:val="1F293DD6"/>
    <w:rsid w:val="1F366C50"/>
    <w:rsid w:val="1F3F1D7D"/>
    <w:rsid w:val="1F495B91"/>
    <w:rsid w:val="1F512152"/>
    <w:rsid w:val="1F736754"/>
    <w:rsid w:val="2017461C"/>
    <w:rsid w:val="201A419F"/>
    <w:rsid w:val="202A14D7"/>
    <w:rsid w:val="202D4D08"/>
    <w:rsid w:val="20977E23"/>
    <w:rsid w:val="20C9483D"/>
    <w:rsid w:val="21161F54"/>
    <w:rsid w:val="218F65D5"/>
    <w:rsid w:val="21AE3906"/>
    <w:rsid w:val="21E5063F"/>
    <w:rsid w:val="21FD24B9"/>
    <w:rsid w:val="22170BE5"/>
    <w:rsid w:val="222B0E32"/>
    <w:rsid w:val="2246712F"/>
    <w:rsid w:val="22560517"/>
    <w:rsid w:val="22FA350D"/>
    <w:rsid w:val="23081594"/>
    <w:rsid w:val="23273F17"/>
    <w:rsid w:val="23283EE7"/>
    <w:rsid w:val="23403B25"/>
    <w:rsid w:val="2349244C"/>
    <w:rsid w:val="23514A35"/>
    <w:rsid w:val="235A0E4E"/>
    <w:rsid w:val="236F3097"/>
    <w:rsid w:val="238433E0"/>
    <w:rsid w:val="238A7E79"/>
    <w:rsid w:val="23964A14"/>
    <w:rsid w:val="23A5148A"/>
    <w:rsid w:val="23B472FD"/>
    <w:rsid w:val="23B70F98"/>
    <w:rsid w:val="23C5198F"/>
    <w:rsid w:val="23D16D39"/>
    <w:rsid w:val="23DA40E5"/>
    <w:rsid w:val="23DD3BEE"/>
    <w:rsid w:val="240F6AEA"/>
    <w:rsid w:val="2419092F"/>
    <w:rsid w:val="241F0A92"/>
    <w:rsid w:val="243B5417"/>
    <w:rsid w:val="244D3FEC"/>
    <w:rsid w:val="245615D9"/>
    <w:rsid w:val="24873938"/>
    <w:rsid w:val="24B767B4"/>
    <w:rsid w:val="24DD07E9"/>
    <w:rsid w:val="24DF0D26"/>
    <w:rsid w:val="24EC2F30"/>
    <w:rsid w:val="24F21841"/>
    <w:rsid w:val="250F7544"/>
    <w:rsid w:val="25252431"/>
    <w:rsid w:val="2527514D"/>
    <w:rsid w:val="252B2409"/>
    <w:rsid w:val="253011DF"/>
    <w:rsid w:val="25450699"/>
    <w:rsid w:val="25580B6C"/>
    <w:rsid w:val="2562040F"/>
    <w:rsid w:val="25681119"/>
    <w:rsid w:val="25794FBE"/>
    <w:rsid w:val="25A34E2A"/>
    <w:rsid w:val="25B402F3"/>
    <w:rsid w:val="25B73BC9"/>
    <w:rsid w:val="25D74F03"/>
    <w:rsid w:val="25D80A49"/>
    <w:rsid w:val="25E44828"/>
    <w:rsid w:val="25FF035D"/>
    <w:rsid w:val="260B1689"/>
    <w:rsid w:val="261B51E2"/>
    <w:rsid w:val="26245EEE"/>
    <w:rsid w:val="26446965"/>
    <w:rsid w:val="26531EC5"/>
    <w:rsid w:val="26571A8E"/>
    <w:rsid w:val="269613E0"/>
    <w:rsid w:val="2698032C"/>
    <w:rsid w:val="26A35AFA"/>
    <w:rsid w:val="26AD37FC"/>
    <w:rsid w:val="26B10800"/>
    <w:rsid w:val="26D037C2"/>
    <w:rsid w:val="26DC4F5C"/>
    <w:rsid w:val="26DF6390"/>
    <w:rsid w:val="26E37B8D"/>
    <w:rsid w:val="26F70344"/>
    <w:rsid w:val="26FA1405"/>
    <w:rsid w:val="27156E81"/>
    <w:rsid w:val="271A21D7"/>
    <w:rsid w:val="27403C73"/>
    <w:rsid w:val="27426773"/>
    <w:rsid w:val="275C1842"/>
    <w:rsid w:val="276A3C98"/>
    <w:rsid w:val="276B4769"/>
    <w:rsid w:val="277228E0"/>
    <w:rsid w:val="279B3A3B"/>
    <w:rsid w:val="27B64007"/>
    <w:rsid w:val="27D11C3F"/>
    <w:rsid w:val="27D41755"/>
    <w:rsid w:val="27EC1AFC"/>
    <w:rsid w:val="27FD7BB7"/>
    <w:rsid w:val="27FF415E"/>
    <w:rsid w:val="28073461"/>
    <w:rsid w:val="28247FF2"/>
    <w:rsid w:val="28262035"/>
    <w:rsid w:val="282E20FE"/>
    <w:rsid w:val="28376F39"/>
    <w:rsid w:val="284754CF"/>
    <w:rsid w:val="28484E09"/>
    <w:rsid w:val="285F3CB2"/>
    <w:rsid w:val="287156B4"/>
    <w:rsid w:val="28C33D38"/>
    <w:rsid w:val="28ED5E3F"/>
    <w:rsid w:val="291B7231"/>
    <w:rsid w:val="29356750"/>
    <w:rsid w:val="293B3DA1"/>
    <w:rsid w:val="29654CB3"/>
    <w:rsid w:val="2976579E"/>
    <w:rsid w:val="299C2697"/>
    <w:rsid w:val="29BB63C6"/>
    <w:rsid w:val="29CC5FD1"/>
    <w:rsid w:val="2A065993"/>
    <w:rsid w:val="2A1605BA"/>
    <w:rsid w:val="2A2F33A7"/>
    <w:rsid w:val="2A4777FB"/>
    <w:rsid w:val="2A5B1F51"/>
    <w:rsid w:val="2A6B35D7"/>
    <w:rsid w:val="2A79223F"/>
    <w:rsid w:val="2AAC4FF4"/>
    <w:rsid w:val="2AAF789C"/>
    <w:rsid w:val="2B4F113D"/>
    <w:rsid w:val="2B810BF6"/>
    <w:rsid w:val="2B98034D"/>
    <w:rsid w:val="2BA42BB1"/>
    <w:rsid w:val="2C183D80"/>
    <w:rsid w:val="2C312EC5"/>
    <w:rsid w:val="2C3C7325"/>
    <w:rsid w:val="2C6B4327"/>
    <w:rsid w:val="2CAB6A9A"/>
    <w:rsid w:val="2D144607"/>
    <w:rsid w:val="2D311F44"/>
    <w:rsid w:val="2D33417C"/>
    <w:rsid w:val="2D3927B4"/>
    <w:rsid w:val="2D916346"/>
    <w:rsid w:val="2DB90384"/>
    <w:rsid w:val="2DC00EB5"/>
    <w:rsid w:val="2E0F2956"/>
    <w:rsid w:val="2E1F1FD1"/>
    <w:rsid w:val="2E44375E"/>
    <w:rsid w:val="2E4E4958"/>
    <w:rsid w:val="2E8C7631"/>
    <w:rsid w:val="2EA62644"/>
    <w:rsid w:val="2EBD317B"/>
    <w:rsid w:val="2EDF1D08"/>
    <w:rsid w:val="2EF61D25"/>
    <w:rsid w:val="2F1F2FBB"/>
    <w:rsid w:val="2F595010"/>
    <w:rsid w:val="2F6E1D84"/>
    <w:rsid w:val="2F7B2ED9"/>
    <w:rsid w:val="2F827B8D"/>
    <w:rsid w:val="2F871DC3"/>
    <w:rsid w:val="2F974316"/>
    <w:rsid w:val="2FA87435"/>
    <w:rsid w:val="2FBD0401"/>
    <w:rsid w:val="2FDD2A6B"/>
    <w:rsid w:val="2FEF7165"/>
    <w:rsid w:val="300418BF"/>
    <w:rsid w:val="3022293E"/>
    <w:rsid w:val="30327712"/>
    <w:rsid w:val="304F7562"/>
    <w:rsid w:val="307D1AF2"/>
    <w:rsid w:val="30843D03"/>
    <w:rsid w:val="30E10716"/>
    <w:rsid w:val="30E651CD"/>
    <w:rsid w:val="312F5A1B"/>
    <w:rsid w:val="315B622C"/>
    <w:rsid w:val="316A74F6"/>
    <w:rsid w:val="317361AB"/>
    <w:rsid w:val="31800752"/>
    <w:rsid w:val="318A5478"/>
    <w:rsid w:val="318B1A52"/>
    <w:rsid w:val="31A50C7B"/>
    <w:rsid w:val="31CD3F15"/>
    <w:rsid w:val="31E13D53"/>
    <w:rsid w:val="31FE4440"/>
    <w:rsid w:val="321A09EC"/>
    <w:rsid w:val="322059C0"/>
    <w:rsid w:val="32500EF9"/>
    <w:rsid w:val="325D77B5"/>
    <w:rsid w:val="32990F52"/>
    <w:rsid w:val="32A33FCB"/>
    <w:rsid w:val="32B45801"/>
    <w:rsid w:val="32B94A3D"/>
    <w:rsid w:val="32C41400"/>
    <w:rsid w:val="32D735C5"/>
    <w:rsid w:val="32D93D29"/>
    <w:rsid w:val="32EA4967"/>
    <w:rsid w:val="334E1EEB"/>
    <w:rsid w:val="335A179B"/>
    <w:rsid w:val="335C10B9"/>
    <w:rsid w:val="33834C4D"/>
    <w:rsid w:val="3390388A"/>
    <w:rsid w:val="33B926B2"/>
    <w:rsid w:val="33CB3A3B"/>
    <w:rsid w:val="33CE7AA7"/>
    <w:rsid w:val="33E02E22"/>
    <w:rsid w:val="3453388D"/>
    <w:rsid w:val="348D1E2E"/>
    <w:rsid w:val="34A23927"/>
    <w:rsid w:val="34AA24CC"/>
    <w:rsid w:val="34BD1A7E"/>
    <w:rsid w:val="34BF7C55"/>
    <w:rsid w:val="34C60219"/>
    <w:rsid w:val="34C76867"/>
    <w:rsid w:val="34DD58B1"/>
    <w:rsid w:val="34E93557"/>
    <w:rsid w:val="3520176E"/>
    <w:rsid w:val="353401A3"/>
    <w:rsid w:val="354F2264"/>
    <w:rsid w:val="357F7149"/>
    <w:rsid w:val="35A51F9C"/>
    <w:rsid w:val="35AA2F25"/>
    <w:rsid w:val="35CA401E"/>
    <w:rsid w:val="35ED5553"/>
    <w:rsid w:val="35F71B12"/>
    <w:rsid w:val="360652D9"/>
    <w:rsid w:val="36206448"/>
    <w:rsid w:val="36296CEB"/>
    <w:rsid w:val="363E0D86"/>
    <w:rsid w:val="36433DEA"/>
    <w:rsid w:val="36484402"/>
    <w:rsid w:val="36543A6C"/>
    <w:rsid w:val="365B225F"/>
    <w:rsid w:val="36680186"/>
    <w:rsid w:val="366F659B"/>
    <w:rsid w:val="368A431E"/>
    <w:rsid w:val="36A93EE0"/>
    <w:rsid w:val="36C66A45"/>
    <w:rsid w:val="36DB1B56"/>
    <w:rsid w:val="36EA1C91"/>
    <w:rsid w:val="36EB5E00"/>
    <w:rsid w:val="370046CD"/>
    <w:rsid w:val="371E61AA"/>
    <w:rsid w:val="372856C2"/>
    <w:rsid w:val="372B6389"/>
    <w:rsid w:val="3765368D"/>
    <w:rsid w:val="37814859"/>
    <w:rsid w:val="379C51D7"/>
    <w:rsid w:val="37A72AA0"/>
    <w:rsid w:val="37B65EC6"/>
    <w:rsid w:val="37DB511C"/>
    <w:rsid w:val="3812738D"/>
    <w:rsid w:val="3825396A"/>
    <w:rsid w:val="382A29FC"/>
    <w:rsid w:val="382C0B85"/>
    <w:rsid w:val="38303936"/>
    <w:rsid w:val="383B7E78"/>
    <w:rsid w:val="385E61F0"/>
    <w:rsid w:val="38685F31"/>
    <w:rsid w:val="386C43D3"/>
    <w:rsid w:val="388F346D"/>
    <w:rsid w:val="38AB19FA"/>
    <w:rsid w:val="38C72CEA"/>
    <w:rsid w:val="38C91196"/>
    <w:rsid w:val="38D219E9"/>
    <w:rsid w:val="38D420B3"/>
    <w:rsid w:val="38EA0997"/>
    <w:rsid w:val="390A6877"/>
    <w:rsid w:val="391D142D"/>
    <w:rsid w:val="39214EA7"/>
    <w:rsid w:val="396F2860"/>
    <w:rsid w:val="398055FE"/>
    <w:rsid w:val="39904958"/>
    <w:rsid w:val="39960B24"/>
    <w:rsid w:val="399C6BAA"/>
    <w:rsid w:val="39B0094F"/>
    <w:rsid w:val="39C1259C"/>
    <w:rsid w:val="39CB285E"/>
    <w:rsid w:val="39F37B7F"/>
    <w:rsid w:val="3A0B4ECA"/>
    <w:rsid w:val="3A1105F7"/>
    <w:rsid w:val="3A141507"/>
    <w:rsid w:val="3A1E0D7D"/>
    <w:rsid w:val="3A1E7E13"/>
    <w:rsid w:val="3A2A3AC6"/>
    <w:rsid w:val="3A3815E9"/>
    <w:rsid w:val="3A785F99"/>
    <w:rsid w:val="3AA8553E"/>
    <w:rsid w:val="3AB51740"/>
    <w:rsid w:val="3ABA7E48"/>
    <w:rsid w:val="3ACD2B21"/>
    <w:rsid w:val="3AD16299"/>
    <w:rsid w:val="3AD301DF"/>
    <w:rsid w:val="3AD8628F"/>
    <w:rsid w:val="3AE14EA8"/>
    <w:rsid w:val="3AF549DA"/>
    <w:rsid w:val="3AF63130"/>
    <w:rsid w:val="3B005A4B"/>
    <w:rsid w:val="3B0A68FE"/>
    <w:rsid w:val="3B0E1A14"/>
    <w:rsid w:val="3B304B7E"/>
    <w:rsid w:val="3B327C40"/>
    <w:rsid w:val="3B6D03FC"/>
    <w:rsid w:val="3B6F14CF"/>
    <w:rsid w:val="3B750F96"/>
    <w:rsid w:val="3B775FF3"/>
    <w:rsid w:val="3B906F7C"/>
    <w:rsid w:val="3C374545"/>
    <w:rsid w:val="3C522EAB"/>
    <w:rsid w:val="3C682C13"/>
    <w:rsid w:val="3C6E53F0"/>
    <w:rsid w:val="3CA428D3"/>
    <w:rsid w:val="3CAF0723"/>
    <w:rsid w:val="3CE528B6"/>
    <w:rsid w:val="3CF94E75"/>
    <w:rsid w:val="3D073E6F"/>
    <w:rsid w:val="3D186326"/>
    <w:rsid w:val="3D3645D0"/>
    <w:rsid w:val="3D5467F8"/>
    <w:rsid w:val="3D8179CB"/>
    <w:rsid w:val="3D8526EE"/>
    <w:rsid w:val="3D931361"/>
    <w:rsid w:val="3D983527"/>
    <w:rsid w:val="3DD417B2"/>
    <w:rsid w:val="3DED3003"/>
    <w:rsid w:val="3E095D12"/>
    <w:rsid w:val="3E0E77F3"/>
    <w:rsid w:val="3E5C365B"/>
    <w:rsid w:val="3EB76100"/>
    <w:rsid w:val="3EBE2E90"/>
    <w:rsid w:val="3EF44C40"/>
    <w:rsid w:val="3F1704D0"/>
    <w:rsid w:val="3F600583"/>
    <w:rsid w:val="3F790D6F"/>
    <w:rsid w:val="3F7E4092"/>
    <w:rsid w:val="3F89028C"/>
    <w:rsid w:val="3F8A69C1"/>
    <w:rsid w:val="3F92588B"/>
    <w:rsid w:val="3FD47590"/>
    <w:rsid w:val="3FD54B66"/>
    <w:rsid w:val="3FE47175"/>
    <w:rsid w:val="3FF11E3F"/>
    <w:rsid w:val="40104A4D"/>
    <w:rsid w:val="40382FB8"/>
    <w:rsid w:val="40580DCF"/>
    <w:rsid w:val="409D5CBE"/>
    <w:rsid w:val="40CC49F0"/>
    <w:rsid w:val="41031F19"/>
    <w:rsid w:val="41167911"/>
    <w:rsid w:val="41264B48"/>
    <w:rsid w:val="41277A78"/>
    <w:rsid w:val="413673C7"/>
    <w:rsid w:val="413803C2"/>
    <w:rsid w:val="41431447"/>
    <w:rsid w:val="415A0544"/>
    <w:rsid w:val="415B7470"/>
    <w:rsid w:val="416D03C8"/>
    <w:rsid w:val="41740764"/>
    <w:rsid w:val="41746152"/>
    <w:rsid w:val="417874E5"/>
    <w:rsid w:val="4179630D"/>
    <w:rsid w:val="417C18ED"/>
    <w:rsid w:val="417F363E"/>
    <w:rsid w:val="41807196"/>
    <w:rsid w:val="4183757A"/>
    <w:rsid w:val="41901DF8"/>
    <w:rsid w:val="41B034AA"/>
    <w:rsid w:val="41C77148"/>
    <w:rsid w:val="421A5417"/>
    <w:rsid w:val="4223684D"/>
    <w:rsid w:val="42434500"/>
    <w:rsid w:val="42570856"/>
    <w:rsid w:val="426B2004"/>
    <w:rsid w:val="427231BD"/>
    <w:rsid w:val="429570EB"/>
    <w:rsid w:val="4297486F"/>
    <w:rsid w:val="429D65CA"/>
    <w:rsid w:val="42A01736"/>
    <w:rsid w:val="42A252EF"/>
    <w:rsid w:val="42AA522F"/>
    <w:rsid w:val="42AB2D97"/>
    <w:rsid w:val="42B05B66"/>
    <w:rsid w:val="42B8102F"/>
    <w:rsid w:val="42D52C35"/>
    <w:rsid w:val="42DB3BB5"/>
    <w:rsid w:val="431D5E07"/>
    <w:rsid w:val="435021C8"/>
    <w:rsid w:val="43914BC8"/>
    <w:rsid w:val="439C4B93"/>
    <w:rsid w:val="43A53174"/>
    <w:rsid w:val="43A97643"/>
    <w:rsid w:val="43B204D0"/>
    <w:rsid w:val="43BC422E"/>
    <w:rsid w:val="43CC5A77"/>
    <w:rsid w:val="43CD4B86"/>
    <w:rsid w:val="43D12184"/>
    <w:rsid w:val="43DB4D9C"/>
    <w:rsid w:val="43F44A9B"/>
    <w:rsid w:val="43FF4A34"/>
    <w:rsid w:val="441D7BBB"/>
    <w:rsid w:val="44323C33"/>
    <w:rsid w:val="444221BE"/>
    <w:rsid w:val="445E0E0B"/>
    <w:rsid w:val="44775E2D"/>
    <w:rsid w:val="44867A8C"/>
    <w:rsid w:val="44A009F0"/>
    <w:rsid w:val="44A03A92"/>
    <w:rsid w:val="44A7695F"/>
    <w:rsid w:val="44B26A04"/>
    <w:rsid w:val="44B95514"/>
    <w:rsid w:val="44E372CB"/>
    <w:rsid w:val="44EA733C"/>
    <w:rsid w:val="451C1BB6"/>
    <w:rsid w:val="45316728"/>
    <w:rsid w:val="453666D4"/>
    <w:rsid w:val="45425F3E"/>
    <w:rsid w:val="45426FBC"/>
    <w:rsid w:val="455A1B0D"/>
    <w:rsid w:val="45E119E7"/>
    <w:rsid w:val="45E711E2"/>
    <w:rsid w:val="46195207"/>
    <w:rsid w:val="461C7267"/>
    <w:rsid w:val="46273280"/>
    <w:rsid w:val="463B5512"/>
    <w:rsid w:val="463E612B"/>
    <w:rsid w:val="4698600B"/>
    <w:rsid w:val="46A35C38"/>
    <w:rsid w:val="46C4789D"/>
    <w:rsid w:val="46EA28E6"/>
    <w:rsid w:val="46FF41B4"/>
    <w:rsid w:val="472A7118"/>
    <w:rsid w:val="47321DBF"/>
    <w:rsid w:val="4739724D"/>
    <w:rsid w:val="476D3FEE"/>
    <w:rsid w:val="47A657D4"/>
    <w:rsid w:val="47A8123E"/>
    <w:rsid w:val="47B63708"/>
    <w:rsid w:val="47EC63E5"/>
    <w:rsid w:val="47F117C1"/>
    <w:rsid w:val="47FE0656"/>
    <w:rsid w:val="48105FAB"/>
    <w:rsid w:val="481234AF"/>
    <w:rsid w:val="48194016"/>
    <w:rsid w:val="48221765"/>
    <w:rsid w:val="4822279C"/>
    <w:rsid w:val="48305C37"/>
    <w:rsid w:val="4843159C"/>
    <w:rsid w:val="486B4610"/>
    <w:rsid w:val="48A14A42"/>
    <w:rsid w:val="48B31070"/>
    <w:rsid w:val="48B5583E"/>
    <w:rsid w:val="48FF6742"/>
    <w:rsid w:val="49060006"/>
    <w:rsid w:val="490C0A26"/>
    <w:rsid w:val="491C2D5A"/>
    <w:rsid w:val="49233832"/>
    <w:rsid w:val="49381D0A"/>
    <w:rsid w:val="49747526"/>
    <w:rsid w:val="49756653"/>
    <w:rsid w:val="49826CC5"/>
    <w:rsid w:val="4985682B"/>
    <w:rsid w:val="498C38C0"/>
    <w:rsid w:val="49906CBC"/>
    <w:rsid w:val="499E1E12"/>
    <w:rsid w:val="49A41684"/>
    <w:rsid w:val="49B64399"/>
    <w:rsid w:val="49E7766D"/>
    <w:rsid w:val="49FE797A"/>
    <w:rsid w:val="4A0511CD"/>
    <w:rsid w:val="4A1D5F24"/>
    <w:rsid w:val="4A2846D4"/>
    <w:rsid w:val="4A5116E8"/>
    <w:rsid w:val="4A7F1CA1"/>
    <w:rsid w:val="4A81626E"/>
    <w:rsid w:val="4AA77B41"/>
    <w:rsid w:val="4ACB4FCC"/>
    <w:rsid w:val="4AEB14F4"/>
    <w:rsid w:val="4B050FF2"/>
    <w:rsid w:val="4B3E3686"/>
    <w:rsid w:val="4B400F5D"/>
    <w:rsid w:val="4B4454A6"/>
    <w:rsid w:val="4B5175B6"/>
    <w:rsid w:val="4B77681F"/>
    <w:rsid w:val="4B7F38F7"/>
    <w:rsid w:val="4BB4451C"/>
    <w:rsid w:val="4BBA242E"/>
    <w:rsid w:val="4BC35414"/>
    <w:rsid w:val="4BC70C83"/>
    <w:rsid w:val="4C2614F9"/>
    <w:rsid w:val="4C2C61E8"/>
    <w:rsid w:val="4C32136A"/>
    <w:rsid w:val="4C446E53"/>
    <w:rsid w:val="4C4A039E"/>
    <w:rsid w:val="4C704BA7"/>
    <w:rsid w:val="4C8A7E67"/>
    <w:rsid w:val="4CA05CA3"/>
    <w:rsid w:val="4CA17BE0"/>
    <w:rsid w:val="4CAB453F"/>
    <w:rsid w:val="4CB60D6F"/>
    <w:rsid w:val="4CF85B7B"/>
    <w:rsid w:val="4D08699E"/>
    <w:rsid w:val="4D2222BC"/>
    <w:rsid w:val="4D372E39"/>
    <w:rsid w:val="4D4044FA"/>
    <w:rsid w:val="4D627FEA"/>
    <w:rsid w:val="4D97037C"/>
    <w:rsid w:val="4DB31959"/>
    <w:rsid w:val="4DF23B03"/>
    <w:rsid w:val="4E0A549A"/>
    <w:rsid w:val="4E3C1A55"/>
    <w:rsid w:val="4E404A93"/>
    <w:rsid w:val="4E4E00A9"/>
    <w:rsid w:val="4E5A270D"/>
    <w:rsid w:val="4E642E73"/>
    <w:rsid w:val="4E867002"/>
    <w:rsid w:val="4E930F3B"/>
    <w:rsid w:val="4EBB407A"/>
    <w:rsid w:val="4EC63011"/>
    <w:rsid w:val="4EF87656"/>
    <w:rsid w:val="4F031C7E"/>
    <w:rsid w:val="4F130D04"/>
    <w:rsid w:val="4F3F0C7A"/>
    <w:rsid w:val="4F686EFC"/>
    <w:rsid w:val="4F7E16A4"/>
    <w:rsid w:val="4F904032"/>
    <w:rsid w:val="4FB434AC"/>
    <w:rsid w:val="4FCB2870"/>
    <w:rsid w:val="4FE56387"/>
    <w:rsid w:val="50100F22"/>
    <w:rsid w:val="50345297"/>
    <w:rsid w:val="50390D15"/>
    <w:rsid w:val="50400801"/>
    <w:rsid w:val="505A02EE"/>
    <w:rsid w:val="505C595D"/>
    <w:rsid w:val="506B66C6"/>
    <w:rsid w:val="509C5BE0"/>
    <w:rsid w:val="50A17122"/>
    <w:rsid w:val="50A26DC2"/>
    <w:rsid w:val="50A94B90"/>
    <w:rsid w:val="50B30ABC"/>
    <w:rsid w:val="50CD1CC5"/>
    <w:rsid w:val="50F25D23"/>
    <w:rsid w:val="50F42B8C"/>
    <w:rsid w:val="510501EA"/>
    <w:rsid w:val="512107E0"/>
    <w:rsid w:val="514B4DEA"/>
    <w:rsid w:val="51697CAA"/>
    <w:rsid w:val="516C2EE7"/>
    <w:rsid w:val="51A100B3"/>
    <w:rsid w:val="51A326DE"/>
    <w:rsid w:val="51B517DC"/>
    <w:rsid w:val="51C16292"/>
    <w:rsid w:val="51C60BEA"/>
    <w:rsid w:val="51DB1857"/>
    <w:rsid w:val="51F7517F"/>
    <w:rsid w:val="5207448D"/>
    <w:rsid w:val="526A142C"/>
    <w:rsid w:val="52A14617"/>
    <w:rsid w:val="52A65D4E"/>
    <w:rsid w:val="52CA5240"/>
    <w:rsid w:val="52E33AB0"/>
    <w:rsid w:val="52ED4BB6"/>
    <w:rsid w:val="52F35EFA"/>
    <w:rsid w:val="530F6610"/>
    <w:rsid w:val="53146F1A"/>
    <w:rsid w:val="5326393A"/>
    <w:rsid w:val="53264E5D"/>
    <w:rsid w:val="532F23B6"/>
    <w:rsid w:val="53400341"/>
    <w:rsid w:val="53502605"/>
    <w:rsid w:val="53672DE7"/>
    <w:rsid w:val="536E18EE"/>
    <w:rsid w:val="537D1DA3"/>
    <w:rsid w:val="539673C4"/>
    <w:rsid w:val="53C74E0E"/>
    <w:rsid w:val="540C3D25"/>
    <w:rsid w:val="540E6BD8"/>
    <w:rsid w:val="543F2B43"/>
    <w:rsid w:val="54735282"/>
    <w:rsid w:val="54861D05"/>
    <w:rsid w:val="54A91435"/>
    <w:rsid w:val="54C3576C"/>
    <w:rsid w:val="54C5737E"/>
    <w:rsid w:val="54DA0513"/>
    <w:rsid w:val="54E01F57"/>
    <w:rsid w:val="54E209DB"/>
    <w:rsid w:val="54E67F42"/>
    <w:rsid w:val="54E959A1"/>
    <w:rsid w:val="54F32744"/>
    <w:rsid w:val="54FA7505"/>
    <w:rsid w:val="550A15E9"/>
    <w:rsid w:val="550F0BBE"/>
    <w:rsid w:val="552D1259"/>
    <w:rsid w:val="5538111F"/>
    <w:rsid w:val="553D2756"/>
    <w:rsid w:val="557377BE"/>
    <w:rsid w:val="55CF6AB5"/>
    <w:rsid w:val="55F808C7"/>
    <w:rsid w:val="560E0B19"/>
    <w:rsid w:val="563F3697"/>
    <w:rsid w:val="564F3E80"/>
    <w:rsid w:val="566E48DC"/>
    <w:rsid w:val="569A28F8"/>
    <w:rsid w:val="56AD5D27"/>
    <w:rsid w:val="56B21239"/>
    <w:rsid w:val="56B93350"/>
    <w:rsid w:val="56E75C46"/>
    <w:rsid w:val="56F134A1"/>
    <w:rsid w:val="57115A43"/>
    <w:rsid w:val="573015AE"/>
    <w:rsid w:val="573942CF"/>
    <w:rsid w:val="573A5F88"/>
    <w:rsid w:val="575428B5"/>
    <w:rsid w:val="5792190C"/>
    <w:rsid w:val="579F7248"/>
    <w:rsid w:val="579F7AD5"/>
    <w:rsid w:val="57B97AF8"/>
    <w:rsid w:val="57D94544"/>
    <w:rsid w:val="57E32D3A"/>
    <w:rsid w:val="57EF6194"/>
    <w:rsid w:val="57F746FD"/>
    <w:rsid w:val="58470A19"/>
    <w:rsid w:val="58481178"/>
    <w:rsid w:val="584F7CC4"/>
    <w:rsid w:val="585D2A0F"/>
    <w:rsid w:val="5868476B"/>
    <w:rsid w:val="58693A62"/>
    <w:rsid w:val="586F53BC"/>
    <w:rsid w:val="58866B5A"/>
    <w:rsid w:val="589E4012"/>
    <w:rsid w:val="58AD70C5"/>
    <w:rsid w:val="58BE71BF"/>
    <w:rsid w:val="58C95E98"/>
    <w:rsid w:val="58E46B75"/>
    <w:rsid w:val="58F358BD"/>
    <w:rsid w:val="59086BE4"/>
    <w:rsid w:val="592B5F72"/>
    <w:rsid w:val="59353478"/>
    <w:rsid w:val="593D7AB8"/>
    <w:rsid w:val="593E1362"/>
    <w:rsid w:val="59422BEF"/>
    <w:rsid w:val="594663E7"/>
    <w:rsid w:val="59523A61"/>
    <w:rsid w:val="59584FAB"/>
    <w:rsid w:val="59676C98"/>
    <w:rsid w:val="59783CB6"/>
    <w:rsid w:val="597D5BB9"/>
    <w:rsid w:val="598F696A"/>
    <w:rsid w:val="59A83BC0"/>
    <w:rsid w:val="59AE5645"/>
    <w:rsid w:val="59BF59E6"/>
    <w:rsid w:val="59CE0515"/>
    <w:rsid w:val="59CE28FE"/>
    <w:rsid w:val="59ED399E"/>
    <w:rsid w:val="5A126FE2"/>
    <w:rsid w:val="5A166D89"/>
    <w:rsid w:val="5A1F3193"/>
    <w:rsid w:val="5A375B0A"/>
    <w:rsid w:val="5A3D70BF"/>
    <w:rsid w:val="5A521B8E"/>
    <w:rsid w:val="5A696815"/>
    <w:rsid w:val="5A8916EC"/>
    <w:rsid w:val="5AAF5976"/>
    <w:rsid w:val="5ACE6DBC"/>
    <w:rsid w:val="5AD234FC"/>
    <w:rsid w:val="5AE6079D"/>
    <w:rsid w:val="5AE818D3"/>
    <w:rsid w:val="5B0135B0"/>
    <w:rsid w:val="5B1929BD"/>
    <w:rsid w:val="5B28547F"/>
    <w:rsid w:val="5B2A4DAF"/>
    <w:rsid w:val="5B2C1649"/>
    <w:rsid w:val="5B43387E"/>
    <w:rsid w:val="5B4C3AD1"/>
    <w:rsid w:val="5B582AD8"/>
    <w:rsid w:val="5B5D1899"/>
    <w:rsid w:val="5B685DAC"/>
    <w:rsid w:val="5B706561"/>
    <w:rsid w:val="5BA02606"/>
    <w:rsid w:val="5BA677C9"/>
    <w:rsid w:val="5BBB2E6D"/>
    <w:rsid w:val="5C303497"/>
    <w:rsid w:val="5C3065DD"/>
    <w:rsid w:val="5C3A4DAC"/>
    <w:rsid w:val="5C4C04A0"/>
    <w:rsid w:val="5C580CBA"/>
    <w:rsid w:val="5C594986"/>
    <w:rsid w:val="5C59771D"/>
    <w:rsid w:val="5C5C7DA0"/>
    <w:rsid w:val="5C8202FC"/>
    <w:rsid w:val="5C8E18EA"/>
    <w:rsid w:val="5CAA693B"/>
    <w:rsid w:val="5CAC3B11"/>
    <w:rsid w:val="5CC420DD"/>
    <w:rsid w:val="5CD8525C"/>
    <w:rsid w:val="5CE65340"/>
    <w:rsid w:val="5CF27D79"/>
    <w:rsid w:val="5D227FC0"/>
    <w:rsid w:val="5D3D5EE1"/>
    <w:rsid w:val="5D882F12"/>
    <w:rsid w:val="5DBA05FA"/>
    <w:rsid w:val="5DCA312D"/>
    <w:rsid w:val="5DCB08BB"/>
    <w:rsid w:val="5DF842D7"/>
    <w:rsid w:val="5E0130DE"/>
    <w:rsid w:val="5E013855"/>
    <w:rsid w:val="5E296734"/>
    <w:rsid w:val="5E3419CF"/>
    <w:rsid w:val="5E377F1E"/>
    <w:rsid w:val="5E38631A"/>
    <w:rsid w:val="5E563452"/>
    <w:rsid w:val="5E5819A6"/>
    <w:rsid w:val="5EA21E38"/>
    <w:rsid w:val="5ED43D80"/>
    <w:rsid w:val="5EFA1E2E"/>
    <w:rsid w:val="5F0A5DE0"/>
    <w:rsid w:val="5F3D1F48"/>
    <w:rsid w:val="5F54438A"/>
    <w:rsid w:val="5F5F4EC1"/>
    <w:rsid w:val="5F744D72"/>
    <w:rsid w:val="5F7718E0"/>
    <w:rsid w:val="5F9479CD"/>
    <w:rsid w:val="5FB7193F"/>
    <w:rsid w:val="5FCE45E9"/>
    <w:rsid w:val="5FD26868"/>
    <w:rsid w:val="5FE9764A"/>
    <w:rsid w:val="5FF509A0"/>
    <w:rsid w:val="60064C76"/>
    <w:rsid w:val="602A3124"/>
    <w:rsid w:val="604A4B9C"/>
    <w:rsid w:val="608B1A66"/>
    <w:rsid w:val="609B45C4"/>
    <w:rsid w:val="60BF5DB9"/>
    <w:rsid w:val="60E20D2C"/>
    <w:rsid w:val="60E63E5C"/>
    <w:rsid w:val="60EB6BF6"/>
    <w:rsid w:val="61092104"/>
    <w:rsid w:val="61211346"/>
    <w:rsid w:val="61B9322D"/>
    <w:rsid w:val="61C20B8B"/>
    <w:rsid w:val="61D33333"/>
    <w:rsid w:val="62164A4B"/>
    <w:rsid w:val="621B1FC8"/>
    <w:rsid w:val="62356E13"/>
    <w:rsid w:val="62433459"/>
    <w:rsid w:val="62587BAD"/>
    <w:rsid w:val="6268494C"/>
    <w:rsid w:val="62745842"/>
    <w:rsid w:val="62AD1C12"/>
    <w:rsid w:val="62B455F6"/>
    <w:rsid w:val="62C21F43"/>
    <w:rsid w:val="62DC761E"/>
    <w:rsid w:val="62E34C99"/>
    <w:rsid w:val="62EA7039"/>
    <w:rsid w:val="62F339EC"/>
    <w:rsid w:val="630A42CE"/>
    <w:rsid w:val="63131445"/>
    <w:rsid w:val="63334FC5"/>
    <w:rsid w:val="6335532F"/>
    <w:rsid w:val="634D3FFF"/>
    <w:rsid w:val="635005E3"/>
    <w:rsid w:val="635C43BB"/>
    <w:rsid w:val="636F700C"/>
    <w:rsid w:val="63703B50"/>
    <w:rsid w:val="6394514F"/>
    <w:rsid w:val="63991B60"/>
    <w:rsid w:val="63C236CB"/>
    <w:rsid w:val="63C91047"/>
    <w:rsid w:val="63D35044"/>
    <w:rsid w:val="63DF5271"/>
    <w:rsid w:val="63EB1EE0"/>
    <w:rsid w:val="63FA59B2"/>
    <w:rsid w:val="64225B9D"/>
    <w:rsid w:val="642E41EB"/>
    <w:rsid w:val="644B3B74"/>
    <w:rsid w:val="646566EC"/>
    <w:rsid w:val="646C59FD"/>
    <w:rsid w:val="647B2DB9"/>
    <w:rsid w:val="647E2368"/>
    <w:rsid w:val="64E64159"/>
    <w:rsid w:val="64F26575"/>
    <w:rsid w:val="65421126"/>
    <w:rsid w:val="65445151"/>
    <w:rsid w:val="654D37E5"/>
    <w:rsid w:val="654D5D7D"/>
    <w:rsid w:val="658351C1"/>
    <w:rsid w:val="65943A1B"/>
    <w:rsid w:val="65B358C8"/>
    <w:rsid w:val="65BC69FE"/>
    <w:rsid w:val="65C009EB"/>
    <w:rsid w:val="65CE7D34"/>
    <w:rsid w:val="65D35DDC"/>
    <w:rsid w:val="65DD0BA7"/>
    <w:rsid w:val="65F42021"/>
    <w:rsid w:val="66004E76"/>
    <w:rsid w:val="66057432"/>
    <w:rsid w:val="661163E8"/>
    <w:rsid w:val="66286809"/>
    <w:rsid w:val="664A2FB0"/>
    <w:rsid w:val="666C2784"/>
    <w:rsid w:val="6670425C"/>
    <w:rsid w:val="667E361A"/>
    <w:rsid w:val="66892020"/>
    <w:rsid w:val="668E34AB"/>
    <w:rsid w:val="669B79C9"/>
    <w:rsid w:val="66EA6755"/>
    <w:rsid w:val="66EF7952"/>
    <w:rsid w:val="66F0551A"/>
    <w:rsid w:val="66FA71BB"/>
    <w:rsid w:val="6714226F"/>
    <w:rsid w:val="671834EC"/>
    <w:rsid w:val="67200F9D"/>
    <w:rsid w:val="672B6838"/>
    <w:rsid w:val="67343D9A"/>
    <w:rsid w:val="67460E57"/>
    <w:rsid w:val="674B5E3C"/>
    <w:rsid w:val="67801D46"/>
    <w:rsid w:val="67802D4E"/>
    <w:rsid w:val="679D0479"/>
    <w:rsid w:val="679F78E9"/>
    <w:rsid w:val="67BF778C"/>
    <w:rsid w:val="67D1046A"/>
    <w:rsid w:val="67F733B1"/>
    <w:rsid w:val="67F81A86"/>
    <w:rsid w:val="67FC685D"/>
    <w:rsid w:val="680C12DE"/>
    <w:rsid w:val="68101AF2"/>
    <w:rsid w:val="68226B2B"/>
    <w:rsid w:val="682B05F7"/>
    <w:rsid w:val="68582B21"/>
    <w:rsid w:val="68817034"/>
    <w:rsid w:val="688B6603"/>
    <w:rsid w:val="688D7E60"/>
    <w:rsid w:val="688E2639"/>
    <w:rsid w:val="68A20B1F"/>
    <w:rsid w:val="68A6389C"/>
    <w:rsid w:val="68AA78E6"/>
    <w:rsid w:val="68B31A81"/>
    <w:rsid w:val="68BB440C"/>
    <w:rsid w:val="68CF6174"/>
    <w:rsid w:val="69171BD2"/>
    <w:rsid w:val="692C6A3A"/>
    <w:rsid w:val="692F2652"/>
    <w:rsid w:val="693558EB"/>
    <w:rsid w:val="693D56D9"/>
    <w:rsid w:val="69512A47"/>
    <w:rsid w:val="69716A40"/>
    <w:rsid w:val="69753EFA"/>
    <w:rsid w:val="69795C63"/>
    <w:rsid w:val="69C2729D"/>
    <w:rsid w:val="6A16717B"/>
    <w:rsid w:val="6A4F1C72"/>
    <w:rsid w:val="6A6D2743"/>
    <w:rsid w:val="6A7C52A9"/>
    <w:rsid w:val="6A9D4943"/>
    <w:rsid w:val="6AC53BB0"/>
    <w:rsid w:val="6AD11E36"/>
    <w:rsid w:val="6B0319C0"/>
    <w:rsid w:val="6B1249B5"/>
    <w:rsid w:val="6B3044E6"/>
    <w:rsid w:val="6B424644"/>
    <w:rsid w:val="6B5F11C4"/>
    <w:rsid w:val="6B7664A2"/>
    <w:rsid w:val="6B7D0DB6"/>
    <w:rsid w:val="6B945E0F"/>
    <w:rsid w:val="6B9B24AE"/>
    <w:rsid w:val="6BAA68B9"/>
    <w:rsid w:val="6BAA7A0D"/>
    <w:rsid w:val="6BC1315A"/>
    <w:rsid w:val="6BE07850"/>
    <w:rsid w:val="6BE166E0"/>
    <w:rsid w:val="6BF07EF0"/>
    <w:rsid w:val="6C183FC9"/>
    <w:rsid w:val="6C263F33"/>
    <w:rsid w:val="6C3007FC"/>
    <w:rsid w:val="6C494115"/>
    <w:rsid w:val="6C4A0D9D"/>
    <w:rsid w:val="6C4D583D"/>
    <w:rsid w:val="6C5E0CEF"/>
    <w:rsid w:val="6C7A50BA"/>
    <w:rsid w:val="6C846435"/>
    <w:rsid w:val="6C877D4D"/>
    <w:rsid w:val="6C8F5EA5"/>
    <w:rsid w:val="6C914F72"/>
    <w:rsid w:val="6CA660C6"/>
    <w:rsid w:val="6CB16EE7"/>
    <w:rsid w:val="6CB74AEB"/>
    <w:rsid w:val="6CCA0247"/>
    <w:rsid w:val="6CD15758"/>
    <w:rsid w:val="6CD37218"/>
    <w:rsid w:val="6CEE1AE0"/>
    <w:rsid w:val="6CF60AEB"/>
    <w:rsid w:val="6CF92846"/>
    <w:rsid w:val="6D08015D"/>
    <w:rsid w:val="6D0C7CC1"/>
    <w:rsid w:val="6D114CC8"/>
    <w:rsid w:val="6D1B7B8F"/>
    <w:rsid w:val="6D1F7D51"/>
    <w:rsid w:val="6D2319F3"/>
    <w:rsid w:val="6D4E7560"/>
    <w:rsid w:val="6D560B5C"/>
    <w:rsid w:val="6D7F5316"/>
    <w:rsid w:val="6D904226"/>
    <w:rsid w:val="6DA53892"/>
    <w:rsid w:val="6DD16B74"/>
    <w:rsid w:val="6DDE697E"/>
    <w:rsid w:val="6E3B2404"/>
    <w:rsid w:val="6E6673A4"/>
    <w:rsid w:val="6E674B6E"/>
    <w:rsid w:val="6E6F3A86"/>
    <w:rsid w:val="6EAD50FA"/>
    <w:rsid w:val="6EBE0F09"/>
    <w:rsid w:val="6EC35E6A"/>
    <w:rsid w:val="6EC3727D"/>
    <w:rsid w:val="6EDB4A97"/>
    <w:rsid w:val="6EF4181B"/>
    <w:rsid w:val="6EFA7B59"/>
    <w:rsid w:val="6F04528F"/>
    <w:rsid w:val="6F127E8D"/>
    <w:rsid w:val="6F1E1AEE"/>
    <w:rsid w:val="6F367D13"/>
    <w:rsid w:val="6F4E0F8D"/>
    <w:rsid w:val="6F6B7C4F"/>
    <w:rsid w:val="6FE121B0"/>
    <w:rsid w:val="6FF62B9A"/>
    <w:rsid w:val="701344A2"/>
    <w:rsid w:val="702E48A7"/>
    <w:rsid w:val="704407A7"/>
    <w:rsid w:val="705E185C"/>
    <w:rsid w:val="706C1783"/>
    <w:rsid w:val="70757E06"/>
    <w:rsid w:val="7083103F"/>
    <w:rsid w:val="70A16958"/>
    <w:rsid w:val="70B54088"/>
    <w:rsid w:val="70BF7D61"/>
    <w:rsid w:val="70D93AF8"/>
    <w:rsid w:val="70FC0D77"/>
    <w:rsid w:val="711D671B"/>
    <w:rsid w:val="71334A9A"/>
    <w:rsid w:val="71541848"/>
    <w:rsid w:val="71592E10"/>
    <w:rsid w:val="71816900"/>
    <w:rsid w:val="718B5B3C"/>
    <w:rsid w:val="71B31468"/>
    <w:rsid w:val="71EC4E3F"/>
    <w:rsid w:val="720249E1"/>
    <w:rsid w:val="72157AE5"/>
    <w:rsid w:val="721A7E68"/>
    <w:rsid w:val="7245398D"/>
    <w:rsid w:val="72710F59"/>
    <w:rsid w:val="72986E1C"/>
    <w:rsid w:val="729D3E16"/>
    <w:rsid w:val="72B85AA5"/>
    <w:rsid w:val="72C323A7"/>
    <w:rsid w:val="72E7121F"/>
    <w:rsid w:val="72E96687"/>
    <w:rsid w:val="73001843"/>
    <w:rsid w:val="730F502F"/>
    <w:rsid w:val="73443EBA"/>
    <w:rsid w:val="736B5AF5"/>
    <w:rsid w:val="736B6717"/>
    <w:rsid w:val="736F4511"/>
    <w:rsid w:val="73842D47"/>
    <w:rsid w:val="73A942AE"/>
    <w:rsid w:val="73C174E0"/>
    <w:rsid w:val="73CB182D"/>
    <w:rsid w:val="73DE2529"/>
    <w:rsid w:val="73EB3641"/>
    <w:rsid w:val="74573971"/>
    <w:rsid w:val="745F4D53"/>
    <w:rsid w:val="74712927"/>
    <w:rsid w:val="74751ECE"/>
    <w:rsid w:val="74C34405"/>
    <w:rsid w:val="74C865BD"/>
    <w:rsid w:val="74D402C4"/>
    <w:rsid w:val="74E8213F"/>
    <w:rsid w:val="75150AA4"/>
    <w:rsid w:val="75165ABF"/>
    <w:rsid w:val="75283695"/>
    <w:rsid w:val="75287689"/>
    <w:rsid w:val="752A2138"/>
    <w:rsid w:val="75303175"/>
    <w:rsid w:val="75346852"/>
    <w:rsid w:val="757011D7"/>
    <w:rsid w:val="75A265DA"/>
    <w:rsid w:val="75A554AE"/>
    <w:rsid w:val="75D02E36"/>
    <w:rsid w:val="75E01B61"/>
    <w:rsid w:val="75FB417C"/>
    <w:rsid w:val="76017E4F"/>
    <w:rsid w:val="760F14E8"/>
    <w:rsid w:val="761051C2"/>
    <w:rsid w:val="762A0F1D"/>
    <w:rsid w:val="763212BC"/>
    <w:rsid w:val="76423560"/>
    <w:rsid w:val="76611827"/>
    <w:rsid w:val="766C1C9D"/>
    <w:rsid w:val="767712D6"/>
    <w:rsid w:val="76821471"/>
    <w:rsid w:val="76B45823"/>
    <w:rsid w:val="76BD1FD3"/>
    <w:rsid w:val="76D76F21"/>
    <w:rsid w:val="76DA4904"/>
    <w:rsid w:val="7701161D"/>
    <w:rsid w:val="771D496C"/>
    <w:rsid w:val="772D558C"/>
    <w:rsid w:val="77316C48"/>
    <w:rsid w:val="77842028"/>
    <w:rsid w:val="77882967"/>
    <w:rsid w:val="778E0FEC"/>
    <w:rsid w:val="779F6483"/>
    <w:rsid w:val="77D570D8"/>
    <w:rsid w:val="77DB14BF"/>
    <w:rsid w:val="77E231C5"/>
    <w:rsid w:val="77F502A7"/>
    <w:rsid w:val="77F8407C"/>
    <w:rsid w:val="781C7051"/>
    <w:rsid w:val="78231C3E"/>
    <w:rsid w:val="78322ECF"/>
    <w:rsid w:val="7848798D"/>
    <w:rsid w:val="784C401D"/>
    <w:rsid w:val="785F7CBE"/>
    <w:rsid w:val="786325DE"/>
    <w:rsid w:val="787C68A6"/>
    <w:rsid w:val="78A346B1"/>
    <w:rsid w:val="78C57A08"/>
    <w:rsid w:val="78DF7DFF"/>
    <w:rsid w:val="78E63BF1"/>
    <w:rsid w:val="78EA71C7"/>
    <w:rsid w:val="78EE6D37"/>
    <w:rsid w:val="78F11BCF"/>
    <w:rsid w:val="796115DC"/>
    <w:rsid w:val="796814DD"/>
    <w:rsid w:val="79994F57"/>
    <w:rsid w:val="79B065E7"/>
    <w:rsid w:val="79C41F65"/>
    <w:rsid w:val="79E572F7"/>
    <w:rsid w:val="79EE4BF3"/>
    <w:rsid w:val="79FA6D1F"/>
    <w:rsid w:val="79FC47DB"/>
    <w:rsid w:val="7A084713"/>
    <w:rsid w:val="7A231E68"/>
    <w:rsid w:val="7A4345C9"/>
    <w:rsid w:val="7A44175C"/>
    <w:rsid w:val="7A503943"/>
    <w:rsid w:val="7A73619C"/>
    <w:rsid w:val="7A99187B"/>
    <w:rsid w:val="7AA132B0"/>
    <w:rsid w:val="7AA661E7"/>
    <w:rsid w:val="7AAD56B9"/>
    <w:rsid w:val="7AB4312C"/>
    <w:rsid w:val="7ACE54D2"/>
    <w:rsid w:val="7ACF4850"/>
    <w:rsid w:val="7B0B6310"/>
    <w:rsid w:val="7B277CB9"/>
    <w:rsid w:val="7B3858CA"/>
    <w:rsid w:val="7B3B53A9"/>
    <w:rsid w:val="7B443928"/>
    <w:rsid w:val="7B55619D"/>
    <w:rsid w:val="7B6638A4"/>
    <w:rsid w:val="7BAD5044"/>
    <w:rsid w:val="7BB811E9"/>
    <w:rsid w:val="7BBC74E0"/>
    <w:rsid w:val="7BD74DCE"/>
    <w:rsid w:val="7BFC2810"/>
    <w:rsid w:val="7BFE63F7"/>
    <w:rsid w:val="7C223702"/>
    <w:rsid w:val="7C225BDD"/>
    <w:rsid w:val="7C2F6BE5"/>
    <w:rsid w:val="7C492ED5"/>
    <w:rsid w:val="7C5F10DC"/>
    <w:rsid w:val="7C844CB5"/>
    <w:rsid w:val="7C9145A8"/>
    <w:rsid w:val="7C9A3BE0"/>
    <w:rsid w:val="7CB72E1D"/>
    <w:rsid w:val="7CCC19B9"/>
    <w:rsid w:val="7CD43AAA"/>
    <w:rsid w:val="7CDB4F8E"/>
    <w:rsid w:val="7CEE102E"/>
    <w:rsid w:val="7D0415BA"/>
    <w:rsid w:val="7D08637E"/>
    <w:rsid w:val="7D242D00"/>
    <w:rsid w:val="7D3C597C"/>
    <w:rsid w:val="7D612BC7"/>
    <w:rsid w:val="7DEE74B7"/>
    <w:rsid w:val="7E405E88"/>
    <w:rsid w:val="7E6040D0"/>
    <w:rsid w:val="7E604FB3"/>
    <w:rsid w:val="7E610108"/>
    <w:rsid w:val="7E7C2C6F"/>
    <w:rsid w:val="7E813927"/>
    <w:rsid w:val="7E9A36F5"/>
    <w:rsid w:val="7EAF5632"/>
    <w:rsid w:val="7EB81005"/>
    <w:rsid w:val="7EC70613"/>
    <w:rsid w:val="7EF055E3"/>
    <w:rsid w:val="7EFE5583"/>
    <w:rsid w:val="7F0F325F"/>
    <w:rsid w:val="7F291D87"/>
    <w:rsid w:val="7F4C60AA"/>
    <w:rsid w:val="7F6150DC"/>
    <w:rsid w:val="7F6B5773"/>
    <w:rsid w:val="7F780998"/>
    <w:rsid w:val="7F7F1549"/>
    <w:rsid w:val="7FC1770E"/>
    <w:rsid w:val="7FD85CDA"/>
    <w:rsid w:val="7FFF4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99"/>
    <w:pPr>
      <w:keepNext/>
      <w:autoSpaceDE w:val="0"/>
      <w:autoSpaceDN w:val="0"/>
      <w:adjustRightInd w:val="0"/>
      <w:spacing w:line="312" w:lineRule="atLeast"/>
      <w:ind w:right="-113" w:firstLine="525"/>
      <w:jc w:val="left"/>
      <w:textAlignment w:val="bottom"/>
      <w:outlineLvl w:val="0"/>
    </w:pPr>
    <w:rPr>
      <w:rFonts w:ascii="仿宋体" w:eastAsia="仿宋体" w:cs="仿宋体"/>
      <w:kern w:val="0"/>
      <w:sz w:val="28"/>
      <w:szCs w:val="28"/>
    </w:rPr>
  </w:style>
  <w:style w:type="paragraph" w:styleId="4">
    <w:name w:val="heading 2"/>
    <w:basedOn w:val="1"/>
    <w:next w:val="1"/>
    <w:link w:val="36"/>
    <w:qFormat/>
    <w:uiPriority w:val="99"/>
    <w:pPr>
      <w:keepNext/>
      <w:tabs>
        <w:tab w:val="left" w:pos="975"/>
      </w:tabs>
      <w:adjustRightInd w:val="0"/>
      <w:snapToGrid w:val="0"/>
      <w:ind w:left="975" w:hanging="420"/>
      <w:outlineLvl w:val="1"/>
    </w:pPr>
    <w:rPr>
      <w:rFonts w:ascii="仿宋_GB2312" w:eastAsia="仿宋_GB2312"/>
      <w:b/>
      <w:bCs/>
      <w:sz w:val="28"/>
      <w:szCs w:val="20"/>
    </w:rPr>
  </w:style>
  <w:style w:type="paragraph" w:styleId="2">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1"/>
    <w:semiHidden/>
    <w:qFormat/>
    <w:uiPriority w:val="99"/>
    <w:pPr>
      <w:jc w:val="left"/>
    </w:pPr>
    <w:rPr>
      <w:szCs w:val="21"/>
    </w:rPr>
  </w:style>
  <w:style w:type="paragraph" w:styleId="6">
    <w:name w:val="Body Text"/>
    <w:basedOn w:val="1"/>
    <w:link w:val="42"/>
    <w:qFormat/>
    <w:uiPriority w:val="99"/>
    <w:pPr>
      <w:tabs>
        <w:tab w:val="left" w:pos="0"/>
      </w:tabs>
    </w:pPr>
    <w:rPr>
      <w:rFonts w:ascii="楷体_GB2312" w:eastAsia="楷体_GB2312" w:cs="楷体_GB2312"/>
      <w:sz w:val="32"/>
      <w:szCs w:val="32"/>
    </w:rPr>
  </w:style>
  <w:style w:type="paragraph" w:styleId="7">
    <w:name w:val="Body Text Indent"/>
    <w:basedOn w:val="1"/>
    <w:link w:val="43"/>
    <w:qFormat/>
    <w:uiPriority w:val="99"/>
    <w:pPr>
      <w:tabs>
        <w:tab w:val="left" w:pos="720"/>
      </w:tabs>
      <w:ind w:firstLine="549" w:firstLineChars="200"/>
    </w:pPr>
    <w:rPr>
      <w:rFonts w:ascii="宋体" w:cs="宋体"/>
      <w:sz w:val="28"/>
      <w:szCs w:val="28"/>
    </w:rPr>
  </w:style>
  <w:style w:type="paragraph" w:styleId="8">
    <w:name w:val="toc 3"/>
    <w:basedOn w:val="1"/>
    <w:next w:val="1"/>
    <w:qFormat/>
    <w:uiPriority w:val="99"/>
    <w:pPr>
      <w:widowControl/>
      <w:spacing w:after="100" w:line="276" w:lineRule="auto"/>
      <w:ind w:left="440"/>
      <w:jc w:val="left"/>
    </w:pPr>
    <w:rPr>
      <w:rFonts w:ascii="Calibri" w:hAnsi="Calibri" w:cs="Arial"/>
      <w:kern w:val="0"/>
      <w:sz w:val="22"/>
      <w:szCs w:val="22"/>
    </w:rPr>
  </w:style>
  <w:style w:type="paragraph" w:styleId="9">
    <w:name w:val="Plain Text"/>
    <w:basedOn w:val="1"/>
    <w:link w:val="44"/>
    <w:qFormat/>
    <w:uiPriority w:val="0"/>
    <w:rPr>
      <w:rFonts w:ascii="宋体" w:hAnsi="Courier New" w:cs="宋体"/>
      <w:sz w:val="28"/>
      <w:szCs w:val="28"/>
    </w:rPr>
  </w:style>
  <w:style w:type="paragraph" w:styleId="10">
    <w:name w:val="Date"/>
    <w:basedOn w:val="1"/>
    <w:next w:val="1"/>
    <w:link w:val="45"/>
    <w:qFormat/>
    <w:uiPriority w:val="99"/>
    <w:pPr>
      <w:ind w:left="100" w:leftChars="2500"/>
    </w:pPr>
    <w:rPr>
      <w:szCs w:val="21"/>
    </w:rPr>
  </w:style>
  <w:style w:type="paragraph" w:styleId="11">
    <w:name w:val="Balloon Text"/>
    <w:basedOn w:val="1"/>
    <w:link w:val="46"/>
    <w:qFormat/>
    <w:uiPriority w:val="99"/>
    <w:rPr>
      <w:sz w:val="18"/>
      <w:szCs w:val="18"/>
    </w:rPr>
  </w:style>
  <w:style w:type="paragraph" w:styleId="12">
    <w:name w:val="footer"/>
    <w:basedOn w:val="1"/>
    <w:link w:val="35"/>
    <w:unhideWhenUsed/>
    <w:qFormat/>
    <w:uiPriority w:val="99"/>
    <w:pPr>
      <w:tabs>
        <w:tab w:val="center" w:pos="4153"/>
        <w:tab w:val="right" w:pos="8306"/>
      </w:tabs>
      <w:snapToGrid w:val="0"/>
      <w:jc w:val="left"/>
    </w:pPr>
    <w:rPr>
      <w:sz w:val="18"/>
      <w:szCs w:val="18"/>
    </w:rPr>
  </w:style>
  <w:style w:type="paragraph" w:styleId="13">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Body Text Indent 3"/>
    <w:basedOn w:val="1"/>
    <w:link w:val="47"/>
    <w:qFormat/>
    <w:uiPriority w:val="99"/>
    <w:pPr>
      <w:tabs>
        <w:tab w:val="left" w:pos="0"/>
      </w:tabs>
      <w:ind w:left="420"/>
    </w:pPr>
    <w:rPr>
      <w:rFonts w:ascii="楷体_GB2312" w:eastAsia="楷体_GB2312" w:cs="楷体_GB2312"/>
      <w:sz w:val="36"/>
      <w:szCs w:val="36"/>
    </w:rPr>
  </w:style>
  <w:style w:type="paragraph" w:styleId="16">
    <w:name w:val="toc 2"/>
    <w:basedOn w:val="1"/>
    <w:next w:val="1"/>
    <w:qFormat/>
    <w:uiPriority w:val="39"/>
    <w:pPr>
      <w:ind w:left="420" w:leftChars="200"/>
    </w:pPr>
  </w:style>
  <w:style w:type="paragraph" w:styleId="17">
    <w:name w:val="Body Text 2"/>
    <w:basedOn w:val="1"/>
    <w:link w:val="48"/>
    <w:qFormat/>
    <w:uiPriority w:val="99"/>
    <w:pPr>
      <w:tabs>
        <w:tab w:val="left" w:pos="0"/>
      </w:tabs>
      <w:ind w:right="-107" w:rightChars="-51"/>
    </w:pPr>
    <w:rPr>
      <w:rFonts w:ascii="仿宋_GB2312" w:hAnsi="宋体" w:eastAsia="仿宋_GB2312" w:cs="仿宋_GB2312"/>
      <w:spacing w:val="-2"/>
      <w:sz w:val="24"/>
    </w:rPr>
  </w:style>
  <w:style w:type="paragraph" w:styleId="18">
    <w:name w:val="Normal (Web)"/>
    <w:basedOn w:val="1"/>
    <w:qFormat/>
    <w:uiPriority w:val="99"/>
    <w:pPr>
      <w:widowControl/>
      <w:spacing w:before="100" w:beforeAutospacing="1" w:after="100" w:afterAutospacing="1"/>
      <w:jc w:val="left"/>
    </w:pPr>
    <w:rPr>
      <w:rFonts w:ascii="Arial Unicode MS" w:hAnsi="Arial Unicode MS" w:cs="Arial Unicode MS"/>
      <w:kern w:val="0"/>
      <w:sz w:val="24"/>
    </w:rPr>
  </w:style>
  <w:style w:type="table" w:styleId="20">
    <w:name w:val="Table Grid"/>
    <w:basedOn w:val="19"/>
    <w:qFormat/>
    <w:uiPriority w:val="99"/>
    <w:rPr>
      <w:rFonts w:ascii="Times New Roman" w:hAnsi="Times New Roman" w:eastAsia="宋体" w:cs="Calibri"/>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Strong"/>
    <w:basedOn w:val="21"/>
    <w:qFormat/>
    <w:uiPriority w:val="22"/>
    <w:rPr>
      <w:b/>
    </w:rPr>
  </w:style>
  <w:style w:type="character" w:styleId="23">
    <w:name w:val="page number"/>
    <w:qFormat/>
    <w:uiPriority w:val="99"/>
    <w:rPr>
      <w:rFonts w:cs="Times New Roman"/>
    </w:rPr>
  </w:style>
  <w:style w:type="character" w:styleId="24">
    <w:name w:val="FollowedHyperlink"/>
    <w:basedOn w:val="21"/>
    <w:qFormat/>
    <w:uiPriority w:val="99"/>
    <w:rPr>
      <w:rFonts w:cs="Times New Roman"/>
      <w:color w:val="800080"/>
      <w:u w:val="single"/>
    </w:rPr>
  </w:style>
  <w:style w:type="character" w:styleId="25">
    <w:name w:val="Emphasis"/>
    <w:basedOn w:val="21"/>
    <w:qFormat/>
    <w:uiPriority w:val="20"/>
  </w:style>
  <w:style w:type="character" w:styleId="26">
    <w:name w:val="HTML Definition"/>
    <w:basedOn w:val="21"/>
    <w:semiHidden/>
    <w:unhideWhenUsed/>
    <w:qFormat/>
    <w:uiPriority w:val="99"/>
  </w:style>
  <w:style w:type="character" w:styleId="27">
    <w:name w:val="HTML Variable"/>
    <w:basedOn w:val="21"/>
    <w:semiHidden/>
    <w:unhideWhenUsed/>
    <w:qFormat/>
    <w:uiPriority w:val="99"/>
  </w:style>
  <w:style w:type="character" w:styleId="28">
    <w:name w:val="Hyperlink"/>
    <w:qFormat/>
    <w:uiPriority w:val="99"/>
    <w:rPr>
      <w:rFonts w:cs="Times New Roman"/>
      <w:color w:val="0000FF"/>
      <w:u w:val="single"/>
    </w:rPr>
  </w:style>
  <w:style w:type="character" w:styleId="29">
    <w:name w:val="HTML Code"/>
    <w:basedOn w:val="21"/>
    <w:semiHidden/>
    <w:unhideWhenUsed/>
    <w:qFormat/>
    <w:uiPriority w:val="99"/>
    <w:rPr>
      <w:rFonts w:hint="default" w:ascii="serif" w:hAnsi="serif" w:eastAsia="serif" w:cs="serif"/>
      <w:sz w:val="21"/>
      <w:szCs w:val="21"/>
    </w:rPr>
  </w:style>
  <w:style w:type="character" w:styleId="30">
    <w:name w:val="annotation reference"/>
    <w:basedOn w:val="21"/>
    <w:semiHidden/>
    <w:qFormat/>
    <w:uiPriority w:val="99"/>
    <w:rPr>
      <w:rFonts w:cs="Times New Roman"/>
      <w:sz w:val="21"/>
      <w:szCs w:val="21"/>
    </w:rPr>
  </w:style>
  <w:style w:type="character" w:styleId="31">
    <w:name w:val="HTML Cite"/>
    <w:basedOn w:val="21"/>
    <w:semiHidden/>
    <w:unhideWhenUsed/>
    <w:qFormat/>
    <w:uiPriority w:val="99"/>
  </w:style>
  <w:style w:type="character" w:styleId="32">
    <w:name w:val="HTML Keyboard"/>
    <w:basedOn w:val="21"/>
    <w:semiHidden/>
    <w:unhideWhenUsed/>
    <w:qFormat/>
    <w:uiPriority w:val="99"/>
    <w:rPr>
      <w:rFonts w:ascii="serif" w:hAnsi="serif" w:eastAsia="serif" w:cs="serif"/>
      <w:sz w:val="21"/>
      <w:szCs w:val="21"/>
    </w:rPr>
  </w:style>
  <w:style w:type="character" w:styleId="33">
    <w:name w:val="HTML Sample"/>
    <w:basedOn w:val="21"/>
    <w:semiHidden/>
    <w:unhideWhenUsed/>
    <w:qFormat/>
    <w:uiPriority w:val="99"/>
    <w:rPr>
      <w:rFonts w:hint="default" w:ascii="serif" w:hAnsi="serif" w:eastAsia="serif" w:cs="serif"/>
      <w:sz w:val="21"/>
      <w:szCs w:val="21"/>
    </w:rPr>
  </w:style>
  <w:style w:type="character" w:customStyle="1" w:styleId="34">
    <w:name w:val="页眉 字符"/>
    <w:basedOn w:val="21"/>
    <w:link w:val="13"/>
    <w:qFormat/>
    <w:uiPriority w:val="99"/>
    <w:rPr>
      <w:sz w:val="18"/>
      <w:szCs w:val="18"/>
    </w:rPr>
  </w:style>
  <w:style w:type="character" w:customStyle="1" w:styleId="35">
    <w:name w:val="页脚 字符"/>
    <w:basedOn w:val="21"/>
    <w:link w:val="12"/>
    <w:qFormat/>
    <w:uiPriority w:val="99"/>
    <w:rPr>
      <w:sz w:val="18"/>
      <w:szCs w:val="18"/>
    </w:rPr>
  </w:style>
  <w:style w:type="character" w:customStyle="1" w:styleId="36">
    <w:name w:val="标题 2 字符"/>
    <w:basedOn w:val="21"/>
    <w:link w:val="4"/>
    <w:qFormat/>
    <w:uiPriority w:val="9"/>
    <w:rPr>
      <w:rFonts w:ascii="仿宋_GB2312" w:hAnsi="Times New Roman" w:eastAsia="仿宋_GB2312" w:cs="Times New Roman"/>
      <w:b/>
      <w:bCs/>
      <w:sz w:val="28"/>
      <w:szCs w:val="20"/>
    </w:rPr>
  </w:style>
  <w:style w:type="paragraph" w:styleId="37">
    <w:name w:val="List Paragraph"/>
    <w:basedOn w:val="1"/>
    <w:qFormat/>
    <w:uiPriority w:val="99"/>
    <w:pPr>
      <w:ind w:firstLine="420" w:firstLineChars="200"/>
    </w:pPr>
  </w:style>
  <w:style w:type="paragraph" w:customStyle="1" w:styleId="38">
    <w:name w:val="列出段落1"/>
    <w:basedOn w:val="1"/>
    <w:qFormat/>
    <w:uiPriority w:val="0"/>
    <w:pPr>
      <w:ind w:firstLine="420" w:firstLineChars="200"/>
    </w:pPr>
    <w:rPr>
      <w:szCs w:val="21"/>
    </w:rPr>
  </w:style>
  <w:style w:type="character" w:customStyle="1" w:styleId="39">
    <w:name w:val="标题 1 字符"/>
    <w:basedOn w:val="21"/>
    <w:link w:val="3"/>
    <w:qFormat/>
    <w:uiPriority w:val="9"/>
    <w:rPr>
      <w:rFonts w:ascii="仿宋体" w:hAnsi="Times New Roman" w:eastAsia="仿宋体" w:cs="仿宋体"/>
      <w:kern w:val="0"/>
      <w:sz w:val="28"/>
      <w:szCs w:val="28"/>
    </w:rPr>
  </w:style>
  <w:style w:type="character" w:customStyle="1" w:styleId="40">
    <w:name w:val="标题 3 字符"/>
    <w:basedOn w:val="21"/>
    <w:link w:val="2"/>
    <w:qFormat/>
    <w:uiPriority w:val="0"/>
    <w:rPr>
      <w:rFonts w:ascii="Times New Roman" w:hAnsi="Times New Roman" w:eastAsia="宋体" w:cs="Times New Roman"/>
      <w:b/>
      <w:bCs/>
      <w:sz w:val="32"/>
      <w:szCs w:val="32"/>
    </w:rPr>
  </w:style>
  <w:style w:type="character" w:customStyle="1" w:styleId="41">
    <w:name w:val="批注文字 字符"/>
    <w:basedOn w:val="21"/>
    <w:link w:val="5"/>
    <w:qFormat/>
    <w:uiPriority w:val="99"/>
    <w:rPr>
      <w:rFonts w:ascii="Times New Roman" w:hAnsi="Times New Roman" w:eastAsia="宋体" w:cs="Times New Roman"/>
      <w:szCs w:val="21"/>
    </w:rPr>
  </w:style>
  <w:style w:type="character" w:customStyle="1" w:styleId="42">
    <w:name w:val="正文文本 字符"/>
    <w:basedOn w:val="21"/>
    <w:link w:val="6"/>
    <w:qFormat/>
    <w:uiPriority w:val="99"/>
    <w:rPr>
      <w:rFonts w:ascii="楷体_GB2312" w:hAnsi="Times New Roman" w:eastAsia="楷体_GB2312" w:cs="楷体_GB2312"/>
      <w:sz w:val="32"/>
      <w:szCs w:val="32"/>
    </w:rPr>
  </w:style>
  <w:style w:type="character" w:customStyle="1" w:styleId="43">
    <w:name w:val="正文文本缩进 字符"/>
    <w:basedOn w:val="21"/>
    <w:link w:val="7"/>
    <w:qFormat/>
    <w:uiPriority w:val="99"/>
    <w:rPr>
      <w:rFonts w:ascii="宋体" w:hAnsi="Times New Roman" w:eastAsia="宋体" w:cs="宋体"/>
      <w:sz w:val="28"/>
      <w:szCs w:val="28"/>
    </w:rPr>
  </w:style>
  <w:style w:type="character" w:customStyle="1" w:styleId="44">
    <w:name w:val="纯文本 字符"/>
    <w:basedOn w:val="21"/>
    <w:link w:val="9"/>
    <w:qFormat/>
    <w:uiPriority w:val="0"/>
    <w:rPr>
      <w:rFonts w:ascii="宋体" w:hAnsi="Courier New" w:eastAsia="宋体" w:cs="宋体"/>
      <w:sz w:val="28"/>
      <w:szCs w:val="28"/>
    </w:rPr>
  </w:style>
  <w:style w:type="character" w:customStyle="1" w:styleId="45">
    <w:name w:val="日期 字符"/>
    <w:basedOn w:val="21"/>
    <w:link w:val="10"/>
    <w:qFormat/>
    <w:uiPriority w:val="99"/>
    <w:rPr>
      <w:rFonts w:ascii="Times New Roman" w:hAnsi="Times New Roman" w:eastAsia="宋体" w:cs="Times New Roman"/>
      <w:szCs w:val="21"/>
    </w:rPr>
  </w:style>
  <w:style w:type="character" w:customStyle="1" w:styleId="46">
    <w:name w:val="批注框文本 字符"/>
    <w:basedOn w:val="21"/>
    <w:link w:val="11"/>
    <w:semiHidden/>
    <w:qFormat/>
    <w:uiPriority w:val="99"/>
    <w:rPr>
      <w:rFonts w:ascii="Times New Roman" w:hAnsi="Times New Roman" w:eastAsia="宋体" w:cs="Times New Roman"/>
      <w:sz w:val="18"/>
      <w:szCs w:val="18"/>
    </w:rPr>
  </w:style>
  <w:style w:type="character" w:customStyle="1" w:styleId="47">
    <w:name w:val="正文文本缩进 3 字符"/>
    <w:basedOn w:val="21"/>
    <w:link w:val="15"/>
    <w:qFormat/>
    <w:uiPriority w:val="99"/>
    <w:rPr>
      <w:rFonts w:ascii="楷体_GB2312" w:hAnsi="Times New Roman" w:eastAsia="楷体_GB2312" w:cs="楷体_GB2312"/>
      <w:sz w:val="36"/>
      <w:szCs w:val="36"/>
    </w:rPr>
  </w:style>
  <w:style w:type="character" w:customStyle="1" w:styleId="48">
    <w:name w:val="正文文本 2 字符"/>
    <w:basedOn w:val="21"/>
    <w:link w:val="17"/>
    <w:qFormat/>
    <w:uiPriority w:val="99"/>
    <w:rPr>
      <w:rFonts w:ascii="仿宋_GB2312" w:hAnsi="宋体" w:eastAsia="仿宋_GB2312" w:cs="仿宋_GB2312"/>
      <w:spacing w:val="-2"/>
      <w:sz w:val="24"/>
      <w:szCs w:val="24"/>
    </w:rPr>
  </w:style>
  <w:style w:type="paragraph" w:customStyle="1" w:styleId="49">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50">
    <w:name w:val="列出段落11"/>
    <w:basedOn w:val="1"/>
    <w:qFormat/>
    <w:uiPriority w:val="99"/>
    <w:pPr>
      <w:ind w:firstLine="420" w:firstLineChars="200"/>
    </w:pPr>
    <w:rPr>
      <w:szCs w:val="21"/>
    </w:rPr>
  </w:style>
  <w:style w:type="paragraph" w:customStyle="1" w:styleId="51">
    <w:name w:val="列出段落2"/>
    <w:basedOn w:val="1"/>
    <w:qFormat/>
    <w:uiPriority w:val="99"/>
    <w:pPr>
      <w:ind w:firstLine="420" w:firstLineChars="200"/>
    </w:pPr>
    <w:rPr>
      <w:szCs w:val="21"/>
    </w:rPr>
  </w:style>
  <w:style w:type="paragraph" w:customStyle="1" w:styleId="52">
    <w:name w:val="列出段落3"/>
    <w:basedOn w:val="1"/>
    <w:qFormat/>
    <w:uiPriority w:val="99"/>
    <w:pPr>
      <w:ind w:firstLine="420" w:firstLineChars="200"/>
    </w:pPr>
    <w:rPr>
      <w:szCs w:val="21"/>
    </w:rPr>
  </w:style>
  <w:style w:type="character" w:customStyle="1" w:styleId="53">
    <w:name w:val="black"/>
    <w:basedOn w:val="21"/>
    <w:qFormat/>
    <w:uiPriority w:val="99"/>
    <w:rPr>
      <w:rFonts w:cs="Times New Roman"/>
    </w:rPr>
  </w:style>
  <w:style w:type="character" w:customStyle="1" w:styleId="54">
    <w:name w:val="apple-converted-space"/>
    <w:basedOn w:val="21"/>
    <w:qFormat/>
    <w:uiPriority w:val="0"/>
  </w:style>
  <w:style w:type="character" w:customStyle="1" w:styleId="55">
    <w:name w:val="clampword2"/>
    <w:basedOn w:val="21"/>
    <w:qFormat/>
    <w:uiPriority w:val="0"/>
  </w:style>
  <w:style w:type="character" w:customStyle="1" w:styleId="56">
    <w:name w:val="generalinfo-address-text2"/>
    <w:basedOn w:val="21"/>
    <w:qFormat/>
    <w:uiPriority w:val="0"/>
  </w:style>
  <w:style w:type="character" w:customStyle="1" w:styleId="57">
    <w:name w:val="nick-name2"/>
    <w:basedOn w:val="21"/>
    <w:qFormat/>
    <w:uiPriority w:val="0"/>
  </w:style>
  <w:style w:type="character" w:customStyle="1" w:styleId="58">
    <w:name w:val="title5"/>
    <w:basedOn w:val="21"/>
    <w:qFormat/>
    <w:uiPriority w:val="0"/>
    <w:rPr>
      <w:rFonts w:hint="eastAsia" w:ascii="微软雅黑" w:hAnsi="微软雅黑" w:eastAsia="微软雅黑"/>
      <w:b/>
      <w:bCs/>
      <w:sz w:val="54"/>
      <w:szCs w:val="54"/>
      <w:vertAlign w:val="baseline"/>
    </w:rPr>
  </w:style>
  <w:style w:type="paragraph" w:customStyle="1" w:styleId="59">
    <w:name w:val="TOC 标题1"/>
    <w:basedOn w:val="3"/>
    <w:next w:val="1"/>
    <w:qFormat/>
    <w:uiPriority w:val="99"/>
    <w:pPr>
      <w:keepLines/>
      <w:widowControl/>
      <w:autoSpaceDE/>
      <w:autoSpaceDN/>
      <w:adjustRightInd/>
      <w:spacing w:before="480" w:line="276" w:lineRule="auto"/>
      <w:ind w:right="0" w:firstLine="0"/>
      <w:textAlignment w:val="auto"/>
      <w:outlineLvl w:val="9"/>
    </w:pPr>
    <w:rPr>
      <w:rFonts w:ascii="Cambria" w:hAnsi="Cambria" w:eastAsia="宋体" w:cs="Times New Roman"/>
      <w:b/>
      <w:bCs/>
      <w:color w:val="365F91"/>
    </w:rPr>
  </w:style>
  <w:style w:type="paragraph" w:customStyle="1" w:styleId="60">
    <w:name w:val="默认段落字体 Para Char"/>
    <w:basedOn w:val="1"/>
    <w:next w:val="1"/>
    <w:qFormat/>
    <w:uiPriority w:val="99"/>
    <w:pPr>
      <w:spacing w:line="360" w:lineRule="auto"/>
      <w:ind w:firstLine="200" w:firstLineChars="200"/>
    </w:pPr>
    <w:rPr>
      <w:rFonts w:ascii="宋体" w:cs="宋体"/>
      <w:sz w:val="24"/>
    </w:rPr>
  </w:style>
  <w:style w:type="character" w:customStyle="1" w:styleId="61">
    <w:name w:val="fontstrikethrough"/>
    <w:basedOn w:val="21"/>
    <w:qFormat/>
    <w:uiPriority w:val="0"/>
    <w:rPr>
      <w:strike/>
    </w:rPr>
  </w:style>
  <w:style w:type="character" w:customStyle="1" w:styleId="62">
    <w:name w:val="fontborder"/>
    <w:basedOn w:val="21"/>
    <w:qFormat/>
    <w:uiPriority w:val="0"/>
    <w:rPr>
      <w:bdr w:val="single" w:color="000000" w:sz="6" w:space="0"/>
    </w:rPr>
  </w:style>
  <w:style w:type="character" w:customStyle="1" w:styleId="63">
    <w:name w:val="current"/>
    <w:basedOn w:val="21"/>
    <w:qFormat/>
    <w:uiPriority w:val="0"/>
    <w:rPr>
      <w:color w:val="FFFFFF"/>
      <w:u w:val="none"/>
      <w:shd w:val="clear" w:fill="CC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99435C-9522-47E6-AABB-66B9E04ABBE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6833</Words>
  <Characters>38950</Characters>
  <Lines>324</Lines>
  <Paragraphs>91</Paragraphs>
  <TotalTime>41</TotalTime>
  <ScaleCrop>false</ScaleCrop>
  <LinksUpToDate>false</LinksUpToDate>
  <CharactersWithSpaces>45692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2018-07-24T10:51:00Z</dcterms:created>
  <dc:creator>迪丽沙尔</dc:creator>
  <cp:lastModifiedBy>wl</cp:lastModifiedBy>
  <cp:lastPrinted>2020-04-03T04:32:00Z</cp:lastPrinted>
  <dcterms:modified xsi:type="dcterms:W3CDTF">2020-06-15T02:13:07Z</dcterms:modified>
  <cp:revision>3462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