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3F5" w:rsidRDefault="007C13F5" w:rsidP="007C13F5">
      <w:pPr>
        <w:snapToGrid w:val="0"/>
        <w:spacing w:line="360" w:lineRule="auto"/>
        <w:ind w:firstLineChars="200" w:firstLine="31680"/>
        <w:jc w:val="center"/>
        <w:rPr>
          <w:rFonts w:ascii="仿宋_GB2312" w:eastAsia="仿宋_GB2312" w:hAnsi="宋体"/>
          <w:b/>
          <w:bCs/>
          <w:sz w:val="44"/>
          <w:szCs w:val="44"/>
        </w:rPr>
      </w:pPr>
      <w:r>
        <w:rPr>
          <w:rFonts w:ascii="仿宋_GB2312" w:eastAsia="仿宋_GB2312" w:hAnsi="宋体" w:hint="eastAsia"/>
          <w:b/>
          <w:bCs/>
          <w:sz w:val="44"/>
          <w:szCs w:val="44"/>
        </w:rPr>
        <w:t>云南银信房地产土地资产评估有限公司</w:t>
      </w:r>
    </w:p>
    <w:p w:rsidR="007C13F5" w:rsidRDefault="007C13F5">
      <w:pPr>
        <w:snapToGrid w:val="0"/>
        <w:spacing w:line="360" w:lineRule="auto"/>
        <w:ind w:firstLineChars="200" w:firstLine="31680"/>
        <w:jc w:val="center"/>
        <w:rPr>
          <w:rFonts w:ascii="仿宋_GB2312" w:eastAsia="仿宋_GB2312" w:hAnsi="宋体"/>
          <w:b/>
          <w:bCs/>
          <w:sz w:val="44"/>
          <w:szCs w:val="44"/>
        </w:rPr>
      </w:pPr>
      <w:r>
        <w:rPr>
          <w:rFonts w:ascii="仿宋_GB2312" w:eastAsia="仿宋_GB2312" w:hAnsi="宋体" w:hint="eastAsia"/>
          <w:b/>
          <w:bCs/>
          <w:sz w:val="44"/>
          <w:szCs w:val="44"/>
        </w:rPr>
        <w:t>房地产价格评估报告</w:t>
      </w:r>
    </w:p>
    <w:p w:rsidR="007C13F5" w:rsidRDefault="007C13F5">
      <w:pPr>
        <w:snapToGrid w:val="0"/>
        <w:spacing w:line="360" w:lineRule="auto"/>
        <w:ind w:firstLineChars="200" w:firstLine="31680"/>
        <w:jc w:val="center"/>
        <w:rPr>
          <w:rFonts w:ascii="仿宋_GB2312" w:eastAsia="仿宋_GB2312" w:hAnsi="宋体"/>
          <w:sz w:val="24"/>
        </w:rPr>
      </w:pPr>
      <w:r>
        <w:rPr>
          <w:rFonts w:ascii="仿宋_GB2312" w:eastAsia="仿宋_GB2312" w:hAnsi="宋体" w:hint="eastAsia"/>
          <w:sz w:val="24"/>
        </w:rPr>
        <w:t>云银信房评字</w:t>
      </w:r>
      <w:r>
        <w:rPr>
          <w:rFonts w:ascii="仿宋_GB2312" w:eastAsia="仿宋_GB2312" w:hAnsi="宋体"/>
          <w:sz w:val="24"/>
        </w:rPr>
        <w:t>[2020]</w:t>
      </w:r>
      <w:r>
        <w:rPr>
          <w:rFonts w:ascii="仿宋_GB2312" w:eastAsia="仿宋_GB2312" w:hAnsi="宋体" w:hint="eastAsia"/>
          <w:sz w:val="24"/>
        </w:rPr>
        <w:t>第</w:t>
      </w:r>
      <w:r>
        <w:rPr>
          <w:rFonts w:ascii="仿宋_GB2312" w:eastAsia="仿宋_GB2312" w:hAnsi="宋体"/>
          <w:sz w:val="24"/>
        </w:rPr>
        <w:t>0117</w:t>
      </w:r>
      <w:r>
        <w:rPr>
          <w:rFonts w:ascii="仿宋_GB2312" w:eastAsia="仿宋_GB2312" w:hAnsi="宋体" w:hint="eastAsia"/>
          <w:sz w:val="24"/>
        </w:rPr>
        <w:t>号</w:t>
      </w:r>
    </w:p>
    <w:p w:rsidR="007C13F5" w:rsidRDefault="007C13F5">
      <w:pPr>
        <w:snapToGrid w:val="0"/>
        <w:spacing w:line="360" w:lineRule="auto"/>
        <w:ind w:firstLineChars="200" w:firstLine="31680"/>
        <w:jc w:val="center"/>
        <w:rPr>
          <w:rFonts w:ascii="宋体" w:eastAsia="仿宋_GB2312" w:hAnsi="宋体"/>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IMG_9103.JPG" style="position:absolute;left:0;text-align:left;margin-left:62.3pt;margin-top:11.25pt;width:378pt;height:283.5pt;z-index:-251659264;visibility:visible">
            <v:imagedata r:id="rId7" o:title=""/>
            <w10:wrap type="square"/>
          </v:shape>
        </w:pict>
      </w:r>
    </w:p>
    <w:p w:rsidR="007C13F5" w:rsidRDefault="007C13F5">
      <w:pPr>
        <w:snapToGrid w:val="0"/>
        <w:spacing w:line="360" w:lineRule="auto"/>
        <w:ind w:leftChars="197" w:left="31680" w:firstLineChars="200" w:firstLine="31680"/>
        <w:rPr>
          <w:rFonts w:ascii="仿宋_GB2312" w:eastAsia="仿宋_GB2312" w:hAnsi="宋体"/>
          <w:b/>
          <w:sz w:val="28"/>
        </w:rPr>
      </w:pPr>
    </w:p>
    <w:p w:rsidR="007C13F5" w:rsidRDefault="007C13F5">
      <w:pPr>
        <w:snapToGrid w:val="0"/>
        <w:spacing w:line="360" w:lineRule="auto"/>
        <w:ind w:leftChars="197" w:left="31680" w:firstLineChars="200" w:firstLine="31680"/>
        <w:rPr>
          <w:rFonts w:ascii="仿宋_GB2312" w:eastAsia="仿宋_GB2312" w:hAnsi="宋体"/>
          <w:b/>
          <w:sz w:val="28"/>
        </w:rPr>
      </w:pPr>
    </w:p>
    <w:p w:rsidR="007C13F5" w:rsidRDefault="007C13F5">
      <w:pPr>
        <w:snapToGrid w:val="0"/>
        <w:spacing w:line="360" w:lineRule="auto"/>
        <w:ind w:leftChars="197" w:left="31680" w:firstLineChars="200" w:firstLine="31680"/>
        <w:rPr>
          <w:rFonts w:ascii="仿宋_GB2312" w:eastAsia="仿宋_GB2312" w:hAnsi="宋体"/>
          <w:b/>
          <w:sz w:val="28"/>
        </w:rPr>
      </w:pPr>
    </w:p>
    <w:p w:rsidR="007C13F5" w:rsidRDefault="007C13F5">
      <w:pPr>
        <w:snapToGrid w:val="0"/>
        <w:spacing w:line="360" w:lineRule="auto"/>
        <w:ind w:leftChars="197" w:left="31680" w:firstLineChars="200" w:firstLine="31680"/>
        <w:rPr>
          <w:rFonts w:ascii="仿宋_GB2312" w:eastAsia="仿宋_GB2312" w:hAnsi="宋体"/>
          <w:b/>
          <w:sz w:val="28"/>
        </w:rPr>
      </w:pPr>
    </w:p>
    <w:p w:rsidR="007C13F5" w:rsidRDefault="007C13F5">
      <w:pPr>
        <w:snapToGrid w:val="0"/>
        <w:spacing w:line="360" w:lineRule="auto"/>
        <w:ind w:leftChars="197" w:left="31680" w:firstLineChars="200" w:firstLine="31680"/>
        <w:rPr>
          <w:rFonts w:ascii="仿宋_GB2312" w:eastAsia="仿宋_GB2312" w:hAnsi="宋体"/>
          <w:b/>
          <w:sz w:val="28"/>
        </w:rPr>
      </w:pPr>
    </w:p>
    <w:p w:rsidR="007C13F5" w:rsidRDefault="007C13F5">
      <w:pPr>
        <w:snapToGrid w:val="0"/>
        <w:spacing w:line="360" w:lineRule="auto"/>
        <w:ind w:leftChars="197" w:left="31680" w:firstLineChars="200" w:firstLine="31680"/>
        <w:rPr>
          <w:rFonts w:ascii="仿宋_GB2312" w:eastAsia="仿宋_GB2312" w:hAnsi="宋体"/>
          <w:b/>
          <w:sz w:val="28"/>
        </w:rPr>
      </w:pPr>
    </w:p>
    <w:p w:rsidR="007C13F5" w:rsidRDefault="007C13F5">
      <w:pPr>
        <w:snapToGrid w:val="0"/>
        <w:spacing w:line="360" w:lineRule="auto"/>
        <w:ind w:leftChars="197" w:left="31680" w:firstLineChars="200" w:firstLine="31680"/>
        <w:rPr>
          <w:rFonts w:ascii="仿宋_GB2312" w:eastAsia="仿宋_GB2312" w:hAnsi="宋体"/>
          <w:b/>
          <w:sz w:val="28"/>
        </w:rPr>
      </w:pPr>
    </w:p>
    <w:p w:rsidR="007C13F5" w:rsidRDefault="007C13F5">
      <w:pPr>
        <w:snapToGrid w:val="0"/>
        <w:spacing w:line="360" w:lineRule="auto"/>
        <w:ind w:leftChars="197" w:left="31680" w:firstLineChars="200" w:firstLine="31680"/>
        <w:rPr>
          <w:rFonts w:ascii="仿宋_GB2312" w:eastAsia="仿宋_GB2312" w:hAnsi="宋体"/>
          <w:b/>
          <w:sz w:val="28"/>
        </w:rPr>
      </w:pPr>
    </w:p>
    <w:p w:rsidR="007C13F5" w:rsidRDefault="007C13F5">
      <w:pPr>
        <w:snapToGrid w:val="0"/>
        <w:spacing w:line="360" w:lineRule="auto"/>
        <w:ind w:leftChars="197" w:left="31680" w:firstLineChars="200" w:firstLine="31680"/>
        <w:rPr>
          <w:rFonts w:ascii="仿宋_GB2312" w:eastAsia="仿宋_GB2312" w:hAnsi="宋体"/>
          <w:b/>
          <w:sz w:val="28"/>
        </w:rPr>
      </w:pPr>
    </w:p>
    <w:p w:rsidR="007C13F5" w:rsidRDefault="007C13F5">
      <w:pPr>
        <w:snapToGrid w:val="0"/>
        <w:spacing w:line="360" w:lineRule="auto"/>
        <w:ind w:leftChars="197" w:left="31680" w:firstLineChars="200" w:firstLine="31680"/>
        <w:rPr>
          <w:rFonts w:ascii="仿宋_GB2312" w:eastAsia="仿宋_GB2312" w:hAnsi="宋体"/>
          <w:b/>
          <w:sz w:val="28"/>
        </w:rPr>
      </w:pPr>
    </w:p>
    <w:p w:rsidR="007C13F5" w:rsidRDefault="007C13F5">
      <w:pPr>
        <w:snapToGrid w:val="0"/>
        <w:spacing w:line="520" w:lineRule="exact"/>
        <w:ind w:firstLineChars="196" w:firstLine="31680"/>
        <w:rPr>
          <w:rFonts w:ascii="仿宋_GB2312" w:eastAsia="仿宋_GB2312" w:hAnsi="宋体"/>
          <w:spacing w:val="-4"/>
          <w:sz w:val="28"/>
        </w:rPr>
      </w:pPr>
      <w:r>
        <w:rPr>
          <w:rFonts w:ascii="仿宋_GB2312" w:eastAsia="仿宋_GB2312" w:hAnsi="宋体" w:hint="eastAsia"/>
          <w:b/>
          <w:sz w:val="28"/>
        </w:rPr>
        <w:t>项目名称：</w:t>
      </w:r>
      <w:r>
        <w:rPr>
          <w:rFonts w:ascii="仿宋_GB2312" w:eastAsia="仿宋_GB2312" w:hAnsi="宋体" w:hint="eastAsia"/>
          <w:spacing w:val="-4"/>
          <w:sz w:val="28"/>
        </w:rPr>
        <w:t>大理市下关镇七里桥感通小区（感通小镇一期</w:t>
      </w:r>
      <w:r>
        <w:rPr>
          <w:rFonts w:ascii="仿宋_GB2312" w:eastAsia="仿宋_GB2312" w:hAnsi="宋体"/>
          <w:spacing w:val="-4"/>
          <w:sz w:val="28"/>
        </w:rPr>
        <w:t>81</w:t>
      </w:r>
      <w:r>
        <w:rPr>
          <w:rFonts w:ascii="仿宋_GB2312" w:eastAsia="仿宋_GB2312" w:hAnsi="宋体" w:hint="eastAsia"/>
          <w:spacing w:val="-4"/>
          <w:sz w:val="28"/>
        </w:rPr>
        <w:t>号）住宅房地产估价</w:t>
      </w:r>
    </w:p>
    <w:p w:rsidR="007C13F5" w:rsidRDefault="007C13F5">
      <w:pPr>
        <w:snapToGrid w:val="0"/>
        <w:spacing w:line="520" w:lineRule="exact"/>
        <w:ind w:firstLineChars="200" w:firstLine="31680"/>
        <w:rPr>
          <w:rFonts w:ascii="仿宋_GB2312" w:eastAsia="仿宋_GB2312" w:hAnsi="宋体"/>
          <w:sz w:val="28"/>
        </w:rPr>
      </w:pPr>
      <w:r>
        <w:rPr>
          <w:rFonts w:ascii="仿宋_GB2312" w:eastAsia="仿宋_GB2312" w:hAnsi="宋体" w:hint="eastAsia"/>
          <w:b/>
          <w:sz w:val="28"/>
        </w:rPr>
        <w:t>委</w:t>
      </w:r>
      <w:r>
        <w:rPr>
          <w:rFonts w:ascii="仿宋_GB2312" w:eastAsia="仿宋_GB2312" w:hAnsi="宋体"/>
          <w:b/>
          <w:sz w:val="28"/>
        </w:rPr>
        <w:t xml:space="preserve"> </w:t>
      </w:r>
      <w:r>
        <w:rPr>
          <w:rFonts w:ascii="仿宋_GB2312" w:eastAsia="仿宋_GB2312" w:hAnsi="宋体" w:hint="eastAsia"/>
          <w:b/>
          <w:sz w:val="28"/>
        </w:rPr>
        <w:t>托</w:t>
      </w:r>
      <w:r>
        <w:rPr>
          <w:rFonts w:ascii="仿宋_GB2312" w:eastAsia="仿宋_GB2312" w:hAnsi="宋体"/>
          <w:b/>
          <w:sz w:val="28"/>
        </w:rPr>
        <w:t xml:space="preserve"> </w:t>
      </w:r>
      <w:r>
        <w:rPr>
          <w:rFonts w:ascii="仿宋_GB2312" w:eastAsia="仿宋_GB2312" w:hAnsi="宋体" w:hint="eastAsia"/>
          <w:b/>
          <w:sz w:val="28"/>
        </w:rPr>
        <w:t>方</w:t>
      </w:r>
      <w:r>
        <w:rPr>
          <w:rFonts w:ascii="仿宋_GB2312" w:eastAsia="仿宋_GB2312" w:hAnsi="宋体"/>
          <w:b/>
          <w:sz w:val="28"/>
        </w:rPr>
        <w:t xml:space="preserve">: </w:t>
      </w:r>
      <w:r>
        <w:rPr>
          <w:rFonts w:ascii="仿宋_GB2312" w:eastAsia="仿宋_GB2312" w:hAnsi="宋体" w:hint="eastAsia"/>
          <w:sz w:val="28"/>
        </w:rPr>
        <w:t>杭州市江干区人民法院</w:t>
      </w:r>
    </w:p>
    <w:p w:rsidR="007C13F5" w:rsidRDefault="007C13F5">
      <w:pPr>
        <w:snapToGrid w:val="0"/>
        <w:spacing w:line="520" w:lineRule="exact"/>
        <w:ind w:firstLineChars="200" w:firstLine="31680"/>
        <w:rPr>
          <w:rFonts w:ascii="仿宋_GB2312" w:eastAsia="仿宋_GB2312" w:hAnsi="宋体"/>
          <w:b/>
          <w:sz w:val="28"/>
        </w:rPr>
      </w:pPr>
      <w:r>
        <w:rPr>
          <w:rFonts w:ascii="仿宋_GB2312" w:eastAsia="仿宋_GB2312" w:hAnsi="宋体" w:hint="eastAsia"/>
          <w:b/>
          <w:sz w:val="28"/>
        </w:rPr>
        <w:t>案</w:t>
      </w:r>
      <w:r>
        <w:rPr>
          <w:rFonts w:ascii="仿宋_GB2312" w:eastAsia="仿宋_GB2312" w:hAnsi="宋体"/>
          <w:b/>
          <w:sz w:val="28"/>
        </w:rPr>
        <w:t xml:space="preserve">    </w:t>
      </w:r>
      <w:r>
        <w:rPr>
          <w:rFonts w:ascii="仿宋_GB2312" w:eastAsia="仿宋_GB2312" w:hAnsi="宋体" w:hint="eastAsia"/>
          <w:b/>
          <w:sz w:val="28"/>
        </w:rPr>
        <w:t>号：</w:t>
      </w:r>
      <w:r>
        <w:rPr>
          <w:rFonts w:ascii="仿宋_GB2312" w:eastAsia="仿宋_GB2312" w:hAnsi="宋体" w:hint="eastAsia"/>
          <w:sz w:val="28"/>
        </w:rPr>
        <w:t>（</w:t>
      </w:r>
      <w:r>
        <w:rPr>
          <w:rFonts w:ascii="仿宋_GB2312" w:eastAsia="仿宋_GB2312" w:hAnsi="宋体"/>
          <w:sz w:val="28"/>
        </w:rPr>
        <w:t>2019</w:t>
      </w:r>
      <w:r>
        <w:rPr>
          <w:rFonts w:ascii="仿宋_GB2312" w:eastAsia="仿宋_GB2312" w:hAnsi="宋体" w:hint="eastAsia"/>
          <w:sz w:val="28"/>
        </w:rPr>
        <w:t>）浙</w:t>
      </w:r>
      <w:r>
        <w:rPr>
          <w:rFonts w:ascii="仿宋_GB2312" w:eastAsia="仿宋_GB2312" w:hAnsi="宋体"/>
          <w:sz w:val="28"/>
        </w:rPr>
        <w:t>0104</w:t>
      </w:r>
      <w:r>
        <w:rPr>
          <w:rFonts w:ascii="仿宋_GB2312" w:eastAsia="仿宋_GB2312" w:hAnsi="宋体" w:hint="eastAsia"/>
          <w:sz w:val="28"/>
        </w:rPr>
        <w:t>执</w:t>
      </w:r>
      <w:r>
        <w:rPr>
          <w:rFonts w:ascii="仿宋_GB2312" w:eastAsia="仿宋_GB2312" w:hAnsi="宋体"/>
          <w:sz w:val="28"/>
        </w:rPr>
        <w:t>2937</w:t>
      </w:r>
      <w:r>
        <w:rPr>
          <w:rFonts w:ascii="仿宋_GB2312" w:eastAsia="仿宋_GB2312" w:hAnsi="宋体" w:hint="eastAsia"/>
          <w:sz w:val="28"/>
        </w:rPr>
        <w:t>号</w:t>
      </w:r>
    </w:p>
    <w:p w:rsidR="007C13F5" w:rsidRDefault="007C13F5">
      <w:pPr>
        <w:snapToGrid w:val="0"/>
        <w:spacing w:line="520" w:lineRule="exact"/>
        <w:ind w:firstLineChars="200" w:firstLine="31680"/>
        <w:rPr>
          <w:rFonts w:ascii="仿宋_GB2312" w:eastAsia="仿宋_GB2312" w:hAnsi="宋体"/>
          <w:sz w:val="28"/>
        </w:rPr>
      </w:pPr>
      <w:r>
        <w:rPr>
          <w:rFonts w:ascii="仿宋_GB2312" w:eastAsia="仿宋_GB2312" w:hAnsi="宋体" w:hint="eastAsia"/>
          <w:b/>
          <w:sz w:val="28"/>
        </w:rPr>
        <w:t>估</w:t>
      </w:r>
      <w:r>
        <w:rPr>
          <w:rFonts w:ascii="仿宋_GB2312" w:eastAsia="仿宋_GB2312" w:hAnsi="宋体"/>
          <w:b/>
          <w:sz w:val="28"/>
        </w:rPr>
        <w:t xml:space="preserve"> </w:t>
      </w:r>
      <w:r>
        <w:rPr>
          <w:rFonts w:ascii="仿宋_GB2312" w:eastAsia="仿宋_GB2312" w:hAnsi="宋体" w:hint="eastAsia"/>
          <w:b/>
          <w:sz w:val="28"/>
        </w:rPr>
        <w:t>价</w:t>
      </w:r>
      <w:r>
        <w:rPr>
          <w:rFonts w:ascii="仿宋_GB2312" w:eastAsia="仿宋_GB2312" w:hAnsi="宋体"/>
          <w:b/>
          <w:sz w:val="28"/>
        </w:rPr>
        <w:t xml:space="preserve"> </w:t>
      </w:r>
      <w:r>
        <w:rPr>
          <w:rFonts w:ascii="仿宋_GB2312" w:eastAsia="仿宋_GB2312" w:hAnsi="宋体" w:hint="eastAsia"/>
          <w:b/>
          <w:sz w:val="28"/>
        </w:rPr>
        <w:t>方：</w:t>
      </w:r>
      <w:r>
        <w:rPr>
          <w:rFonts w:ascii="仿宋_GB2312" w:eastAsia="仿宋_GB2312" w:hAnsi="宋体" w:hint="eastAsia"/>
          <w:sz w:val="28"/>
        </w:rPr>
        <w:t>云南银信房地产土地资产评估有限公司</w:t>
      </w:r>
    </w:p>
    <w:p w:rsidR="007C13F5" w:rsidRDefault="007C13F5">
      <w:pPr>
        <w:snapToGrid w:val="0"/>
        <w:spacing w:line="520" w:lineRule="exact"/>
        <w:ind w:firstLineChars="200" w:firstLine="31680"/>
        <w:rPr>
          <w:rFonts w:ascii="仿宋_GB2312" w:eastAsia="仿宋_GB2312" w:hAnsi="宋体"/>
          <w:sz w:val="28"/>
        </w:rPr>
      </w:pPr>
      <w:r>
        <w:rPr>
          <w:rFonts w:ascii="仿宋_GB2312" w:eastAsia="仿宋_GB2312" w:hAnsi="宋体" w:hint="eastAsia"/>
          <w:b/>
          <w:sz w:val="28"/>
        </w:rPr>
        <w:t>注册房地产估价师：</w:t>
      </w:r>
      <w:r>
        <w:rPr>
          <w:rFonts w:ascii="仿宋_GB2312" w:eastAsia="仿宋_GB2312" w:hAnsi="宋体" w:hint="eastAsia"/>
          <w:sz w:val="28"/>
        </w:rPr>
        <w:t>张莹姝</w:t>
      </w:r>
      <w:r>
        <w:rPr>
          <w:rFonts w:ascii="仿宋_GB2312" w:eastAsia="仿宋_GB2312" w:hAnsi="宋体"/>
          <w:sz w:val="28"/>
        </w:rPr>
        <w:t xml:space="preserve">    </w:t>
      </w:r>
      <w:r>
        <w:rPr>
          <w:rFonts w:ascii="仿宋_GB2312" w:eastAsia="仿宋_GB2312" w:hAnsi="宋体" w:hint="eastAsia"/>
          <w:sz w:val="28"/>
        </w:rPr>
        <w:t>注册号：</w:t>
      </w:r>
      <w:r>
        <w:rPr>
          <w:rFonts w:ascii="仿宋_GB2312" w:eastAsia="仿宋_GB2312" w:hAnsi="宋体"/>
          <w:sz w:val="28"/>
        </w:rPr>
        <w:t>5320070013</w:t>
      </w:r>
    </w:p>
    <w:p w:rsidR="007C13F5" w:rsidRDefault="007C13F5">
      <w:pPr>
        <w:snapToGrid w:val="0"/>
        <w:spacing w:line="520" w:lineRule="exact"/>
        <w:ind w:firstLineChars="600" w:firstLine="31680"/>
        <w:rPr>
          <w:rFonts w:ascii="仿宋_GB2312" w:eastAsia="仿宋_GB2312" w:hAnsi="宋体"/>
          <w:sz w:val="28"/>
        </w:rPr>
      </w:pPr>
      <w:r>
        <w:rPr>
          <w:rFonts w:ascii="仿宋_GB2312" w:eastAsia="仿宋_GB2312" w:hAnsi="宋体"/>
          <w:sz w:val="28"/>
        </w:rPr>
        <w:t xml:space="preserve">          </w:t>
      </w:r>
      <w:r>
        <w:rPr>
          <w:rFonts w:ascii="仿宋_GB2312" w:eastAsia="仿宋_GB2312" w:hAnsi="宋体" w:hint="eastAsia"/>
          <w:sz w:val="28"/>
        </w:rPr>
        <w:t>陶云川</w:t>
      </w:r>
      <w:r>
        <w:rPr>
          <w:rFonts w:ascii="仿宋_GB2312" w:eastAsia="仿宋_GB2312" w:hAnsi="宋体"/>
          <w:sz w:val="28"/>
        </w:rPr>
        <w:t xml:space="preserve">    </w:t>
      </w:r>
      <w:r>
        <w:rPr>
          <w:rFonts w:ascii="仿宋_GB2312" w:eastAsia="仿宋_GB2312" w:hAnsi="宋体" w:hint="eastAsia"/>
          <w:sz w:val="28"/>
        </w:rPr>
        <w:t>注册号：</w:t>
      </w:r>
      <w:r>
        <w:rPr>
          <w:rFonts w:ascii="仿宋_GB2312" w:eastAsia="仿宋_GB2312" w:hAnsi="宋体"/>
          <w:sz w:val="28"/>
        </w:rPr>
        <w:t>5320190040</w:t>
      </w:r>
    </w:p>
    <w:p w:rsidR="007C13F5" w:rsidRDefault="007C13F5">
      <w:pPr>
        <w:snapToGrid w:val="0"/>
        <w:spacing w:line="520" w:lineRule="exact"/>
        <w:ind w:firstLineChars="200" w:firstLine="31680"/>
        <w:rPr>
          <w:rFonts w:ascii="仿宋_GB2312" w:eastAsia="仿宋_GB2312" w:hAnsi="宋体"/>
          <w:sz w:val="28"/>
        </w:rPr>
      </w:pPr>
      <w:r>
        <w:rPr>
          <w:rFonts w:ascii="仿宋_GB2312" w:eastAsia="仿宋_GB2312" w:hAnsi="宋体" w:hint="eastAsia"/>
          <w:b/>
          <w:sz w:val="28"/>
        </w:rPr>
        <w:t>估价报告出具日期：</w:t>
      </w:r>
      <w:r>
        <w:rPr>
          <w:rFonts w:ascii="仿宋_GB2312" w:eastAsia="仿宋_GB2312" w:hAnsi="宋体"/>
          <w:sz w:val="28"/>
        </w:rPr>
        <w:t xml:space="preserve"> 2020</w:t>
      </w:r>
      <w:r>
        <w:rPr>
          <w:rFonts w:ascii="仿宋_GB2312" w:eastAsia="仿宋_GB2312" w:hAnsi="宋体" w:hint="eastAsia"/>
          <w:sz w:val="28"/>
        </w:rPr>
        <w:t>年</w:t>
      </w:r>
      <w:r>
        <w:rPr>
          <w:rFonts w:ascii="仿宋_GB2312" w:eastAsia="仿宋_GB2312" w:hAnsi="宋体"/>
          <w:sz w:val="28"/>
        </w:rPr>
        <w:t>5</w:t>
      </w:r>
      <w:r>
        <w:rPr>
          <w:rFonts w:ascii="仿宋_GB2312" w:eastAsia="仿宋_GB2312" w:hAnsi="宋体" w:hint="eastAsia"/>
          <w:sz w:val="28"/>
        </w:rPr>
        <w:t>月</w:t>
      </w:r>
      <w:r>
        <w:rPr>
          <w:rFonts w:ascii="仿宋_GB2312" w:eastAsia="仿宋_GB2312" w:hAnsi="宋体"/>
          <w:sz w:val="28"/>
        </w:rPr>
        <w:t>18</w:t>
      </w:r>
      <w:r>
        <w:rPr>
          <w:rFonts w:ascii="仿宋_GB2312" w:eastAsia="仿宋_GB2312" w:hAnsi="宋体" w:hint="eastAsia"/>
          <w:sz w:val="28"/>
        </w:rPr>
        <w:t>日</w:t>
      </w:r>
    </w:p>
    <w:p w:rsidR="007C13F5" w:rsidRDefault="007C13F5">
      <w:pPr>
        <w:snapToGrid w:val="0"/>
        <w:spacing w:line="360" w:lineRule="auto"/>
        <w:ind w:firstLineChars="200" w:firstLine="31680"/>
        <w:jc w:val="center"/>
        <w:rPr>
          <w:rFonts w:ascii="仿宋_GB2312" w:eastAsia="仿宋_GB2312" w:hAnsi="宋体"/>
          <w:sz w:val="28"/>
        </w:rPr>
      </w:pPr>
      <w:r>
        <w:rPr>
          <w:rFonts w:ascii="仿宋_GB2312" w:eastAsia="仿宋_GB2312" w:hAnsi="宋体"/>
          <w:sz w:val="28"/>
        </w:rPr>
        <w:br w:type="page"/>
      </w:r>
    </w:p>
    <w:p w:rsidR="007C13F5" w:rsidRDefault="007C13F5">
      <w:pPr>
        <w:snapToGrid w:val="0"/>
        <w:spacing w:line="360" w:lineRule="auto"/>
        <w:ind w:firstLineChars="200" w:firstLine="31680"/>
        <w:jc w:val="center"/>
        <w:rPr>
          <w:rFonts w:ascii="仿宋_GB2312" w:eastAsia="仿宋_GB2312" w:hAnsi="宋体"/>
          <w:b/>
          <w:sz w:val="36"/>
          <w:szCs w:val="36"/>
        </w:rPr>
      </w:pPr>
      <w:r>
        <w:rPr>
          <w:rFonts w:ascii="仿宋_GB2312" w:eastAsia="仿宋_GB2312" w:hAnsi="宋体" w:hint="eastAsia"/>
          <w:b/>
          <w:sz w:val="36"/>
          <w:szCs w:val="36"/>
        </w:rPr>
        <w:t>致估价委托人函</w:t>
      </w:r>
    </w:p>
    <w:p w:rsidR="007C13F5" w:rsidRDefault="007C13F5">
      <w:pPr>
        <w:spacing w:beforeLines="50" w:line="560" w:lineRule="exact"/>
        <w:rPr>
          <w:rFonts w:ascii="仿宋_GB2312" w:eastAsia="仿宋_GB2312" w:hAnsi="宋体"/>
          <w:b/>
          <w:sz w:val="28"/>
          <w:szCs w:val="28"/>
        </w:rPr>
      </w:pPr>
      <w:r>
        <w:rPr>
          <w:rFonts w:ascii="仿宋_GB2312" w:eastAsia="仿宋_GB2312" w:hAnsi="宋体" w:hint="eastAsia"/>
          <w:b/>
          <w:sz w:val="28"/>
          <w:szCs w:val="28"/>
        </w:rPr>
        <w:t>杭州市江干区人民法院：</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hint="eastAsia"/>
          <w:sz w:val="28"/>
          <w:szCs w:val="28"/>
        </w:rPr>
        <w:t>承蒙贵法院委托，本公司秉着客观、公正、科学、独立的原则，采用公开市场价值标准，对位于</w:t>
      </w:r>
      <w:r>
        <w:rPr>
          <w:rFonts w:ascii="仿宋_GB2312" w:eastAsia="仿宋_GB2312" w:hAnsi="宋体" w:hint="eastAsia"/>
          <w:spacing w:val="-4"/>
          <w:sz w:val="28"/>
        </w:rPr>
        <w:t>大理市下关镇七里桥感通小区（感通小镇一期</w:t>
      </w:r>
      <w:r>
        <w:rPr>
          <w:rFonts w:ascii="仿宋_GB2312" w:eastAsia="仿宋_GB2312" w:hAnsi="宋体"/>
          <w:spacing w:val="-4"/>
          <w:sz w:val="28"/>
        </w:rPr>
        <w:t>81</w:t>
      </w:r>
      <w:r>
        <w:rPr>
          <w:rFonts w:ascii="仿宋_GB2312" w:eastAsia="仿宋_GB2312" w:hAnsi="宋体" w:hint="eastAsia"/>
          <w:spacing w:val="-4"/>
          <w:sz w:val="28"/>
        </w:rPr>
        <w:t>号）住宅房地产</w:t>
      </w:r>
      <w:r>
        <w:rPr>
          <w:rFonts w:ascii="仿宋_GB2312" w:eastAsia="仿宋_GB2312" w:hAnsi="宋体" w:hint="eastAsia"/>
          <w:sz w:val="28"/>
          <w:szCs w:val="28"/>
        </w:rPr>
        <w:t>进行评估。价值时点为</w:t>
      </w: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4</w:t>
      </w:r>
      <w:r>
        <w:rPr>
          <w:rFonts w:ascii="仿宋_GB2312" w:eastAsia="仿宋_GB2312" w:hAnsi="宋体" w:hint="eastAsia"/>
          <w:sz w:val="28"/>
          <w:szCs w:val="28"/>
        </w:rPr>
        <w:t>月</w:t>
      </w:r>
      <w:r>
        <w:rPr>
          <w:rFonts w:ascii="仿宋_GB2312" w:eastAsia="仿宋_GB2312" w:hAnsi="宋体"/>
          <w:sz w:val="28"/>
          <w:szCs w:val="28"/>
        </w:rPr>
        <w:t>29</w:t>
      </w:r>
      <w:r>
        <w:rPr>
          <w:rFonts w:ascii="仿宋_GB2312" w:eastAsia="仿宋_GB2312" w:hAnsi="宋体" w:hint="eastAsia"/>
          <w:sz w:val="28"/>
          <w:szCs w:val="28"/>
        </w:rPr>
        <w:t>日；估价目的是对委托鉴定的房地产市场价值进行评估，为司法处置提供价值参考依据，本次估价是市场价值评估，估价作业期自</w:t>
      </w: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4</w:t>
      </w:r>
      <w:r>
        <w:rPr>
          <w:rFonts w:ascii="仿宋_GB2312" w:eastAsia="仿宋_GB2312" w:hAnsi="宋体" w:hint="eastAsia"/>
          <w:sz w:val="28"/>
          <w:szCs w:val="28"/>
        </w:rPr>
        <w:t>月</w:t>
      </w:r>
      <w:r>
        <w:rPr>
          <w:rFonts w:ascii="仿宋_GB2312" w:eastAsia="仿宋_GB2312" w:hAnsi="宋体"/>
          <w:sz w:val="28"/>
          <w:szCs w:val="28"/>
        </w:rPr>
        <w:t>29</w:t>
      </w:r>
      <w:r>
        <w:rPr>
          <w:rFonts w:ascii="仿宋_GB2312" w:eastAsia="仿宋_GB2312" w:hAnsi="宋体" w:hint="eastAsia"/>
          <w:sz w:val="28"/>
          <w:szCs w:val="28"/>
        </w:rPr>
        <w:t>日至</w:t>
      </w: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5</w:t>
      </w:r>
      <w:r>
        <w:rPr>
          <w:rFonts w:ascii="仿宋_GB2312" w:eastAsia="仿宋_GB2312" w:hAnsi="宋体" w:hint="eastAsia"/>
          <w:sz w:val="28"/>
          <w:szCs w:val="28"/>
        </w:rPr>
        <w:t>月</w:t>
      </w:r>
      <w:r>
        <w:rPr>
          <w:rFonts w:ascii="仿宋_GB2312" w:eastAsia="仿宋_GB2312" w:hAnsi="宋体"/>
          <w:sz w:val="28"/>
          <w:szCs w:val="28"/>
        </w:rPr>
        <w:t>18</w:t>
      </w:r>
      <w:r>
        <w:rPr>
          <w:rFonts w:ascii="仿宋_GB2312" w:eastAsia="仿宋_GB2312" w:hAnsi="宋体" w:hint="eastAsia"/>
          <w:sz w:val="28"/>
          <w:szCs w:val="28"/>
        </w:rPr>
        <w:t>日。</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hint="eastAsia"/>
          <w:sz w:val="28"/>
          <w:szCs w:val="28"/>
        </w:rPr>
        <w:t>本公司根据估价目的，遵循估价原则，在认真研究现有资料及对影响房地产市场价格诸因素进行全面分析的基础上，结合估价经验，依据《房地产估价规范》（</w:t>
      </w:r>
      <w:r>
        <w:rPr>
          <w:rFonts w:ascii="仿宋_GB2312" w:eastAsia="仿宋_GB2312" w:hAnsi="宋体"/>
          <w:sz w:val="28"/>
          <w:szCs w:val="28"/>
        </w:rPr>
        <w:t>GB/T 50291</w:t>
      </w:r>
      <w:r>
        <w:rPr>
          <w:rFonts w:ascii="仿宋_GB2312" w:eastAsia="仿宋_GB2312" w:hAnsi="宋体"/>
          <w:sz w:val="28"/>
          <w:szCs w:val="28"/>
        </w:rPr>
        <w:t>—</w:t>
      </w:r>
      <w:r>
        <w:rPr>
          <w:rFonts w:ascii="仿宋_GB2312" w:eastAsia="仿宋_GB2312" w:hAnsi="宋体"/>
          <w:sz w:val="28"/>
          <w:szCs w:val="28"/>
        </w:rPr>
        <w:t>2015</w:t>
      </w:r>
      <w:r>
        <w:rPr>
          <w:rFonts w:ascii="仿宋_GB2312" w:eastAsia="仿宋_GB2312" w:hAnsi="宋体" w:hint="eastAsia"/>
          <w:sz w:val="28"/>
          <w:szCs w:val="28"/>
        </w:rPr>
        <w:t>）、《房地产估价基本术语标准》（</w:t>
      </w:r>
      <w:r>
        <w:rPr>
          <w:rFonts w:ascii="仿宋_GB2312" w:eastAsia="仿宋_GB2312" w:hAnsi="宋体"/>
          <w:sz w:val="28"/>
          <w:szCs w:val="28"/>
        </w:rPr>
        <w:t>GB/T50899</w:t>
      </w:r>
      <w:r>
        <w:rPr>
          <w:rFonts w:ascii="仿宋_GB2312" w:eastAsia="仿宋_GB2312" w:hAnsi="宋体"/>
          <w:sz w:val="28"/>
          <w:szCs w:val="28"/>
        </w:rPr>
        <w:t>—</w:t>
      </w:r>
      <w:r>
        <w:rPr>
          <w:rFonts w:ascii="仿宋_GB2312" w:eastAsia="仿宋_GB2312" w:hAnsi="宋体"/>
          <w:sz w:val="28"/>
          <w:szCs w:val="28"/>
        </w:rPr>
        <w:t>2013</w:t>
      </w:r>
      <w:r>
        <w:rPr>
          <w:rFonts w:ascii="仿宋_GB2312" w:eastAsia="仿宋_GB2312" w:hAnsi="宋体" w:hint="eastAsia"/>
          <w:sz w:val="28"/>
          <w:szCs w:val="28"/>
        </w:rPr>
        <w:t>），采用比较法进行评估，经过科学、严密地测算并结合估价人员经验，确定估价对象在市场上有足够的买方和卖方、并且进入市场无障碍的条件下，于价值时点的总价为：</w:t>
      </w:r>
    </w:p>
    <w:p w:rsidR="007C13F5" w:rsidRDefault="007C13F5">
      <w:pPr>
        <w:spacing w:beforeLines="50" w:line="560" w:lineRule="exact"/>
        <w:ind w:firstLineChars="200" w:firstLine="31680"/>
        <w:rPr>
          <w:rFonts w:ascii="仿宋_GB2312" w:eastAsia="仿宋_GB2312" w:hAnsi="宋体"/>
          <w:b/>
          <w:sz w:val="28"/>
          <w:szCs w:val="28"/>
        </w:rPr>
      </w:pPr>
      <w:r>
        <w:rPr>
          <w:rFonts w:ascii="仿宋_GB2312" w:eastAsia="仿宋_GB2312" w:hAnsi="宋体" w:hint="eastAsia"/>
          <w:b/>
          <w:sz w:val="28"/>
          <w:szCs w:val="28"/>
        </w:rPr>
        <w:t>（一）市场价值</w:t>
      </w:r>
    </w:p>
    <w:p w:rsidR="007C13F5" w:rsidRDefault="007C13F5">
      <w:pPr>
        <w:spacing w:beforeLines="50" w:line="560" w:lineRule="exact"/>
        <w:ind w:firstLineChars="200" w:firstLine="31680"/>
        <w:jc w:val="center"/>
        <w:rPr>
          <w:rFonts w:ascii="仿宋_GB2312" w:eastAsia="仿宋_GB2312" w:hAnsi="宋体"/>
          <w:b/>
          <w:sz w:val="28"/>
          <w:szCs w:val="28"/>
        </w:rPr>
      </w:pPr>
      <w:r>
        <w:rPr>
          <w:rFonts w:ascii="仿宋_GB2312" w:eastAsia="仿宋_GB2312" w:hAnsi="宋体" w:hint="eastAsia"/>
          <w:b/>
          <w:sz w:val="28"/>
          <w:szCs w:val="28"/>
        </w:rPr>
        <w:t>￥</w:t>
      </w:r>
      <w:r>
        <w:rPr>
          <w:rFonts w:ascii="仿宋_GB2312" w:eastAsia="仿宋_GB2312" w:hAnsi="宋体"/>
          <w:b/>
          <w:sz w:val="28"/>
          <w:szCs w:val="28"/>
        </w:rPr>
        <w:t>77.50</w:t>
      </w:r>
      <w:r>
        <w:rPr>
          <w:rFonts w:ascii="仿宋_GB2312" w:eastAsia="仿宋_GB2312" w:hAnsi="宋体" w:hint="eastAsia"/>
          <w:b/>
          <w:sz w:val="28"/>
          <w:szCs w:val="28"/>
        </w:rPr>
        <w:t>万元（大写人民币柒拾柒万伍仟元）</w:t>
      </w:r>
    </w:p>
    <w:p w:rsidR="007C13F5" w:rsidRDefault="007C13F5">
      <w:pPr>
        <w:spacing w:beforeLines="50" w:line="260" w:lineRule="exact"/>
        <w:jc w:val="center"/>
        <w:rPr>
          <w:rFonts w:ascii="仿宋_GB2312" w:eastAsia="仿宋_GB2312" w:hAnsi="宋体"/>
          <w:sz w:val="28"/>
          <w:szCs w:val="28"/>
        </w:rPr>
      </w:pPr>
      <w:r>
        <w:rPr>
          <w:rFonts w:ascii="仿宋_GB2312" w:eastAsia="仿宋_GB2312" w:hAnsi="宋体" w:hint="eastAsia"/>
          <w:sz w:val="28"/>
          <w:szCs w:val="28"/>
        </w:rPr>
        <w:t>详见下表：</w:t>
      </w:r>
    </w:p>
    <w:tbl>
      <w:tblPr>
        <w:tblW w:w="9525" w:type="dxa"/>
        <w:jc w:val="center"/>
        <w:tblInd w:w="1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851"/>
        <w:gridCol w:w="2835"/>
        <w:gridCol w:w="1176"/>
        <w:gridCol w:w="930"/>
        <w:gridCol w:w="998"/>
        <w:gridCol w:w="687"/>
        <w:gridCol w:w="1056"/>
        <w:gridCol w:w="992"/>
      </w:tblGrid>
      <w:tr w:rsidR="007C13F5">
        <w:trPr>
          <w:trHeight w:val="618"/>
          <w:jc w:val="center"/>
        </w:trPr>
        <w:tc>
          <w:tcPr>
            <w:tcW w:w="851"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所有权人</w:t>
            </w:r>
          </w:p>
        </w:tc>
        <w:tc>
          <w:tcPr>
            <w:tcW w:w="2835"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房屋坐落</w:t>
            </w:r>
          </w:p>
        </w:tc>
        <w:tc>
          <w:tcPr>
            <w:tcW w:w="1176"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房产证号</w:t>
            </w:r>
            <w:r>
              <w:rPr>
                <w:rFonts w:ascii="宋体" w:hAnsi="宋体" w:cs="宋体"/>
                <w:color w:val="000000"/>
                <w:kern w:val="0"/>
                <w:szCs w:val="21"/>
              </w:rPr>
              <w:t xml:space="preserve">     </w:t>
            </w:r>
          </w:p>
        </w:tc>
        <w:tc>
          <w:tcPr>
            <w:tcW w:w="930"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所在层</w:t>
            </w:r>
            <w:r>
              <w:rPr>
                <w:rFonts w:ascii="宋体" w:hAnsi="宋体" w:cs="宋体"/>
                <w:color w:val="000000"/>
                <w:kern w:val="0"/>
                <w:szCs w:val="21"/>
              </w:rPr>
              <w:t>/</w:t>
            </w:r>
            <w:r>
              <w:rPr>
                <w:rFonts w:ascii="宋体" w:hAnsi="宋体" w:cs="宋体" w:hint="eastAsia"/>
                <w:color w:val="000000"/>
                <w:kern w:val="0"/>
                <w:szCs w:val="21"/>
              </w:rPr>
              <w:t>总楼层</w:t>
            </w:r>
          </w:p>
        </w:tc>
        <w:tc>
          <w:tcPr>
            <w:tcW w:w="998"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建筑面积（㎡）</w:t>
            </w:r>
          </w:p>
        </w:tc>
        <w:tc>
          <w:tcPr>
            <w:tcW w:w="687"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设计用途</w:t>
            </w:r>
          </w:p>
        </w:tc>
        <w:tc>
          <w:tcPr>
            <w:tcW w:w="1056" w:type="dxa"/>
            <w:vAlign w:val="center"/>
          </w:tcPr>
          <w:p w:rsidR="007C13F5" w:rsidRDefault="007C13F5">
            <w:pPr>
              <w:widowControl/>
              <w:spacing w:line="260" w:lineRule="exact"/>
              <w:jc w:val="center"/>
              <w:rPr>
                <w:rFonts w:ascii="宋体" w:cs="Tahoma"/>
                <w:kern w:val="0"/>
                <w:szCs w:val="21"/>
              </w:rPr>
            </w:pPr>
            <w:r>
              <w:rPr>
                <w:rFonts w:ascii="宋体" w:hAnsi="宋体" w:cs="Tahoma" w:hint="eastAsia"/>
                <w:kern w:val="0"/>
                <w:szCs w:val="21"/>
              </w:rPr>
              <w:t>单价</w:t>
            </w:r>
            <w:r>
              <w:rPr>
                <w:rFonts w:ascii="宋体" w:hAnsi="宋体" w:cs="Tahoma"/>
                <w:kern w:val="0"/>
                <w:szCs w:val="21"/>
              </w:rPr>
              <w:t xml:space="preserve">   (</w:t>
            </w:r>
            <w:r>
              <w:rPr>
                <w:rFonts w:ascii="宋体" w:hAnsi="宋体" w:cs="Tahoma" w:hint="eastAsia"/>
                <w:kern w:val="0"/>
                <w:szCs w:val="21"/>
              </w:rPr>
              <w:t>元</w:t>
            </w:r>
            <w:r>
              <w:rPr>
                <w:rFonts w:ascii="宋体" w:hAnsi="宋体" w:cs="Tahoma"/>
                <w:kern w:val="0"/>
                <w:szCs w:val="21"/>
              </w:rPr>
              <w:t>/m</w:t>
            </w:r>
            <w:r>
              <w:rPr>
                <w:rFonts w:ascii="宋体" w:hAnsi="宋体" w:cs="Tahoma"/>
                <w:kern w:val="0"/>
                <w:szCs w:val="21"/>
                <w:vertAlign w:val="superscript"/>
              </w:rPr>
              <w:t>2</w:t>
            </w:r>
            <w:r>
              <w:rPr>
                <w:rFonts w:ascii="宋体" w:hAnsi="宋体" w:cs="Tahoma"/>
                <w:kern w:val="0"/>
                <w:szCs w:val="21"/>
              </w:rPr>
              <w:t>)</w:t>
            </w:r>
          </w:p>
        </w:tc>
        <w:tc>
          <w:tcPr>
            <w:tcW w:w="992" w:type="dxa"/>
            <w:vAlign w:val="center"/>
          </w:tcPr>
          <w:p w:rsidR="007C13F5" w:rsidRDefault="007C13F5">
            <w:pPr>
              <w:widowControl/>
              <w:spacing w:line="260" w:lineRule="exact"/>
              <w:jc w:val="center"/>
              <w:rPr>
                <w:rFonts w:ascii="宋体" w:cs="Tahoma"/>
                <w:kern w:val="0"/>
                <w:szCs w:val="21"/>
              </w:rPr>
            </w:pPr>
            <w:r>
              <w:rPr>
                <w:rFonts w:ascii="宋体" w:hAnsi="宋体" w:cs="Tahoma" w:hint="eastAsia"/>
                <w:kern w:val="0"/>
                <w:szCs w:val="21"/>
              </w:rPr>
              <w:t>总价</w:t>
            </w:r>
            <w:r>
              <w:rPr>
                <w:rFonts w:ascii="宋体" w:hAnsi="宋体" w:cs="Tahoma"/>
                <w:kern w:val="0"/>
                <w:szCs w:val="21"/>
              </w:rPr>
              <w:t xml:space="preserve">    </w:t>
            </w:r>
            <w:r>
              <w:rPr>
                <w:rFonts w:ascii="宋体" w:hAnsi="宋体" w:cs="Tahoma" w:hint="eastAsia"/>
                <w:kern w:val="0"/>
                <w:szCs w:val="21"/>
              </w:rPr>
              <w:t>（万元）</w:t>
            </w:r>
          </w:p>
        </w:tc>
      </w:tr>
      <w:tr w:rsidR="007C13F5">
        <w:trPr>
          <w:trHeight w:val="904"/>
          <w:jc w:val="center"/>
        </w:trPr>
        <w:tc>
          <w:tcPr>
            <w:tcW w:w="851"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吴小兰</w:t>
            </w:r>
            <w:r>
              <w:rPr>
                <w:rFonts w:ascii="宋体" w:hAnsi="宋体" w:cs="宋体"/>
                <w:color w:val="000000"/>
                <w:kern w:val="0"/>
                <w:szCs w:val="21"/>
              </w:rPr>
              <w:t xml:space="preserve">   </w:t>
            </w:r>
          </w:p>
        </w:tc>
        <w:tc>
          <w:tcPr>
            <w:tcW w:w="2835" w:type="dxa"/>
            <w:vAlign w:val="center"/>
          </w:tcPr>
          <w:p w:rsidR="007C13F5" w:rsidRDefault="007C13F5">
            <w:pPr>
              <w:widowControl/>
              <w:spacing w:line="260" w:lineRule="exact"/>
              <w:jc w:val="left"/>
              <w:rPr>
                <w:rFonts w:ascii="宋体" w:cs="宋体"/>
                <w:color w:val="000000"/>
                <w:kern w:val="0"/>
                <w:szCs w:val="21"/>
              </w:rPr>
            </w:pPr>
            <w:r>
              <w:rPr>
                <w:rFonts w:ascii="宋体" w:hAnsi="宋体" w:cs="宋体" w:hint="eastAsia"/>
                <w:color w:val="000000"/>
                <w:kern w:val="0"/>
                <w:szCs w:val="21"/>
              </w:rPr>
              <w:t>大理市下关镇七里桥感通小区（感通小镇一期</w:t>
            </w:r>
            <w:r>
              <w:rPr>
                <w:rFonts w:ascii="宋体" w:hAnsi="宋体" w:cs="宋体"/>
                <w:color w:val="000000"/>
                <w:kern w:val="0"/>
                <w:szCs w:val="21"/>
              </w:rPr>
              <w:t>81</w:t>
            </w:r>
            <w:r>
              <w:rPr>
                <w:rFonts w:ascii="宋体" w:hAnsi="宋体" w:cs="宋体" w:hint="eastAsia"/>
                <w:color w:val="000000"/>
                <w:kern w:val="0"/>
                <w:szCs w:val="21"/>
              </w:rPr>
              <w:t>号）</w:t>
            </w:r>
          </w:p>
        </w:tc>
        <w:tc>
          <w:tcPr>
            <w:tcW w:w="1176"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color w:val="000000"/>
                <w:kern w:val="0"/>
                <w:szCs w:val="21"/>
              </w:rPr>
              <w:t>909500</w:t>
            </w:r>
          </w:p>
        </w:tc>
        <w:tc>
          <w:tcPr>
            <w:tcW w:w="930"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color w:val="000000"/>
                <w:kern w:val="0"/>
                <w:szCs w:val="21"/>
              </w:rPr>
              <w:t>1-2/2</w:t>
            </w:r>
          </w:p>
        </w:tc>
        <w:tc>
          <w:tcPr>
            <w:tcW w:w="998"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color w:val="000000"/>
                <w:kern w:val="0"/>
                <w:szCs w:val="21"/>
              </w:rPr>
              <w:t>44.58</w:t>
            </w:r>
          </w:p>
        </w:tc>
        <w:tc>
          <w:tcPr>
            <w:tcW w:w="687"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住宅</w:t>
            </w:r>
          </w:p>
        </w:tc>
        <w:tc>
          <w:tcPr>
            <w:tcW w:w="1056" w:type="dxa"/>
            <w:noWrap/>
            <w:vAlign w:val="center"/>
          </w:tcPr>
          <w:p w:rsidR="007C13F5" w:rsidRDefault="007C13F5">
            <w:pPr>
              <w:widowControl/>
              <w:spacing w:line="260" w:lineRule="exact"/>
              <w:jc w:val="right"/>
              <w:rPr>
                <w:rFonts w:ascii="宋体" w:cs="宋体"/>
                <w:color w:val="000000"/>
                <w:kern w:val="0"/>
                <w:szCs w:val="21"/>
              </w:rPr>
            </w:pPr>
            <w:r>
              <w:rPr>
                <w:rFonts w:ascii="宋体" w:hAnsi="宋体" w:cs="宋体"/>
                <w:color w:val="000000"/>
                <w:kern w:val="0"/>
                <w:szCs w:val="21"/>
              </w:rPr>
              <w:t xml:space="preserve">17385.18 </w:t>
            </w:r>
          </w:p>
        </w:tc>
        <w:tc>
          <w:tcPr>
            <w:tcW w:w="992" w:type="dxa"/>
            <w:noWrap/>
            <w:vAlign w:val="center"/>
          </w:tcPr>
          <w:p w:rsidR="007C13F5" w:rsidRDefault="007C13F5">
            <w:pPr>
              <w:widowControl/>
              <w:spacing w:line="260" w:lineRule="exact"/>
              <w:jc w:val="right"/>
              <w:rPr>
                <w:rFonts w:ascii="宋体" w:cs="宋体"/>
                <w:color w:val="000000"/>
                <w:kern w:val="0"/>
                <w:szCs w:val="21"/>
              </w:rPr>
            </w:pPr>
            <w:r>
              <w:rPr>
                <w:rFonts w:ascii="宋体" w:hAnsi="宋体" w:cs="宋体"/>
                <w:color w:val="000000"/>
                <w:kern w:val="0"/>
                <w:szCs w:val="21"/>
              </w:rPr>
              <w:t xml:space="preserve">77.50 </w:t>
            </w:r>
          </w:p>
        </w:tc>
      </w:tr>
    </w:tbl>
    <w:p w:rsidR="007C13F5" w:rsidRDefault="007C13F5" w:rsidP="007C13F5">
      <w:pPr>
        <w:spacing w:beforeLines="50" w:line="560" w:lineRule="exact"/>
        <w:ind w:firstLineChars="200" w:firstLine="31680"/>
        <w:jc w:val="left"/>
        <w:rPr>
          <w:rFonts w:ascii="仿宋_GB2312" w:eastAsia="仿宋_GB2312" w:hAnsi="宋体"/>
          <w:b/>
          <w:sz w:val="28"/>
          <w:szCs w:val="28"/>
        </w:rPr>
      </w:pPr>
    </w:p>
    <w:p w:rsidR="007C13F5" w:rsidRDefault="007C13F5">
      <w:pPr>
        <w:spacing w:beforeLines="50" w:line="560" w:lineRule="exact"/>
        <w:ind w:firstLineChars="200" w:firstLine="31680"/>
        <w:jc w:val="left"/>
        <w:rPr>
          <w:rFonts w:ascii="仿宋_GB2312" w:eastAsia="仿宋_GB2312" w:hAnsi="宋体"/>
          <w:b/>
          <w:sz w:val="28"/>
          <w:szCs w:val="28"/>
        </w:rPr>
      </w:pPr>
      <w:r>
        <w:rPr>
          <w:rFonts w:ascii="仿宋_GB2312" w:eastAsia="仿宋_GB2312" w:hAnsi="宋体" w:hint="eastAsia"/>
          <w:b/>
          <w:sz w:val="28"/>
          <w:szCs w:val="28"/>
        </w:rPr>
        <w:t>（二）出卖方和买受方应负担的税费计算方式</w:t>
      </w:r>
    </w:p>
    <w:p w:rsidR="007C13F5" w:rsidRDefault="007C13F5">
      <w:pPr>
        <w:spacing w:beforeLines="50" w:line="560" w:lineRule="exact"/>
        <w:ind w:firstLineChars="200" w:firstLine="31680"/>
        <w:jc w:val="center"/>
        <w:rPr>
          <w:rFonts w:ascii="仿宋_GB2312" w:eastAsia="仿宋_GB2312" w:hAnsi="宋体"/>
          <w:b/>
          <w:sz w:val="28"/>
          <w:szCs w:val="28"/>
        </w:rPr>
      </w:pPr>
    </w:p>
    <w:p w:rsidR="007C13F5" w:rsidRDefault="007C13F5">
      <w:pPr>
        <w:spacing w:beforeLines="50" w:line="560" w:lineRule="exact"/>
        <w:ind w:firstLineChars="200" w:firstLine="31680"/>
        <w:jc w:val="center"/>
        <w:rPr>
          <w:rFonts w:ascii="仿宋_GB2312" w:eastAsia="仿宋_GB2312" w:hAnsi="宋体"/>
          <w:sz w:val="28"/>
          <w:szCs w:val="28"/>
        </w:rPr>
      </w:pPr>
      <w:r>
        <w:rPr>
          <w:rFonts w:ascii="仿宋_GB2312" w:eastAsia="仿宋_GB2312" w:hAnsi="宋体" w:hint="eastAsia"/>
          <w:sz w:val="28"/>
          <w:szCs w:val="28"/>
        </w:rPr>
        <w:t>大理市住宅房地产市场二手房交易税费</w:t>
      </w:r>
    </w:p>
    <w:tbl>
      <w:tblPr>
        <w:tblW w:w="9654"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2100"/>
        <w:gridCol w:w="2200"/>
        <w:gridCol w:w="4180"/>
        <w:gridCol w:w="1174"/>
      </w:tblGrid>
      <w:tr w:rsidR="007C13F5">
        <w:trPr>
          <w:trHeight w:val="600"/>
        </w:trPr>
        <w:tc>
          <w:tcPr>
            <w:tcW w:w="2100"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交易税种</w:t>
            </w:r>
          </w:p>
        </w:tc>
        <w:tc>
          <w:tcPr>
            <w:tcW w:w="2200"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税率</w:t>
            </w:r>
          </w:p>
        </w:tc>
        <w:tc>
          <w:tcPr>
            <w:tcW w:w="4180"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具体政策</w:t>
            </w:r>
          </w:p>
        </w:tc>
        <w:tc>
          <w:tcPr>
            <w:tcW w:w="1174"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承担方</w:t>
            </w: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个人所得税</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1%</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住宅满</w:t>
            </w:r>
            <w:r>
              <w:rPr>
                <w:rFonts w:ascii="宋体" w:hAnsi="宋体" w:cs="宋体"/>
                <w:color w:val="000000"/>
                <w:kern w:val="0"/>
                <w:sz w:val="22"/>
                <w:szCs w:val="22"/>
              </w:rPr>
              <w:t>5</w:t>
            </w:r>
            <w:r>
              <w:rPr>
                <w:rFonts w:ascii="宋体" w:hAnsi="宋体" w:cs="宋体" w:hint="eastAsia"/>
                <w:color w:val="000000"/>
                <w:kern w:val="0"/>
                <w:sz w:val="22"/>
                <w:szCs w:val="22"/>
              </w:rPr>
              <w:t>年且唯一免征，必须提供无房证明</w:t>
            </w:r>
          </w:p>
        </w:tc>
        <w:tc>
          <w:tcPr>
            <w:tcW w:w="1174" w:type="dxa"/>
            <w:vAlign w:val="bottom"/>
          </w:tcPr>
          <w:p w:rsidR="007C13F5" w:rsidRDefault="007C13F5">
            <w:pPr>
              <w:widowControl/>
              <w:jc w:val="center"/>
              <w:rPr>
                <w:rFonts w:ascii="宋体" w:cs="宋体"/>
                <w:kern w:val="0"/>
                <w:sz w:val="22"/>
                <w:szCs w:val="22"/>
              </w:rPr>
            </w:pPr>
            <w:r>
              <w:rPr>
                <w:rFonts w:ascii="宋体" w:hAnsi="宋体" w:cs="宋体" w:hint="eastAsia"/>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契税（首套房）</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1-1.5%</w:t>
            </w:r>
          </w:p>
        </w:tc>
        <w:tc>
          <w:tcPr>
            <w:tcW w:w="418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1%</w:t>
            </w: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1.5%</w:t>
            </w:r>
          </w:p>
        </w:tc>
        <w:tc>
          <w:tcPr>
            <w:tcW w:w="1174" w:type="dxa"/>
            <w:vMerge w:val="restart"/>
            <w:vAlign w:val="bottom"/>
          </w:tcPr>
          <w:p w:rsidR="007C13F5" w:rsidRDefault="007C13F5">
            <w:pPr>
              <w:widowControl/>
              <w:jc w:val="center"/>
              <w:rPr>
                <w:rFonts w:ascii="宋体" w:cs="宋体"/>
                <w:kern w:val="0"/>
                <w:sz w:val="22"/>
                <w:szCs w:val="22"/>
              </w:rPr>
            </w:pPr>
            <w:r>
              <w:rPr>
                <w:rFonts w:ascii="宋体" w:hAnsi="宋体" w:cs="宋体" w:hint="eastAsia"/>
                <w:kern w:val="0"/>
                <w:sz w:val="22"/>
                <w:szCs w:val="22"/>
              </w:rPr>
              <w:t>买方</w:t>
            </w: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契税（二套房）</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1-2%</w:t>
            </w:r>
          </w:p>
        </w:tc>
        <w:tc>
          <w:tcPr>
            <w:tcW w:w="418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1%</w:t>
            </w: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2%</w:t>
            </w:r>
          </w:p>
        </w:tc>
        <w:tc>
          <w:tcPr>
            <w:tcW w:w="1174" w:type="dxa"/>
            <w:vMerge/>
            <w:vAlign w:val="center"/>
          </w:tcPr>
          <w:p w:rsidR="007C13F5" w:rsidRDefault="007C13F5">
            <w:pPr>
              <w:widowControl/>
              <w:jc w:val="left"/>
              <w:rPr>
                <w:rFonts w:ascii="宋体" w:hAnsi="宋体" w:cs="宋体"/>
                <w:kern w:val="0"/>
                <w:sz w:val="22"/>
                <w:szCs w:val="22"/>
              </w:rPr>
            </w:pP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契税（三套房或以上）</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3%</w:t>
            </w:r>
          </w:p>
        </w:tc>
        <w:tc>
          <w:tcPr>
            <w:tcW w:w="4180" w:type="dxa"/>
            <w:vAlign w:val="bottom"/>
          </w:tcPr>
          <w:p w:rsidR="007C13F5" w:rsidRDefault="007C13F5">
            <w:pPr>
              <w:widowControl/>
              <w:jc w:val="left"/>
              <w:rPr>
                <w:rFonts w:ascii="宋体" w:hAnsi="宋体" w:cs="Arial"/>
                <w:kern w:val="0"/>
                <w:sz w:val="22"/>
                <w:szCs w:val="22"/>
              </w:rPr>
            </w:pPr>
            <w:r>
              <w:rPr>
                <w:rFonts w:ascii="宋体" w:hAnsi="宋体" w:cs="Arial" w:hint="eastAsia"/>
                <w:kern w:val="0"/>
                <w:sz w:val="22"/>
                <w:szCs w:val="22"/>
              </w:rPr>
              <w:t>无论面积大小，均按成交价的</w:t>
            </w:r>
            <w:r>
              <w:rPr>
                <w:rFonts w:ascii="宋体" w:hAnsi="宋体" w:cs="Arial"/>
                <w:kern w:val="0"/>
                <w:sz w:val="22"/>
                <w:szCs w:val="22"/>
              </w:rPr>
              <w:t>3%</w:t>
            </w:r>
          </w:p>
        </w:tc>
        <w:tc>
          <w:tcPr>
            <w:tcW w:w="1174" w:type="dxa"/>
            <w:vMerge/>
            <w:vAlign w:val="center"/>
          </w:tcPr>
          <w:p w:rsidR="007C13F5" w:rsidRDefault="007C13F5">
            <w:pPr>
              <w:widowControl/>
              <w:jc w:val="left"/>
              <w:rPr>
                <w:rFonts w:ascii="宋体" w:cs="宋体"/>
                <w:kern w:val="0"/>
                <w:sz w:val="22"/>
                <w:szCs w:val="22"/>
              </w:rPr>
            </w:pP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增值税及附加</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按成交价的</w:t>
            </w:r>
            <w:r>
              <w:rPr>
                <w:rFonts w:ascii="宋体" w:hAnsi="宋体" w:cs="宋体"/>
                <w:kern w:val="0"/>
                <w:sz w:val="22"/>
                <w:szCs w:val="22"/>
              </w:rPr>
              <w:t>5.6%</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住宅满两年免征</w:t>
            </w:r>
          </w:p>
        </w:tc>
        <w:tc>
          <w:tcPr>
            <w:tcW w:w="1174" w:type="dxa"/>
            <w:vAlign w:val="bottom"/>
          </w:tcPr>
          <w:p w:rsidR="007C13F5" w:rsidRDefault="007C13F5">
            <w:pPr>
              <w:widowControl/>
              <w:jc w:val="center"/>
              <w:rPr>
                <w:rFonts w:ascii="宋体" w:cs="宋体"/>
                <w:color w:val="000000"/>
                <w:kern w:val="0"/>
                <w:sz w:val="22"/>
                <w:szCs w:val="22"/>
              </w:rPr>
            </w:pPr>
            <w:r>
              <w:rPr>
                <w:rFonts w:ascii="宋体" w:hAnsi="宋体" w:cs="宋体" w:hint="eastAsia"/>
                <w:color w:val="000000"/>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土地收益金</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按成交价的</w:t>
            </w:r>
            <w:r>
              <w:rPr>
                <w:rFonts w:ascii="宋体" w:hAnsi="宋体" w:cs="宋体"/>
                <w:kern w:val="0"/>
                <w:sz w:val="22"/>
                <w:szCs w:val="22"/>
              </w:rPr>
              <w:t>0.5%</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房改房、经济适用房、合作建房等需要交此费用</w:t>
            </w:r>
          </w:p>
        </w:tc>
        <w:tc>
          <w:tcPr>
            <w:tcW w:w="1174" w:type="dxa"/>
            <w:vAlign w:val="bottom"/>
          </w:tcPr>
          <w:p w:rsidR="007C13F5" w:rsidRDefault="007C13F5">
            <w:pPr>
              <w:widowControl/>
              <w:jc w:val="center"/>
              <w:rPr>
                <w:rFonts w:ascii="宋体" w:cs="宋体"/>
                <w:color w:val="000000"/>
                <w:kern w:val="0"/>
                <w:sz w:val="22"/>
                <w:szCs w:val="22"/>
              </w:rPr>
            </w:pPr>
            <w:r>
              <w:rPr>
                <w:rFonts w:ascii="宋体" w:hAnsi="宋体" w:cs="宋体" w:hint="eastAsia"/>
                <w:color w:val="000000"/>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土地出让金</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按两次成交价差额的</w:t>
            </w:r>
            <w:r>
              <w:rPr>
                <w:rFonts w:ascii="宋体" w:hAnsi="宋体" w:cs="宋体"/>
                <w:kern w:val="0"/>
                <w:sz w:val="22"/>
                <w:szCs w:val="22"/>
              </w:rPr>
              <w:t>10%</w:t>
            </w:r>
          </w:p>
        </w:tc>
        <w:tc>
          <w:tcPr>
            <w:tcW w:w="418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经济适用房需要交此费用，计算方式：（现成交单价</w:t>
            </w:r>
            <w:r>
              <w:rPr>
                <w:rFonts w:ascii="宋体" w:cs="宋体"/>
                <w:color w:val="000000"/>
                <w:kern w:val="0"/>
                <w:sz w:val="22"/>
                <w:szCs w:val="22"/>
              </w:rPr>
              <w:t>-</w:t>
            </w:r>
            <w:r>
              <w:rPr>
                <w:rFonts w:ascii="宋体" w:hAnsi="宋体" w:cs="宋体" w:hint="eastAsia"/>
                <w:color w:val="000000"/>
                <w:kern w:val="0"/>
                <w:sz w:val="22"/>
                <w:szCs w:val="22"/>
              </w:rPr>
              <w:t>原优惠单价）×原优惠面积×</w:t>
            </w:r>
            <w:r>
              <w:rPr>
                <w:rFonts w:ascii="宋体" w:hAnsi="宋体" w:cs="宋体"/>
                <w:color w:val="000000"/>
                <w:kern w:val="0"/>
                <w:sz w:val="22"/>
                <w:szCs w:val="22"/>
              </w:rPr>
              <w:t>10%</w:t>
            </w:r>
          </w:p>
        </w:tc>
        <w:tc>
          <w:tcPr>
            <w:tcW w:w="1174" w:type="dxa"/>
            <w:vAlign w:val="bottom"/>
          </w:tcPr>
          <w:p w:rsidR="007C13F5" w:rsidRDefault="007C13F5">
            <w:pPr>
              <w:widowControl/>
              <w:jc w:val="center"/>
              <w:rPr>
                <w:rFonts w:ascii="宋体" w:cs="宋体"/>
                <w:color w:val="000000"/>
                <w:kern w:val="0"/>
                <w:sz w:val="22"/>
                <w:szCs w:val="22"/>
              </w:rPr>
            </w:pPr>
            <w:r>
              <w:rPr>
                <w:rFonts w:ascii="宋体" w:hAnsi="宋体" w:cs="宋体" w:hint="eastAsia"/>
                <w:color w:val="000000"/>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印花税</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按成交价的</w:t>
            </w:r>
            <w:r>
              <w:rPr>
                <w:rFonts w:ascii="宋体" w:hAnsi="宋体" w:cs="宋体"/>
                <w:kern w:val="0"/>
                <w:sz w:val="22"/>
                <w:szCs w:val="22"/>
              </w:rPr>
              <w:t>0.05%</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目前住宅免征</w:t>
            </w:r>
          </w:p>
        </w:tc>
        <w:tc>
          <w:tcPr>
            <w:tcW w:w="1174"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买方和卖方各一半</w:t>
            </w:r>
          </w:p>
        </w:tc>
      </w:tr>
    </w:tbl>
    <w:p w:rsidR="007C13F5" w:rsidRDefault="007C13F5" w:rsidP="007C13F5">
      <w:pPr>
        <w:spacing w:beforeLines="50" w:line="560" w:lineRule="exact"/>
        <w:ind w:firstLineChars="200" w:firstLine="31680"/>
        <w:jc w:val="left"/>
        <w:rPr>
          <w:rFonts w:ascii="仿宋_GB2312" w:eastAsia="仿宋_GB2312" w:hAnsi="宋体"/>
          <w:b/>
          <w:sz w:val="28"/>
          <w:szCs w:val="28"/>
        </w:rPr>
      </w:pPr>
    </w:p>
    <w:p w:rsidR="007C13F5" w:rsidRDefault="007C13F5">
      <w:pPr>
        <w:spacing w:beforeLines="50" w:line="560" w:lineRule="exact"/>
        <w:ind w:firstLineChars="200" w:firstLine="31680"/>
        <w:rPr>
          <w:rFonts w:ascii="仿宋_GB2312" w:eastAsia="仿宋_GB2312" w:hAnsi="宋体"/>
          <w:sz w:val="28"/>
          <w:szCs w:val="28"/>
        </w:rPr>
      </w:pPr>
    </w:p>
    <w:p w:rsidR="007C13F5" w:rsidRDefault="007C13F5">
      <w:pPr>
        <w:spacing w:beforeLines="50" w:line="560" w:lineRule="exact"/>
        <w:ind w:firstLineChars="200" w:firstLine="31680"/>
        <w:rPr>
          <w:rFonts w:ascii="仿宋_GB2312" w:eastAsia="仿宋_GB2312" w:hAnsi="宋体"/>
          <w:sz w:val="28"/>
          <w:szCs w:val="28"/>
        </w:rPr>
      </w:pPr>
    </w:p>
    <w:p w:rsidR="007C13F5" w:rsidRDefault="007C13F5">
      <w:pPr>
        <w:spacing w:beforeLines="50" w:line="560" w:lineRule="exact"/>
        <w:ind w:firstLineChars="200" w:firstLine="31680"/>
        <w:jc w:val="right"/>
        <w:rPr>
          <w:rFonts w:ascii="仿宋_GB2312" w:eastAsia="仿宋_GB2312" w:hAnsi="宋体"/>
          <w:sz w:val="28"/>
          <w:szCs w:val="28"/>
        </w:rPr>
      </w:pPr>
      <w:r>
        <w:rPr>
          <w:rFonts w:ascii="仿宋_GB2312" w:eastAsia="仿宋_GB2312" w:hAnsi="宋体" w:hint="eastAsia"/>
          <w:sz w:val="28"/>
          <w:szCs w:val="28"/>
        </w:rPr>
        <w:t>云南银信房地产土地资产评估有限公司</w:t>
      </w:r>
    </w:p>
    <w:p w:rsidR="007C13F5" w:rsidRDefault="007C13F5">
      <w:pPr>
        <w:spacing w:beforeLines="50" w:line="560" w:lineRule="exact"/>
        <w:ind w:right="560" w:firstLineChars="1800" w:firstLine="31680"/>
        <w:rPr>
          <w:rFonts w:ascii="仿宋_GB2312" w:eastAsia="仿宋_GB2312" w:hAnsi="宋体"/>
          <w:sz w:val="28"/>
          <w:szCs w:val="28"/>
        </w:rPr>
      </w:pPr>
      <w:r>
        <w:rPr>
          <w:rFonts w:ascii="仿宋_GB2312" w:eastAsia="仿宋_GB2312" w:hAnsi="宋体" w:hint="eastAsia"/>
          <w:sz w:val="28"/>
          <w:szCs w:val="28"/>
        </w:rPr>
        <w:t>法定代表人：</w:t>
      </w:r>
    </w:p>
    <w:p w:rsidR="007C13F5" w:rsidRDefault="007C13F5">
      <w:pPr>
        <w:spacing w:beforeLines="50" w:line="560" w:lineRule="exact"/>
        <w:ind w:right="560" w:firstLineChars="1800" w:firstLine="31680"/>
        <w:rPr>
          <w:rFonts w:ascii="仿宋_GB2312" w:eastAsia="仿宋_GB2312" w:hAnsi="宋体"/>
          <w:sz w:val="28"/>
          <w:szCs w:val="28"/>
        </w:rPr>
      </w:pPr>
    </w:p>
    <w:p w:rsidR="007C13F5" w:rsidRDefault="007C13F5">
      <w:pPr>
        <w:spacing w:beforeLines="50" w:line="560" w:lineRule="exact"/>
        <w:ind w:firstLineChars="200" w:firstLine="31680"/>
        <w:jc w:val="right"/>
        <w:rPr>
          <w:rFonts w:ascii="仿宋_GB2312" w:eastAsia="仿宋_GB2312" w:hAnsi="宋体"/>
          <w:sz w:val="28"/>
          <w:szCs w:val="28"/>
        </w:rPr>
      </w:pP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5</w:t>
      </w:r>
      <w:r>
        <w:rPr>
          <w:rFonts w:ascii="仿宋_GB2312" w:eastAsia="仿宋_GB2312" w:hAnsi="宋体" w:hint="eastAsia"/>
          <w:sz w:val="28"/>
          <w:szCs w:val="28"/>
        </w:rPr>
        <w:t>月</w:t>
      </w:r>
      <w:r>
        <w:rPr>
          <w:rFonts w:ascii="仿宋_GB2312" w:eastAsia="仿宋_GB2312" w:hAnsi="宋体"/>
          <w:sz w:val="28"/>
          <w:szCs w:val="28"/>
        </w:rPr>
        <w:t>18</w:t>
      </w:r>
      <w:r>
        <w:rPr>
          <w:rFonts w:ascii="仿宋_GB2312" w:eastAsia="仿宋_GB2312" w:hAnsi="宋体" w:hint="eastAsia"/>
          <w:sz w:val="28"/>
          <w:szCs w:val="28"/>
        </w:rPr>
        <w:t>日</w:t>
      </w:r>
    </w:p>
    <w:p w:rsidR="007C13F5" w:rsidRDefault="007C13F5">
      <w:pPr>
        <w:spacing w:beforeLines="50" w:line="560" w:lineRule="exact"/>
        <w:ind w:firstLineChars="200" w:firstLine="31680"/>
        <w:jc w:val="center"/>
        <w:rPr>
          <w:rFonts w:ascii="仿宋_GB2312" w:eastAsia="仿宋_GB2312" w:hAnsi="宋体"/>
          <w:sz w:val="28"/>
          <w:szCs w:val="28"/>
        </w:rPr>
      </w:pPr>
      <w:r>
        <w:rPr>
          <w:rFonts w:ascii="仿宋_GB2312" w:eastAsia="仿宋_GB2312" w:hAnsi="宋体"/>
          <w:sz w:val="28"/>
          <w:szCs w:val="28"/>
        </w:rPr>
        <w:br w:type="page"/>
      </w:r>
    </w:p>
    <w:p w:rsidR="007C13F5" w:rsidRDefault="007C13F5">
      <w:pPr>
        <w:spacing w:beforeLines="50" w:line="560" w:lineRule="exact"/>
        <w:ind w:firstLineChars="200" w:firstLine="31680"/>
        <w:jc w:val="center"/>
        <w:rPr>
          <w:rFonts w:ascii="仿宋_GB2312" w:eastAsia="仿宋_GB2312" w:hAnsi="宋体"/>
          <w:b/>
          <w:sz w:val="44"/>
          <w:szCs w:val="44"/>
        </w:rPr>
      </w:pPr>
      <w:r>
        <w:rPr>
          <w:rFonts w:ascii="仿宋_GB2312" w:eastAsia="仿宋_GB2312" w:hAnsi="宋体" w:hint="eastAsia"/>
          <w:b/>
          <w:sz w:val="44"/>
          <w:szCs w:val="44"/>
        </w:rPr>
        <w:t>目</w:t>
      </w:r>
      <w:r>
        <w:rPr>
          <w:rFonts w:ascii="仿宋_GB2312" w:eastAsia="仿宋_GB2312" w:hAnsi="宋体"/>
          <w:b/>
          <w:sz w:val="44"/>
          <w:szCs w:val="44"/>
        </w:rPr>
        <w:t xml:space="preserve">       </w:t>
      </w:r>
      <w:r>
        <w:rPr>
          <w:rFonts w:ascii="仿宋_GB2312" w:eastAsia="仿宋_GB2312" w:hAnsi="宋体" w:hint="eastAsia"/>
          <w:b/>
          <w:sz w:val="44"/>
          <w:szCs w:val="44"/>
        </w:rPr>
        <w:t>录</w:t>
      </w:r>
    </w:p>
    <w:p w:rsidR="007C13F5" w:rsidRDefault="007C13F5">
      <w:pPr>
        <w:spacing w:beforeLines="50" w:line="560" w:lineRule="exact"/>
        <w:ind w:firstLineChars="200" w:firstLine="31680"/>
        <w:jc w:val="center"/>
        <w:rPr>
          <w:rFonts w:ascii="仿宋_GB2312" w:eastAsia="仿宋_GB2312" w:hAnsi="宋体"/>
          <w:b/>
          <w:sz w:val="44"/>
          <w:szCs w:val="44"/>
        </w:rPr>
      </w:pPr>
    </w:p>
    <w:p w:rsidR="007C13F5" w:rsidRDefault="007C13F5">
      <w:pPr>
        <w:pStyle w:val="TOC1"/>
        <w:tabs>
          <w:tab w:val="right" w:leader="dot" w:pos="9306"/>
        </w:tabs>
        <w:rPr>
          <w:rFonts w:ascii="仿宋_GB2312" w:eastAsia="仿宋_GB2312" w:hAnsi="Calibri"/>
          <w:noProof/>
          <w:sz w:val="28"/>
          <w:szCs w:val="28"/>
        </w:rPr>
      </w:pPr>
      <w:r>
        <w:rPr>
          <w:rFonts w:ascii="仿宋_GB2312" w:eastAsia="仿宋_GB2312" w:hAnsi="宋体"/>
          <w:b/>
          <w:sz w:val="28"/>
          <w:szCs w:val="28"/>
        </w:rPr>
        <w:fldChar w:fldCharType="begin"/>
      </w:r>
      <w:r>
        <w:rPr>
          <w:rFonts w:ascii="仿宋_GB2312" w:eastAsia="仿宋_GB2312" w:hAnsi="宋体"/>
          <w:b/>
          <w:sz w:val="28"/>
          <w:szCs w:val="28"/>
        </w:rPr>
        <w:instrText xml:space="preserve"> TOC \o "1-2" \h \z \u </w:instrText>
      </w:r>
      <w:r>
        <w:rPr>
          <w:rFonts w:ascii="仿宋_GB2312" w:eastAsia="仿宋_GB2312" w:hAnsi="宋体"/>
          <w:b/>
          <w:sz w:val="28"/>
          <w:szCs w:val="28"/>
        </w:rPr>
        <w:fldChar w:fldCharType="separate"/>
      </w:r>
      <w:hyperlink w:anchor="_Toc499890246" w:history="1">
        <w:r>
          <w:rPr>
            <w:rStyle w:val="Hyperlink"/>
            <w:rFonts w:ascii="仿宋_GB2312" w:eastAsia="仿宋_GB2312" w:hint="eastAsia"/>
            <w:b/>
            <w:noProof/>
            <w:color w:val="auto"/>
            <w:sz w:val="28"/>
            <w:szCs w:val="28"/>
          </w:rPr>
          <w:t>第一部分</w:t>
        </w:r>
        <w:r>
          <w:rPr>
            <w:rStyle w:val="Hyperlink"/>
            <w:rFonts w:ascii="仿宋_GB2312" w:eastAsia="仿宋_GB2312"/>
            <w:b/>
            <w:noProof/>
            <w:color w:val="auto"/>
            <w:sz w:val="28"/>
            <w:szCs w:val="28"/>
          </w:rPr>
          <w:t xml:space="preserve"> </w:t>
        </w:r>
        <w:r>
          <w:rPr>
            <w:rStyle w:val="Hyperlink"/>
            <w:rFonts w:ascii="仿宋_GB2312" w:eastAsia="仿宋_GB2312" w:hint="eastAsia"/>
            <w:b/>
            <w:noProof/>
            <w:color w:val="auto"/>
            <w:sz w:val="28"/>
            <w:szCs w:val="28"/>
          </w:rPr>
          <w:t>估价师声明</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_Toc499890246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6</w:t>
        </w:r>
        <w:r>
          <w:rPr>
            <w:rFonts w:ascii="仿宋_GB2312" w:eastAsia="仿宋_GB2312"/>
            <w:noProof/>
            <w:webHidden/>
            <w:sz w:val="28"/>
            <w:szCs w:val="28"/>
          </w:rPr>
          <w:fldChar w:fldCharType="end"/>
        </w:r>
      </w:hyperlink>
    </w:p>
    <w:p w:rsidR="007C13F5" w:rsidRDefault="007C13F5">
      <w:pPr>
        <w:pStyle w:val="TOC1"/>
        <w:tabs>
          <w:tab w:val="right" w:leader="dot" w:pos="9306"/>
        </w:tabs>
        <w:rPr>
          <w:rFonts w:ascii="仿宋_GB2312" w:eastAsia="仿宋_GB2312" w:hAnsi="Calibri"/>
          <w:noProof/>
          <w:sz w:val="28"/>
          <w:szCs w:val="28"/>
        </w:rPr>
      </w:pPr>
      <w:hyperlink w:anchor="_Toc499890247" w:history="1">
        <w:r>
          <w:rPr>
            <w:rStyle w:val="Hyperlink"/>
            <w:rFonts w:ascii="仿宋_GB2312" w:eastAsia="仿宋_GB2312" w:hint="eastAsia"/>
            <w:b/>
            <w:noProof/>
            <w:color w:val="auto"/>
            <w:sz w:val="28"/>
            <w:szCs w:val="28"/>
          </w:rPr>
          <w:t>第二部分</w:t>
        </w:r>
        <w:r>
          <w:rPr>
            <w:rStyle w:val="Hyperlink"/>
            <w:rFonts w:ascii="仿宋_GB2312" w:eastAsia="仿宋_GB2312"/>
            <w:b/>
            <w:noProof/>
            <w:color w:val="auto"/>
            <w:sz w:val="28"/>
            <w:szCs w:val="28"/>
          </w:rPr>
          <w:t xml:space="preserve"> </w:t>
        </w:r>
        <w:r>
          <w:rPr>
            <w:rStyle w:val="Hyperlink"/>
            <w:rFonts w:ascii="仿宋_GB2312" w:eastAsia="仿宋_GB2312" w:hint="eastAsia"/>
            <w:b/>
            <w:noProof/>
            <w:color w:val="auto"/>
            <w:sz w:val="28"/>
            <w:szCs w:val="28"/>
          </w:rPr>
          <w:t>估价的假设和限制条件</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_Toc499890247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8</w:t>
        </w:r>
        <w:r>
          <w:rPr>
            <w:rFonts w:ascii="仿宋_GB2312" w:eastAsia="仿宋_GB2312"/>
            <w:noProof/>
            <w:webHidden/>
            <w:sz w:val="28"/>
            <w:szCs w:val="28"/>
          </w:rPr>
          <w:fldChar w:fldCharType="end"/>
        </w:r>
      </w:hyperlink>
    </w:p>
    <w:p w:rsidR="007C13F5" w:rsidRDefault="007C13F5">
      <w:pPr>
        <w:pStyle w:val="TOC1"/>
        <w:tabs>
          <w:tab w:val="right" w:leader="dot" w:pos="9306"/>
        </w:tabs>
        <w:rPr>
          <w:rFonts w:ascii="仿宋_GB2312" w:eastAsia="仿宋_GB2312" w:hAnsi="Calibri"/>
          <w:noProof/>
          <w:sz w:val="28"/>
          <w:szCs w:val="28"/>
        </w:rPr>
      </w:pPr>
      <w:hyperlink w:anchor="_Toc499890248" w:history="1">
        <w:r>
          <w:rPr>
            <w:rStyle w:val="Hyperlink"/>
            <w:rFonts w:ascii="仿宋_GB2312" w:eastAsia="仿宋_GB2312" w:hint="eastAsia"/>
            <w:b/>
            <w:noProof/>
            <w:color w:val="auto"/>
            <w:sz w:val="28"/>
            <w:szCs w:val="28"/>
          </w:rPr>
          <w:t>第三部分</w:t>
        </w:r>
        <w:r>
          <w:rPr>
            <w:rStyle w:val="Hyperlink"/>
            <w:rFonts w:ascii="仿宋_GB2312" w:eastAsia="仿宋_GB2312"/>
            <w:b/>
            <w:noProof/>
            <w:color w:val="auto"/>
            <w:sz w:val="28"/>
            <w:szCs w:val="28"/>
          </w:rPr>
          <w:t xml:space="preserve"> </w:t>
        </w:r>
        <w:r>
          <w:rPr>
            <w:rStyle w:val="Hyperlink"/>
            <w:rFonts w:ascii="仿宋_GB2312" w:eastAsia="仿宋_GB2312" w:hint="eastAsia"/>
            <w:b/>
            <w:noProof/>
            <w:color w:val="auto"/>
            <w:sz w:val="28"/>
            <w:szCs w:val="28"/>
          </w:rPr>
          <w:t>估价结果报告</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_Toc499890248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12</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49" w:history="1">
        <w:r>
          <w:rPr>
            <w:rStyle w:val="Hyperlink"/>
            <w:rFonts w:ascii="仿宋_GB2312" w:eastAsia="仿宋_GB2312" w:hint="eastAsia"/>
            <w:noProof/>
            <w:color w:val="auto"/>
            <w:sz w:val="28"/>
            <w:szCs w:val="28"/>
          </w:rPr>
          <w:t>一、委托方</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_Toc499890249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12</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50" w:history="1">
        <w:r>
          <w:rPr>
            <w:rStyle w:val="Hyperlink"/>
            <w:rFonts w:ascii="仿宋_GB2312" w:eastAsia="仿宋_GB2312" w:hint="eastAsia"/>
            <w:noProof/>
            <w:color w:val="auto"/>
            <w:sz w:val="28"/>
            <w:szCs w:val="28"/>
          </w:rPr>
          <w:t>二、估价方</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_Toc499890250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12</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51" w:history="1">
        <w:r>
          <w:rPr>
            <w:rStyle w:val="Hyperlink"/>
            <w:rFonts w:ascii="仿宋_GB2312" w:eastAsia="仿宋_GB2312" w:hint="eastAsia"/>
            <w:noProof/>
            <w:color w:val="auto"/>
            <w:sz w:val="28"/>
            <w:szCs w:val="28"/>
          </w:rPr>
          <w:t>三、估价对象</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_Toc499890251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13</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52" w:history="1">
        <w:r>
          <w:rPr>
            <w:rStyle w:val="Hyperlink"/>
            <w:rFonts w:ascii="仿宋_GB2312" w:eastAsia="仿宋_GB2312" w:hint="eastAsia"/>
            <w:noProof/>
            <w:color w:val="auto"/>
            <w:sz w:val="28"/>
            <w:szCs w:val="28"/>
          </w:rPr>
          <w:t>四、估价目的</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_Toc499890252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17</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53" w:history="1">
        <w:r>
          <w:rPr>
            <w:rStyle w:val="Hyperlink"/>
            <w:rFonts w:ascii="仿宋_GB2312" w:eastAsia="仿宋_GB2312" w:hint="eastAsia"/>
            <w:noProof/>
            <w:color w:val="auto"/>
            <w:sz w:val="28"/>
            <w:szCs w:val="28"/>
          </w:rPr>
          <w:t>五、价值时点</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_Toc499890253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17</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54" w:history="1">
        <w:r>
          <w:rPr>
            <w:rStyle w:val="Hyperlink"/>
            <w:rFonts w:ascii="仿宋_GB2312" w:eastAsia="仿宋_GB2312" w:hint="eastAsia"/>
            <w:noProof/>
            <w:color w:val="auto"/>
            <w:sz w:val="28"/>
            <w:szCs w:val="28"/>
          </w:rPr>
          <w:t>六、价值类型</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_Toc499890254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17</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55" w:history="1">
        <w:r>
          <w:rPr>
            <w:rStyle w:val="Hyperlink"/>
            <w:rFonts w:ascii="仿宋_GB2312" w:eastAsia="仿宋_GB2312" w:hint="eastAsia"/>
            <w:noProof/>
            <w:color w:val="auto"/>
            <w:sz w:val="28"/>
            <w:szCs w:val="28"/>
          </w:rPr>
          <w:t>七、估价依据</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_Toc499890255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17</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56" w:history="1">
        <w:r>
          <w:rPr>
            <w:rStyle w:val="Hyperlink"/>
            <w:rFonts w:ascii="仿宋_GB2312" w:eastAsia="仿宋_GB2312" w:hint="eastAsia"/>
            <w:noProof/>
            <w:color w:val="auto"/>
            <w:sz w:val="28"/>
            <w:szCs w:val="28"/>
          </w:rPr>
          <w:t>八、估价原则</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_Toc499890256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19</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57" w:history="1">
        <w:r>
          <w:rPr>
            <w:rStyle w:val="Hyperlink"/>
            <w:rFonts w:ascii="仿宋_GB2312" w:eastAsia="仿宋_GB2312" w:hint="eastAsia"/>
            <w:noProof/>
            <w:color w:val="auto"/>
            <w:sz w:val="28"/>
            <w:szCs w:val="28"/>
          </w:rPr>
          <w:t>九、估价方法</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_Toc499890257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20</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58" w:history="1">
        <w:r>
          <w:rPr>
            <w:rStyle w:val="Hyperlink"/>
            <w:rFonts w:ascii="仿宋_GB2312" w:eastAsia="仿宋_GB2312" w:hint="eastAsia"/>
            <w:noProof/>
            <w:color w:val="auto"/>
            <w:sz w:val="28"/>
            <w:szCs w:val="28"/>
          </w:rPr>
          <w:t>十、估价结果</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_Toc499890258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20</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59" w:history="1">
        <w:r>
          <w:rPr>
            <w:rStyle w:val="Hyperlink"/>
            <w:rFonts w:ascii="仿宋_GB2312" w:eastAsia="仿宋_GB2312" w:hint="eastAsia"/>
            <w:noProof/>
            <w:color w:val="auto"/>
            <w:sz w:val="28"/>
            <w:szCs w:val="28"/>
          </w:rPr>
          <w:t>十一、估价人员</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_Toc499890259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21</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60" w:history="1">
        <w:r>
          <w:rPr>
            <w:rStyle w:val="Hyperlink"/>
            <w:rFonts w:ascii="仿宋_GB2312" w:eastAsia="仿宋_GB2312" w:hint="eastAsia"/>
            <w:noProof/>
            <w:color w:val="auto"/>
            <w:sz w:val="28"/>
            <w:szCs w:val="28"/>
          </w:rPr>
          <w:t>十二、估价作业日期</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_Toc499890260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23</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61" w:history="1">
        <w:r>
          <w:rPr>
            <w:rStyle w:val="Hyperlink"/>
            <w:rFonts w:ascii="仿宋_GB2312" w:eastAsia="仿宋_GB2312" w:hint="eastAsia"/>
            <w:noProof/>
            <w:color w:val="auto"/>
            <w:sz w:val="28"/>
            <w:szCs w:val="28"/>
          </w:rPr>
          <w:t>十三、估价报告应用的有效期</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_Toc499890261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23</w:t>
        </w:r>
        <w:r>
          <w:rPr>
            <w:rFonts w:ascii="仿宋_GB2312" w:eastAsia="仿宋_GB2312"/>
            <w:noProof/>
            <w:webHidden/>
            <w:sz w:val="28"/>
            <w:szCs w:val="28"/>
          </w:rPr>
          <w:fldChar w:fldCharType="end"/>
        </w:r>
      </w:hyperlink>
    </w:p>
    <w:p w:rsidR="007C13F5" w:rsidRDefault="007C13F5">
      <w:pPr>
        <w:pStyle w:val="TOC1"/>
        <w:tabs>
          <w:tab w:val="right" w:leader="dot" w:pos="9306"/>
        </w:tabs>
        <w:rPr>
          <w:rFonts w:ascii="仿宋_GB2312" w:eastAsia="仿宋_GB2312" w:hAnsi="Calibri"/>
          <w:noProof/>
          <w:sz w:val="28"/>
          <w:szCs w:val="28"/>
        </w:rPr>
      </w:pPr>
      <w:hyperlink w:anchor="_Toc499890262" w:history="1">
        <w:r>
          <w:rPr>
            <w:rStyle w:val="Hyperlink"/>
            <w:rFonts w:ascii="仿宋_GB2312" w:eastAsia="仿宋_GB2312" w:hint="eastAsia"/>
            <w:b/>
            <w:noProof/>
            <w:color w:val="auto"/>
            <w:sz w:val="28"/>
            <w:szCs w:val="28"/>
          </w:rPr>
          <w:t>第四部分</w:t>
        </w:r>
        <w:r>
          <w:rPr>
            <w:rStyle w:val="Hyperlink"/>
            <w:rFonts w:ascii="仿宋_GB2312" w:eastAsia="仿宋_GB2312"/>
            <w:b/>
            <w:noProof/>
            <w:color w:val="auto"/>
            <w:sz w:val="28"/>
            <w:szCs w:val="28"/>
          </w:rPr>
          <w:t xml:space="preserve"> </w:t>
        </w:r>
        <w:r>
          <w:rPr>
            <w:rStyle w:val="Hyperlink"/>
            <w:rFonts w:ascii="仿宋_GB2312" w:eastAsia="仿宋_GB2312" w:hint="eastAsia"/>
            <w:b/>
            <w:noProof/>
            <w:color w:val="auto"/>
            <w:sz w:val="28"/>
            <w:szCs w:val="28"/>
          </w:rPr>
          <w:t>估价技术报告</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_Toc499890262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24</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63" w:history="1">
        <w:r>
          <w:rPr>
            <w:rStyle w:val="Hyperlink"/>
            <w:rFonts w:ascii="仿宋_GB2312" w:eastAsia="仿宋_GB2312" w:hint="eastAsia"/>
            <w:noProof/>
            <w:color w:val="auto"/>
            <w:sz w:val="28"/>
            <w:szCs w:val="28"/>
          </w:rPr>
          <w:t>一、实物状况描述与分析</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_Toc499890263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24</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64" w:history="1">
        <w:r>
          <w:rPr>
            <w:rStyle w:val="Hyperlink"/>
            <w:rFonts w:ascii="仿宋_GB2312" w:eastAsia="仿宋_GB2312" w:hint="eastAsia"/>
            <w:noProof/>
            <w:color w:val="auto"/>
            <w:sz w:val="28"/>
            <w:szCs w:val="28"/>
          </w:rPr>
          <w:t>二、权益状况描述与分析</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_Toc499890264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26</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65" w:history="1">
        <w:r>
          <w:rPr>
            <w:rStyle w:val="Hyperlink"/>
            <w:rFonts w:ascii="仿宋_GB2312" w:eastAsia="仿宋_GB2312" w:hint="eastAsia"/>
            <w:noProof/>
            <w:color w:val="auto"/>
            <w:sz w:val="28"/>
            <w:szCs w:val="28"/>
          </w:rPr>
          <w:t>三、区域状况描述与分析</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_Toc499890265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28</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66" w:history="1">
        <w:r>
          <w:rPr>
            <w:rStyle w:val="Hyperlink"/>
            <w:rFonts w:ascii="仿宋_GB2312" w:eastAsia="仿宋_GB2312" w:hint="eastAsia"/>
            <w:noProof/>
            <w:color w:val="auto"/>
            <w:sz w:val="28"/>
            <w:szCs w:val="28"/>
          </w:rPr>
          <w:t>四、市场背景分析</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_Toc499890266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29</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67" w:history="1">
        <w:r>
          <w:rPr>
            <w:rStyle w:val="Hyperlink"/>
            <w:rFonts w:ascii="仿宋_GB2312" w:eastAsia="仿宋_GB2312" w:hint="eastAsia"/>
            <w:noProof/>
            <w:color w:val="auto"/>
            <w:sz w:val="28"/>
            <w:szCs w:val="28"/>
          </w:rPr>
          <w:t>五、最高最佳利用分析</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_Toc499890267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29</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68" w:history="1">
        <w:r>
          <w:rPr>
            <w:rStyle w:val="Hyperlink"/>
            <w:rFonts w:ascii="仿宋_GB2312" w:eastAsia="仿宋_GB2312" w:hint="eastAsia"/>
            <w:noProof/>
            <w:color w:val="auto"/>
            <w:sz w:val="28"/>
            <w:szCs w:val="28"/>
          </w:rPr>
          <w:t>六、估价方法的选用</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_Toc499890268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37</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69" w:history="1">
        <w:r>
          <w:rPr>
            <w:rStyle w:val="Hyperlink"/>
            <w:rFonts w:ascii="仿宋_GB2312" w:eastAsia="仿宋_GB2312" w:hint="eastAsia"/>
            <w:noProof/>
            <w:color w:val="auto"/>
            <w:sz w:val="28"/>
            <w:szCs w:val="28"/>
          </w:rPr>
          <w:t>七、估价测算过程</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_Toc499890269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37</w:t>
        </w:r>
        <w:r>
          <w:rPr>
            <w:rFonts w:ascii="仿宋_GB2312" w:eastAsia="仿宋_GB2312"/>
            <w:noProof/>
            <w:webHidden/>
            <w:sz w:val="28"/>
            <w:szCs w:val="28"/>
          </w:rPr>
          <w:fldChar w:fldCharType="end"/>
        </w:r>
      </w:hyperlink>
    </w:p>
    <w:p w:rsidR="007C13F5" w:rsidRDefault="007C13F5">
      <w:pPr>
        <w:pStyle w:val="TOC2"/>
        <w:tabs>
          <w:tab w:val="right" w:leader="dot" w:pos="9306"/>
        </w:tabs>
        <w:ind w:left="31680"/>
        <w:rPr>
          <w:rFonts w:ascii="仿宋_GB2312" w:eastAsia="仿宋_GB2312" w:hAnsi="Calibri"/>
          <w:noProof/>
          <w:sz w:val="28"/>
          <w:szCs w:val="28"/>
        </w:rPr>
      </w:pPr>
      <w:hyperlink w:anchor="_Toc499890270" w:history="1">
        <w:r>
          <w:rPr>
            <w:rStyle w:val="Hyperlink"/>
            <w:rFonts w:ascii="仿宋_GB2312" w:eastAsia="仿宋_GB2312" w:hint="eastAsia"/>
            <w:noProof/>
            <w:color w:val="auto"/>
            <w:sz w:val="28"/>
            <w:szCs w:val="28"/>
          </w:rPr>
          <w:t>八、估价结果确定</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_Toc499890270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45</w:t>
        </w:r>
        <w:r>
          <w:rPr>
            <w:rFonts w:ascii="仿宋_GB2312" w:eastAsia="仿宋_GB2312"/>
            <w:noProof/>
            <w:webHidden/>
            <w:sz w:val="28"/>
            <w:szCs w:val="28"/>
          </w:rPr>
          <w:fldChar w:fldCharType="end"/>
        </w:r>
      </w:hyperlink>
    </w:p>
    <w:p w:rsidR="007C13F5" w:rsidRDefault="007C13F5">
      <w:pPr>
        <w:pStyle w:val="TOC1"/>
        <w:tabs>
          <w:tab w:val="right" w:leader="dot" w:pos="9306"/>
        </w:tabs>
        <w:rPr>
          <w:rFonts w:ascii="仿宋_GB2312" w:eastAsia="仿宋_GB2312" w:hAnsi="Calibri"/>
          <w:noProof/>
          <w:sz w:val="28"/>
          <w:szCs w:val="28"/>
        </w:rPr>
      </w:pPr>
      <w:hyperlink w:anchor="_Toc499890271" w:history="1">
        <w:r>
          <w:rPr>
            <w:rStyle w:val="Hyperlink"/>
            <w:rFonts w:ascii="仿宋_GB2312" w:eastAsia="仿宋_GB2312" w:hint="eastAsia"/>
            <w:b/>
            <w:noProof/>
            <w:color w:val="auto"/>
            <w:sz w:val="28"/>
            <w:szCs w:val="28"/>
          </w:rPr>
          <w:t>第五部分</w:t>
        </w:r>
        <w:r>
          <w:rPr>
            <w:rStyle w:val="Hyperlink"/>
            <w:rFonts w:ascii="仿宋_GB2312" w:eastAsia="仿宋_GB2312"/>
            <w:b/>
            <w:noProof/>
            <w:color w:val="auto"/>
            <w:sz w:val="28"/>
            <w:szCs w:val="28"/>
          </w:rPr>
          <w:t xml:space="preserve"> </w:t>
        </w:r>
        <w:r>
          <w:rPr>
            <w:rStyle w:val="Hyperlink"/>
            <w:rFonts w:ascii="仿宋_GB2312" w:eastAsia="仿宋_GB2312" w:hint="eastAsia"/>
            <w:b/>
            <w:noProof/>
            <w:color w:val="auto"/>
            <w:sz w:val="28"/>
            <w:szCs w:val="28"/>
          </w:rPr>
          <w:t>附</w:t>
        </w:r>
        <w:r>
          <w:rPr>
            <w:rStyle w:val="Hyperlink"/>
            <w:rFonts w:ascii="仿宋_GB2312" w:eastAsia="仿宋_GB2312"/>
            <w:b/>
            <w:noProof/>
            <w:color w:val="auto"/>
            <w:sz w:val="28"/>
            <w:szCs w:val="28"/>
          </w:rPr>
          <w:t xml:space="preserve">  </w:t>
        </w:r>
        <w:r>
          <w:rPr>
            <w:rStyle w:val="Hyperlink"/>
            <w:rFonts w:ascii="仿宋_GB2312" w:eastAsia="仿宋_GB2312" w:hint="eastAsia"/>
            <w:b/>
            <w:noProof/>
            <w:color w:val="auto"/>
            <w:sz w:val="28"/>
            <w:szCs w:val="28"/>
          </w:rPr>
          <w:t>件</w:t>
        </w:r>
        <w:r>
          <w:rPr>
            <w:rFonts w:ascii="仿宋_GB2312" w:eastAsia="仿宋_GB2312"/>
            <w:noProof/>
            <w:webHidden/>
            <w:sz w:val="28"/>
            <w:szCs w:val="28"/>
          </w:rPr>
          <w:tab/>
        </w:r>
        <w:r>
          <w:rPr>
            <w:rFonts w:ascii="仿宋_GB2312" w:eastAsia="仿宋_GB2312"/>
            <w:noProof/>
            <w:webHidden/>
            <w:sz w:val="28"/>
            <w:szCs w:val="28"/>
          </w:rPr>
          <w:fldChar w:fldCharType="begin"/>
        </w:r>
        <w:r>
          <w:rPr>
            <w:rFonts w:ascii="仿宋_GB2312" w:eastAsia="仿宋_GB2312"/>
            <w:noProof/>
            <w:webHidden/>
            <w:sz w:val="28"/>
            <w:szCs w:val="28"/>
          </w:rPr>
          <w:instrText xml:space="preserve"> PAGEREF _Toc499890271 \h </w:instrText>
        </w:r>
        <w:r>
          <w:rPr>
            <w:rFonts w:ascii="仿宋_GB2312" w:eastAsia="仿宋_GB2312"/>
            <w:noProof/>
            <w:webHidden/>
            <w:sz w:val="28"/>
            <w:szCs w:val="28"/>
          </w:rPr>
        </w:r>
        <w:r>
          <w:rPr>
            <w:rFonts w:ascii="仿宋_GB2312" w:eastAsia="仿宋_GB2312"/>
            <w:noProof/>
            <w:webHidden/>
            <w:sz w:val="28"/>
            <w:szCs w:val="28"/>
          </w:rPr>
          <w:fldChar w:fldCharType="separate"/>
        </w:r>
        <w:r>
          <w:rPr>
            <w:rFonts w:ascii="仿宋_GB2312" w:eastAsia="仿宋_GB2312"/>
            <w:noProof/>
            <w:webHidden/>
            <w:sz w:val="28"/>
            <w:szCs w:val="28"/>
          </w:rPr>
          <w:t>47</w:t>
        </w:r>
        <w:r>
          <w:rPr>
            <w:rFonts w:ascii="仿宋_GB2312" w:eastAsia="仿宋_GB2312"/>
            <w:noProof/>
            <w:webHidden/>
            <w:sz w:val="28"/>
            <w:szCs w:val="28"/>
          </w:rPr>
          <w:fldChar w:fldCharType="end"/>
        </w:r>
      </w:hyperlink>
    </w:p>
    <w:p w:rsidR="007C13F5" w:rsidRDefault="007C13F5">
      <w:pPr>
        <w:spacing w:line="480" w:lineRule="auto"/>
        <w:jc w:val="center"/>
        <w:rPr>
          <w:rFonts w:ascii="仿宋_GB2312" w:eastAsia="仿宋_GB2312" w:hAnsi="宋体"/>
          <w:b/>
          <w:sz w:val="28"/>
        </w:rPr>
      </w:pPr>
      <w:r>
        <w:rPr>
          <w:rFonts w:ascii="仿宋_GB2312" w:eastAsia="仿宋_GB2312" w:hAnsi="宋体"/>
          <w:b/>
          <w:sz w:val="28"/>
          <w:szCs w:val="28"/>
        </w:rPr>
        <w:fldChar w:fldCharType="end"/>
      </w:r>
    </w:p>
    <w:p w:rsidR="007C13F5" w:rsidRDefault="007C13F5">
      <w:pPr>
        <w:spacing w:line="480" w:lineRule="auto"/>
        <w:ind w:firstLineChars="200" w:firstLine="31680"/>
        <w:rPr>
          <w:rFonts w:ascii="仿宋_GB2312" w:eastAsia="仿宋_GB2312" w:hAnsi="宋体"/>
          <w:b/>
          <w:sz w:val="36"/>
          <w:szCs w:val="36"/>
        </w:rPr>
      </w:pPr>
      <w:r>
        <w:rPr>
          <w:rFonts w:ascii="仿宋_GB2312" w:eastAsia="仿宋_GB2312" w:hAnsi="宋体"/>
          <w:b/>
          <w:sz w:val="28"/>
        </w:rPr>
        <w:br w:type="page"/>
      </w:r>
    </w:p>
    <w:p w:rsidR="007C13F5" w:rsidRDefault="007C13F5">
      <w:pPr>
        <w:pStyle w:val="Heading1"/>
        <w:ind w:firstLineChars="200" w:firstLine="31680"/>
        <w:rPr>
          <w:rFonts w:ascii="仿宋_GB2312" w:eastAsia="仿宋_GB2312"/>
          <w:b/>
          <w:sz w:val="36"/>
          <w:szCs w:val="36"/>
        </w:rPr>
      </w:pPr>
      <w:bookmarkStart w:id="0" w:name="_Toc499890246"/>
      <w:r>
        <w:rPr>
          <w:rFonts w:ascii="仿宋_GB2312" w:eastAsia="仿宋_GB2312" w:hint="eastAsia"/>
          <w:b/>
          <w:sz w:val="36"/>
          <w:szCs w:val="36"/>
        </w:rPr>
        <w:t>第一部分</w:t>
      </w:r>
      <w:r>
        <w:rPr>
          <w:rFonts w:ascii="仿宋_GB2312" w:eastAsia="仿宋_GB2312"/>
          <w:b/>
          <w:sz w:val="36"/>
          <w:szCs w:val="36"/>
        </w:rPr>
        <w:t xml:space="preserve"> </w:t>
      </w:r>
      <w:r>
        <w:rPr>
          <w:rFonts w:ascii="仿宋_GB2312" w:eastAsia="仿宋_GB2312" w:hint="eastAsia"/>
          <w:b/>
          <w:sz w:val="36"/>
          <w:szCs w:val="36"/>
        </w:rPr>
        <w:t>估价师声明</w:t>
      </w:r>
      <w:bookmarkEnd w:id="0"/>
    </w:p>
    <w:p w:rsidR="007C13F5" w:rsidRDefault="007C13F5">
      <w:pPr>
        <w:spacing w:line="360" w:lineRule="auto"/>
        <w:ind w:firstLineChars="200" w:firstLine="31680"/>
        <w:rPr>
          <w:rFonts w:ascii="仿宋_GB2312" w:eastAsia="仿宋_GB2312" w:hAnsi="宋体"/>
          <w:b/>
          <w:sz w:val="28"/>
        </w:rPr>
      </w:pPr>
      <w:r>
        <w:rPr>
          <w:rFonts w:ascii="仿宋_GB2312" w:eastAsia="仿宋_GB2312" w:hAnsi="宋体" w:hint="eastAsia"/>
          <w:b/>
          <w:sz w:val="28"/>
        </w:rPr>
        <w:t>我们郑重声明：</w:t>
      </w:r>
    </w:p>
    <w:p w:rsidR="007C13F5" w:rsidRDefault="007C13F5">
      <w:pPr>
        <w:spacing w:line="360" w:lineRule="auto"/>
        <w:ind w:firstLineChars="200" w:firstLine="31680"/>
        <w:rPr>
          <w:rFonts w:ascii="仿宋_GB2312" w:eastAsia="仿宋_GB2312" w:hAnsi="宋体"/>
          <w:sz w:val="28"/>
        </w:rPr>
      </w:pPr>
      <w:r>
        <w:rPr>
          <w:rFonts w:ascii="仿宋_GB2312" w:eastAsia="仿宋_GB2312" w:hAnsi="宋体" w:hint="eastAsia"/>
          <w:sz w:val="28"/>
        </w:rPr>
        <w:t>一、我们在本次估价报告中陈述的事实是真实的和准确的。</w:t>
      </w:r>
    </w:p>
    <w:p w:rsidR="007C13F5" w:rsidRDefault="007C13F5">
      <w:pPr>
        <w:spacing w:line="360" w:lineRule="auto"/>
        <w:ind w:firstLineChars="200" w:firstLine="31680"/>
        <w:rPr>
          <w:rFonts w:ascii="仿宋_GB2312" w:eastAsia="仿宋_GB2312" w:hAnsi="宋体"/>
          <w:sz w:val="28"/>
        </w:rPr>
      </w:pPr>
      <w:r>
        <w:rPr>
          <w:rFonts w:ascii="仿宋_GB2312" w:eastAsia="仿宋_GB2312" w:hAnsi="宋体" w:hint="eastAsia"/>
          <w:sz w:val="28"/>
        </w:rPr>
        <w:t>二、本估价报告中的分析、意见和结论是我们自己公正的专业分析、意见和结论，但受到本估价报告中已说明的假设和限制条件的限制。</w:t>
      </w:r>
    </w:p>
    <w:p w:rsidR="007C13F5" w:rsidRDefault="007C13F5">
      <w:pPr>
        <w:spacing w:line="360" w:lineRule="auto"/>
        <w:ind w:firstLineChars="200" w:firstLine="31680"/>
        <w:rPr>
          <w:rFonts w:ascii="仿宋_GB2312" w:eastAsia="仿宋_GB2312" w:hAnsi="宋体"/>
          <w:sz w:val="28"/>
        </w:rPr>
      </w:pPr>
      <w:r>
        <w:rPr>
          <w:rFonts w:ascii="仿宋_GB2312" w:eastAsia="仿宋_GB2312" w:hAnsi="宋体" w:hint="eastAsia"/>
          <w:sz w:val="28"/>
        </w:rPr>
        <w:t>三、我们与本估价报告中的估价对象没有利害关系，也与有关当事人没有个人利害关系或偏见。</w:t>
      </w:r>
    </w:p>
    <w:p w:rsidR="007C13F5" w:rsidRDefault="007C13F5">
      <w:pPr>
        <w:spacing w:line="360" w:lineRule="auto"/>
        <w:ind w:firstLineChars="200" w:firstLine="31680"/>
        <w:rPr>
          <w:rFonts w:ascii="仿宋_GB2312" w:eastAsia="仿宋_GB2312" w:hAnsi="宋体"/>
          <w:sz w:val="28"/>
        </w:rPr>
      </w:pPr>
      <w:r>
        <w:rPr>
          <w:rFonts w:ascii="仿宋_GB2312" w:eastAsia="仿宋_GB2312" w:hAnsi="宋体" w:hint="eastAsia"/>
          <w:sz w:val="28"/>
        </w:rPr>
        <w:t>四、我们依照中华人民共和国国家标准《房地产估价规范》（</w:t>
      </w:r>
      <w:r>
        <w:rPr>
          <w:rFonts w:ascii="仿宋_GB2312" w:eastAsia="仿宋_GB2312" w:hAnsi="宋体"/>
          <w:sz w:val="28"/>
        </w:rPr>
        <w:t>GB/T 50291</w:t>
      </w:r>
      <w:r>
        <w:rPr>
          <w:rFonts w:ascii="仿宋_GB2312" w:eastAsia="仿宋_GB2312" w:hAnsi="宋体"/>
          <w:sz w:val="28"/>
        </w:rPr>
        <w:t>—</w:t>
      </w:r>
      <w:r>
        <w:rPr>
          <w:rFonts w:ascii="仿宋_GB2312" w:eastAsia="仿宋_GB2312" w:hAnsi="宋体"/>
          <w:sz w:val="28"/>
        </w:rPr>
        <w:t>2015</w:t>
      </w:r>
      <w:r>
        <w:rPr>
          <w:rFonts w:ascii="仿宋_GB2312" w:eastAsia="仿宋_GB2312" w:hAnsi="宋体" w:hint="eastAsia"/>
          <w:sz w:val="28"/>
        </w:rPr>
        <w:t>）、《房地产估价基本术语标准》（</w:t>
      </w:r>
      <w:r>
        <w:rPr>
          <w:rFonts w:ascii="仿宋_GB2312" w:eastAsia="仿宋_GB2312" w:hAnsi="宋体"/>
          <w:sz w:val="28"/>
        </w:rPr>
        <w:t>GB/T 50899</w:t>
      </w:r>
      <w:r>
        <w:rPr>
          <w:rFonts w:ascii="仿宋_GB2312" w:eastAsia="仿宋_GB2312" w:hAnsi="宋体"/>
          <w:sz w:val="28"/>
        </w:rPr>
        <w:t>—</w:t>
      </w:r>
      <w:r>
        <w:rPr>
          <w:rFonts w:ascii="仿宋_GB2312" w:eastAsia="仿宋_GB2312" w:hAnsi="宋体"/>
          <w:sz w:val="28"/>
        </w:rPr>
        <w:t>2013</w:t>
      </w:r>
      <w:r>
        <w:rPr>
          <w:rFonts w:ascii="仿宋_GB2312" w:eastAsia="仿宋_GB2312" w:hAnsi="宋体" w:hint="eastAsia"/>
          <w:sz w:val="28"/>
        </w:rPr>
        <w:t>）进行分析，形成意见和结论，撰写本估价报告。</w:t>
      </w:r>
    </w:p>
    <w:p w:rsidR="007C13F5" w:rsidRDefault="007C13F5">
      <w:pPr>
        <w:spacing w:line="360" w:lineRule="auto"/>
        <w:ind w:firstLineChars="200" w:firstLine="31680"/>
        <w:rPr>
          <w:rFonts w:ascii="仿宋_GB2312" w:eastAsia="仿宋_GB2312" w:hAnsi="宋体"/>
          <w:sz w:val="28"/>
        </w:rPr>
      </w:pPr>
      <w:r>
        <w:rPr>
          <w:rFonts w:ascii="仿宋_GB2312" w:eastAsia="仿宋_GB2312" w:hAnsi="宋体" w:hint="eastAsia"/>
          <w:sz w:val="28"/>
        </w:rPr>
        <w:t>五、估价人员张莹姝、陶云川于</w:t>
      </w:r>
      <w:r>
        <w:rPr>
          <w:rFonts w:ascii="仿宋_GB2312" w:eastAsia="仿宋_GB2312" w:hAnsi="宋体"/>
          <w:sz w:val="28"/>
        </w:rPr>
        <w:t>2020</w:t>
      </w:r>
      <w:r>
        <w:rPr>
          <w:rFonts w:ascii="仿宋_GB2312" w:eastAsia="仿宋_GB2312" w:hAnsi="宋体" w:hint="eastAsia"/>
          <w:sz w:val="28"/>
        </w:rPr>
        <w:t>年</w:t>
      </w:r>
      <w:r>
        <w:rPr>
          <w:rFonts w:ascii="仿宋_GB2312" w:eastAsia="仿宋_GB2312" w:hAnsi="宋体"/>
          <w:sz w:val="28"/>
        </w:rPr>
        <w:t>5</w:t>
      </w:r>
      <w:r>
        <w:rPr>
          <w:rFonts w:ascii="仿宋_GB2312" w:eastAsia="仿宋_GB2312" w:hAnsi="宋体" w:hint="eastAsia"/>
          <w:sz w:val="28"/>
        </w:rPr>
        <w:t>月</w:t>
      </w:r>
      <w:r>
        <w:rPr>
          <w:rFonts w:ascii="仿宋_GB2312" w:eastAsia="仿宋_GB2312" w:hAnsi="宋体"/>
          <w:sz w:val="28"/>
        </w:rPr>
        <w:t>7</w:t>
      </w:r>
      <w:r>
        <w:rPr>
          <w:rFonts w:ascii="仿宋_GB2312" w:eastAsia="仿宋_GB2312" w:hAnsi="宋体" w:hint="eastAsia"/>
          <w:sz w:val="28"/>
        </w:rPr>
        <w:t>日对本次估价报告中的估价对象进行了实地查勘，并对勘察的客观性、真实性、公正性承担责任，但我们对估价对象的现场勘察仅限于其外观和使用状况，对被遮盖、未暴露及难以接触到的部分，依据委托方提供的资料进行评估，我们亦不承担对估价对象建筑结构质量进行调查的责任。</w:t>
      </w:r>
    </w:p>
    <w:p w:rsidR="007C13F5" w:rsidRDefault="007C13F5">
      <w:pPr>
        <w:spacing w:line="360" w:lineRule="auto"/>
        <w:ind w:firstLineChars="200" w:firstLine="31680"/>
        <w:rPr>
          <w:rFonts w:ascii="仿宋_GB2312" w:eastAsia="仿宋_GB2312" w:hAnsi="宋体"/>
          <w:sz w:val="28"/>
        </w:rPr>
      </w:pPr>
      <w:r>
        <w:rPr>
          <w:rFonts w:ascii="仿宋_GB2312" w:eastAsia="仿宋_GB2312" w:hAnsi="宋体" w:hint="eastAsia"/>
          <w:sz w:val="28"/>
        </w:rPr>
        <w:t>六、报告由本机构独立完成，没有人对本估价报告提供重要的专业帮助。</w:t>
      </w:r>
    </w:p>
    <w:p w:rsidR="007C13F5" w:rsidRDefault="007C13F5">
      <w:pPr>
        <w:spacing w:line="360" w:lineRule="auto"/>
        <w:ind w:firstLineChars="200" w:firstLine="31680"/>
        <w:rPr>
          <w:rFonts w:ascii="仿宋_GB2312" w:eastAsia="仿宋_GB2312" w:hAnsi="宋体"/>
          <w:sz w:val="28"/>
        </w:rPr>
      </w:pPr>
      <w:r>
        <w:rPr>
          <w:rFonts w:ascii="仿宋_GB2312" w:eastAsia="仿宋_GB2312" w:hAnsi="宋体" w:hint="eastAsia"/>
          <w:sz w:val="28"/>
        </w:rPr>
        <w:t>七、本估价报告的全部或部分内容不得发表于任何公开媒体上。未经本公司同意，估价报告不得向委托方及报告审查部门以外的单位及个人提供，凡因委托人使用估价报告不当引起的后果，我们不承担相应责任。</w:t>
      </w:r>
    </w:p>
    <w:p w:rsidR="007C13F5" w:rsidRDefault="007C13F5">
      <w:pPr>
        <w:spacing w:line="360" w:lineRule="auto"/>
        <w:ind w:firstLineChars="200" w:firstLine="31680"/>
        <w:rPr>
          <w:rFonts w:ascii="仿宋_GB2312" w:eastAsia="仿宋_GB2312" w:hAnsi="宋体"/>
          <w:sz w:val="28"/>
        </w:rPr>
      </w:pPr>
      <w:r>
        <w:rPr>
          <w:rFonts w:ascii="仿宋_GB2312" w:eastAsia="仿宋_GB2312" w:hAnsi="宋体" w:hint="eastAsia"/>
          <w:sz w:val="28"/>
        </w:rPr>
        <w:t>八、本报告中所依据的相关产权资料均为我公司到相关产权部门查阅的档案，房屋所有权依据为《房屋信息查询摘抄表》（编号：</w:t>
      </w:r>
      <w:r>
        <w:rPr>
          <w:rFonts w:ascii="仿宋_GB2312" w:eastAsia="仿宋_GB2312" w:hAnsi="宋体"/>
          <w:sz w:val="28"/>
        </w:rPr>
        <w:t>DLGC8965</w:t>
      </w:r>
      <w:r>
        <w:rPr>
          <w:rFonts w:ascii="仿宋_GB2312" w:eastAsia="仿宋_GB2312" w:hAnsi="宋体" w:hint="eastAsia"/>
          <w:sz w:val="28"/>
        </w:rPr>
        <w:t>），土地使用权依据为《土地登记卡》（编号：</w:t>
      </w:r>
      <w:r>
        <w:rPr>
          <w:rFonts w:ascii="仿宋_GB2312" w:eastAsia="仿宋_GB2312" w:hAnsi="宋体"/>
          <w:sz w:val="28"/>
        </w:rPr>
        <w:t>NO.015981</w:t>
      </w:r>
      <w:r>
        <w:rPr>
          <w:rFonts w:ascii="仿宋_GB2312" w:eastAsia="仿宋_GB2312" w:hAnsi="宋体" w:hint="eastAsia"/>
          <w:sz w:val="28"/>
        </w:rPr>
        <w:t>）。</w:t>
      </w:r>
    </w:p>
    <w:p w:rsidR="007C13F5" w:rsidRDefault="007C13F5">
      <w:pPr>
        <w:spacing w:line="360" w:lineRule="auto"/>
        <w:ind w:firstLineChars="200" w:firstLine="31680"/>
        <w:rPr>
          <w:rFonts w:ascii="仿宋_GB2312" w:eastAsia="仿宋_GB2312" w:hAnsi="宋体"/>
          <w:sz w:val="28"/>
        </w:rPr>
      </w:pPr>
      <w:r>
        <w:rPr>
          <w:rFonts w:ascii="仿宋_GB2312" w:eastAsia="仿宋_GB2312" w:hAnsi="宋体" w:hint="eastAsia"/>
          <w:sz w:val="28"/>
        </w:rPr>
        <w:t>九、使用本评估报告，应当保持其完整性和严肃性。</w:t>
      </w:r>
    </w:p>
    <w:p w:rsidR="007C13F5" w:rsidRDefault="007C13F5">
      <w:pPr>
        <w:spacing w:line="360" w:lineRule="auto"/>
        <w:ind w:firstLineChars="200" w:firstLine="31680"/>
        <w:rPr>
          <w:rFonts w:ascii="仿宋_GB2312" w:eastAsia="仿宋_GB2312" w:hAnsi="宋体"/>
          <w:sz w:val="28"/>
        </w:rPr>
      </w:pPr>
      <w:r>
        <w:rPr>
          <w:rFonts w:ascii="仿宋_GB2312" w:eastAsia="仿宋_GB2312" w:hAnsi="宋体" w:hint="eastAsia"/>
          <w:sz w:val="28"/>
        </w:rPr>
        <w:t>十、评估报告属于估价机构的专业意见。当事人对评估报告有异议，应当通过庭审质证或者申请重新鉴定、补充鉴定等方式解决。</w:t>
      </w:r>
    </w:p>
    <w:p w:rsidR="007C13F5" w:rsidRDefault="007C13F5">
      <w:pPr>
        <w:spacing w:line="360" w:lineRule="auto"/>
        <w:ind w:firstLineChars="200" w:firstLine="31680"/>
        <w:rPr>
          <w:rFonts w:ascii="仿宋_GB2312" w:eastAsia="仿宋_GB2312" w:hAnsi="宋体"/>
          <w:b/>
          <w:sz w:val="28"/>
          <w:szCs w:val="28"/>
        </w:rPr>
      </w:pPr>
      <w:r>
        <w:rPr>
          <w:rFonts w:ascii="仿宋_GB2312" w:eastAsia="仿宋_GB2312" w:hAnsi="宋体" w:hint="eastAsia"/>
          <w:sz w:val="28"/>
        </w:rPr>
        <w:t>十一、本报告由云南银信房地产土地资产评估有限公司负责解释。</w:t>
      </w:r>
    </w:p>
    <w:p w:rsidR="007C13F5" w:rsidRDefault="007C13F5">
      <w:pPr>
        <w:spacing w:line="480" w:lineRule="auto"/>
        <w:ind w:firstLineChars="200" w:firstLine="31680"/>
        <w:rPr>
          <w:rFonts w:ascii="仿宋_GB2312" w:eastAsia="仿宋_GB2312" w:hAnsi="宋体"/>
          <w:b/>
          <w:sz w:val="36"/>
          <w:szCs w:val="36"/>
        </w:rPr>
      </w:pPr>
      <w:r>
        <w:rPr>
          <w:rFonts w:ascii="仿宋_GB2312" w:eastAsia="仿宋_GB2312" w:hAnsi="宋体"/>
          <w:b/>
          <w:sz w:val="28"/>
          <w:szCs w:val="28"/>
        </w:rPr>
        <w:br w:type="page"/>
      </w:r>
    </w:p>
    <w:p w:rsidR="007C13F5" w:rsidRDefault="007C13F5">
      <w:pPr>
        <w:pStyle w:val="Heading1"/>
        <w:ind w:firstLineChars="200" w:firstLine="31680"/>
        <w:rPr>
          <w:rFonts w:ascii="仿宋_GB2312" w:eastAsia="仿宋_GB2312"/>
          <w:b/>
          <w:sz w:val="36"/>
          <w:szCs w:val="36"/>
        </w:rPr>
      </w:pPr>
      <w:bookmarkStart w:id="1" w:name="_Toc499890247"/>
      <w:r>
        <w:rPr>
          <w:rFonts w:ascii="仿宋_GB2312" w:eastAsia="仿宋_GB2312" w:hint="eastAsia"/>
          <w:b/>
          <w:sz w:val="36"/>
          <w:szCs w:val="36"/>
        </w:rPr>
        <w:t>第二部分</w:t>
      </w:r>
      <w:r>
        <w:rPr>
          <w:rFonts w:ascii="仿宋_GB2312" w:eastAsia="仿宋_GB2312"/>
          <w:b/>
          <w:sz w:val="36"/>
          <w:szCs w:val="36"/>
        </w:rPr>
        <w:t xml:space="preserve"> </w:t>
      </w:r>
      <w:r>
        <w:rPr>
          <w:rFonts w:ascii="仿宋_GB2312" w:eastAsia="仿宋_GB2312" w:hint="eastAsia"/>
          <w:b/>
          <w:sz w:val="36"/>
          <w:szCs w:val="36"/>
        </w:rPr>
        <w:t>估价的假设和限制条件</w:t>
      </w:r>
      <w:bookmarkEnd w:id="1"/>
    </w:p>
    <w:p w:rsidR="007C13F5" w:rsidRDefault="007C13F5">
      <w:pPr>
        <w:spacing w:beforeLines="50" w:line="360" w:lineRule="auto"/>
        <w:ind w:firstLineChars="147" w:firstLine="31680"/>
        <w:rPr>
          <w:rFonts w:ascii="仿宋_GB2312" w:eastAsia="仿宋_GB2312" w:hAnsi="宋体"/>
          <w:b/>
          <w:bCs/>
          <w:sz w:val="28"/>
          <w:szCs w:val="32"/>
        </w:rPr>
      </w:pPr>
      <w:r>
        <w:rPr>
          <w:rFonts w:ascii="仿宋_GB2312" w:eastAsia="仿宋_GB2312" w:hAnsi="宋体" w:hint="eastAsia"/>
          <w:b/>
          <w:bCs/>
          <w:sz w:val="28"/>
          <w:szCs w:val="32"/>
        </w:rPr>
        <w:t>（一）估价假设条件</w:t>
      </w:r>
    </w:p>
    <w:p w:rsidR="007C13F5" w:rsidRDefault="007C13F5">
      <w:pPr>
        <w:spacing w:beforeLines="50" w:line="360" w:lineRule="auto"/>
        <w:ind w:firstLineChars="200" w:firstLine="31680"/>
        <w:rPr>
          <w:rFonts w:ascii="仿宋_GB2312" w:eastAsia="仿宋_GB2312" w:hAnsi="宋体"/>
          <w:b/>
          <w:sz w:val="28"/>
          <w:szCs w:val="32"/>
        </w:rPr>
      </w:pPr>
      <w:r>
        <w:rPr>
          <w:rFonts w:ascii="仿宋_GB2312" w:eastAsia="仿宋_GB2312" w:hAnsi="宋体" w:hint="eastAsia"/>
          <w:b/>
          <w:sz w:val="28"/>
          <w:szCs w:val="32"/>
        </w:rPr>
        <w:t>一、一般假设</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sz w:val="28"/>
          <w:szCs w:val="32"/>
        </w:rPr>
        <w:t>1</w:t>
      </w:r>
      <w:r>
        <w:rPr>
          <w:rFonts w:ascii="仿宋_GB2312" w:eastAsia="仿宋_GB2312" w:hAnsi="宋体" w:hint="eastAsia"/>
          <w:sz w:val="28"/>
          <w:szCs w:val="32"/>
        </w:rPr>
        <w:t>、本次估价所涉及的估价对象权利登记状况和实物登记状况以大理市不动产登记中心出具的档案资料</w:t>
      </w:r>
      <w:r>
        <w:rPr>
          <w:rFonts w:ascii="仿宋_GB2312" w:eastAsia="仿宋_GB2312" w:hAnsi="宋体" w:hint="eastAsia"/>
          <w:sz w:val="28"/>
        </w:rPr>
        <w:t>《房屋信息查询摘抄表》（编号：</w:t>
      </w:r>
      <w:r>
        <w:rPr>
          <w:rFonts w:ascii="仿宋_GB2312" w:eastAsia="仿宋_GB2312" w:hAnsi="宋体"/>
          <w:sz w:val="28"/>
        </w:rPr>
        <w:t>DLGC8965</w:t>
      </w:r>
      <w:r>
        <w:rPr>
          <w:rFonts w:ascii="仿宋_GB2312" w:eastAsia="仿宋_GB2312" w:hAnsi="宋体" w:hint="eastAsia"/>
          <w:sz w:val="28"/>
        </w:rPr>
        <w:t>），土地使用权依据为《土地登记卡》（编号：</w:t>
      </w:r>
      <w:r>
        <w:rPr>
          <w:rFonts w:ascii="仿宋_GB2312" w:eastAsia="仿宋_GB2312" w:hAnsi="宋体"/>
          <w:sz w:val="28"/>
        </w:rPr>
        <w:t>NO.015981</w:t>
      </w:r>
      <w:r>
        <w:rPr>
          <w:rFonts w:ascii="仿宋_GB2312" w:eastAsia="仿宋_GB2312" w:hAnsi="宋体" w:hint="eastAsia"/>
          <w:sz w:val="28"/>
        </w:rPr>
        <w:t>）</w:t>
      </w:r>
      <w:r>
        <w:rPr>
          <w:rFonts w:ascii="仿宋_GB2312" w:eastAsia="仿宋_GB2312" w:hAnsi="宋体" w:hint="eastAsia"/>
          <w:sz w:val="28"/>
          <w:szCs w:val="32"/>
        </w:rPr>
        <w:t>为准，估价中以该档案资料准确无误，且与事实相符为假设；</w:t>
      </w:r>
      <w:r>
        <w:rPr>
          <w:rFonts w:ascii="仿宋_GB2312" w:eastAsia="仿宋_GB2312" w:hAnsi="宋体"/>
          <w:sz w:val="28"/>
          <w:szCs w:val="32"/>
        </w:rPr>
        <w:t xml:space="preserve"> </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sz w:val="28"/>
          <w:szCs w:val="32"/>
        </w:rPr>
        <w:t>2</w:t>
      </w:r>
      <w:r>
        <w:rPr>
          <w:rFonts w:ascii="仿宋_GB2312" w:eastAsia="仿宋_GB2312" w:hAnsi="宋体" w:hint="eastAsia"/>
          <w:sz w:val="28"/>
          <w:szCs w:val="32"/>
        </w:rPr>
        <w:t>、本次评估对房屋安全、环境污染等影响估价对象价值或价格的重大因素给予了关注，对于估价对象建筑结构，由于专业限制，我们仅作一般性勘察，在无理由怀疑估价对象存在安全隐患且无相应的专业机构进行鉴定、检测的情况下，本次估价设定其建筑结构是安全的。</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sz w:val="28"/>
          <w:szCs w:val="32"/>
        </w:rPr>
        <w:t>3</w:t>
      </w:r>
      <w:r>
        <w:rPr>
          <w:rFonts w:ascii="仿宋_GB2312" w:eastAsia="仿宋_GB2312" w:hAnsi="宋体" w:hint="eastAsia"/>
          <w:sz w:val="28"/>
          <w:szCs w:val="32"/>
        </w:rPr>
        <w:t>、因受专业限制，我们无法承担对估价对象的隐蔽工程、建筑结构以及附于建筑的各种设备设施的内在质量进行检测调查的责任。因此我们对估价对象的实地勘察仅限于外观和使用现状的一般性查看。</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sz w:val="28"/>
          <w:szCs w:val="32"/>
        </w:rPr>
        <w:t>4</w:t>
      </w:r>
      <w:r>
        <w:rPr>
          <w:rFonts w:ascii="仿宋_GB2312" w:eastAsia="仿宋_GB2312" w:hAnsi="宋体" w:hint="eastAsia"/>
          <w:sz w:val="28"/>
          <w:szCs w:val="32"/>
        </w:rPr>
        <w:t>、本估价结果包括相应的出让性质的土地使用权价值，并包括与估价对象房地产不可分割的、满足其功能需要的水、电等相关配套设施的价值，该土地使用权或被包括的配套设施等若被与房屋分割处置时，本估价结果无效。</w:t>
      </w:r>
    </w:p>
    <w:p w:rsidR="007C13F5" w:rsidRDefault="007C13F5">
      <w:pPr>
        <w:spacing w:beforeLines="50" w:line="360" w:lineRule="auto"/>
        <w:ind w:left="-1" w:firstLineChars="200" w:firstLine="31680"/>
        <w:rPr>
          <w:rFonts w:ascii="仿宋_GB2312" w:eastAsia="仿宋_GB2312" w:hAnsi="宋体"/>
          <w:b/>
          <w:sz w:val="28"/>
          <w:szCs w:val="32"/>
        </w:rPr>
      </w:pPr>
      <w:r>
        <w:rPr>
          <w:rFonts w:ascii="仿宋_GB2312" w:eastAsia="仿宋_GB2312" w:hAnsi="宋体" w:hint="eastAsia"/>
          <w:b/>
          <w:sz w:val="28"/>
          <w:szCs w:val="32"/>
        </w:rPr>
        <w:t>二、未定事项假设</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hint="eastAsia"/>
          <w:sz w:val="28"/>
          <w:szCs w:val="32"/>
        </w:rPr>
        <w:t>估价对象《房屋信息查询摘抄表》未记载估价对象房屋的建成年份，经注册房地产估价师实地调查，房屋建成年份为</w:t>
      </w:r>
      <w:r>
        <w:rPr>
          <w:rFonts w:ascii="仿宋_GB2312" w:eastAsia="仿宋_GB2312" w:hAnsi="宋体"/>
          <w:sz w:val="28"/>
          <w:szCs w:val="32"/>
        </w:rPr>
        <w:t>2009</w:t>
      </w:r>
      <w:r>
        <w:rPr>
          <w:rFonts w:ascii="仿宋_GB2312" w:eastAsia="仿宋_GB2312" w:hAnsi="宋体" w:hint="eastAsia"/>
          <w:sz w:val="28"/>
          <w:szCs w:val="32"/>
        </w:rPr>
        <w:t>年，本次估价房屋建成年份以实际调查为准。</w:t>
      </w:r>
    </w:p>
    <w:p w:rsidR="007C13F5" w:rsidRDefault="007C13F5">
      <w:pPr>
        <w:spacing w:beforeLines="50" w:line="360" w:lineRule="auto"/>
        <w:ind w:left="-1" w:firstLineChars="200" w:firstLine="31680"/>
        <w:rPr>
          <w:rFonts w:ascii="仿宋_GB2312" w:eastAsia="仿宋_GB2312" w:hAnsi="宋体"/>
          <w:b/>
          <w:sz w:val="28"/>
          <w:szCs w:val="32"/>
        </w:rPr>
      </w:pPr>
      <w:r>
        <w:rPr>
          <w:rFonts w:ascii="仿宋_GB2312" w:eastAsia="仿宋_GB2312" w:hAnsi="宋体" w:hint="eastAsia"/>
          <w:b/>
          <w:sz w:val="28"/>
          <w:szCs w:val="32"/>
        </w:rPr>
        <w:t>三、背离事实假设</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hint="eastAsia"/>
          <w:sz w:val="28"/>
          <w:szCs w:val="32"/>
        </w:rPr>
        <w:t>本估价项目中根据住宅的《房屋信息查询摘抄表》，住宅存在执法查封，但此次评估为涉执房地产处置司法评估，不考虑估价对象被查封以及原有的担保特权和其他优先受偿权，评估中视为未查封的房产，提请报告使用者注意。</w:t>
      </w:r>
    </w:p>
    <w:p w:rsidR="007C13F5" w:rsidRDefault="007C13F5">
      <w:pPr>
        <w:spacing w:beforeLines="50" w:line="360" w:lineRule="auto"/>
        <w:ind w:left="-1" w:firstLineChars="200" w:firstLine="31680"/>
        <w:rPr>
          <w:rFonts w:ascii="仿宋_GB2312" w:eastAsia="仿宋_GB2312" w:hAnsi="宋体"/>
          <w:b/>
          <w:sz w:val="28"/>
          <w:szCs w:val="32"/>
        </w:rPr>
      </w:pPr>
      <w:r>
        <w:rPr>
          <w:rFonts w:ascii="仿宋_GB2312" w:eastAsia="仿宋_GB2312" w:hAnsi="宋体" w:hint="eastAsia"/>
          <w:b/>
          <w:sz w:val="28"/>
          <w:szCs w:val="32"/>
        </w:rPr>
        <w:t>四、不相一致假设</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hint="eastAsia"/>
          <w:sz w:val="28"/>
          <w:szCs w:val="32"/>
        </w:rPr>
        <w:t>本估价项目不存在不相一致假设事项，故本估价报告无不相一致假设。</w:t>
      </w:r>
    </w:p>
    <w:p w:rsidR="007C13F5" w:rsidRDefault="007C13F5">
      <w:pPr>
        <w:spacing w:beforeLines="50" w:line="360" w:lineRule="auto"/>
        <w:ind w:left="-1" w:firstLineChars="200" w:firstLine="31680"/>
        <w:rPr>
          <w:rFonts w:ascii="仿宋_GB2312" w:eastAsia="仿宋_GB2312" w:hAnsi="宋体"/>
          <w:b/>
          <w:sz w:val="28"/>
          <w:szCs w:val="32"/>
        </w:rPr>
      </w:pPr>
      <w:r>
        <w:rPr>
          <w:rFonts w:ascii="仿宋_GB2312" w:eastAsia="仿宋_GB2312" w:hAnsi="宋体" w:hint="eastAsia"/>
          <w:b/>
          <w:sz w:val="28"/>
          <w:szCs w:val="32"/>
        </w:rPr>
        <w:t>五、依据不足假设</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hint="eastAsia"/>
          <w:sz w:val="28"/>
          <w:szCs w:val="32"/>
        </w:rPr>
        <w:t>本估价项目不存在依据不足假设事项，故本估价报告无依据不足假设。</w:t>
      </w:r>
    </w:p>
    <w:p w:rsidR="007C13F5" w:rsidRDefault="007C13F5">
      <w:pPr>
        <w:spacing w:beforeLines="50" w:line="360" w:lineRule="auto"/>
        <w:ind w:left="-1" w:firstLineChars="200" w:firstLine="31680"/>
        <w:rPr>
          <w:rFonts w:ascii="仿宋_GB2312" w:eastAsia="仿宋_GB2312" w:hAnsi="宋体"/>
          <w:b/>
          <w:sz w:val="28"/>
          <w:szCs w:val="32"/>
        </w:rPr>
      </w:pPr>
      <w:r>
        <w:rPr>
          <w:rFonts w:ascii="仿宋_GB2312" w:eastAsia="仿宋_GB2312" w:hAnsi="宋体" w:hint="eastAsia"/>
          <w:b/>
          <w:sz w:val="28"/>
          <w:szCs w:val="32"/>
        </w:rPr>
        <w:t>（二）估价报告使用限制</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sz w:val="28"/>
          <w:szCs w:val="32"/>
        </w:rPr>
        <w:t>1</w:t>
      </w:r>
      <w:r>
        <w:rPr>
          <w:rFonts w:ascii="仿宋_GB2312" w:eastAsia="仿宋_GB2312" w:hAnsi="宋体" w:hint="eastAsia"/>
          <w:sz w:val="28"/>
          <w:szCs w:val="32"/>
        </w:rPr>
        <w:t>、本估价报告的</w:t>
      </w:r>
      <w:r>
        <w:rPr>
          <w:rFonts w:ascii="仿宋_GB2312" w:eastAsia="仿宋_GB2312" w:hAnsi="宋体" w:hint="eastAsia"/>
          <w:sz w:val="28"/>
          <w:szCs w:val="28"/>
        </w:rPr>
        <w:t>估价目的是对委托鉴定的房地产市场价值进行评估，为司法处置提供价值参考依据，</w:t>
      </w:r>
      <w:r>
        <w:rPr>
          <w:rFonts w:ascii="仿宋_GB2312" w:eastAsia="仿宋_GB2312" w:hAnsi="宋体" w:hint="eastAsia"/>
          <w:sz w:val="28"/>
          <w:szCs w:val="32"/>
        </w:rPr>
        <w:t>不对其他用途负责。若改变估价目的及使用条件，需作必要调整或者重新估价。</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sz w:val="28"/>
          <w:szCs w:val="32"/>
        </w:rPr>
        <w:t>2</w:t>
      </w:r>
      <w:r>
        <w:rPr>
          <w:rFonts w:ascii="仿宋_GB2312" w:eastAsia="仿宋_GB2312" w:hAnsi="宋体" w:hint="eastAsia"/>
          <w:sz w:val="28"/>
          <w:szCs w:val="32"/>
        </w:rPr>
        <w:t>、本报告估价结果仅作为委托方提供专业化评估意见，这个意见无强制执行的效力，评估人员只对评估行为合乎规范要求负责，而不对拍卖业务定价决策负责；</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sz w:val="28"/>
          <w:szCs w:val="32"/>
        </w:rPr>
        <w:t>3</w:t>
      </w:r>
      <w:r>
        <w:rPr>
          <w:rFonts w:ascii="仿宋_GB2312" w:eastAsia="仿宋_GB2312" w:hAnsi="宋体" w:hint="eastAsia"/>
          <w:sz w:val="28"/>
          <w:szCs w:val="32"/>
        </w:rPr>
        <w:t>、本报告中市场趋势、估价对象变现能力分析等专业意见，是估价人员根据具体情况和价值时点的市场状况分析推断、预测得出，仅供估价委托人参考，其结论受估价人员经验、能力的限制及一定程度主观因素影响，可能并不完全表示估价对象在价值时点时变现时的实际情况，特提请报告使用人注意。</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sz w:val="28"/>
          <w:szCs w:val="32"/>
        </w:rPr>
        <w:t>4</w:t>
      </w:r>
      <w:r>
        <w:rPr>
          <w:rFonts w:ascii="仿宋_GB2312" w:eastAsia="仿宋_GB2312" w:hAnsi="宋体" w:hint="eastAsia"/>
          <w:sz w:val="28"/>
          <w:szCs w:val="32"/>
        </w:rPr>
        <w:t>、未经评估方和评估委托方书面同意，本报告的全部或部分及任何参考资料均不允许在任何公开发表的文件、通告或声明中引用，也不得以其他方式在任何媒体上公开发布。</w:t>
      </w:r>
    </w:p>
    <w:p w:rsidR="007C13F5" w:rsidRDefault="007C13F5">
      <w:pPr>
        <w:spacing w:beforeLines="50" w:line="360" w:lineRule="auto"/>
        <w:ind w:firstLineChars="200" w:firstLine="31680"/>
        <w:rPr>
          <w:rFonts w:ascii="仿宋_GB2312" w:eastAsia="仿宋_GB2312" w:hAnsi="宋体"/>
          <w:sz w:val="28"/>
          <w:szCs w:val="32"/>
        </w:rPr>
      </w:pPr>
      <w:r>
        <w:rPr>
          <w:rFonts w:ascii="仿宋_GB2312" w:eastAsia="仿宋_GB2312" w:hAnsi="宋体"/>
          <w:sz w:val="28"/>
          <w:szCs w:val="32"/>
        </w:rPr>
        <w:t>5</w:t>
      </w:r>
      <w:r>
        <w:rPr>
          <w:rFonts w:ascii="仿宋_GB2312" w:eastAsia="仿宋_GB2312" w:hAnsi="宋体" w:hint="eastAsia"/>
          <w:sz w:val="28"/>
          <w:szCs w:val="32"/>
        </w:rPr>
        <w:t>、估价对象实际交易时需交纳转让手续费、税费等相关费用，评估结果中未考虑以上费用，提请报告使用者注意。</w:t>
      </w:r>
    </w:p>
    <w:p w:rsidR="007C13F5" w:rsidRDefault="007C13F5">
      <w:pPr>
        <w:spacing w:beforeLines="50" w:line="360" w:lineRule="auto"/>
        <w:ind w:left="-1" w:firstLineChars="200" w:firstLine="31680"/>
        <w:rPr>
          <w:rFonts w:ascii="仿宋_GB2312" w:eastAsia="仿宋_GB2312" w:hAnsi="宋体"/>
          <w:sz w:val="28"/>
          <w:szCs w:val="32"/>
        </w:rPr>
      </w:pPr>
      <w:r>
        <w:rPr>
          <w:rFonts w:ascii="仿宋_GB2312" w:eastAsia="仿宋_GB2312" w:hAnsi="宋体"/>
          <w:sz w:val="28"/>
          <w:szCs w:val="32"/>
        </w:rPr>
        <w:t>6</w:t>
      </w:r>
      <w:r>
        <w:rPr>
          <w:rFonts w:ascii="仿宋_GB2312" w:eastAsia="仿宋_GB2312" w:hAnsi="宋体" w:hint="eastAsia"/>
          <w:sz w:val="28"/>
          <w:szCs w:val="32"/>
        </w:rPr>
        <w:t>、本评估报告经评估机构加盖公章并有相关评估人员签章、签字后方可有效。</w:t>
      </w:r>
    </w:p>
    <w:p w:rsidR="007C13F5" w:rsidRDefault="007C13F5">
      <w:pPr>
        <w:spacing w:beforeLines="50" w:line="360" w:lineRule="auto"/>
        <w:ind w:firstLineChars="200" w:firstLine="31680"/>
        <w:rPr>
          <w:rFonts w:ascii="仿宋_GB2312" w:eastAsia="仿宋_GB2312" w:hAnsi="宋体"/>
          <w:sz w:val="28"/>
          <w:szCs w:val="32"/>
        </w:rPr>
      </w:pPr>
      <w:r>
        <w:rPr>
          <w:rFonts w:ascii="仿宋_GB2312" w:eastAsia="仿宋_GB2312" w:hAnsi="宋体"/>
          <w:sz w:val="28"/>
          <w:szCs w:val="32"/>
        </w:rPr>
        <w:t>7</w:t>
      </w:r>
      <w:r>
        <w:rPr>
          <w:rFonts w:ascii="仿宋_GB2312" w:eastAsia="仿宋_GB2312" w:hAnsi="宋体" w:hint="eastAsia"/>
          <w:sz w:val="28"/>
          <w:szCs w:val="32"/>
        </w:rPr>
        <w:t>、估价报告应用的有效期为自完成估价报告之日起一年内有效，在有效期内使用报告时，应充分考虑房地产市场可能的变化情况及未来发展情况。</w:t>
      </w:r>
    </w:p>
    <w:p w:rsidR="007C13F5" w:rsidRDefault="007C13F5">
      <w:pPr>
        <w:spacing w:beforeLines="50" w:line="360" w:lineRule="auto"/>
        <w:ind w:left="-1" w:firstLineChars="200" w:firstLine="31680"/>
        <w:rPr>
          <w:rFonts w:ascii="仿宋_GB2312" w:eastAsia="仿宋_GB2312" w:hAnsi="宋体"/>
          <w:b/>
          <w:sz w:val="28"/>
          <w:szCs w:val="32"/>
        </w:rPr>
      </w:pPr>
      <w:r>
        <w:rPr>
          <w:rFonts w:ascii="仿宋_GB2312" w:eastAsia="仿宋_GB2312" w:hAnsi="宋体" w:hint="eastAsia"/>
          <w:b/>
          <w:sz w:val="28"/>
          <w:szCs w:val="32"/>
        </w:rPr>
        <w:t>（三）需要说明的特别事项</w:t>
      </w:r>
    </w:p>
    <w:p w:rsidR="007C13F5" w:rsidRDefault="007C13F5">
      <w:pPr>
        <w:spacing w:beforeLines="50" w:line="360" w:lineRule="auto"/>
        <w:ind w:firstLineChars="200" w:firstLine="31680"/>
        <w:rPr>
          <w:rFonts w:ascii="仿宋_GB2312" w:eastAsia="仿宋_GB2312" w:hAnsi="宋体"/>
          <w:sz w:val="28"/>
          <w:szCs w:val="32"/>
        </w:rPr>
      </w:pPr>
      <w:r>
        <w:rPr>
          <w:rFonts w:ascii="仿宋_GB2312" w:eastAsia="仿宋_GB2312" w:hAnsi="宋体"/>
          <w:sz w:val="28"/>
          <w:szCs w:val="32"/>
        </w:rPr>
        <w:t>1</w:t>
      </w:r>
      <w:r>
        <w:rPr>
          <w:rFonts w:ascii="仿宋_GB2312" w:eastAsia="仿宋_GB2312" w:hAnsi="宋体" w:hint="eastAsia"/>
          <w:sz w:val="28"/>
          <w:szCs w:val="32"/>
        </w:rPr>
        <w:t>、报告中数据全部采用电算化连续计算得出，由于在报告中计算的数据均按四舍五入保留两位数据或取整，因此可能出现个别等式左右不完全相等的情况，但不影响计算结果及最终评估结论的准确性。</w:t>
      </w:r>
    </w:p>
    <w:p w:rsidR="007C13F5" w:rsidRDefault="007C13F5">
      <w:pPr>
        <w:spacing w:beforeLines="50" w:line="360" w:lineRule="auto"/>
        <w:ind w:firstLineChars="200" w:firstLine="31680"/>
        <w:rPr>
          <w:rFonts w:ascii="仿宋_GB2312" w:eastAsia="仿宋_GB2312" w:hAnsi="宋体"/>
          <w:sz w:val="28"/>
          <w:szCs w:val="32"/>
        </w:rPr>
      </w:pPr>
      <w:r>
        <w:rPr>
          <w:rFonts w:ascii="仿宋_GB2312" w:eastAsia="仿宋_GB2312" w:hAnsi="宋体"/>
          <w:sz w:val="28"/>
          <w:szCs w:val="32"/>
        </w:rPr>
        <w:t>2</w:t>
      </w:r>
      <w:r>
        <w:rPr>
          <w:rFonts w:ascii="仿宋_GB2312" w:eastAsia="仿宋_GB2312" w:hAnsi="宋体" w:hint="eastAsia"/>
          <w:sz w:val="28"/>
          <w:szCs w:val="32"/>
        </w:rPr>
        <w:t>、本报告仅为法院办理案件确定评估对象于价值时点的市场价值提供参考，采用公开市场价值标准，即所评估出的客观价值是在公开市场上最可能形成的价格，并非实际交易价格。</w:t>
      </w:r>
    </w:p>
    <w:p w:rsidR="007C13F5" w:rsidRDefault="007C13F5">
      <w:pPr>
        <w:spacing w:beforeLines="50" w:line="360" w:lineRule="auto"/>
        <w:ind w:firstLineChars="200" w:firstLine="31680"/>
        <w:rPr>
          <w:rFonts w:ascii="仿宋_GB2312" w:eastAsia="仿宋_GB2312" w:hAnsi="宋体"/>
          <w:sz w:val="28"/>
          <w:szCs w:val="32"/>
        </w:rPr>
      </w:pPr>
      <w:r>
        <w:rPr>
          <w:rFonts w:ascii="仿宋_GB2312" w:eastAsia="仿宋_GB2312" w:hAnsi="宋体" w:hint="eastAsia"/>
          <w:sz w:val="28"/>
          <w:szCs w:val="32"/>
        </w:rPr>
        <w:t>现实房地产交易中，一般难以达到理想的公开市场条件，致使实际交易价格往往与估价结果不够一致。成交价格受处置方式、宣传推广力度和买受人对估价对象的了解及对房地产市场的判断等因素有关，同时应考虑转让过程中需缴纳的相关税费。</w:t>
      </w:r>
    </w:p>
    <w:p w:rsidR="007C13F5" w:rsidRDefault="007C13F5">
      <w:pPr>
        <w:spacing w:beforeLines="50" w:line="360" w:lineRule="auto"/>
        <w:ind w:firstLineChars="200" w:firstLine="31680"/>
        <w:rPr>
          <w:rFonts w:ascii="仿宋_GB2312" w:eastAsia="仿宋_GB2312" w:hAnsi="宋体"/>
          <w:sz w:val="28"/>
          <w:szCs w:val="32"/>
        </w:rPr>
      </w:pPr>
      <w:r>
        <w:rPr>
          <w:rFonts w:ascii="仿宋_GB2312" w:eastAsia="仿宋_GB2312" w:hAnsi="宋体"/>
          <w:sz w:val="28"/>
          <w:szCs w:val="32"/>
        </w:rPr>
        <w:t>3</w:t>
      </w:r>
      <w:r>
        <w:rPr>
          <w:rFonts w:ascii="仿宋_GB2312" w:eastAsia="仿宋_GB2312" w:hAnsi="宋体" w:hint="eastAsia"/>
          <w:sz w:val="28"/>
          <w:szCs w:val="32"/>
        </w:rPr>
        <w:t>、处置估价对象时，除考虑转让过程的相关税费，还应考虑是否拖欠物业管理费、水电费等。</w:t>
      </w:r>
    </w:p>
    <w:p w:rsidR="007C13F5" w:rsidRDefault="007C13F5">
      <w:pPr>
        <w:spacing w:beforeLines="50" w:line="360" w:lineRule="auto"/>
        <w:ind w:firstLineChars="200" w:firstLine="31680"/>
        <w:rPr>
          <w:rFonts w:ascii="仿宋_GB2312" w:eastAsia="仿宋_GB2312" w:hAnsi="宋体"/>
          <w:sz w:val="28"/>
          <w:szCs w:val="32"/>
        </w:rPr>
      </w:pPr>
      <w:r>
        <w:rPr>
          <w:rFonts w:ascii="仿宋_GB2312" w:eastAsia="仿宋_GB2312" w:hAnsi="宋体"/>
          <w:sz w:val="28"/>
          <w:szCs w:val="32"/>
        </w:rPr>
        <w:t>4</w:t>
      </w:r>
      <w:r>
        <w:rPr>
          <w:rFonts w:ascii="仿宋_GB2312" w:eastAsia="仿宋_GB2312" w:hAnsi="宋体" w:hint="eastAsia"/>
          <w:sz w:val="28"/>
          <w:szCs w:val="32"/>
        </w:rPr>
        <w:t>、本报告仅为委托方办理案件需要提供价值参考，不作为房地产权属或其他相关权益确认的依据。</w:t>
      </w:r>
    </w:p>
    <w:p w:rsidR="007C13F5" w:rsidRDefault="007C13F5">
      <w:pPr>
        <w:spacing w:beforeLines="50" w:line="360" w:lineRule="auto"/>
        <w:ind w:firstLineChars="200" w:firstLine="31680"/>
        <w:rPr>
          <w:rFonts w:ascii="仿宋_GB2312" w:eastAsia="仿宋_GB2312" w:hAnsi="宋体"/>
          <w:b/>
          <w:bCs/>
          <w:sz w:val="28"/>
          <w:szCs w:val="32"/>
        </w:rPr>
      </w:pPr>
      <w:r>
        <w:rPr>
          <w:rFonts w:ascii="仿宋_GB2312" w:eastAsia="仿宋_GB2312" w:hAnsi="宋体"/>
          <w:sz w:val="28"/>
          <w:szCs w:val="32"/>
        </w:rPr>
        <w:br w:type="page"/>
      </w:r>
    </w:p>
    <w:p w:rsidR="007C13F5" w:rsidRDefault="007C13F5">
      <w:pPr>
        <w:pStyle w:val="Heading1"/>
        <w:ind w:firstLineChars="200" w:firstLine="31680"/>
        <w:rPr>
          <w:rFonts w:ascii="仿宋_GB2312" w:eastAsia="仿宋_GB2312"/>
          <w:b/>
          <w:sz w:val="36"/>
          <w:szCs w:val="36"/>
        </w:rPr>
      </w:pPr>
      <w:bookmarkStart w:id="2" w:name="_Toc499890248"/>
      <w:r>
        <w:rPr>
          <w:rFonts w:ascii="仿宋_GB2312" w:eastAsia="仿宋_GB2312" w:hint="eastAsia"/>
          <w:b/>
          <w:sz w:val="36"/>
          <w:szCs w:val="36"/>
        </w:rPr>
        <w:t>第三部分</w:t>
      </w:r>
      <w:r>
        <w:rPr>
          <w:rFonts w:ascii="仿宋_GB2312" w:eastAsia="仿宋_GB2312"/>
          <w:b/>
          <w:sz w:val="36"/>
          <w:szCs w:val="36"/>
        </w:rPr>
        <w:t xml:space="preserve"> </w:t>
      </w:r>
      <w:r>
        <w:rPr>
          <w:rFonts w:ascii="仿宋_GB2312" w:eastAsia="仿宋_GB2312" w:hint="eastAsia"/>
          <w:b/>
          <w:sz w:val="36"/>
          <w:szCs w:val="36"/>
        </w:rPr>
        <w:t>估价结果报告</w:t>
      </w:r>
      <w:bookmarkEnd w:id="2"/>
    </w:p>
    <w:p w:rsidR="007C13F5" w:rsidRDefault="007C13F5">
      <w:pPr>
        <w:ind w:firstLineChars="200" w:firstLine="31680"/>
        <w:jc w:val="center"/>
        <w:rPr>
          <w:rFonts w:ascii="仿宋_GB2312" w:eastAsia="仿宋_GB2312" w:hAnsi="宋体"/>
          <w:b/>
          <w:bCs/>
          <w:sz w:val="10"/>
          <w:szCs w:val="10"/>
        </w:rPr>
      </w:pPr>
    </w:p>
    <w:p w:rsidR="007C13F5" w:rsidRDefault="007C13F5">
      <w:pPr>
        <w:pStyle w:val="Heading2"/>
        <w:rPr>
          <w:rFonts w:ascii="仿宋_GB2312" w:eastAsia="仿宋_GB2312"/>
          <w:b w:val="0"/>
          <w:sz w:val="28"/>
          <w:szCs w:val="28"/>
        </w:rPr>
      </w:pPr>
      <w:bookmarkStart w:id="3" w:name="_Toc499890249"/>
      <w:r>
        <w:rPr>
          <w:rFonts w:ascii="仿宋_GB2312" w:eastAsia="仿宋_GB2312" w:hint="eastAsia"/>
          <w:sz w:val="28"/>
          <w:szCs w:val="28"/>
        </w:rPr>
        <w:t>一、委托方</w:t>
      </w:r>
      <w:bookmarkEnd w:id="3"/>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委托方：杭州市江干区人民法院</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委托鉴定事项：受杭州市江干区人民法院委托，我公司对被执行人吴小兰名下位于大理市下关镇七里桥感通小区（感通小镇一期</w:t>
      </w:r>
      <w:r>
        <w:rPr>
          <w:rFonts w:ascii="仿宋_GB2312" w:eastAsia="仿宋_GB2312"/>
          <w:sz w:val="28"/>
          <w:szCs w:val="28"/>
        </w:rPr>
        <w:t>81</w:t>
      </w:r>
      <w:r>
        <w:rPr>
          <w:rFonts w:ascii="仿宋_GB2312" w:eastAsia="仿宋_GB2312" w:hint="eastAsia"/>
          <w:sz w:val="28"/>
          <w:szCs w:val="28"/>
        </w:rPr>
        <w:t>号）房产（产权证号：</w:t>
      </w:r>
      <w:r>
        <w:rPr>
          <w:rFonts w:ascii="仿宋_GB2312" w:eastAsia="仿宋_GB2312"/>
          <w:sz w:val="28"/>
          <w:szCs w:val="28"/>
        </w:rPr>
        <w:t>909500</w:t>
      </w:r>
      <w:r>
        <w:rPr>
          <w:rFonts w:ascii="仿宋_GB2312" w:eastAsia="仿宋_GB2312" w:hint="eastAsia"/>
          <w:sz w:val="28"/>
          <w:szCs w:val="28"/>
        </w:rPr>
        <w:t>）进行价值评估以及司法拍卖过程中出卖方应负担的税费金额或计算方式。</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委托日期：</w:t>
      </w:r>
      <w:r>
        <w:rPr>
          <w:rFonts w:ascii="仿宋_GB2312" w:eastAsia="仿宋_GB2312"/>
          <w:sz w:val="28"/>
          <w:szCs w:val="28"/>
        </w:rPr>
        <w:t>2020</w:t>
      </w:r>
      <w:r>
        <w:rPr>
          <w:rFonts w:ascii="仿宋_GB2312" w:eastAsia="仿宋_GB2312" w:hint="eastAsia"/>
          <w:sz w:val="28"/>
          <w:szCs w:val="28"/>
        </w:rPr>
        <w:t>年</w:t>
      </w:r>
      <w:r>
        <w:rPr>
          <w:rFonts w:ascii="仿宋_GB2312" w:eastAsia="仿宋_GB2312"/>
          <w:sz w:val="28"/>
          <w:szCs w:val="28"/>
        </w:rPr>
        <w:t>4</w:t>
      </w:r>
      <w:r>
        <w:rPr>
          <w:rFonts w:ascii="仿宋_GB2312" w:eastAsia="仿宋_GB2312" w:hint="eastAsia"/>
          <w:sz w:val="28"/>
          <w:szCs w:val="28"/>
        </w:rPr>
        <w:t>月</w:t>
      </w:r>
      <w:r>
        <w:rPr>
          <w:rFonts w:ascii="仿宋_GB2312" w:eastAsia="仿宋_GB2312"/>
          <w:sz w:val="28"/>
          <w:szCs w:val="28"/>
        </w:rPr>
        <w:t>29</w:t>
      </w:r>
      <w:r>
        <w:rPr>
          <w:rFonts w:ascii="仿宋_GB2312" w:eastAsia="仿宋_GB2312" w:hint="eastAsia"/>
          <w:sz w:val="28"/>
          <w:szCs w:val="28"/>
        </w:rPr>
        <w:t>日</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案</w:t>
      </w:r>
      <w:r>
        <w:rPr>
          <w:rFonts w:ascii="仿宋_GB2312" w:eastAsia="仿宋_GB2312"/>
          <w:sz w:val="28"/>
          <w:szCs w:val="28"/>
        </w:rPr>
        <w:t xml:space="preserve">    </w:t>
      </w:r>
      <w:r>
        <w:rPr>
          <w:rFonts w:ascii="仿宋_GB2312" w:eastAsia="仿宋_GB2312" w:hint="eastAsia"/>
          <w:sz w:val="28"/>
          <w:szCs w:val="28"/>
        </w:rPr>
        <w:t>号：（</w:t>
      </w:r>
      <w:r>
        <w:rPr>
          <w:rFonts w:ascii="仿宋_GB2312" w:eastAsia="仿宋_GB2312"/>
          <w:sz w:val="28"/>
          <w:szCs w:val="28"/>
        </w:rPr>
        <w:t>2019</w:t>
      </w:r>
      <w:r>
        <w:rPr>
          <w:rFonts w:ascii="仿宋_GB2312" w:eastAsia="仿宋_GB2312" w:hint="eastAsia"/>
          <w:sz w:val="28"/>
          <w:szCs w:val="28"/>
        </w:rPr>
        <w:t>）浙</w:t>
      </w:r>
      <w:r>
        <w:rPr>
          <w:rFonts w:ascii="仿宋_GB2312" w:eastAsia="仿宋_GB2312"/>
          <w:sz w:val="28"/>
          <w:szCs w:val="28"/>
        </w:rPr>
        <w:t>0104</w:t>
      </w:r>
      <w:r>
        <w:rPr>
          <w:rFonts w:ascii="仿宋_GB2312" w:eastAsia="仿宋_GB2312" w:hint="eastAsia"/>
          <w:sz w:val="28"/>
          <w:szCs w:val="28"/>
        </w:rPr>
        <w:t>执</w:t>
      </w:r>
      <w:r>
        <w:rPr>
          <w:rFonts w:ascii="仿宋_GB2312" w:eastAsia="仿宋_GB2312"/>
          <w:sz w:val="28"/>
          <w:szCs w:val="28"/>
        </w:rPr>
        <w:t>2937</w:t>
      </w:r>
      <w:r>
        <w:rPr>
          <w:rFonts w:ascii="仿宋_GB2312" w:eastAsia="仿宋_GB2312" w:hint="eastAsia"/>
          <w:sz w:val="28"/>
          <w:szCs w:val="28"/>
        </w:rPr>
        <w:t>号</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委托评估的鉴定材料：</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）云南省杭州市江干区人民法院鉴定委托书；</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）《房屋信息查询摘抄表》</w:t>
      </w:r>
      <w:r>
        <w:rPr>
          <w:rFonts w:ascii="仿宋_GB2312" w:eastAsia="仿宋_GB2312" w:hAnsi="宋体" w:hint="eastAsia"/>
          <w:sz w:val="28"/>
        </w:rPr>
        <w:t>（编号：</w:t>
      </w:r>
      <w:r>
        <w:rPr>
          <w:rFonts w:ascii="仿宋_GB2312" w:eastAsia="仿宋_GB2312" w:hAnsi="宋体"/>
          <w:sz w:val="28"/>
        </w:rPr>
        <w:t>DLGC8965</w:t>
      </w:r>
      <w:r>
        <w:rPr>
          <w:rFonts w:ascii="仿宋_GB2312" w:eastAsia="仿宋_GB2312" w:hAnsi="宋体" w:hint="eastAsia"/>
          <w:sz w:val="28"/>
        </w:rPr>
        <w:t>）</w:t>
      </w:r>
      <w:r>
        <w:rPr>
          <w:rFonts w:ascii="仿宋_GB2312" w:eastAsia="仿宋_GB2312" w:hint="eastAsia"/>
          <w:sz w:val="28"/>
          <w:szCs w:val="28"/>
        </w:rPr>
        <w:t>；</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）《土地登记卡》</w:t>
      </w:r>
      <w:r>
        <w:rPr>
          <w:rFonts w:ascii="仿宋_GB2312" w:eastAsia="仿宋_GB2312" w:hAnsi="宋体" w:hint="eastAsia"/>
          <w:sz w:val="28"/>
        </w:rPr>
        <w:t>（编号：</w:t>
      </w:r>
      <w:r>
        <w:rPr>
          <w:rFonts w:ascii="仿宋_GB2312" w:eastAsia="仿宋_GB2312" w:hAnsi="宋体"/>
          <w:sz w:val="28"/>
        </w:rPr>
        <w:t>NO.015981</w:t>
      </w:r>
      <w:r>
        <w:rPr>
          <w:rFonts w:ascii="仿宋_GB2312" w:eastAsia="仿宋_GB2312" w:hAnsi="宋体" w:hint="eastAsia"/>
          <w:sz w:val="28"/>
        </w:rPr>
        <w:t>）</w:t>
      </w:r>
      <w:r>
        <w:rPr>
          <w:rFonts w:ascii="仿宋_GB2312" w:eastAsia="仿宋_GB2312" w:hint="eastAsia"/>
          <w:sz w:val="28"/>
          <w:szCs w:val="28"/>
        </w:rPr>
        <w:t>。</w:t>
      </w:r>
    </w:p>
    <w:p w:rsidR="007C13F5" w:rsidRDefault="007C13F5">
      <w:pPr>
        <w:pStyle w:val="Heading2"/>
        <w:rPr>
          <w:rFonts w:ascii="仿宋_GB2312" w:eastAsia="仿宋_GB2312"/>
          <w:sz w:val="28"/>
          <w:szCs w:val="28"/>
        </w:rPr>
      </w:pPr>
      <w:bookmarkStart w:id="4" w:name="_Toc499890250"/>
      <w:r>
        <w:rPr>
          <w:rFonts w:ascii="仿宋_GB2312" w:eastAsia="仿宋_GB2312" w:hint="eastAsia"/>
          <w:sz w:val="28"/>
          <w:szCs w:val="28"/>
        </w:rPr>
        <w:t>二、估价方</w:t>
      </w:r>
      <w:bookmarkEnd w:id="4"/>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公司名称：云南银信房地产土地资产评估有限公司</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法定代表人：陈飞鹏</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住所：云南省昆明市万华路天宇景苑</w:t>
      </w:r>
      <w:r>
        <w:rPr>
          <w:rFonts w:ascii="仿宋_GB2312" w:eastAsia="仿宋_GB2312"/>
          <w:sz w:val="28"/>
          <w:szCs w:val="28"/>
        </w:rPr>
        <w:t>2-A</w:t>
      </w:r>
      <w:r>
        <w:rPr>
          <w:rFonts w:ascii="仿宋_GB2312" w:eastAsia="仿宋_GB2312" w:hint="eastAsia"/>
          <w:sz w:val="28"/>
          <w:szCs w:val="28"/>
        </w:rPr>
        <w:t>幢</w:t>
      </w:r>
      <w:r>
        <w:rPr>
          <w:rFonts w:ascii="仿宋_GB2312" w:eastAsia="仿宋_GB2312"/>
          <w:sz w:val="28"/>
          <w:szCs w:val="28"/>
        </w:rPr>
        <w:t>1805</w:t>
      </w:r>
      <w:r>
        <w:rPr>
          <w:rFonts w:ascii="仿宋_GB2312" w:eastAsia="仿宋_GB2312" w:hint="eastAsia"/>
          <w:sz w:val="28"/>
          <w:szCs w:val="28"/>
        </w:rPr>
        <w:t>室</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备案等级：贰级</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资质证书编号：云建房证估字第</w:t>
      </w:r>
      <w:r>
        <w:rPr>
          <w:rFonts w:ascii="仿宋_GB2312" w:eastAsia="仿宋_GB2312"/>
          <w:sz w:val="28"/>
          <w:szCs w:val="28"/>
        </w:rPr>
        <w:t>87</w:t>
      </w:r>
      <w:r>
        <w:rPr>
          <w:rFonts w:ascii="仿宋_GB2312" w:eastAsia="仿宋_GB2312" w:hint="eastAsia"/>
          <w:sz w:val="28"/>
          <w:szCs w:val="28"/>
        </w:rPr>
        <w:t>号</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hint="eastAsia"/>
          <w:sz w:val="28"/>
          <w:szCs w:val="28"/>
        </w:rPr>
        <w:t>联系电话：</w:t>
      </w:r>
      <w:r>
        <w:rPr>
          <w:rFonts w:ascii="仿宋_GB2312" w:eastAsia="仿宋_GB2312"/>
          <w:sz w:val="28"/>
          <w:szCs w:val="28"/>
        </w:rPr>
        <w:t>0871-63646059</w:t>
      </w:r>
    </w:p>
    <w:p w:rsidR="007C13F5" w:rsidRDefault="007C13F5">
      <w:pPr>
        <w:pStyle w:val="Heading2"/>
        <w:rPr>
          <w:rFonts w:ascii="仿宋_GB2312" w:eastAsia="仿宋_GB2312"/>
          <w:b w:val="0"/>
          <w:sz w:val="28"/>
          <w:szCs w:val="28"/>
        </w:rPr>
      </w:pPr>
      <w:bookmarkStart w:id="5" w:name="_Toc499890251"/>
      <w:r>
        <w:rPr>
          <w:rFonts w:ascii="仿宋_GB2312" w:eastAsia="仿宋_GB2312" w:hint="eastAsia"/>
          <w:bCs w:val="0"/>
          <w:sz w:val="28"/>
          <w:szCs w:val="28"/>
        </w:rPr>
        <w:t>三、估价对象</w:t>
      </w:r>
      <w:bookmarkEnd w:id="5"/>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sz w:val="28"/>
          <w:szCs w:val="28"/>
        </w:rPr>
        <w:t xml:space="preserve">1. </w:t>
      </w:r>
      <w:r>
        <w:rPr>
          <w:rFonts w:ascii="仿宋_GB2312" w:eastAsia="仿宋_GB2312" w:hint="eastAsia"/>
          <w:sz w:val="28"/>
          <w:szCs w:val="28"/>
        </w:rPr>
        <w:t>估价对象范围及区位状况</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w:t>
      </w:r>
      <w:r>
        <w:rPr>
          <w:rFonts w:ascii="仿宋_GB2312" w:eastAsia="仿宋_GB2312" w:hAnsi="宋体"/>
          <w:spacing w:val="-4"/>
          <w:sz w:val="28"/>
        </w:rPr>
        <w:t>1</w:t>
      </w:r>
      <w:r>
        <w:rPr>
          <w:rFonts w:ascii="仿宋_GB2312" w:eastAsia="仿宋_GB2312" w:hAnsi="宋体" w:hint="eastAsia"/>
          <w:spacing w:val="-4"/>
          <w:sz w:val="28"/>
        </w:rPr>
        <w:t>）估价对象范围</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估价对象为杭州市江干区人民法院价格评估委托书</w:t>
      </w:r>
      <w:r>
        <w:rPr>
          <w:rFonts w:ascii="仿宋_GB2312" w:eastAsia="仿宋_GB2312" w:hAnsi="宋体"/>
          <w:spacing w:val="-4"/>
          <w:sz w:val="28"/>
        </w:rPr>
        <w:t>[</w:t>
      </w:r>
      <w:r>
        <w:rPr>
          <w:rFonts w:ascii="仿宋_GB2312" w:eastAsia="仿宋_GB2312" w:hAnsi="宋体" w:hint="eastAsia"/>
          <w:spacing w:val="-4"/>
          <w:sz w:val="28"/>
        </w:rPr>
        <w:t>（</w:t>
      </w:r>
      <w:r>
        <w:rPr>
          <w:rFonts w:ascii="仿宋_GB2312" w:eastAsia="仿宋_GB2312" w:hAnsi="宋体"/>
          <w:spacing w:val="-4"/>
          <w:sz w:val="28"/>
        </w:rPr>
        <w:t>2019</w:t>
      </w:r>
      <w:r>
        <w:rPr>
          <w:rFonts w:ascii="仿宋_GB2312" w:eastAsia="仿宋_GB2312" w:hAnsi="宋体" w:hint="eastAsia"/>
          <w:spacing w:val="-4"/>
          <w:sz w:val="28"/>
        </w:rPr>
        <w:t>）浙</w:t>
      </w:r>
      <w:r>
        <w:rPr>
          <w:rFonts w:ascii="仿宋_GB2312" w:eastAsia="仿宋_GB2312" w:hAnsi="宋体"/>
          <w:spacing w:val="-4"/>
          <w:sz w:val="28"/>
        </w:rPr>
        <w:t>0104</w:t>
      </w:r>
      <w:r>
        <w:rPr>
          <w:rFonts w:ascii="仿宋_GB2312" w:eastAsia="仿宋_GB2312" w:hAnsi="宋体" w:hint="eastAsia"/>
          <w:spacing w:val="-4"/>
          <w:sz w:val="28"/>
        </w:rPr>
        <w:t>执</w:t>
      </w:r>
      <w:r>
        <w:rPr>
          <w:rFonts w:ascii="仿宋_GB2312" w:eastAsia="仿宋_GB2312" w:hAnsi="宋体"/>
          <w:spacing w:val="-4"/>
          <w:sz w:val="28"/>
        </w:rPr>
        <w:t>2937</w:t>
      </w:r>
      <w:r>
        <w:rPr>
          <w:rFonts w:ascii="仿宋_GB2312" w:eastAsia="仿宋_GB2312" w:hAnsi="宋体" w:hint="eastAsia"/>
          <w:spacing w:val="-4"/>
          <w:sz w:val="28"/>
        </w:rPr>
        <w:t>号</w:t>
      </w:r>
      <w:r>
        <w:rPr>
          <w:rFonts w:ascii="仿宋_GB2312" w:eastAsia="仿宋_GB2312" w:hAnsi="宋体"/>
          <w:spacing w:val="-4"/>
          <w:sz w:val="28"/>
        </w:rPr>
        <w:t>]</w:t>
      </w:r>
      <w:r>
        <w:rPr>
          <w:rFonts w:ascii="仿宋_GB2312" w:eastAsia="仿宋_GB2312" w:hAnsi="宋体" w:hint="eastAsia"/>
          <w:spacing w:val="-4"/>
          <w:sz w:val="28"/>
        </w:rPr>
        <w:t>委托事项及内容中所列示的吴小兰所拥有的位于大理市下关镇七里桥感通小区（感通小镇一期</w:t>
      </w:r>
      <w:r>
        <w:rPr>
          <w:rFonts w:ascii="仿宋_GB2312" w:eastAsia="仿宋_GB2312" w:hAnsi="宋体"/>
          <w:spacing w:val="-4"/>
          <w:sz w:val="28"/>
        </w:rPr>
        <w:t>81</w:t>
      </w:r>
      <w:r>
        <w:rPr>
          <w:rFonts w:ascii="仿宋_GB2312" w:eastAsia="仿宋_GB2312" w:hAnsi="宋体" w:hint="eastAsia"/>
          <w:spacing w:val="-4"/>
          <w:sz w:val="28"/>
        </w:rPr>
        <w:t>号）房屋，属低层板式住宅房地产，含分摊的国有建设用地使用权、室内装饰装修及其水、电等房屋配套设施，不含其他与该房产相关的债权债务。</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w:t>
      </w:r>
      <w:r>
        <w:rPr>
          <w:rFonts w:ascii="仿宋_GB2312" w:eastAsia="仿宋_GB2312" w:hAnsi="宋体"/>
          <w:spacing w:val="-4"/>
          <w:sz w:val="28"/>
        </w:rPr>
        <w:t>2</w:t>
      </w:r>
      <w:r>
        <w:rPr>
          <w:rFonts w:ascii="仿宋_GB2312" w:eastAsia="仿宋_GB2312" w:hAnsi="宋体" w:hint="eastAsia"/>
          <w:spacing w:val="-4"/>
          <w:sz w:val="28"/>
        </w:rPr>
        <w:t>）估价对象区位状况</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估价对象位于大理市下关镇七里桥感通小区（感通小镇一期</w:t>
      </w:r>
      <w:r>
        <w:rPr>
          <w:rFonts w:ascii="仿宋_GB2312" w:eastAsia="仿宋_GB2312" w:hAnsi="宋体"/>
          <w:spacing w:val="-4"/>
          <w:sz w:val="28"/>
        </w:rPr>
        <w:t>81</w:t>
      </w:r>
      <w:r>
        <w:rPr>
          <w:rFonts w:ascii="仿宋_GB2312" w:eastAsia="仿宋_GB2312" w:hAnsi="宋体" w:hint="eastAsia"/>
          <w:spacing w:val="-4"/>
          <w:sz w:val="28"/>
        </w:rPr>
        <w:t>号），该小区位于大理市下关镇七里桥，在大理市和大理古城之间，距古城较近，该小区又名感通别墅，其四至为东邻规划道路，西邻苍山国家地质公园，南邻苍海一墅小区，北邻苍山小院别墅区。现该区域周边的住宅楼盘较多，如苍山小院、苍海一墅、大理溪中溪度假别墅、感通阳光、大理山水间、大理兰花苑等住宅小区、附近有大理镇二中、上末完小、大理大学、云南建设学校、大理开放学院、观音堂幼儿园、大理市卫生局卫生监督所、天龙八部影视城、苍山国家地质公园、感通寺、太和城遗址、大理南山医院等配套设施，小区周围两公里内几乎没有大型商场，购物不方便，属于生态旅游地产，环境一流，公共设施一般。</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大理感通别墅位于大理古城与下关新城之间的七里桥感通寺旅游专线，周边道路畅通，有西景线、大丽线、感通路等城市干道，小区周围有大理大学专线及</w:t>
      </w:r>
      <w:r>
        <w:rPr>
          <w:rFonts w:ascii="仿宋_GB2312" w:eastAsia="仿宋_GB2312" w:hAnsi="宋体"/>
          <w:spacing w:val="-4"/>
          <w:sz w:val="28"/>
        </w:rPr>
        <w:t>4</w:t>
      </w:r>
      <w:r>
        <w:rPr>
          <w:rFonts w:ascii="仿宋_GB2312" w:eastAsia="仿宋_GB2312" w:hAnsi="宋体" w:hint="eastAsia"/>
          <w:spacing w:val="-4"/>
          <w:sz w:val="28"/>
        </w:rPr>
        <w:t>路公交通过并设有站点，感通别墅距离大理古城</w:t>
      </w:r>
      <w:r>
        <w:rPr>
          <w:rFonts w:ascii="仿宋_GB2312" w:eastAsia="仿宋_GB2312" w:hAnsi="宋体"/>
          <w:spacing w:val="-4"/>
          <w:sz w:val="28"/>
        </w:rPr>
        <w:t>5</w:t>
      </w:r>
      <w:r>
        <w:rPr>
          <w:rFonts w:ascii="仿宋_GB2312" w:eastAsia="仿宋_GB2312" w:hAnsi="宋体" w:hint="eastAsia"/>
          <w:spacing w:val="-4"/>
          <w:sz w:val="28"/>
        </w:rPr>
        <w:t>公里、下关</w:t>
      </w:r>
      <w:r>
        <w:rPr>
          <w:rFonts w:ascii="仿宋_GB2312" w:eastAsia="仿宋_GB2312" w:hAnsi="宋体"/>
          <w:spacing w:val="-4"/>
          <w:sz w:val="28"/>
        </w:rPr>
        <w:t>8</w:t>
      </w:r>
      <w:r>
        <w:rPr>
          <w:rFonts w:ascii="仿宋_GB2312" w:eastAsia="仿宋_GB2312" w:hAnsi="宋体" w:hint="eastAsia"/>
          <w:spacing w:val="-4"/>
          <w:sz w:val="28"/>
        </w:rPr>
        <w:t>公里，距离大理飞机场</w:t>
      </w:r>
      <w:r>
        <w:rPr>
          <w:rFonts w:ascii="仿宋_GB2312" w:eastAsia="仿宋_GB2312" w:hAnsi="宋体"/>
          <w:spacing w:val="-4"/>
          <w:sz w:val="28"/>
        </w:rPr>
        <w:t>25</w:t>
      </w:r>
      <w:r>
        <w:rPr>
          <w:rFonts w:ascii="仿宋_GB2312" w:eastAsia="仿宋_GB2312" w:hAnsi="宋体" w:hint="eastAsia"/>
          <w:spacing w:val="-4"/>
          <w:sz w:val="28"/>
        </w:rPr>
        <w:t>公里、火车站</w:t>
      </w:r>
      <w:r>
        <w:rPr>
          <w:rFonts w:ascii="仿宋_GB2312" w:eastAsia="仿宋_GB2312" w:hAnsi="宋体"/>
          <w:spacing w:val="-4"/>
          <w:sz w:val="28"/>
        </w:rPr>
        <w:t>13</w:t>
      </w:r>
      <w:r>
        <w:rPr>
          <w:rFonts w:ascii="仿宋_GB2312" w:eastAsia="仿宋_GB2312" w:hAnsi="宋体" w:hint="eastAsia"/>
          <w:spacing w:val="-4"/>
          <w:sz w:val="28"/>
        </w:rPr>
        <w:t>公里。区段内地势不平坦，有一定坡度，通达度良好。</w:t>
      </w:r>
    </w:p>
    <w:p w:rsidR="007C13F5" w:rsidRDefault="007C13F5">
      <w:pPr>
        <w:spacing w:beforeLines="50" w:line="360" w:lineRule="auto"/>
        <w:ind w:firstLineChars="200" w:firstLine="31680"/>
        <w:rPr>
          <w:rFonts w:ascii="仿宋_GB2312" w:eastAsia="仿宋_GB2312"/>
          <w:sz w:val="28"/>
          <w:szCs w:val="28"/>
        </w:rPr>
      </w:pPr>
      <w:r>
        <w:rPr>
          <w:rFonts w:ascii="仿宋_GB2312" w:eastAsia="仿宋_GB2312"/>
          <w:sz w:val="28"/>
          <w:szCs w:val="28"/>
        </w:rPr>
        <w:t xml:space="preserve">2. </w:t>
      </w:r>
      <w:r>
        <w:rPr>
          <w:rFonts w:ascii="仿宋_GB2312" w:eastAsia="仿宋_GB2312" w:hint="eastAsia"/>
          <w:sz w:val="28"/>
          <w:szCs w:val="28"/>
        </w:rPr>
        <w:t>估价对象权利状况</w:t>
      </w:r>
    </w:p>
    <w:p w:rsidR="007C13F5" w:rsidRDefault="007C13F5">
      <w:pPr>
        <w:spacing w:beforeLines="50" w:line="360" w:lineRule="auto"/>
        <w:ind w:firstLineChars="200" w:firstLine="31680"/>
        <w:rPr>
          <w:rFonts w:ascii="仿宋_GB2312" w:eastAsia="仿宋_GB2312" w:hAnsi="宋体"/>
          <w:b/>
          <w:spacing w:val="-4"/>
          <w:sz w:val="28"/>
        </w:rPr>
      </w:pPr>
      <w:r>
        <w:rPr>
          <w:rFonts w:ascii="仿宋_GB2312" w:eastAsia="仿宋_GB2312" w:hAnsi="宋体" w:hint="eastAsia"/>
          <w:spacing w:val="-4"/>
          <w:sz w:val="28"/>
        </w:rPr>
        <w:t>（</w:t>
      </w:r>
      <w:r>
        <w:rPr>
          <w:rFonts w:ascii="仿宋_GB2312" w:eastAsia="仿宋_GB2312" w:hAnsi="宋体"/>
          <w:spacing w:val="-4"/>
          <w:sz w:val="28"/>
        </w:rPr>
        <w:t>1</w:t>
      </w:r>
      <w:r>
        <w:rPr>
          <w:rFonts w:ascii="仿宋_GB2312" w:eastAsia="仿宋_GB2312" w:hAnsi="宋体" w:hint="eastAsia"/>
          <w:spacing w:val="-4"/>
          <w:sz w:val="28"/>
        </w:rPr>
        <w:t>）</w:t>
      </w:r>
      <w:r>
        <w:rPr>
          <w:rFonts w:ascii="仿宋_GB2312" w:eastAsia="仿宋_GB2312" w:hAnsi="宋体" w:hint="eastAsia"/>
          <w:b/>
          <w:spacing w:val="-4"/>
          <w:sz w:val="28"/>
        </w:rPr>
        <w:t>地上建筑物权利状况</w:t>
      </w:r>
    </w:p>
    <w:p w:rsidR="007C13F5" w:rsidRDefault="007C13F5">
      <w:pPr>
        <w:spacing w:beforeLines="50" w:line="360" w:lineRule="auto"/>
        <w:ind w:firstLineChars="250" w:firstLine="31680"/>
        <w:rPr>
          <w:rFonts w:ascii="仿宋_GB2312" w:eastAsia="仿宋_GB2312" w:hAnsi="宋体"/>
          <w:spacing w:val="-4"/>
          <w:sz w:val="28"/>
        </w:rPr>
      </w:pPr>
      <w:r>
        <w:rPr>
          <w:rFonts w:ascii="仿宋_GB2312" w:eastAsia="仿宋_GB2312" w:hAnsi="宋体" w:hint="eastAsia"/>
          <w:spacing w:val="-4"/>
          <w:sz w:val="28"/>
        </w:rPr>
        <w:t>依据《房屋信息查询摘抄表》，登记显示内容要件如下：</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1905"/>
        <w:gridCol w:w="2456"/>
        <w:gridCol w:w="1985"/>
        <w:gridCol w:w="2491"/>
      </w:tblGrid>
      <w:tr w:rsidR="007C13F5">
        <w:trPr>
          <w:trHeight w:val="491"/>
          <w:jc w:val="center"/>
        </w:trPr>
        <w:tc>
          <w:tcPr>
            <w:tcW w:w="8837" w:type="dxa"/>
            <w:gridSpan w:val="4"/>
          </w:tcPr>
          <w:p w:rsidR="007C13F5" w:rsidRDefault="007C13F5">
            <w:pPr>
              <w:spacing w:beforeLines="50" w:line="440" w:lineRule="exact"/>
              <w:jc w:val="center"/>
              <w:rPr>
                <w:rFonts w:ascii="仿宋_GB2312" w:eastAsia="仿宋_GB2312" w:hAnsi="宋体"/>
                <w:b/>
                <w:sz w:val="28"/>
                <w:szCs w:val="28"/>
              </w:rPr>
            </w:pPr>
            <w:r>
              <w:rPr>
                <w:rFonts w:ascii="仿宋_GB2312" w:eastAsia="仿宋_GB2312" w:hAnsi="宋体" w:hint="eastAsia"/>
                <w:b/>
                <w:sz w:val="28"/>
                <w:szCs w:val="28"/>
              </w:rPr>
              <w:t>产权登记内容（编号：</w:t>
            </w:r>
            <w:r>
              <w:rPr>
                <w:rFonts w:ascii="仿宋_GB2312" w:eastAsia="仿宋_GB2312" w:hAnsi="宋体"/>
                <w:b/>
                <w:sz w:val="28"/>
                <w:szCs w:val="28"/>
              </w:rPr>
              <w:t>DLGC8965</w:t>
            </w:r>
            <w:r>
              <w:rPr>
                <w:rFonts w:ascii="仿宋_GB2312" w:eastAsia="仿宋_GB2312" w:hAnsi="宋体" w:hint="eastAsia"/>
                <w:b/>
                <w:sz w:val="28"/>
                <w:szCs w:val="28"/>
              </w:rPr>
              <w:t>）</w:t>
            </w:r>
          </w:p>
        </w:tc>
      </w:tr>
      <w:tr w:rsidR="007C13F5">
        <w:trPr>
          <w:trHeight w:val="491"/>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房屋坐落</w:t>
            </w:r>
          </w:p>
        </w:tc>
        <w:tc>
          <w:tcPr>
            <w:tcW w:w="6932" w:type="dxa"/>
            <w:gridSpan w:val="3"/>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大理市下关镇七里桥感通小区（感通小镇一期</w:t>
            </w:r>
            <w:r>
              <w:rPr>
                <w:rFonts w:ascii="仿宋_GB2312" w:eastAsia="仿宋_GB2312" w:hAnsi="宋体"/>
                <w:sz w:val="28"/>
                <w:szCs w:val="28"/>
              </w:rPr>
              <w:t>81</w:t>
            </w:r>
            <w:r>
              <w:rPr>
                <w:rFonts w:ascii="仿宋_GB2312" w:eastAsia="仿宋_GB2312" w:hAnsi="宋体" w:hint="eastAsia"/>
                <w:sz w:val="28"/>
                <w:szCs w:val="28"/>
              </w:rPr>
              <w:t>号）</w:t>
            </w:r>
          </w:p>
        </w:tc>
      </w:tr>
      <w:tr w:rsidR="007C13F5">
        <w:trPr>
          <w:trHeight w:val="402"/>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所有权人</w:t>
            </w:r>
          </w:p>
        </w:tc>
        <w:tc>
          <w:tcPr>
            <w:tcW w:w="2456"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cs="宋体" w:hint="eastAsia"/>
                <w:sz w:val="28"/>
                <w:szCs w:val="28"/>
              </w:rPr>
              <w:t>吴小兰</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共有人</w:t>
            </w:r>
          </w:p>
        </w:tc>
        <w:tc>
          <w:tcPr>
            <w:tcW w:w="2491" w:type="dxa"/>
          </w:tcPr>
          <w:p w:rsidR="007C13F5" w:rsidRDefault="007C13F5">
            <w:pPr>
              <w:spacing w:beforeLines="50" w:line="440" w:lineRule="exact"/>
              <w:rPr>
                <w:rFonts w:ascii="仿宋_GB2312" w:eastAsia="仿宋_GB2312" w:hAnsi="宋体"/>
                <w:bCs/>
                <w:sz w:val="28"/>
                <w:szCs w:val="28"/>
              </w:rPr>
            </w:pPr>
          </w:p>
        </w:tc>
      </w:tr>
      <w:tr w:rsidR="007C13F5">
        <w:trPr>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建筑面积</w:t>
            </w:r>
          </w:p>
        </w:tc>
        <w:tc>
          <w:tcPr>
            <w:tcW w:w="2456"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bCs/>
                <w:sz w:val="28"/>
                <w:szCs w:val="28"/>
              </w:rPr>
              <w:t>44.58</w:t>
            </w:r>
            <w:r>
              <w:rPr>
                <w:rFonts w:ascii="宋体" w:hAnsi="宋体" w:cs="宋体" w:hint="eastAsia"/>
                <w:sz w:val="24"/>
              </w:rPr>
              <w:t>㎡</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cs="宋体" w:hint="eastAsia"/>
                <w:sz w:val="28"/>
                <w:szCs w:val="28"/>
              </w:rPr>
              <w:t>业务宗号</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cs="宋体"/>
                <w:sz w:val="28"/>
                <w:szCs w:val="28"/>
              </w:rPr>
              <w:t>SGC20100623002</w:t>
            </w: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房产证号</w:t>
            </w:r>
          </w:p>
        </w:tc>
        <w:tc>
          <w:tcPr>
            <w:tcW w:w="2456"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sz w:val="28"/>
                <w:szCs w:val="28"/>
              </w:rPr>
              <w:t>909500</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证书编号</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bCs/>
                <w:sz w:val="28"/>
                <w:szCs w:val="28"/>
              </w:rPr>
              <w:t>00094251</w:t>
            </w:r>
          </w:p>
        </w:tc>
      </w:tr>
      <w:tr w:rsidR="007C13F5">
        <w:trPr>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共有权证号</w:t>
            </w:r>
          </w:p>
        </w:tc>
        <w:tc>
          <w:tcPr>
            <w:tcW w:w="2456" w:type="dxa"/>
          </w:tcPr>
          <w:p w:rsidR="007C13F5" w:rsidRDefault="007C13F5">
            <w:pPr>
              <w:spacing w:beforeLines="50" w:line="440" w:lineRule="exact"/>
              <w:rPr>
                <w:rFonts w:ascii="仿宋_GB2312" w:eastAsia="仿宋_GB2312" w:hAnsi="宋体"/>
                <w:bCs/>
                <w:sz w:val="28"/>
                <w:szCs w:val="28"/>
              </w:rPr>
            </w:pP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有效性</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有效</w:t>
            </w: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限制情况</w:t>
            </w:r>
          </w:p>
        </w:tc>
        <w:tc>
          <w:tcPr>
            <w:tcW w:w="2456"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已限制</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产别</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私有</w:t>
            </w: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项目名称</w:t>
            </w:r>
          </w:p>
        </w:tc>
        <w:tc>
          <w:tcPr>
            <w:tcW w:w="2456"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无项目</w:t>
            </w:r>
          </w:p>
        </w:tc>
        <w:tc>
          <w:tcPr>
            <w:tcW w:w="198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幢号</w:t>
            </w:r>
          </w:p>
        </w:tc>
        <w:tc>
          <w:tcPr>
            <w:tcW w:w="2491" w:type="dxa"/>
          </w:tcPr>
          <w:p w:rsidR="007C13F5" w:rsidRDefault="007C13F5">
            <w:pPr>
              <w:spacing w:beforeLines="50" w:line="440" w:lineRule="exact"/>
              <w:rPr>
                <w:rFonts w:ascii="仿宋_GB2312" w:eastAsia="仿宋_GB2312" w:hAnsi="宋体"/>
                <w:sz w:val="28"/>
                <w:szCs w:val="28"/>
              </w:rPr>
            </w:pP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房号</w:t>
            </w:r>
          </w:p>
        </w:tc>
        <w:tc>
          <w:tcPr>
            <w:tcW w:w="2456"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81</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结构</w:t>
            </w:r>
          </w:p>
        </w:tc>
        <w:tc>
          <w:tcPr>
            <w:tcW w:w="2491" w:type="dxa"/>
          </w:tcPr>
          <w:p w:rsidR="007C13F5" w:rsidRDefault="007C13F5">
            <w:pPr>
              <w:spacing w:beforeLines="50" w:line="440" w:lineRule="exact"/>
              <w:rPr>
                <w:rFonts w:ascii="仿宋_GB2312" w:eastAsia="仿宋_GB2312" w:hAnsi="宋体"/>
                <w:b/>
                <w:bCs/>
                <w:sz w:val="28"/>
                <w:szCs w:val="28"/>
              </w:rPr>
            </w:pPr>
            <w:r>
              <w:rPr>
                <w:rFonts w:ascii="仿宋_GB2312" w:eastAsia="仿宋_GB2312" w:hAnsi="宋体" w:hint="eastAsia"/>
                <w:sz w:val="28"/>
                <w:szCs w:val="28"/>
              </w:rPr>
              <w:t>砖混结构</w:t>
            </w:r>
          </w:p>
        </w:tc>
      </w:tr>
      <w:tr w:rsidR="007C13F5">
        <w:trPr>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总层数</w:t>
            </w:r>
          </w:p>
        </w:tc>
        <w:tc>
          <w:tcPr>
            <w:tcW w:w="2456" w:type="dxa"/>
          </w:tcPr>
          <w:p w:rsidR="007C13F5" w:rsidRDefault="007C13F5">
            <w:pPr>
              <w:spacing w:beforeLines="50" w:line="440" w:lineRule="exact"/>
              <w:rPr>
                <w:rFonts w:ascii="仿宋_GB2312" w:eastAsia="仿宋_GB2312" w:hAnsi="宋体"/>
                <w:b/>
                <w:bCs/>
                <w:sz w:val="28"/>
                <w:szCs w:val="28"/>
              </w:rPr>
            </w:pPr>
            <w:r>
              <w:rPr>
                <w:rFonts w:ascii="仿宋_GB2312" w:eastAsia="仿宋_GB2312" w:hAnsi="宋体"/>
                <w:sz w:val="28"/>
                <w:szCs w:val="28"/>
              </w:rPr>
              <w:t>2</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所在层</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sz w:val="28"/>
                <w:szCs w:val="28"/>
              </w:rPr>
              <w:t>1-2</w:t>
            </w:r>
          </w:p>
        </w:tc>
      </w:tr>
      <w:tr w:rsidR="007C13F5">
        <w:trPr>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设计用途</w:t>
            </w:r>
          </w:p>
        </w:tc>
        <w:tc>
          <w:tcPr>
            <w:tcW w:w="2456" w:type="dxa"/>
          </w:tcPr>
          <w:p w:rsidR="007C13F5" w:rsidRDefault="007C13F5">
            <w:pPr>
              <w:spacing w:beforeLines="50" w:line="440" w:lineRule="exact"/>
              <w:rPr>
                <w:rFonts w:ascii="仿宋_GB2312" w:eastAsia="仿宋_GB2312" w:hAnsi="宋体"/>
                <w:b/>
                <w:bCs/>
                <w:sz w:val="28"/>
                <w:szCs w:val="28"/>
              </w:rPr>
            </w:pPr>
            <w:r>
              <w:rPr>
                <w:rFonts w:ascii="仿宋_GB2312" w:eastAsia="仿宋_GB2312" w:hAnsi="宋体" w:hint="eastAsia"/>
                <w:sz w:val="28"/>
                <w:szCs w:val="28"/>
              </w:rPr>
              <w:t>住宅</w:t>
            </w:r>
          </w:p>
        </w:tc>
        <w:tc>
          <w:tcPr>
            <w:tcW w:w="198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建筑面积</w:t>
            </w:r>
          </w:p>
        </w:tc>
        <w:tc>
          <w:tcPr>
            <w:tcW w:w="2491"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bCs/>
                <w:sz w:val="28"/>
                <w:szCs w:val="28"/>
              </w:rPr>
              <w:t>44.58</w:t>
            </w:r>
            <w:r>
              <w:rPr>
                <w:rFonts w:ascii="仿宋_GB2312" w:eastAsia="仿宋_GB2312" w:hAnsi="宋体" w:hint="eastAsia"/>
                <w:bCs/>
                <w:sz w:val="28"/>
                <w:szCs w:val="28"/>
              </w:rPr>
              <w:t>平方米</w:t>
            </w: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限制类型</w:t>
            </w:r>
          </w:p>
        </w:tc>
        <w:tc>
          <w:tcPr>
            <w:tcW w:w="2456"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执法查封</w:t>
            </w:r>
          </w:p>
        </w:tc>
        <w:tc>
          <w:tcPr>
            <w:tcW w:w="198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限制业务宗号</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bCs/>
                <w:sz w:val="28"/>
                <w:szCs w:val="28"/>
              </w:rPr>
              <w:t>CGC20190925017</w:t>
            </w: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限制部门</w:t>
            </w:r>
          </w:p>
        </w:tc>
        <w:tc>
          <w:tcPr>
            <w:tcW w:w="2456" w:type="dxa"/>
          </w:tcPr>
          <w:p w:rsidR="007C13F5" w:rsidRDefault="007C13F5">
            <w:pPr>
              <w:spacing w:beforeLines="50" w:line="440" w:lineRule="exact"/>
              <w:rPr>
                <w:rFonts w:ascii="仿宋_GB2312" w:eastAsia="仿宋_GB2312" w:hAnsi="宋体"/>
                <w:sz w:val="28"/>
                <w:szCs w:val="28"/>
              </w:rPr>
            </w:pPr>
          </w:p>
        </w:tc>
        <w:tc>
          <w:tcPr>
            <w:tcW w:w="198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限制时间</w:t>
            </w:r>
          </w:p>
        </w:tc>
        <w:tc>
          <w:tcPr>
            <w:tcW w:w="2491"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2019-09-25</w:t>
            </w:r>
          </w:p>
        </w:tc>
      </w:tr>
    </w:tbl>
    <w:p w:rsidR="007C13F5" w:rsidRDefault="007C13F5" w:rsidP="007C13F5">
      <w:pPr>
        <w:spacing w:beforeLines="50"/>
        <w:ind w:firstLineChars="200" w:firstLine="31680"/>
        <w:rPr>
          <w:rFonts w:ascii="仿宋_GB2312" w:eastAsia="仿宋_GB2312" w:hAnsi="宋体"/>
          <w:bCs/>
          <w:sz w:val="28"/>
          <w:szCs w:val="28"/>
        </w:rPr>
      </w:pPr>
    </w:p>
    <w:p w:rsidR="007C13F5" w:rsidRDefault="007C13F5">
      <w:pPr>
        <w:spacing w:beforeLines="50"/>
        <w:ind w:firstLineChars="200" w:firstLine="31680"/>
        <w:rPr>
          <w:rFonts w:ascii="仿宋_GB2312" w:eastAsia="仿宋_GB2312" w:hAnsi="宋体"/>
          <w:b/>
          <w:bCs/>
          <w:sz w:val="28"/>
          <w:szCs w:val="28"/>
        </w:rPr>
      </w:pPr>
      <w:r>
        <w:rPr>
          <w:rFonts w:ascii="仿宋_GB2312" w:eastAsia="仿宋_GB2312" w:hAnsi="宋体" w:hint="eastAsia"/>
          <w:b/>
          <w:bCs/>
          <w:sz w:val="28"/>
          <w:szCs w:val="28"/>
        </w:rPr>
        <w:t>（</w:t>
      </w:r>
      <w:r>
        <w:rPr>
          <w:rFonts w:ascii="仿宋_GB2312" w:eastAsia="仿宋_GB2312" w:hAnsi="宋体"/>
          <w:b/>
          <w:bCs/>
          <w:sz w:val="28"/>
          <w:szCs w:val="28"/>
        </w:rPr>
        <w:t>2</w:t>
      </w:r>
      <w:r>
        <w:rPr>
          <w:rFonts w:ascii="仿宋_GB2312" w:eastAsia="仿宋_GB2312" w:hAnsi="宋体" w:hint="eastAsia"/>
          <w:b/>
          <w:bCs/>
          <w:sz w:val="28"/>
          <w:szCs w:val="28"/>
        </w:rPr>
        <w:t>）土地使用权权利状况</w:t>
      </w:r>
    </w:p>
    <w:p w:rsidR="007C13F5" w:rsidRDefault="007C13F5">
      <w:pPr>
        <w:spacing w:beforeLines="50"/>
        <w:ind w:firstLineChars="200" w:firstLine="31680"/>
        <w:rPr>
          <w:rFonts w:ascii="仿宋_GB2312" w:eastAsia="仿宋_GB2312" w:hAnsi="宋体"/>
          <w:bCs/>
          <w:sz w:val="28"/>
          <w:szCs w:val="28"/>
        </w:rPr>
      </w:pPr>
      <w:r>
        <w:rPr>
          <w:rFonts w:ascii="仿宋_GB2312" w:eastAsia="仿宋_GB2312" w:hAnsi="宋体" w:hint="eastAsia"/>
          <w:bCs/>
          <w:sz w:val="28"/>
          <w:szCs w:val="28"/>
        </w:rPr>
        <w:t>依据《土地登记卡》，登记内容要件如下：</w:t>
      </w:r>
    </w:p>
    <w:p w:rsidR="007C13F5" w:rsidRDefault="007C13F5">
      <w:pPr>
        <w:spacing w:beforeLines="50"/>
        <w:ind w:right="1120"/>
        <w:rPr>
          <w:rFonts w:ascii="仿宋_GB2312" w:eastAsia="仿宋_GB2312" w:hAnsi="宋体"/>
          <w:bCs/>
          <w:sz w:val="28"/>
          <w:szCs w:val="28"/>
        </w:rPr>
      </w:pPr>
      <w:r>
        <w:rPr>
          <w:rFonts w:ascii="仿宋_GB2312" w:eastAsia="仿宋_GB2312" w:hAnsi="宋体" w:hint="eastAsia"/>
          <w:bCs/>
          <w:sz w:val="28"/>
          <w:szCs w:val="28"/>
        </w:rPr>
        <w:t>大国用（</w:t>
      </w:r>
      <w:r>
        <w:rPr>
          <w:rFonts w:ascii="仿宋_GB2312" w:eastAsia="仿宋_GB2312" w:hAnsi="宋体"/>
          <w:bCs/>
          <w:sz w:val="28"/>
          <w:szCs w:val="28"/>
        </w:rPr>
        <w:t>2010</w:t>
      </w:r>
      <w:r>
        <w:rPr>
          <w:rFonts w:ascii="仿宋_GB2312" w:eastAsia="仿宋_GB2312" w:hAnsi="宋体" w:hint="eastAsia"/>
          <w:bCs/>
          <w:sz w:val="28"/>
          <w:szCs w:val="28"/>
        </w:rPr>
        <w:t>）字第</w:t>
      </w:r>
      <w:r>
        <w:rPr>
          <w:rFonts w:ascii="仿宋_GB2312" w:eastAsia="仿宋_GB2312" w:hAnsi="宋体"/>
          <w:bCs/>
          <w:sz w:val="28"/>
          <w:szCs w:val="28"/>
        </w:rPr>
        <w:t>06838</w:t>
      </w:r>
      <w:r>
        <w:rPr>
          <w:rFonts w:ascii="仿宋_GB2312" w:eastAsia="仿宋_GB2312" w:hAnsi="宋体" w:hint="eastAsia"/>
          <w:bCs/>
          <w:sz w:val="28"/>
          <w:szCs w:val="28"/>
        </w:rPr>
        <w:t>号</w:t>
      </w:r>
      <w:r>
        <w:rPr>
          <w:rFonts w:ascii="仿宋_GB2312" w:eastAsia="仿宋_GB2312" w:hAnsi="宋体"/>
          <w:bCs/>
          <w:sz w:val="28"/>
          <w:szCs w:val="28"/>
        </w:rPr>
        <w:t xml:space="preserve">                          NO</w:t>
      </w:r>
      <w:r>
        <w:rPr>
          <w:rFonts w:ascii="仿宋_GB2312" w:eastAsia="仿宋_GB2312" w:hAnsi="宋体" w:hint="eastAsia"/>
          <w:bCs/>
          <w:sz w:val="28"/>
          <w:szCs w:val="28"/>
        </w:rPr>
        <w:t>：</w:t>
      </w:r>
      <w:r>
        <w:rPr>
          <w:rFonts w:ascii="仿宋_GB2312" w:eastAsia="仿宋_GB2312" w:hAnsi="宋体"/>
          <w:bCs/>
          <w:sz w:val="28"/>
          <w:szCs w:val="28"/>
        </w:rPr>
        <w:t>015981</w:t>
      </w:r>
    </w:p>
    <w:tbl>
      <w:tblPr>
        <w:tblW w:w="0" w:type="auto"/>
        <w:jc w:val="center"/>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1968"/>
        <w:gridCol w:w="2410"/>
        <w:gridCol w:w="1417"/>
        <w:gridCol w:w="992"/>
        <w:gridCol w:w="1418"/>
        <w:gridCol w:w="1077"/>
      </w:tblGrid>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地号</w:t>
            </w:r>
          </w:p>
        </w:tc>
        <w:tc>
          <w:tcPr>
            <w:tcW w:w="3827"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532901101-11-01-542</w:t>
            </w:r>
          </w:p>
        </w:tc>
        <w:tc>
          <w:tcPr>
            <w:tcW w:w="992"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图号</w:t>
            </w:r>
          </w:p>
        </w:tc>
        <w:tc>
          <w:tcPr>
            <w:tcW w:w="2495"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38.00-17.75</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土地登记面积</w:t>
            </w:r>
          </w:p>
        </w:tc>
        <w:tc>
          <w:tcPr>
            <w:tcW w:w="241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33.94</w:t>
            </w:r>
          </w:p>
        </w:tc>
        <w:tc>
          <w:tcPr>
            <w:tcW w:w="1417"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独用面积</w:t>
            </w:r>
          </w:p>
        </w:tc>
        <w:tc>
          <w:tcPr>
            <w:tcW w:w="992" w:type="dxa"/>
          </w:tcPr>
          <w:p w:rsidR="007C13F5" w:rsidRDefault="007C13F5">
            <w:pPr>
              <w:spacing w:beforeLines="50" w:line="440" w:lineRule="exact"/>
              <w:rPr>
                <w:rFonts w:ascii="仿宋_GB2312" w:eastAsia="仿宋_GB2312" w:hAnsi="宋体"/>
                <w:sz w:val="28"/>
                <w:szCs w:val="28"/>
              </w:rPr>
            </w:pPr>
          </w:p>
        </w:tc>
        <w:tc>
          <w:tcPr>
            <w:tcW w:w="141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分摊面积</w:t>
            </w:r>
          </w:p>
        </w:tc>
        <w:tc>
          <w:tcPr>
            <w:tcW w:w="1077" w:type="dxa"/>
          </w:tcPr>
          <w:p w:rsidR="007C13F5" w:rsidRDefault="007C13F5">
            <w:pPr>
              <w:spacing w:beforeLines="50" w:line="440" w:lineRule="exact"/>
              <w:rPr>
                <w:rFonts w:ascii="仿宋_GB2312" w:eastAsia="仿宋_GB2312" w:hAnsi="宋体"/>
                <w:sz w:val="28"/>
                <w:szCs w:val="28"/>
              </w:rPr>
            </w:pP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单位性质</w:t>
            </w:r>
          </w:p>
        </w:tc>
        <w:tc>
          <w:tcPr>
            <w:tcW w:w="241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个人</w:t>
            </w: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用途</w:t>
            </w:r>
          </w:p>
        </w:tc>
        <w:tc>
          <w:tcPr>
            <w:tcW w:w="2495"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城镇单一住宅用地</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坐落</w:t>
            </w: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大理市下关镇七里桥感通小镇</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权属性质</w:t>
            </w:r>
          </w:p>
        </w:tc>
        <w:tc>
          <w:tcPr>
            <w:tcW w:w="241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国有土地使用权</w:t>
            </w: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权利人</w:t>
            </w:r>
          </w:p>
        </w:tc>
        <w:tc>
          <w:tcPr>
            <w:tcW w:w="2495"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吴小兰</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通讯地址</w:t>
            </w: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大理市下关镇七里桥感通小镇</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使用权类型</w:t>
            </w:r>
          </w:p>
        </w:tc>
        <w:tc>
          <w:tcPr>
            <w:tcW w:w="2410" w:type="dxa"/>
          </w:tcPr>
          <w:p w:rsidR="007C13F5" w:rsidRDefault="007C13F5">
            <w:pPr>
              <w:spacing w:beforeLines="50" w:line="440" w:lineRule="exact"/>
            </w:pPr>
            <w:r>
              <w:rPr>
                <w:rFonts w:ascii="仿宋_GB2312" w:eastAsia="仿宋_GB2312" w:hAnsi="宋体" w:hint="eastAsia"/>
                <w:sz w:val="28"/>
                <w:szCs w:val="28"/>
              </w:rPr>
              <w:t>出让</w:t>
            </w: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终止日期</w:t>
            </w:r>
          </w:p>
        </w:tc>
        <w:tc>
          <w:tcPr>
            <w:tcW w:w="2495" w:type="dxa"/>
            <w:gridSpan w:val="2"/>
          </w:tcPr>
          <w:p w:rsidR="007C13F5" w:rsidRDefault="007C13F5">
            <w:pPr>
              <w:spacing w:beforeLines="50" w:line="440" w:lineRule="exact"/>
            </w:pPr>
            <w:r>
              <w:rPr>
                <w:rFonts w:ascii="仿宋_GB2312" w:eastAsia="仿宋_GB2312" w:hAnsi="宋体"/>
                <w:sz w:val="28"/>
                <w:szCs w:val="28"/>
              </w:rPr>
              <w:t>2070-12-16</w:t>
            </w:r>
          </w:p>
        </w:tc>
      </w:tr>
      <w:tr w:rsidR="007C13F5">
        <w:trPr>
          <w:trHeight w:val="574"/>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土地证书编号</w:t>
            </w:r>
          </w:p>
        </w:tc>
        <w:tc>
          <w:tcPr>
            <w:tcW w:w="241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017748038</w:t>
            </w: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调查表号</w:t>
            </w:r>
          </w:p>
        </w:tc>
        <w:tc>
          <w:tcPr>
            <w:tcW w:w="2495"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015981</w:t>
            </w:r>
          </w:p>
        </w:tc>
      </w:tr>
      <w:tr w:rsidR="007C13F5">
        <w:trPr>
          <w:trHeight w:val="512"/>
          <w:jc w:val="center"/>
        </w:trPr>
        <w:tc>
          <w:tcPr>
            <w:tcW w:w="1968" w:type="dxa"/>
            <w:vAlign w:val="center"/>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审批表号</w:t>
            </w:r>
          </w:p>
        </w:tc>
        <w:tc>
          <w:tcPr>
            <w:tcW w:w="2410" w:type="dxa"/>
            <w:vAlign w:val="center"/>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015981</w:t>
            </w:r>
          </w:p>
        </w:tc>
        <w:tc>
          <w:tcPr>
            <w:tcW w:w="2409" w:type="dxa"/>
            <w:gridSpan w:val="2"/>
            <w:vAlign w:val="center"/>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归户卡号</w:t>
            </w:r>
          </w:p>
        </w:tc>
        <w:tc>
          <w:tcPr>
            <w:tcW w:w="2495" w:type="dxa"/>
            <w:gridSpan w:val="2"/>
            <w:vAlign w:val="center"/>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015981</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土地等级</w:t>
            </w:r>
          </w:p>
        </w:tc>
        <w:tc>
          <w:tcPr>
            <w:tcW w:w="2410" w:type="dxa"/>
          </w:tcPr>
          <w:p w:rsidR="007C13F5" w:rsidRDefault="007C13F5">
            <w:pPr>
              <w:spacing w:beforeLines="50" w:line="440" w:lineRule="exact"/>
              <w:rPr>
                <w:rFonts w:ascii="仿宋_GB2312" w:eastAsia="仿宋_GB2312" w:hAnsi="宋体"/>
                <w:sz w:val="28"/>
                <w:szCs w:val="28"/>
              </w:rPr>
            </w:pP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标定地价</w:t>
            </w:r>
          </w:p>
        </w:tc>
        <w:tc>
          <w:tcPr>
            <w:tcW w:w="2495" w:type="dxa"/>
            <w:gridSpan w:val="2"/>
          </w:tcPr>
          <w:p w:rsidR="007C13F5" w:rsidRDefault="007C13F5">
            <w:pPr>
              <w:spacing w:beforeLines="50" w:line="440" w:lineRule="exact"/>
              <w:rPr>
                <w:rFonts w:ascii="仿宋_GB2312" w:eastAsia="仿宋_GB2312" w:hAnsi="宋体"/>
                <w:sz w:val="28"/>
                <w:szCs w:val="28"/>
              </w:rPr>
            </w:pP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申报地价</w:t>
            </w:r>
          </w:p>
        </w:tc>
        <w:tc>
          <w:tcPr>
            <w:tcW w:w="2410" w:type="dxa"/>
          </w:tcPr>
          <w:p w:rsidR="007C13F5" w:rsidRDefault="007C13F5">
            <w:pPr>
              <w:spacing w:beforeLines="50" w:line="440" w:lineRule="exact"/>
              <w:rPr>
                <w:rFonts w:ascii="仿宋_GB2312" w:eastAsia="仿宋_GB2312" w:hAnsi="宋体"/>
                <w:sz w:val="28"/>
                <w:szCs w:val="28"/>
              </w:rPr>
            </w:pP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建筑容积率</w:t>
            </w:r>
          </w:p>
        </w:tc>
        <w:tc>
          <w:tcPr>
            <w:tcW w:w="2495" w:type="dxa"/>
            <w:gridSpan w:val="2"/>
          </w:tcPr>
          <w:p w:rsidR="007C13F5" w:rsidRDefault="007C13F5">
            <w:pPr>
              <w:spacing w:beforeLines="50" w:line="440" w:lineRule="exact"/>
              <w:rPr>
                <w:rFonts w:ascii="仿宋_GB2312" w:eastAsia="仿宋_GB2312" w:hAnsi="宋体"/>
                <w:sz w:val="28"/>
                <w:szCs w:val="28"/>
              </w:rPr>
            </w:pP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建筑密度</w:t>
            </w:r>
          </w:p>
        </w:tc>
        <w:tc>
          <w:tcPr>
            <w:tcW w:w="2410" w:type="dxa"/>
          </w:tcPr>
          <w:p w:rsidR="007C13F5" w:rsidRDefault="007C13F5">
            <w:pPr>
              <w:spacing w:beforeLines="50" w:line="440" w:lineRule="exact"/>
              <w:rPr>
                <w:rFonts w:ascii="仿宋_GB2312" w:eastAsia="仿宋_GB2312" w:hAnsi="宋体"/>
                <w:sz w:val="28"/>
                <w:szCs w:val="28"/>
              </w:rPr>
            </w:pP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建筑限高</w:t>
            </w:r>
          </w:p>
        </w:tc>
        <w:tc>
          <w:tcPr>
            <w:tcW w:w="2495" w:type="dxa"/>
            <w:gridSpan w:val="2"/>
          </w:tcPr>
          <w:p w:rsidR="007C13F5" w:rsidRDefault="007C13F5">
            <w:pPr>
              <w:spacing w:beforeLines="50" w:line="440" w:lineRule="exact"/>
              <w:rPr>
                <w:rFonts w:ascii="仿宋_GB2312" w:eastAsia="仿宋_GB2312" w:hAnsi="宋体"/>
                <w:sz w:val="28"/>
                <w:szCs w:val="28"/>
              </w:rPr>
            </w:pP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建筑物类型</w:t>
            </w:r>
          </w:p>
        </w:tc>
        <w:tc>
          <w:tcPr>
            <w:tcW w:w="2410" w:type="dxa"/>
          </w:tcPr>
          <w:p w:rsidR="007C13F5" w:rsidRDefault="007C13F5">
            <w:pPr>
              <w:spacing w:beforeLines="50" w:line="440" w:lineRule="exact"/>
              <w:rPr>
                <w:rFonts w:ascii="仿宋_GB2312" w:eastAsia="仿宋_GB2312" w:hAnsi="宋体"/>
                <w:sz w:val="28"/>
                <w:szCs w:val="28"/>
              </w:rPr>
            </w:pP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建筑物占地面积</w:t>
            </w:r>
          </w:p>
        </w:tc>
        <w:tc>
          <w:tcPr>
            <w:tcW w:w="2495" w:type="dxa"/>
            <w:gridSpan w:val="2"/>
          </w:tcPr>
          <w:p w:rsidR="007C13F5" w:rsidRDefault="007C13F5">
            <w:pPr>
              <w:spacing w:beforeLines="50" w:line="440" w:lineRule="exact"/>
              <w:rPr>
                <w:rFonts w:ascii="仿宋_GB2312" w:eastAsia="仿宋_GB2312" w:hAnsi="宋体"/>
                <w:sz w:val="28"/>
                <w:szCs w:val="28"/>
              </w:rPr>
            </w:pPr>
          </w:p>
        </w:tc>
      </w:tr>
      <w:tr w:rsidR="007C13F5">
        <w:trPr>
          <w:jc w:val="center"/>
        </w:trPr>
        <w:tc>
          <w:tcPr>
            <w:tcW w:w="4378"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申报建筑物权属</w:t>
            </w:r>
          </w:p>
        </w:tc>
        <w:tc>
          <w:tcPr>
            <w:tcW w:w="4904" w:type="dxa"/>
            <w:gridSpan w:val="4"/>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本宗地使用者</w:t>
            </w:r>
          </w:p>
        </w:tc>
      </w:tr>
      <w:tr w:rsidR="007C13F5">
        <w:trPr>
          <w:jc w:val="center"/>
        </w:trPr>
        <w:tc>
          <w:tcPr>
            <w:tcW w:w="1968" w:type="dxa"/>
            <w:vMerge w:val="restart"/>
            <w:vAlign w:val="center"/>
          </w:tcPr>
          <w:p w:rsidR="007C13F5" w:rsidRDefault="007C13F5">
            <w:pPr>
              <w:spacing w:beforeLines="50" w:line="440" w:lineRule="exact"/>
              <w:jc w:val="center"/>
              <w:rPr>
                <w:rFonts w:ascii="仿宋_GB2312" w:eastAsia="仿宋_GB2312" w:hAnsi="宋体"/>
                <w:sz w:val="28"/>
                <w:szCs w:val="28"/>
              </w:rPr>
            </w:pPr>
            <w:r>
              <w:rPr>
                <w:rFonts w:ascii="仿宋_GB2312" w:eastAsia="仿宋_GB2312" w:hAnsi="宋体" w:hint="eastAsia"/>
                <w:sz w:val="28"/>
                <w:szCs w:val="28"/>
              </w:rPr>
              <w:t>土地权属来源证明文件类型编号、日期</w:t>
            </w: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国有土地使用权证</w:t>
            </w:r>
            <w:r>
              <w:rPr>
                <w:rFonts w:ascii="仿宋_GB2312" w:eastAsia="仿宋_GB2312" w:hAnsi="宋体"/>
                <w:sz w:val="28"/>
                <w:szCs w:val="28"/>
              </w:rPr>
              <w:t xml:space="preserve"> </w:t>
            </w:r>
            <w:r>
              <w:rPr>
                <w:rFonts w:ascii="仿宋_GB2312" w:eastAsia="仿宋_GB2312" w:hAnsi="宋体" w:hint="eastAsia"/>
                <w:sz w:val="28"/>
                <w:szCs w:val="28"/>
              </w:rPr>
              <w:t>大国用（</w:t>
            </w:r>
            <w:r>
              <w:rPr>
                <w:rFonts w:ascii="仿宋_GB2312" w:eastAsia="仿宋_GB2312" w:hAnsi="宋体"/>
                <w:sz w:val="28"/>
                <w:szCs w:val="28"/>
              </w:rPr>
              <w:t>2008</w:t>
            </w:r>
            <w:r>
              <w:rPr>
                <w:rFonts w:ascii="仿宋_GB2312" w:eastAsia="仿宋_GB2312" w:hAnsi="宋体" w:hint="eastAsia"/>
                <w:sz w:val="28"/>
                <w:szCs w:val="28"/>
              </w:rPr>
              <w:t>）第</w:t>
            </w:r>
            <w:r>
              <w:rPr>
                <w:rFonts w:ascii="仿宋_GB2312" w:eastAsia="仿宋_GB2312" w:hAnsi="宋体"/>
                <w:sz w:val="28"/>
                <w:szCs w:val="28"/>
              </w:rPr>
              <w:t>01938</w:t>
            </w:r>
            <w:r>
              <w:rPr>
                <w:rFonts w:ascii="仿宋_GB2312" w:eastAsia="仿宋_GB2312" w:hAnsi="宋体" w:hint="eastAsia"/>
                <w:sz w:val="28"/>
                <w:szCs w:val="28"/>
              </w:rPr>
              <w:t>号</w:t>
            </w:r>
            <w:r>
              <w:rPr>
                <w:rFonts w:ascii="仿宋_GB2312" w:eastAsia="仿宋_GB2312" w:hAnsi="宋体"/>
                <w:sz w:val="28"/>
                <w:szCs w:val="28"/>
              </w:rPr>
              <w:t xml:space="preserve"> 2008-07-23</w:t>
            </w:r>
          </w:p>
        </w:tc>
      </w:tr>
      <w:tr w:rsidR="007C13F5">
        <w:trPr>
          <w:jc w:val="center"/>
        </w:trPr>
        <w:tc>
          <w:tcPr>
            <w:tcW w:w="1968" w:type="dxa"/>
            <w:vMerge/>
          </w:tcPr>
          <w:p w:rsidR="007C13F5" w:rsidRDefault="007C13F5">
            <w:pPr>
              <w:spacing w:beforeLines="50" w:line="440" w:lineRule="exact"/>
              <w:rPr>
                <w:rFonts w:ascii="仿宋_GB2312" w:eastAsia="仿宋_GB2312" w:hAnsi="宋体"/>
                <w:sz w:val="28"/>
                <w:szCs w:val="28"/>
              </w:rPr>
            </w:pP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出让土地使用权转让手续审批表</w:t>
            </w:r>
            <w:r>
              <w:rPr>
                <w:rFonts w:ascii="仿宋_GB2312" w:eastAsia="仿宋_GB2312" w:hAnsi="宋体"/>
                <w:sz w:val="28"/>
                <w:szCs w:val="28"/>
              </w:rPr>
              <w:t xml:space="preserve">  </w:t>
            </w:r>
            <w:r>
              <w:rPr>
                <w:rFonts w:ascii="仿宋_GB2312" w:eastAsia="仿宋_GB2312" w:hAnsi="宋体" w:hint="eastAsia"/>
                <w:sz w:val="28"/>
                <w:szCs w:val="28"/>
              </w:rPr>
              <w:t>大市土转（</w:t>
            </w:r>
            <w:r>
              <w:rPr>
                <w:rFonts w:ascii="仿宋_GB2312" w:eastAsia="仿宋_GB2312" w:hAnsi="宋体"/>
                <w:sz w:val="28"/>
                <w:szCs w:val="28"/>
              </w:rPr>
              <w:t>2010</w:t>
            </w:r>
            <w:r>
              <w:rPr>
                <w:rFonts w:ascii="仿宋_GB2312" w:eastAsia="仿宋_GB2312" w:hAnsi="宋体" w:hint="eastAsia"/>
                <w:sz w:val="28"/>
                <w:szCs w:val="28"/>
              </w:rPr>
              <w:t>）第</w:t>
            </w:r>
            <w:r>
              <w:rPr>
                <w:rFonts w:ascii="仿宋_GB2312" w:eastAsia="仿宋_GB2312" w:hAnsi="宋体"/>
                <w:sz w:val="28"/>
                <w:szCs w:val="28"/>
              </w:rPr>
              <w:t>280</w:t>
            </w:r>
            <w:r>
              <w:rPr>
                <w:rFonts w:ascii="仿宋_GB2312" w:eastAsia="仿宋_GB2312" w:hAnsi="宋体" w:hint="eastAsia"/>
                <w:sz w:val="28"/>
                <w:szCs w:val="28"/>
              </w:rPr>
              <w:t>号</w:t>
            </w:r>
            <w:r>
              <w:rPr>
                <w:rFonts w:ascii="仿宋_GB2312" w:eastAsia="仿宋_GB2312" w:hAnsi="宋体"/>
                <w:sz w:val="28"/>
                <w:szCs w:val="28"/>
              </w:rPr>
              <w:t xml:space="preserve"> 2010-12-15</w:t>
            </w:r>
          </w:p>
        </w:tc>
      </w:tr>
      <w:tr w:rsidR="007C13F5">
        <w:trPr>
          <w:jc w:val="center"/>
        </w:trPr>
        <w:tc>
          <w:tcPr>
            <w:tcW w:w="1968" w:type="dxa"/>
            <w:vMerge/>
          </w:tcPr>
          <w:p w:rsidR="007C13F5" w:rsidRDefault="007C13F5">
            <w:pPr>
              <w:spacing w:beforeLines="50" w:line="440" w:lineRule="exact"/>
              <w:rPr>
                <w:rFonts w:ascii="仿宋_GB2312" w:eastAsia="仿宋_GB2312" w:hAnsi="宋体"/>
                <w:sz w:val="28"/>
                <w:szCs w:val="28"/>
              </w:rPr>
            </w:pP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中华人民共和国契税完税证</w:t>
            </w:r>
            <w:r>
              <w:rPr>
                <w:rFonts w:ascii="仿宋_GB2312" w:eastAsia="仿宋_GB2312" w:hAnsi="宋体"/>
                <w:sz w:val="28"/>
                <w:szCs w:val="28"/>
              </w:rPr>
              <w:t xml:space="preserve"> NO.00040245</w:t>
            </w:r>
            <w:r>
              <w:rPr>
                <w:rFonts w:ascii="仿宋_GB2312" w:eastAsia="仿宋_GB2312" w:hAnsi="宋体" w:hint="eastAsia"/>
                <w:sz w:val="28"/>
                <w:szCs w:val="28"/>
              </w:rPr>
              <w:t>、</w:t>
            </w:r>
            <w:r>
              <w:rPr>
                <w:rFonts w:ascii="仿宋_GB2312" w:eastAsia="仿宋_GB2312" w:hAnsi="宋体"/>
                <w:sz w:val="28"/>
                <w:szCs w:val="28"/>
              </w:rPr>
              <w:t>00040875 2010-11-10</w:t>
            </w:r>
          </w:p>
        </w:tc>
      </w:tr>
      <w:tr w:rsidR="007C13F5">
        <w:trPr>
          <w:jc w:val="center"/>
        </w:trPr>
        <w:tc>
          <w:tcPr>
            <w:tcW w:w="1968" w:type="dxa"/>
            <w:vMerge/>
          </w:tcPr>
          <w:p w:rsidR="007C13F5" w:rsidRDefault="007C13F5">
            <w:pPr>
              <w:spacing w:beforeLines="50" w:line="440" w:lineRule="exact"/>
              <w:rPr>
                <w:rFonts w:ascii="仿宋_GB2312" w:eastAsia="仿宋_GB2312" w:hAnsi="宋体"/>
                <w:sz w:val="28"/>
                <w:szCs w:val="28"/>
              </w:rPr>
            </w:pP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房屋所有权证</w:t>
            </w:r>
            <w:r>
              <w:rPr>
                <w:rFonts w:ascii="仿宋_GB2312" w:eastAsia="仿宋_GB2312" w:hAnsi="宋体"/>
                <w:sz w:val="28"/>
                <w:szCs w:val="28"/>
              </w:rPr>
              <w:t xml:space="preserve"> </w:t>
            </w:r>
            <w:r>
              <w:rPr>
                <w:rFonts w:ascii="仿宋_GB2312" w:eastAsia="仿宋_GB2312" w:hAnsi="宋体" w:hint="eastAsia"/>
                <w:sz w:val="28"/>
                <w:szCs w:val="28"/>
              </w:rPr>
              <w:t>大字第</w:t>
            </w:r>
            <w:r>
              <w:rPr>
                <w:rFonts w:ascii="仿宋_GB2312" w:eastAsia="仿宋_GB2312" w:hAnsi="宋体"/>
                <w:sz w:val="28"/>
                <w:szCs w:val="28"/>
              </w:rPr>
              <w:t>909500</w:t>
            </w:r>
            <w:r>
              <w:rPr>
                <w:rFonts w:ascii="仿宋_GB2312" w:eastAsia="仿宋_GB2312" w:hAnsi="宋体" w:hint="eastAsia"/>
                <w:sz w:val="28"/>
                <w:szCs w:val="28"/>
              </w:rPr>
              <w:t>号</w:t>
            </w:r>
            <w:r>
              <w:rPr>
                <w:rFonts w:ascii="仿宋_GB2312" w:eastAsia="仿宋_GB2312" w:hAnsi="宋体"/>
                <w:sz w:val="28"/>
                <w:szCs w:val="28"/>
              </w:rPr>
              <w:t xml:space="preserve"> 2010-06-23</w:t>
            </w:r>
          </w:p>
        </w:tc>
      </w:tr>
    </w:tbl>
    <w:p w:rsidR="007C13F5" w:rsidRDefault="007C13F5">
      <w:pPr>
        <w:spacing w:beforeLines="50"/>
        <w:ind w:right="544"/>
        <w:rPr>
          <w:rFonts w:ascii="仿宋_GB2312" w:eastAsia="仿宋_GB2312" w:hAnsi="宋体"/>
          <w:spacing w:val="-4"/>
          <w:sz w:val="28"/>
        </w:rPr>
      </w:pPr>
    </w:p>
    <w:p w:rsidR="007C13F5" w:rsidRDefault="007C13F5">
      <w:pPr>
        <w:spacing w:beforeLines="50" w:line="480" w:lineRule="auto"/>
        <w:ind w:firstLineChars="200" w:firstLine="31680"/>
        <w:rPr>
          <w:rFonts w:ascii="仿宋_GB2312" w:eastAsia="仿宋_GB2312" w:hAnsi="宋体"/>
          <w:bCs/>
          <w:sz w:val="28"/>
          <w:szCs w:val="28"/>
        </w:rPr>
      </w:pPr>
      <w:r>
        <w:rPr>
          <w:rFonts w:ascii="仿宋_GB2312" w:eastAsia="仿宋_GB2312" w:hAnsi="宋体"/>
          <w:bCs/>
          <w:sz w:val="28"/>
          <w:szCs w:val="28"/>
        </w:rPr>
        <w:t xml:space="preserve">3. </w:t>
      </w:r>
      <w:r>
        <w:rPr>
          <w:rFonts w:ascii="仿宋_GB2312" w:eastAsia="仿宋_GB2312" w:hAnsi="宋体" w:hint="eastAsia"/>
          <w:bCs/>
          <w:sz w:val="28"/>
          <w:szCs w:val="28"/>
        </w:rPr>
        <w:t>估价对象实物状况</w:t>
      </w:r>
    </w:p>
    <w:tbl>
      <w:tblPr>
        <w:tblW w:w="0" w:type="auto"/>
        <w:jc w:val="center"/>
        <w:tblInd w:w="-1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1503"/>
        <w:gridCol w:w="3174"/>
        <w:gridCol w:w="1560"/>
        <w:gridCol w:w="2965"/>
      </w:tblGrid>
      <w:tr w:rsidR="007C13F5">
        <w:trPr>
          <w:trHeight w:val="610"/>
          <w:jc w:val="center"/>
        </w:trPr>
        <w:tc>
          <w:tcPr>
            <w:tcW w:w="1503" w:type="dxa"/>
          </w:tcPr>
          <w:p w:rsidR="007C13F5" w:rsidRDefault="007C13F5">
            <w:pPr>
              <w:spacing w:beforeLines="50" w:line="480" w:lineRule="auto"/>
              <w:rPr>
                <w:rFonts w:ascii="仿宋_GB2312" w:eastAsia="仿宋_GB2312" w:hAnsi="宋体"/>
                <w:sz w:val="28"/>
                <w:szCs w:val="28"/>
              </w:rPr>
            </w:pPr>
            <w:r>
              <w:rPr>
                <w:rFonts w:ascii="仿宋_GB2312" w:eastAsia="仿宋_GB2312" w:hAnsi="宋体" w:hint="eastAsia"/>
                <w:sz w:val="28"/>
                <w:szCs w:val="28"/>
              </w:rPr>
              <w:t>房屋坐落</w:t>
            </w:r>
          </w:p>
        </w:tc>
        <w:tc>
          <w:tcPr>
            <w:tcW w:w="7699" w:type="dxa"/>
            <w:gridSpan w:val="3"/>
          </w:tcPr>
          <w:p w:rsidR="007C13F5" w:rsidRDefault="007C13F5">
            <w:pPr>
              <w:spacing w:beforeLines="50" w:line="480" w:lineRule="auto"/>
              <w:rPr>
                <w:rFonts w:ascii="仿宋_GB2312" w:eastAsia="仿宋_GB2312" w:hAnsi="宋体"/>
                <w:sz w:val="28"/>
                <w:szCs w:val="28"/>
              </w:rPr>
            </w:pPr>
            <w:r>
              <w:rPr>
                <w:rFonts w:ascii="仿宋_GB2312" w:eastAsia="仿宋_GB2312" w:hAnsi="宋体" w:hint="eastAsia"/>
                <w:sz w:val="28"/>
                <w:szCs w:val="28"/>
              </w:rPr>
              <w:t>大理市下关镇七里桥感通小区（感通小镇一期</w:t>
            </w:r>
            <w:r>
              <w:rPr>
                <w:rFonts w:ascii="仿宋_GB2312" w:eastAsia="仿宋_GB2312" w:hAnsi="宋体"/>
                <w:sz w:val="28"/>
                <w:szCs w:val="28"/>
              </w:rPr>
              <w:t>81</w:t>
            </w:r>
            <w:r>
              <w:rPr>
                <w:rFonts w:ascii="仿宋_GB2312" w:eastAsia="仿宋_GB2312" w:hAnsi="宋体" w:hint="eastAsia"/>
                <w:sz w:val="28"/>
                <w:szCs w:val="28"/>
              </w:rPr>
              <w:t>号）</w:t>
            </w:r>
          </w:p>
        </w:tc>
      </w:tr>
      <w:tr w:rsidR="007C13F5">
        <w:trPr>
          <w:trHeight w:val="402"/>
          <w:jc w:val="center"/>
        </w:trPr>
        <w:tc>
          <w:tcPr>
            <w:tcW w:w="1503"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套内格局</w:t>
            </w:r>
          </w:p>
        </w:tc>
        <w:tc>
          <w:tcPr>
            <w:tcW w:w="7699" w:type="dxa"/>
            <w:gridSpan w:val="3"/>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两层楼的板式住宅，一室一厅一厨两卫一阳台一花园，格局一般</w:t>
            </w:r>
          </w:p>
        </w:tc>
      </w:tr>
      <w:tr w:rsidR="007C13F5">
        <w:trPr>
          <w:trHeight w:val="402"/>
          <w:jc w:val="center"/>
        </w:trPr>
        <w:tc>
          <w:tcPr>
            <w:tcW w:w="1503"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朝向</w:t>
            </w:r>
          </w:p>
        </w:tc>
        <w:tc>
          <w:tcPr>
            <w:tcW w:w="7699" w:type="dxa"/>
            <w:gridSpan w:val="3"/>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东南向</w:t>
            </w:r>
          </w:p>
        </w:tc>
      </w:tr>
      <w:tr w:rsidR="007C13F5">
        <w:trPr>
          <w:jc w:val="center"/>
        </w:trPr>
        <w:tc>
          <w:tcPr>
            <w:tcW w:w="1503"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竣工年限</w:t>
            </w:r>
          </w:p>
        </w:tc>
        <w:tc>
          <w:tcPr>
            <w:tcW w:w="3174"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2009</w:t>
            </w:r>
            <w:r>
              <w:rPr>
                <w:rFonts w:ascii="仿宋_GB2312" w:eastAsia="仿宋_GB2312" w:hAnsi="宋体" w:hint="eastAsia"/>
                <w:sz w:val="28"/>
                <w:szCs w:val="28"/>
              </w:rPr>
              <w:t>年</w:t>
            </w:r>
          </w:p>
        </w:tc>
        <w:tc>
          <w:tcPr>
            <w:tcW w:w="156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建筑结构</w:t>
            </w:r>
          </w:p>
        </w:tc>
        <w:tc>
          <w:tcPr>
            <w:tcW w:w="296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砖混</w:t>
            </w:r>
          </w:p>
        </w:tc>
      </w:tr>
      <w:tr w:rsidR="007C13F5">
        <w:trPr>
          <w:jc w:val="center"/>
        </w:trPr>
        <w:tc>
          <w:tcPr>
            <w:tcW w:w="1503"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证载楼层</w:t>
            </w:r>
          </w:p>
        </w:tc>
        <w:tc>
          <w:tcPr>
            <w:tcW w:w="3174"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1-2/2</w:t>
            </w:r>
          </w:p>
        </w:tc>
        <w:tc>
          <w:tcPr>
            <w:tcW w:w="156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实际楼层</w:t>
            </w:r>
          </w:p>
        </w:tc>
        <w:tc>
          <w:tcPr>
            <w:tcW w:w="296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1-2/2</w:t>
            </w:r>
          </w:p>
        </w:tc>
      </w:tr>
      <w:tr w:rsidR="007C13F5">
        <w:trPr>
          <w:jc w:val="center"/>
        </w:trPr>
        <w:tc>
          <w:tcPr>
            <w:tcW w:w="1503"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设计用途</w:t>
            </w:r>
          </w:p>
        </w:tc>
        <w:tc>
          <w:tcPr>
            <w:tcW w:w="3174"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住宅</w:t>
            </w:r>
          </w:p>
        </w:tc>
        <w:tc>
          <w:tcPr>
            <w:tcW w:w="156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实际用途</w:t>
            </w:r>
          </w:p>
        </w:tc>
        <w:tc>
          <w:tcPr>
            <w:tcW w:w="296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住宅</w:t>
            </w:r>
          </w:p>
        </w:tc>
      </w:tr>
      <w:tr w:rsidR="007C13F5">
        <w:trPr>
          <w:jc w:val="center"/>
        </w:trPr>
        <w:tc>
          <w:tcPr>
            <w:tcW w:w="1503"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物业管理</w:t>
            </w:r>
          </w:p>
        </w:tc>
        <w:tc>
          <w:tcPr>
            <w:tcW w:w="3174"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较好</w:t>
            </w:r>
          </w:p>
        </w:tc>
        <w:tc>
          <w:tcPr>
            <w:tcW w:w="156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采光</w:t>
            </w:r>
          </w:p>
        </w:tc>
        <w:tc>
          <w:tcPr>
            <w:tcW w:w="296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光线充足</w:t>
            </w:r>
          </w:p>
        </w:tc>
      </w:tr>
      <w:tr w:rsidR="007C13F5">
        <w:trPr>
          <w:jc w:val="center"/>
        </w:trPr>
        <w:tc>
          <w:tcPr>
            <w:tcW w:w="1503"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景观</w:t>
            </w:r>
          </w:p>
        </w:tc>
        <w:tc>
          <w:tcPr>
            <w:tcW w:w="3174"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景观较好，绿化率高</w:t>
            </w:r>
          </w:p>
        </w:tc>
        <w:tc>
          <w:tcPr>
            <w:tcW w:w="156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泊车位</w:t>
            </w:r>
          </w:p>
        </w:tc>
        <w:tc>
          <w:tcPr>
            <w:tcW w:w="296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停车方便</w:t>
            </w:r>
          </w:p>
        </w:tc>
      </w:tr>
      <w:tr w:rsidR="007C13F5">
        <w:trPr>
          <w:jc w:val="center"/>
        </w:trPr>
        <w:tc>
          <w:tcPr>
            <w:tcW w:w="1503"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装饰装修及维护保养状况</w:t>
            </w:r>
          </w:p>
        </w:tc>
        <w:tc>
          <w:tcPr>
            <w:tcW w:w="7699" w:type="dxa"/>
            <w:gridSpan w:val="3"/>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普通装修，具体装修情况如下：</w:t>
            </w:r>
          </w:p>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一楼：一楼布局为一厅一厨一卫一花园</w:t>
            </w:r>
          </w:p>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花园面积较小，约</w:t>
            </w:r>
            <w:r>
              <w:rPr>
                <w:rFonts w:ascii="仿宋_GB2312" w:eastAsia="仿宋_GB2312" w:hAnsi="宋体"/>
                <w:sz w:val="28"/>
                <w:szCs w:val="28"/>
              </w:rPr>
              <w:t>6-7</w:t>
            </w:r>
            <w:r>
              <w:rPr>
                <w:rFonts w:ascii="仿宋_GB2312" w:eastAsia="仿宋_GB2312" w:hAnsi="宋体" w:hint="eastAsia"/>
                <w:sz w:val="28"/>
                <w:szCs w:val="28"/>
              </w:rPr>
              <w:t>平方米，客厅地面为地砖，墙面为乳胶漆，天棚为艺术造型吊顶。厨房地面为防滑地砖，墙面为墙砖，天棚为铝扣板吊顶，橱柜设施齐全；卫生间地面为防滑地砖，墙面为墙砖，天棚为铝扣板吊顶，卫浴设施齐全；</w:t>
            </w:r>
          </w:p>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二楼：二楼布局为一室一卫一阳台</w:t>
            </w:r>
          </w:p>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卧室地面为铺设强化木地板，墙面部分墙纸，部分为乳胶漆，天棚为乳胶漆；卫生间地面为防滑地砖，墙面为墙砖，天棚为铝扣板吊顶，卫浴设施齐全；阳台地面为地砖，墙面和天棚为涂料；</w:t>
            </w:r>
          </w:p>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整套房屋入户门为木门，塑钢窗。</w:t>
            </w:r>
          </w:p>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经现场勘察，该房已被查封，空置未用，无维护保养。</w:t>
            </w:r>
          </w:p>
        </w:tc>
      </w:tr>
      <w:tr w:rsidR="007C13F5">
        <w:trPr>
          <w:jc w:val="center"/>
        </w:trPr>
        <w:tc>
          <w:tcPr>
            <w:tcW w:w="1503"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欠费情况</w:t>
            </w:r>
          </w:p>
        </w:tc>
        <w:tc>
          <w:tcPr>
            <w:tcW w:w="7699" w:type="dxa"/>
            <w:gridSpan w:val="3"/>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经估价人员现场调查了解，截止价值时点</w:t>
            </w: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4</w:t>
            </w:r>
            <w:r>
              <w:rPr>
                <w:rFonts w:ascii="仿宋_GB2312" w:eastAsia="仿宋_GB2312" w:hAnsi="宋体" w:hint="eastAsia"/>
                <w:sz w:val="28"/>
                <w:szCs w:val="28"/>
              </w:rPr>
              <w:t>月</w:t>
            </w:r>
            <w:r>
              <w:rPr>
                <w:rFonts w:ascii="仿宋_GB2312" w:eastAsia="仿宋_GB2312" w:hAnsi="宋体"/>
                <w:sz w:val="28"/>
                <w:szCs w:val="28"/>
              </w:rPr>
              <w:t>29</w:t>
            </w:r>
            <w:r>
              <w:rPr>
                <w:rFonts w:ascii="仿宋_GB2312" w:eastAsia="仿宋_GB2312" w:hAnsi="宋体" w:hint="eastAsia"/>
                <w:sz w:val="28"/>
                <w:szCs w:val="28"/>
              </w:rPr>
              <w:t>日，估价对象尚有两年零四个月的物业费未缴纳，欠缴物业费合计</w:t>
            </w:r>
            <w:r>
              <w:rPr>
                <w:rFonts w:ascii="仿宋_GB2312" w:eastAsia="仿宋_GB2312" w:hAnsi="宋体"/>
                <w:sz w:val="28"/>
                <w:szCs w:val="28"/>
              </w:rPr>
              <w:t>2479.70</w:t>
            </w:r>
            <w:r>
              <w:rPr>
                <w:rFonts w:ascii="仿宋_GB2312" w:eastAsia="仿宋_GB2312" w:hAnsi="宋体" w:hint="eastAsia"/>
                <w:sz w:val="28"/>
                <w:szCs w:val="28"/>
              </w:rPr>
              <w:t>元，水费欠缴</w:t>
            </w:r>
            <w:r>
              <w:rPr>
                <w:rFonts w:ascii="仿宋_GB2312" w:eastAsia="仿宋_GB2312" w:hAnsi="宋体"/>
                <w:sz w:val="28"/>
                <w:szCs w:val="28"/>
              </w:rPr>
              <w:t>120.9</w:t>
            </w:r>
            <w:r>
              <w:rPr>
                <w:rFonts w:ascii="仿宋_GB2312" w:eastAsia="仿宋_GB2312" w:hAnsi="宋体" w:hint="eastAsia"/>
                <w:sz w:val="28"/>
                <w:szCs w:val="28"/>
              </w:rPr>
              <w:t>元，欠热水费</w:t>
            </w:r>
            <w:r>
              <w:rPr>
                <w:rFonts w:ascii="仿宋_GB2312" w:eastAsia="仿宋_GB2312" w:hAnsi="宋体"/>
                <w:sz w:val="28"/>
                <w:szCs w:val="28"/>
              </w:rPr>
              <w:t>168</w:t>
            </w:r>
            <w:r>
              <w:rPr>
                <w:rFonts w:ascii="仿宋_GB2312" w:eastAsia="仿宋_GB2312" w:hAnsi="宋体" w:hint="eastAsia"/>
                <w:sz w:val="28"/>
                <w:szCs w:val="28"/>
              </w:rPr>
              <w:t>元，欠生活垃圾费</w:t>
            </w:r>
            <w:r>
              <w:rPr>
                <w:rFonts w:ascii="仿宋_GB2312" w:eastAsia="仿宋_GB2312" w:hAnsi="宋体"/>
                <w:sz w:val="28"/>
                <w:szCs w:val="28"/>
              </w:rPr>
              <w:t>288</w:t>
            </w:r>
            <w:r>
              <w:rPr>
                <w:rFonts w:ascii="仿宋_GB2312" w:eastAsia="仿宋_GB2312" w:hAnsi="宋体" w:hint="eastAsia"/>
                <w:sz w:val="28"/>
                <w:szCs w:val="28"/>
              </w:rPr>
              <w:t>元，欠电费</w:t>
            </w:r>
            <w:r>
              <w:rPr>
                <w:rFonts w:ascii="仿宋_GB2312" w:eastAsia="仿宋_GB2312" w:hAnsi="宋体"/>
                <w:sz w:val="28"/>
                <w:szCs w:val="28"/>
              </w:rPr>
              <w:t>683.9</w:t>
            </w:r>
            <w:r>
              <w:rPr>
                <w:rFonts w:ascii="仿宋_GB2312" w:eastAsia="仿宋_GB2312" w:hAnsi="宋体" w:hint="eastAsia"/>
                <w:sz w:val="28"/>
                <w:szCs w:val="28"/>
              </w:rPr>
              <w:t>元，欠费合计为</w:t>
            </w:r>
            <w:r>
              <w:rPr>
                <w:rFonts w:ascii="仿宋_GB2312" w:eastAsia="仿宋_GB2312" w:hAnsi="宋体"/>
                <w:sz w:val="28"/>
                <w:szCs w:val="28"/>
              </w:rPr>
              <w:t>3740.50</w:t>
            </w:r>
            <w:r>
              <w:rPr>
                <w:rFonts w:ascii="仿宋_GB2312" w:eastAsia="仿宋_GB2312" w:hAnsi="宋体" w:hint="eastAsia"/>
                <w:sz w:val="28"/>
                <w:szCs w:val="28"/>
              </w:rPr>
              <w:t>元。</w:t>
            </w:r>
          </w:p>
        </w:tc>
      </w:tr>
    </w:tbl>
    <w:p w:rsidR="007C13F5" w:rsidRDefault="007C13F5">
      <w:pPr>
        <w:pStyle w:val="Heading2"/>
        <w:spacing w:line="360" w:lineRule="auto"/>
        <w:rPr>
          <w:rFonts w:ascii="仿宋_GB2312" w:eastAsia="仿宋_GB2312"/>
          <w:sz w:val="28"/>
          <w:szCs w:val="28"/>
        </w:rPr>
      </w:pPr>
      <w:bookmarkStart w:id="6" w:name="_Toc499890252"/>
      <w:r>
        <w:rPr>
          <w:rFonts w:ascii="仿宋_GB2312" w:eastAsia="仿宋_GB2312" w:hint="eastAsia"/>
          <w:sz w:val="28"/>
          <w:szCs w:val="28"/>
        </w:rPr>
        <w:t>四、估价目的</w:t>
      </w:r>
      <w:bookmarkEnd w:id="6"/>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估价目的是为委托鉴定的房地产市场价值进行评估，为司法处置提供价值参考依据，</w:t>
      </w:r>
    </w:p>
    <w:p w:rsidR="007C13F5" w:rsidRDefault="007C13F5">
      <w:pPr>
        <w:pStyle w:val="Heading2"/>
        <w:spacing w:line="360" w:lineRule="auto"/>
        <w:rPr>
          <w:rFonts w:ascii="仿宋_GB2312" w:eastAsia="仿宋_GB2312"/>
          <w:sz w:val="28"/>
          <w:szCs w:val="28"/>
        </w:rPr>
      </w:pPr>
      <w:bookmarkStart w:id="7" w:name="_Toc499890253"/>
      <w:r>
        <w:rPr>
          <w:rFonts w:ascii="仿宋_GB2312" w:eastAsia="仿宋_GB2312" w:hint="eastAsia"/>
          <w:sz w:val="28"/>
          <w:szCs w:val="28"/>
        </w:rPr>
        <w:t>五、价值时点</w:t>
      </w:r>
      <w:bookmarkEnd w:id="7"/>
    </w:p>
    <w:p w:rsidR="007C13F5" w:rsidRDefault="007C13F5">
      <w:pPr>
        <w:pStyle w:val="Date"/>
        <w:spacing w:beforeLines="50" w:line="360" w:lineRule="auto"/>
        <w:ind w:leftChars="47" w:left="31680" w:firstLineChars="200" w:firstLine="31680"/>
        <w:jc w:val="left"/>
        <w:rPr>
          <w:rFonts w:ascii="仿宋_GB2312" w:eastAsia="仿宋_GB2312" w:hAnsi="宋体"/>
          <w:sz w:val="28"/>
          <w:szCs w:val="28"/>
        </w:rPr>
      </w:pPr>
      <w:r>
        <w:rPr>
          <w:rFonts w:ascii="仿宋_GB2312" w:eastAsia="仿宋_GB2312" w:hAnsi="宋体" w:hint="eastAsia"/>
          <w:sz w:val="28"/>
          <w:szCs w:val="28"/>
        </w:rPr>
        <w:t>价值时点设定为杭州市江干区人民法院委托鉴定日期</w:t>
      </w: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4</w:t>
      </w:r>
      <w:r>
        <w:rPr>
          <w:rFonts w:ascii="仿宋_GB2312" w:eastAsia="仿宋_GB2312" w:hAnsi="宋体" w:hint="eastAsia"/>
          <w:sz w:val="28"/>
          <w:szCs w:val="28"/>
        </w:rPr>
        <w:t>月</w:t>
      </w:r>
      <w:r>
        <w:rPr>
          <w:rFonts w:ascii="仿宋_GB2312" w:eastAsia="仿宋_GB2312" w:hAnsi="宋体"/>
          <w:sz w:val="28"/>
          <w:szCs w:val="28"/>
        </w:rPr>
        <w:t>29</w:t>
      </w:r>
      <w:r>
        <w:rPr>
          <w:rFonts w:ascii="仿宋_GB2312" w:eastAsia="仿宋_GB2312" w:hAnsi="宋体" w:hint="eastAsia"/>
          <w:sz w:val="28"/>
          <w:szCs w:val="28"/>
        </w:rPr>
        <w:t>日。</w:t>
      </w:r>
    </w:p>
    <w:p w:rsidR="007C13F5" w:rsidRDefault="007C13F5">
      <w:pPr>
        <w:pStyle w:val="Heading2"/>
        <w:spacing w:line="360" w:lineRule="auto"/>
        <w:rPr>
          <w:rFonts w:ascii="仿宋_GB2312" w:eastAsia="仿宋_GB2312"/>
          <w:sz w:val="28"/>
          <w:szCs w:val="28"/>
        </w:rPr>
      </w:pPr>
      <w:bookmarkStart w:id="8" w:name="_Toc499890254"/>
      <w:r>
        <w:rPr>
          <w:rFonts w:ascii="仿宋_GB2312" w:eastAsia="仿宋_GB2312" w:hint="eastAsia"/>
          <w:sz w:val="28"/>
          <w:szCs w:val="28"/>
        </w:rPr>
        <w:t>六、价值类型</w:t>
      </w:r>
      <w:bookmarkEnd w:id="8"/>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本次估价为估价对象在价值时点的的市场价值。</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hint="eastAsia"/>
          <w:sz w:val="28"/>
          <w:szCs w:val="28"/>
        </w:rPr>
        <w:t>市场价值是指估价对象经适当营销后，由熟悉情况、谨慎行事且不受强迫的交易双方，以公平交易方式在价值时点自愿进行交易的金额，不考虑抵押、查封等因素的影响。</w:t>
      </w:r>
    </w:p>
    <w:p w:rsidR="007C13F5" w:rsidRDefault="007C13F5">
      <w:pPr>
        <w:pStyle w:val="Heading2"/>
        <w:spacing w:line="360" w:lineRule="auto"/>
        <w:rPr>
          <w:rFonts w:ascii="仿宋_GB2312" w:eastAsia="仿宋_GB2312"/>
          <w:sz w:val="28"/>
          <w:szCs w:val="28"/>
        </w:rPr>
      </w:pPr>
      <w:bookmarkStart w:id="9" w:name="_Toc499890255"/>
      <w:r>
        <w:rPr>
          <w:rFonts w:ascii="仿宋_GB2312" w:eastAsia="仿宋_GB2312" w:hint="eastAsia"/>
          <w:sz w:val="28"/>
          <w:szCs w:val="28"/>
        </w:rPr>
        <w:t>七、估价依据</w:t>
      </w:r>
      <w:bookmarkEnd w:id="9"/>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（一）法律法规：</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、《中华人民共和国城市房地产管理法》（</w:t>
      </w:r>
      <w:r>
        <w:rPr>
          <w:rFonts w:ascii="仿宋_GB2312" w:eastAsia="仿宋_GB2312" w:hAnsi="宋体"/>
          <w:sz w:val="28"/>
          <w:szCs w:val="28"/>
        </w:rPr>
        <w:t>2007</w:t>
      </w:r>
      <w:r>
        <w:rPr>
          <w:rFonts w:ascii="仿宋_GB2312" w:eastAsia="仿宋_GB2312" w:hAnsi="宋体" w:hint="eastAsia"/>
          <w:sz w:val="28"/>
          <w:szCs w:val="28"/>
        </w:rPr>
        <w:t>年</w:t>
      </w:r>
      <w:r>
        <w:rPr>
          <w:rFonts w:ascii="仿宋_GB2312" w:eastAsia="仿宋_GB2312" w:hAnsi="宋体"/>
          <w:sz w:val="28"/>
          <w:szCs w:val="28"/>
        </w:rPr>
        <w:t>8</w:t>
      </w:r>
      <w:r>
        <w:rPr>
          <w:rFonts w:ascii="仿宋_GB2312" w:eastAsia="仿宋_GB2312" w:hAnsi="宋体" w:hint="eastAsia"/>
          <w:sz w:val="28"/>
          <w:szCs w:val="28"/>
        </w:rPr>
        <w:t>月</w:t>
      </w:r>
      <w:r>
        <w:rPr>
          <w:rFonts w:ascii="仿宋_GB2312" w:eastAsia="仿宋_GB2312" w:hAnsi="宋体"/>
          <w:sz w:val="28"/>
          <w:szCs w:val="28"/>
        </w:rPr>
        <w:t>30</w:t>
      </w:r>
      <w:r>
        <w:rPr>
          <w:rFonts w:ascii="仿宋_GB2312" w:eastAsia="仿宋_GB2312" w:hAnsi="宋体" w:hint="eastAsia"/>
          <w:sz w:val="28"/>
          <w:szCs w:val="28"/>
        </w:rPr>
        <w:t>日中华人民共和国主席令第</w:t>
      </w:r>
      <w:r>
        <w:rPr>
          <w:rFonts w:ascii="仿宋_GB2312" w:eastAsia="仿宋_GB2312" w:hAnsi="宋体"/>
          <w:sz w:val="28"/>
          <w:szCs w:val="28"/>
        </w:rPr>
        <w:t>72</w:t>
      </w:r>
      <w:r>
        <w:rPr>
          <w:rFonts w:ascii="仿宋_GB2312" w:eastAsia="仿宋_GB2312" w:hAnsi="宋体" w:hint="eastAsia"/>
          <w:sz w:val="28"/>
          <w:szCs w:val="28"/>
        </w:rPr>
        <w:t>号公布）；</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2</w:t>
      </w:r>
      <w:r>
        <w:rPr>
          <w:rFonts w:ascii="仿宋_GB2312" w:eastAsia="仿宋_GB2312" w:hAnsi="宋体" w:hint="eastAsia"/>
          <w:sz w:val="28"/>
          <w:szCs w:val="28"/>
        </w:rPr>
        <w:t>、《中华人民共和国土地管理法》（</w:t>
      </w:r>
      <w:r>
        <w:rPr>
          <w:rFonts w:ascii="仿宋_GB2312" w:eastAsia="仿宋_GB2312" w:hAnsi="宋体"/>
          <w:sz w:val="28"/>
          <w:szCs w:val="28"/>
        </w:rPr>
        <w:t>2004</w:t>
      </w:r>
      <w:r>
        <w:rPr>
          <w:rFonts w:ascii="仿宋_GB2312" w:eastAsia="仿宋_GB2312" w:hAnsi="宋体" w:hint="eastAsia"/>
          <w:sz w:val="28"/>
          <w:szCs w:val="28"/>
        </w:rPr>
        <w:t>年</w:t>
      </w:r>
      <w:r>
        <w:rPr>
          <w:rFonts w:ascii="仿宋_GB2312" w:eastAsia="仿宋_GB2312" w:hAnsi="宋体"/>
          <w:sz w:val="28"/>
          <w:szCs w:val="28"/>
        </w:rPr>
        <w:t>8</w:t>
      </w:r>
      <w:r>
        <w:rPr>
          <w:rFonts w:ascii="仿宋_GB2312" w:eastAsia="仿宋_GB2312" w:hAnsi="宋体" w:hint="eastAsia"/>
          <w:sz w:val="28"/>
          <w:szCs w:val="28"/>
        </w:rPr>
        <w:t>月</w:t>
      </w:r>
      <w:r>
        <w:rPr>
          <w:rFonts w:ascii="仿宋_GB2312" w:eastAsia="仿宋_GB2312" w:hAnsi="宋体"/>
          <w:sz w:val="28"/>
          <w:szCs w:val="28"/>
        </w:rPr>
        <w:t>28</w:t>
      </w:r>
      <w:r>
        <w:rPr>
          <w:rFonts w:ascii="仿宋_GB2312" w:eastAsia="仿宋_GB2312" w:hAnsi="宋体" w:hint="eastAsia"/>
          <w:sz w:val="28"/>
          <w:szCs w:val="28"/>
        </w:rPr>
        <w:t>日中华人民共和国主席令第</w:t>
      </w:r>
      <w:r>
        <w:rPr>
          <w:rFonts w:ascii="仿宋_GB2312" w:eastAsia="仿宋_GB2312" w:hAnsi="宋体"/>
          <w:sz w:val="28"/>
          <w:szCs w:val="28"/>
        </w:rPr>
        <w:t>28</w:t>
      </w:r>
      <w:r>
        <w:rPr>
          <w:rFonts w:ascii="仿宋_GB2312" w:eastAsia="仿宋_GB2312" w:hAnsi="宋体" w:hint="eastAsia"/>
          <w:sz w:val="28"/>
          <w:szCs w:val="28"/>
        </w:rPr>
        <w:t>号公布）；</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3</w:t>
      </w:r>
      <w:r>
        <w:rPr>
          <w:rFonts w:ascii="仿宋_GB2312" w:eastAsia="仿宋_GB2312" w:hAnsi="宋体" w:hint="eastAsia"/>
          <w:sz w:val="28"/>
          <w:szCs w:val="28"/>
        </w:rPr>
        <w:t>、《中华人民共和国物权法》（</w:t>
      </w:r>
      <w:r>
        <w:rPr>
          <w:rFonts w:ascii="仿宋_GB2312" w:eastAsia="仿宋_GB2312" w:hAnsi="宋体"/>
          <w:sz w:val="28"/>
          <w:szCs w:val="28"/>
        </w:rPr>
        <w:t>2007</w:t>
      </w:r>
      <w:r>
        <w:rPr>
          <w:rFonts w:ascii="仿宋_GB2312" w:eastAsia="仿宋_GB2312" w:hAnsi="宋体" w:hint="eastAsia"/>
          <w:sz w:val="28"/>
          <w:szCs w:val="28"/>
        </w:rPr>
        <w:t>年</w:t>
      </w:r>
      <w:r>
        <w:rPr>
          <w:rFonts w:ascii="仿宋_GB2312" w:eastAsia="仿宋_GB2312" w:hAnsi="宋体"/>
          <w:sz w:val="28"/>
          <w:szCs w:val="28"/>
        </w:rPr>
        <w:t>3</w:t>
      </w:r>
      <w:r>
        <w:rPr>
          <w:rFonts w:ascii="仿宋_GB2312" w:eastAsia="仿宋_GB2312" w:hAnsi="宋体" w:hint="eastAsia"/>
          <w:sz w:val="28"/>
          <w:szCs w:val="28"/>
        </w:rPr>
        <w:t>月</w:t>
      </w:r>
      <w:r>
        <w:rPr>
          <w:rFonts w:ascii="仿宋_GB2312" w:eastAsia="仿宋_GB2312" w:hAnsi="宋体"/>
          <w:sz w:val="28"/>
          <w:szCs w:val="28"/>
        </w:rPr>
        <w:t>16</w:t>
      </w:r>
      <w:r>
        <w:rPr>
          <w:rFonts w:ascii="仿宋_GB2312" w:eastAsia="仿宋_GB2312" w:hAnsi="宋体" w:hint="eastAsia"/>
          <w:sz w:val="28"/>
          <w:szCs w:val="28"/>
        </w:rPr>
        <w:t>日中华人民共和国主席令第</w:t>
      </w:r>
      <w:r>
        <w:rPr>
          <w:rFonts w:ascii="仿宋_GB2312" w:eastAsia="仿宋_GB2312" w:hAnsi="宋体"/>
          <w:sz w:val="28"/>
          <w:szCs w:val="28"/>
        </w:rPr>
        <w:t>62</w:t>
      </w:r>
      <w:r>
        <w:rPr>
          <w:rFonts w:ascii="仿宋_GB2312" w:eastAsia="仿宋_GB2312" w:hAnsi="宋体" w:hint="eastAsia"/>
          <w:sz w:val="28"/>
          <w:szCs w:val="28"/>
        </w:rPr>
        <w:t>号公布）；</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4</w:t>
      </w:r>
      <w:r>
        <w:rPr>
          <w:rFonts w:ascii="仿宋_GB2312" w:eastAsia="仿宋_GB2312" w:hAnsi="宋体" w:hint="eastAsia"/>
          <w:sz w:val="28"/>
          <w:szCs w:val="28"/>
        </w:rPr>
        <w:t>、《中华人民共和国城乡规划法》；</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5</w:t>
      </w:r>
      <w:r>
        <w:rPr>
          <w:rFonts w:ascii="仿宋_GB2312" w:eastAsia="仿宋_GB2312" w:hAnsi="宋体" w:hint="eastAsia"/>
          <w:sz w:val="28"/>
          <w:szCs w:val="28"/>
        </w:rPr>
        <w:t>、《中华人民共和国资产评估法》（</w:t>
      </w:r>
      <w:r>
        <w:rPr>
          <w:rFonts w:ascii="仿宋_GB2312" w:eastAsia="仿宋_GB2312" w:hAnsi="宋体"/>
          <w:sz w:val="28"/>
          <w:szCs w:val="28"/>
        </w:rPr>
        <w:t>2016</w:t>
      </w:r>
      <w:r>
        <w:rPr>
          <w:rFonts w:ascii="仿宋_GB2312" w:eastAsia="仿宋_GB2312" w:hAnsi="宋体" w:hint="eastAsia"/>
          <w:sz w:val="28"/>
          <w:szCs w:val="28"/>
        </w:rPr>
        <w:t>年</w:t>
      </w:r>
      <w:r>
        <w:rPr>
          <w:rFonts w:ascii="仿宋_GB2312" w:eastAsia="仿宋_GB2312" w:hAnsi="宋体"/>
          <w:sz w:val="28"/>
          <w:szCs w:val="28"/>
        </w:rPr>
        <w:t>7</w:t>
      </w:r>
      <w:r>
        <w:rPr>
          <w:rFonts w:ascii="仿宋_GB2312" w:eastAsia="仿宋_GB2312" w:hAnsi="宋体" w:hint="eastAsia"/>
          <w:sz w:val="28"/>
          <w:szCs w:val="28"/>
        </w:rPr>
        <w:t>月</w:t>
      </w:r>
      <w:r>
        <w:rPr>
          <w:rFonts w:ascii="仿宋_GB2312" w:eastAsia="仿宋_GB2312" w:hAnsi="宋体"/>
          <w:sz w:val="28"/>
          <w:szCs w:val="28"/>
        </w:rPr>
        <w:t>2</w:t>
      </w:r>
      <w:r>
        <w:rPr>
          <w:rFonts w:ascii="仿宋_GB2312" w:eastAsia="仿宋_GB2312" w:hAnsi="宋体" w:hint="eastAsia"/>
          <w:sz w:val="28"/>
          <w:szCs w:val="28"/>
        </w:rPr>
        <w:t>日中华人民共和国主席令第</w:t>
      </w:r>
      <w:r>
        <w:rPr>
          <w:rFonts w:ascii="仿宋_GB2312" w:eastAsia="仿宋_GB2312" w:hAnsi="宋体"/>
          <w:sz w:val="28"/>
          <w:szCs w:val="28"/>
        </w:rPr>
        <w:t>46</w:t>
      </w:r>
      <w:r>
        <w:rPr>
          <w:rFonts w:ascii="仿宋_GB2312" w:eastAsia="仿宋_GB2312" w:hAnsi="宋体" w:hint="eastAsia"/>
          <w:sz w:val="28"/>
          <w:szCs w:val="28"/>
        </w:rPr>
        <w:t>号公布）；</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6</w:t>
      </w:r>
      <w:r>
        <w:rPr>
          <w:rFonts w:ascii="仿宋_GB2312" w:eastAsia="仿宋_GB2312" w:hAnsi="宋体" w:hint="eastAsia"/>
          <w:sz w:val="28"/>
          <w:szCs w:val="28"/>
        </w:rPr>
        <w:t>、《最高人民法院关于人民法院确定财产处置参考价若干问题的规定》（法释</w:t>
      </w:r>
      <w:r>
        <w:rPr>
          <w:rFonts w:ascii="仿宋_GB2312" w:eastAsia="仿宋_GB2312" w:hAnsi="宋体"/>
          <w:sz w:val="28"/>
          <w:szCs w:val="28"/>
        </w:rPr>
        <w:t>[2018]15</w:t>
      </w:r>
      <w:r>
        <w:rPr>
          <w:rFonts w:ascii="仿宋_GB2312" w:eastAsia="仿宋_GB2312" w:hAnsi="宋体" w:hint="eastAsia"/>
          <w:sz w:val="28"/>
          <w:szCs w:val="28"/>
        </w:rPr>
        <w:t>号，自</w:t>
      </w:r>
      <w:r>
        <w:rPr>
          <w:rFonts w:ascii="仿宋_GB2312" w:eastAsia="仿宋_GB2312" w:hAnsi="宋体"/>
          <w:sz w:val="28"/>
          <w:szCs w:val="28"/>
        </w:rPr>
        <w:t>2018</w:t>
      </w:r>
      <w:r>
        <w:rPr>
          <w:rFonts w:ascii="仿宋_GB2312" w:eastAsia="仿宋_GB2312" w:hAnsi="宋体" w:hint="eastAsia"/>
          <w:sz w:val="28"/>
          <w:szCs w:val="28"/>
        </w:rPr>
        <w:t>年</w:t>
      </w:r>
      <w:r>
        <w:rPr>
          <w:rFonts w:ascii="仿宋_GB2312" w:eastAsia="仿宋_GB2312" w:hAnsi="宋体"/>
          <w:sz w:val="28"/>
          <w:szCs w:val="28"/>
        </w:rPr>
        <w:t>9</w:t>
      </w:r>
      <w:r>
        <w:rPr>
          <w:rFonts w:ascii="仿宋_GB2312" w:eastAsia="仿宋_GB2312" w:hAnsi="宋体" w:hint="eastAsia"/>
          <w:sz w:val="28"/>
          <w:szCs w:val="28"/>
        </w:rPr>
        <w:t>月</w:t>
      </w:r>
      <w:r>
        <w:rPr>
          <w:rFonts w:ascii="仿宋_GB2312" w:eastAsia="仿宋_GB2312" w:hAnsi="宋体"/>
          <w:sz w:val="28"/>
          <w:szCs w:val="28"/>
        </w:rPr>
        <w:t>1</w:t>
      </w:r>
      <w:r>
        <w:rPr>
          <w:rFonts w:ascii="仿宋_GB2312" w:eastAsia="仿宋_GB2312" w:hAnsi="宋体" w:hint="eastAsia"/>
          <w:sz w:val="28"/>
          <w:szCs w:val="28"/>
        </w:rPr>
        <w:t>日起施行）；</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7</w:t>
      </w:r>
      <w:r>
        <w:rPr>
          <w:rFonts w:ascii="仿宋_GB2312" w:eastAsia="仿宋_GB2312" w:hAnsi="宋体" w:hint="eastAsia"/>
          <w:sz w:val="28"/>
          <w:szCs w:val="28"/>
        </w:rPr>
        <w:t>、《人民法院委托评估工作规范》（法办</w:t>
      </w:r>
      <w:r>
        <w:rPr>
          <w:rFonts w:ascii="仿宋_GB2312" w:eastAsia="仿宋_GB2312" w:hAnsi="宋体"/>
          <w:sz w:val="28"/>
          <w:szCs w:val="28"/>
        </w:rPr>
        <w:t>[2018]273</w:t>
      </w:r>
      <w:r>
        <w:rPr>
          <w:rFonts w:ascii="仿宋_GB2312" w:eastAsia="仿宋_GB2312" w:hAnsi="宋体" w:hint="eastAsia"/>
          <w:sz w:val="28"/>
          <w:szCs w:val="28"/>
        </w:rPr>
        <w:t>号）；</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8</w:t>
      </w:r>
      <w:r>
        <w:rPr>
          <w:rFonts w:ascii="仿宋_GB2312" w:eastAsia="仿宋_GB2312" w:hAnsi="宋体" w:hint="eastAsia"/>
          <w:sz w:val="28"/>
          <w:szCs w:val="28"/>
        </w:rPr>
        <w:t>、《云南省司法鉴定管理条例》（第</w:t>
      </w:r>
      <w:r>
        <w:rPr>
          <w:rFonts w:ascii="仿宋_GB2312" w:eastAsia="仿宋_GB2312" w:hAnsi="宋体"/>
          <w:sz w:val="28"/>
          <w:szCs w:val="28"/>
        </w:rPr>
        <w:t>50</w:t>
      </w:r>
      <w:r>
        <w:rPr>
          <w:rFonts w:ascii="仿宋_GB2312" w:eastAsia="仿宋_GB2312" w:hAnsi="宋体" w:hint="eastAsia"/>
          <w:sz w:val="28"/>
          <w:szCs w:val="28"/>
        </w:rPr>
        <w:t>号）。</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hint="eastAsia"/>
          <w:sz w:val="28"/>
          <w:szCs w:val="28"/>
        </w:rPr>
        <w:t>（二）估价技术标准：</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、中华人民共和国国家标准</w:t>
      </w:r>
      <w:r>
        <w:rPr>
          <w:rFonts w:ascii="仿宋_GB2312" w:eastAsia="仿宋_GB2312" w:hAnsi="宋体"/>
          <w:sz w:val="28"/>
          <w:szCs w:val="28"/>
        </w:rPr>
        <w:t>GB/T50291</w:t>
      </w:r>
      <w:r>
        <w:rPr>
          <w:rFonts w:ascii="仿宋_GB2312" w:eastAsia="仿宋_GB2312" w:hAnsi="宋体"/>
          <w:sz w:val="28"/>
          <w:szCs w:val="28"/>
        </w:rPr>
        <w:t>—</w:t>
      </w:r>
      <w:r>
        <w:rPr>
          <w:rFonts w:ascii="仿宋_GB2312" w:eastAsia="仿宋_GB2312" w:hAnsi="宋体"/>
          <w:sz w:val="28"/>
          <w:szCs w:val="28"/>
        </w:rPr>
        <w:t>2015</w:t>
      </w:r>
      <w:r>
        <w:rPr>
          <w:rFonts w:ascii="仿宋_GB2312" w:eastAsia="仿宋_GB2312" w:hAnsi="宋体" w:hint="eastAsia"/>
          <w:sz w:val="28"/>
          <w:szCs w:val="28"/>
        </w:rPr>
        <w:t>《房地产估价规范》；</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2</w:t>
      </w:r>
      <w:r>
        <w:rPr>
          <w:rFonts w:ascii="仿宋_GB2312" w:eastAsia="仿宋_GB2312" w:hAnsi="宋体" w:hint="eastAsia"/>
          <w:sz w:val="28"/>
          <w:szCs w:val="28"/>
        </w:rPr>
        <w:t>、中华人民共和国国家标准</w:t>
      </w:r>
      <w:r>
        <w:rPr>
          <w:rFonts w:ascii="仿宋_GB2312" w:eastAsia="仿宋_GB2312" w:hAnsi="宋体"/>
          <w:sz w:val="28"/>
          <w:szCs w:val="28"/>
        </w:rPr>
        <w:t>GB/T18508</w:t>
      </w:r>
      <w:r>
        <w:rPr>
          <w:rFonts w:ascii="仿宋_GB2312" w:eastAsia="仿宋_GB2312" w:hAnsi="宋体"/>
          <w:sz w:val="28"/>
          <w:szCs w:val="28"/>
        </w:rPr>
        <w:t>—</w:t>
      </w:r>
      <w:r>
        <w:rPr>
          <w:rFonts w:ascii="仿宋_GB2312" w:eastAsia="仿宋_GB2312" w:hAnsi="宋体"/>
          <w:sz w:val="28"/>
          <w:szCs w:val="28"/>
        </w:rPr>
        <w:t>2014</w:t>
      </w:r>
      <w:r>
        <w:rPr>
          <w:rFonts w:ascii="仿宋_GB2312" w:eastAsia="仿宋_GB2312" w:hAnsi="宋体" w:hint="eastAsia"/>
          <w:sz w:val="28"/>
          <w:szCs w:val="28"/>
        </w:rPr>
        <w:t>《城镇土地估价规程》；</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3</w:t>
      </w:r>
      <w:r>
        <w:rPr>
          <w:rFonts w:ascii="仿宋_GB2312" w:eastAsia="仿宋_GB2312" w:hAnsi="宋体" w:hint="eastAsia"/>
          <w:sz w:val="28"/>
          <w:szCs w:val="28"/>
        </w:rPr>
        <w:t>、中华人民共和国国家标准</w:t>
      </w:r>
      <w:r>
        <w:rPr>
          <w:rFonts w:ascii="仿宋_GB2312" w:eastAsia="仿宋_GB2312" w:hAnsi="宋体"/>
          <w:sz w:val="28"/>
          <w:szCs w:val="28"/>
        </w:rPr>
        <w:t>GB/T50899</w:t>
      </w:r>
      <w:r>
        <w:rPr>
          <w:rFonts w:ascii="仿宋_GB2312" w:eastAsia="仿宋_GB2312" w:hAnsi="宋体"/>
          <w:sz w:val="28"/>
          <w:szCs w:val="28"/>
        </w:rPr>
        <w:t>—</w:t>
      </w:r>
      <w:r>
        <w:rPr>
          <w:rFonts w:ascii="仿宋_GB2312" w:eastAsia="仿宋_GB2312" w:hAnsi="宋体"/>
          <w:sz w:val="28"/>
          <w:szCs w:val="28"/>
        </w:rPr>
        <w:t>2013</w:t>
      </w:r>
      <w:r>
        <w:rPr>
          <w:rFonts w:ascii="仿宋_GB2312" w:eastAsia="仿宋_GB2312" w:hAnsi="宋体" w:hint="eastAsia"/>
          <w:sz w:val="28"/>
          <w:szCs w:val="28"/>
        </w:rPr>
        <w:t>《房地产估价基本术语标准》。</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sz w:val="28"/>
          <w:szCs w:val="28"/>
        </w:rPr>
        <w:t>4</w:t>
      </w:r>
      <w:r>
        <w:rPr>
          <w:rFonts w:ascii="仿宋_GB2312" w:eastAsia="仿宋_GB2312" w:hAnsi="宋体" w:hint="eastAsia"/>
          <w:sz w:val="28"/>
          <w:szCs w:val="28"/>
        </w:rPr>
        <w:t>、中华人民共和国司法部令（第</w:t>
      </w:r>
      <w:r>
        <w:rPr>
          <w:rFonts w:ascii="仿宋_GB2312" w:eastAsia="仿宋_GB2312" w:hAnsi="宋体"/>
          <w:sz w:val="28"/>
          <w:szCs w:val="28"/>
        </w:rPr>
        <w:t>132</w:t>
      </w:r>
      <w:r>
        <w:rPr>
          <w:rFonts w:ascii="仿宋_GB2312" w:eastAsia="仿宋_GB2312" w:hAnsi="宋体" w:hint="eastAsia"/>
          <w:sz w:val="28"/>
          <w:szCs w:val="28"/>
        </w:rPr>
        <w:t>号）《司法鉴定程序通则》。</w:t>
      </w:r>
    </w:p>
    <w:p w:rsidR="007C13F5" w:rsidRDefault="007C13F5">
      <w:pPr>
        <w:spacing w:beforeLines="50" w:line="560" w:lineRule="exact"/>
        <w:ind w:firstLineChars="200" w:firstLine="31680"/>
        <w:rPr>
          <w:rFonts w:ascii="仿宋_GB2312" w:eastAsia="仿宋_GB2312" w:hAnsi="宋体"/>
          <w:sz w:val="28"/>
          <w:szCs w:val="28"/>
        </w:rPr>
      </w:pPr>
      <w:r>
        <w:rPr>
          <w:rFonts w:ascii="仿宋_GB2312" w:eastAsia="仿宋_GB2312" w:hAnsi="宋体" w:hint="eastAsia"/>
          <w:sz w:val="28"/>
          <w:szCs w:val="28"/>
        </w:rPr>
        <w:t>（三）行为依据：</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、《杭州市江干区人民法院鉴定委托书》；</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2</w:t>
      </w:r>
      <w:r>
        <w:rPr>
          <w:rFonts w:ascii="仿宋_GB2312" w:eastAsia="仿宋_GB2312" w:hAnsi="宋体" w:hint="eastAsia"/>
          <w:sz w:val="28"/>
          <w:szCs w:val="28"/>
        </w:rPr>
        <w:t>、我公司到大理市不动产登记中心的查询信息</w:t>
      </w:r>
      <w:r>
        <w:rPr>
          <w:rFonts w:ascii="仿宋_GB2312" w:eastAsia="仿宋_GB2312" w:hAnsi="宋体"/>
          <w:sz w:val="28"/>
          <w:szCs w:val="28"/>
        </w:rPr>
        <w:t>——</w:t>
      </w:r>
      <w:r>
        <w:rPr>
          <w:rFonts w:ascii="仿宋_GB2312" w:eastAsia="仿宋_GB2312" w:hAnsi="宋体" w:hint="eastAsia"/>
          <w:sz w:val="28"/>
          <w:szCs w:val="28"/>
        </w:rPr>
        <w:t>《房屋信息查询摘抄表》、《土地登记卡》；</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3</w:t>
      </w:r>
      <w:r>
        <w:rPr>
          <w:rFonts w:ascii="仿宋_GB2312" w:eastAsia="仿宋_GB2312" w:hAnsi="宋体" w:hint="eastAsia"/>
          <w:sz w:val="28"/>
          <w:szCs w:val="28"/>
        </w:rPr>
        <w:t>、估价人员现场勘察记录、调查收集的相关资料及向委托方了解的情况；</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4</w:t>
      </w:r>
      <w:r>
        <w:rPr>
          <w:rFonts w:ascii="仿宋_GB2312" w:eastAsia="仿宋_GB2312" w:hAnsi="宋体" w:hint="eastAsia"/>
          <w:sz w:val="28"/>
          <w:szCs w:val="28"/>
        </w:rPr>
        <w:t>、本估价机构掌握的有关市场信息资料。</w:t>
      </w:r>
    </w:p>
    <w:p w:rsidR="007C13F5" w:rsidRDefault="007C13F5">
      <w:pPr>
        <w:pStyle w:val="Heading2"/>
        <w:rPr>
          <w:rFonts w:ascii="仿宋_GB2312" w:eastAsia="仿宋_GB2312"/>
          <w:sz w:val="28"/>
          <w:szCs w:val="28"/>
        </w:rPr>
      </w:pPr>
      <w:bookmarkStart w:id="10" w:name="_Toc499890256"/>
      <w:r>
        <w:rPr>
          <w:rFonts w:ascii="仿宋_GB2312" w:eastAsia="仿宋_GB2312" w:hint="eastAsia"/>
          <w:sz w:val="28"/>
          <w:szCs w:val="28"/>
        </w:rPr>
        <w:t>八、估价原则</w:t>
      </w:r>
      <w:bookmarkEnd w:id="10"/>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 xml:space="preserve">1. </w:t>
      </w:r>
      <w:r>
        <w:rPr>
          <w:rFonts w:ascii="仿宋_GB2312" w:eastAsia="仿宋_GB2312" w:hAnsi="宋体" w:hint="eastAsia"/>
          <w:sz w:val="28"/>
          <w:szCs w:val="28"/>
        </w:rPr>
        <w:t>合法原则，要求估价结果是在依法判定的估价对象状况下的价值或价格的原则。</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要求房地产估价应以估价对象的合法权益为前提进行。合法权益包括合法产权、合法使用、合法处分等方面。遵循合法原则，具体来说有下列几个方面：</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①在合法产权方面，应以房地产权属证书和有关证明文件为依据；</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②在合法使用方面，应以城市规划、土地用途管制等为依据；</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③在合法处分方面，应以法律、法规或合同（如土地使用权出让合同）等允许的处分方式为依据。</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 xml:space="preserve">2. </w:t>
      </w:r>
      <w:r>
        <w:rPr>
          <w:rFonts w:ascii="仿宋_GB2312" w:eastAsia="仿宋_GB2312" w:hAnsi="宋体" w:hint="eastAsia"/>
          <w:sz w:val="28"/>
          <w:szCs w:val="28"/>
        </w:rPr>
        <w:t>最高最佳利用原则，要求估价结果是在估价对象最高最佳利用状况下的价值或价格的原则。</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最高最佳利用是指房地产在法律上允许、技术上可能、财务上可行并使价值最大的合理、可能的利用</w:t>
      </w:r>
      <w:r>
        <w:rPr>
          <w:rFonts w:ascii="仿宋_GB2312" w:eastAsia="仿宋_GB2312" w:hAnsi="宋体"/>
          <w:sz w:val="28"/>
          <w:szCs w:val="28"/>
        </w:rPr>
        <w:t xml:space="preserve"> </w:t>
      </w:r>
      <w:r>
        <w:rPr>
          <w:rFonts w:ascii="仿宋_GB2312" w:eastAsia="仿宋_GB2312" w:hAnsi="宋体" w:hint="eastAsia"/>
          <w:sz w:val="28"/>
          <w:szCs w:val="28"/>
        </w:rPr>
        <w:t>，包括最佳的用途、规模、档次等。</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 xml:space="preserve">3. </w:t>
      </w:r>
      <w:r>
        <w:rPr>
          <w:rFonts w:ascii="仿宋_GB2312" w:eastAsia="仿宋_GB2312" w:hAnsi="宋体" w:hint="eastAsia"/>
          <w:sz w:val="28"/>
          <w:szCs w:val="28"/>
        </w:rPr>
        <w:t>替代原则，要求估价结果与估价对象的类似房地产在同等条件下的价值或价格偏差在合理范围内的原则。</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 xml:space="preserve">4. </w:t>
      </w:r>
      <w:r>
        <w:rPr>
          <w:rFonts w:ascii="仿宋_GB2312" w:eastAsia="仿宋_GB2312" w:hAnsi="宋体" w:hint="eastAsia"/>
          <w:sz w:val="28"/>
          <w:szCs w:val="28"/>
        </w:rPr>
        <w:t>价值时点原则，要求估价结果是在根据估价目的确定的某一特定时间的价值或价格的原则。</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 xml:space="preserve">5. </w:t>
      </w:r>
      <w:r>
        <w:rPr>
          <w:rFonts w:ascii="仿宋_GB2312" w:eastAsia="仿宋_GB2312" w:hAnsi="宋体" w:hint="eastAsia"/>
          <w:sz w:val="28"/>
          <w:szCs w:val="28"/>
        </w:rPr>
        <w:t>独立、客观、公正原则，要求站在中立的立场上，实事求是、公平正直地评估出对各方估价利害关系人均是公平合理的价值或价格的原则。</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6.</w:t>
      </w:r>
      <w:r>
        <w:rPr>
          <w:rFonts w:ascii="仿宋_GB2312" w:eastAsia="仿宋_GB2312" w:hAnsi="宋体" w:hint="eastAsia"/>
          <w:sz w:val="28"/>
          <w:szCs w:val="28"/>
        </w:rPr>
        <w:t>谨慎原则，要求在影响估价对象价值或价格的因素存在不确定性的情况下对其作出判断时，应充分考虑其导致估价对象价值或价格偏低的一面，慎重考虑其导致估价对象或价格偏高的一面的原则。</w:t>
      </w:r>
    </w:p>
    <w:p w:rsidR="007C13F5" w:rsidRDefault="007C13F5">
      <w:pPr>
        <w:pStyle w:val="Heading2"/>
        <w:rPr>
          <w:rFonts w:ascii="仿宋_GB2312" w:eastAsia="仿宋_GB2312"/>
          <w:sz w:val="28"/>
          <w:szCs w:val="28"/>
        </w:rPr>
      </w:pPr>
      <w:bookmarkStart w:id="11" w:name="_Toc499890257"/>
      <w:r>
        <w:rPr>
          <w:rFonts w:ascii="仿宋_GB2312" w:eastAsia="仿宋_GB2312" w:hint="eastAsia"/>
          <w:sz w:val="28"/>
          <w:szCs w:val="28"/>
        </w:rPr>
        <w:t>九、估价方法</w:t>
      </w:r>
      <w:bookmarkEnd w:id="11"/>
    </w:p>
    <w:p w:rsidR="007C13F5" w:rsidRDefault="007C13F5">
      <w:pPr>
        <w:spacing w:beforeLines="50" w:line="600" w:lineRule="exact"/>
        <w:ind w:firstLineChars="200" w:firstLine="31680"/>
        <w:rPr>
          <w:rFonts w:ascii="仿宋_GB2312" w:eastAsia="仿宋_GB2312" w:hAnsi="宋体"/>
          <w:sz w:val="28"/>
          <w:szCs w:val="28"/>
        </w:rPr>
      </w:pPr>
      <w:bookmarkStart w:id="12" w:name="_Toc499890258"/>
      <w:r>
        <w:rPr>
          <w:rFonts w:ascii="仿宋_GB2312" w:eastAsia="仿宋_GB2312" w:hAnsi="宋体"/>
          <w:sz w:val="28"/>
          <w:szCs w:val="28"/>
        </w:rPr>
        <w:t>1</w:t>
      </w:r>
      <w:r>
        <w:rPr>
          <w:rFonts w:ascii="仿宋_GB2312" w:eastAsia="仿宋_GB2312" w:hAnsi="宋体" w:hint="eastAsia"/>
          <w:sz w:val="28"/>
          <w:szCs w:val="28"/>
        </w:rPr>
        <w:t>、估价方法的选择</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估价方法常用方法有比较法、收益法、成本法、假设开发法。根据《房地产估价规范》，有条件选用比较法进行估价的，应以比较法为主要的估价方法；收益性房地产的估价，应选用收益法；具有投资开发或再开发潜力的房地产估价，应选用假设开发法；在无市场依据或依据不充分而不宜采用比较法、收益法、假设开发法进行估价的情况下，可采用成本法。</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我们深入细致地分析了估价对象的特点、现状、委托方提供的资料及现有信息，在实地勘察、调研的基础上，根据《房地产估价规范》的要求和估价对象所处的市场情况，本次估价确定采用比较法进行评估，其依据是：</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估价对象周边有一定量的类似房地产交易案例，通过对交易案例进行调整及修正后，可得出估价对象的评估价格，故可选取比较法进行评估。</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2</w:t>
      </w:r>
      <w:r>
        <w:rPr>
          <w:rFonts w:ascii="仿宋_GB2312" w:eastAsia="仿宋_GB2312" w:hAnsi="宋体" w:hint="eastAsia"/>
          <w:sz w:val="28"/>
          <w:szCs w:val="28"/>
        </w:rPr>
        <w:t>、估价方法的定义和公式</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比较法定义：比较法是依据房地产交易中的替代原则，选取与估价对象类似的可比实例，分别进行实地勘察，并分别做出交易情况、交易日期、区域因素与实物因素的调整，求取比准价格最终确定估价对象评估价。比较法能够很好地体现估价对象的市场属性，具有很强的时点性并充分反映了当时、当地类似房地产的供求关系。</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比较法所采用的基本公式如下：</w:t>
      </w:r>
    </w:p>
    <w:p w:rsidR="007C13F5" w:rsidRDefault="007C13F5">
      <w:pPr>
        <w:spacing w:beforeLines="50" w:line="600" w:lineRule="exact"/>
        <w:ind w:firstLine="560"/>
        <w:rPr>
          <w:rFonts w:ascii="仿宋_GB2312" w:eastAsia="仿宋_GB2312" w:hAnsi="宋体"/>
          <w:sz w:val="28"/>
          <w:szCs w:val="28"/>
        </w:rPr>
      </w:pPr>
      <w:r>
        <w:rPr>
          <w:rFonts w:ascii="仿宋_GB2312" w:eastAsia="仿宋_GB2312" w:hAnsi="宋体"/>
          <w:sz w:val="28"/>
          <w:szCs w:val="28"/>
        </w:rPr>
        <w:t xml:space="preserve">a. </w:t>
      </w:r>
      <w:r>
        <w:rPr>
          <w:rFonts w:ascii="仿宋_GB2312" w:eastAsia="仿宋_GB2312" w:hAnsi="宋体" w:hint="eastAsia"/>
          <w:sz w:val="28"/>
          <w:szCs w:val="28"/>
        </w:rPr>
        <w:t>估价对象评估总价</w:t>
      </w:r>
      <w:r>
        <w:rPr>
          <w:rFonts w:ascii="仿宋_GB2312" w:eastAsia="仿宋_GB2312" w:hAnsi="宋体"/>
          <w:sz w:val="28"/>
          <w:szCs w:val="28"/>
        </w:rPr>
        <w:t>=</w:t>
      </w:r>
      <w:r>
        <w:rPr>
          <w:rFonts w:ascii="仿宋_GB2312" w:eastAsia="仿宋_GB2312" w:hAnsi="宋体" w:hint="eastAsia"/>
          <w:sz w:val="28"/>
          <w:szCs w:val="28"/>
        </w:rPr>
        <w:t>估价对象评估单价×估价对象建筑面积</w:t>
      </w:r>
      <w:r>
        <w:rPr>
          <w:rFonts w:ascii="仿宋_GB2312" w:eastAsia="仿宋_GB2312" w:hAnsi="宋体"/>
          <w:sz w:val="28"/>
          <w:szCs w:val="28"/>
        </w:rPr>
        <w:t xml:space="preserve">                   </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 xml:space="preserve">b. </w:t>
      </w:r>
      <w:r>
        <w:rPr>
          <w:rFonts w:ascii="仿宋_GB2312" w:eastAsia="仿宋_GB2312" w:hAnsi="宋体" w:hint="eastAsia"/>
          <w:sz w:val="28"/>
          <w:szCs w:val="28"/>
        </w:rPr>
        <w:t>估价对象评估单价</w:t>
      </w:r>
      <w:r>
        <w:rPr>
          <w:rFonts w:ascii="仿宋_GB2312" w:eastAsia="仿宋_GB2312" w:hAnsi="宋体"/>
          <w:sz w:val="28"/>
          <w:szCs w:val="28"/>
        </w:rPr>
        <w:t>=</w:t>
      </w:r>
      <w:r>
        <w:rPr>
          <w:rFonts w:ascii="仿宋_GB2312" w:eastAsia="仿宋_GB2312" w:hAnsi="宋体" w:hint="eastAsia"/>
          <w:sz w:val="28"/>
          <w:szCs w:val="28"/>
        </w:rPr>
        <w:t>各可比实例比准价格之和÷可比实例数</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 xml:space="preserve">c. </w:t>
      </w:r>
      <w:r>
        <w:rPr>
          <w:rFonts w:ascii="仿宋_GB2312" w:eastAsia="仿宋_GB2312" w:hAnsi="宋体" w:hint="eastAsia"/>
          <w:sz w:val="28"/>
          <w:szCs w:val="28"/>
        </w:rPr>
        <w:t>比准价格</w:t>
      </w:r>
      <w:r>
        <w:rPr>
          <w:rFonts w:ascii="仿宋_GB2312" w:eastAsia="仿宋_GB2312" w:hAnsi="宋体"/>
          <w:sz w:val="28"/>
          <w:szCs w:val="28"/>
        </w:rPr>
        <w:t>=</w:t>
      </w:r>
      <w:r>
        <w:rPr>
          <w:rFonts w:ascii="仿宋_GB2312" w:eastAsia="仿宋_GB2312" w:hAnsi="宋体" w:hint="eastAsia"/>
          <w:sz w:val="28"/>
          <w:szCs w:val="28"/>
        </w:rPr>
        <w:t>可比实例单价×总调整系数</w:t>
      </w:r>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sz w:val="28"/>
          <w:szCs w:val="28"/>
        </w:rPr>
        <w:t xml:space="preserve">d. </w:t>
      </w:r>
      <w:r>
        <w:rPr>
          <w:rFonts w:ascii="仿宋_GB2312" w:eastAsia="仿宋_GB2312" w:hAnsi="宋体" w:hint="eastAsia"/>
          <w:sz w:val="28"/>
          <w:szCs w:val="28"/>
        </w:rPr>
        <w:t>总调整系数</w:t>
      </w:r>
      <w:r>
        <w:rPr>
          <w:rFonts w:ascii="仿宋_GB2312" w:eastAsia="仿宋_GB2312" w:hAnsi="宋体"/>
          <w:sz w:val="28"/>
          <w:szCs w:val="28"/>
        </w:rPr>
        <w:t>=</w:t>
      </w:r>
      <w:r>
        <w:rPr>
          <w:rFonts w:ascii="仿宋_GB2312" w:eastAsia="仿宋_GB2312" w:hAnsi="宋体" w:hint="eastAsia"/>
          <w:sz w:val="28"/>
          <w:szCs w:val="28"/>
        </w:rPr>
        <w:t>交易情况修正系数×交易日期调整系数×权益状况调整系数×区域因素调整系数×实物因素调整系数</w:t>
      </w:r>
    </w:p>
    <w:p w:rsidR="007C13F5" w:rsidRDefault="007C13F5">
      <w:pPr>
        <w:pStyle w:val="Heading2"/>
        <w:rPr>
          <w:rFonts w:ascii="仿宋_GB2312" w:eastAsia="仿宋_GB2312"/>
          <w:sz w:val="28"/>
          <w:szCs w:val="28"/>
        </w:rPr>
      </w:pPr>
      <w:r>
        <w:rPr>
          <w:rFonts w:ascii="仿宋_GB2312" w:eastAsia="仿宋_GB2312" w:hint="eastAsia"/>
          <w:sz w:val="28"/>
          <w:szCs w:val="28"/>
        </w:rPr>
        <w:t>十、估价结果</w:t>
      </w:r>
      <w:bookmarkEnd w:id="12"/>
    </w:p>
    <w:p w:rsidR="007C13F5" w:rsidRDefault="007C13F5">
      <w:pPr>
        <w:spacing w:beforeLines="50" w:line="600" w:lineRule="exact"/>
        <w:ind w:firstLineChars="200" w:firstLine="31680"/>
        <w:rPr>
          <w:rFonts w:ascii="仿宋_GB2312" w:eastAsia="仿宋_GB2312" w:hAnsi="宋体"/>
          <w:sz w:val="28"/>
          <w:szCs w:val="28"/>
        </w:rPr>
      </w:pPr>
      <w:r>
        <w:rPr>
          <w:rFonts w:ascii="仿宋_GB2312" w:eastAsia="仿宋_GB2312" w:hAnsi="宋体" w:hint="eastAsia"/>
          <w:sz w:val="28"/>
          <w:szCs w:val="28"/>
        </w:rPr>
        <w:t>本公司根据估价目的、遵循估价原则、遵循估价程序、选取科学的估价方法、在认真研究现有资料和对影响房地产市场价格诸因素进行综合分析的基础上，采用比较法，经过严密、科学地测算并结合估价人员的经验，确定估价对象于价值时点的市场价值为：</w:t>
      </w:r>
    </w:p>
    <w:p w:rsidR="007C13F5" w:rsidRDefault="007C13F5">
      <w:pPr>
        <w:spacing w:beforeLines="50" w:line="560" w:lineRule="exact"/>
        <w:ind w:firstLineChars="200" w:firstLine="31680"/>
        <w:rPr>
          <w:rFonts w:ascii="仿宋_GB2312" w:eastAsia="仿宋_GB2312" w:hAnsi="宋体"/>
          <w:b/>
          <w:sz w:val="28"/>
          <w:szCs w:val="28"/>
        </w:rPr>
      </w:pPr>
      <w:bookmarkStart w:id="13" w:name="_Toc499890259"/>
      <w:r>
        <w:rPr>
          <w:rFonts w:ascii="仿宋_GB2312" w:eastAsia="仿宋_GB2312" w:hAnsi="宋体" w:hint="eastAsia"/>
          <w:b/>
          <w:sz w:val="28"/>
          <w:szCs w:val="28"/>
        </w:rPr>
        <w:t>（一）市场价值</w:t>
      </w:r>
    </w:p>
    <w:p w:rsidR="007C13F5" w:rsidRDefault="007C13F5">
      <w:pPr>
        <w:spacing w:beforeLines="50" w:line="560" w:lineRule="exact"/>
        <w:ind w:firstLineChars="200" w:firstLine="31680"/>
        <w:jc w:val="center"/>
        <w:rPr>
          <w:rFonts w:ascii="仿宋_GB2312" w:eastAsia="仿宋_GB2312" w:hAnsi="宋体"/>
          <w:b/>
          <w:sz w:val="28"/>
          <w:szCs w:val="28"/>
        </w:rPr>
      </w:pPr>
      <w:r>
        <w:rPr>
          <w:rFonts w:ascii="仿宋_GB2312" w:eastAsia="仿宋_GB2312" w:hAnsi="宋体" w:hint="eastAsia"/>
          <w:b/>
          <w:sz w:val="28"/>
          <w:szCs w:val="28"/>
        </w:rPr>
        <w:t>￥</w:t>
      </w:r>
      <w:r>
        <w:rPr>
          <w:rFonts w:ascii="仿宋_GB2312" w:eastAsia="仿宋_GB2312" w:hAnsi="宋体"/>
          <w:b/>
          <w:sz w:val="28"/>
          <w:szCs w:val="28"/>
        </w:rPr>
        <w:t>77.50</w:t>
      </w:r>
      <w:r>
        <w:rPr>
          <w:rFonts w:ascii="仿宋_GB2312" w:eastAsia="仿宋_GB2312" w:hAnsi="宋体" w:hint="eastAsia"/>
          <w:b/>
          <w:sz w:val="28"/>
          <w:szCs w:val="28"/>
        </w:rPr>
        <w:t>万元（大写人民币柒拾柒万伍仟元）</w:t>
      </w:r>
    </w:p>
    <w:p w:rsidR="007C13F5" w:rsidRDefault="007C13F5">
      <w:pPr>
        <w:spacing w:beforeLines="50" w:line="260" w:lineRule="exact"/>
        <w:jc w:val="center"/>
        <w:rPr>
          <w:rFonts w:ascii="仿宋_GB2312" w:eastAsia="仿宋_GB2312" w:hAnsi="宋体"/>
          <w:b/>
          <w:sz w:val="28"/>
          <w:szCs w:val="28"/>
        </w:rPr>
      </w:pPr>
      <w:r>
        <w:rPr>
          <w:rFonts w:ascii="仿宋_GB2312" w:eastAsia="仿宋_GB2312" w:hAnsi="宋体" w:hint="eastAsia"/>
          <w:sz w:val="28"/>
          <w:szCs w:val="28"/>
        </w:rPr>
        <w:t>详见下表：</w:t>
      </w:r>
    </w:p>
    <w:tbl>
      <w:tblPr>
        <w:tblW w:w="9525" w:type="dxa"/>
        <w:jc w:val="center"/>
        <w:tblInd w:w="1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851"/>
        <w:gridCol w:w="2835"/>
        <w:gridCol w:w="1176"/>
        <w:gridCol w:w="930"/>
        <w:gridCol w:w="998"/>
        <w:gridCol w:w="687"/>
        <w:gridCol w:w="1056"/>
        <w:gridCol w:w="992"/>
      </w:tblGrid>
      <w:tr w:rsidR="007C13F5">
        <w:trPr>
          <w:trHeight w:val="618"/>
          <w:jc w:val="center"/>
        </w:trPr>
        <w:tc>
          <w:tcPr>
            <w:tcW w:w="851"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所有权人</w:t>
            </w:r>
          </w:p>
        </w:tc>
        <w:tc>
          <w:tcPr>
            <w:tcW w:w="2835"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房屋坐落</w:t>
            </w:r>
          </w:p>
        </w:tc>
        <w:tc>
          <w:tcPr>
            <w:tcW w:w="1176"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房产证号</w:t>
            </w:r>
            <w:r>
              <w:rPr>
                <w:rFonts w:ascii="宋体" w:hAnsi="宋体" w:cs="宋体"/>
                <w:color w:val="000000"/>
                <w:kern w:val="0"/>
                <w:szCs w:val="21"/>
              </w:rPr>
              <w:t xml:space="preserve">     </w:t>
            </w:r>
          </w:p>
        </w:tc>
        <w:tc>
          <w:tcPr>
            <w:tcW w:w="930"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所在层</w:t>
            </w:r>
            <w:r>
              <w:rPr>
                <w:rFonts w:ascii="宋体" w:hAnsi="宋体" w:cs="宋体"/>
                <w:color w:val="000000"/>
                <w:kern w:val="0"/>
                <w:szCs w:val="21"/>
              </w:rPr>
              <w:t>/</w:t>
            </w:r>
            <w:r>
              <w:rPr>
                <w:rFonts w:ascii="宋体" w:hAnsi="宋体" w:cs="宋体" w:hint="eastAsia"/>
                <w:color w:val="000000"/>
                <w:kern w:val="0"/>
                <w:szCs w:val="21"/>
              </w:rPr>
              <w:t>总楼层</w:t>
            </w:r>
          </w:p>
        </w:tc>
        <w:tc>
          <w:tcPr>
            <w:tcW w:w="998"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建筑面积（㎡）</w:t>
            </w:r>
          </w:p>
        </w:tc>
        <w:tc>
          <w:tcPr>
            <w:tcW w:w="687"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设计用途</w:t>
            </w:r>
          </w:p>
        </w:tc>
        <w:tc>
          <w:tcPr>
            <w:tcW w:w="1056" w:type="dxa"/>
            <w:vAlign w:val="center"/>
          </w:tcPr>
          <w:p w:rsidR="007C13F5" w:rsidRDefault="007C13F5">
            <w:pPr>
              <w:widowControl/>
              <w:spacing w:line="260" w:lineRule="exact"/>
              <w:jc w:val="center"/>
              <w:rPr>
                <w:rFonts w:ascii="宋体" w:cs="Tahoma"/>
                <w:kern w:val="0"/>
                <w:szCs w:val="21"/>
              </w:rPr>
            </w:pPr>
            <w:r>
              <w:rPr>
                <w:rFonts w:ascii="宋体" w:hAnsi="宋体" w:cs="Tahoma" w:hint="eastAsia"/>
                <w:kern w:val="0"/>
                <w:szCs w:val="21"/>
              </w:rPr>
              <w:t>单价</w:t>
            </w:r>
            <w:r>
              <w:rPr>
                <w:rFonts w:ascii="宋体" w:hAnsi="宋体" w:cs="Tahoma"/>
                <w:kern w:val="0"/>
                <w:szCs w:val="21"/>
              </w:rPr>
              <w:t xml:space="preserve">   (</w:t>
            </w:r>
            <w:r>
              <w:rPr>
                <w:rFonts w:ascii="宋体" w:hAnsi="宋体" w:cs="Tahoma" w:hint="eastAsia"/>
                <w:kern w:val="0"/>
                <w:szCs w:val="21"/>
              </w:rPr>
              <w:t>元</w:t>
            </w:r>
            <w:r>
              <w:rPr>
                <w:rFonts w:ascii="宋体" w:hAnsi="宋体" w:cs="Tahoma"/>
                <w:kern w:val="0"/>
                <w:szCs w:val="21"/>
              </w:rPr>
              <w:t>/m</w:t>
            </w:r>
            <w:r>
              <w:rPr>
                <w:rFonts w:ascii="宋体" w:hAnsi="宋体" w:cs="Tahoma"/>
                <w:kern w:val="0"/>
                <w:szCs w:val="21"/>
                <w:vertAlign w:val="superscript"/>
              </w:rPr>
              <w:t>2</w:t>
            </w:r>
            <w:r>
              <w:rPr>
                <w:rFonts w:ascii="宋体" w:hAnsi="宋体" w:cs="Tahoma"/>
                <w:kern w:val="0"/>
                <w:szCs w:val="21"/>
              </w:rPr>
              <w:t>)</w:t>
            </w:r>
          </w:p>
        </w:tc>
        <w:tc>
          <w:tcPr>
            <w:tcW w:w="992" w:type="dxa"/>
            <w:vAlign w:val="center"/>
          </w:tcPr>
          <w:p w:rsidR="007C13F5" w:rsidRDefault="007C13F5">
            <w:pPr>
              <w:widowControl/>
              <w:spacing w:line="260" w:lineRule="exact"/>
              <w:jc w:val="center"/>
              <w:rPr>
                <w:rFonts w:ascii="宋体" w:cs="Tahoma"/>
                <w:kern w:val="0"/>
                <w:szCs w:val="21"/>
              </w:rPr>
            </w:pPr>
            <w:r>
              <w:rPr>
                <w:rFonts w:ascii="宋体" w:hAnsi="宋体" w:cs="Tahoma" w:hint="eastAsia"/>
                <w:kern w:val="0"/>
                <w:szCs w:val="21"/>
              </w:rPr>
              <w:t>总价</w:t>
            </w:r>
            <w:r>
              <w:rPr>
                <w:rFonts w:ascii="宋体" w:hAnsi="宋体" w:cs="Tahoma"/>
                <w:kern w:val="0"/>
                <w:szCs w:val="21"/>
              </w:rPr>
              <w:t xml:space="preserve">    </w:t>
            </w:r>
            <w:r>
              <w:rPr>
                <w:rFonts w:ascii="宋体" w:hAnsi="宋体" w:cs="Tahoma" w:hint="eastAsia"/>
                <w:kern w:val="0"/>
                <w:szCs w:val="21"/>
              </w:rPr>
              <w:t>（万元）</w:t>
            </w:r>
          </w:p>
        </w:tc>
      </w:tr>
      <w:tr w:rsidR="007C13F5">
        <w:trPr>
          <w:trHeight w:val="904"/>
          <w:jc w:val="center"/>
        </w:trPr>
        <w:tc>
          <w:tcPr>
            <w:tcW w:w="851"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吴小兰</w:t>
            </w:r>
            <w:r>
              <w:rPr>
                <w:rFonts w:ascii="宋体" w:hAnsi="宋体" w:cs="宋体"/>
                <w:color w:val="000000"/>
                <w:kern w:val="0"/>
                <w:szCs w:val="21"/>
              </w:rPr>
              <w:t xml:space="preserve">   </w:t>
            </w:r>
          </w:p>
        </w:tc>
        <w:tc>
          <w:tcPr>
            <w:tcW w:w="2835" w:type="dxa"/>
            <w:vAlign w:val="center"/>
          </w:tcPr>
          <w:p w:rsidR="007C13F5" w:rsidRDefault="007C13F5">
            <w:pPr>
              <w:widowControl/>
              <w:spacing w:line="260" w:lineRule="exact"/>
              <w:jc w:val="left"/>
              <w:rPr>
                <w:rFonts w:ascii="宋体" w:cs="宋体"/>
                <w:color w:val="000000"/>
                <w:kern w:val="0"/>
                <w:szCs w:val="21"/>
              </w:rPr>
            </w:pPr>
            <w:r>
              <w:rPr>
                <w:rFonts w:ascii="宋体" w:hAnsi="宋体" w:cs="宋体" w:hint="eastAsia"/>
                <w:color w:val="000000"/>
                <w:kern w:val="0"/>
                <w:szCs w:val="21"/>
              </w:rPr>
              <w:t>大理市下关镇七里桥感通小区（感通小镇一期</w:t>
            </w:r>
            <w:r>
              <w:rPr>
                <w:rFonts w:ascii="宋体" w:hAnsi="宋体" w:cs="宋体"/>
                <w:color w:val="000000"/>
                <w:kern w:val="0"/>
                <w:szCs w:val="21"/>
              </w:rPr>
              <w:t>81</w:t>
            </w:r>
            <w:r>
              <w:rPr>
                <w:rFonts w:ascii="宋体" w:hAnsi="宋体" w:cs="宋体" w:hint="eastAsia"/>
                <w:color w:val="000000"/>
                <w:kern w:val="0"/>
                <w:szCs w:val="21"/>
              </w:rPr>
              <w:t>号）</w:t>
            </w:r>
          </w:p>
        </w:tc>
        <w:tc>
          <w:tcPr>
            <w:tcW w:w="1176"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color w:val="000000"/>
                <w:kern w:val="0"/>
                <w:szCs w:val="21"/>
              </w:rPr>
              <w:t>909500</w:t>
            </w:r>
          </w:p>
        </w:tc>
        <w:tc>
          <w:tcPr>
            <w:tcW w:w="930"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color w:val="000000"/>
                <w:kern w:val="0"/>
                <w:szCs w:val="21"/>
              </w:rPr>
              <w:t>1-2/2</w:t>
            </w:r>
          </w:p>
        </w:tc>
        <w:tc>
          <w:tcPr>
            <w:tcW w:w="998"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color w:val="000000"/>
                <w:kern w:val="0"/>
                <w:szCs w:val="21"/>
              </w:rPr>
              <w:t>44.58</w:t>
            </w:r>
          </w:p>
        </w:tc>
        <w:tc>
          <w:tcPr>
            <w:tcW w:w="687"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住宅</w:t>
            </w:r>
          </w:p>
        </w:tc>
        <w:tc>
          <w:tcPr>
            <w:tcW w:w="1056" w:type="dxa"/>
            <w:noWrap/>
            <w:vAlign w:val="center"/>
          </w:tcPr>
          <w:p w:rsidR="007C13F5" w:rsidRDefault="007C13F5">
            <w:pPr>
              <w:widowControl/>
              <w:spacing w:line="260" w:lineRule="exact"/>
              <w:jc w:val="right"/>
              <w:rPr>
                <w:rFonts w:ascii="宋体" w:cs="宋体"/>
                <w:color w:val="000000"/>
                <w:kern w:val="0"/>
                <w:szCs w:val="21"/>
              </w:rPr>
            </w:pPr>
            <w:r>
              <w:rPr>
                <w:rFonts w:ascii="宋体" w:hAnsi="宋体" w:cs="宋体"/>
                <w:color w:val="000000"/>
                <w:kern w:val="0"/>
                <w:szCs w:val="21"/>
              </w:rPr>
              <w:t xml:space="preserve">17385.18 </w:t>
            </w:r>
          </w:p>
        </w:tc>
        <w:tc>
          <w:tcPr>
            <w:tcW w:w="992" w:type="dxa"/>
            <w:noWrap/>
            <w:vAlign w:val="center"/>
          </w:tcPr>
          <w:p w:rsidR="007C13F5" w:rsidRDefault="007C13F5">
            <w:pPr>
              <w:widowControl/>
              <w:spacing w:line="260" w:lineRule="exact"/>
              <w:jc w:val="right"/>
              <w:rPr>
                <w:rFonts w:ascii="宋体" w:cs="宋体"/>
                <w:color w:val="000000"/>
                <w:kern w:val="0"/>
                <w:szCs w:val="21"/>
              </w:rPr>
            </w:pPr>
            <w:r>
              <w:rPr>
                <w:rFonts w:ascii="宋体" w:hAnsi="宋体" w:cs="宋体"/>
                <w:color w:val="000000"/>
                <w:kern w:val="0"/>
                <w:szCs w:val="21"/>
              </w:rPr>
              <w:t xml:space="preserve">77.50 </w:t>
            </w:r>
          </w:p>
        </w:tc>
      </w:tr>
    </w:tbl>
    <w:p w:rsidR="007C13F5" w:rsidRDefault="007C13F5">
      <w:pPr>
        <w:spacing w:beforeLines="50" w:line="260" w:lineRule="exact"/>
        <w:jc w:val="center"/>
        <w:rPr>
          <w:rFonts w:ascii="仿宋_GB2312" w:eastAsia="仿宋_GB2312" w:hAnsi="宋体"/>
          <w:b/>
          <w:sz w:val="28"/>
          <w:szCs w:val="28"/>
        </w:rPr>
      </w:pPr>
    </w:p>
    <w:p w:rsidR="007C13F5" w:rsidRDefault="007C13F5">
      <w:pPr>
        <w:spacing w:beforeLines="50" w:line="260" w:lineRule="exact"/>
        <w:ind w:firstLineChars="196" w:firstLine="31680"/>
        <w:rPr>
          <w:rFonts w:ascii="仿宋_GB2312" w:eastAsia="仿宋_GB2312" w:hAnsi="宋体"/>
          <w:b/>
          <w:sz w:val="28"/>
          <w:szCs w:val="28"/>
        </w:rPr>
      </w:pPr>
      <w:r>
        <w:rPr>
          <w:rFonts w:ascii="仿宋_GB2312" w:eastAsia="仿宋_GB2312" w:hAnsi="宋体" w:hint="eastAsia"/>
          <w:b/>
          <w:sz w:val="28"/>
          <w:szCs w:val="28"/>
        </w:rPr>
        <w:t>（二）出卖方和买受方应负担的税费计算方式</w:t>
      </w:r>
    </w:p>
    <w:p w:rsidR="007C13F5" w:rsidRDefault="007C13F5">
      <w:pPr>
        <w:spacing w:beforeLines="50" w:line="560" w:lineRule="exact"/>
        <w:ind w:firstLineChars="200" w:firstLine="31680"/>
        <w:jc w:val="center"/>
        <w:rPr>
          <w:rFonts w:ascii="仿宋_GB2312" w:eastAsia="仿宋_GB2312" w:hAnsi="宋体"/>
          <w:b/>
          <w:sz w:val="28"/>
          <w:szCs w:val="28"/>
        </w:rPr>
      </w:pPr>
    </w:p>
    <w:p w:rsidR="007C13F5" w:rsidRDefault="007C13F5">
      <w:pPr>
        <w:spacing w:beforeLines="50" w:line="560" w:lineRule="exact"/>
        <w:ind w:firstLineChars="200" w:firstLine="31680"/>
        <w:jc w:val="center"/>
        <w:rPr>
          <w:rFonts w:ascii="仿宋_GB2312" w:eastAsia="仿宋_GB2312" w:hAnsi="宋体"/>
          <w:sz w:val="28"/>
          <w:szCs w:val="28"/>
        </w:rPr>
      </w:pPr>
      <w:r>
        <w:rPr>
          <w:rFonts w:ascii="仿宋_GB2312" w:eastAsia="仿宋_GB2312" w:hAnsi="宋体" w:hint="eastAsia"/>
          <w:sz w:val="28"/>
          <w:szCs w:val="28"/>
        </w:rPr>
        <w:t>大理市住宅房地产市场二手房交易税费</w:t>
      </w:r>
    </w:p>
    <w:tbl>
      <w:tblPr>
        <w:tblW w:w="9654"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2100"/>
        <w:gridCol w:w="2200"/>
        <w:gridCol w:w="4180"/>
        <w:gridCol w:w="1174"/>
      </w:tblGrid>
      <w:tr w:rsidR="007C13F5">
        <w:trPr>
          <w:trHeight w:val="600"/>
        </w:trPr>
        <w:tc>
          <w:tcPr>
            <w:tcW w:w="2100"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交易税种</w:t>
            </w:r>
          </w:p>
        </w:tc>
        <w:tc>
          <w:tcPr>
            <w:tcW w:w="2200"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税率</w:t>
            </w:r>
          </w:p>
        </w:tc>
        <w:tc>
          <w:tcPr>
            <w:tcW w:w="4180"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具体政策</w:t>
            </w:r>
          </w:p>
        </w:tc>
        <w:tc>
          <w:tcPr>
            <w:tcW w:w="1174"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承担方</w:t>
            </w: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个人所得税</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1%</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住宅满</w:t>
            </w:r>
            <w:r>
              <w:rPr>
                <w:rFonts w:ascii="宋体" w:hAnsi="宋体" w:cs="宋体"/>
                <w:color w:val="000000"/>
                <w:kern w:val="0"/>
                <w:sz w:val="22"/>
                <w:szCs w:val="22"/>
              </w:rPr>
              <w:t>5</w:t>
            </w:r>
            <w:r>
              <w:rPr>
                <w:rFonts w:ascii="宋体" w:hAnsi="宋体" w:cs="宋体" w:hint="eastAsia"/>
                <w:color w:val="000000"/>
                <w:kern w:val="0"/>
                <w:sz w:val="22"/>
                <w:szCs w:val="22"/>
              </w:rPr>
              <w:t>年且唯一免征，必须提供无房证明</w:t>
            </w:r>
          </w:p>
        </w:tc>
        <w:tc>
          <w:tcPr>
            <w:tcW w:w="1174" w:type="dxa"/>
            <w:vAlign w:val="bottom"/>
          </w:tcPr>
          <w:p w:rsidR="007C13F5" w:rsidRDefault="007C13F5">
            <w:pPr>
              <w:widowControl/>
              <w:jc w:val="center"/>
              <w:rPr>
                <w:rFonts w:ascii="宋体" w:cs="宋体"/>
                <w:kern w:val="0"/>
                <w:sz w:val="22"/>
                <w:szCs w:val="22"/>
              </w:rPr>
            </w:pPr>
            <w:r>
              <w:rPr>
                <w:rFonts w:ascii="宋体" w:hAnsi="宋体" w:cs="宋体" w:hint="eastAsia"/>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契税（首套房）</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1-1.5%</w:t>
            </w:r>
          </w:p>
        </w:tc>
        <w:tc>
          <w:tcPr>
            <w:tcW w:w="418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1%</w:t>
            </w: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1.5%</w:t>
            </w:r>
          </w:p>
        </w:tc>
        <w:tc>
          <w:tcPr>
            <w:tcW w:w="1174" w:type="dxa"/>
            <w:vMerge w:val="restart"/>
            <w:vAlign w:val="bottom"/>
          </w:tcPr>
          <w:p w:rsidR="007C13F5" w:rsidRDefault="007C13F5">
            <w:pPr>
              <w:widowControl/>
              <w:jc w:val="center"/>
              <w:rPr>
                <w:rFonts w:ascii="宋体" w:cs="宋体"/>
                <w:kern w:val="0"/>
                <w:sz w:val="22"/>
                <w:szCs w:val="22"/>
              </w:rPr>
            </w:pPr>
            <w:r>
              <w:rPr>
                <w:rFonts w:ascii="宋体" w:hAnsi="宋体" w:cs="宋体" w:hint="eastAsia"/>
                <w:kern w:val="0"/>
                <w:sz w:val="22"/>
                <w:szCs w:val="22"/>
              </w:rPr>
              <w:t>买方</w:t>
            </w: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契税（二套房）</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1-2%</w:t>
            </w:r>
          </w:p>
        </w:tc>
        <w:tc>
          <w:tcPr>
            <w:tcW w:w="418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1%</w:t>
            </w: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2%</w:t>
            </w:r>
          </w:p>
        </w:tc>
        <w:tc>
          <w:tcPr>
            <w:tcW w:w="1174" w:type="dxa"/>
            <w:vMerge/>
            <w:vAlign w:val="center"/>
          </w:tcPr>
          <w:p w:rsidR="007C13F5" w:rsidRDefault="007C13F5">
            <w:pPr>
              <w:widowControl/>
              <w:jc w:val="left"/>
              <w:rPr>
                <w:rFonts w:ascii="宋体" w:hAnsi="宋体" w:cs="宋体"/>
                <w:kern w:val="0"/>
                <w:sz w:val="22"/>
                <w:szCs w:val="22"/>
              </w:rPr>
            </w:pP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契税（三套房或以上）</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3%</w:t>
            </w:r>
          </w:p>
        </w:tc>
        <w:tc>
          <w:tcPr>
            <w:tcW w:w="4180" w:type="dxa"/>
            <w:vAlign w:val="bottom"/>
          </w:tcPr>
          <w:p w:rsidR="007C13F5" w:rsidRDefault="007C13F5">
            <w:pPr>
              <w:widowControl/>
              <w:jc w:val="left"/>
              <w:rPr>
                <w:rFonts w:ascii="宋体" w:hAnsi="宋体" w:cs="Arial"/>
                <w:kern w:val="0"/>
                <w:sz w:val="22"/>
                <w:szCs w:val="22"/>
              </w:rPr>
            </w:pPr>
            <w:r>
              <w:rPr>
                <w:rFonts w:ascii="宋体" w:hAnsi="宋体" w:cs="Arial" w:hint="eastAsia"/>
                <w:kern w:val="0"/>
                <w:sz w:val="22"/>
                <w:szCs w:val="22"/>
              </w:rPr>
              <w:t>无论面积大小，均按成交价的</w:t>
            </w:r>
            <w:r>
              <w:rPr>
                <w:rFonts w:ascii="宋体" w:hAnsi="宋体" w:cs="Arial"/>
                <w:kern w:val="0"/>
                <w:sz w:val="22"/>
                <w:szCs w:val="22"/>
              </w:rPr>
              <w:t>3%</w:t>
            </w:r>
          </w:p>
        </w:tc>
        <w:tc>
          <w:tcPr>
            <w:tcW w:w="1174" w:type="dxa"/>
            <w:vMerge/>
            <w:vAlign w:val="center"/>
          </w:tcPr>
          <w:p w:rsidR="007C13F5" w:rsidRDefault="007C13F5">
            <w:pPr>
              <w:widowControl/>
              <w:jc w:val="left"/>
              <w:rPr>
                <w:rFonts w:ascii="宋体" w:cs="宋体"/>
                <w:kern w:val="0"/>
                <w:sz w:val="22"/>
                <w:szCs w:val="22"/>
              </w:rPr>
            </w:pP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增值税及附加</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按成交价的</w:t>
            </w:r>
            <w:r>
              <w:rPr>
                <w:rFonts w:ascii="宋体" w:hAnsi="宋体" w:cs="宋体"/>
                <w:kern w:val="0"/>
                <w:sz w:val="22"/>
                <w:szCs w:val="22"/>
              </w:rPr>
              <w:t>5.6%</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住宅满两年免征</w:t>
            </w:r>
          </w:p>
        </w:tc>
        <w:tc>
          <w:tcPr>
            <w:tcW w:w="1174" w:type="dxa"/>
            <w:vAlign w:val="bottom"/>
          </w:tcPr>
          <w:p w:rsidR="007C13F5" w:rsidRDefault="007C13F5">
            <w:pPr>
              <w:widowControl/>
              <w:jc w:val="center"/>
              <w:rPr>
                <w:rFonts w:ascii="宋体" w:cs="宋体"/>
                <w:color w:val="000000"/>
                <w:kern w:val="0"/>
                <w:sz w:val="22"/>
                <w:szCs w:val="22"/>
              </w:rPr>
            </w:pPr>
            <w:r>
              <w:rPr>
                <w:rFonts w:ascii="宋体" w:hAnsi="宋体" w:cs="宋体" w:hint="eastAsia"/>
                <w:color w:val="000000"/>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土地收益金</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按成交价的</w:t>
            </w:r>
            <w:r>
              <w:rPr>
                <w:rFonts w:ascii="宋体" w:hAnsi="宋体" w:cs="宋体"/>
                <w:kern w:val="0"/>
                <w:sz w:val="22"/>
                <w:szCs w:val="22"/>
              </w:rPr>
              <w:t>0.5%</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房改房、经济适用房、合作建房等需要交此费用</w:t>
            </w:r>
          </w:p>
        </w:tc>
        <w:tc>
          <w:tcPr>
            <w:tcW w:w="1174" w:type="dxa"/>
            <w:vAlign w:val="bottom"/>
          </w:tcPr>
          <w:p w:rsidR="007C13F5" w:rsidRDefault="007C13F5">
            <w:pPr>
              <w:widowControl/>
              <w:jc w:val="center"/>
              <w:rPr>
                <w:rFonts w:ascii="宋体" w:cs="宋体"/>
                <w:color w:val="000000"/>
                <w:kern w:val="0"/>
                <w:sz w:val="22"/>
                <w:szCs w:val="22"/>
              </w:rPr>
            </w:pPr>
            <w:r>
              <w:rPr>
                <w:rFonts w:ascii="宋体" w:hAnsi="宋体" w:cs="宋体" w:hint="eastAsia"/>
                <w:color w:val="000000"/>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土地出让金</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按两次成交价差额的</w:t>
            </w:r>
            <w:r>
              <w:rPr>
                <w:rFonts w:ascii="宋体" w:hAnsi="宋体" w:cs="宋体"/>
                <w:kern w:val="0"/>
                <w:sz w:val="22"/>
                <w:szCs w:val="22"/>
              </w:rPr>
              <w:t>10%</w:t>
            </w:r>
          </w:p>
        </w:tc>
        <w:tc>
          <w:tcPr>
            <w:tcW w:w="418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经济适用房需要交此费用，计算方式：（现成交单价</w:t>
            </w:r>
            <w:r>
              <w:rPr>
                <w:rFonts w:ascii="宋体" w:cs="宋体"/>
                <w:color w:val="000000"/>
                <w:kern w:val="0"/>
                <w:sz w:val="22"/>
                <w:szCs w:val="22"/>
              </w:rPr>
              <w:t>-</w:t>
            </w:r>
            <w:r>
              <w:rPr>
                <w:rFonts w:ascii="宋体" w:hAnsi="宋体" w:cs="宋体" w:hint="eastAsia"/>
                <w:color w:val="000000"/>
                <w:kern w:val="0"/>
                <w:sz w:val="22"/>
                <w:szCs w:val="22"/>
              </w:rPr>
              <w:t>原优惠单价）×原优惠面积×</w:t>
            </w:r>
            <w:r>
              <w:rPr>
                <w:rFonts w:ascii="宋体" w:hAnsi="宋体" w:cs="宋体"/>
                <w:color w:val="000000"/>
                <w:kern w:val="0"/>
                <w:sz w:val="22"/>
                <w:szCs w:val="22"/>
              </w:rPr>
              <w:t>10%</w:t>
            </w:r>
          </w:p>
        </w:tc>
        <w:tc>
          <w:tcPr>
            <w:tcW w:w="1174" w:type="dxa"/>
            <w:vAlign w:val="bottom"/>
          </w:tcPr>
          <w:p w:rsidR="007C13F5" w:rsidRDefault="007C13F5">
            <w:pPr>
              <w:widowControl/>
              <w:jc w:val="center"/>
              <w:rPr>
                <w:rFonts w:ascii="宋体" w:cs="宋体"/>
                <w:color w:val="000000"/>
                <w:kern w:val="0"/>
                <w:sz w:val="22"/>
                <w:szCs w:val="22"/>
              </w:rPr>
            </w:pPr>
            <w:r>
              <w:rPr>
                <w:rFonts w:ascii="宋体" w:hAnsi="宋体" w:cs="宋体" w:hint="eastAsia"/>
                <w:color w:val="000000"/>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印花税</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按成交价的</w:t>
            </w:r>
            <w:r>
              <w:rPr>
                <w:rFonts w:ascii="宋体" w:hAnsi="宋体" w:cs="宋体"/>
                <w:kern w:val="0"/>
                <w:sz w:val="22"/>
                <w:szCs w:val="22"/>
              </w:rPr>
              <w:t>0.05%</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目前住宅免征</w:t>
            </w:r>
          </w:p>
        </w:tc>
        <w:tc>
          <w:tcPr>
            <w:tcW w:w="1174"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买方和卖方各一半</w:t>
            </w:r>
          </w:p>
        </w:tc>
      </w:tr>
    </w:tbl>
    <w:p w:rsidR="007C13F5" w:rsidRDefault="007C13F5" w:rsidP="007C13F5">
      <w:pPr>
        <w:spacing w:beforeLines="50" w:line="560" w:lineRule="exact"/>
        <w:ind w:firstLineChars="200" w:firstLine="31680"/>
        <w:jc w:val="left"/>
        <w:rPr>
          <w:rFonts w:ascii="仿宋_GB2312" w:eastAsia="仿宋_GB2312" w:hAnsi="宋体"/>
          <w:sz w:val="28"/>
          <w:szCs w:val="28"/>
        </w:rPr>
      </w:pPr>
    </w:p>
    <w:p w:rsidR="007C13F5" w:rsidRDefault="007C13F5">
      <w:pPr>
        <w:pStyle w:val="Heading2"/>
        <w:rPr>
          <w:rFonts w:ascii="仿宋_GB2312" w:eastAsia="仿宋_GB2312"/>
          <w:sz w:val="28"/>
          <w:szCs w:val="28"/>
        </w:rPr>
      </w:pPr>
      <w:r>
        <w:rPr>
          <w:rFonts w:ascii="仿宋_GB2312" w:eastAsia="仿宋_GB2312" w:hint="eastAsia"/>
          <w:sz w:val="28"/>
          <w:szCs w:val="28"/>
        </w:rPr>
        <w:t>十一、估价人员</w:t>
      </w:r>
      <w:bookmarkEnd w:id="13"/>
    </w:p>
    <w:tbl>
      <w:tblPr>
        <w:tblW w:w="0" w:type="auto"/>
        <w:jc w:val="center"/>
        <w:tblInd w:w="-3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1422"/>
        <w:gridCol w:w="1842"/>
        <w:gridCol w:w="3082"/>
        <w:gridCol w:w="2872"/>
      </w:tblGrid>
      <w:tr w:rsidR="007C13F5">
        <w:trPr>
          <w:trHeight w:val="852"/>
          <w:jc w:val="center"/>
        </w:trPr>
        <w:tc>
          <w:tcPr>
            <w:tcW w:w="1422" w:type="dxa"/>
            <w:vAlign w:val="center"/>
          </w:tcPr>
          <w:p w:rsidR="007C13F5" w:rsidRDefault="007C13F5">
            <w:pPr>
              <w:spacing w:beforeLines="50" w:line="520" w:lineRule="exact"/>
              <w:jc w:val="center"/>
              <w:rPr>
                <w:rFonts w:ascii="仿宋_GB2312" w:eastAsia="仿宋_GB2312" w:hAnsi="宋体"/>
                <w:b/>
                <w:sz w:val="28"/>
                <w:szCs w:val="28"/>
              </w:rPr>
            </w:pPr>
            <w:r>
              <w:rPr>
                <w:rFonts w:ascii="仿宋_GB2312" w:eastAsia="仿宋_GB2312" w:hAnsi="宋体" w:hint="eastAsia"/>
                <w:b/>
                <w:sz w:val="28"/>
                <w:szCs w:val="28"/>
              </w:rPr>
              <w:t>姓</w:t>
            </w:r>
            <w:r>
              <w:rPr>
                <w:rFonts w:ascii="仿宋_GB2312" w:eastAsia="仿宋_GB2312" w:hAnsi="宋体"/>
                <w:b/>
                <w:sz w:val="28"/>
                <w:szCs w:val="28"/>
              </w:rPr>
              <w:t xml:space="preserve">  </w:t>
            </w:r>
            <w:r>
              <w:rPr>
                <w:rFonts w:ascii="仿宋_GB2312" w:eastAsia="仿宋_GB2312" w:hAnsi="宋体" w:hint="eastAsia"/>
                <w:b/>
                <w:sz w:val="28"/>
                <w:szCs w:val="28"/>
              </w:rPr>
              <w:t>名</w:t>
            </w:r>
          </w:p>
        </w:tc>
        <w:tc>
          <w:tcPr>
            <w:tcW w:w="1842" w:type="dxa"/>
            <w:vAlign w:val="center"/>
          </w:tcPr>
          <w:p w:rsidR="007C13F5" w:rsidRDefault="007C13F5">
            <w:pPr>
              <w:spacing w:beforeLines="50" w:line="520" w:lineRule="exact"/>
              <w:jc w:val="center"/>
              <w:rPr>
                <w:rFonts w:ascii="仿宋_GB2312" w:eastAsia="仿宋_GB2312" w:hAnsi="宋体"/>
                <w:b/>
                <w:sz w:val="28"/>
                <w:szCs w:val="28"/>
              </w:rPr>
            </w:pPr>
            <w:r>
              <w:rPr>
                <w:rFonts w:ascii="仿宋_GB2312" w:eastAsia="仿宋_GB2312" w:hAnsi="宋体" w:hint="eastAsia"/>
                <w:b/>
                <w:sz w:val="28"/>
                <w:szCs w:val="28"/>
              </w:rPr>
              <w:t>注册号</w:t>
            </w:r>
          </w:p>
        </w:tc>
        <w:tc>
          <w:tcPr>
            <w:tcW w:w="3082" w:type="dxa"/>
            <w:vAlign w:val="center"/>
          </w:tcPr>
          <w:p w:rsidR="007C13F5" w:rsidRDefault="007C13F5">
            <w:pPr>
              <w:spacing w:beforeLines="50" w:line="520" w:lineRule="exact"/>
              <w:jc w:val="center"/>
              <w:rPr>
                <w:rFonts w:ascii="仿宋_GB2312" w:eastAsia="仿宋_GB2312" w:hAnsi="宋体"/>
                <w:b/>
                <w:sz w:val="28"/>
                <w:szCs w:val="28"/>
              </w:rPr>
            </w:pPr>
            <w:r>
              <w:rPr>
                <w:rFonts w:ascii="仿宋_GB2312" w:eastAsia="仿宋_GB2312" w:hAnsi="宋体" w:hint="eastAsia"/>
                <w:b/>
                <w:sz w:val="28"/>
                <w:szCs w:val="28"/>
              </w:rPr>
              <w:t>签名</w:t>
            </w:r>
          </w:p>
        </w:tc>
        <w:tc>
          <w:tcPr>
            <w:tcW w:w="2872" w:type="dxa"/>
            <w:vAlign w:val="center"/>
          </w:tcPr>
          <w:p w:rsidR="007C13F5" w:rsidRDefault="007C13F5">
            <w:pPr>
              <w:spacing w:beforeLines="50" w:line="520" w:lineRule="exact"/>
              <w:jc w:val="center"/>
              <w:rPr>
                <w:rFonts w:ascii="仿宋_GB2312" w:eastAsia="仿宋_GB2312" w:hAnsi="宋体"/>
                <w:b/>
                <w:sz w:val="28"/>
                <w:szCs w:val="28"/>
              </w:rPr>
            </w:pPr>
            <w:r>
              <w:rPr>
                <w:rFonts w:ascii="仿宋_GB2312" w:eastAsia="仿宋_GB2312" w:hAnsi="宋体" w:hint="eastAsia"/>
                <w:b/>
                <w:sz w:val="28"/>
                <w:szCs w:val="28"/>
              </w:rPr>
              <w:t>签名日期</w:t>
            </w:r>
          </w:p>
        </w:tc>
      </w:tr>
      <w:tr w:rsidR="007C13F5">
        <w:trPr>
          <w:trHeight w:val="1241"/>
          <w:jc w:val="center"/>
        </w:trPr>
        <w:tc>
          <w:tcPr>
            <w:tcW w:w="1422" w:type="dxa"/>
            <w:vAlign w:val="center"/>
          </w:tcPr>
          <w:p w:rsidR="007C13F5" w:rsidRDefault="007C13F5">
            <w:pPr>
              <w:spacing w:beforeLines="50" w:line="520" w:lineRule="exact"/>
              <w:jc w:val="center"/>
              <w:rPr>
                <w:rFonts w:ascii="仿宋_GB2312" w:eastAsia="仿宋_GB2312" w:hAnsi="宋体"/>
                <w:sz w:val="28"/>
                <w:szCs w:val="28"/>
              </w:rPr>
            </w:pPr>
            <w:r>
              <w:rPr>
                <w:rFonts w:ascii="仿宋_GB2312" w:eastAsia="仿宋_GB2312" w:hAnsi="宋体" w:hint="eastAsia"/>
                <w:sz w:val="28"/>
                <w:szCs w:val="28"/>
              </w:rPr>
              <w:t>张莹姝</w:t>
            </w:r>
          </w:p>
        </w:tc>
        <w:tc>
          <w:tcPr>
            <w:tcW w:w="1842" w:type="dxa"/>
            <w:vAlign w:val="center"/>
          </w:tcPr>
          <w:p w:rsidR="007C13F5" w:rsidRDefault="007C13F5">
            <w:pPr>
              <w:spacing w:beforeLines="50" w:line="520" w:lineRule="exact"/>
              <w:jc w:val="center"/>
              <w:rPr>
                <w:rFonts w:ascii="仿宋_GB2312" w:eastAsia="仿宋_GB2312" w:hAnsi="宋体"/>
                <w:sz w:val="28"/>
                <w:szCs w:val="28"/>
              </w:rPr>
            </w:pPr>
            <w:r>
              <w:rPr>
                <w:rFonts w:ascii="仿宋_GB2312" w:eastAsia="仿宋_GB2312" w:hAnsi="宋体"/>
                <w:sz w:val="28"/>
                <w:szCs w:val="28"/>
              </w:rPr>
              <w:t>5320070013</w:t>
            </w:r>
          </w:p>
        </w:tc>
        <w:tc>
          <w:tcPr>
            <w:tcW w:w="3082" w:type="dxa"/>
            <w:vAlign w:val="center"/>
          </w:tcPr>
          <w:p w:rsidR="007C13F5" w:rsidRDefault="007C13F5">
            <w:pPr>
              <w:spacing w:beforeLines="50" w:line="520" w:lineRule="exact"/>
              <w:jc w:val="center"/>
              <w:rPr>
                <w:rFonts w:ascii="仿宋_GB2312" w:eastAsia="仿宋_GB2312" w:hAnsi="宋体"/>
                <w:sz w:val="28"/>
                <w:szCs w:val="28"/>
              </w:rPr>
            </w:pPr>
          </w:p>
        </w:tc>
        <w:tc>
          <w:tcPr>
            <w:tcW w:w="2872" w:type="dxa"/>
            <w:vAlign w:val="center"/>
          </w:tcPr>
          <w:p w:rsidR="007C13F5" w:rsidRDefault="007C13F5">
            <w:pPr>
              <w:spacing w:beforeLines="50" w:line="520" w:lineRule="exact"/>
              <w:jc w:val="center"/>
              <w:rPr>
                <w:rFonts w:ascii="仿宋_GB2312" w:eastAsia="仿宋_GB2312" w:hAnsi="宋体"/>
                <w:sz w:val="28"/>
                <w:szCs w:val="28"/>
              </w:rPr>
            </w:pPr>
            <w:r>
              <w:rPr>
                <w:rFonts w:ascii="仿宋_GB2312" w:eastAsia="仿宋_GB2312" w:hAnsi="宋体"/>
                <w:sz w:val="28"/>
                <w:szCs w:val="28"/>
              </w:rPr>
              <w:t xml:space="preserve">      </w:t>
            </w:r>
            <w:r>
              <w:rPr>
                <w:rFonts w:ascii="仿宋_GB2312" w:eastAsia="仿宋_GB2312" w:hAnsi="宋体" w:hint="eastAsia"/>
                <w:sz w:val="28"/>
                <w:szCs w:val="28"/>
              </w:rPr>
              <w:t>年</w:t>
            </w:r>
            <w:r>
              <w:rPr>
                <w:rFonts w:ascii="仿宋_GB2312" w:eastAsia="仿宋_GB2312" w:hAnsi="宋体"/>
                <w:sz w:val="28"/>
                <w:szCs w:val="28"/>
              </w:rPr>
              <w:t xml:space="preserve">   </w:t>
            </w:r>
            <w:r>
              <w:rPr>
                <w:rFonts w:ascii="仿宋_GB2312" w:eastAsia="仿宋_GB2312" w:hAnsi="宋体" w:hint="eastAsia"/>
                <w:sz w:val="28"/>
                <w:szCs w:val="28"/>
              </w:rPr>
              <w:t>月</w:t>
            </w:r>
            <w:r>
              <w:rPr>
                <w:rFonts w:ascii="仿宋_GB2312" w:eastAsia="仿宋_GB2312" w:hAnsi="宋体"/>
                <w:sz w:val="28"/>
                <w:szCs w:val="28"/>
              </w:rPr>
              <w:t xml:space="preserve">   </w:t>
            </w:r>
            <w:r>
              <w:rPr>
                <w:rFonts w:ascii="仿宋_GB2312" w:eastAsia="仿宋_GB2312" w:hAnsi="宋体" w:hint="eastAsia"/>
                <w:sz w:val="28"/>
                <w:szCs w:val="28"/>
              </w:rPr>
              <w:t>日</w:t>
            </w:r>
          </w:p>
        </w:tc>
      </w:tr>
      <w:tr w:rsidR="007C13F5">
        <w:trPr>
          <w:trHeight w:val="1387"/>
          <w:jc w:val="center"/>
        </w:trPr>
        <w:tc>
          <w:tcPr>
            <w:tcW w:w="1422" w:type="dxa"/>
            <w:vAlign w:val="center"/>
          </w:tcPr>
          <w:p w:rsidR="007C13F5" w:rsidRDefault="007C13F5">
            <w:pPr>
              <w:spacing w:beforeLines="50" w:line="520" w:lineRule="exact"/>
              <w:jc w:val="center"/>
              <w:rPr>
                <w:rFonts w:ascii="仿宋_GB2312" w:eastAsia="仿宋_GB2312" w:hAnsi="宋体"/>
                <w:sz w:val="28"/>
                <w:szCs w:val="28"/>
              </w:rPr>
            </w:pPr>
            <w:r>
              <w:rPr>
                <w:rFonts w:ascii="仿宋_GB2312" w:eastAsia="仿宋_GB2312" w:hAnsi="宋体" w:hint="eastAsia"/>
                <w:sz w:val="28"/>
                <w:szCs w:val="28"/>
              </w:rPr>
              <w:t>陶云川</w:t>
            </w:r>
          </w:p>
        </w:tc>
        <w:tc>
          <w:tcPr>
            <w:tcW w:w="1842" w:type="dxa"/>
            <w:vAlign w:val="center"/>
          </w:tcPr>
          <w:p w:rsidR="007C13F5" w:rsidRDefault="007C13F5">
            <w:pPr>
              <w:spacing w:beforeLines="50" w:line="520" w:lineRule="exact"/>
              <w:jc w:val="center"/>
              <w:rPr>
                <w:rFonts w:ascii="仿宋_GB2312" w:eastAsia="仿宋_GB2312" w:hAnsi="宋体"/>
                <w:sz w:val="28"/>
                <w:szCs w:val="28"/>
              </w:rPr>
            </w:pPr>
            <w:r>
              <w:rPr>
                <w:rFonts w:ascii="仿宋_GB2312" w:eastAsia="仿宋_GB2312" w:hAnsi="宋体"/>
                <w:sz w:val="28"/>
              </w:rPr>
              <w:t>5320190040</w:t>
            </w:r>
          </w:p>
        </w:tc>
        <w:tc>
          <w:tcPr>
            <w:tcW w:w="3082" w:type="dxa"/>
            <w:vAlign w:val="center"/>
          </w:tcPr>
          <w:p w:rsidR="007C13F5" w:rsidRDefault="007C13F5">
            <w:pPr>
              <w:spacing w:beforeLines="50" w:line="520" w:lineRule="exact"/>
              <w:jc w:val="center"/>
              <w:rPr>
                <w:rFonts w:ascii="仿宋_GB2312" w:eastAsia="仿宋_GB2312" w:hAnsi="宋体"/>
                <w:sz w:val="28"/>
                <w:szCs w:val="28"/>
              </w:rPr>
            </w:pPr>
          </w:p>
        </w:tc>
        <w:tc>
          <w:tcPr>
            <w:tcW w:w="2872" w:type="dxa"/>
            <w:vAlign w:val="center"/>
          </w:tcPr>
          <w:p w:rsidR="007C13F5" w:rsidRDefault="007C13F5">
            <w:pPr>
              <w:spacing w:beforeLines="50" w:line="520" w:lineRule="exact"/>
              <w:jc w:val="center"/>
              <w:rPr>
                <w:rFonts w:ascii="仿宋_GB2312" w:eastAsia="仿宋_GB2312" w:hAnsi="宋体"/>
                <w:sz w:val="28"/>
                <w:szCs w:val="28"/>
              </w:rPr>
            </w:pPr>
            <w:r>
              <w:rPr>
                <w:rFonts w:ascii="仿宋_GB2312" w:eastAsia="仿宋_GB2312" w:hAnsi="宋体"/>
                <w:sz w:val="28"/>
                <w:szCs w:val="28"/>
              </w:rPr>
              <w:t xml:space="preserve">      </w:t>
            </w:r>
            <w:r>
              <w:rPr>
                <w:rFonts w:ascii="仿宋_GB2312" w:eastAsia="仿宋_GB2312" w:hAnsi="宋体" w:hint="eastAsia"/>
                <w:sz w:val="28"/>
                <w:szCs w:val="28"/>
              </w:rPr>
              <w:t>年</w:t>
            </w:r>
            <w:r>
              <w:rPr>
                <w:rFonts w:ascii="仿宋_GB2312" w:eastAsia="仿宋_GB2312" w:hAnsi="宋体"/>
                <w:sz w:val="28"/>
                <w:szCs w:val="28"/>
              </w:rPr>
              <w:t xml:space="preserve">   </w:t>
            </w:r>
            <w:r>
              <w:rPr>
                <w:rFonts w:ascii="仿宋_GB2312" w:eastAsia="仿宋_GB2312" w:hAnsi="宋体" w:hint="eastAsia"/>
                <w:sz w:val="28"/>
                <w:szCs w:val="28"/>
              </w:rPr>
              <w:t>月</w:t>
            </w:r>
            <w:r>
              <w:rPr>
                <w:rFonts w:ascii="仿宋_GB2312" w:eastAsia="仿宋_GB2312" w:hAnsi="宋体"/>
                <w:sz w:val="28"/>
                <w:szCs w:val="28"/>
              </w:rPr>
              <w:t xml:space="preserve">   </w:t>
            </w:r>
            <w:r>
              <w:rPr>
                <w:rFonts w:ascii="仿宋_GB2312" w:eastAsia="仿宋_GB2312" w:hAnsi="宋体" w:hint="eastAsia"/>
                <w:sz w:val="28"/>
                <w:szCs w:val="28"/>
              </w:rPr>
              <w:t>日</w:t>
            </w:r>
          </w:p>
        </w:tc>
      </w:tr>
    </w:tbl>
    <w:p w:rsidR="007C13F5" w:rsidRDefault="007C13F5">
      <w:pPr>
        <w:pStyle w:val="Heading2"/>
        <w:rPr>
          <w:rFonts w:ascii="仿宋_GB2312" w:eastAsia="仿宋_GB2312"/>
          <w:sz w:val="28"/>
          <w:szCs w:val="28"/>
        </w:rPr>
      </w:pPr>
      <w:bookmarkStart w:id="14" w:name="_Toc499890260"/>
    </w:p>
    <w:p w:rsidR="007C13F5" w:rsidRDefault="007C13F5">
      <w:pPr>
        <w:pStyle w:val="Heading2"/>
        <w:rPr>
          <w:rFonts w:ascii="仿宋_GB2312" w:eastAsia="仿宋_GB2312"/>
          <w:sz w:val="28"/>
          <w:szCs w:val="28"/>
        </w:rPr>
      </w:pPr>
      <w:r>
        <w:rPr>
          <w:rFonts w:ascii="仿宋_GB2312" w:eastAsia="仿宋_GB2312" w:hint="eastAsia"/>
          <w:sz w:val="28"/>
          <w:szCs w:val="28"/>
        </w:rPr>
        <w:t>十二、估价作业日期</w:t>
      </w:r>
      <w:bookmarkEnd w:id="14"/>
    </w:p>
    <w:p w:rsidR="007C13F5" w:rsidRDefault="007C13F5">
      <w:pPr>
        <w:spacing w:beforeLines="50" w:line="520" w:lineRule="exact"/>
        <w:ind w:firstLineChars="200" w:firstLine="31680"/>
        <w:rPr>
          <w:rFonts w:ascii="仿宋_GB2312" w:eastAsia="仿宋_GB2312" w:hAnsi="宋体"/>
          <w:sz w:val="28"/>
          <w:szCs w:val="28"/>
        </w:rPr>
      </w:pP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4</w:t>
      </w:r>
      <w:r>
        <w:rPr>
          <w:rFonts w:ascii="仿宋_GB2312" w:eastAsia="仿宋_GB2312" w:hAnsi="宋体" w:hint="eastAsia"/>
          <w:sz w:val="28"/>
          <w:szCs w:val="28"/>
        </w:rPr>
        <w:t>月</w:t>
      </w:r>
      <w:r>
        <w:rPr>
          <w:rFonts w:ascii="仿宋_GB2312" w:eastAsia="仿宋_GB2312" w:hAnsi="宋体"/>
          <w:sz w:val="28"/>
          <w:szCs w:val="28"/>
        </w:rPr>
        <w:t>29</w:t>
      </w:r>
      <w:r>
        <w:rPr>
          <w:rFonts w:ascii="仿宋_GB2312" w:eastAsia="仿宋_GB2312" w:hAnsi="宋体" w:hint="eastAsia"/>
          <w:sz w:val="28"/>
          <w:szCs w:val="28"/>
        </w:rPr>
        <w:t>日</w:t>
      </w:r>
      <w:r>
        <w:rPr>
          <w:rFonts w:ascii="仿宋_GB2312" w:eastAsia="仿宋_GB2312" w:hAnsi="宋体"/>
          <w:sz w:val="28"/>
          <w:szCs w:val="28"/>
        </w:rPr>
        <w:t>—</w:t>
      </w: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5</w:t>
      </w:r>
      <w:r>
        <w:rPr>
          <w:rFonts w:ascii="仿宋_GB2312" w:eastAsia="仿宋_GB2312" w:hAnsi="宋体" w:hint="eastAsia"/>
          <w:sz w:val="28"/>
          <w:szCs w:val="28"/>
        </w:rPr>
        <w:t>月</w:t>
      </w:r>
      <w:r>
        <w:rPr>
          <w:rFonts w:ascii="仿宋_GB2312" w:eastAsia="仿宋_GB2312" w:hAnsi="宋体"/>
          <w:sz w:val="28"/>
          <w:szCs w:val="28"/>
        </w:rPr>
        <w:t>18</w:t>
      </w:r>
      <w:r>
        <w:rPr>
          <w:rFonts w:ascii="仿宋_GB2312" w:eastAsia="仿宋_GB2312" w:hAnsi="宋体" w:hint="eastAsia"/>
          <w:sz w:val="28"/>
          <w:szCs w:val="28"/>
        </w:rPr>
        <w:t>日（现场勘察日期为</w:t>
      </w:r>
      <w:r>
        <w:rPr>
          <w:rFonts w:ascii="仿宋_GB2312" w:eastAsia="仿宋_GB2312" w:hAnsi="宋体"/>
          <w:sz w:val="28"/>
          <w:szCs w:val="28"/>
        </w:rPr>
        <w:t>2021</w:t>
      </w:r>
      <w:r>
        <w:rPr>
          <w:rFonts w:ascii="仿宋_GB2312" w:eastAsia="仿宋_GB2312" w:hAnsi="宋体" w:hint="eastAsia"/>
          <w:sz w:val="28"/>
          <w:szCs w:val="28"/>
        </w:rPr>
        <w:t>年</w:t>
      </w:r>
      <w:r>
        <w:rPr>
          <w:rFonts w:ascii="仿宋_GB2312" w:eastAsia="仿宋_GB2312" w:hAnsi="宋体"/>
          <w:sz w:val="28"/>
          <w:szCs w:val="28"/>
        </w:rPr>
        <w:t>5</w:t>
      </w:r>
      <w:r>
        <w:rPr>
          <w:rFonts w:ascii="仿宋_GB2312" w:eastAsia="仿宋_GB2312" w:hAnsi="宋体" w:hint="eastAsia"/>
          <w:sz w:val="28"/>
          <w:szCs w:val="28"/>
        </w:rPr>
        <w:t>月</w:t>
      </w:r>
      <w:r>
        <w:rPr>
          <w:rFonts w:ascii="仿宋_GB2312" w:eastAsia="仿宋_GB2312" w:hAnsi="宋体"/>
          <w:sz w:val="28"/>
          <w:szCs w:val="28"/>
        </w:rPr>
        <w:t>7</w:t>
      </w:r>
      <w:r>
        <w:rPr>
          <w:rFonts w:ascii="仿宋_GB2312" w:eastAsia="仿宋_GB2312" w:hAnsi="宋体" w:hint="eastAsia"/>
          <w:sz w:val="28"/>
          <w:szCs w:val="28"/>
        </w:rPr>
        <w:t>日）。</w:t>
      </w:r>
    </w:p>
    <w:p w:rsidR="007C13F5" w:rsidRDefault="007C13F5">
      <w:pPr>
        <w:spacing w:beforeLines="50" w:line="520" w:lineRule="exact"/>
        <w:ind w:firstLineChars="200" w:firstLine="31680"/>
        <w:rPr>
          <w:rFonts w:ascii="仿宋_GB2312" w:eastAsia="仿宋_GB2312" w:hAnsi="宋体"/>
          <w:sz w:val="28"/>
          <w:szCs w:val="28"/>
        </w:rPr>
      </w:pPr>
    </w:p>
    <w:p w:rsidR="007C13F5" w:rsidRDefault="007C13F5">
      <w:pPr>
        <w:pStyle w:val="Heading2"/>
        <w:rPr>
          <w:rFonts w:ascii="仿宋_GB2312" w:eastAsia="仿宋_GB2312"/>
          <w:sz w:val="28"/>
          <w:szCs w:val="28"/>
        </w:rPr>
      </w:pPr>
      <w:bookmarkStart w:id="15" w:name="_Toc499890261"/>
      <w:r>
        <w:rPr>
          <w:rFonts w:ascii="仿宋_GB2312" w:eastAsia="仿宋_GB2312" w:hint="eastAsia"/>
          <w:sz w:val="28"/>
          <w:szCs w:val="28"/>
        </w:rPr>
        <w:t>十三、估价报告应用的有效期</w:t>
      </w:r>
      <w:bookmarkEnd w:id="15"/>
    </w:p>
    <w:p w:rsidR="007C13F5" w:rsidRDefault="007C13F5">
      <w:pPr>
        <w:ind w:firstLineChars="200" w:firstLine="31680"/>
        <w:rPr>
          <w:rFonts w:ascii="仿宋_GB2312" w:eastAsia="仿宋_GB2312" w:hAnsi="宋体"/>
          <w:sz w:val="28"/>
        </w:rPr>
      </w:pPr>
      <w:r>
        <w:rPr>
          <w:rFonts w:ascii="仿宋_GB2312" w:eastAsia="仿宋_GB2312" w:hAnsi="宋体" w:hint="eastAsia"/>
          <w:sz w:val="28"/>
        </w:rPr>
        <w:t>本报告自出具报告之日起一年内有效。（</w:t>
      </w:r>
      <w:r>
        <w:rPr>
          <w:rFonts w:ascii="仿宋_GB2312" w:eastAsia="仿宋_GB2312" w:hAnsi="宋体"/>
          <w:sz w:val="28"/>
        </w:rPr>
        <w:t>2020</w:t>
      </w:r>
      <w:r>
        <w:rPr>
          <w:rFonts w:ascii="仿宋_GB2312" w:eastAsia="仿宋_GB2312" w:hAnsi="宋体" w:hint="eastAsia"/>
          <w:sz w:val="28"/>
        </w:rPr>
        <w:t>年</w:t>
      </w:r>
      <w:r>
        <w:rPr>
          <w:rFonts w:ascii="仿宋_GB2312" w:eastAsia="仿宋_GB2312" w:hAnsi="宋体"/>
          <w:sz w:val="28"/>
        </w:rPr>
        <w:t>5</w:t>
      </w:r>
      <w:r>
        <w:rPr>
          <w:rFonts w:ascii="仿宋_GB2312" w:eastAsia="仿宋_GB2312" w:hAnsi="宋体" w:hint="eastAsia"/>
          <w:sz w:val="28"/>
        </w:rPr>
        <w:t>月</w:t>
      </w:r>
      <w:r>
        <w:rPr>
          <w:rFonts w:ascii="仿宋_GB2312" w:eastAsia="仿宋_GB2312" w:hAnsi="宋体"/>
          <w:sz w:val="28"/>
        </w:rPr>
        <w:t>18</w:t>
      </w:r>
      <w:r>
        <w:rPr>
          <w:rFonts w:ascii="仿宋_GB2312" w:eastAsia="仿宋_GB2312" w:hAnsi="宋体" w:hint="eastAsia"/>
          <w:sz w:val="28"/>
        </w:rPr>
        <w:t>日至</w:t>
      </w:r>
      <w:r>
        <w:rPr>
          <w:rFonts w:ascii="仿宋_GB2312" w:eastAsia="仿宋_GB2312" w:hAnsi="宋体"/>
          <w:sz w:val="28"/>
        </w:rPr>
        <w:t>2021</w:t>
      </w:r>
      <w:r>
        <w:rPr>
          <w:rFonts w:ascii="仿宋_GB2312" w:eastAsia="仿宋_GB2312" w:hAnsi="宋体" w:hint="eastAsia"/>
          <w:sz w:val="28"/>
        </w:rPr>
        <w:t>年</w:t>
      </w:r>
      <w:r>
        <w:rPr>
          <w:rFonts w:ascii="仿宋_GB2312" w:eastAsia="仿宋_GB2312" w:hAnsi="宋体"/>
          <w:sz w:val="28"/>
        </w:rPr>
        <w:t>5</w:t>
      </w:r>
      <w:r>
        <w:rPr>
          <w:rFonts w:ascii="仿宋_GB2312" w:eastAsia="仿宋_GB2312" w:hAnsi="宋体" w:hint="eastAsia"/>
          <w:sz w:val="28"/>
        </w:rPr>
        <w:t>月</w:t>
      </w:r>
      <w:r>
        <w:rPr>
          <w:rFonts w:ascii="仿宋_GB2312" w:eastAsia="仿宋_GB2312" w:hAnsi="宋体"/>
          <w:sz w:val="28"/>
        </w:rPr>
        <w:t>17</w:t>
      </w:r>
      <w:r>
        <w:rPr>
          <w:rFonts w:ascii="仿宋_GB2312" w:eastAsia="仿宋_GB2312" w:hAnsi="宋体" w:hint="eastAsia"/>
          <w:sz w:val="28"/>
        </w:rPr>
        <w:t>日）</w:t>
      </w:r>
    </w:p>
    <w:p w:rsidR="007C13F5" w:rsidRDefault="007C13F5">
      <w:pPr>
        <w:ind w:firstLineChars="200" w:firstLine="31680"/>
        <w:rPr>
          <w:rFonts w:ascii="仿宋_GB2312" w:eastAsia="仿宋_GB2312" w:hAnsi="宋体"/>
          <w:sz w:val="28"/>
        </w:rPr>
      </w:pPr>
    </w:p>
    <w:p w:rsidR="007C13F5" w:rsidRDefault="007C13F5">
      <w:pPr>
        <w:ind w:firstLineChars="200" w:firstLine="31680"/>
        <w:rPr>
          <w:rFonts w:ascii="仿宋_GB2312" w:eastAsia="仿宋_GB2312" w:hAnsi="宋体"/>
          <w:sz w:val="28"/>
        </w:rPr>
      </w:pPr>
    </w:p>
    <w:p w:rsidR="007C13F5" w:rsidRDefault="007C13F5">
      <w:pPr>
        <w:ind w:firstLineChars="200" w:firstLine="31680"/>
        <w:rPr>
          <w:rFonts w:ascii="仿宋_GB2312" w:eastAsia="仿宋_GB2312" w:hAnsi="宋体"/>
          <w:sz w:val="28"/>
        </w:rPr>
      </w:pPr>
    </w:p>
    <w:p w:rsidR="007C13F5" w:rsidRDefault="007C13F5">
      <w:pPr>
        <w:spacing w:beforeLines="50" w:line="520" w:lineRule="exact"/>
        <w:ind w:firstLineChars="200" w:firstLine="31680"/>
        <w:jc w:val="right"/>
        <w:rPr>
          <w:rFonts w:ascii="仿宋_GB2312" w:eastAsia="仿宋_GB2312" w:hAnsi="宋体"/>
          <w:sz w:val="28"/>
          <w:szCs w:val="28"/>
        </w:rPr>
      </w:pPr>
      <w:r>
        <w:rPr>
          <w:rFonts w:ascii="仿宋_GB2312" w:eastAsia="仿宋_GB2312" w:hAnsi="宋体" w:hint="eastAsia"/>
          <w:sz w:val="28"/>
          <w:szCs w:val="28"/>
        </w:rPr>
        <w:t>云南银信房地产土地资产评估有限公司</w:t>
      </w:r>
    </w:p>
    <w:p w:rsidR="007C13F5" w:rsidRDefault="007C13F5">
      <w:pPr>
        <w:spacing w:beforeLines="50" w:line="520" w:lineRule="exact"/>
        <w:ind w:firstLineChars="200" w:firstLine="31680"/>
        <w:jc w:val="right"/>
        <w:rPr>
          <w:rFonts w:ascii="仿宋_GB2312" w:eastAsia="仿宋_GB2312" w:hAnsi="宋体"/>
          <w:sz w:val="28"/>
          <w:szCs w:val="28"/>
        </w:rPr>
      </w:pP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5</w:t>
      </w:r>
      <w:r>
        <w:rPr>
          <w:rFonts w:ascii="仿宋_GB2312" w:eastAsia="仿宋_GB2312" w:hAnsi="宋体" w:hint="eastAsia"/>
          <w:sz w:val="28"/>
          <w:szCs w:val="28"/>
        </w:rPr>
        <w:t>月</w:t>
      </w:r>
      <w:r>
        <w:rPr>
          <w:rFonts w:ascii="仿宋_GB2312" w:eastAsia="仿宋_GB2312" w:hAnsi="宋体"/>
          <w:sz w:val="28"/>
          <w:szCs w:val="28"/>
        </w:rPr>
        <w:t>18</w:t>
      </w:r>
      <w:r>
        <w:rPr>
          <w:rFonts w:ascii="仿宋_GB2312" w:eastAsia="仿宋_GB2312" w:hAnsi="宋体" w:hint="eastAsia"/>
          <w:sz w:val="28"/>
          <w:szCs w:val="28"/>
        </w:rPr>
        <w:t>日</w:t>
      </w:r>
    </w:p>
    <w:p w:rsidR="007C13F5" w:rsidRDefault="007C13F5">
      <w:pPr>
        <w:spacing w:beforeLines="50" w:line="520" w:lineRule="exact"/>
        <w:ind w:firstLineChars="200" w:firstLine="31680"/>
        <w:jc w:val="right"/>
        <w:rPr>
          <w:rFonts w:ascii="仿宋_GB2312" w:eastAsia="仿宋_GB2312" w:hAnsi="宋体"/>
          <w:b/>
          <w:bCs/>
          <w:sz w:val="36"/>
          <w:szCs w:val="36"/>
        </w:rPr>
      </w:pPr>
      <w:r>
        <w:rPr>
          <w:rFonts w:ascii="仿宋_GB2312" w:eastAsia="仿宋_GB2312" w:hAnsi="宋体"/>
          <w:sz w:val="28"/>
          <w:szCs w:val="28"/>
        </w:rPr>
        <w:br w:type="page"/>
      </w:r>
    </w:p>
    <w:p w:rsidR="007C13F5" w:rsidRDefault="007C13F5">
      <w:pPr>
        <w:pStyle w:val="Heading1"/>
        <w:ind w:firstLineChars="200" w:firstLine="31680"/>
        <w:rPr>
          <w:rFonts w:ascii="仿宋_GB2312" w:eastAsia="仿宋_GB2312"/>
          <w:b/>
          <w:sz w:val="36"/>
          <w:szCs w:val="36"/>
        </w:rPr>
      </w:pPr>
      <w:bookmarkStart w:id="16" w:name="_Toc499890262"/>
      <w:r>
        <w:rPr>
          <w:rFonts w:ascii="仿宋_GB2312" w:eastAsia="仿宋_GB2312" w:hint="eastAsia"/>
          <w:b/>
          <w:sz w:val="36"/>
          <w:szCs w:val="36"/>
        </w:rPr>
        <w:t>第四部分</w:t>
      </w:r>
      <w:r>
        <w:rPr>
          <w:rFonts w:ascii="仿宋_GB2312" w:eastAsia="仿宋_GB2312"/>
          <w:b/>
          <w:sz w:val="36"/>
          <w:szCs w:val="36"/>
        </w:rPr>
        <w:t xml:space="preserve"> </w:t>
      </w:r>
      <w:r>
        <w:rPr>
          <w:rFonts w:ascii="仿宋_GB2312" w:eastAsia="仿宋_GB2312" w:hint="eastAsia"/>
          <w:b/>
          <w:sz w:val="36"/>
          <w:szCs w:val="36"/>
        </w:rPr>
        <w:t>估价技术报告</w:t>
      </w:r>
      <w:bookmarkEnd w:id="16"/>
    </w:p>
    <w:p w:rsidR="007C13F5" w:rsidRDefault="007C13F5">
      <w:pPr>
        <w:pStyle w:val="Heading2"/>
        <w:rPr>
          <w:rFonts w:ascii="仿宋_GB2312" w:eastAsia="仿宋_GB2312"/>
          <w:sz w:val="28"/>
          <w:szCs w:val="28"/>
        </w:rPr>
      </w:pPr>
      <w:bookmarkStart w:id="17" w:name="_Toc499890263"/>
      <w:r>
        <w:rPr>
          <w:rFonts w:ascii="仿宋_GB2312" w:eastAsia="仿宋_GB2312" w:hint="eastAsia"/>
          <w:sz w:val="28"/>
          <w:szCs w:val="28"/>
        </w:rPr>
        <w:t>一、实物状况描述与分析</w:t>
      </w:r>
      <w:bookmarkEnd w:id="17"/>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、土地实物状况与分析</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估价对象房屋坐落大理市下关镇七里桥感通小区（感通小镇一期</w:t>
      </w:r>
      <w:r>
        <w:rPr>
          <w:rFonts w:ascii="仿宋_GB2312" w:eastAsia="仿宋_GB2312" w:hAnsi="宋体"/>
          <w:spacing w:val="-4"/>
          <w:sz w:val="28"/>
        </w:rPr>
        <w:t>81</w:t>
      </w:r>
      <w:r>
        <w:rPr>
          <w:rFonts w:ascii="仿宋_GB2312" w:eastAsia="仿宋_GB2312" w:hAnsi="宋体" w:hint="eastAsia"/>
          <w:spacing w:val="-4"/>
          <w:sz w:val="28"/>
        </w:rPr>
        <w:t>号），宗地地址为大理市下关镇七里桥感通小镇，土地登记面积</w:t>
      </w:r>
      <w:r>
        <w:rPr>
          <w:rFonts w:ascii="仿宋_GB2312" w:eastAsia="仿宋_GB2312" w:hAnsi="宋体"/>
          <w:spacing w:val="-4"/>
          <w:sz w:val="28"/>
        </w:rPr>
        <w:t>33.94</w:t>
      </w:r>
      <w:r>
        <w:rPr>
          <w:rFonts w:ascii="宋体" w:hAnsi="宋体" w:cs="宋体" w:hint="eastAsia"/>
          <w:spacing w:val="-4"/>
          <w:sz w:val="28"/>
        </w:rPr>
        <w:t>㎡</w:t>
      </w:r>
      <w:r>
        <w:rPr>
          <w:rFonts w:ascii="仿宋_GB2312" w:eastAsia="仿宋_GB2312" w:hAnsi="宋体" w:hint="eastAsia"/>
          <w:spacing w:val="-4"/>
          <w:sz w:val="28"/>
        </w:rPr>
        <w:t>，土地用途为城镇单一住宅用地，形状规则，大致呈矩形，地形平缓，土地开发程度达到“五通一平”（通给水、排水、通电、通路、通讯及场地平整）。根据《土地登记卡》，土地使用权类型为出让，终止日期为</w:t>
      </w:r>
      <w:r>
        <w:rPr>
          <w:rFonts w:ascii="仿宋_GB2312" w:eastAsia="仿宋_GB2312" w:hAnsi="宋体"/>
          <w:spacing w:val="-4"/>
          <w:sz w:val="28"/>
        </w:rPr>
        <w:t>2070</w:t>
      </w:r>
      <w:r>
        <w:rPr>
          <w:rFonts w:ascii="仿宋_GB2312" w:eastAsia="仿宋_GB2312" w:hAnsi="宋体" w:hint="eastAsia"/>
          <w:spacing w:val="-4"/>
          <w:sz w:val="28"/>
        </w:rPr>
        <w:t>年</w:t>
      </w:r>
      <w:r>
        <w:rPr>
          <w:rFonts w:ascii="仿宋_GB2312" w:eastAsia="仿宋_GB2312" w:hAnsi="宋体"/>
          <w:spacing w:val="-4"/>
          <w:sz w:val="28"/>
        </w:rPr>
        <w:t>12</w:t>
      </w:r>
      <w:r>
        <w:rPr>
          <w:rFonts w:ascii="仿宋_GB2312" w:eastAsia="仿宋_GB2312" w:hAnsi="宋体" w:hint="eastAsia"/>
          <w:spacing w:val="-4"/>
          <w:sz w:val="28"/>
        </w:rPr>
        <w:t>月</w:t>
      </w:r>
      <w:r>
        <w:rPr>
          <w:rFonts w:ascii="仿宋_GB2312" w:eastAsia="仿宋_GB2312" w:hAnsi="宋体"/>
          <w:spacing w:val="-4"/>
          <w:sz w:val="28"/>
        </w:rPr>
        <w:t>16</w:t>
      </w:r>
      <w:r>
        <w:rPr>
          <w:rFonts w:ascii="仿宋_GB2312" w:eastAsia="仿宋_GB2312" w:hAnsi="宋体" w:hint="eastAsia"/>
          <w:spacing w:val="-4"/>
          <w:sz w:val="28"/>
        </w:rPr>
        <w:t>日，截至价值时点，土地剩余使用年限为</w:t>
      </w:r>
      <w:r>
        <w:rPr>
          <w:rFonts w:ascii="仿宋_GB2312" w:eastAsia="仿宋_GB2312" w:hAnsi="宋体"/>
          <w:spacing w:val="-4"/>
          <w:sz w:val="28"/>
        </w:rPr>
        <w:t>50.63</w:t>
      </w:r>
      <w:r>
        <w:rPr>
          <w:rFonts w:ascii="仿宋_GB2312" w:eastAsia="仿宋_GB2312" w:hAnsi="宋体" w:hint="eastAsia"/>
          <w:spacing w:val="-4"/>
          <w:sz w:val="28"/>
        </w:rPr>
        <w:t>年。</w:t>
      </w:r>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该楼盘宗地基础设施完备度高，地势不平坦，有一定坡度，无不良地质现象，没有设计限制，利用率较高，宗地位置较好，距苍山感通寺较近，其四至</w:t>
      </w:r>
      <w:r>
        <w:rPr>
          <w:rFonts w:ascii="仿宋_GB2312" w:eastAsia="仿宋_GB2312" w:hAnsi="宋体" w:hint="eastAsia"/>
          <w:spacing w:val="-4"/>
          <w:sz w:val="28"/>
        </w:rPr>
        <w:t>东邻规划道路，西邻苍山国家地质公园，南邻苍海一墅小区，北邻苍山小院别墅区，</w:t>
      </w:r>
      <w:r>
        <w:rPr>
          <w:rFonts w:ascii="仿宋_GB2312" w:eastAsia="仿宋_GB2312" w:hAnsi="宋体" w:hint="eastAsia"/>
          <w:sz w:val="28"/>
          <w:szCs w:val="28"/>
        </w:rPr>
        <w:t>出行便捷。</w:t>
      </w:r>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sz w:val="28"/>
          <w:szCs w:val="28"/>
        </w:rPr>
        <w:t>2</w:t>
      </w:r>
      <w:r>
        <w:rPr>
          <w:rFonts w:ascii="仿宋_GB2312" w:eastAsia="仿宋_GB2312" w:hAnsi="宋体" w:hint="eastAsia"/>
          <w:sz w:val="28"/>
          <w:szCs w:val="28"/>
        </w:rPr>
        <w:t>、建筑物实物状况与分析</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z w:val="28"/>
          <w:szCs w:val="28"/>
        </w:rPr>
        <w:t>估价对象为</w:t>
      </w:r>
      <w:r>
        <w:rPr>
          <w:rFonts w:ascii="仿宋_GB2312" w:eastAsia="仿宋_GB2312" w:hAnsi="宋体" w:hint="eastAsia"/>
          <w:spacing w:val="-4"/>
          <w:sz w:val="28"/>
        </w:rPr>
        <w:t>大理市下关镇七里桥感通小区（感通小镇一期</w:t>
      </w:r>
      <w:r>
        <w:rPr>
          <w:rFonts w:ascii="仿宋_GB2312" w:eastAsia="仿宋_GB2312" w:hAnsi="宋体"/>
          <w:spacing w:val="-4"/>
          <w:sz w:val="28"/>
        </w:rPr>
        <w:t>81</w:t>
      </w:r>
      <w:r>
        <w:rPr>
          <w:rFonts w:ascii="仿宋_GB2312" w:eastAsia="仿宋_GB2312" w:hAnsi="宋体" w:hint="eastAsia"/>
          <w:spacing w:val="-4"/>
          <w:sz w:val="28"/>
        </w:rPr>
        <w:t>号），该小区坐落大理市七里桥，又名大理感通别墅，其位于大理古城与下关新城之间的七里桥感通寺旅游专线，背靠苍山，面向洱海，该小区总占地约</w:t>
      </w:r>
      <w:r>
        <w:rPr>
          <w:rFonts w:ascii="仿宋_GB2312" w:eastAsia="仿宋_GB2312" w:hAnsi="宋体"/>
          <w:spacing w:val="-4"/>
          <w:sz w:val="28"/>
        </w:rPr>
        <w:t>500</w:t>
      </w:r>
      <w:r>
        <w:rPr>
          <w:rFonts w:ascii="仿宋_GB2312" w:eastAsia="仿宋_GB2312" w:hAnsi="宋体" w:hint="eastAsia"/>
          <w:spacing w:val="-4"/>
          <w:sz w:val="28"/>
        </w:rPr>
        <w:t>亩，东西长约</w:t>
      </w:r>
      <w:r>
        <w:rPr>
          <w:rFonts w:ascii="仿宋_GB2312" w:eastAsia="仿宋_GB2312" w:hAnsi="宋体"/>
          <w:spacing w:val="-4"/>
          <w:sz w:val="28"/>
        </w:rPr>
        <w:t>1200</w:t>
      </w:r>
      <w:r>
        <w:rPr>
          <w:rFonts w:ascii="仿宋_GB2312" w:eastAsia="仿宋_GB2312" w:hAnsi="宋体" w:hint="eastAsia"/>
          <w:spacing w:val="-4"/>
          <w:sz w:val="28"/>
        </w:rPr>
        <w:t>米，南北宽约</w:t>
      </w:r>
      <w:r>
        <w:rPr>
          <w:rFonts w:ascii="仿宋_GB2312" w:eastAsia="仿宋_GB2312" w:hAnsi="宋体"/>
          <w:spacing w:val="-4"/>
          <w:sz w:val="28"/>
        </w:rPr>
        <w:t>300</w:t>
      </w:r>
      <w:r>
        <w:rPr>
          <w:rFonts w:ascii="仿宋_GB2312" w:eastAsia="仿宋_GB2312" w:hAnsi="宋体" w:hint="eastAsia"/>
          <w:spacing w:val="-4"/>
          <w:sz w:val="28"/>
        </w:rPr>
        <w:t>米。大理感通别墅为苍山坡地别墅</w:t>
      </w:r>
      <w:r>
        <w:rPr>
          <w:rFonts w:ascii="仿宋_GB2312" w:eastAsia="仿宋_GB2312" w:hAnsi="宋体"/>
          <w:spacing w:val="-4"/>
          <w:sz w:val="28"/>
        </w:rPr>
        <w:t>,</w:t>
      </w:r>
      <w:r>
        <w:rPr>
          <w:rFonts w:ascii="仿宋_GB2312" w:eastAsia="仿宋_GB2312" w:hAnsi="宋体" w:hint="eastAsia"/>
          <w:spacing w:val="-4"/>
          <w:sz w:val="28"/>
        </w:rPr>
        <w:t>坡度约</w:t>
      </w:r>
      <w:r>
        <w:rPr>
          <w:rFonts w:ascii="仿宋_GB2312" w:eastAsia="仿宋_GB2312" w:hAnsi="宋体"/>
          <w:spacing w:val="-4"/>
          <w:sz w:val="28"/>
        </w:rPr>
        <w:t>12</w:t>
      </w:r>
      <w:r>
        <w:rPr>
          <w:rFonts w:ascii="仿宋_GB2312" w:eastAsia="仿宋_GB2312" w:hAnsi="宋体" w:hint="eastAsia"/>
          <w:spacing w:val="-4"/>
          <w:sz w:val="28"/>
        </w:rPr>
        <w:t>度</w:t>
      </w:r>
      <w:r>
        <w:rPr>
          <w:rFonts w:ascii="仿宋_GB2312" w:eastAsia="仿宋_GB2312" w:hAnsi="宋体"/>
          <w:spacing w:val="-4"/>
          <w:sz w:val="28"/>
        </w:rPr>
        <w:t>,</w:t>
      </w:r>
      <w:r>
        <w:rPr>
          <w:rFonts w:ascii="仿宋_GB2312" w:eastAsia="仿宋_GB2312" w:hAnsi="宋体" w:hint="eastAsia"/>
          <w:spacing w:val="-4"/>
          <w:sz w:val="28"/>
        </w:rPr>
        <w:t>沿感通寺旅游专线平行莫残溪两侧顺势而建，以低层建筑为主，建筑密度，容积率低，绿化率高达</w:t>
      </w:r>
      <w:r>
        <w:rPr>
          <w:rFonts w:ascii="仿宋_GB2312" w:eastAsia="仿宋_GB2312" w:hAnsi="宋体"/>
          <w:spacing w:val="-4"/>
          <w:sz w:val="28"/>
        </w:rPr>
        <w:t>72%</w:t>
      </w:r>
      <w:r>
        <w:rPr>
          <w:rFonts w:ascii="仿宋_GB2312" w:eastAsia="仿宋_GB2312" w:hAnsi="宋体" w:hint="eastAsia"/>
          <w:spacing w:val="-4"/>
          <w:sz w:val="28"/>
        </w:rPr>
        <w:t>，容积率</w:t>
      </w:r>
      <w:r>
        <w:rPr>
          <w:rFonts w:ascii="仿宋_GB2312" w:eastAsia="仿宋_GB2312" w:hAnsi="宋体"/>
          <w:spacing w:val="-4"/>
          <w:sz w:val="28"/>
        </w:rPr>
        <w:t>0.27%</w:t>
      </w:r>
      <w:r>
        <w:rPr>
          <w:rFonts w:ascii="仿宋_GB2312" w:eastAsia="仿宋_GB2312" w:hAnsi="宋体" w:hint="eastAsia"/>
          <w:spacing w:val="-4"/>
          <w:sz w:val="28"/>
        </w:rPr>
        <w:t>，绿化景观较好，主体建筑以二层或三层的度假别墅为主，包括独栋别墅和花园洋房，由大理独秀集团开发，整个楼盘分为爱心苑、漾苑、阳光</w:t>
      </w:r>
      <w:r>
        <w:rPr>
          <w:rFonts w:ascii="仿宋_GB2312" w:eastAsia="仿宋_GB2312" w:hAnsi="宋体"/>
          <w:spacing w:val="-4"/>
          <w:sz w:val="28"/>
        </w:rPr>
        <w:t>15</w:t>
      </w:r>
      <w:r>
        <w:rPr>
          <w:rFonts w:ascii="仿宋_GB2312" w:eastAsia="仿宋_GB2312" w:hAnsi="宋体" w:hint="eastAsia"/>
          <w:spacing w:val="-4"/>
          <w:sz w:val="28"/>
        </w:rPr>
        <w:t>度、云苑、永苑、剑苑、洱苑、祥苑、宾苑、鹤苑、会所、网球场、酒店会都等区域。项目分三期开发，现一期、二期六个苑区已交付使用。</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估价对象位于感通别墅一期</w:t>
      </w:r>
      <w:r>
        <w:rPr>
          <w:rFonts w:ascii="仿宋_GB2312" w:eastAsia="仿宋_GB2312" w:hAnsi="宋体"/>
          <w:spacing w:val="-4"/>
          <w:sz w:val="28"/>
        </w:rPr>
        <w:t>81</w:t>
      </w:r>
      <w:r>
        <w:rPr>
          <w:rFonts w:ascii="仿宋_GB2312" w:eastAsia="仿宋_GB2312" w:hAnsi="宋体" w:hint="eastAsia"/>
          <w:spacing w:val="-4"/>
          <w:sz w:val="28"/>
        </w:rPr>
        <w:t>号</w:t>
      </w:r>
      <w:r>
        <w:rPr>
          <w:rFonts w:ascii="仿宋_GB2312" w:eastAsia="仿宋_GB2312" w:hAnsi="宋体" w:hint="eastAsia"/>
          <w:sz w:val="28"/>
          <w:szCs w:val="28"/>
        </w:rPr>
        <w:t>，该物业砖混结构，总层数</w:t>
      </w:r>
      <w:r>
        <w:rPr>
          <w:rFonts w:ascii="仿宋_GB2312" w:eastAsia="仿宋_GB2312" w:hAnsi="宋体"/>
          <w:sz w:val="28"/>
          <w:szCs w:val="28"/>
        </w:rPr>
        <w:t>2</w:t>
      </w:r>
      <w:r>
        <w:rPr>
          <w:rFonts w:ascii="仿宋_GB2312" w:eastAsia="仿宋_GB2312" w:hAnsi="宋体" w:hint="eastAsia"/>
          <w:sz w:val="28"/>
          <w:szCs w:val="28"/>
        </w:rPr>
        <w:t>层，估价对象所在层数</w:t>
      </w:r>
      <w:r>
        <w:rPr>
          <w:rFonts w:ascii="仿宋_GB2312" w:eastAsia="仿宋_GB2312" w:hAnsi="宋体"/>
          <w:sz w:val="28"/>
          <w:szCs w:val="28"/>
        </w:rPr>
        <w:t>1-2</w:t>
      </w:r>
      <w:r>
        <w:rPr>
          <w:rFonts w:ascii="仿宋_GB2312" w:eastAsia="仿宋_GB2312" w:hAnsi="宋体" w:hint="eastAsia"/>
          <w:sz w:val="28"/>
          <w:szCs w:val="28"/>
        </w:rPr>
        <w:t>层，</w:t>
      </w:r>
      <w:r>
        <w:rPr>
          <w:rFonts w:ascii="仿宋_GB2312" w:eastAsia="仿宋_GB2312" w:hAnsi="宋体" w:hint="eastAsia"/>
          <w:spacing w:val="-4"/>
          <w:sz w:val="28"/>
        </w:rPr>
        <w:t>设计用途为住宅，实际用途为住宅，所有权人为吴小兰。层高为标准层高，约</w:t>
      </w:r>
      <w:r>
        <w:rPr>
          <w:rFonts w:ascii="仿宋_GB2312" w:eastAsia="仿宋_GB2312" w:hAnsi="宋体"/>
          <w:spacing w:val="-4"/>
          <w:sz w:val="28"/>
        </w:rPr>
        <w:t>3</w:t>
      </w:r>
      <w:r>
        <w:rPr>
          <w:rFonts w:ascii="仿宋_GB2312" w:eastAsia="仿宋_GB2312" w:hAnsi="宋体" w:hint="eastAsia"/>
          <w:spacing w:val="-4"/>
          <w:sz w:val="28"/>
        </w:rPr>
        <w:t>米，</w:t>
      </w:r>
      <w:r>
        <w:rPr>
          <w:rFonts w:ascii="仿宋_GB2312" w:eastAsia="仿宋_GB2312" w:hAnsi="宋体" w:hint="eastAsia"/>
          <w:sz w:val="28"/>
          <w:szCs w:val="28"/>
        </w:rPr>
        <w:t>建筑面积为</w:t>
      </w:r>
      <w:r>
        <w:rPr>
          <w:rFonts w:ascii="仿宋_GB2312" w:eastAsia="仿宋_GB2312" w:hAnsi="宋体"/>
          <w:sz w:val="28"/>
          <w:szCs w:val="28"/>
        </w:rPr>
        <w:t>44.58</w:t>
      </w:r>
      <w:r>
        <w:rPr>
          <w:rFonts w:ascii="仿宋_GB2312" w:eastAsia="仿宋_GB2312" w:hAnsi="宋体" w:hint="eastAsia"/>
          <w:sz w:val="28"/>
          <w:szCs w:val="28"/>
        </w:rPr>
        <w:t>平方米，</w:t>
      </w:r>
      <w:r>
        <w:rPr>
          <w:rFonts w:ascii="仿宋_GB2312" w:eastAsia="仿宋_GB2312" w:hAnsi="宋体" w:hint="eastAsia"/>
          <w:spacing w:val="-4"/>
          <w:sz w:val="28"/>
        </w:rPr>
        <w:t>朝向为东南向。该房距感通别墅一期入口处较近，与戏台小广场相距不远，处于楼盘一期内部，不临主干道，安静无噪音。估价对象为端头房，采光充足，光照较好，套内格局为</w:t>
      </w:r>
      <w:r>
        <w:rPr>
          <w:rFonts w:ascii="仿宋_GB2312" w:eastAsia="仿宋_GB2312" w:hAnsi="宋体" w:hint="eastAsia"/>
          <w:sz w:val="28"/>
          <w:szCs w:val="28"/>
        </w:rPr>
        <w:t>两层楼的板式住宅，一室一厅一厨两卫一阳台一花园，格局一般</w:t>
      </w:r>
      <w:r>
        <w:rPr>
          <w:rFonts w:ascii="仿宋_GB2312" w:eastAsia="仿宋_GB2312" w:hAnsi="宋体" w:hint="eastAsia"/>
          <w:spacing w:val="-4"/>
          <w:sz w:val="28"/>
        </w:rPr>
        <w:t>，该房为普通装修，具体装修情况如下：</w:t>
      </w:r>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一楼布局为一厅一厨一卫一花园，花园面积较小，约</w:t>
      </w:r>
      <w:r>
        <w:rPr>
          <w:rFonts w:ascii="仿宋_GB2312" w:eastAsia="仿宋_GB2312" w:hAnsi="宋体"/>
          <w:sz w:val="28"/>
          <w:szCs w:val="28"/>
        </w:rPr>
        <w:t>6-7</w:t>
      </w:r>
      <w:r>
        <w:rPr>
          <w:rFonts w:ascii="仿宋_GB2312" w:eastAsia="仿宋_GB2312" w:hAnsi="宋体" w:hint="eastAsia"/>
          <w:sz w:val="28"/>
          <w:szCs w:val="28"/>
        </w:rPr>
        <w:t>平方米，客厅地面为地砖，墙面为乳胶漆，天棚为艺术造型吊顶。厨房地面为防滑地砖，墙面为墙砖，天棚为铝扣板吊顶，橱柜设施齐全；卫生间地面为防滑地砖，墙面为墙砖，天棚为铝扣板吊顶，卫浴设施齐全；</w:t>
      </w:r>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二楼布局为一室一卫一阳台，卧室地面为铺设强化木地板，墙面部分墙纸，部分为乳胶漆，天棚为乳胶漆；卫生间地面为防滑地砖，墙面为墙砖，天棚为铝扣板吊顶，卫浴设施齐全；阳台地面为地砖，墙面和天棚为涂料；</w:t>
      </w:r>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整套房屋入户门为木门，塑钢窗。经现场勘察，该房已被查封，空置未用，无维护保养。</w:t>
      </w:r>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经估价人员现场调查了解，截止价值时点</w:t>
      </w: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4</w:t>
      </w:r>
      <w:r>
        <w:rPr>
          <w:rFonts w:ascii="仿宋_GB2312" w:eastAsia="仿宋_GB2312" w:hAnsi="宋体" w:hint="eastAsia"/>
          <w:sz w:val="28"/>
          <w:szCs w:val="28"/>
        </w:rPr>
        <w:t>月</w:t>
      </w:r>
      <w:r>
        <w:rPr>
          <w:rFonts w:ascii="仿宋_GB2312" w:eastAsia="仿宋_GB2312" w:hAnsi="宋体"/>
          <w:sz w:val="28"/>
          <w:szCs w:val="28"/>
        </w:rPr>
        <w:t>29</w:t>
      </w:r>
      <w:r>
        <w:rPr>
          <w:rFonts w:ascii="仿宋_GB2312" w:eastAsia="仿宋_GB2312" w:hAnsi="宋体" w:hint="eastAsia"/>
          <w:sz w:val="28"/>
          <w:szCs w:val="28"/>
        </w:rPr>
        <w:t>日，估价对象尚有两年零四个月的物业费未缴纳，欠缴物业费合计</w:t>
      </w:r>
      <w:r>
        <w:rPr>
          <w:rFonts w:ascii="仿宋_GB2312" w:eastAsia="仿宋_GB2312" w:hAnsi="宋体"/>
          <w:sz w:val="28"/>
          <w:szCs w:val="28"/>
        </w:rPr>
        <w:t>2479.70</w:t>
      </w:r>
      <w:r>
        <w:rPr>
          <w:rFonts w:ascii="仿宋_GB2312" w:eastAsia="仿宋_GB2312" w:hAnsi="宋体" w:hint="eastAsia"/>
          <w:sz w:val="28"/>
          <w:szCs w:val="28"/>
        </w:rPr>
        <w:t>元，水费欠缴</w:t>
      </w:r>
      <w:r>
        <w:rPr>
          <w:rFonts w:ascii="仿宋_GB2312" w:eastAsia="仿宋_GB2312" w:hAnsi="宋体"/>
          <w:sz w:val="28"/>
          <w:szCs w:val="28"/>
        </w:rPr>
        <w:t>120.9</w:t>
      </w:r>
      <w:r>
        <w:rPr>
          <w:rFonts w:ascii="仿宋_GB2312" w:eastAsia="仿宋_GB2312" w:hAnsi="宋体" w:hint="eastAsia"/>
          <w:sz w:val="28"/>
          <w:szCs w:val="28"/>
        </w:rPr>
        <w:t>元，欠热水费</w:t>
      </w:r>
      <w:r>
        <w:rPr>
          <w:rFonts w:ascii="仿宋_GB2312" w:eastAsia="仿宋_GB2312" w:hAnsi="宋体"/>
          <w:sz w:val="28"/>
          <w:szCs w:val="28"/>
        </w:rPr>
        <w:t>168</w:t>
      </w:r>
      <w:r>
        <w:rPr>
          <w:rFonts w:ascii="仿宋_GB2312" w:eastAsia="仿宋_GB2312" w:hAnsi="宋体" w:hint="eastAsia"/>
          <w:sz w:val="28"/>
          <w:szCs w:val="28"/>
        </w:rPr>
        <w:t>元，欠生活垃圾费</w:t>
      </w:r>
      <w:r>
        <w:rPr>
          <w:rFonts w:ascii="仿宋_GB2312" w:eastAsia="仿宋_GB2312" w:hAnsi="宋体"/>
          <w:sz w:val="28"/>
          <w:szCs w:val="28"/>
        </w:rPr>
        <w:t>288</w:t>
      </w:r>
      <w:r>
        <w:rPr>
          <w:rFonts w:ascii="仿宋_GB2312" w:eastAsia="仿宋_GB2312" w:hAnsi="宋体" w:hint="eastAsia"/>
          <w:sz w:val="28"/>
          <w:szCs w:val="28"/>
        </w:rPr>
        <w:t>元，欠电费</w:t>
      </w:r>
      <w:r>
        <w:rPr>
          <w:rFonts w:ascii="仿宋_GB2312" w:eastAsia="仿宋_GB2312" w:hAnsi="宋体"/>
          <w:sz w:val="28"/>
          <w:szCs w:val="28"/>
        </w:rPr>
        <w:t>683.9</w:t>
      </w:r>
      <w:r>
        <w:rPr>
          <w:rFonts w:ascii="仿宋_GB2312" w:eastAsia="仿宋_GB2312" w:hAnsi="宋体" w:hint="eastAsia"/>
          <w:sz w:val="28"/>
          <w:szCs w:val="28"/>
        </w:rPr>
        <w:t>元，欠费合计为</w:t>
      </w:r>
      <w:r>
        <w:rPr>
          <w:rFonts w:ascii="仿宋_GB2312" w:eastAsia="仿宋_GB2312" w:hAnsi="宋体"/>
          <w:sz w:val="28"/>
          <w:szCs w:val="28"/>
        </w:rPr>
        <w:t>3740.50</w:t>
      </w:r>
      <w:r>
        <w:rPr>
          <w:rFonts w:ascii="仿宋_GB2312" w:eastAsia="仿宋_GB2312" w:hAnsi="宋体" w:hint="eastAsia"/>
          <w:sz w:val="28"/>
          <w:szCs w:val="28"/>
        </w:rPr>
        <w:t>元。</w:t>
      </w:r>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估价对象为低层板式住宅，临小区内部，距一期住宅入口较近，距主景观不远，位置较好，朝向较好，光照充足，公摊面积较小。缺点是该房套内格局一般，面积过小，利用不方便。</w:t>
      </w:r>
    </w:p>
    <w:p w:rsidR="007C13F5" w:rsidRDefault="007C13F5">
      <w:pPr>
        <w:pStyle w:val="Heading2"/>
        <w:rPr>
          <w:rFonts w:ascii="仿宋_GB2312" w:eastAsia="仿宋_GB2312"/>
          <w:sz w:val="28"/>
          <w:szCs w:val="28"/>
        </w:rPr>
      </w:pPr>
      <w:bookmarkStart w:id="18" w:name="_Toc499890264"/>
      <w:r>
        <w:rPr>
          <w:rFonts w:ascii="仿宋_GB2312" w:eastAsia="仿宋_GB2312" w:hint="eastAsia"/>
          <w:sz w:val="28"/>
          <w:szCs w:val="28"/>
        </w:rPr>
        <w:t>二、权益状况描述与分析</w:t>
      </w:r>
      <w:bookmarkEnd w:id="18"/>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、土地权益状况与分析</w:t>
      </w:r>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根据我公司到大理市不动产登记中心查档，取得《土地登记卡》，该房屋的土地权益状况如下：</w:t>
      </w:r>
    </w:p>
    <w:p w:rsidR="007C13F5" w:rsidRDefault="007C13F5">
      <w:pPr>
        <w:spacing w:beforeLines="50"/>
        <w:ind w:right="1120"/>
        <w:rPr>
          <w:rFonts w:ascii="仿宋_GB2312" w:eastAsia="仿宋_GB2312" w:hAnsi="宋体"/>
          <w:bCs/>
          <w:sz w:val="28"/>
          <w:szCs w:val="28"/>
        </w:rPr>
      </w:pPr>
      <w:r>
        <w:rPr>
          <w:rFonts w:ascii="仿宋_GB2312" w:eastAsia="仿宋_GB2312" w:hAnsi="宋体" w:hint="eastAsia"/>
          <w:bCs/>
          <w:sz w:val="28"/>
          <w:szCs w:val="28"/>
        </w:rPr>
        <w:t>大国用（</w:t>
      </w:r>
      <w:r>
        <w:rPr>
          <w:rFonts w:ascii="仿宋_GB2312" w:eastAsia="仿宋_GB2312" w:hAnsi="宋体"/>
          <w:bCs/>
          <w:sz w:val="28"/>
          <w:szCs w:val="28"/>
        </w:rPr>
        <w:t>2010</w:t>
      </w:r>
      <w:r>
        <w:rPr>
          <w:rFonts w:ascii="仿宋_GB2312" w:eastAsia="仿宋_GB2312" w:hAnsi="宋体" w:hint="eastAsia"/>
          <w:bCs/>
          <w:sz w:val="28"/>
          <w:szCs w:val="28"/>
        </w:rPr>
        <w:t>）字第</w:t>
      </w:r>
      <w:r>
        <w:rPr>
          <w:rFonts w:ascii="仿宋_GB2312" w:eastAsia="仿宋_GB2312" w:hAnsi="宋体"/>
          <w:bCs/>
          <w:sz w:val="28"/>
          <w:szCs w:val="28"/>
        </w:rPr>
        <w:t>06838</w:t>
      </w:r>
      <w:r>
        <w:rPr>
          <w:rFonts w:ascii="仿宋_GB2312" w:eastAsia="仿宋_GB2312" w:hAnsi="宋体" w:hint="eastAsia"/>
          <w:bCs/>
          <w:sz w:val="28"/>
          <w:szCs w:val="28"/>
        </w:rPr>
        <w:t>号</w:t>
      </w:r>
      <w:r>
        <w:rPr>
          <w:rFonts w:ascii="仿宋_GB2312" w:eastAsia="仿宋_GB2312" w:hAnsi="宋体"/>
          <w:bCs/>
          <w:sz w:val="28"/>
          <w:szCs w:val="28"/>
        </w:rPr>
        <w:t xml:space="preserve">                          NO</w:t>
      </w:r>
      <w:r>
        <w:rPr>
          <w:rFonts w:ascii="仿宋_GB2312" w:eastAsia="仿宋_GB2312" w:hAnsi="宋体" w:hint="eastAsia"/>
          <w:bCs/>
          <w:sz w:val="28"/>
          <w:szCs w:val="28"/>
        </w:rPr>
        <w:t>：</w:t>
      </w:r>
      <w:r>
        <w:rPr>
          <w:rFonts w:ascii="仿宋_GB2312" w:eastAsia="仿宋_GB2312" w:hAnsi="宋体"/>
          <w:bCs/>
          <w:sz w:val="28"/>
          <w:szCs w:val="28"/>
        </w:rPr>
        <w:t>015981</w:t>
      </w:r>
    </w:p>
    <w:tbl>
      <w:tblPr>
        <w:tblW w:w="0" w:type="auto"/>
        <w:jc w:val="center"/>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1968"/>
        <w:gridCol w:w="2410"/>
        <w:gridCol w:w="1417"/>
        <w:gridCol w:w="992"/>
        <w:gridCol w:w="1418"/>
        <w:gridCol w:w="1077"/>
      </w:tblGrid>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地号</w:t>
            </w:r>
          </w:p>
        </w:tc>
        <w:tc>
          <w:tcPr>
            <w:tcW w:w="3827"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532901101-11-01-542</w:t>
            </w:r>
          </w:p>
        </w:tc>
        <w:tc>
          <w:tcPr>
            <w:tcW w:w="992"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图号</w:t>
            </w:r>
          </w:p>
        </w:tc>
        <w:tc>
          <w:tcPr>
            <w:tcW w:w="2495"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38.00-17.75</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土地登记面积</w:t>
            </w:r>
          </w:p>
        </w:tc>
        <w:tc>
          <w:tcPr>
            <w:tcW w:w="241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33.94</w:t>
            </w:r>
          </w:p>
        </w:tc>
        <w:tc>
          <w:tcPr>
            <w:tcW w:w="1417"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独用面积</w:t>
            </w:r>
          </w:p>
        </w:tc>
        <w:tc>
          <w:tcPr>
            <w:tcW w:w="992" w:type="dxa"/>
          </w:tcPr>
          <w:p w:rsidR="007C13F5" w:rsidRDefault="007C13F5">
            <w:pPr>
              <w:spacing w:beforeLines="50" w:line="440" w:lineRule="exact"/>
              <w:rPr>
                <w:rFonts w:ascii="仿宋_GB2312" w:eastAsia="仿宋_GB2312" w:hAnsi="宋体"/>
                <w:sz w:val="28"/>
                <w:szCs w:val="28"/>
              </w:rPr>
            </w:pPr>
          </w:p>
        </w:tc>
        <w:tc>
          <w:tcPr>
            <w:tcW w:w="141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分摊面积</w:t>
            </w:r>
          </w:p>
        </w:tc>
        <w:tc>
          <w:tcPr>
            <w:tcW w:w="1077" w:type="dxa"/>
          </w:tcPr>
          <w:p w:rsidR="007C13F5" w:rsidRDefault="007C13F5">
            <w:pPr>
              <w:spacing w:beforeLines="50" w:line="440" w:lineRule="exact"/>
              <w:rPr>
                <w:rFonts w:ascii="仿宋_GB2312" w:eastAsia="仿宋_GB2312" w:hAnsi="宋体"/>
                <w:sz w:val="28"/>
                <w:szCs w:val="28"/>
              </w:rPr>
            </w:pP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单位性质</w:t>
            </w:r>
          </w:p>
        </w:tc>
        <w:tc>
          <w:tcPr>
            <w:tcW w:w="241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个人</w:t>
            </w: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用途</w:t>
            </w:r>
          </w:p>
        </w:tc>
        <w:tc>
          <w:tcPr>
            <w:tcW w:w="2495"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城镇单一住宅用地</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坐落</w:t>
            </w: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大理市下关镇七里桥感通小镇</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权属性质</w:t>
            </w:r>
          </w:p>
        </w:tc>
        <w:tc>
          <w:tcPr>
            <w:tcW w:w="241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国有土地使用权</w:t>
            </w: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权利人</w:t>
            </w:r>
          </w:p>
        </w:tc>
        <w:tc>
          <w:tcPr>
            <w:tcW w:w="2495"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吴小兰</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通讯地址</w:t>
            </w: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大理市下关镇七里桥感通小镇</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使用权类型</w:t>
            </w:r>
          </w:p>
        </w:tc>
        <w:tc>
          <w:tcPr>
            <w:tcW w:w="2410" w:type="dxa"/>
          </w:tcPr>
          <w:p w:rsidR="007C13F5" w:rsidRDefault="007C13F5">
            <w:pPr>
              <w:spacing w:beforeLines="50" w:line="440" w:lineRule="exact"/>
            </w:pPr>
            <w:r>
              <w:rPr>
                <w:rFonts w:ascii="仿宋_GB2312" w:eastAsia="仿宋_GB2312" w:hAnsi="宋体" w:hint="eastAsia"/>
                <w:sz w:val="28"/>
                <w:szCs w:val="28"/>
              </w:rPr>
              <w:t>出让</w:t>
            </w: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终止日期</w:t>
            </w:r>
          </w:p>
        </w:tc>
        <w:tc>
          <w:tcPr>
            <w:tcW w:w="2495" w:type="dxa"/>
            <w:gridSpan w:val="2"/>
          </w:tcPr>
          <w:p w:rsidR="007C13F5" w:rsidRDefault="007C13F5">
            <w:pPr>
              <w:spacing w:beforeLines="50" w:line="440" w:lineRule="exact"/>
            </w:pPr>
            <w:r>
              <w:rPr>
                <w:rFonts w:ascii="仿宋_GB2312" w:eastAsia="仿宋_GB2312" w:hAnsi="宋体"/>
                <w:sz w:val="28"/>
                <w:szCs w:val="28"/>
              </w:rPr>
              <w:t>2070-12-16</w:t>
            </w:r>
          </w:p>
        </w:tc>
      </w:tr>
      <w:tr w:rsidR="007C13F5">
        <w:trPr>
          <w:trHeight w:val="574"/>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土地证书编号</w:t>
            </w:r>
          </w:p>
        </w:tc>
        <w:tc>
          <w:tcPr>
            <w:tcW w:w="2410"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017748038</w:t>
            </w: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调查表号</w:t>
            </w:r>
          </w:p>
        </w:tc>
        <w:tc>
          <w:tcPr>
            <w:tcW w:w="2495"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015981</w:t>
            </w:r>
          </w:p>
        </w:tc>
      </w:tr>
      <w:tr w:rsidR="007C13F5">
        <w:trPr>
          <w:trHeight w:val="512"/>
          <w:jc w:val="center"/>
        </w:trPr>
        <w:tc>
          <w:tcPr>
            <w:tcW w:w="1968" w:type="dxa"/>
            <w:vAlign w:val="center"/>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审批表号</w:t>
            </w:r>
          </w:p>
        </w:tc>
        <w:tc>
          <w:tcPr>
            <w:tcW w:w="2410" w:type="dxa"/>
            <w:vAlign w:val="center"/>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015981</w:t>
            </w:r>
          </w:p>
        </w:tc>
        <w:tc>
          <w:tcPr>
            <w:tcW w:w="2409" w:type="dxa"/>
            <w:gridSpan w:val="2"/>
            <w:vAlign w:val="center"/>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归户卡号</w:t>
            </w:r>
          </w:p>
        </w:tc>
        <w:tc>
          <w:tcPr>
            <w:tcW w:w="2495" w:type="dxa"/>
            <w:gridSpan w:val="2"/>
            <w:vAlign w:val="center"/>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015981</w:t>
            </w: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土地等级</w:t>
            </w:r>
          </w:p>
        </w:tc>
        <w:tc>
          <w:tcPr>
            <w:tcW w:w="2410" w:type="dxa"/>
          </w:tcPr>
          <w:p w:rsidR="007C13F5" w:rsidRDefault="007C13F5">
            <w:pPr>
              <w:spacing w:beforeLines="50" w:line="440" w:lineRule="exact"/>
              <w:rPr>
                <w:rFonts w:ascii="仿宋_GB2312" w:eastAsia="仿宋_GB2312" w:hAnsi="宋体"/>
                <w:sz w:val="28"/>
                <w:szCs w:val="28"/>
              </w:rPr>
            </w:pP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标定地价</w:t>
            </w:r>
          </w:p>
        </w:tc>
        <w:tc>
          <w:tcPr>
            <w:tcW w:w="2495" w:type="dxa"/>
            <w:gridSpan w:val="2"/>
          </w:tcPr>
          <w:p w:rsidR="007C13F5" w:rsidRDefault="007C13F5">
            <w:pPr>
              <w:spacing w:beforeLines="50" w:line="440" w:lineRule="exact"/>
              <w:rPr>
                <w:rFonts w:ascii="仿宋_GB2312" w:eastAsia="仿宋_GB2312" w:hAnsi="宋体"/>
                <w:sz w:val="28"/>
                <w:szCs w:val="28"/>
              </w:rPr>
            </w:pP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申报地价</w:t>
            </w:r>
          </w:p>
        </w:tc>
        <w:tc>
          <w:tcPr>
            <w:tcW w:w="2410" w:type="dxa"/>
          </w:tcPr>
          <w:p w:rsidR="007C13F5" w:rsidRDefault="007C13F5">
            <w:pPr>
              <w:spacing w:beforeLines="50" w:line="440" w:lineRule="exact"/>
              <w:rPr>
                <w:rFonts w:ascii="仿宋_GB2312" w:eastAsia="仿宋_GB2312" w:hAnsi="宋体"/>
                <w:sz w:val="28"/>
                <w:szCs w:val="28"/>
              </w:rPr>
            </w:pP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建筑容积率</w:t>
            </w:r>
          </w:p>
        </w:tc>
        <w:tc>
          <w:tcPr>
            <w:tcW w:w="2495" w:type="dxa"/>
            <w:gridSpan w:val="2"/>
          </w:tcPr>
          <w:p w:rsidR="007C13F5" w:rsidRDefault="007C13F5">
            <w:pPr>
              <w:spacing w:beforeLines="50" w:line="440" w:lineRule="exact"/>
              <w:rPr>
                <w:rFonts w:ascii="仿宋_GB2312" w:eastAsia="仿宋_GB2312" w:hAnsi="宋体"/>
                <w:sz w:val="28"/>
                <w:szCs w:val="28"/>
              </w:rPr>
            </w:pP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建筑密度</w:t>
            </w:r>
          </w:p>
        </w:tc>
        <w:tc>
          <w:tcPr>
            <w:tcW w:w="2410" w:type="dxa"/>
          </w:tcPr>
          <w:p w:rsidR="007C13F5" w:rsidRDefault="007C13F5">
            <w:pPr>
              <w:spacing w:beforeLines="50" w:line="440" w:lineRule="exact"/>
              <w:rPr>
                <w:rFonts w:ascii="仿宋_GB2312" w:eastAsia="仿宋_GB2312" w:hAnsi="宋体"/>
                <w:sz w:val="28"/>
                <w:szCs w:val="28"/>
              </w:rPr>
            </w:pP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建筑限高</w:t>
            </w:r>
          </w:p>
        </w:tc>
        <w:tc>
          <w:tcPr>
            <w:tcW w:w="2495" w:type="dxa"/>
            <w:gridSpan w:val="2"/>
          </w:tcPr>
          <w:p w:rsidR="007C13F5" w:rsidRDefault="007C13F5">
            <w:pPr>
              <w:spacing w:beforeLines="50" w:line="440" w:lineRule="exact"/>
              <w:rPr>
                <w:rFonts w:ascii="仿宋_GB2312" w:eastAsia="仿宋_GB2312" w:hAnsi="宋体"/>
                <w:sz w:val="28"/>
                <w:szCs w:val="28"/>
              </w:rPr>
            </w:pPr>
          </w:p>
        </w:tc>
      </w:tr>
      <w:tr w:rsidR="007C13F5">
        <w:trPr>
          <w:jc w:val="center"/>
        </w:trPr>
        <w:tc>
          <w:tcPr>
            <w:tcW w:w="1968"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建筑物类型</w:t>
            </w:r>
          </w:p>
        </w:tc>
        <w:tc>
          <w:tcPr>
            <w:tcW w:w="2410" w:type="dxa"/>
          </w:tcPr>
          <w:p w:rsidR="007C13F5" w:rsidRDefault="007C13F5">
            <w:pPr>
              <w:spacing w:beforeLines="50" w:line="440" w:lineRule="exact"/>
              <w:rPr>
                <w:rFonts w:ascii="仿宋_GB2312" w:eastAsia="仿宋_GB2312" w:hAnsi="宋体"/>
                <w:sz w:val="28"/>
                <w:szCs w:val="28"/>
              </w:rPr>
            </w:pPr>
          </w:p>
        </w:tc>
        <w:tc>
          <w:tcPr>
            <w:tcW w:w="2409"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建筑物占地面积</w:t>
            </w:r>
          </w:p>
        </w:tc>
        <w:tc>
          <w:tcPr>
            <w:tcW w:w="2495" w:type="dxa"/>
            <w:gridSpan w:val="2"/>
          </w:tcPr>
          <w:p w:rsidR="007C13F5" w:rsidRDefault="007C13F5">
            <w:pPr>
              <w:spacing w:beforeLines="50" w:line="440" w:lineRule="exact"/>
              <w:rPr>
                <w:rFonts w:ascii="仿宋_GB2312" w:eastAsia="仿宋_GB2312" w:hAnsi="宋体"/>
                <w:sz w:val="28"/>
                <w:szCs w:val="28"/>
              </w:rPr>
            </w:pPr>
          </w:p>
        </w:tc>
      </w:tr>
      <w:tr w:rsidR="007C13F5">
        <w:trPr>
          <w:jc w:val="center"/>
        </w:trPr>
        <w:tc>
          <w:tcPr>
            <w:tcW w:w="4378" w:type="dxa"/>
            <w:gridSpan w:val="2"/>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申报建筑物权属</w:t>
            </w:r>
          </w:p>
        </w:tc>
        <w:tc>
          <w:tcPr>
            <w:tcW w:w="4904" w:type="dxa"/>
            <w:gridSpan w:val="4"/>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本宗地使用者</w:t>
            </w:r>
          </w:p>
        </w:tc>
      </w:tr>
      <w:tr w:rsidR="007C13F5">
        <w:trPr>
          <w:jc w:val="center"/>
        </w:trPr>
        <w:tc>
          <w:tcPr>
            <w:tcW w:w="1968" w:type="dxa"/>
            <w:vMerge w:val="restart"/>
            <w:vAlign w:val="center"/>
          </w:tcPr>
          <w:p w:rsidR="007C13F5" w:rsidRDefault="007C13F5">
            <w:pPr>
              <w:spacing w:beforeLines="50" w:line="440" w:lineRule="exact"/>
              <w:jc w:val="center"/>
              <w:rPr>
                <w:rFonts w:ascii="仿宋_GB2312" w:eastAsia="仿宋_GB2312" w:hAnsi="宋体"/>
                <w:sz w:val="28"/>
                <w:szCs w:val="28"/>
              </w:rPr>
            </w:pPr>
            <w:r>
              <w:rPr>
                <w:rFonts w:ascii="仿宋_GB2312" w:eastAsia="仿宋_GB2312" w:hAnsi="宋体" w:hint="eastAsia"/>
                <w:sz w:val="28"/>
                <w:szCs w:val="28"/>
              </w:rPr>
              <w:t>土地权属来源证明文件类型编号、日期</w:t>
            </w: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国有土地使用权证</w:t>
            </w:r>
            <w:r>
              <w:rPr>
                <w:rFonts w:ascii="仿宋_GB2312" w:eastAsia="仿宋_GB2312" w:hAnsi="宋体"/>
                <w:sz w:val="28"/>
                <w:szCs w:val="28"/>
              </w:rPr>
              <w:t xml:space="preserve"> </w:t>
            </w:r>
            <w:r>
              <w:rPr>
                <w:rFonts w:ascii="仿宋_GB2312" w:eastAsia="仿宋_GB2312" w:hAnsi="宋体" w:hint="eastAsia"/>
                <w:sz w:val="28"/>
                <w:szCs w:val="28"/>
              </w:rPr>
              <w:t>大国用（</w:t>
            </w:r>
            <w:r>
              <w:rPr>
                <w:rFonts w:ascii="仿宋_GB2312" w:eastAsia="仿宋_GB2312" w:hAnsi="宋体"/>
                <w:sz w:val="28"/>
                <w:szCs w:val="28"/>
              </w:rPr>
              <w:t>2008</w:t>
            </w:r>
            <w:r>
              <w:rPr>
                <w:rFonts w:ascii="仿宋_GB2312" w:eastAsia="仿宋_GB2312" w:hAnsi="宋体" w:hint="eastAsia"/>
                <w:sz w:val="28"/>
                <w:szCs w:val="28"/>
              </w:rPr>
              <w:t>）第</w:t>
            </w:r>
            <w:r>
              <w:rPr>
                <w:rFonts w:ascii="仿宋_GB2312" w:eastAsia="仿宋_GB2312" w:hAnsi="宋体"/>
                <w:sz w:val="28"/>
                <w:szCs w:val="28"/>
              </w:rPr>
              <w:t>01938</w:t>
            </w:r>
            <w:r>
              <w:rPr>
                <w:rFonts w:ascii="仿宋_GB2312" w:eastAsia="仿宋_GB2312" w:hAnsi="宋体" w:hint="eastAsia"/>
                <w:sz w:val="28"/>
                <w:szCs w:val="28"/>
              </w:rPr>
              <w:t>号</w:t>
            </w:r>
            <w:r>
              <w:rPr>
                <w:rFonts w:ascii="仿宋_GB2312" w:eastAsia="仿宋_GB2312" w:hAnsi="宋体"/>
                <w:sz w:val="28"/>
                <w:szCs w:val="28"/>
              </w:rPr>
              <w:t xml:space="preserve"> 2008-07-23</w:t>
            </w:r>
          </w:p>
        </w:tc>
      </w:tr>
      <w:tr w:rsidR="007C13F5">
        <w:trPr>
          <w:jc w:val="center"/>
        </w:trPr>
        <w:tc>
          <w:tcPr>
            <w:tcW w:w="1968" w:type="dxa"/>
            <w:vMerge/>
          </w:tcPr>
          <w:p w:rsidR="007C13F5" w:rsidRDefault="007C13F5">
            <w:pPr>
              <w:spacing w:beforeLines="50" w:line="440" w:lineRule="exact"/>
              <w:rPr>
                <w:rFonts w:ascii="仿宋_GB2312" w:eastAsia="仿宋_GB2312" w:hAnsi="宋体"/>
                <w:sz w:val="28"/>
                <w:szCs w:val="28"/>
              </w:rPr>
            </w:pP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出让土地使用权转让手续审批表</w:t>
            </w:r>
            <w:r>
              <w:rPr>
                <w:rFonts w:ascii="仿宋_GB2312" w:eastAsia="仿宋_GB2312" w:hAnsi="宋体"/>
                <w:sz w:val="28"/>
                <w:szCs w:val="28"/>
              </w:rPr>
              <w:t xml:space="preserve">  </w:t>
            </w:r>
            <w:r>
              <w:rPr>
                <w:rFonts w:ascii="仿宋_GB2312" w:eastAsia="仿宋_GB2312" w:hAnsi="宋体" w:hint="eastAsia"/>
                <w:sz w:val="28"/>
                <w:szCs w:val="28"/>
              </w:rPr>
              <w:t>大市土转（</w:t>
            </w:r>
            <w:r>
              <w:rPr>
                <w:rFonts w:ascii="仿宋_GB2312" w:eastAsia="仿宋_GB2312" w:hAnsi="宋体"/>
                <w:sz w:val="28"/>
                <w:szCs w:val="28"/>
              </w:rPr>
              <w:t>2010</w:t>
            </w:r>
            <w:r>
              <w:rPr>
                <w:rFonts w:ascii="仿宋_GB2312" w:eastAsia="仿宋_GB2312" w:hAnsi="宋体" w:hint="eastAsia"/>
                <w:sz w:val="28"/>
                <w:szCs w:val="28"/>
              </w:rPr>
              <w:t>）第</w:t>
            </w:r>
            <w:r>
              <w:rPr>
                <w:rFonts w:ascii="仿宋_GB2312" w:eastAsia="仿宋_GB2312" w:hAnsi="宋体"/>
                <w:sz w:val="28"/>
                <w:szCs w:val="28"/>
              </w:rPr>
              <w:t>280</w:t>
            </w:r>
            <w:r>
              <w:rPr>
                <w:rFonts w:ascii="仿宋_GB2312" w:eastAsia="仿宋_GB2312" w:hAnsi="宋体" w:hint="eastAsia"/>
                <w:sz w:val="28"/>
                <w:szCs w:val="28"/>
              </w:rPr>
              <w:t>号</w:t>
            </w:r>
            <w:r>
              <w:rPr>
                <w:rFonts w:ascii="仿宋_GB2312" w:eastAsia="仿宋_GB2312" w:hAnsi="宋体"/>
                <w:sz w:val="28"/>
                <w:szCs w:val="28"/>
              </w:rPr>
              <w:t xml:space="preserve"> 2010-12-15</w:t>
            </w:r>
          </w:p>
        </w:tc>
      </w:tr>
      <w:tr w:rsidR="007C13F5">
        <w:trPr>
          <w:jc w:val="center"/>
        </w:trPr>
        <w:tc>
          <w:tcPr>
            <w:tcW w:w="1968" w:type="dxa"/>
            <w:vMerge/>
          </w:tcPr>
          <w:p w:rsidR="007C13F5" w:rsidRDefault="007C13F5">
            <w:pPr>
              <w:spacing w:beforeLines="50" w:line="440" w:lineRule="exact"/>
              <w:rPr>
                <w:rFonts w:ascii="仿宋_GB2312" w:eastAsia="仿宋_GB2312" w:hAnsi="宋体"/>
                <w:sz w:val="28"/>
                <w:szCs w:val="28"/>
              </w:rPr>
            </w:pP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中华人民共和国契税完税证</w:t>
            </w:r>
            <w:r>
              <w:rPr>
                <w:rFonts w:ascii="仿宋_GB2312" w:eastAsia="仿宋_GB2312" w:hAnsi="宋体"/>
                <w:sz w:val="28"/>
                <w:szCs w:val="28"/>
              </w:rPr>
              <w:t xml:space="preserve"> NO.00040245</w:t>
            </w:r>
            <w:r>
              <w:rPr>
                <w:rFonts w:ascii="仿宋_GB2312" w:eastAsia="仿宋_GB2312" w:hAnsi="宋体" w:hint="eastAsia"/>
                <w:sz w:val="28"/>
                <w:szCs w:val="28"/>
              </w:rPr>
              <w:t>、</w:t>
            </w:r>
            <w:r>
              <w:rPr>
                <w:rFonts w:ascii="仿宋_GB2312" w:eastAsia="仿宋_GB2312" w:hAnsi="宋体"/>
                <w:sz w:val="28"/>
                <w:szCs w:val="28"/>
              </w:rPr>
              <w:t>00040875 2010-11-10</w:t>
            </w:r>
          </w:p>
        </w:tc>
      </w:tr>
      <w:tr w:rsidR="007C13F5">
        <w:trPr>
          <w:jc w:val="center"/>
        </w:trPr>
        <w:tc>
          <w:tcPr>
            <w:tcW w:w="1968" w:type="dxa"/>
            <w:vMerge/>
          </w:tcPr>
          <w:p w:rsidR="007C13F5" w:rsidRDefault="007C13F5">
            <w:pPr>
              <w:spacing w:beforeLines="50" w:line="440" w:lineRule="exact"/>
              <w:rPr>
                <w:rFonts w:ascii="仿宋_GB2312" w:eastAsia="仿宋_GB2312" w:hAnsi="宋体"/>
                <w:sz w:val="28"/>
                <w:szCs w:val="28"/>
              </w:rPr>
            </w:pPr>
          </w:p>
        </w:tc>
        <w:tc>
          <w:tcPr>
            <w:tcW w:w="7314" w:type="dxa"/>
            <w:gridSpan w:val="5"/>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房屋所有权证</w:t>
            </w:r>
            <w:r>
              <w:rPr>
                <w:rFonts w:ascii="仿宋_GB2312" w:eastAsia="仿宋_GB2312" w:hAnsi="宋体"/>
                <w:sz w:val="28"/>
                <w:szCs w:val="28"/>
              </w:rPr>
              <w:t xml:space="preserve"> </w:t>
            </w:r>
            <w:r>
              <w:rPr>
                <w:rFonts w:ascii="仿宋_GB2312" w:eastAsia="仿宋_GB2312" w:hAnsi="宋体" w:hint="eastAsia"/>
                <w:sz w:val="28"/>
                <w:szCs w:val="28"/>
              </w:rPr>
              <w:t>大字第</w:t>
            </w:r>
            <w:r>
              <w:rPr>
                <w:rFonts w:ascii="仿宋_GB2312" w:eastAsia="仿宋_GB2312" w:hAnsi="宋体"/>
                <w:sz w:val="28"/>
                <w:szCs w:val="28"/>
              </w:rPr>
              <w:t>909500</w:t>
            </w:r>
            <w:r>
              <w:rPr>
                <w:rFonts w:ascii="仿宋_GB2312" w:eastAsia="仿宋_GB2312" w:hAnsi="宋体" w:hint="eastAsia"/>
                <w:sz w:val="28"/>
                <w:szCs w:val="28"/>
              </w:rPr>
              <w:t>号</w:t>
            </w:r>
            <w:r>
              <w:rPr>
                <w:rFonts w:ascii="仿宋_GB2312" w:eastAsia="仿宋_GB2312" w:hAnsi="宋体"/>
                <w:sz w:val="28"/>
                <w:szCs w:val="28"/>
              </w:rPr>
              <w:t xml:space="preserve"> 2010-06-23</w:t>
            </w:r>
          </w:p>
        </w:tc>
      </w:tr>
    </w:tbl>
    <w:p w:rsidR="007C13F5" w:rsidRDefault="007C13F5" w:rsidP="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pacing w:val="-4"/>
          <w:sz w:val="28"/>
        </w:rPr>
        <w:t>该土地已办理过国有土地使用证，土地使用者为吴小兰，与房屋所有权人一致，权属清晰</w:t>
      </w:r>
      <w:r>
        <w:rPr>
          <w:rFonts w:ascii="仿宋_GB2312" w:eastAsia="仿宋_GB2312" w:hAnsi="宋体" w:hint="eastAsia"/>
          <w:bCs/>
          <w:sz w:val="28"/>
          <w:szCs w:val="32"/>
        </w:rPr>
        <w:t>。依据《房屋信息查询摘抄表》显示，该房未抵押，存在查封限制权利，</w:t>
      </w:r>
      <w:r>
        <w:rPr>
          <w:rFonts w:ascii="仿宋_GB2312" w:eastAsia="仿宋_GB2312" w:hAnsi="宋体" w:hint="eastAsia"/>
          <w:sz w:val="28"/>
          <w:szCs w:val="28"/>
        </w:rPr>
        <w:t>因此相应的分宗土地随之存在查封和限制，未发现在其他特殊情况。</w:t>
      </w:r>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sz w:val="28"/>
          <w:szCs w:val="28"/>
        </w:rPr>
        <w:t>2</w:t>
      </w:r>
      <w:r>
        <w:rPr>
          <w:rFonts w:ascii="仿宋_GB2312" w:eastAsia="仿宋_GB2312" w:hAnsi="宋体" w:hint="eastAsia"/>
          <w:sz w:val="28"/>
          <w:szCs w:val="28"/>
        </w:rPr>
        <w:t>、建筑物权益状况与分析</w:t>
      </w:r>
    </w:p>
    <w:p w:rsidR="007C13F5" w:rsidRDefault="007C13F5">
      <w:pPr>
        <w:spacing w:beforeLines="50" w:line="360" w:lineRule="auto"/>
        <w:ind w:firstLineChars="200" w:firstLine="31680"/>
        <w:rPr>
          <w:rFonts w:ascii="仿宋_GB2312" w:eastAsia="仿宋_GB2312" w:hAnsi="宋体"/>
          <w:sz w:val="28"/>
          <w:szCs w:val="28"/>
        </w:rPr>
      </w:pPr>
      <w:r>
        <w:rPr>
          <w:rFonts w:ascii="仿宋_GB2312" w:eastAsia="仿宋_GB2312" w:hAnsi="宋体" w:hint="eastAsia"/>
          <w:sz w:val="28"/>
          <w:szCs w:val="28"/>
        </w:rPr>
        <w:t>根据我公司到大理市不动产登记中心查档，查档目的为确权，取得《房屋信息查询摘抄表》，该房屋的权益状况如下：</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1905"/>
        <w:gridCol w:w="2456"/>
        <w:gridCol w:w="1985"/>
        <w:gridCol w:w="2491"/>
      </w:tblGrid>
      <w:tr w:rsidR="007C13F5">
        <w:trPr>
          <w:trHeight w:val="491"/>
          <w:jc w:val="center"/>
        </w:trPr>
        <w:tc>
          <w:tcPr>
            <w:tcW w:w="8837" w:type="dxa"/>
            <w:gridSpan w:val="4"/>
          </w:tcPr>
          <w:p w:rsidR="007C13F5" w:rsidRDefault="007C13F5">
            <w:pPr>
              <w:spacing w:beforeLines="50" w:line="440" w:lineRule="exact"/>
              <w:jc w:val="center"/>
              <w:rPr>
                <w:rFonts w:ascii="仿宋_GB2312" w:eastAsia="仿宋_GB2312" w:hAnsi="宋体"/>
                <w:b/>
                <w:sz w:val="28"/>
                <w:szCs w:val="28"/>
              </w:rPr>
            </w:pPr>
            <w:r>
              <w:rPr>
                <w:rFonts w:ascii="仿宋_GB2312" w:eastAsia="仿宋_GB2312" w:hAnsi="宋体" w:hint="eastAsia"/>
                <w:b/>
                <w:sz w:val="28"/>
                <w:szCs w:val="28"/>
              </w:rPr>
              <w:t>产权登记内容（编号：</w:t>
            </w:r>
            <w:r>
              <w:rPr>
                <w:rFonts w:ascii="仿宋_GB2312" w:eastAsia="仿宋_GB2312" w:hAnsi="宋体"/>
                <w:b/>
                <w:sz w:val="28"/>
                <w:szCs w:val="28"/>
              </w:rPr>
              <w:t>DLGC8965</w:t>
            </w:r>
            <w:r>
              <w:rPr>
                <w:rFonts w:ascii="仿宋_GB2312" w:eastAsia="仿宋_GB2312" w:hAnsi="宋体" w:hint="eastAsia"/>
                <w:b/>
                <w:sz w:val="28"/>
                <w:szCs w:val="28"/>
              </w:rPr>
              <w:t>）</w:t>
            </w:r>
          </w:p>
        </w:tc>
      </w:tr>
      <w:tr w:rsidR="007C13F5">
        <w:trPr>
          <w:trHeight w:val="491"/>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房屋坐落</w:t>
            </w:r>
          </w:p>
        </w:tc>
        <w:tc>
          <w:tcPr>
            <w:tcW w:w="6932" w:type="dxa"/>
            <w:gridSpan w:val="3"/>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大理市下关镇七里桥感通小区（感通小镇一期</w:t>
            </w:r>
            <w:r>
              <w:rPr>
                <w:rFonts w:ascii="仿宋_GB2312" w:eastAsia="仿宋_GB2312" w:hAnsi="宋体"/>
                <w:sz w:val="28"/>
                <w:szCs w:val="28"/>
              </w:rPr>
              <w:t>81</w:t>
            </w:r>
            <w:r>
              <w:rPr>
                <w:rFonts w:ascii="仿宋_GB2312" w:eastAsia="仿宋_GB2312" w:hAnsi="宋体" w:hint="eastAsia"/>
                <w:sz w:val="28"/>
                <w:szCs w:val="28"/>
              </w:rPr>
              <w:t>号）</w:t>
            </w:r>
          </w:p>
        </w:tc>
      </w:tr>
      <w:tr w:rsidR="007C13F5">
        <w:trPr>
          <w:trHeight w:val="402"/>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所有权人</w:t>
            </w:r>
          </w:p>
        </w:tc>
        <w:tc>
          <w:tcPr>
            <w:tcW w:w="2456"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cs="宋体" w:hint="eastAsia"/>
                <w:sz w:val="28"/>
                <w:szCs w:val="28"/>
              </w:rPr>
              <w:t>吴小兰</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共有人</w:t>
            </w:r>
          </w:p>
        </w:tc>
        <w:tc>
          <w:tcPr>
            <w:tcW w:w="2491" w:type="dxa"/>
          </w:tcPr>
          <w:p w:rsidR="007C13F5" w:rsidRDefault="007C13F5">
            <w:pPr>
              <w:spacing w:beforeLines="50" w:line="440" w:lineRule="exact"/>
              <w:rPr>
                <w:rFonts w:ascii="仿宋_GB2312" w:eastAsia="仿宋_GB2312" w:hAnsi="宋体"/>
                <w:bCs/>
                <w:sz w:val="28"/>
                <w:szCs w:val="28"/>
              </w:rPr>
            </w:pPr>
          </w:p>
        </w:tc>
      </w:tr>
      <w:tr w:rsidR="007C13F5">
        <w:trPr>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建筑面积</w:t>
            </w:r>
          </w:p>
        </w:tc>
        <w:tc>
          <w:tcPr>
            <w:tcW w:w="2456"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bCs/>
                <w:sz w:val="28"/>
                <w:szCs w:val="28"/>
              </w:rPr>
              <w:t>44.58</w:t>
            </w:r>
            <w:r>
              <w:rPr>
                <w:rFonts w:ascii="宋体" w:hAnsi="宋体" w:cs="宋体" w:hint="eastAsia"/>
                <w:sz w:val="24"/>
              </w:rPr>
              <w:t>㎡</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cs="宋体" w:hint="eastAsia"/>
                <w:sz w:val="28"/>
                <w:szCs w:val="28"/>
              </w:rPr>
              <w:t>业务宗号</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cs="宋体"/>
                <w:sz w:val="28"/>
                <w:szCs w:val="28"/>
              </w:rPr>
              <w:t>SGC20100623002</w:t>
            </w: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房产证号</w:t>
            </w:r>
          </w:p>
        </w:tc>
        <w:tc>
          <w:tcPr>
            <w:tcW w:w="2456"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sz w:val="28"/>
                <w:szCs w:val="28"/>
              </w:rPr>
              <w:t>909500</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证书编号</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bCs/>
                <w:sz w:val="28"/>
                <w:szCs w:val="28"/>
              </w:rPr>
              <w:t>00094251</w:t>
            </w:r>
          </w:p>
        </w:tc>
      </w:tr>
      <w:tr w:rsidR="007C13F5">
        <w:trPr>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共有权证号</w:t>
            </w:r>
          </w:p>
        </w:tc>
        <w:tc>
          <w:tcPr>
            <w:tcW w:w="2456" w:type="dxa"/>
          </w:tcPr>
          <w:p w:rsidR="007C13F5" w:rsidRDefault="007C13F5">
            <w:pPr>
              <w:spacing w:beforeLines="50" w:line="440" w:lineRule="exact"/>
              <w:rPr>
                <w:rFonts w:ascii="仿宋_GB2312" w:eastAsia="仿宋_GB2312" w:hAnsi="宋体"/>
                <w:bCs/>
                <w:sz w:val="28"/>
                <w:szCs w:val="28"/>
              </w:rPr>
            </w:pP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有效性</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有效</w:t>
            </w: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限制情况</w:t>
            </w:r>
          </w:p>
        </w:tc>
        <w:tc>
          <w:tcPr>
            <w:tcW w:w="2456"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已限制</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产别</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bCs/>
                <w:sz w:val="28"/>
                <w:szCs w:val="28"/>
              </w:rPr>
              <w:t>私有</w:t>
            </w: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项目名称</w:t>
            </w:r>
          </w:p>
        </w:tc>
        <w:tc>
          <w:tcPr>
            <w:tcW w:w="2456"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无项目</w:t>
            </w:r>
          </w:p>
        </w:tc>
        <w:tc>
          <w:tcPr>
            <w:tcW w:w="198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幢号</w:t>
            </w:r>
          </w:p>
        </w:tc>
        <w:tc>
          <w:tcPr>
            <w:tcW w:w="2491" w:type="dxa"/>
          </w:tcPr>
          <w:p w:rsidR="007C13F5" w:rsidRDefault="007C13F5">
            <w:pPr>
              <w:spacing w:beforeLines="50" w:line="440" w:lineRule="exact"/>
              <w:rPr>
                <w:rFonts w:ascii="仿宋_GB2312" w:eastAsia="仿宋_GB2312" w:hAnsi="宋体"/>
                <w:sz w:val="28"/>
                <w:szCs w:val="28"/>
              </w:rPr>
            </w:pP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房号</w:t>
            </w:r>
          </w:p>
        </w:tc>
        <w:tc>
          <w:tcPr>
            <w:tcW w:w="2456"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81</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结构</w:t>
            </w:r>
          </w:p>
        </w:tc>
        <w:tc>
          <w:tcPr>
            <w:tcW w:w="2491" w:type="dxa"/>
          </w:tcPr>
          <w:p w:rsidR="007C13F5" w:rsidRDefault="007C13F5">
            <w:pPr>
              <w:spacing w:beforeLines="50" w:line="440" w:lineRule="exact"/>
              <w:rPr>
                <w:rFonts w:ascii="仿宋_GB2312" w:eastAsia="仿宋_GB2312" w:hAnsi="宋体"/>
                <w:b/>
                <w:bCs/>
                <w:sz w:val="28"/>
                <w:szCs w:val="28"/>
              </w:rPr>
            </w:pPr>
            <w:r>
              <w:rPr>
                <w:rFonts w:ascii="仿宋_GB2312" w:eastAsia="仿宋_GB2312" w:hAnsi="宋体" w:hint="eastAsia"/>
                <w:sz w:val="28"/>
                <w:szCs w:val="28"/>
              </w:rPr>
              <w:t>砖混结构</w:t>
            </w:r>
          </w:p>
        </w:tc>
      </w:tr>
      <w:tr w:rsidR="007C13F5">
        <w:trPr>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总层数</w:t>
            </w:r>
          </w:p>
        </w:tc>
        <w:tc>
          <w:tcPr>
            <w:tcW w:w="2456" w:type="dxa"/>
          </w:tcPr>
          <w:p w:rsidR="007C13F5" w:rsidRDefault="007C13F5">
            <w:pPr>
              <w:spacing w:beforeLines="50" w:line="440" w:lineRule="exact"/>
              <w:rPr>
                <w:rFonts w:ascii="仿宋_GB2312" w:eastAsia="仿宋_GB2312" w:hAnsi="宋体"/>
                <w:b/>
                <w:bCs/>
                <w:sz w:val="28"/>
                <w:szCs w:val="28"/>
              </w:rPr>
            </w:pPr>
            <w:r>
              <w:rPr>
                <w:rFonts w:ascii="仿宋_GB2312" w:eastAsia="仿宋_GB2312" w:hAnsi="宋体"/>
                <w:sz w:val="28"/>
                <w:szCs w:val="28"/>
              </w:rPr>
              <w:t>2</w:t>
            </w:r>
          </w:p>
        </w:tc>
        <w:tc>
          <w:tcPr>
            <w:tcW w:w="198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所在层</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sz w:val="28"/>
                <w:szCs w:val="28"/>
              </w:rPr>
              <w:t>1-2</w:t>
            </w:r>
          </w:p>
        </w:tc>
      </w:tr>
      <w:tr w:rsidR="007C13F5">
        <w:trPr>
          <w:jc w:val="center"/>
        </w:trPr>
        <w:tc>
          <w:tcPr>
            <w:tcW w:w="1905"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hint="eastAsia"/>
                <w:sz w:val="28"/>
                <w:szCs w:val="28"/>
              </w:rPr>
              <w:t>设计用途</w:t>
            </w:r>
          </w:p>
        </w:tc>
        <w:tc>
          <w:tcPr>
            <w:tcW w:w="2456" w:type="dxa"/>
          </w:tcPr>
          <w:p w:rsidR="007C13F5" w:rsidRDefault="007C13F5">
            <w:pPr>
              <w:spacing w:beforeLines="50" w:line="440" w:lineRule="exact"/>
              <w:rPr>
                <w:rFonts w:ascii="仿宋_GB2312" w:eastAsia="仿宋_GB2312" w:hAnsi="宋体"/>
                <w:b/>
                <w:bCs/>
                <w:sz w:val="28"/>
                <w:szCs w:val="28"/>
              </w:rPr>
            </w:pPr>
            <w:r>
              <w:rPr>
                <w:rFonts w:ascii="仿宋_GB2312" w:eastAsia="仿宋_GB2312" w:hAnsi="宋体" w:hint="eastAsia"/>
                <w:sz w:val="28"/>
                <w:szCs w:val="28"/>
              </w:rPr>
              <w:t>住宅</w:t>
            </w:r>
          </w:p>
        </w:tc>
        <w:tc>
          <w:tcPr>
            <w:tcW w:w="198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建筑面积</w:t>
            </w:r>
          </w:p>
        </w:tc>
        <w:tc>
          <w:tcPr>
            <w:tcW w:w="2491"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bCs/>
                <w:sz w:val="28"/>
                <w:szCs w:val="28"/>
              </w:rPr>
              <w:t>44.58</w:t>
            </w:r>
            <w:r>
              <w:rPr>
                <w:rFonts w:ascii="仿宋_GB2312" w:eastAsia="仿宋_GB2312" w:hAnsi="宋体" w:hint="eastAsia"/>
                <w:bCs/>
                <w:sz w:val="28"/>
                <w:szCs w:val="28"/>
              </w:rPr>
              <w:t>平方米</w:t>
            </w: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限制类型</w:t>
            </w:r>
          </w:p>
        </w:tc>
        <w:tc>
          <w:tcPr>
            <w:tcW w:w="2456"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执法查封</w:t>
            </w:r>
          </w:p>
        </w:tc>
        <w:tc>
          <w:tcPr>
            <w:tcW w:w="198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限制业务宗号</w:t>
            </w:r>
          </w:p>
        </w:tc>
        <w:tc>
          <w:tcPr>
            <w:tcW w:w="2491" w:type="dxa"/>
          </w:tcPr>
          <w:p w:rsidR="007C13F5" w:rsidRDefault="007C13F5">
            <w:pPr>
              <w:spacing w:beforeLines="50" w:line="440" w:lineRule="exact"/>
              <w:rPr>
                <w:rFonts w:ascii="仿宋_GB2312" w:eastAsia="仿宋_GB2312" w:hAnsi="宋体"/>
                <w:bCs/>
                <w:sz w:val="28"/>
                <w:szCs w:val="28"/>
              </w:rPr>
            </w:pPr>
            <w:r>
              <w:rPr>
                <w:rFonts w:ascii="仿宋_GB2312" w:eastAsia="仿宋_GB2312" w:hAnsi="宋体"/>
                <w:bCs/>
                <w:sz w:val="28"/>
                <w:szCs w:val="28"/>
              </w:rPr>
              <w:t>CGC20190925017</w:t>
            </w:r>
          </w:p>
        </w:tc>
      </w:tr>
      <w:tr w:rsidR="007C13F5">
        <w:trPr>
          <w:jc w:val="center"/>
        </w:trPr>
        <w:tc>
          <w:tcPr>
            <w:tcW w:w="190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限制部门</w:t>
            </w:r>
          </w:p>
        </w:tc>
        <w:tc>
          <w:tcPr>
            <w:tcW w:w="2456" w:type="dxa"/>
          </w:tcPr>
          <w:p w:rsidR="007C13F5" w:rsidRDefault="007C13F5">
            <w:pPr>
              <w:spacing w:beforeLines="50" w:line="440" w:lineRule="exact"/>
              <w:rPr>
                <w:rFonts w:ascii="仿宋_GB2312" w:eastAsia="仿宋_GB2312" w:hAnsi="宋体"/>
                <w:sz w:val="28"/>
                <w:szCs w:val="28"/>
              </w:rPr>
            </w:pPr>
          </w:p>
        </w:tc>
        <w:tc>
          <w:tcPr>
            <w:tcW w:w="1985"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hint="eastAsia"/>
                <w:sz w:val="28"/>
                <w:szCs w:val="28"/>
              </w:rPr>
              <w:t>限制时间</w:t>
            </w:r>
          </w:p>
        </w:tc>
        <w:tc>
          <w:tcPr>
            <w:tcW w:w="2491" w:type="dxa"/>
          </w:tcPr>
          <w:p w:rsidR="007C13F5" w:rsidRDefault="007C13F5">
            <w:pPr>
              <w:spacing w:beforeLines="50" w:line="440" w:lineRule="exact"/>
              <w:rPr>
                <w:rFonts w:ascii="仿宋_GB2312" w:eastAsia="仿宋_GB2312" w:hAnsi="宋体"/>
                <w:sz w:val="28"/>
                <w:szCs w:val="28"/>
              </w:rPr>
            </w:pPr>
            <w:r>
              <w:rPr>
                <w:rFonts w:ascii="仿宋_GB2312" w:eastAsia="仿宋_GB2312" w:hAnsi="宋体"/>
                <w:sz w:val="28"/>
                <w:szCs w:val="28"/>
              </w:rPr>
              <w:t>2019-09-25</w:t>
            </w:r>
          </w:p>
        </w:tc>
      </w:tr>
    </w:tbl>
    <w:p w:rsidR="007C13F5" w:rsidRDefault="007C13F5" w:rsidP="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估价对象产权清晰，为被执行人吴小兰单独所有，取得房屋所有权证，无权属争议，</w:t>
      </w:r>
      <w:r>
        <w:rPr>
          <w:rFonts w:ascii="仿宋_GB2312" w:eastAsia="仿宋_GB2312" w:hAnsi="宋体" w:hint="eastAsia"/>
          <w:bCs/>
          <w:sz w:val="28"/>
          <w:szCs w:val="32"/>
        </w:rPr>
        <w:t>该房无抵押，存在执法查封限制</w:t>
      </w:r>
      <w:r>
        <w:rPr>
          <w:rFonts w:ascii="仿宋_GB2312" w:eastAsia="仿宋_GB2312" w:hAnsi="宋体" w:hint="eastAsia"/>
          <w:spacing w:val="-4"/>
          <w:sz w:val="28"/>
        </w:rPr>
        <w:t>。</w:t>
      </w:r>
    </w:p>
    <w:p w:rsidR="007C13F5" w:rsidRDefault="007C13F5">
      <w:pPr>
        <w:pStyle w:val="Heading2"/>
        <w:rPr>
          <w:rFonts w:ascii="仿宋_GB2312" w:eastAsia="仿宋_GB2312"/>
          <w:sz w:val="28"/>
          <w:szCs w:val="28"/>
        </w:rPr>
      </w:pPr>
      <w:bookmarkStart w:id="19" w:name="_Toc499890265"/>
      <w:r>
        <w:rPr>
          <w:rFonts w:ascii="仿宋_GB2312" w:eastAsia="仿宋_GB2312" w:hint="eastAsia"/>
          <w:sz w:val="28"/>
          <w:szCs w:val="28"/>
        </w:rPr>
        <w:t>三、区域状况描述与分析</w:t>
      </w:r>
      <w:bookmarkEnd w:id="19"/>
    </w:p>
    <w:p w:rsidR="007C13F5" w:rsidRDefault="007C13F5">
      <w:pPr>
        <w:ind w:firstLineChars="200" w:firstLine="3168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、位置状况</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估价对象位于大理市下关镇七里桥感通小区（感通小镇一期</w:t>
      </w:r>
      <w:r>
        <w:rPr>
          <w:rFonts w:ascii="仿宋_GB2312" w:eastAsia="仿宋_GB2312" w:hAnsi="宋体"/>
          <w:spacing w:val="-4"/>
          <w:sz w:val="28"/>
        </w:rPr>
        <w:t>81</w:t>
      </w:r>
      <w:r>
        <w:rPr>
          <w:rFonts w:ascii="仿宋_GB2312" w:eastAsia="仿宋_GB2312" w:hAnsi="宋体" w:hint="eastAsia"/>
          <w:spacing w:val="-4"/>
          <w:sz w:val="28"/>
        </w:rPr>
        <w:t>号），该小区位于大理市下关镇七里桥，在大理市和大理古城之间，距古城较近，该小区又名感通别墅，其四至为东邻规划道路，西邻苍山国家地质公园，南邻苍海一墅小区，北邻苍山小院别墅区。感通别墅距离大理古城</w:t>
      </w:r>
      <w:r>
        <w:rPr>
          <w:rFonts w:ascii="仿宋_GB2312" w:eastAsia="仿宋_GB2312" w:hAnsi="宋体"/>
          <w:spacing w:val="-4"/>
          <w:sz w:val="28"/>
        </w:rPr>
        <w:t>5</w:t>
      </w:r>
      <w:r>
        <w:rPr>
          <w:rFonts w:ascii="仿宋_GB2312" w:eastAsia="仿宋_GB2312" w:hAnsi="宋体" w:hint="eastAsia"/>
          <w:spacing w:val="-4"/>
          <w:sz w:val="28"/>
        </w:rPr>
        <w:t>公里、下关</w:t>
      </w:r>
      <w:r>
        <w:rPr>
          <w:rFonts w:ascii="仿宋_GB2312" w:eastAsia="仿宋_GB2312" w:hAnsi="宋体"/>
          <w:spacing w:val="-4"/>
          <w:sz w:val="28"/>
        </w:rPr>
        <w:t>8</w:t>
      </w:r>
      <w:r>
        <w:rPr>
          <w:rFonts w:ascii="仿宋_GB2312" w:eastAsia="仿宋_GB2312" w:hAnsi="宋体" w:hint="eastAsia"/>
          <w:spacing w:val="-4"/>
          <w:sz w:val="28"/>
        </w:rPr>
        <w:t>公里，距离大理飞机场</w:t>
      </w:r>
      <w:r>
        <w:rPr>
          <w:rFonts w:ascii="仿宋_GB2312" w:eastAsia="仿宋_GB2312" w:hAnsi="宋体"/>
          <w:spacing w:val="-4"/>
          <w:sz w:val="28"/>
        </w:rPr>
        <w:t>25</w:t>
      </w:r>
      <w:r>
        <w:rPr>
          <w:rFonts w:ascii="仿宋_GB2312" w:eastAsia="仿宋_GB2312" w:hAnsi="宋体" w:hint="eastAsia"/>
          <w:spacing w:val="-4"/>
          <w:sz w:val="28"/>
        </w:rPr>
        <w:t>公里、火车站</w:t>
      </w:r>
      <w:r>
        <w:rPr>
          <w:rFonts w:ascii="仿宋_GB2312" w:eastAsia="仿宋_GB2312" w:hAnsi="宋体"/>
          <w:spacing w:val="-4"/>
          <w:sz w:val="28"/>
        </w:rPr>
        <w:t>13</w:t>
      </w:r>
      <w:r>
        <w:rPr>
          <w:rFonts w:ascii="仿宋_GB2312" w:eastAsia="仿宋_GB2312" w:hAnsi="宋体" w:hint="eastAsia"/>
          <w:spacing w:val="-4"/>
          <w:sz w:val="28"/>
        </w:rPr>
        <w:t>公里。该小区背靠苍山国家地质公园，紧邻感通路，距西景线较近，周边属人流疏散地区，景观资源较好，商业氛围较差。</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2</w:t>
      </w:r>
      <w:r>
        <w:rPr>
          <w:rFonts w:ascii="仿宋_GB2312" w:eastAsia="仿宋_GB2312" w:hAnsi="宋体" w:hint="eastAsia"/>
          <w:spacing w:val="-4"/>
          <w:sz w:val="28"/>
        </w:rPr>
        <w:t>、交通状况</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大理感通别墅位于大理古城与下关新城之间的七里桥感通寺旅游专线，周边道路畅通，有西景线、大丽线、感通路等城市干道，小区周围有大理大学专线及</w:t>
      </w:r>
      <w:r>
        <w:rPr>
          <w:rFonts w:ascii="仿宋_GB2312" w:eastAsia="仿宋_GB2312" w:hAnsi="宋体"/>
          <w:spacing w:val="-4"/>
          <w:sz w:val="28"/>
        </w:rPr>
        <w:t>4</w:t>
      </w:r>
      <w:r>
        <w:rPr>
          <w:rFonts w:ascii="仿宋_GB2312" w:eastAsia="仿宋_GB2312" w:hAnsi="宋体" w:hint="eastAsia"/>
          <w:spacing w:val="-4"/>
          <w:sz w:val="28"/>
        </w:rPr>
        <w:t>路公交通过并设有站点，区段内地势平缓，有一定坡度，通达度良好。</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3</w:t>
      </w:r>
      <w:r>
        <w:rPr>
          <w:rFonts w:ascii="仿宋_GB2312" w:eastAsia="仿宋_GB2312" w:hAnsi="宋体" w:hint="eastAsia"/>
          <w:spacing w:val="-4"/>
          <w:sz w:val="28"/>
        </w:rPr>
        <w:t>、环境状况</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大理感通别墅内部景观较好，绿化率较高，外部紧邻苍山地质公园，自然环境优越，人文环境一般。</w:t>
      </w:r>
      <w:r>
        <w:rPr>
          <w:rFonts w:ascii="仿宋_GB2312" w:eastAsia="仿宋_GB2312" w:hAnsi="宋体"/>
          <w:spacing w:val="-4"/>
          <w:sz w:val="28"/>
        </w:rPr>
        <w:t xml:space="preserve"> </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4</w:t>
      </w:r>
      <w:r>
        <w:rPr>
          <w:rFonts w:ascii="仿宋_GB2312" w:eastAsia="仿宋_GB2312" w:hAnsi="宋体" w:hint="eastAsia"/>
          <w:spacing w:val="-4"/>
          <w:sz w:val="28"/>
        </w:rPr>
        <w:t>、外部配套设施状况</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现该区域周边的住宅楼盘开始增多，如苍山小院、苍海一墅、大理溪中溪度假别墅、感通阳光、大理山水间、大理兰花苑等住宅小区、附近有大理镇二中、上末完小、大理大学、云南建设学校、大理开放学院、观音堂幼儿园、大理市卫生局卫生监督所、天龙八部影视城、苍山国家地质公园、感通寺、太和城遗址、大理南山医院等配套设施，小区周围两公里内几乎没有大型商场，购物不方便，属于生态旅游地产，环境一流，公共设施一般。</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5</w:t>
      </w:r>
      <w:r>
        <w:rPr>
          <w:rFonts w:ascii="仿宋_GB2312" w:eastAsia="仿宋_GB2312" w:hAnsi="宋体" w:hint="eastAsia"/>
          <w:spacing w:val="-4"/>
          <w:sz w:val="28"/>
        </w:rPr>
        <w:t>、区位分析</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大理感通别墅处于大理市下关和古城之间，该区域优点为基础设施完备度较高，公共设施配套不齐全，住宅集聚度不高，商业氛围不好，生活不算方便，但是旅游资源较好，自然景观优越，绿化率高，本地人居住较少，以吸引外地人为主的景观小区，属于旅游地产。总的看来，区位优势一般。</w:t>
      </w:r>
    </w:p>
    <w:p w:rsidR="007C13F5" w:rsidRDefault="007C13F5">
      <w:pPr>
        <w:pStyle w:val="Heading2"/>
        <w:rPr>
          <w:rFonts w:ascii="仿宋_GB2312" w:eastAsia="仿宋_GB2312"/>
          <w:sz w:val="28"/>
          <w:szCs w:val="28"/>
        </w:rPr>
      </w:pPr>
      <w:bookmarkStart w:id="20" w:name="_Toc499890266"/>
      <w:r>
        <w:rPr>
          <w:rFonts w:ascii="仿宋_GB2312" w:eastAsia="仿宋_GB2312" w:hint="eastAsia"/>
          <w:sz w:val="28"/>
          <w:szCs w:val="28"/>
        </w:rPr>
        <w:t>四、市场背景分析</w:t>
      </w:r>
      <w:bookmarkEnd w:id="20"/>
    </w:p>
    <w:p w:rsidR="007C13F5" w:rsidRDefault="007C13F5">
      <w:pPr>
        <w:spacing w:beforeLines="50" w:line="360" w:lineRule="auto"/>
        <w:ind w:firstLineChars="200" w:firstLine="31680"/>
        <w:rPr>
          <w:rFonts w:ascii="仿宋_GB2312" w:eastAsia="仿宋_GB2312" w:hAnsi="宋体"/>
          <w:spacing w:val="-4"/>
          <w:sz w:val="28"/>
        </w:rPr>
      </w:pPr>
      <w:bookmarkStart w:id="21" w:name="_Toc499890267"/>
      <w:r>
        <w:rPr>
          <w:rFonts w:ascii="仿宋_GB2312" w:eastAsia="仿宋_GB2312" w:hAnsi="宋体" w:hint="eastAsia"/>
          <w:spacing w:val="-4"/>
          <w:sz w:val="28"/>
        </w:rPr>
        <w:t>（一）宏观环境</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2019</w:t>
      </w:r>
      <w:r>
        <w:rPr>
          <w:rFonts w:ascii="仿宋_GB2312" w:eastAsia="仿宋_GB2312" w:hAnsi="宋体" w:hint="eastAsia"/>
          <w:spacing w:val="-4"/>
          <w:sz w:val="28"/>
        </w:rPr>
        <w:t>年全国经济总量不断上新台阶。</w:t>
      </w:r>
      <w:r>
        <w:rPr>
          <w:rFonts w:ascii="仿宋_GB2312" w:eastAsia="仿宋_GB2312" w:hAnsi="宋体"/>
          <w:spacing w:val="-4"/>
          <w:sz w:val="28"/>
        </w:rPr>
        <w:t>2018</w:t>
      </w:r>
      <w:r>
        <w:rPr>
          <w:rFonts w:ascii="仿宋_GB2312" w:eastAsia="仿宋_GB2312" w:hAnsi="宋体" w:hint="eastAsia"/>
          <w:spacing w:val="-4"/>
          <w:sz w:val="28"/>
        </w:rPr>
        <w:t>年我国</w:t>
      </w:r>
      <w:r>
        <w:rPr>
          <w:rFonts w:ascii="仿宋_GB2312" w:eastAsia="仿宋_GB2312" w:hAnsi="宋体"/>
          <w:spacing w:val="-4"/>
          <w:sz w:val="28"/>
        </w:rPr>
        <w:t>GDP</w:t>
      </w:r>
      <w:r>
        <w:rPr>
          <w:rFonts w:ascii="仿宋_GB2312" w:eastAsia="仿宋_GB2312" w:hAnsi="宋体" w:hint="eastAsia"/>
          <w:spacing w:val="-4"/>
          <w:sz w:val="28"/>
        </w:rPr>
        <w:t>为</w:t>
      </w:r>
      <w:r>
        <w:rPr>
          <w:rFonts w:ascii="仿宋_GB2312" w:eastAsia="仿宋_GB2312" w:hAnsi="宋体"/>
          <w:spacing w:val="-4"/>
          <w:sz w:val="28"/>
        </w:rPr>
        <w:t>91.9</w:t>
      </w:r>
      <w:r>
        <w:rPr>
          <w:rFonts w:ascii="仿宋_GB2312" w:eastAsia="仿宋_GB2312" w:hAnsi="宋体" w:hint="eastAsia"/>
          <w:spacing w:val="-4"/>
          <w:sz w:val="28"/>
        </w:rPr>
        <w:t>万亿元，这是在五年之内连上三个台阶实现的。</w:t>
      </w:r>
      <w:r>
        <w:rPr>
          <w:rFonts w:ascii="仿宋_GB2312" w:eastAsia="仿宋_GB2312" w:hAnsi="宋体"/>
          <w:spacing w:val="-4"/>
          <w:sz w:val="28"/>
        </w:rPr>
        <w:t>2013</w:t>
      </w:r>
      <w:r>
        <w:rPr>
          <w:rFonts w:ascii="仿宋_GB2312" w:eastAsia="仿宋_GB2312" w:hAnsi="宋体" w:hint="eastAsia"/>
          <w:spacing w:val="-4"/>
          <w:sz w:val="28"/>
        </w:rPr>
        <w:t>年</w:t>
      </w:r>
      <w:r>
        <w:rPr>
          <w:rFonts w:ascii="仿宋_GB2312" w:eastAsia="仿宋_GB2312" w:hAnsi="宋体"/>
          <w:spacing w:val="-4"/>
          <w:sz w:val="28"/>
        </w:rPr>
        <w:t>GDP</w:t>
      </w:r>
      <w:r>
        <w:rPr>
          <w:rFonts w:ascii="仿宋_GB2312" w:eastAsia="仿宋_GB2312" w:hAnsi="宋体" w:hint="eastAsia"/>
          <w:spacing w:val="-4"/>
          <w:sz w:val="28"/>
        </w:rPr>
        <w:t>近</w:t>
      </w:r>
      <w:r>
        <w:rPr>
          <w:rFonts w:ascii="仿宋_GB2312" w:eastAsia="仿宋_GB2312" w:hAnsi="宋体"/>
          <w:spacing w:val="-4"/>
          <w:sz w:val="28"/>
        </w:rPr>
        <w:t>60</w:t>
      </w:r>
      <w:r>
        <w:rPr>
          <w:rFonts w:ascii="仿宋_GB2312" w:eastAsia="仿宋_GB2312" w:hAnsi="宋体" w:hint="eastAsia"/>
          <w:spacing w:val="-4"/>
          <w:sz w:val="28"/>
        </w:rPr>
        <w:t>万亿元，</w:t>
      </w:r>
      <w:r>
        <w:rPr>
          <w:rFonts w:ascii="仿宋_GB2312" w:eastAsia="仿宋_GB2312" w:hAnsi="宋体"/>
          <w:spacing w:val="-4"/>
          <w:sz w:val="28"/>
        </w:rPr>
        <w:t>2016</w:t>
      </w:r>
      <w:r>
        <w:rPr>
          <w:rFonts w:ascii="仿宋_GB2312" w:eastAsia="仿宋_GB2312" w:hAnsi="宋体" w:hint="eastAsia"/>
          <w:spacing w:val="-4"/>
          <w:sz w:val="28"/>
        </w:rPr>
        <w:t>年超过</w:t>
      </w:r>
      <w:r>
        <w:rPr>
          <w:rFonts w:ascii="仿宋_GB2312" w:eastAsia="仿宋_GB2312" w:hAnsi="宋体"/>
          <w:spacing w:val="-4"/>
          <w:sz w:val="28"/>
        </w:rPr>
        <w:t>70</w:t>
      </w:r>
      <w:r>
        <w:rPr>
          <w:rFonts w:ascii="仿宋_GB2312" w:eastAsia="仿宋_GB2312" w:hAnsi="宋体" w:hint="eastAsia"/>
          <w:spacing w:val="-4"/>
          <w:sz w:val="28"/>
        </w:rPr>
        <w:t>万亿元，</w:t>
      </w:r>
      <w:r>
        <w:rPr>
          <w:rFonts w:ascii="仿宋_GB2312" w:eastAsia="仿宋_GB2312" w:hAnsi="宋体"/>
          <w:spacing w:val="-4"/>
          <w:sz w:val="28"/>
        </w:rPr>
        <w:t>2017</w:t>
      </w:r>
      <w:r>
        <w:rPr>
          <w:rFonts w:ascii="仿宋_GB2312" w:eastAsia="仿宋_GB2312" w:hAnsi="宋体" w:hint="eastAsia"/>
          <w:spacing w:val="-4"/>
          <w:sz w:val="28"/>
        </w:rPr>
        <w:t>年超过</w:t>
      </w:r>
      <w:r>
        <w:rPr>
          <w:rFonts w:ascii="仿宋_GB2312" w:eastAsia="仿宋_GB2312" w:hAnsi="宋体"/>
          <w:spacing w:val="-4"/>
          <w:sz w:val="28"/>
        </w:rPr>
        <w:t>80</w:t>
      </w:r>
      <w:r>
        <w:rPr>
          <w:rFonts w:ascii="仿宋_GB2312" w:eastAsia="仿宋_GB2312" w:hAnsi="宋体" w:hint="eastAsia"/>
          <w:spacing w:val="-4"/>
          <w:sz w:val="28"/>
        </w:rPr>
        <w:t>万亿元，</w:t>
      </w:r>
      <w:r>
        <w:rPr>
          <w:rFonts w:ascii="仿宋_GB2312" w:eastAsia="仿宋_GB2312" w:hAnsi="宋体"/>
          <w:spacing w:val="-4"/>
          <w:sz w:val="28"/>
        </w:rPr>
        <w:t>2018</w:t>
      </w:r>
      <w:r>
        <w:rPr>
          <w:rFonts w:ascii="仿宋_GB2312" w:eastAsia="仿宋_GB2312" w:hAnsi="宋体" w:hint="eastAsia"/>
          <w:spacing w:val="-4"/>
          <w:sz w:val="28"/>
        </w:rPr>
        <w:t>年达到</w:t>
      </w:r>
      <w:r>
        <w:rPr>
          <w:rFonts w:ascii="仿宋_GB2312" w:eastAsia="仿宋_GB2312" w:hAnsi="宋体"/>
          <w:spacing w:val="-4"/>
          <w:sz w:val="28"/>
        </w:rPr>
        <w:t>91.9</w:t>
      </w:r>
      <w:r>
        <w:rPr>
          <w:rFonts w:ascii="仿宋_GB2312" w:eastAsia="仿宋_GB2312" w:hAnsi="宋体" w:hint="eastAsia"/>
          <w:spacing w:val="-4"/>
          <w:sz w:val="28"/>
        </w:rPr>
        <w:t>万亿元。在五年之内连上三个</w:t>
      </w:r>
      <w:r>
        <w:rPr>
          <w:rFonts w:ascii="仿宋_GB2312" w:eastAsia="仿宋_GB2312" w:hAnsi="宋体"/>
          <w:spacing w:val="-4"/>
          <w:sz w:val="28"/>
        </w:rPr>
        <w:t>10</w:t>
      </w:r>
      <w:r>
        <w:rPr>
          <w:rFonts w:ascii="仿宋_GB2312" w:eastAsia="仿宋_GB2312" w:hAnsi="宋体" w:hint="eastAsia"/>
          <w:spacing w:val="-4"/>
          <w:sz w:val="28"/>
        </w:rPr>
        <w:t>万亿元级台阶，所花时间在不断缩短。随着台阶的不断攀升，与居世界总量第一美国的差距不断缩小，</w:t>
      </w:r>
      <w:r>
        <w:rPr>
          <w:rFonts w:ascii="仿宋_GB2312" w:eastAsia="仿宋_GB2312" w:hAnsi="宋体"/>
          <w:spacing w:val="-4"/>
          <w:sz w:val="28"/>
        </w:rPr>
        <w:t>2013</w:t>
      </w:r>
      <w:r>
        <w:rPr>
          <w:rFonts w:ascii="仿宋_GB2312" w:eastAsia="仿宋_GB2312" w:hAnsi="宋体" w:hint="eastAsia"/>
          <w:spacing w:val="-4"/>
          <w:sz w:val="28"/>
        </w:rPr>
        <w:t>年，我国</w:t>
      </w:r>
      <w:r>
        <w:rPr>
          <w:rFonts w:ascii="仿宋_GB2312" w:eastAsia="仿宋_GB2312" w:hAnsi="宋体"/>
          <w:spacing w:val="-4"/>
          <w:sz w:val="28"/>
        </w:rPr>
        <w:t>GDP</w:t>
      </w:r>
      <w:r>
        <w:rPr>
          <w:rFonts w:ascii="仿宋_GB2312" w:eastAsia="仿宋_GB2312" w:hAnsi="宋体" w:hint="eastAsia"/>
          <w:spacing w:val="-4"/>
          <w:sz w:val="28"/>
        </w:rPr>
        <w:t>相当于美国的</w:t>
      </w:r>
      <w:r>
        <w:rPr>
          <w:rFonts w:ascii="仿宋_GB2312" w:eastAsia="仿宋_GB2312" w:hAnsi="宋体"/>
          <w:spacing w:val="-4"/>
          <w:sz w:val="28"/>
        </w:rPr>
        <w:t>57.0%</w:t>
      </w:r>
      <w:r>
        <w:rPr>
          <w:rFonts w:ascii="仿宋_GB2312" w:eastAsia="仿宋_GB2312" w:hAnsi="宋体" w:hint="eastAsia"/>
          <w:spacing w:val="-4"/>
          <w:sz w:val="28"/>
        </w:rPr>
        <w:t>，</w:t>
      </w:r>
      <w:r>
        <w:rPr>
          <w:rFonts w:ascii="仿宋_GB2312" w:eastAsia="仿宋_GB2312" w:hAnsi="宋体"/>
          <w:spacing w:val="-4"/>
          <w:sz w:val="28"/>
        </w:rPr>
        <w:t>2018</w:t>
      </w:r>
      <w:r>
        <w:rPr>
          <w:rFonts w:ascii="仿宋_GB2312" w:eastAsia="仿宋_GB2312" w:hAnsi="宋体" w:hint="eastAsia"/>
          <w:spacing w:val="-4"/>
          <w:sz w:val="28"/>
        </w:rPr>
        <w:t>年提高到</w:t>
      </w:r>
      <w:r>
        <w:rPr>
          <w:rFonts w:ascii="仿宋_GB2312" w:eastAsia="仿宋_GB2312" w:hAnsi="宋体"/>
          <w:spacing w:val="-4"/>
          <w:sz w:val="28"/>
        </w:rPr>
        <w:t>67.6%</w:t>
      </w:r>
      <w:r>
        <w:rPr>
          <w:rFonts w:ascii="仿宋_GB2312" w:eastAsia="仿宋_GB2312" w:hAnsi="宋体" w:hint="eastAsia"/>
          <w:spacing w:val="-4"/>
          <w:sz w:val="28"/>
        </w:rPr>
        <w:t>，差距缩小了</w:t>
      </w:r>
      <w:r>
        <w:rPr>
          <w:rFonts w:ascii="仿宋_GB2312" w:eastAsia="仿宋_GB2312" w:hAnsi="宋体"/>
          <w:spacing w:val="-4"/>
          <w:sz w:val="28"/>
        </w:rPr>
        <w:t>10.6</w:t>
      </w:r>
      <w:r>
        <w:rPr>
          <w:rFonts w:ascii="仿宋_GB2312" w:eastAsia="仿宋_GB2312" w:hAnsi="宋体" w:hint="eastAsia"/>
          <w:spacing w:val="-4"/>
          <w:sz w:val="28"/>
        </w:rPr>
        <w:t>个百分点。这五年我国</w:t>
      </w:r>
      <w:r>
        <w:rPr>
          <w:rFonts w:ascii="仿宋_GB2312" w:eastAsia="仿宋_GB2312" w:hAnsi="宋体"/>
          <w:spacing w:val="-4"/>
          <w:sz w:val="28"/>
        </w:rPr>
        <w:t>GDP</w:t>
      </w:r>
      <w:r>
        <w:rPr>
          <w:rFonts w:ascii="仿宋_GB2312" w:eastAsia="仿宋_GB2312" w:hAnsi="宋体" w:hint="eastAsia"/>
          <w:spacing w:val="-4"/>
          <w:sz w:val="28"/>
        </w:rPr>
        <w:t>总量年均增量超过</w:t>
      </w:r>
      <w:r>
        <w:rPr>
          <w:rFonts w:ascii="仿宋_GB2312" w:eastAsia="仿宋_GB2312" w:hAnsi="宋体"/>
          <w:spacing w:val="-4"/>
          <w:sz w:val="28"/>
        </w:rPr>
        <w:t>6</w:t>
      </w:r>
      <w:r>
        <w:rPr>
          <w:rFonts w:ascii="仿宋_GB2312" w:eastAsia="仿宋_GB2312" w:hAnsi="宋体" w:hint="eastAsia"/>
          <w:spacing w:val="-4"/>
          <w:sz w:val="28"/>
        </w:rPr>
        <w:t>万亿元，每年增量相当于荷兰一年的经济总量。</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人均国民总收入明显提高。根据修订后的</w:t>
      </w:r>
      <w:r>
        <w:rPr>
          <w:rFonts w:ascii="仿宋_GB2312" w:eastAsia="仿宋_GB2312" w:hAnsi="宋体"/>
          <w:spacing w:val="-4"/>
          <w:sz w:val="28"/>
        </w:rPr>
        <w:t>GDP</w:t>
      </w:r>
      <w:r>
        <w:rPr>
          <w:rFonts w:ascii="仿宋_GB2312" w:eastAsia="仿宋_GB2312" w:hAnsi="宋体" w:hint="eastAsia"/>
          <w:spacing w:val="-4"/>
          <w:sz w:val="28"/>
        </w:rPr>
        <w:t>核算，</w:t>
      </w:r>
      <w:r>
        <w:rPr>
          <w:rFonts w:ascii="仿宋_GB2312" w:eastAsia="仿宋_GB2312" w:hAnsi="宋体"/>
          <w:spacing w:val="-4"/>
          <w:sz w:val="28"/>
        </w:rPr>
        <w:t xml:space="preserve"> 2018</w:t>
      </w:r>
      <w:r>
        <w:rPr>
          <w:rFonts w:ascii="仿宋_GB2312" w:eastAsia="仿宋_GB2312" w:hAnsi="宋体" w:hint="eastAsia"/>
          <w:spacing w:val="-4"/>
          <w:sz w:val="28"/>
        </w:rPr>
        <w:t>年我国人均国民总收入为</w:t>
      </w:r>
      <w:r>
        <w:rPr>
          <w:rFonts w:ascii="仿宋_GB2312" w:eastAsia="仿宋_GB2312" w:hAnsi="宋体"/>
          <w:spacing w:val="-4"/>
          <w:sz w:val="28"/>
        </w:rPr>
        <w:t>65762</w:t>
      </w:r>
      <w:r>
        <w:rPr>
          <w:rFonts w:ascii="仿宋_GB2312" w:eastAsia="仿宋_GB2312" w:hAnsi="宋体" w:hint="eastAsia"/>
          <w:spacing w:val="-4"/>
          <w:sz w:val="28"/>
        </w:rPr>
        <w:t>元，折合为</w:t>
      </w:r>
      <w:r>
        <w:rPr>
          <w:rFonts w:ascii="仿宋_GB2312" w:eastAsia="仿宋_GB2312" w:hAnsi="宋体"/>
          <w:spacing w:val="-4"/>
          <w:sz w:val="28"/>
        </w:rPr>
        <w:t>9938</w:t>
      </w:r>
      <w:r>
        <w:rPr>
          <w:rFonts w:ascii="仿宋_GB2312" w:eastAsia="仿宋_GB2312" w:hAnsi="宋体" w:hint="eastAsia"/>
          <w:spacing w:val="-4"/>
          <w:sz w:val="28"/>
        </w:rPr>
        <w:t>美元，仍处在中等收入国家行列。在世界银行公布的</w:t>
      </w:r>
      <w:r>
        <w:rPr>
          <w:rFonts w:ascii="仿宋_GB2312" w:eastAsia="仿宋_GB2312" w:hAnsi="宋体"/>
          <w:spacing w:val="-4"/>
          <w:sz w:val="28"/>
        </w:rPr>
        <w:t>192</w:t>
      </w:r>
      <w:r>
        <w:rPr>
          <w:rFonts w:ascii="仿宋_GB2312" w:eastAsia="仿宋_GB2312" w:hAnsi="宋体" w:hint="eastAsia"/>
          <w:spacing w:val="-4"/>
          <w:sz w:val="28"/>
        </w:rPr>
        <w:t>个国家（地区）人均国民总收入排名中，我国人均国民总收入由</w:t>
      </w:r>
      <w:r>
        <w:rPr>
          <w:rFonts w:ascii="仿宋_GB2312" w:eastAsia="仿宋_GB2312" w:hAnsi="宋体"/>
          <w:spacing w:val="-4"/>
          <w:sz w:val="28"/>
        </w:rPr>
        <w:t>2013</w:t>
      </w:r>
      <w:r>
        <w:rPr>
          <w:rFonts w:ascii="仿宋_GB2312" w:eastAsia="仿宋_GB2312" w:hAnsi="宋体" w:hint="eastAsia"/>
          <w:spacing w:val="-4"/>
          <w:sz w:val="28"/>
        </w:rPr>
        <w:t>年的第</w:t>
      </w:r>
      <w:r>
        <w:rPr>
          <w:rFonts w:ascii="仿宋_GB2312" w:eastAsia="仿宋_GB2312" w:hAnsi="宋体"/>
          <w:spacing w:val="-4"/>
          <w:sz w:val="28"/>
        </w:rPr>
        <w:t>91</w:t>
      </w:r>
      <w:r>
        <w:rPr>
          <w:rFonts w:ascii="仿宋_GB2312" w:eastAsia="仿宋_GB2312" w:hAnsi="宋体" w:hint="eastAsia"/>
          <w:spacing w:val="-4"/>
          <w:sz w:val="28"/>
        </w:rPr>
        <w:t>位提高到</w:t>
      </w:r>
      <w:r>
        <w:rPr>
          <w:rFonts w:ascii="仿宋_GB2312" w:eastAsia="仿宋_GB2312" w:hAnsi="宋体"/>
          <w:spacing w:val="-4"/>
          <w:sz w:val="28"/>
        </w:rPr>
        <w:t>2018</w:t>
      </w:r>
      <w:r>
        <w:rPr>
          <w:rFonts w:ascii="仿宋_GB2312" w:eastAsia="仿宋_GB2312" w:hAnsi="宋体" w:hint="eastAsia"/>
          <w:spacing w:val="-4"/>
          <w:sz w:val="28"/>
        </w:rPr>
        <w:t>年的第</w:t>
      </w:r>
      <w:r>
        <w:rPr>
          <w:rFonts w:ascii="仿宋_GB2312" w:eastAsia="仿宋_GB2312" w:hAnsi="宋体"/>
          <w:spacing w:val="-4"/>
          <w:sz w:val="28"/>
        </w:rPr>
        <w:t>70</w:t>
      </w:r>
      <w:r>
        <w:rPr>
          <w:rFonts w:ascii="仿宋_GB2312" w:eastAsia="仿宋_GB2312" w:hAnsi="宋体" w:hint="eastAsia"/>
          <w:spacing w:val="-4"/>
          <w:sz w:val="28"/>
        </w:rPr>
        <w:t>位，五年上升了</w:t>
      </w:r>
      <w:r>
        <w:rPr>
          <w:rFonts w:ascii="仿宋_GB2312" w:eastAsia="仿宋_GB2312" w:hAnsi="宋体"/>
          <w:spacing w:val="-4"/>
          <w:sz w:val="28"/>
        </w:rPr>
        <w:t>21</w:t>
      </w:r>
      <w:r>
        <w:rPr>
          <w:rFonts w:ascii="仿宋_GB2312" w:eastAsia="仿宋_GB2312" w:hAnsi="宋体" w:hint="eastAsia"/>
          <w:spacing w:val="-4"/>
          <w:sz w:val="28"/>
        </w:rPr>
        <w:t>位。</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服务业规模不断扩大。新产业新业态新模式蓬勃发展。平台经济、共享经济等新模式快速崛起，新兴产业发展势头良好。高技术产业迅速成长。大众创业、万众创新持续推进，研发投入快速增加，科技创新不断取得重大突破，新的经济增长点不断涌现。传统产业不断升级优化。工业持续转型升级，传统产业改造提升步伐加快，资源节约型、环境友好型社会建设取得积极进展。</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（二）全国房地产市场状况</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2019</w:t>
      </w:r>
      <w:r>
        <w:rPr>
          <w:rFonts w:ascii="仿宋_GB2312" w:eastAsia="仿宋_GB2312" w:hAnsi="宋体" w:hint="eastAsia"/>
          <w:spacing w:val="-4"/>
          <w:sz w:val="28"/>
        </w:rPr>
        <w:t>年房地产市场整体稳定、各地因城施策取得效果明显。一方面，房地产金融抑制政策贯穿全年，这为部分城市实施定向微调、保障合理住房需求提供了坚实的基础。另一方面，相较于</w:t>
      </w:r>
      <w:r>
        <w:rPr>
          <w:rFonts w:ascii="仿宋_GB2312" w:eastAsia="仿宋_GB2312" w:hAnsi="宋体"/>
          <w:spacing w:val="-4"/>
          <w:sz w:val="28"/>
        </w:rPr>
        <w:t xml:space="preserve"> 2018 </w:t>
      </w:r>
      <w:r>
        <w:rPr>
          <w:rFonts w:ascii="仿宋_GB2312" w:eastAsia="仿宋_GB2312" w:hAnsi="宋体" w:hint="eastAsia"/>
          <w:spacing w:val="-4"/>
          <w:sz w:val="28"/>
        </w:rPr>
        <w:t>年，随着各地市场形势的分化，</w:t>
      </w:r>
      <w:r>
        <w:rPr>
          <w:rFonts w:ascii="仿宋_GB2312" w:eastAsia="仿宋_GB2312" w:hAnsi="宋体"/>
          <w:spacing w:val="-4"/>
          <w:sz w:val="28"/>
        </w:rPr>
        <w:t xml:space="preserve">2019 </w:t>
      </w:r>
      <w:r>
        <w:rPr>
          <w:rFonts w:ascii="仿宋_GB2312" w:eastAsia="仿宋_GB2312" w:hAnsi="宋体" w:hint="eastAsia"/>
          <w:spacing w:val="-4"/>
          <w:sz w:val="28"/>
        </w:rPr>
        <w:t>年因城施策进一步深化，这在一定程度上保障了市场的整体稳定。</w:t>
      </w:r>
    </w:p>
    <w:p w:rsidR="007C13F5" w:rsidRDefault="007C13F5">
      <w:pPr>
        <w:spacing w:beforeLines="50" w:line="360" w:lineRule="auto"/>
        <w:ind w:firstLineChars="200" w:firstLine="31680"/>
        <w:rPr>
          <w:rFonts w:ascii="仿宋_GB2312" w:eastAsia="仿宋_GB2312" w:hAnsi="宋体"/>
          <w:bCs/>
          <w:spacing w:val="-4"/>
          <w:sz w:val="28"/>
        </w:rPr>
      </w:pPr>
      <w:r>
        <w:rPr>
          <w:rFonts w:ascii="仿宋_GB2312" w:eastAsia="仿宋_GB2312" w:hAnsi="宋体"/>
          <w:bCs/>
          <w:spacing w:val="-4"/>
          <w:sz w:val="28"/>
        </w:rPr>
        <w:t>2019</w:t>
      </w:r>
      <w:r>
        <w:rPr>
          <w:rFonts w:ascii="仿宋_GB2312" w:eastAsia="仿宋_GB2312" w:hAnsi="宋体" w:hint="eastAsia"/>
          <w:bCs/>
          <w:spacing w:val="-4"/>
          <w:sz w:val="28"/>
        </w:rPr>
        <w:t>年新房价格表现平稳，重点城市二手房价格回落，市场去化压力加大。其中一线城市在供需改善及低基数的影响下累计涨幅小幅提升，二、三四线城市价格累计涨幅延续回落态势，尤其是前期价格上涨较快、人口支撑力弱的城市调整压力显现。二手房市场方面，受热点城市新房供应规模增加的影响，二手房市场买方议价空间加大，部分城市二手房价格调整压力突出，导致十大城市二手房均价累计有所调整，且近几个月跌幅有所扩大。</w:t>
      </w:r>
    </w:p>
    <w:p w:rsidR="007C13F5" w:rsidRDefault="007C13F5">
      <w:pPr>
        <w:spacing w:beforeLines="50" w:line="360" w:lineRule="auto"/>
        <w:ind w:firstLineChars="200" w:firstLine="31680"/>
        <w:rPr>
          <w:rFonts w:ascii="仿宋_GB2312" w:eastAsia="仿宋_GB2312" w:hAnsi="宋体"/>
          <w:bCs/>
          <w:spacing w:val="-4"/>
          <w:sz w:val="28"/>
        </w:rPr>
      </w:pPr>
      <w:r>
        <w:rPr>
          <w:rFonts w:ascii="仿宋_GB2312" w:eastAsia="仿宋_GB2312" w:hAnsi="宋体" w:hint="eastAsia"/>
          <w:bCs/>
          <w:spacing w:val="-4"/>
          <w:sz w:val="28"/>
        </w:rPr>
        <w:t>从数据上来看，本轮调控政策取得了明显效果，重点城市商品住宅成交规模稳中有所调整，百城价格环比、累计涨幅均保持在低位区间，价格表现更加平稳。展望</w:t>
      </w:r>
      <w:r>
        <w:rPr>
          <w:rFonts w:ascii="仿宋_GB2312" w:eastAsia="仿宋_GB2312" w:hAnsi="宋体"/>
          <w:bCs/>
          <w:spacing w:val="-4"/>
          <w:sz w:val="28"/>
        </w:rPr>
        <w:t xml:space="preserve"> 2020 </w:t>
      </w:r>
      <w:r>
        <w:rPr>
          <w:rFonts w:ascii="仿宋_GB2312" w:eastAsia="仿宋_GB2312" w:hAnsi="宋体" w:hint="eastAsia"/>
          <w:bCs/>
          <w:spacing w:val="-4"/>
          <w:sz w:val="28"/>
        </w:rPr>
        <w:t>年，整体市场调控政策依旧保持从严基调，在因城施策、一城一策下，房地产市场整体仍将平稳运行，同时在多种因素综合影响下，不同城市分化格局愈加明显，一线城市在供应端持续改善或城市规划利好影响下，明年市场延续底部回升行情可期；二线代表城市整体市场规模将保持稳中有所震荡，厦门、天津等城市市场调整压力仍不减；部分城市群内部以及其他有人口支撑的三四线城市，短期市场或将延续较好发展态势，但多数三四线城市在需求存在透支等因素影响下，市场面临较大调整压力。</w:t>
      </w:r>
    </w:p>
    <w:p w:rsidR="007C13F5" w:rsidRDefault="007C13F5">
      <w:pPr>
        <w:spacing w:beforeLines="50" w:line="360" w:lineRule="auto"/>
        <w:ind w:firstLineChars="200" w:firstLine="31680"/>
        <w:rPr>
          <w:rFonts w:ascii="仿宋_GB2312" w:eastAsia="仿宋_GB2312" w:hAnsi="宋体"/>
          <w:bCs/>
          <w:spacing w:val="-4"/>
          <w:sz w:val="28"/>
        </w:rPr>
      </w:pPr>
      <w:r>
        <w:rPr>
          <w:rFonts w:ascii="仿宋_GB2312" w:eastAsia="仿宋_GB2312" w:hAnsi="宋体"/>
          <w:bCs/>
          <w:spacing w:val="-4"/>
          <w:sz w:val="28"/>
        </w:rPr>
        <w:t>2019</w:t>
      </w:r>
      <w:r>
        <w:rPr>
          <w:rFonts w:ascii="仿宋_GB2312" w:eastAsia="仿宋_GB2312" w:hAnsi="宋体" w:hint="eastAsia"/>
          <w:bCs/>
          <w:spacing w:val="-4"/>
          <w:sz w:val="28"/>
        </w:rPr>
        <w:t>年，我国房地产市场政策环境整体偏紧：中央聚焦房地产金融风险，坚持住房居住属性，不将房地产作为短期刺激经济的手段，房地产行业资金定向监管全年保持从紧态势；地方因城、因区、因势施策保持房地产市场稳定。同时，我国房地产行业运行基础制度更趋完善，住房、土地、财税三大领域的制度建设取得明显进展，为进一步落实房地产长效管理机制奠定更加坚实的基础。</w:t>
      </w:r>
    </w:p>
    <w:p w:rsidR="007C13F5" w:rsidRDefault="007C13F5">
      <w:pPr>
        <w:spacing w:beforeLines="50" w:line="360" w:lineRule="auto"/>
        <w:ind w:firstLineChars="200" w:firstLine="31680"/>
        <w:rPr>
          <w:rFonts w:ascii="仿宋_GB2312" w:eastAsia="仿宋_GB2312" w:hAnsi="宋体"/>
          <w:bCs/>
          <w:spacing w:val="-4"/>
          <w:sz w:val="28"/>
        </w:rPr>
      </w:pPr>
      <w:r>
        <w:rPr>
          <w:rFonts w:ascii="仿宋_GB2312" w:eastAsia="仿宋_GB2312" w:hAnsi="宋体" w:hint="eastAsia"/>
          <w:bCs/>
          <w:spacing w:val="-4"/>
          <w:sz w:val="28"/>
        </w:rPr>
        <w:t>总体来看，近期房地产市场保持以稳为主正是基于</w:t>
      </w:r>
      <w:r>
        <w:rPr>
          <w:rFonts w:ascii="仿宋_GB2312" w:eastAsia="仿宋_GB2312" w:hAnsi="宋体"/>
          <w:bCs/>
          <w:spacing w:val="-4"/>
          <w:sz w:val="28"/>
        </w:rPr>
        <w:t xml:space="preserve"> 2019 </w:t>
      </w:r>
      <w:r>
        <w:rPr>
          <w:rFonts w:ascii="仿宋_GB2312" w:eastAsia="仿宋_GB2312" w:hAnsi="宋体" w:hint="eastAsia"/>
          <w:bCs/>
          <w:spacing w:val="-4"/>
          <w:sz w:val="28"/>
        </w:rPr>
        <w:t>年保持楼市调控定力、各地因城施策取得的积极效果。一方面，房地产金融抑制政策贯穿全年，这为部分城市实施定向微调、保障合理住房需求提供了坚实的基础。另一方面，相较于</w:t>
      </w:r>
      <w:r>
        <w:rPr>
          <w:rFonts w:ascii="仿宋_GB2312" w:eastAsia="仿宋_GB2312" w:hAnsi="宋体"/>
          <w:bCs/>
          <w:spacing w:val="-4"/>
          <w:sz w:val="28"/>
        </w:rPr>
        <w:t xml:space="preserve"> 2018 </w:t>
      </w:r>
      <w:r>
        <w:rPr>
          <w:rFonts w:ascii="仿宋_GB2312" w:eastAsia="仿宋_GB2312" w:hAnsi="宋体" w:hint="eastAsia"/>
          <w:bCs/>
          <w:spacing w:val="-4"/>
          <w:sz w:val="28"/>
        </w:rPr>
        <w:t>年，随着各地市场形势的分化，</w:t>
      </w:r>
      <w:r>
        <w:rPr>
          <w:rFonts w:ascii="仿宋_GB2312" w:eastAsia="仿宋_GB2312" w:hAnsi="宋体"/>
          <w:bCs/>
          <w:spacing w:val="-4"/>
          <w:sz w:val="28"/>
        </w:rPr>
        <w:t xml:space="preserve">2019 </w:t>
      </w:r>
      <w:r>
        <w:rPr>
          <w:rFonts w:ascii="仿宋_GB2312" w:eastAsia="仿宋_GB2312" w:hAnsi="宋体" w:hint="eastAsia"/>
          <w:bCs/>
          <w:spacing w:val="-4"/>
          <w:sz w:val="28"/>
        </w:rPr>
        <w:t>年因城施策进一步深化，这在一定程度上保障了市场的整体稳定。</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（三）全国土地市场状况</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2019</w:t>
      </w:r>
      <w:r>
        <w:rPr>
          <w:rFonts w:ascii="仿宋_GB2312" w:eastAsia="仿宋_GB2312" w:hAnsi="宋体" w:hint="eastAsia"/>
          <w:spacing w:val="-4"/>
          <w:sz w:val="28"/>
        </w:rPr>
        <w:t>年，</w:t>
      </w:r>
      <w:r>
        <w:rPr>
          <w:rFonts w:ascii="仿宋_GB2312" w:eastAsia="仿宋_GB2312" w:hAnsi="宋体"/>
          <w:spacing w:val="-4"/>
          <w:sz w:val="28"/>
        </w:rPr>
        <w:t>19</w:t>
      </w:r>
      <w:r>
        <w:rPr>
          <w:rFonts w:ascii="仿宋_GB2312" w:eastAsia="仿宋_GB2312" w:hAnsi="宋体" w:hint="eastAsia"/>
          <w:spacing w:val="-4"/>
          <w:sz w:val="28"/>
        </w:rPr>
        <w:t>个监测城市土地市场共计成交面积</w:t>
      </w:r>
      <w:r>
        <w:rPr>
          <w:rFonts w:ascii="仿宋_GB2312" w:eastAsia="仿宋_GB2312" w:hAnsi="宋体"/>
          <w:spacing w:val="-4"/>
          <w:sz w:val="28"/>
        </w:rPr>
        <w:t>3.08</w:t>
      </w:r>
      <w:r>
        <w:rPr>
          <w:rFonts w:ascii="仿宋_GB2312" w:eastAsia="仿宋_GB2312" w:hAnsi="宋体" w:hint="eastAsia"/>
          <w:spacing w:val="-4"/>
          <w:sz w:val="28"/>
        </w:rPr>
        <w:t>亿</w:t>
      </w:r>
      <w:r>
        <w:rPr>
          <w:rFonts w:ascii="宋体" w:hAnsi="宋体" w:cs="宋体" w:hint="eastAsia"/>
          <w:spacing w:val="-4"/>
          <w:sz w:val="28"/>
        </w:rPr>
        <w:t>㎡</w:t>
      </w:r>
      <w:r>
        <w:rPr>
          <w:rFonts w:ascii="仿宋_GB2312" w:eastAsia="仿宋_GB2312" w:hAnsi="仿宋_GB2312" w:cs="仿宋_GB2312" w:hint="eastAsia"/>
          <w:spacing w:val="-4"/>
          <w:sz w:val="28"/>
        </w:rPr>
        <w:t>，较去年同期增</w:t>
      </w:r>
      <w:r>
        <w:rPr>
          <w:rFonts w:ascii="仿宋_GB2312" w:eastAsia="仿宋_GB2312" w:hAnsi="宋体" w:hint="eastAsia"/>
          <w:spacing w:val="-4"/>
          <w:sz w:val="28"/>
        </w:rPr>
        <w:t>长</w:t>
      </w:r>
      <w:r>
        <w:rPr>
          <w:rFonts w:ascii="仿宋_GB2312" w:eastAsia="仿宋_GB2312" w:hAnsi="宋体"/>
          <w:spacing w:val="-4"/>
          <w:sz w:val="28"/>
        </w:rPr>
        <w:t>1.15%</w:t>
      </w:r>
      <w:r>
        <w:rPr>
          <w:rFonts w:ascii="仿宋_GB2312" w:eastAsia="仿宋_GB2312" w:hAnsi="宋体" w:hint="eastAsia"/>
          <w:spacing w:val="-4"/>
          <w:sz w:val="28"/>
        </w:rPr>
        <w:t>，成交金额共计</w:t>
      </w:r>
      <w:r>
        <w:rPr>
          <w:rFonts w:ascii="仿宋_GB2312" w:eastAsia="仿宋_GB2312" w:hAnsi="宋体"/>
          <w:spacing w:val="-4"/>
          <w:sz w:val="28"/>
        </w:rPr>
        <w:t>20274.48</w:t>
      </w:r>
      <w:r>
        <w:rPr>
          <w:rFonts w:ascii="仿宋_GB2312" w:eastAsia="仿宋_GB2312" w:hAnsi="宋体" w:hint="eastAsia"/>
          <w:spacing w:val="-4"/>
          <w:sz w:val="28"/>
        </w:rPr>
        <w:t>亿元，同比增长</w:t>
      </w:r>
      <w:r>
        <w:rPr>
          <w:rFonts w:ascii="仿宋_GB2312" w:eastAsia="仿宋_GB2312" w:hAnsi="宋体"/>
          <w:spacing w:val="-4"/>
          <w:sz w:val="28"/>
        </w:rPr>
        <w:t>16.01%</w:t>
      </w:r>
      <w:r>
        <w:rPr>
          <w:rFonts w:ascii="仿宋_GB2312" w:eastAsia="仿宋_GB2312" w:hAnsi="宋体" w:hint="eastAsia"/>
          <w:spacing w:val="-4"/>
          <w:sz w:val="28"/>
        </w:rPr>
        <w:t>。从成交面积同比涨幅来看，南昌、呼和浩特、乌鲁木齐、郑州、西安、石家庄、武汉和北京成交面积同比下降，其中南昌成交</w:t>
      </w:r>
      <w:r>
        <w:rPr>
          <w:rFonts w:ascii="仿宋_GB2312" w:eastAsia="仿宋_GB2312" w:hAnsi="宋体"/>
          <w:spacing w:val="-4"/>
          <w:sz w:val="28"/>
        </w:rPr>
        <w:t>732.33</w:t>
      </w:r>
      <w:r>
        <w:rPr>
          <w:rFonts w:ascii="仿宋_GB2312" w:eastAsia="仿宋_GB2312" w:hAnsi="宋体" w:hint="eastAsia"/>
          <w:spacing w:val="-4"/>
          <w:sz w:val="28"/>
        </w:rPr>
        <w:t>万</w:t>
      </w:r>
      <w:r>
        <w:rPr>
          <w:rFonts w:ascii="宋体" w:hAnsi="宋体" w:cs="宋体" w:hint="eastAsia"/>
          <w:spacing w:val="-4"/>
          <w:sz w:val="28"/>
        </w:rPr>
        <w:t>㎡</w:t>
      </w:r>
      <w:r>
        <w:rPr>
          <w:rFonts w:ascii="仿宋_GB2312" w:eastAsia="仿宋_GB2312" w:hAnsi="仿宋_GB2312" w:cs="仿宋_GB2312" w:hint="eastAsia"/>
          <w:spacing w:val="-4"/>
          <w:sz w:val="28"/>
        </w:rPr>
        <w:t>，</w:t>
      </w:r>
      <w:r>
        <w:rPr>
          <w:rFonts w:ascii="仿宋_GB2312" w:eastAsia="仿宋_GB2312" w:hAnsi="宋体" w:hint="eastAsia"/>
          <w:spacing w:val="-4"/>
          <w:sz w:val="28"/>
        </w:rPr>
        <w:t>以</w:t>
      </w:r>
      <w:r>
        <w:rPr>
          <w:rFonts w:ascii="仿宋_GB2312" w:eastAsia="仿宋_GB2312" w:hAnsi="宋体"/>
          <w:spacing w:val="-4"/>
          <w:sz w:val="28"/>
        </w:rPr>
        <w:t>46.64%</w:t>
      </w:r>
      <w:r>
        <w:rPr>
          <w:rFonts w:ascii="仿宋_GB2312" w:eastAsia="仿宋_GB2312" w:hAnsi="宋体" w:hint="eastAsia"/>
          <w:spacing w:val="-4"/>
          <w:sz w:val="28"/>
        </w:rPr>
        <w:t>的降幅领降；其他城市土地成交面积同比均上涨，其中昆明成交土地</w:t>
      </w:r>
      <w:r>
        <w:rPr>
          <w:rFonts w:ascii="仿宋_GB2312" w:eastAsia="仿宋_GB2312" w:hAnsi="宋体"/>
          <w:spacing w:val="-4"/>
          <w:sz w:val="28"/>
        </w:rPr>
        <w:t>2477.1</w:t>
      </w:r>
      <w:r>
        <w:rPr>
          <w:rFonts w:ascii="仿宋_GB2312" w:eastAsia="仿宋_GB2312" w:hAnsi="宋体" w:hint="eastAsia"/>
          <w:spacing w:val="-4"/>
          <w:sz w:val="28"/>
        </w:rPr>
        <w:t>万</w:t>
      </w:r>
      <w:r>
        <w:rPr>
          <w:rFonts w:ascii="宋体" w:hAnsi="宋体" w:cs="宋体" w:hint="eastAsia"/>
          <w:spacing w:val="-4"/>
          <w:sz w:val="28"/>
        </w:rPr>
        <w:t>㎡</w:t>
      </w:r>
      <w:r>
        <w:rPr>
          <w:rFonts w:ascii="仿宋_GB2312" w:eastAsia="仿宋_GB2312" w:hAnsi="仿宋_GB2312" w:cs="仿宋_GB2312" w:hint="eastAsia"/>
          <w:spacing w:val="-4"/>
          <w:sz w:val="28"/>
        </w:rPr>
        <w:t>，同比上</w:t>
      </w:r>
      <w:r>
        <w:rPr>
          <w:rFonts w:ascii="仿宋_GB2312" w:eastAsia="仿宋_GB2312" w:hAnsi="宋体" w:hint="eastAsia"/>
          <w:spacing w:val="-4"/>
          <w:sz w:val="28"/>
        </w:rPr>
        <w:t>涨</w:t>
      </w:r>
      <w:r>
        <w:rPr>
          <w:rFonts w:ascii="仿宋_GB2312" w:eastAsia="仿宋_GB2312" w:hAnsi="宋体"/>
          <w:spacing w:val="-4"/>
          <w:sz w:val="28"/>
        </w:rPr>
        <w:t>55.49%</w:t>
      </w:r>
      <w:r>
        <w:rPr>
          <w:rFonts w:ascii="仿宋_GB2312" w:eastAsia="仿宋_GB2312" w:hAnsi="宋体" w:hint="eastAsia"/>
          <w:spacing w:val="-4"/>
          <w:sz w:val="28"/>
        </w:rPr>
        <w:t>，涨幅居首。</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（四）云南省房地产市场状况</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随着越来越多外地投资客和旅居者进入云南购房，沉沦了四、五年的云南楼市再一次火爆。云南房地产市场因为多重因素的共振作用而迅速升温，现在又进入了住宅价格一路上涨的时代。目前云南的旅游资源只开发了不足三成，但房地产大盘布局却快速扩张，这一方面充满着商机，但同时也有不少泡沫，该区域的去化能力较弱，开发商要迅速回笼资金的难度较大。自</w:t>
      </w:r>
      <w:r>
        <w:rPr>
          <w:rFonts w:ascii="仿宋_GB2312" w:eastAsia="仿宋_GB2312" w:hAnsi="宋体"/>
          <w:spacing w:val="-4"/>
          <w:sz w:val="28"/>
        </w:rPr>
        <w:t>2016</w:t>
      </w:r>
      <w:r>
        <w:rPr>
          <w:rFonts w:ascii="仿宋_GB2312" w:eastAsia="仿宋_GB2312" w:hAnsi="宋体" w:hint="eastAsia"/>
          <w:spacing w:val="-4"/>
          <w:sz w:val="28"/>
        </w:rPr>
        <w:t>年底以来，云南房地产市场步入新一轮上涨周期，其中涨幅最明显的是昆明、各地州的州府城市如版纳的景洪、大理的下关、怒江的六库等，也有个别的县级城市如腾冲、澄江等，因为资源特色比较明确，人口流入数量大等原因而迅速上涨。</w:t>
      </w:r>
      <w:r>
        <w:rPr>
          <w:rFonts w:ascii="仿宋_GB2312" w:eastAsia="仿宋_GB2312" w:hAnsi="宋体"/>
          <w:spacing w:val="-4"/>
          <w:sz w:val="28"/>
        </w:rPr>
        <w:t xml:space="preserve"> </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云南本土房企的优势在于拿地和本地资源整合，短板是资金、人才和管理。外来房企的优势是融资渠道、人才、产品研发和运营管理经验，而拿地方面仍是瓶颈，本地资源整合方面也需突破。在某些项目上，通过合作相互取长补短，或能实现双赢。</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（五）大理市房地产市场</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大理市是大理州政治、经济、文化中心，面积</w:t>
      </w:r>
      <w:r>
        <w:rPr>
          <w:rFonts w:ascii="仿宋_GB2312" w:eastAsia="仿宋_GB2312" w:hAnsi="宋体"/>
          <w:spacing w:val="-4"/>
          <w:sz w:val="28"/>
        </w:rPr>
        <w:t>1468</w:t>
      </w:r>
      <w:r>
        <w:rPr>
          <w:rFonts w:ascii="仿宋_GB2312" w:eastAsia="仿宋_GB2312" w:hAnsi="宋体" w:hint="eastAsia"/>
          <w:spacing w:val="-4"/>
          <w:sz w:val="28"/>
        </w:rPr>
        <w:t>平方公里，人口</w:t>
      </w:r>
      <w:r>
        <w:rPr>
          <w:rFonts w:ascii="仿宋_GB2312" w:eastAsia="仿宋_GB2312" w:hAnsi="宋体"/>
          <w:spacing w:val="-4"/>
          <w:sz w:val="28"/>
        </w:rPr>
        <w:t>67</w:t>
      </w:r>
      <w:r>
        <w:rPr>
          <w:rFonts w:ascii="仿宋_GB2312" w:eastAsia="仿宋_GB2312" w:hAnsi="宋体" w:hint="eastAsia"/>
          <w:spacing w:val="-4"/>
          <w:sz w:val="28"/>
        </w:rPr>
        <w:t>左右，大理主城区位于下关，旅游名胜区以大理古城及周边为主。旅游业是大理的支柱产业，包括了休闲度假、观光旅游、文化体验旅游等，同时辅以种植业，为丽江和香格里拉提供蔬菜供应。</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大理市距昆明</w:t>
      </w:r>
      <w:r>
        <w:rPr>
          <w:rFonts w:ascii="仿宋_GB2312" w:eastAsia="仿宋_GB2312" w:hAnsi="宋体"/>
          <w:spacing w:val="-4"/>
          <w:sz w:val="28"/>
        </w:rPr>
        <w:t>359</w:t>
      </w:r>
      <w:r>
        <w:rPr>
          <w:rFonts w:ascii="仿宋_GB2312" w:eastAsia="仿宋_GB2312" w:hAnsi="宋体" w:hint="eastAsia"/>
          <w:spacing w:val="-4"/>
          <w:sz w:val="28"/>
        </w:rPr>
        <w:t>公里，距丽江</w:t>
      </w:r>
      <w:r>
        <w:rPr>
          <w:rFonts w:ascii="仿宋_GB2312" w:eastAsia="仿宋_GB2312" w:hAnsi="宋体"/>
          <w:spacing w:val="-4"/>
          <w:sz w:val="28"/>
        </w:rPr>
        <w:t>187</w:t>
      </w:r>
      <w:r>
        <w:rPr>
          <w:rFonts w:ascii="仿宋_GB2312" w:eastAsia="仿宋_GB2312" w:hAnsi="宋体" w:hint="eastAsia"/>
          <w:spacing w:val="-4"/>
          <w:sz w:val="28"/>
        </w:rPr>
        <w:t>公里，距保山</w:t>
      </w:r>
      <w:r>
        <w:rPr>
          <w:rFonts w:ascii="仿宋_GB2312" w:eastAsia="仿宋_GB2312" w:hAnsi="宋体"/>
          <w:spacing w:val="-4"/>
          <w:sz w:val="28"/>
        </w:rPr>
        <w:t>166</w:t>
      </w:r>
      <w:r>
        <w:rPr>
          <w:rFonts w:ascii="仿宋_GB2312" w:eastAsia="仿宋_GB2312" w:hAnsi="宋体" w:hint="eastAsia"/>
          <w:spacing w:val="-4"/>
          <w:sz w:val="28"/>
        </w:rPr>
        <w:t>公里，是云南省滇西陆路交通枢纽和重要物资集散地，地理位置较好，成为滇西中心城市核心区，是云南省重要现代服务业、先进制造业基地，中国通往东南亚、南亚重要陆路通道的枢纽节点和国际知名休闲康体旅游胜地。</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按照大理市规划，城区发展划分为三个片区：下关城区、海西片区、海东片区。</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下关老城片区：苍山脚下为科研文教区和苍山环境绿化保护区，结合旧城改造建成全市行政、经济、旅游观光和文化活动综合区，东南发展新型工业发展区及物流产业园区。</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海西片区：</w:t>
      </w:r>
      <w:r>
        <w:rPr>
          <w:rFonts w:ascii="仿宋_GB2312" w:eastAsia="仿宋_GB2312" w:hAnsi="宋体"/>
          <w:spacing w:val="-4"/>
          <w:sz w:val="28"/>
        </w:rPr>
        <w:t>214</w:t>
      </w:r>
      <w:r>
        <w:rPr>
          <w:rFonts w:ascii="仿宋_GB2312" w:eastAsia="仿宋_GB2312" w:hAnsi="宋体" w:hint="eastAsia"/>
          <w:spacing w:val="-4"/>
          <w:sz w:val="28"/>
        </w:rPr>
        <w:t>国道以西苍山脚下为低密度、高品位开发休闲的体育、娱乐、度假、观光旅游为主的度假休闲基地（估价对象位于该片区）；</w:t>
      </w:r>
      <w:r>
        <w:rPr>
          <w:rFonts w:ascii="仿宋_GB2312" w:eastAsia="仿宋_GB2312" w:hAnsi="宋体"/>
          <w:spacing w:val="-4"/>
          <w:sz w:val="28"/>
        </w:rPr>
        <w:t>214</w:t>
      </w:r>
      <w:r>
        <w:rPr>
          <w:rFonts w:ascii="仿宋_GB2312" w:eastAsia="仿宋_GB2312" w:hAnsi="宋体" w:hint="eastAsia"/>
          <w:spacing w:val="-4"/>
          <w:sz w:val="28"/>
        </w:rPr>
        <w:t>国道以东为海滨沙滩浴场公园和度假、游乐设施用地，片区目前以喜洲镇集中开发较多。</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海东新城片区：满江片区为海东新城核心区，政治经济文化中心，也是大理物流商贸中心区；双廊镇为绿色经济重镇，历史文化名镇和生态观光旅游重镇。挖色镇为旅游产品交易、加工工业为主的特色小城镇。</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大理市房地产区域市场可划分为传统大理古城、海东、下关和凤仪四大板块。一块是海西古城，属于旅游商业板块，估价对象位于此板块；第二是下关老城区，属于本地人居住板块；第三就是海东板块，主要是山地的高端观海别墅，海东地区开发更多的是高端的旅游住宅。第四是凤仪板块是夹在海东和下关之间，尚未大开发。其中洱海国际生态城以高端启动，使区域成为整个大理市场的高端物业风向标，传统的大理古城板块是经历了最初的低价、低质、主打本地市场客户到现在发展成高价位，高品质，主打外地市场客户的阶段。</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2000</w:t>
      </w:r>
      <w:r>
        <w:rPr>
          <w:rFonts w:ascii="仿宋_GB2312" w:eastAsia="仿宋_GB2312" w:hAnsi="宋体" w:hint="eastAsia"/>
          <w:spacing w:val="-4"/>
          <w:sz w:val="28"/>
        </w:rPr>
        <w:t>年大理市处于商品房起步阶段，</w:t>
      </w:r>
      <w:r>
        <w:rPr>
          <w:rFonts w:ascii="仿宋_GB2312" w:eastAsia="仿宋_GB2312" w:hAnsi="宋体"/>
          <w:spacing w:val="-4"/>
          <w:sz w:val="28"/>
        </w:rPr>
        <w:t>2008</w:t>
      </w:r>
      <w:r>
        <w:rPr>
          <w:rFonts w:ascii="仿宋_GB2312" w:eastAsia="仿宋_GB2312" w:hAnsi="宋体" w:hint="eastAsia"/>
          <w:spacing w:val="-4"/>
          <w:sz w:val="28"/>
        </w:rPr>
        <w:t>年成为大理房地产市场转折的一年，</w:t>
      </w:r>
      <w:r>
        <w:rPr>
          <w:rFonts w:ascii="仿宋_GB2312" w:eastAsia="仿宋_GB2312" w:hAnsi="宋体"/>
          <w:spacing w:val="-4"/>
          <w:sz w:val="28"/>
        </w:rPr>
        <w:t>2010</w:t>
      </w:r>
      <w:r>
        <w:rPr>
          <w:rFonts w:ascii="仿宋_GB2312" w:eastAsia="仿宋_GB2312" w:hAnsi="宋体" w:hint="eastAsia"/>
          <w:spacing w:val="-4"/>
          <w:sz w:val="28"/>
        </w:rPr>
        <w:t>年开发量实现大幅增加，近几年大理房地产市场呈上行趋势，涨幅较大，同时大理房地产市场受旅游业影响较大，旅游业发展促进房地产市场快速发展。</w:t>
      </w:r>
      <w:r>
        <w:rPr>
          <w:rFonts w:ascii="仿宋_GB2312" w:eastAsia="仿宋_GB2312" w:hAnsi="宋体"/>
          <w:spacing w:val="-4"/>
          <w:sz w:val="28"/>
        </w:rPr>
        <w:t>2009-2019</w:t>
      </w:r>
      <w:r>
        <w:rPr>
          <w:rFonts w:ascii="仿宋_GB2312" w:eastAsia="仿宋_GB2312" w:hAnsi="宋体" w:hint="eastAsia"/>
          <w:spacing w:val="-4"/>
          <w:sz w:val="28"/>
        </w:rPr>
        <w:t>大理市房地产业处于一个快速上升期，国家先后出台了一系列政策，但大理市房地产业并未受此冲击影响，反而逆势转强，旅游业增长和大理知名度增加，开发企业及投资者看好并认可大理市未来房地产市场前景，供应量逐年加大，本地消化率有限，大量外销产品推出。</w:t>
      </w:r>
      <w:r>
        <w:rPr>
          <w:rFonts w:ascii="仿宋_GB2312" w:eastAsia="仿宋_GB2312" w:hAnsi="宋体"/>
          <w:spacing w:val="-4"/>
          <w:sz w:val="28"/>
        </w:rPr>
        <w:t xml:space="preserve"> </w:t>
      </w:r>
      <w:r>
        <w:rPr>
          <w:rFonts w:ascii="仿宋_GB2312" w:eastAsia="仿宋_GB2312" w:hAnsi="宋体" w:hint="eastAsia"/>
          <w:spacing w:val="-4"/>
          <w:sz w:val="28"/>
        </w:rPr>
        <w:t>其中别墅作为外销型产品，价格增幅较大，而且大理别墅市场受内外因素影响较小，因此开发商对别墅市场的热情要远高于普通住宅。普通住宅作为内销型产品，在一段时间里保持缓慢增长，但旅游地产的开发以及别墅类物业的炒作带动了普通住宅价格上涨，尤其近几年下关老城片区的旧城改造项目，大大增加了普通住宅的购买力，抬高了普通住宅均价，且让下关片区和古城片区的普通住宅价格普遍上扬。</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根据中国房价行情网公布的最新数据显示，</w:t>
      </w:r>
      <w:r>
        <w:rPr>
          <w:rFonts w:ascii="仿宋_GB2312" w:eastAsia="仿宋_GB2312" w:hAnsi="宋体"/>
          <w:spacing w:val="-4"/>
          <w:sz w:val="28"/>
        </w:rPr>
        <w:t>2020</w:t>
      </w:r>
      <w:r>
        <w:rPr>
          <w:rFonts w:ascii="仿宋_GB2312" w:eastAsia="仿宋_GB2312" w:hAnsi="宋体" w:hint="eastAsia"/>
          <w:spacing w:val="-4"/>
          <w:sz w:val="28"/>
        </w:rPr>
        <w:t>年</w:t>
      </w:r>
      <w:r>
        <w:rPr>
          <w:rFonts w:ascii="仿宋_GB2312" w:eastAsia="仿宋_GB2312" w:hAnsi="宋体"/>
          <w:spacing w:val="-4"/>
          <w:sz w:val="28"/>
        </w:rPr>
        <w:t>4</w:t>
      </w:r>
      <w:r>
        <w:rPr>
          <w:rFonts w:ascii="仿宋_GB2312" w:eastAsia="仿宋_GB2312" w:hAnsi="宋体" w:hint="eastAsia"/>
          <w:spacing w:val="-4"/>
          <w:sz w:val="28"/>
        </w:rPr>
        <w:t>月</w:t>
      </w:r>
      <w:r>
        <w:rPr>
          <w:rFonts w:ascii="仿宋_GB2312" w:eastAsia="仿宋_GB2312" w:hAnsi="仿宋_GB2312" w:cs="仿宋_GB2312" w:hint="eastAsia"/>
          <w:spacing w:val="-4"/>
          <w:sz w:val="28"/>
        </w:rPr>
        <w:t>大理市住宅整体均价达到</w:t>
      </w:r>
      <w:r>
        <w:rPr>
          <w:rFonts w:ascii="仿宋_GB2312" w:eastAsia="仿宋_GB2312" w:hAnsi="宋体"/>
          <w:spacing w:val="-4"/>
          <w:sz w:val="28"/>
        </w:rPr>
        <w:t>13500</w:t>
      </w:r>
      <w:r>
        <w:rPr>
          <w:rFonts w:ascii="仿宋_GB2312" w:eastAsia="仿宋_GB2312" w:hAnsi="宋体" w:hint="eastAsia"/>
          <w:spacing w:val="-4"/>
          <w:sz w:val="28"/>
        </w:rPr>
        <w:t>元</w:t>
      </w:r>
      <w:r>
        <w:rPr>
          <w:rFonts w:ascii="仿宋_GB2312" w:eastAsia="仿宋_GB2312" w:hAnsi="宋体"/>
          <w:spacing w:val="-4"/>
          <w:sz w:val="28"/>
        </w:rPr>
        <w:t>/</w:t>
      </w:r>
      <w:r>
        <w:rPr>
          <w:rFonts w:ascii="宋体" w:hAnsi="宋体" w:cs="宋体" w:hint="eastAsia"/>
          <w:spacing w:val="-4"/>
          <w:sz w:val="28"/>
        </w:rPr>
        <w:t>㎡</w:t>
      </w:r>
      <w:r>
        <w:rPr>
          <w:rFonts w:ascii="仿宋_GB2312" w:eastAsia="仿宋_GB2312" w:hAnsi="仿宋_GB2312" w:cs="仿宋_GB2312" w:hint="eastAsia"/>
          <w:spacing w:val="-4"/>
          <w:sz w:val="28"/>
        </w:rPr>
        <w:t>，别墅类的均价为</w:t>
      </w:r>
      <w:r>
        <w:rPr>
          <w:rFonts w:ascii="仿宋_GB2312" w:eastAsia="仿宋_GB2312" w:hAnsi="仿宋_GB2312" w:cs="仿宋_GB2312"/>
          <w:spacing w:val="-4"/>
          <w:sz w:val="28"/>
        </w:rPr>
        <w:t>17480</w:t>
      </w:r>
      <w:r>
        <w:rPr>
          <w:rFonts w:ascii="仿宋_GB2312" w:eastAsia="仿宋_GB2312" w:hAnsi="宋体" w:hint="eastAsia"/>
          <w:spacing w:val="-4"/>
          <w:sz w:val="28"/>
        </w:rPr>
        <w:t>元</w:t>
      </w:r>
      <w:r>
        <w:rPr>
          <w:rFonts w:ascii="仿宋_GB2312" w:eastAsia="仿宋_GB2312" w:hAnsi="宋体"/>
          <w:spacing w:val="-4"/>
          <w:sz w:val="28"/>
        </w:rPr>
        <w:t>/</w:t>
      </w:r>
      <w:r>
        <w:rPr>
          <w:rFonts w:ascii="宋体" w:hAnsi="宋体" w:cs="宋体" w:hint="eastAsia"/>
          <w:spacing w:val="-4"/>
          <w:sz w:val="28"/>
        </w:rPr>
        <w:t>㎡，</w:t>
      </w:r>
      <w:r>
        <w:rPr>
          <w:rFonts w:ascii="仿宋_GB2312" w:eastAsia="仿宋_GB2312" w:hAnsi="宋体" w:hint="eastAsia"/>
          <w:spacing w:val="-4"/>
          <w:sz w:val="28"/>
        </w:rPr>
        <w:t>大理房价上涨主要受</w:t>
      </w:r>
      <w:r>
        <w:rPr>
          <w:rFonts w:ascii="仿宋_GB2312" w:eastAsia="仿宋_GB2312" w:hAnsi="宋体"/>
          <w:spacing w:val="-4"/>
          <w:sz w:val="28"/>
        </w:rPr>
        <w:t>3</w:t>
      </w:r>
      <w:r>
        <w:rPr>
          <w:rFonts w:ascii="仿宋_GB2312" w:eastAsia="仿宋_GB2312" w:hAnsi="宋体" w:hint="eastAsia"/>
          <w:spacing w:val="-4"/>
          <w:sz w:val="28"/>
        </w:rPr>
        <w:t>点推动：海南限购导致旅居养老投资外溢；大理和版纳作为云南旅游地产的代表，具有旅居地产一定的投资价值；民宿受限制以及大理动车的开通，大理房地产市场的外销比例逐年加大，通常外地人买得越多，旅居养老价值越大，</w:t>
      </w:r>
      <w:r>
        <w:rPr>
          <w:rFonts w:ascii="仿宋_GB2312" w:eastAsia="仿宋_GB2312" w:hAnsi="宋体"/>
          <w:spacing w:val="-4"/>
          <w:sz w:val="28"/>
        </w:rPr>
        <w:t>2015</w:t>
      </w:r>
      <w:r>
        <w:rPr>
          <w:rFonts w:ascii="仿宋_GB2312" w:eastAsia="仿宋_GB2312" w:hAnsi="宋体" w:hint="eastAsia"/>
          <w:spacing w:val="-4"/>
          <w:sz w:val="28"/>
        </w:rPr>
        <w:t>年以前，云南房地产外销量为</w:t>
      </w:r>
      <w:r>
        <w:rPr>
          <w:rFonts w:ascii="仿宋_GB2312" w:eastAsia="仿宋_GB2312" w:hAnsi="宋体"/>
          <w:spacing w:val="-4"/>
          <w:sz w:val="28"/>
        </w:rPr>
        <w:t>24%</w:t>
      </w:r>
      <w:r>
        <w:rPr>
          <w:rFonts w:ascii="仿宋_GB2312" w:eastAsia="仿宋_GB2312" w:hAnsi="宋体" w:hint="eastAsia"/>
          <w:spacing w:val="-4"/>
          <w:sz w:val="28"/>
        </w:rPr>
        <w:t>，</w:t>
      </w:r>
      <w:r>
        <w:rPr>
          <w:rFonts w:ascii="仿宋_GB2312" w:eastAsia="仿宋_GB2312" w:hAnsi="宋体"/>
          <w:spacing w:val="-4"/>
          <w:sz w:val="28"/>
        </w:rPr>
        <w:t>2017</w:t>
      </w:r>
      <w:r>
        <w:rPr>
          <w:rFonts w:ascii="仿宋_GB2312" w:eastAsia="仿宋_GB2312" w:hAnsi="宋体" w:hint="eastAsia"/>
          <w:spacing w:val="-4"/>
          <w:sz w:val="28"/>
        </w:rPr>
        <w:t>年增至</w:t>
      </w:r>
      <w:r>
        <w:rPr>
          <w:rFonts w:ascii="仿宋_GB2312" w:eastAsia="仿宋_GB2312" w:hAnsi="宋体"/>
          <w:spacing w:val="-4"/>
          <w:sz w:val="28"/>
        </w:rPr>
        <w:t>60%</w:t>
      </w:r>
      <w:r>
        <w:rPr>
          <w:rFonts w:ascii="仿宋_GB2312" w:eastAsia="仿宋_GB2312" w:hAnsi="宋体" w:hint="eastAsia"/>
          <w:spacing w:val="-4"/>
          <w:sz w:val="28"/>
        </w:rPr>
        <w:t>。其中，重点旅游地区的房地产外销比例增长速度尤其迅猛，大理房产目前外销量超过</w:t>
      </w:r>
      <w:r>
        <w:rPr>
          <w:rFonts w:ascii="仿宋_GB2312" w:eastAsia="仿宋_GB2312" w:hAnsi="宋体"/>
          <w:spacing w:val="-4"/>
          <w:sz w:val="28"/>
        </w:rPr>
        <w:t>60%</w:t>
      </w:r>
      <w:r>
        <w:rPr>
          <w:rFonts w:ascii="仿宋_GB2312" w:eastAsia="仿宋_GB2312" w:hAnsi="宋体" w:hint="eastAsia"/>
          <w:spacing w:val="-4"/>
          <w:sz w:val="28"/>
        </w:rPr>
        <w:t>。</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2019</w:t>
      </w:r>
      <w:r>
        <w:rPr>
          <w:rFonts w:ascii="仿宋_GB2312" w:eastAsia="仿宋_GB2312" w:hAnsi="宋体" w:hint="eastAsia"/>
          <w:spacing w:val="-4"/>
          <w:sz w:val="28"/>
        </w:rPr>
        <w:t>年上半年，大理州土地市场共挂牌出让地块</w:t>
      </w:r>
      <w:r>
        <w:rPr>
          <w:rFonts w:ascii="仿宋_GB2312" w:eastAsia="仿宋_GB2312" w:hAnsi="宋体"/>
          <w:spacing w:val="-4"/>
          <w:sz w:val="28"/>
        </w:rPr>
        <w:t>57</w:t>
      </w:r>
      <w:r>
        <w:rPr>
          <w:rFonts w:ascii="仿宋_GB2312" w:eastAsia="仿宋_GB2312" w:hAnsi="宋体" w:hint="eastAsia"/>
          <w:spacing w:val="-4"/>
          <w:sz w:val="28"/>
        </w:rPr>
        <w:t>宗，约</w:t>
      </w:r>
      <w:r>
        <w:rPr>
          <w:rFonts w:ascii="仿宋_GB2312" w:eastAsia="仿宋_GB2312" w:hAnsi="宋体"/>
          <w:spacing w:val="-4"/>
          <w:sz w:val="28"/>
        </w:rPr>
        <w:t>1187.69</w:t>
      </w:r>
      <w:r>
        <w:rPr>
          <w:rFonts w:ascii="仿宋_GB2312" w:eastAsia="仿宋_GB2312" w:hAnsi="宋体" w:hint="eastAsia"/>
          <w:spacing w:val="-4"/>
          <w:sz w:val="28"/>
        </w:rPr>
        <w:t>亩，其中，剑川县最多，</w:t>
      </w:r>
      <w:r>
        <w:rPr>
          <w:rFonts w:ascii="仿宋_GB2312" w:eastAsia="仿宋_GB2312" w:hAnsi="宋体"/>
          <w:spacing w:val="-4"/>
          <w:sz w:val="28"/>
        </w:rPr>
        <w:t>15</w:t>
      </w:r>
      <w:r>
        <w:rPr>
          <w:rFonts w:ascii="仿宋_GB2312" w:eastAsia="仿宋_GB2312" w:hAnsi="宋体" w:hint="eastAsia"/>
          <w:spacing w:val="-4"/>
          <w:sz w:val="28"/>
        </w:rPr>
        <w:t>宗，约</w:t>
      </w:r>
      <w:r>
        <w:rPr>
          <w:rFonts w:ascii="仿宋_GB2312" w:eastAsia="仿宋_GB2312" w:hAnsi="宋体"/>
          <w:spacing w:val="-4"/>
          <w:sz w:val="28"/>
        </w:rPr>
        <w:t>173.9</w:t>
      </w:r>
      <w:r>
        <w:rPr>
          <w:rFonts w:ascii="仿宋_GB2312" w:eastAsia="仿宋_GB2312" w:hAnsi="宋体" w:hint="eastAsia"/>
          <w:spacing w:val="-4"/>
          <w:sz w:val="28"/>
        </w:rPr>
        <w:t>亩；其次鹤庆县</w:t>
      </w:r>
      <w:r>
        <w:rPr>
          <w:rFonts w:ascii="仿宋_GB2312" w:eastAsia="仿宋_GB2312" w:hAnsi="宋体"/>
          <w:spacing w:val="-4"/>
          <w:sz w:val="28"/>
        </w:rPr>
        <w:t>9</w:t>
      </w:r>
      <w:r>
        <w:rPr>
          <w:rFonts w:ascii="仿宋_GB2312" w:eastAsia="仿宋_GB2312" w:hAnsi="宋体" w:hint="eastAsia"/>
          <w:spacing w:val="-4"/>
          <w:sz w:val="28"/>
        </w:rPr>
        <w:t>宗，约</w:t>
      </w:r>
      <w:r>
        <w:rPr>
          <w:rFonts w:ascii="仿宋_GB2312" w:eastAsia="仿宋_GB2312" w:hAnsi="宋体"/>
          <w:spacing w:val="-4"/>
          <w:sz w:val="28"/>
        </w:rPr>
        <w:t>309.9</w:t>
      </w:r>
      <w:r>
        <w:rPr>
          <w:rFonts w:ascii="仿宋_GB2312" w:eastAsia="仿宋_GB2312" w:hAnsi="宋体" w:hint="eastAsia"/>
          <w:spacing w:val="-4"/>
          <w:sz w:val="28"/>
        </w:rPr>
        <w:t>亩；漾濞县</w:t>
      </w:r>
      <w:r>
        <w:rPr>
          <w:rFonts w:ascii="仿宋_GB2312" w:eastAsia="仿宋_GB2312" w:hAnsi="宋体"/>
          <w:spacing w:val="-4"/>
          <w:sz w:val="28"/>
        </w:rPr>
        <w:t>8</w:t>
      </w:r>
      <w:r>
        <w:rPr>
          <w:rFonts w:ascii="仿宋_GB2312" w:eastAsia="仿宋_GB2312" w:hAnsi="宋体" w:hint="eastAsia"/>
          <w:spacing w:val="-4"/>
          <w:sz w:val="28"/>
        </w:rPr>
        <w:t>宗，约</w:t>
      </w:r>
      <w:r>
        <w:rPr>
          <w:rFonts w:ascii="仿宋_GB2312" w:eastAsia="仿宋_GB2312" w:hAnsi="宋体"/>
          <w:spacing w:val="-4"/>
          <w:sz w:val="28"/>
        </w:rPr>
        <w:t>246.5</w:t>
      </w:r>
      <w:r>
        <w:rPr>
          <w:rFonts w:ascii="仿宋_GB2312" w:eastAsia="仿宋_GB2312" w:hAnsi="宋体" w:hint="eastAsia"/>
          <w:spacing w:val="-4"/>
          <w:sz w:val="28"/>
        </w:rPr>
        <w:t>亩；祥云县</w:t>
      </w:r>
      <w:r>
        <w:rPr>
          <w:rFonts w:ascii="仿宋_GB2312" w:eastAsia="仿宋_GB2312" w:hAnsi="宋体"/>
          <w:spacing w:val="-4"/>
          <w:sz w:val="28"/>
        </w:rPr>
        <w:t>7</w:t>
      </w:r>
      <w:r>
        <w:rPr>
          <w:rFonts w:ascii="仿宋_GB2312" w:eastAsia="仿宋_GB2312" w:hAnsi="宋体" w:hint="eastAsia"/>
          <w:spacing w:val="-4"/>
          <w:sz w:val="28"/>
        </w:rPr>
        <w:t>宗，约</w:t>
      </w:r>
      <w:r>
        <w:rPr>
          <w:rFonts w:ascii="仿宋_GB2312" w:eastAsia="仿宋_GB2312" w:hAnsi="宋体"/>
          <w:spacing w:val="-4"/>
          <w:sz w:val="28"/>
        </w:rPr>
        <w:t>241.4</w:t>
      </w:r>
      <w:r>
        <w:rPr>
          <w:rFonts w:ascii="仿宋_GB2312" w:eastAsia="仿宋_GB2312" w:hAnsi="宋体" w:hint="eastAsia"/>
          <w:spacing w:val="-4"/>
          <w:sz w:val="28"/>
        </w:rPr>
        <w:t>亩。宾川县</w:t>
      </w:r>
      <w:r>
        <w:rPr>
          <w:rFonts w:ascii="仿宋_GB2312" w:eastAsia="仿宋_GB2312" w:hAnsi="宋体"/>
          <w:spacing w:val="-4"/>
          <w:sz w:val="28"/>
        </w:rPr>
        <w:t>1-6</w:t>
      </w:r>
      <w:r>
        <w:rPr>
          <w:rFonts w:ascii="仿宋_GB2312" w:eastAsia="仿宋_GB2312" w:hAnsi="宋体" w:hint="eastAsia"/>
          <w:spacing w:val="-4"/>
          <w:sz w:val="28"/>
        </w:rPr>
        <w:t>月份仅</w:t>
      </w:r>
      <w:r>
        <w:rPr>
          <w:rFonts w:ascii="仿宋_GB2312" w:eastAsia="仿宋_GB2312" w:hAnsi="宋体"/>
          <w:spacing w:val="-4"/>
          <w:sz w:val="28"/>
        </w:rPr>
        <w:t>1</w:t>
      </w:r>
      <w:r>
        <w:rPr>
          <w:rFonts w:ascii="仿宋_GB2312" w:eastAsia="仿宋_GB2312" w:hAnsi="宋体" w:hint="eastAsia"/>
          <w:spacing w:val="-4"/>
          <w:sz w:val="28"/>
        </w:rPr>
        <w:t>月土地成交</w:t>
      </w:r>
      <w:r>
        <w:rPr>
          <w:rFonts w:ascii="仿宋_GB2312" w:eastAsia="仿宋_GB2312" w:hAnsi="宋体"/>
          <w:spacing w:val="-4"/>
          <w:sz w:val="28"/>
        </w:rPr>
        <w:t>1</w:t>
      </w:r>
      <w:r>
        <w:rPr>
          <w:rFonts w:ascii="仿宋_GB2312" w:eastAsia="仿宋_GB2312" w:hAnsi="宋体" w:hint="eastAsia"/>
          <w:spacing w:val="-4"/>
          <w:sz w:val="28"/>
        </w:rPr>
        <w:t>宗，面积约</w:t>
      </w:r>
      <w:r>
        <w:rPr>
          <w:rFonts w:ascii="仿宋_GB2312" w:eastAsia="仿宋_GB2312" w:hAnsi="宋体"/>
          <w:spacing w:val="-4"/>
          <w:sz w:val="28"/>
        </w:rPr>
        <w:t>65.064</w:t>
      </w:r>
      <w:r>
        <w:rPr>
          <w:rFonts w:ascii="仿宋_GB2312" w:eastAsia="仿宋_GB2312" w:hAnsi="宋体" w:hint="eastAsia"/>
          <w:spacing w:val="-4"/>
          <w:sz w:val="28"/>
        </w:rPr>
        <w:t>亩，成交价格</w:t>
      </w:r>
      <w:r>
        <w:rPr>
          <w:rFonts w:ascii="仿宋_GB2312" w:eastAsia="仿宋_GB2312" w:hAnsi="宋体"/>
          <w:spacing w:val="-4"/>
          <w:sz w:val="28"/>
        </w:rPr>
        <w:t>13540</w:t>
      </w:r>
      <w:r>
        <w:rPr>
          <w:rFonts w:ascii="仿宋_GB2312" w:eastAsia="仿宋_GB2312" w:hAnsi="宋体" w:hint="eastAsia"/>
          <w:spacing w:val="-4"/>
          <w:sz w:val="28"/>
        </w:rPr>
        <w:t>万元，其他月份无土地成交。从整体来看，</w:t>
      </w:r>
      <w:r>
        <w:rPr>
          <w:rFonts w:ascii="仿宋_GB2312" w:eastAsia="仿宋_GB2312" w:hAnsi="宋体"/>
          <w:spacing w:val="-4"/>
          <w:sz w:val="28"/>
        </w:rPr>
        <w:t>2019</w:t>
      </w:r>
      <w:r>
        <w:rPr>
          <w:rFonts w:ascii="仿宋_GB2312" w:eastAsia="仿宋_GB2312" w:hAnsi="宋体" w:hint="eastAsia"/>
          <w:spacing w:val="-4"/>
          <w:sz w:val="28"/>
        </w:rPr>
        <w:t>年上半年大理市土地市场低迷，仅</w:t>
      </w:r>
      <w:r>
        <w:rPr>
          <w:rFonts w:ascii="仿宋_GB2312" w:eastAsia="仿宋_GB2312" w:hAnsi="宋体"/>
          <w:spacing w:val="-4"/>
          <w:sz w:val="28"/>
        </w:rPr>
        <w:t>2</w:t>
      </w:r>
      <w:r>
        <w:rPr>
          <w:rFonts w:ascii="仿宋_GB2312" w:eastAsia="仿宋_GB2312" w:hAnsi="宋体" w:hint="eastAsia"/>
          <w:spacing w:val="-4"/>
          <w:sz w:val="28"/>
        </w:rPr>
        <w:t>月份、</w:t>
      </w:r>
      <w:r>
        <w:rPr>
          <w:rFonts w:ascii="仿宋_GB2312" w:eastAsia="仿宋_GB2312" w:hAnsi="宋体"/>
          <w:spacing w:val="-4"/>
          <w:sz w:val="28"/>
        </w:rPr>
        <w:t>5</w:t>
      </w:r>
      <w:r>
        <w:rPr>
          <w:rFonts w:ascii="仿宋_GB2312" w:eastAsia="仿宋_GB2312" w:hAnsi="宋体" w:hint="eastAsia"/>
          <w:spacing w:val="-4"/>
          <w:sz w:val="28"/>
        </w:rPr>
        <w:t>月份有土地成交，且土地量小，从公布的土地数据分析，未来几年大理市主城区的新房供应还是短缺，市区新房紧张的状况还是加剧。</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（六）小结</w:t>
      </w:r>
    </w:p>
    <w:p w:rsidR="007C13F5" w:rsidRDefault="007C13F5">
      <w:pPr>
        <w:spacing w:beforeLines="50" w:line="360" w:lineRule="auto"/>
        <w:ind w:firstLineChars="200" w:firstLine="31680"/>
        <w:rPr>
          <w:rFonts w:ascii="仿宋_GB2312" w:eastAsia="仿宋_GB2312" w:hAnsi="宋体"/>
          <w:bCs/>
          <w:spacing w:val="-4"/>
          <w:sz w:val="28"/>
        </w:rPr>
      </w:pPr>
      <w:r>
        <w:rPr>
          <w:rFonts w:ascii="仿宋_GB2312" w:eastAsia="仿宋_GB2312" w:hAnsi="宋体"/>
          <w:spacing w:val="-4"/>
          <w:sz w:val="28"/>
        </w:rPr>
        <w:t>2020</w:t>
      </w:r>
      <w:r>
        <w:rPr>
          <w:rFonts w:ascii="仿宋_GB2312" w:eastAsia="仿宋_GB2312" w:hAnsi="宋体" w:hint="eastAsia"/>
          <w:spacing w:val="-4"/>
          <w:sz w:val="28"/>
        </w:rPr>
        <w:t>年，房地产调控将注重多方面的平衡，先行指标已结束持续上涨周期进入调整区间，房价面临震荡压力。预计</w:t>
      </w:r>
      <w:r>
        <w:rPr>
          <w:rFonts w:ascii="仿宋_GB2312" w:eastAsia="仿宋_GB2312" w:hAnsi="宋体"/>
          <w:spacing w:val="-4"/>
          <w:sz w:val="28"/>
        </w:rPr>
        <w:t xml:space="preserve"> 2020 </w:t>
      </w:r>
      <w:r>
        <w:rPr>
          <w:rFonts w:ascii="仿宋_GB2312" w:eastAsia="仿宋_GB2312" w:hAnsi="宋体" w:hint="eastAsia"/>
          <w:spacing w:val="-4"/>
          <w:sz w:val="28"/>
        </w:rPr>
        <w:t>年房价水平将有所松动，但鉴于销售规模仍有量价支撑，且调控灵活变动以“稳”为目标，价格水平大概率可维持稳中震荡局面。需求愈发理性，房企积极让价促成交，各线城市房价均存在震荡空间，三四线压力突出。</w:t>
      </w:r>
      <w:r>
        <w:rPr>
          <w:rFonts w:ascii="仿宋_GB2312" w:eastAsia="仿宋_GB2312" w:hAnsi="宋体" w:hint="eastAsia"/>
          <w:bCs/>
          <w:spacing w:val="-4"/>
          <w:sz w:val="28"/>
        </w:rPr>
        <w:t>预计全国商品房整体销售规模将延续小幅调整趋势，模型测算降幅在</w:t>
      </w:r>
      <w:r>
        <w:rPr>
          <w:rFonts w:ascii="仿宋_GB2312" w:eastAsia="仿宋_GB2312" w:hAnsi="宋体"/>
          <w:bCs/>
          <w:spacing w:val="-4"/>
          <w:sz w:val="28"/>
        </w:rPr>
        <w:t xml:space="preserve"> 5.0%-6.5%</w:t>
      </w:r>
      <w:r>
        <w:rPr>
          <w:rFonts w:ascii="仿宋_GB2312" w:eastAsia="仿宋_GB2312" w:hAnsi="宋体" w:hint="eastAsia"/>
          <w:bCs/>
          <w:spacing w:val="-4"/>
          <w:sz w:val="28"/>
        </w:rPr>
        <w:t>之间。</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大理市主城区即下关片区未来物业将以高层住宅为主，城市综合体仍是未来开发的主要模式，旧城改造的完成将有效提升大理商业品质和档次规模；下关主城区住宅仍然以本地客户为主。</w:t>
      </w:r>
      <w:r>
        <w:rPr>
          <w:rFonts w:ascii="仿宋_GB2312" w:eastAsia="仿宋_GB2312" w:hAnsi="宋体"/>
          <w:spacing w:val="-4"/>
          <w:sz w:val="28"/>
        </w:rPr>
        <w:t>90-144</w:t>
      </w:r>
      <w:r>
        <w:rPr>
          <w:rFonts w:ascii="仿宋_GB2312" w:eastAsia="仿宋_GB2312" w:hAnsi="宋体" w:hint="eastAsia"/>
          <w:spacing w:val="-4"/>
          <w:sz w:val="28"/>
        </w:rPr>
        <w:t>平方米的住宅是本地客户购买的主力产品，</w:t>
      </w:r>
      <w:r>
        <w:rPr>
          <w:rFonts w:ascii="仿宋_GB2312" w:eastAsia="仿宋_GB2312" w:hAnsi="宋体"/>
          <w:spacing w:val="-4"/>
          <w:sz w:val="28"/>
        </w:rPr>
        <w:t>50</w:t>
      </w:r>
      <w:r>
        <w:rPr>
          <w:rFonts w:ascii="仿宋_GB2312" w:eastAsia="仿宋_GB2312" w:hAnsi="宋体" w:hint="eastAsia"/>
          <w:spacing w:val="-4"/>
          <w:sz w:val="28"/>
        </w:rPr>
        <w:t>平方米左右的公寓以及别墅类产品主要作为投资性产品，对外地客户推售。别墅类物业几乎以外销为主，在市场供应结构中占有重要比例，供应量和普通住宅相当，其市场好坏取决于大理旅游开发及运营能力。</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普通住宅开发量大，内销性产品存在竞争，旧城改造项目完成后会有一定冲击和降温，大理城区呈带状构成，导致生活流线过长，部分区域配套相对落后，大理市缺乏业态全面的商业中心，跟随经济开发区以及城北片区人口增多，形成新的区域商业中心开发条件。</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海南全域限购对大理房价推动效应很明显。近几年大理房价一直咬紧昆明，从大理涨幅中可以看出作为云南旅居地产的代表区域，大理确实有一定的投资价值。从大理整体规划上看，这几年变动较大，政策一直有反复，尤其大理环洱海民宿的整体拆迁处置并不算妥当，属于缺乏连贯的、可持续的、有条理的城市规划的混乱城市典范。</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随着</w:t>
      </w:r>
      <w:r>
        <w:rPr>
          <w:rFonts w:ascii="仿宋_GB2312" w:eastAsia="仿宋_GB2312" w:hAnsi="宋体"/>
          <w:spacing w:val="-4"/>
          <w:sz w:val="28"/>
        </w:rPr>
        <w:t>2017</w:t>
      </w:r>
      <w:r>
        <w:rPr>
          <w:rFonts w:ascii="仿宋_GB2312" w:eastAsia="仿宋_GB2312" w:hAnsi="宋体" w:hint="eastAsia"/>
          <w:spacing w:val="-4"/>
          <w:sz w:val="28"/>
        </w:rPr>
        <w:t>年大理动车开通，民宿客栈被限制，从</w:t>
      </w:r>
      <w:r>
        <w:rPr>
          <w:rFonts w:ascii="仿宋_GB2312" w:eastAsia="仿宋_GB2312" w:hAnsi="宋体"/>
          <w:spacing w:val="-4"/>
          <w:sz w:val="28"/>
        </w:rPr>
        <w:t>2017</w:t>
      </w:r>
      <w:r>
        <w:rPr>
          <w:rFonts w:ascii="仿宋_GB2312" w:eastAsia="仿宋_GB2312" w:hAnsi="宋体" w:hint="eastAsia"/>
          <w:spacing w:val="-4"/>
          <w:sz w:val="28"/>
        </w:rPr>
        <w:t>年开始，大理市房价连续</w:t>
      </w:r>
      <w:r>
        <w:rPr>
          <w:rFonts w:ascii="仿宋_GB2312" w:eastAsia="仿宋_GB2312" w:hAnsi="宋体"/>
          <w:spacing w:val="-4"/>
          <w:sz w:val="28"/>
        </w:rPr>
        <w:t>3</w:t>
      </w:r>
      <w:r>
        <w:rPr>
          <w:rFonts w:ascii="仿宋_GB2312" w:eastAsia="仿宋_GB2312" w:hAnsi="宋体" w:hint="eastAsia"/>
          <w:spacing w:val="-4"/>
          <w:sz w:val="28"/>
        </w:rPr>
        <w:t>年上涨，尤其</w:t>
      </w:r>
      <w:r>
        <w:rPr>
          <w:rFonts w:ascii="仿宋_GB2312" w:eastAsia="仿宋_GB2312" w:hAnsi="宋体"/>
          <w:spacing w:val="-4"/>
          <w:sz w:val="28"/>
        </w:rPr>
        <w:t>2018</w:t>
      </w:r>
      <w:r>
        <w:rPr>
          <w:rFonts w:ascii="仿宋_GB2312" w:eastAsia="仿宋_GB2312" w:hAnsi="宋体" w:hint="eastAsia"/>
          <w:spacing w:val="-4"/>
          <w:sz w:val="28"/>
        </w:rPr>
        <w:t>、</w:t>
      </w:r>
      <w:r>
        <w:rPr>
          <w:rFonts w:ascii="仿宋_GB2312" w:eastAsia="仿宋_GB2312" w:hAnsi="宋体"/>
          <w:spacing w:val="-4"/>
          <w:sz w:val="28"/>
        </w:rPr>
        <w:t>2019</w:t>
      </w:r>
      <w:r>
        <w:rPr>
          <w:rFonts w:ascii="仿宋_GB2312" w:eastAsia="仿宋_GB2312" w:hAnsi="宋体" w:hint="eastAsia"/>
          <w:spacing w:val="-4"/>
          <w:sz w:val="28"/>
        </w:rPr>
        <w:t>年涨幅较大，主要原因有宏观房地产市场环境的影响和大理市旧城改造项目释放出的本地客户的极大购买力，以及大理旅游地产的蓬勃发展。今年随着疫情忧患，世界经济的衰退，整个宏观经济发展降速、预计大理市房地产市场涨幅缩小，将会以维稳为主，波动幅度不大。</w:t>
      </w:r>
    </w:p>
    <w:p w:rsidR="007C13F5" w:rsidRDefault="007C13F5">
      <w:pPr>
        <w:pStyle w:val="Heading2"/>
        <w:rPr>
          <w:rFonts w:ascii="仿宋_GB2312" w:eastAsia="仿宋_GB2312"/>
          <w:sz w:val="28"/>
          <w:szCs w:val="28"/>
        </w:rPr>
      </w:pPr>
      <w:r>
        <w:rPr>
          <w:rFonts w:ascii="仿宋_GB2312" w:eastAsia="仿宋_GB2312" w:hint="eastAsia"/>
          <w:sz w:val="28"/>
          <w:szCs w:val="28"/>
        </w:rPr>
        <w:t>五、最高最佳利用分析</w:t>
      </w:r>
      <w:bookmarkEnd w:id="21"/>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最高最佳利用原则是指房地产估价要以估价对象达到最高最佳利用状态为前提。它是估价对象的一种最可能的使用状态，这种使用状态是法律上允许、技术上可能、经济上可行，并能给估价对象带来经济利益最大化的状态。判断估价对象是否处于最高最佳利用状态下列几个方面考虑：</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1. </w:t>
      </w:r>
      <w:r>
        <w:rPr>
          <w:rFonts w:ascii="仿宋_GB2312" w:eastAsia="仿宋_GB2312" w:hAnsi="宋体" w:hint="eastAsia"/>
          <w:spacing w:val="-4"/>
          <w:sz w:val="28"/>
        </w:rPr>
        <w:t>法律上允许。该使用状态不违反规划及相关政策法规的规定；</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2. </w:t>
      </w:r>
      <w:r>
        <w:rPr>
          <w:rFonts w:ascii="仿宋_GB2312" w:eastAsia="仿宋_GB2312" w:hAnsi="宋体" w:hint="eastAsia"/>
          <w:spacing w:val="-4"/>
          <w:sz w:val="28"/>
        </w:rPr>
        <w:t>技术上可能。现有生产技术能够满足该使用状态的需要；</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3. </w:t>
      </w:r>
      <w:r>
        <w:rPr>
          <w:rFonts w:ascii="仿宋_GB2312" w:eastAsia="仿宋_GB2312" w:hAnsi="宋体" w:hint="eastAsia"/>
          <w:spacing w:val="-4"/>
          <w:sz w:val="28"/>
        </w:rPr>
        <w:t>经济上可行。该使用状态能获取最大经济利益；</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4. </w:t>
      </w:r>
      <w:r>
        <w:rPr>
          <w:rFonts w:ascii="仿宋_GB2312" w:eastAsia="仿宋_GB2312" w:hAnsi="宋体" w:hint="eastAsia"/>
          <w:spacing w:val="-4"/>
          <w:sz w:val="28"/>
        </w:rPr>
        <w:t>最佳集约度。重要指土地与建筑物的均衡性、房地产与周围环境的协调性和可持续发展性。</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通过分析估价对象的地理位置、周边自然与人文环境及规划条件的限制，估价对象证载用途为住宅，实际用途为住宅，我们认为估价对象以保持现状用途持续使用为前提即符合最高最佳利用原则。</w:t>
      </w:r>
    </w:p>
    <w:p w:rsidR="007C13F5" w:rsidRDefault="007C13F5">
      <w:pPr>
        <w:pStyle w:val="Heading2"/>
        <w:rPr>
          <w:rFonts w:ascii="仿宋_GB2312" w:eastAsia="仿宋_GB2312"/>
          <w:sz w:val="28"/>
          <w:szCs w:val="28"/>
        </w:rPr>
      </w:pPr>
      <w:bookmarkStart w:id="22" w:name="_Toc499890268"/>
      <w:r>
        <w:rPr>
          <w:rFonts w:ascii="仿宋_GB2312" w:eastAsia="仿宋_GB2312" w:hint="eastAsia"/>
          <w:sz w:val="28"/>
          <w:szCs w:val="28"/>
        </w:rPr>
        <w:t>六、估价方法的选用</w:t>
      </w:r>
      <w:bookmarkEnd w:id="22"/>
    </w:p>
    <w:p w:rsidR="007C13F5" w:rsidRDefault="007C13F5">
      <w:pPr>
        <w:spacing w:beforeLines="50" w:line="360" w:lineRule="auto"/>
        <w:ind w:firstLineChars="200" w:firstLine="31680"/>
        <w:rPr>
          <w:rFonts w:ascii="仿宋_GB2312" w:eastAsia="仿宋_GB2312" w:hAnsi="宋体"/>
          <w:spacing w:val="-4"/>
          <w:sz w:val="28"/>
        </w:rPr>
      </w:pPr>
      <w:bookmarkStart w:id="23" w:name="_Toc499890269"/>
      <w:r>
        <w:rPr>
          <w:rFonts w:ascii="仿宋_GB2312" w:eastAsia="仿宋_GB2312" w:hAnsi="宋体" w:hint="eastAsia"/>
          <w:spacing w:val="-4"/>
          <w:sz w:val="28"/>
        </w:rPr>
        <w:t>（一）估价方法的选取</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房地产估价的基本方法有比较法、收益法、成本法、假设开发法，针对不同的估价目的和估价对象的状况的不同选用适宜的估价方法。</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比较法是选取一定数量发生过交易且符合一定条件的与估价对象相似的房地产，然后将它们与估价对象进行比较，对它们的成交价值进行适当的处理来求取估价对象价值的方法。适用条件是具有交易性的房地产，使用的条件是在同一供求范围内并在价值时点的近期，存在着较多类似的房地产交易。现阶段与估价对象类似的房地产交易案例较多，估价房地产在同等供求范围内可以找到规定数量满足要求的交易实例作为可比实例，并且经过调查验证，这些交易实例在一定程度上客观准确地反映了当前房地产市场的状况，体现出一部分房地产在当前时期的价值，通过对这些实例的各项因素（包括交易日期、交易情况、区域因素、实物因素、权益状况等）加以修正应可以得出估价对象当前时期的价值。</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收益法是预测估价对象未来的收益，然后利用报酬率或资本化率、收益乘数，将未来收益转化成价值来求取估价对象价值的方法。适用的对象是有收益或潜在收益的房地产。估价对象现状用途属于收益性房地产，但价值时点上该区域市场景气程度稍弱，难以客观量化估价对象未来客观净收益变化及其面临的风险，不适宜选用收益法。</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成本法是求取估价对象在价值时点的重新购建价值和折旧，然后将重新购建价值减去折旧来求取估价对象价值的方法。本质是以房地产的重新开发成本为导向来求取房地产的价值。理论依据是生产费用价值论。新近开发完成的房地产、可以假设重新开发的现有房地产、正在开发的房地产、计划开发的房地产都可以采用成本法估价。成本法多用于无收益或房地产市场发育不成熟，成交实例不多，不宜采用比较法、收益法、假设开发法进行估的情况下，故本报告不宜选用成本法进行估价。</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假设开发法是预测估价对象开发完成后的价值和后续开发的必要支出及应得利润，然后将开发完成后的价值减去后续开发的必要支出及应得利润来求取估价对象价值的方法。其理论论据与收益法相同，是预期原理。适合用于具有开发或再开发潜力且开发完成后的价值可以采用比较法、收益法等方法求取的待开发房地产。但由于估价对象所在小区已经开发完成，故本次估价不宜选用假设开发法进行估价。</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经过对几种基本估价方法的综合分析，并对实际情况加以综合考虑，采用比较法进行评估。理由如下：</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比较法是根据经济学替代原理，将鉴定对象房地产与在近期已经发生了交易的类似房地产加以比较对照，从已经发生了交易的类似房地产的已知价格，修正得出鉴定对象房地产价格的一种评估鉴定方法。估价对象同一供需圈内类似房地产的交易较多，容易找到可比案例，通过对可比案例进行调整及修正后，可得出估价对象的市场价格，故采用比较法。</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（二）选取的估价方法的基本公式表述如下</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比较法所采用的基本公式如下：</w:t>
      </w:r>
    </w:p>
    <w:p w:rsidR="007C13F5" w:rsidRDefault="007C13F5">
      <w:pPr>
        <w:spacing w:beforeLines="50" w:line="600" w:lineRule="exact"/>
        <w:ind w:left="273" w:firstLine="294"/>
        <w:rPr>
          <w:rFonts w:ascii="仿宋_GB2312" w:eastAsia="仿宋_GB2312" w:hAnsi="宋体"/>
          <w:sz w:val="28"/>
          <w:szCs w:val="28"/>
        </w:rPr>
      </w:pPr>
      <w:r>
        <w:rPr>
          <w:rFonts w:ascii="仿宋_GB2312" w:eastAsia="仿宋_GB2312" w:hAnsi="宋体"/>
          <w:spacing w:val="-4"/>
          <w:sz w:val="28"/>
          <w:szCs w:val="28"/>
        </w:rPr>
        <w:t>a.</w:t>
      </w:r>
      <w:r>
        <w:rPr>
          <w:rFonts w:ascii="仿宋_GB2312" w:eastAsia="仿宋_GB2312" w:hAnsi="宋体"/>
          <w:sz w:val="28"/>
          <w:szCs w:val="28"/>
        </w:rPr>
        <w:t xml:space="preserve"> </w:t>
      </w:r>
      <w:r>
        <w:rPr>
          <w:rFonts w:ascii="仿宋_GB2312" w:eastAsia="仿宋_GB2312" w:hAnsi="宋体" w:hint="eastAsia"/>
          <w:sz w:val="28"/>
          <w:szCs w:val="28"/>
        </w:rPr>
        <w:t>估价对象评估总价</w:t>
      </w:r>
      <w:r>
        <w:rPr>
          <w:rFonts w:ascii="仿宋_GB2312" w:eastAsia="仿宋_GB2312" w:hAnsi="宋体"/>
          <w:sz w:val="28"/>
          <w:szCs w:val="28"/>
        </w:rPr>
        <w:t>=</w:t>
      </w:r>
      <w:r>
        <w:rPr>
          <w:rFonts w:ascii="仿宋_GB2312" w:eastAsia="仿宋_GB2312" w:hAnsi="宋体" w:hint="eastAsia"/>
          <w:sz w:val="28"/>
          <w:szCs w:val="28"/>
        </w:rPr>
        <w:t>估价对象评估单价×估价对象建筑面积</w:t>
      </w:r>
      <w:r>
        <w:rPr>
          <w:rFonts w:ascii="仿宋_GB2312" w:eastAsia="仿宋_GB2312" w:hAnsi="宋体"/>
          <w:sz w:val="28"/>
          <w:szCs w:val="28"/>
        </w:rPr>
        <w:t xml:space="preserve">                  </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b. </w:t>
      </w:r>
      <w:r>
        <w:rPr>
          <w:rFonts w:ascii="仿宋_GB2312" w:eastAsia="仿宋_GB2312" w:hAnsi="宋体" w:hint="eastAsia"/>
          <w:spacing w:val="-4"/>
          <w:sz w:val="28"/>
        </w:rPr>
        <w:t>估价对象评估单价</w:t>
      </w:r>
      <w:r>
        <w:rPr>
          <w:rFonts w:ascii="仿宋_GB2312" w:eastAsia="仿宋_GB2312" w:hAnsi="宋体"/>
          <w:spacing w:val="-4"/>
          <w:sz w:val="28"/>
        </w:rPr>
        <w:t>=</w:t>
      </w:r>
      <w:r>
        <w:rPr>
          <w:rFonts w:ascii="仿宋_GB2312" w:eastAsia="仿宋_GB2312" w:hAnsi="宋体" w:hint="eastAsia"/>
          <w:spacing w:val="-4"/>
          <w:sz w:val="28"/>
        </w:rPr>
        <w:t>各可比实例比准价值之和÷可比实例数</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c. </w:t>
      </w:r>
      <w:r>
        <w:rPr>
          <w:rFonts w:ascii="仿宋_GB2312" w:eastAsia="仿宋_GB2312" w:hAnsi="宋体" w:hint="eastAsia"/>
          <w:spacing w:val="-4"/>
          <w:sz w:val="28"/>
        </w:rPr>
        <w:t>比准价值</w:t>
      </w:r>
      <w:r>
        <w:rPr>
          <w:rFonts w:ascii="仿宋_GB2312" w:eastAsia="仿宋_GB2312" w:hAnsi="宋体"/>
          <w:spacing w:val="-4"/>
          <w:sz w:val="28"/>
        </w:rPr>
        <w:t>=</w:t>
      </w:r>
      <w:r>
        <w:rPr>
          <w:rFonts w:ascii="仿宋_GB2312" w:eastAsia="仿宋_GB2312" w:hAnsi="宋体" w:hint="eastAsia"/>
          <w:spacing w:val="-4"/>
          <w:sz w:val="28"/>
        </w:rPr>
        <w:t>可比实例单价×总调整系数</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d. </w:t>
      </w:r>
      <w:r>
        <w:rPr>
          <w:rFonts w:ascii="仿宋_GB2312" w:eastAsia="仿宋_GB2312" w:hAnsi="宋体" w:hint="eastAsia"/>
          <w:spacing w:val="-4"/>
          <w:sz w:val="28"/>
        </w:rPr>
        <w:t>总调整系数</w:t>
      </w:r>
      <w:r>
        <w:rPr>
          <w:rFonts w:ascii="仿宋_GB2312" w:eastAsia="仿宋_GB2312" w:hAnsi="宋体"/>
          <w:spacing w:val="-4"/>
          <w:sz w:val="28"/>
        </w:rPr>
        <w:t>=</w:t>
      </w:r>
      <w:r>
        <w:rPr>
          <w:rFonts w:ascii="仿宋_GB2312" w:eastAsia="仿宋_GB2312" w:hAnsi="宋体" w:hint="eastAsia"/>
          <w:spacing w:val="-4"/>
          <w:sz w:val="28"/>
        </w:rPr>
        <w:t>交易情况调整系数×交易日期调整系数×权益状况调整系数×区域因素调整系数×实物因素调整系数</w:t>
      </w:r>
    </w:p>
    <w:p w:rsidR="007C13F5" w:rsidRDefault="007C13F5">
      <w:pPr>
        <w:pStyle w:val="Heading2"/>
        <w:rPr>
          <w:rFonts w:ascii="仿宋_GB2312" w:eastAsia="仿宋_GB2312"/>
          <w:sz w:val="28"/>
          <w:szCs w:val="28"/>
        </w:rPr>
      </w:pPr>
      <w:r>
        <w:rPr>
          <w:rFonts w:ascii="仿宋_GB2312" w:eastAsia="仿宋_GB2312" w:hint="eastAsia"/>
          <w:sz w:val="28"/>
          <w:szCs w:val="28"/>
        </w:rPr>
        <w:t>七、估价测算过程</w:t>
      </w:r>
      <w:bookmarkEnd w:id="23"/>
    </w:p>
    <w:p w:rsidR="007C13F5" w:rsidRDefault="007C13F5">
      <w:pPr>
        <w:spacing w:beforeLines="50" w:line="360" w:lineRule="auto"/>
        <w:ind w:firstLineChars="200" w:firstLine="31680"/>
        <w:rPr>
          <w:rFonts w:ascii="仿宋_GB2312" w:eastAsia="仿宋_GB2312" w:hAnsi="宋体"/>
          <w:b/>
          <w:spacing w:val="-4"/>
          <w:sz w:val="28"/>
        </w:rPr>
      </w:pPr>
      <w:r>
        <w:rPr>
          <w:rFonts w:ascii="仿宋_GB2312" w:eastAsia="仿宋_GB2312" w:hAnsi="宋体" w:hint="eastAsia"/>
          <w:b/>
          <w:spacing w:val="-4"/>
          <w:sz w:val="28"/>
        </w:rPr>
        <w:t>（一）比较法</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本次估价确定采用比较法中的直接比较法对估价对象进行各因素对比，分别得出交易情况修正系数、交易日期调整系数、区域因素调整系数及实物因素调整系数，然后运用各项因素调整系数连乘式计算比准价格，最终确定估价对象评估价格。</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所采用公式表达如下：</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估价对象评估总价</w:t>
      </w:r>
      <w:r>
        <w:rPr>
          <w:rFonts w:ascii="仿宋_GB2312" w:eastAsia="仿宋_GB2312" w:hAnsi="宋体"/>
          <w:spacing w:val="-4"/>
          <w:sz w:val="28"/>
        </w:rPr>
        <w:t>=</w:t>
      </w:r>
      <w:r>
        <w:rPr>
          <w:rFonts w:ascii="仿宋_GB2312" w:eastAsia="仿宋_GB2312" w:hAnsi="宋体" w:hint="eastAsia"/>
          <w:spacing w:val="-4"/>
          <w:sz w:val="28"/>
        </w:rPr>
        <w:t>估价对象评估单价×估价对象建筑面积</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其中：</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a. </w:t>
      </w:r>
      <w:r>
        <w:rPr>
          <w:rFonts w:ascii="仿宋_GB2312" w:eastAsia="仿宋_GB2312" w:hAnsi="宋体" w:hint="eastAsia"/>
          <w:spacing w:val="-4"/>
          <w:sz w:val="28"/>
        </w:rPr>
        <w:t>估价对象评估单价</w:t>
      </w:r>
      <w:r>
        <w:rPr>
          <w:rFonts w:ascii="仿宋_GB2312" w:eastAsia="仿宋_GB2312" w:hAnsi="宋体"/>
          <w:spacing w:val="-4"/>
          <w:sz w:val="28"/>
        </w:rPr>
        <w:t>=</w:t>
      </w:r>
      <w:r>
        <w:rPr>
          <w:rFonts w:ascii="仿宋_GB2312" w:eastAsia="仿宋_GB2312" w:hAnsi="宋体" w:hint="eastAsia"/>
          <w:spacing w:val="-4"/>
          <w:sz w:val="28"/>
        </w:rPr>
        <w:t>各可比实例比准价格之和÷可比实例个数</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b. </w:t>
      </w:r>
      <w:r>
        <w:rPr>
          <w:rFonts w:ascii="仿宋_GB2312" w:eastAsia="仿宋_GB2312" w:hAnsi="宋体" w:hint="eastAsia"/>
          <w:spacing w:val="-4"/>
          <w:sz w:val="28"/>
        </w:rPr>
        <w:t>比准价格</w:t>
      </w:r>
      <w:r>
        <w:rPr>
          <w:rFonts w:ascii="仿宋_GB2312" w:eastAsia="仿宋_GB2312" w:hAnsi="宋体"/>
          <w:spacing w:val="-4"/>
          <w:sz w:val="28"/>
        </w:rPr>
        <w:t>=</w:t>
      </w:r>
      <w:r>
        <w:rPr>
          <w:rFonts w:ascii="仿宋_GB2312" w:eastAsia="仿宋_GB2312" w:hAnsi="宋体" w:hint="eastAsia"/>
          <w:spacing w:val="-4"/>
          <w:sz w:val="28"/>
        </w:rPr>
        <w:t>可比实例单价×总调整系数</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c. </w:t>
      </w:r>
      <w:r>
        <w:rPr>
          <w:rFonts w:ascii="仿宋_GB2312" w:eastAsia="仿宋_GB2312" w:hAnsi="宋体" w:hint="eastAsia"/>
          <w:spacing w:val="-4"/>
          <w:sz w:val="28"/>
        </w:rPr>
        <w:t>总调整系数</w:t>
      </w:r>
      <w:r>
        <w:rPr>
          <w:rFonts w:ascii="仿宋_GB2312" w:eastAsia="仿宋_GB2312" w:hAnsi="宋体"/>
          <w:spacing w:val="-4"/>
          <w:sz w:val="28"/>
        </w:rPr>
        <w:t>=</w:t>
      </w:r>
      <w:r>
        <w:rPr>
          <w:rFonts w:ascii="仿宋_GB2312" w:eastAsia="仿宋_GB2312" w:hAnsi="宋体" w:hint="eastAsia"/>
          <w:spacing w:val="-4"/>
          <w:sz w:val="28"/>
        </w:rPr>
        <w:t>交易情况修正系数×交易日期调整系数×权益状况调整系数×区域因素调整系数×实物因素调整系数</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spacing w:val="-4"/>
          <w:sz w:val="28"/>
        </w:rPr>
        <w:t xml:space="preserve">1. </w:t>
      </w:r>
      <w:r>
        <w:rPr>
          <w:rFonts w:ascii="仿宋_GB2312" w:eastAsia="仿宋_GB2312" w:hAnsi="宋体" w:hint="eastAsia"/>
          <w:spacing w:val="-4"/>
          <w:sz w:val="28"/>
        </w:rPr>
        <w:t>选择可比实例</w:t>
      </w:r>
    </w:p>
    <w:p w:rsidR="007C13F5" w:rsidRDefault="007C13F5">
      <w:pPr>
        <w:spacing w:beforeLines="50" w:line="360" w:lineRule="auto"/>
        <w:ind w:firstLineChars="200" w:firstLine="31680"/>
        <w:rPr>
          <w:rFonts w:ascii="仿宋_GB2312" w:eastAsia="仿宋_GB2312" w:hAnsi="宋体"/>
          <w:spacing w:val="-4"/>
          <w:sz w:val="28"/>
        </w:rPr>
      </w:pPr>
      <w:r>
        <w:rPr>
          <w:rFonts w:ascii="仿宋_GB2312" w:eastAsia="仿宋_GB2312" w:hAnsi="宋体" w:hint="eastAsia"/>
          <w:spacing w:val="-4"/>
          <w:sz w:val="28"/>
        </w:rPr>
        <w:t>根据估价对象的用途、建筑规模、档次及坐落，经筛选确定</w:t>
      </w:r>
      <w:r>
        <w:rPr>
          <w:rFonts w:ascii="仿宋_GB2312" w:eastAsia="仿宋_GB2312" w:hAnsi="宋体"/>
          <w:spacing w:val="-4"/>
          <w:sz w:val="28"/>
        </w:rPr>
        <w:t>A</w:t>
      </w:r>
      <w:r>
        <w:rPr>
          <w:rFonts w:ascii="仿宋_GB2312" w:eastAsia="仿宋_GB2312" w:hAnsi="宋体" w:hint="eastAsia"/>
          <w:spacing w:val="-4"/>
          <w:sz w:val="28"/>
        </w:rPr>
        <w:t>、</w:t>
      </w:r>
      <w:r>
        <w:rPr>
          <w:rFonts w:ascii="仿宋_GB2312" w:eastAsia="仿宋_GB2312" w:hAnsi="宋体"/>
          <w:spacing w:val="-4"/>
          <w:sz w:val="28"/>
        </w:rPr>
        <w:t>B</w:t>
      </w:r>
      <w:r>
        <w:rPr>
          <w:rFonts w:ascii="仿宋_GB2312" w:eastAsia="仿宋_GB2312" w:hAnsi="宋体" w:hint="eastAsia"/>
          <w:spacing w:val="-4"/>
          <w:sz w:val="28"/>
        </w:rPr>
        <w:t>、</w:t>
      </w:r>
      <w:r>
        <w:rPr>
          <w:rFonts w:ascii="仿宋_GB2312" w:eastAsia="仿宋_GB2312" w:hAnsi="宋体"/>
          <w:spacing w:val="-4"/>
          <w:sz w:val="28"/>
        </w:rPr>
        <w:t>C</w:t>
      </w:r>
      <w:r>
        <w:rPr>
          <w:rFonts w:ascii="仿宋_GB2312" w:eastAsia="仿宋_GB2312" w:hAnsi="宋体" w:hint="eastAsia"/>
          <w:spacing w:val="-4"/>
          <w:sz w:val="28"/>
        </w:rPr>
        <w:t>三个可比实例（见表</w:t>
      </w:r>
      <w:r>
        <w:rPr>
          <w:rFonts w:ascii="仿宋_GB2312" w:eastAsia="仿宋_GB2312" w:hAnsi="宋体"/>
          <w:spacing w:val="-4"/>
          <w:sz w:val="28"/>
        </w:rPr>
        <w:t>1</w:t>
      </w:r>
      <w:r>
        <w:rPr>
          <w:rFonts w:ascii="仿宋_GB2312" w:eastAsia="仿宋_GB2312" w:hAnsi="宋体" w:hint="eastAsia"/>
          <w:spacing w:val="-4"/>
          <w:sz w:val="28"/>
        </w:rPr>
        <w:t>）</w:t>
      </w:r>
    </w:p>
    <w:p w:rsidR="007C13F5" w:rsidRDefault="007C13F5">
      <w:pPr>
        <w:jc w:val="center"/>
        <w:rPr>
          <w:rFonts w:ascii="仿宋_GB2312" w:eastAsia="仿宋_GB2312" w:hAnsi="宋体"/>
          <w:sz w:val="28"/>
          <w:szCs w:val="28"/>
        </w:rPr>
      </w:pPr>
      <w:r>
        <w:rPr>
          <w:rFonts w:ascii="仿宋_GB2312" w:eastAsia="仿宋_GB2312" w:hAnsi="宋体" w:hint="eastAsia"/>
          <w:sz w:val="28"/>
          <w:szCs w:val="28"/>
        </w:rPr>
        <w:t>表一</w:t>
      </w:r>
      <w:r>
        <w:rPr>
          <w:rFonts w:ascii="仿宋_GB2312" w:eastAsia="仿宋_GB2312" w:hAnsi="宋体"/>
          <w:sz w:val="28"/>
          <w:szCs w:val="28"/>
        </w:rPr>
        <w:t xml:space="preserve">   </w:t>
      </w:r>
      <w:r>
        <w:rPr>
          <w:rFonts w:ascii="仿宋_GB2312" w:eastAsia="仿宋_GB2312" w:hAnsi="宋体" w:hint="eastAsia"/>
          <w:sz w:val="28"/>
          <w:szCs w:val="28"/>
        </w:rPr>
        <w:t>可比实例基本情况一览表</w:t>
      </w:r>
    </w:p>
    <w:tbl>
      <w:tblPr>
        <w:tblW w:w="9072" w:type="dxa"/>
        <w:tblInd w:w="250" w:type="dxa"/>
        <w:tblLook w:val="00A0"/>
      </w:tblPr>
      <w:tblGrid>
        <w:gridCol w:w="2693"/>
        <w:gridCol w:w="2127"/>
        <w:gridCol w:w="2126"/>
        <w:gridCol w:w="2126"/>
      </w:tblGrid>
      <w:tr w:rsidR="007C13F5">
        <w:trPr>
          <w:trHeight w:val="270"/>
        </w:trPr>
        <w:tc>
          <w:tcPr>
            <w:tcW w:w="2693" w:type="dxa"/>
            <w:tcBorders>
              <w:top w:val="single" w:sz="4" w:space="0" w:color="auto"/>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 xml:space="preserve">　</w:t>
            </w:r>
          </w:p>
        </w:tc>
        <w:tc>
          <w:tcPr>
            <w:tcW w:w="2127" w:type="dxa"/>
            <w:tcBorders>
              <w:top w:val="single" w:sz="4" w:space="0" w:color="auto"/>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案例</w:t>
            </w:r>
            <w:r>
              <w:rPr>
                <w:rFonts w:ascii="仿宋_GB2312" w:eastAsia="仿宋_GB2312" w:hAnsi="宋体" w:cs="宋体"/>
                <w:color w:val="000000"/>
                <w:kern w:val="0"/>
                <w:sz w:val="22"/>
                <w:szCs w:val="22"/>
              </w:rPr>
              <w:t>A</w:t>
            </w:r>
          </w:p>
        </w:tc>
        <w:tc>
          <w:tcPr>
            <w:tcW w:w="2126" w:type="dxa"/>
            <w:tcBorders>
              <w:top w:val="single" w:sz="4" w:space="0" w:color="auto"/>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案例</w:t>
            </w:r>
            <w:r>
              <w:rPr>
                <w:rFonts w:ascii="仿宋_GB2312" w:eastAsia="仿宋_GB2312" w:hAnsi="宋体" w:cs="宋体"/>
                <w:color w:val="000000"/>
                <w:kern w:val="0"/>
                <w:sz w:val="22"/>
                <w:szCs w:val="22"/>
              </w:rPr>
              <w:t>B</w:t>
            </w:r>
          </w:p>
        </w:tc>
        <w:tc>
          <w:tcPr>
            <w:tcW w:w="2126" w:type="dxa"/>
            <w:tcBorders>
              <w:top w:val="single" w:sz="4" w:space="0" w:color="auto"/>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案例</w:t>
            </w:r>
            <w:r>
              <w:rPr>
                <w:rFonts w:ascii="仿宋_GB2312" w:eastAsia="仿宋_GB2312" w:hAnsi="宋体" w:cs="宋体"/>
                <w:color w:val="000000"/>
                <w:kern w:val="0"/>
                <w:sz w:val="22"/>
                <w:szCs w:val="22"/>
              </w:rPr>
              <w:t>C</w:t>
            </w:r>
          </w:p>
        </w:tc>
      </w:tr>
      <w:tr w:rsidR="007C13F5">
        <w:trPr>
          <w:trHeight w:val="270"/>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坐落</w:t>
            </w:r>
          </w:p>
        </w:tc>
        <w:tc>
          <w:tcPr>
            <w:tcW w:w="2127"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r>
      <w:tr w:rsidR="007C13F5">
        <w:trPr>
          <w:trHeight w:val="285"/>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4"/>
              </w:rPr>
              <w:t>建筑面积（</w:t>
            </w:r>
            <w:r>
              <w:rPr>
                <w:rFonts w:ascii="宋体" w:hAnsi="宋体" w:cs="宋体" w:hint="eastAsia"/>
                <w:color w:val="000000"/>
                <w:kern w:val="0"/>
                <w:sz w:val="24"/>
              </w:rPr>
              <w:t>㎡</w:t>
            </w:r>
            <w:r>
              <w:rPr>
                <w:rFonts w:ascii="仿宋_GB2312" w:eastAsia="仿宋_GB2312" w:hAnsi="宋体" w:cs="宋体" w:hint="eastAsia"/>
                <w:color w:val="000000"/>
                <w:kern w:val="0"/>
                <w:sz w:val="24"/>
              </w:rPr>
              <w:t>）</w:t>
            </w:r>
          </w:p>
        </w:tc>
        <w:tc>
          <w:tcPr>
            <w:tcW w:w="2127"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69.80 </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39.00 </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44.68 </w:t>
            </w:r>
          </w:p>
        </w:tc>
      </w:tr>
      <w:tr w:rsidR="007C13F5">
        <w:trPr>
          <w:trHeight w:val="270"/>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用途</w:t>
            </w:r>
          </w:p>
        </w:tc>
        <w:tc>
          <w:tcPr>
            <w:tcW w:w="2127"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c>
          <w:tcPr>
            <w:tcW w:w="212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c>
          <w:tcPr>
            <w:tcW w:w="212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r>
      <w:tr w:rsidR="007C13F5">
        <w:trPr>
          <w:trHeight w:val="270"/>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来源</w:t>
            </w:r>
          </w:p>
        </w:tc>
        <w:tc>
          <w:tcPr>
            <w:tcW w:w="2127"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中介</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中介</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中介</w:t>
            </w:r>
          </w:p>
        </w:tc>
      </w:tr>
      <w:tr w:rsidR="007C13F5">
        <w:trPr>
          <w:trHeight w:val="270"/>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交易情况</w:t>
            </w:r>
          </w:p>
        </w:tc>
        <w:tc>
          <w:tcPr>
            <w:tcW w:w="2127"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212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212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r>
      <w:tr w:rsidR="007C13F5">
        <w:trPr>
          <w:trHeight w:val="540"/>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是否存在特殊交易方式</w:t>
            </w:r>
          </w:p>
        </w:tc>
        <w:tc>
          <w:tcPr>
            <w:tcW w:w="2127"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否</w:t>
            </w:r>
          </w:p>
        </w:tc>
        <w:tc>
          <w:tcPr>
            <w:tcW w:w="212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否</w:t>
            </w:r>
          </w:p>
        </w:tc>
        <w:tc>
          <w:tcPr>
            <w:tcW w:w="212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否</w:t>
            </w:r>
          </w:p>
        </w:tc>
      </w:tr>
      <w:tr w:rsidR="007C13F5">
        <w:trPr>
          <w:trHeight w:val="285"/>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交易时间</w:t>
            </w:r>
          </w:p>
        </w:tc>
        <w:tc>
          <w:tcPr>
            <w:tcW w:w="2127"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2020-4</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2020-1</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2019-12</w:t>
            </w:r>
          </w:p>
        </w:tc>
      </w:tr>
      <w:tr w:rsidR="007C13F5">
        <w:trPr>
          <w:trHeight w:val="270"/>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权属情况</w:t>
            </w:r>
          </w:p>
        </w:tc>
        <w:tc>
          <w:tcPr>
            <w:tcW w:w="2127"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c>
          <w:tcPr>
            <w:tcW w:w="212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c>
          <w:tcPr>
            <w:tcW w:w="212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r>
      <w:tr w:rsidR="007C13F5">
        <w:trPr>
          <w:trHeight w:val="270"/>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装修程度</w:t>
            </w:r>
          </w:p>
        </w:tc>
        <w:tc>
          <w:tcPr>
            <w:tcW w:w="2127"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中装</w:t>
            </w:r>
          </w:p>
        </w:tc>
        <w:tc>
          <w:tcPr>
            <w:tcW w:w="212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普装</w:t>
            </w:r>
          </w:p>
        </w:tc>
        <w:tc>
          <w:tcPr>
            <w:tcW w:w="212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简装</w:t>
            </w:r>
          </w:p>
        </w:tc>
      </w:tr>
      <w:tr w:rsidR="007C13F5">
        <w:trPr>
          <w:trHeight w:val="285"/>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所在楼层</w:t>
            </w:r>
          </w:p>
        </w:tc>
        <w:tc>
          <w:tcPr>
            <w:tcW w:w="2127"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1-3/3</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1-2/2</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1-3/3</w:t>
            </w:r>
          </w:p>
        </w:tc>
      </w:tr>
      <w:tr w:rsidR="007C13F5">
        <w:trPr>
          <w:trHeight w:val="270"/>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朝向</w:t>
            </w:r>
          </w:p>
        </w:tc>
        <w:tc>
          <w:tcPr>
            <w:tcW w:w="2127"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东南向</w:t>
            </w:r>
          </w:p>
        </w:tc>
        <w:tc>
          <w:tcPr>
            <w:tcW w:w="212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西南向</w:t>
            </w:r>
          </w:p>
        </w:tc>
        <w:tc>
          <w:tcPr>
            <w:tcW w:w="212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东南向</w:t>
            </w:r>
          </w:p>
        </w:tc>
      </w:tr>
      <w:tr w:rsidR="007C13F5">
        <w:trPr>
          <w:trHeight w:val="285"/>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竣工时间</w:t>
            </w:r>
          </w:p>
        </w:tc>
        <w:tc>
          <w:tcPr>
            <w:tcW w:w="2127"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2009</w:t>
            </w:r>
            <w:r>
              <w:rPr>
                <w:rFonts w:ascii="仿宋_GB2312" w:eastAsia="仿宋_GB2312" w:hAnsi="宋体" w:cs="宋体" w:hint="eastAsia"/>
                <w:kern w:val="0"/>
                <w:sz w:val="24"/>
              </w:rPr>
              <w:t>年</w:t>
            </w:r>
          </w:p>
        </w:tc>
        <w:tc>
          <w:tcPr>
            <w:tcW w:w="212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2009</w:t>
            </w:r>
            <w:r>
              <w:rPr>
                <w:rFonts w:ascii="仿宋_GB2312" w:eastAsia="仿宋_GB2312" w:hAnsi="宋体" w:cs="宋体" w:hint="eastAsia"/>
                <w:kern w:val="0"/>
                <w:sz w:val="24"/>
              </w:rPr>
              <w:t>年</w:t>
            </w:r>
          </w:p>
        </w:tc>
        <w:tc>
          <w:tcPr>
            <w:tcW w:w="212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2009</w:t>
            </w:r>
            <w:r>
              <w:rPr>
                <w:rFonts w:ascii="仿宋_GB2312" w:eastAsia="仿宋_GB2312" w:hAnsi="宋体" w:cs="宋体" w:hint="eastAsia"/>
                <w:kern w:val="0"/>
                <w:sz w:val="24"/>
              </w:rPr>
              <w:t>年</w:t>
            </w:r>
          </w:p>
        </w:tc>
      </w:tr>
      <w:tr w:rsidR="007C13F5">
        <w:trPr>
          <w:trHeight w:val="285"/>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交易总价（万元）</w:t>
            </w:r>
          </w:p>
        </w:tc>
        <w:tc>
          <w:tcPr>
            <w:tcW w:w="2127"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130.00 </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65.00 </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80.00 </w:t>
            </w:r>
          </w:p>
        </w:tc>
      </w:tr>
      <w:tr w:rsidR="007C13F5">
        <w:trPr>
          <w:trHeight w:val="330"/>
        </w:trPr>
        <w:tc>
          <w:tcPr>
            <w:tcW w:w="2693" w:type="dxa"/>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交易单价（元</w:t>
            </w:r>
            <w:r>
              <w:rPr>
                <w:rFonts w:ascii="仿宋_GB2312" w:eastAsia="仿宋_GB2312" w:hAnsi="宋体" w:cs="宋体"/>
                <w:color w:val="000000"/>
                <w:kern w:val="0"/>
                <w:sz w:val="24"/>
              </w:rPr>
              <w:t>/m</w:t>
            </w:r>
            <w:r>
              <w:rPr>
                <w:rFonts w:ascii="仿宋_GB2312" w:eastAsia="仿宋_GB2312" w:hAnsi="宋体" w:cs="宋体"/>
                <w:color w:val="000000"/>
                <w:kern w:val="0"/>
                <w:sz w:val="24"/>
                <w:vertAlign w:val="superscript"/>
              </w:rPr>
              <w:t>2</w:t>
            </w:r>
            <w:r>
              <w:rPr>
                <w:rFonts w:ascii="仿宋_GB2312" w:eastAsia="仿宋_GB2312" w:hAnsi="宋体" w:cs="宋体" w:hint="eastAsia"/>
                <w:color w:val="000000"/>
                <w:kern w:val="0"/>
                <w:sz w:val="24"/>
              </w:rPr>
              <w:t>）</w:t>
            </w:r>
          </w:p>
        </w:tc>
        <w:tc>
          <w:tcPr>
            <w:tcW w:w="2127"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18,624.64 </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16,666.67 </w:t>
            </w:r>
          </w:p>
        </w:tc>
        <w:tc>
          <w:tcPr>
            <w:tcW w:w="212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17,905.10 </w:t>
            </w:r>
          </w:p>
        </w:tc>
      </w:tr>
    </w:tbl>
    <w:p w:rsidR="007C13F5" w:rsidRDefault="007C13F5" w:rsidP="007C13F5">
      <w:pPr>
        <w:ind w:firstLineChars="200" w:firstLine="31680"/>
        <w:rPr>
          <w:rFonts w:ascii="仿宋_GB2312" w:eastAsia="仿宋_GB2312" w:hAnsi="宋体"/>
          <w:sz w:val="28"/>
          <w:szCs w:val="28"/>
        </w:rPr>
      </w:pPr>
      <w:r>
        <w:rPr>
          <w:rFonts w:ascii="仿宋_GB2312" w:eastAsia="仿宋_GB2312" w:hAnsi="宋体" w:hint="eastAsia"/>
          <w:sz w:val="28"/>
          <w:szCs w:val="28"/>
        </w:rPr>
        <w:t>所选三个比较实例均为正常交易，无特殊交易情况，并且同处一个区域，区域因素相同，三个案例权属状况相同，交易日期和价值时点较为接近，故不需要进行交易情况修正、交易日期修正、权益状况修正以及区域因素修正，因此主要考虑实物因素进行修正。（详见因素条件评价表）</w:t>
      </w:r>
    </w:p>
    <w:p w:rsidR="007C13F5" w:rsidRDefault="007C13F5">
      <w:pPr>
        <w:ind w:firstLineChars="200" w:firstLine="31680"/>
        <w:jc w:val="center"/>
        <w:rPr>
          <w:rFonts w:ascii="仿宋_GB2312" w:eastAsia="仿宋_GB2312" w:hAnsi="宋体"/>
          <w:sz w:val="28"/>
          <w:szCs w:val="28"/>
        </w:rPr>
      </w:pPr>
      <w:r>
        <w:rPr>
          <w:rFonts w:ascii="仿宋_GB2312" w:eastAsia="仿宋_GB2312" w:hAnsi="宋体" w:hint="eastAsia"/>
          <w:sz w:val="28"/>
          <w:szCs w:val="28"/>
        </w:rPr>
        <w:t>表二</w:t>
      </w:r>
      <w:r>
        <w:rPr>
          <w:rFonts w:ascii="仿宋_GB2312" w:eastAsia="仿宋_GB2312" w:hAnsi="宋体"/>
          <w:sz w:val="28"/>
          <w:szCs w:val="28"/>
        </w:rPr>
        <w:t xml:space="preserve">  </w:t>
      </w:r>
      <w:r>
        <w:rPr>
          <w:rFonts w:ascii="仿宋_GB2312" w:eastAsia="仿宋_GB2312" w:hAnsi="宋体" w:hint="eastAsia"/>
          <w:sz w:val="28"/>
          <w:szCs w:val="28"/>
        </w:rPr>
        <w:t>因素条件评价表</w:t>
      </w:r>
    </w:p>
    <w:tbl>
      <w:tblPr>
        <w:tblW w:w="9639" w:type="dxa"/>
        <w:jc w:val="center"/>
        <w:tblInd w:w="392" w:type="dxa"/>
        <w:tblLook w:val="00A0"/>
      </w:tblPr>
      <w:tblGrid>
        <w:gridCol w:w="567"/>
        <w:gridCol w:w="2268"/>
        <w:gridCol w:w="1746"/>
        <w:gridCol w:w="1656"/>
        <w:gridCol w:w="1701"/>
        <w:gridCol w:w="1701"/>
      </w:tblGrid>
      <w:tr w:rsidR="007C13F5">
        <w:trPr>
          <w:trHeight w:val="285"/>
          <w:jc w:val="center"/>
        </w:trPr>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w:t>
            </w:r>
          </w:p>
        </w:tc>
        <w:tc>
          <w:tcPr>
            <w:tcW w:w="1746" w:type="dxa"/>
            <w:tcBorders>
              <w:top w:val="single" w:sz="4" w:space="0" w:color="auto"/>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估价对象</w:t>
            </w:r>
          </w:p>
        </w:tc>
        <w:tc>
          <w:tcPr>
            <w:tcW w:w="1656" w:type="dxa"/>
            <w:tcBorders>
              <w:top w:val="single" w:sz="4" w:space="0" w:color="auto"/>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实例</w:t>
            </w:r>
            <w:r>
              <w:rPr>
                <w:rFonts w:ascii="仿宋_GB2312" w:eastAsia="仿宋_GB2312" w:hAnsi="宋体" w:cs="宋体"/>
                <w:kern w:val="0"/>
                <w:sz w:val="24"/>
              </w:rPr>
              <w:t>A</w:t>
            </w:r>
          </w:p>
        </w:tc>
        <w:tc>
          <w:tcPr>
            <w:tcW w:w="1701" w:type="dxa"/>
            <w:tcBorders>
              <w:top w:val="single" w:sz="4" w:space="0" w:color="auto"/>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实例</w:t>
            </w:r>
            <w:r>
              <w:rPr>
                <w:rFonts w:ascii="仿宋_GB2312" w:eastAsia="仿宋_GB2312" w:hAnsi="宋体" w:cs="宋体"/>
                <w:kern w:val="0"/>
                <w:sz w:val="24"/>
              </w:rPr>
              <w:t>B</w:t>
            </w:r>
          </w:p>
        </w:tc>
        <w:tc>
          <w:tcPr>
            <w:tcW w:w="1701" w:type="dxa"/>
            <w:tcBorders>
              <w:top w:val="single" w:sz="4" w:space="0" w:color="auto"/>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实例</w:t>
            </w:r>
            <w:r>
              <w:rPr>
                <w:rFonts w:ascii="仿宋_GB2312" w:eastAsia="仿宋_GB2312" w:hAnsi="宋体" w:cs="宋体"/>
                <w:kern w:val="0"/>
                <w:sz w:val="24"/>
              </w:rPr>
              <w:t>C</w:t>
            </w:r>
          </w:p>
        </w:tc>
      </w:tr>
      <w:tr w:rsidR="007C13F5">
        <w:trPr>
          <w:trHeight w:val="300"/>
          <w:jc w:val="center"/>
        </w:trPr>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坐落</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r>
      <w:tr w:rsidR="007C13F5">
        <w:trPr>
          <w:trHeight w:val="285"/>
          <w:jc w:val="center"/>
        </w:trPr>
        <w:tc>
          <w:tcPr>
            <w:tcW w:w="2835" w:type="dxa"/>
            <w:gridSpan w:val="2"/>
            <w:tcBorders>
              <w:top w:val="single" w:sz="4" w:space="0" w:color="auto"/>
              <w:left w:val="single" w:sz="4" w:space="0" w:color="auto"/>
              <w:bottom w:val="single" w:sz="4" w:space="0" w:color="auto"/>
              <w:right w:val="single" w:sz="4" w:space="0" w:color="000000"/>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来源</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中介</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中介</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中介</w:t>
            </w:r>
          </w:p>
        </w:tc>
      </w:tr>
      <w:tr w:rsidR="007C13F5">
        <w:trPr>
          <w:trHeight w:val="285"/>
          <w:jc w:val="center"/>
        </w:trPr>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交易日期</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2020-4</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2020-1</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2019-12</w:t>
            </w:r>
          </w:p>
        </w:tc>
      </w:tr>
      <w:tr w:rsidR="007C13F5">
        <w:trPr>
          <w:trHeight w:val="285"/>
          <w:jc w:val="center"/>
        </w:trPr>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交易状况</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r>
      <w:tr w:rsidR="007C13F5">
        <w:trPr>
          <w:trHeight w:val="285"/>
          <w:jc w:val="center"/>
        </w:trPr>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权益状况</w:t>
            </w:r>
          </w:p>
        </w:tc>
        <w:tc>
          <w:tcPr>
            <w:tcW w:w="174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r>
      <w:tr w:rsidR="007C13F5">
        <w:trPr>
          <w:trHeight w:val="330"/>
          <w:jc w:val="center"/>
        </w:trPr>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建筑面积（</w:t>
            </w:r>
            <w:r>
              <w:rPr>
                <w:rFonts w:ascii="仿宋_GB2312" w:eastAsia="仿宋_GB2312" w:hAnsi="宋体" w:cs="宋体"/>
                <w:kern w:val="0"/>
                <w:sz w:val="24"/>
              </w:rPr>
              <w:t>m</w:t>
            </w:r>
            <w:r>
              <w:rPr>
                <w:rFonts w:ascii="仿宋_GB2312" w:eastAsia="仿宋_GB2312" w:hAnsi="宋体" w:cs="宋体"/>
                <w:kern w:val="0"/>
                <w:sz w:val="24"/>
                <w:vertAlign w:val="superscript"/>
              </w:rPr>
              <w:t>2</w:t>
            </w:r>
            <w:r>
              <w:rPr>
                <w:rFonts w:ascii="仿宋_GB2312" w:eastAsia="仿宋_GB2312" w:hAnsi="宋体" w:cs="宋体" w:hint="eastAsia"/>
                <w:color w:val="000000"/>
                <w:kern w:val="0"/>
                <w:sz w:val="22"/>
                <w:szCs w:val="22"/>
              </w:rPr>
              <w:t>）</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4"/>
              </w:rPr>
            </w:pPr>
            <w:r>
              <w:rPr>
                <w:rFonts w:ascii="仿宋_GB2312" w:eastAsia="仿宋_GB2312" w:hAnsi="宋体" w:cs="宋体"/>
                <w:color w:val="000000"/>
                <w:kern w:val="0"/>
                <w:sz w:val="24"/>
              </w:rPr>
              <w:t xml:space="preserve">44.58 </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69.80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39.00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44.68 </w:t>
            </w:r>
          </w:p>
        </w:tc>
      </w:tr>
      <w:tr w:rsidR="007C13F5">
        <w:trPr>
          <w:trHeight w:val="285"/>
          <w:jc w:val="center"/>
        </w:trPr>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用途</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r>
      <w:tr w:rsidR="007C13F5">
        <w:trPr>
          <w:trHeight w:val="285"/>
          <w:jc w:val="center"/>
        </w:trPr>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建筑结构</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砖混</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砖混</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砖混</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砖混</w:t>
            </w:r>
          </w:p>
        </w:tc>
      </w:tr>
      <w:tr w:rsidR="007C13F5">
        <w:trPr>
          <w:trHeight w:val="360"/>
          <w:jc w:val="center"/>
        </w:trPr>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所在楼层</w:t>
            </w:r>
            <w:r>
              <w:rPr>
                <w:rFonts w:ascii="仿宋_GB2312" w:eastAsia="仿宋_GB2312" w:hAnsi="宋体" w:cs="宋体"/>
                <w:kern w:val="0"/>
                <w:sz w:val="24"/>
              </w:rPr>
              <w:t>/</w:t>
            </w:r>
            <w:r>
              <w:rPr>
                <w:rFonts w:ascii="仿宋_GB2312" w:eastAsia="仿宋_GB2312" w:hAnsi="宋体" w:cs="宋体" w:hint="eastAsia"/>
                <w:color w:val="000000"/>
                <w:kern w:val="0"/>
                <w:sz w:val="22"/>
                <w:szCs w:val="22"/>
              </w:rPr>
              <w:t>总层数</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1-2/2</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1-3/3</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1-2/2</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1-3/3</w:t>
            </w:r>
          </w:p>
        </w:tc>
      </w:tr>
      <w:tr w:rsidR="007C13F5">
        <w:trPr>
          <w:trHeight w:val="315"/>
          <w:jc w:val="center"/>
        </w:trPr>
        <w:tc>
          <w:tcPr>
            <w:tcW w:w="2835" w:type="dxa"/>
            <w:gridSpan w:val="2"/>
            <w:tcBorders>
              <w:top w:val="single" w:sz="4" w:space="0" w:color="auto"/>
              <w:left w:val="single" w:sz="4" w:space="0" w:color="auto"/>
              <w:bottom w:val="single" w:sz="4" w:space="0" w:color="auto"/>
              <w:right w:val="single" w:sz="4" w:space="0" w:color="000000"/>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交易总价（万元）</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130.00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65.00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80.00 </w:t>
            </w:r>
          </w:p>
        </w:tc>
      </w:tr>
      <w:tr w:rsidR="007C13F5">
        <w:trPr>
          <w:trHeight w:val="360"/>
          <w:jc w:val="center"/>
        </w:trPr>
        <w:tc>
          <w:tcPr>
            <w:tcW w:w="2835" w:type="dxa"/>
            <w:gridSpan w:val="2"/>
            <w:tcBorders>
              <w:top w:val="single" w:sz="4" w:space="0" w:color="auto"/>
              <w:left w:val="single" w:sz="4" w:space="0" w:color="auto"/>
              <w:bottom w:val="single" w:sz="4" w:space="0" w:color="auto"/>
              <w:right w:val="single" w:sz="4" w:space="0" w:color="000000"/>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交易单价（元</w:t>
            </w:r>
            <w:r>
              <w:rPr>
                <w:rFonts w:ascii="仿宋_GB2312" w:eastAsia="仿宋_GB2312" w:hAnsi="宋体" w:cs="宋体"/>
                <w:color w:val="000000"/>
                <w:kern w:val="0"/>
                <w:sz w:val="22"/>
                <w:szCs w:val="22"/>
              </w:rPr>
              <w:t>/m2</w:t>
            </w:r>
            <w:r>
              <w:rPr>
                <w:rFonts w:ascii="仿宋_GB2312" w:eastAsia="仿宋_GB2312" w:hAnsi="宋体" w:cs="宋体" w:hint="eastAsia"/>
                <w:color w:val="000000"/>
                <w:kern w:val="0"/>
                <w:sz w:val="22"/>
                <w:szCs w:val="22"/>
              </w:rPr>
              <w:t>）</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18,624.64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16,666.67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17,905.10 </w:t>
            </w:r>
          </w:p>
        </w:tc>
      </w:tr>
      <w:tr w:rsidR="007C13F5">
        <w:trPr>
          <w:trHeight w:val="270"/>
          <w:jc w:val="center"/>
        </w:trPr>
        <w:tc>
          <w:tcPr>
            <w:tcW w:w="567" w:type="dxa"/>
            <w:vMerge w:val="restart"/>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区域因素</w:t>
            </w: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道路</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通畅</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公交</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便利</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自来水</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电力</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燃气</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无</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无</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无</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无</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通讯</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商业</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一般</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地段等级</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一般</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相同</w:t>
            </w:r>
          </w:p>
        </w:tc>
      </w:tr>
      <w:tr w:rsidR="007C13F5">
        <w:trPr>
          <w:trHeight w:val="30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学校</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大理镇二中</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大理镇二中</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大理镇二中</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大理镇二中</w:t>
            </w:r>
          </w:p>
        </w:tc>
      </w:tr>
      <w:tr w:rsidR="007C13F5">
        <w:trPr>
          <w:trHeight w:val="30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医院</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大理南山医院</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大理南山医院</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大理南山医院</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大理南山医院</w:t>
            </w:r>
          </w:p>
        </w:tc>
      </w:tr>
      <w:tr w:rsidR="007C13F5">
        <w:trPr>
          <w:trHeight w:val="54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公园</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苍山国家地质公园</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苍山国家地质公园</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苍山国家地质公园</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苍山国家地质公园</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治安</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较好</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相同</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环境卫生</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较好</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相同</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相同</w:t>
            </w:r>
          </w:p>
        </w:tc>
      </w:tr>
      <w:tr w:rsidR="007C13F5">
        <w:trPr>
          <w:trHeight w:val="285"/>
          <w:jc w:val="center"/>
        </w:trPr>
        <w:tc>
          <w:tcPr>
            <w:tcW w:w="567" w:type="dxa"/>
            <w:vMerge w:val="restart"/>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实物因素</w:t>
            </w: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建成年代</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2009</w:t>
            </w:r>
            <w:r>
              <w:rPr>
                <w:rFonts w:ascii="仿宋_GB2312" w:eastAsia="仿宋_GB2312" w:hAnsi="宋体" w:cs="宋体" w:hint="eastAsia"/>
                <w:kern w:val="0"/>
                <w:sz w:val="24"/>
              </w:rPr>
              <w:t>年</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2009</w:t>
            </w:r>
            <w:r>
              <w:rPr>
                <w:rFonts w:ascii="仿宋_GB2312" w:eastAsia="仿宋_GB2312" w:hAnsi="宋体" w:cs="宋体" w:hint="eastAsia"/>
                <w:kern w:val="0"/>
                <w:sz w:val="24"/>
              </w:rPr>
              <w:t>年</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2009</w:t>
            </w:r>
            <w:r>
              <w:rPr>
                <w:rFonts w:ascii="仿宋_GB2312" w:eastAsia="仿宋_GB2312" w:hAnsi="宋体" w:cs="宋体" w:hint="eastAsia"/>
                <w:kern w:val="0"/>
                <w:sz w:val="24"/>
              </w:rPr>
              <w:t>年</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2009</w:t>
            </w:r>
            <w:r>
              <w:rPr>
                <w:rFonts w:ascii="仿宋_GB2312" w:eastAsia="仿宋_GB2312" w:hAnsi="宋体" w:cs="宋体" w:hint="eastAsia"/>
                <w:kern w:val="0"/>
                <w:sz w:val="24"/>
              </w:rPr>
              <w:t>年</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用地强度</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低</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低</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低</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低</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是否有露台</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无</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有</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无</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有</w:t>
            </w:r>
          </w:p>
        </w:tc>
      </w:tr>
      <w:tr w:rsidR="007C13F5">
        <w:trPr>
          <w:trHeight w:val="285"/>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面积规模</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4"/>
              </w:rPr>
            </w:pPr>
            <w:r>
              <w:rPr>
                <w:rFonts w:ascii="仿宋_GB2312" w:eastAsia="仿宋_GB2312" w:hAnsi="宋体" w:cs="宋体"/>
                <w:color w:val="000000"/>
                <w:kern w:val="0"/>
                <w:sz w:val="24"/>
              </w:rPr>
              <w:t xml:space="preserve">44.58 </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69.80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39.00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44.68 </w:t>
            </w:r>
          </w:p>
        </w:tc>
      </w:tr>
      <w:tr w:rsidR="007C13F5">
        <w:trPr>
          <w:trHeight w:val="285"/>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泊车</w:t>
            </w:r>
          </w:p>
        </w:tc>
        <w:tc>
          <w:tcPr>
            <w:tcW w:w="174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方便</w:t>
            </w:r>
          </w:p>
        </w:tc>
        <w:tc>
          <w:tcPr>
            <w:tcW w:w="1656"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方便</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方便</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方便</w:t>
            </w:r>
          </w:p>
        </w:tc>
      </w:tr>
      <w:tr w:rsidR="007C13F5">
        <w:trPr>
          <w:trHeight w:val="270"/>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景观</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不邻主景观</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不邻主景观</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不邻主景观</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不邻主景观</w:t>
            </w:r>
          </w:p>
        </w:tc>
      </w:tr>
      <w:tr w:rsidR="007C13F5">
        <w:trPr>
          <w:trHeight w:val="285"/>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光照</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采光充足</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采光充足</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采光充足</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采光充足</w:t>
            </w:r>
          </w:p>
        </w:tc>
      </w:tr>
      <w:tr w:rsidR="007C13F5">
        <w:trPr>
          <w:trHeight w:val="285"/>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朝向</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西南向</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东南向</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西南向</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东南向</w:t>
            </w:r>
          </w:p>
        </w:tc>
      </w:tr>
      <w:tr w:rsidR="007C13F5">
        <w:trPr>
          <w:trHeight w:val="285"/>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楼层</w:t>
            </w:r>
          </w:p>
        </w:tc>
        <w:tc>
          <w:tcPr>
            <w:tcW w:w="174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1-2/2</w:t>
            </w:r>
          </w:p>
        </w:tc>
        <w:tc>
          <w:tcPr>
            <w:tcW w:w="1656"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1-3/3</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1-2/2</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1-3/3</w:t>
            </w:r>
          </w:p>
        </w:tc>
      </w:tr>
      <w:tr w:rsidR="007C13F5">
        <w:trPr>
          <w:trHeight w:val="285"/>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建筑结构</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砖混</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砖混</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砖混</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砖混</w:t>
            </w:r>
          </w:p>
        </w:tc>
      </w:tr>
      <w:tr w:rsidR="007C13F5">
        <w:trPr>
          <w:trHeight w:val="285"/>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套内格局</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空间布局较窄</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空间布局较好</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空间布局较差</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空间布局较好</w:t>
            </w:r>
          </w:p>
        </w:tc>
      </w:tr>
      <w:tr w:rsidR="007C13F5">
        <w:trPr>
          <w:trHeight w:val="285"/>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装饰装修</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普装</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中装</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普装</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2"/>
                <w:szCs w:val="22"/>
              </w:rPr>
            </w:pPr>
            <w:r>
              <w:rPr>
                <w:rFonts w:ascii="仿宋_GB2312" w:eastAsia="仿宋_GB2312" w:hAnsi="宋体" w:cs="宋体" w:hint="eastAsia"/>
                <w:kern w:val="0"/>
                <w:sz w:val="22"/>
                <w:szCs w:val="22"/>
              </w:rPr>
              <w:t>简装</w:t>
            </w:r>
          </w:p>
        </w:tc>
      </w:tr>
      <w:tr w:rsidR="007C13F5">
        <w:trPr>
          <w:trHeight w:val="285"/>
          <w:jc w:val="center"/>
        </w:trPr>
        <w:tc>
          <w:tcPr>
            <w:tcW w:w="567"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房屋使用状况</w:t>
            </w:r>
          </w:p>
        </w:tc>
        <w:tc>
          <w:tcPr>
            <w:tcW w:w="174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空置，无维护保养</w:t>
            </w:r>
          </w:p>
        </w:tc>
        <w:tc>
          <w:tcPr>
            <w:tcW w:w="1656"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维护使用较好</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维护使用一般</w:t>
            </w:r>
          </w:p>
        </w:tc>
        <w:tc>
          <w:tcPr>
            <w:tcW w:w="1701" w:type="dxa"/>
            <w:tcBorders>
              <w:top w:val="nil"/>
              <w:left w:val="nil"/>
              <w:bottom w:val="single" w:sz="4" w:space="0" w:color="auto"/>
              <w:right w:val="single" w:sz="4" w:space="0" w:color="auto"/>
            </w:tcBorders>
            <w:vAlign w:val="bottom"/>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维护使用较好</w:t>
            </w:r>
          </w:p>
        </w:tc>
      </w:tr>
    </w:tbl>
    <w:p w:rsidR="007C13F5" w:rsidRDefault="007C13F5" w:rsidP="007C13F5">
      <w:pPr>
        <w:ind w:firstLineChars="200" w:firstLine="31680"/>
        <w:rPr>
          <w:rFonts w:ascii="仿宋_GB2312" w:eastAsia="仿宋_GB2312" w:hAnsi="仿宋_GB2312"/>
          <w:sz w:val="28"/>
          <w:szCs w:val="28"/>
        </w:rPr>
      </w:pPr>
      <w:r>
        <w:rPr>
          <w:rFonts w:ascii="仿宋_GB2312" w:eastAsia="仿宋_GB2312" w:hAnsi="宋体"/>
          <w:sz w:val="28"/>
          <w:szCs w:val="28"/>
        </w:rPr>
        <w:t xml:space="preserve">2. </w:t>
      </w:r>
      <w:r>
        <w:rPr>
          <w:rFonts w:ascii="仿宋_GB2312" w:eastAsia="仿宋_GB2312" w:hAnsi="宋体" w:hint="eastAsia"/>
          <w:sz w:val="28"/>
          <w:szCs w:val="28"/>
        </w:rPr>
        <w:t>确定调整系数</w:t>
      </w:r>
    </w:p>
    <w:p w:rsidR="007C13F5" w:rsidRDefault="007C13F5">
      <w:pPr>
        <w:ind w:firstLineChars="200" w:firstLine="31680"/>
        <w:rPr>
          <w:rFonts w:ascii="仿宋_GB2312" w:eastAsia="仿宋_GB2312" w:hAnsi="宋体"/>
          <w:sz w:val="28"/>
          <w:szCs w:val="28"/>
        </w:rPr>
      </w:pPr>
      <w:r>
        <w:rPr>
          <w:rFonts w:ascii="仿宋_GB2312" w:eastAsia="仿宋_GB2312" w:hAnsi="宋体"/>
          <w:sz w:val="28"/>
          <w:szCs w:val="28"/>
        </w:rPr>
        <w:t xml:space="preserve">2-1. </w:t>
      </w:r>
      <w:r>
        <w:rPr>
          <w:rFonts w:ascii="仿宋_GB2312" w:eastAsia="仿宋_GB2312" w:hAnsi="宋体" w:hint="eastAsia"/>
          <w:sz w:val="28"/>
          <w:szCs w:val="28"/>
        </w:rPr>
        <w:t>交易情况修正</w:t>
      </w:r>
      <w:r>
        <w:rPr>
          <w:rFonts w:ascii="仿宋_GB2312" w:eastAsia="仿宋_GB2312" w:hAnsi="宋体"/>
          <w:sz w:val="28"/>
          <w:szCs w:val="28"/>
        </w:rPr>
        <w:tab/>
      </w:r>
    </w:p>
    <w:p w:rsidR="007C13F5" w:rsidRDefault="007C13F5">
      <w:pPr>
        <w:ind w:firstLineChars="200" w:firstLine="31680"/>
        <w:rPr>
          <w:rFonts w:ascii="仿宋_GB2312" w:eastAsia="仿宋_GB2312" w:hAnsi="宋体"/>
          <w:sz w:val="28"/>
          <w:szCs w:val="28"/>
        </w:rPr>
      </w:pPr>
      <w:r>
        <w:rPr>
          <w:rFonts w:ascii="仿宋_GB2312" w:eastAsia="仿宋_GB2312" w:hAnsi="宋体" w:hint="eastAsia"/>
          <w:sz w:val="28"/>
          <w:szCs w:val="28"/>
        </w:rPr>
        <w:t>由于房地产具有不可移动的特性，房地产市场一般是不完全市场，因此其价格往往容易受当时的一些特殊行为的影响，必须将个别的特殊交易剔除或修正为正常成交价。所选可比实例均为自由竞争市场交易行为，交易情况属于正常，故本次估价不做此项修正。</w:t>
      </w:r>
    </w:p>
    <w:p w:rsidR="007C13F5" w:rsidRDefault="007C13F5">
      <w:pPr>
        <w:ind w:firstLineChars="200" w:firstLine="31680"/>
        <w:rPr>
          <w:rFonts w:ascii="仿宋_GB2312" w:eastAsia="仿宋_GB2312" w:hAnsi="宋体"/>
          <w:sz w:val="28"/>
          <w:szCs w:val="28"/>
        </w:rPr>
      </w:pPr>
      <w:r>
        <w:rPr>
          <w:rFonts w:ascii="仿宋_GB2312" w:eastAsia="仿宋_GB2312" w:hAnsi="宋体"/>
          <w:sz w:val="28"/>
          <w:szCs w:val="28"/>
        </w:rPr>
        <w:t xml:space="preserve">2-2. </w:t>
      </w:r>
      <w:r>
        <w:rPr>
          <w:rFonts w:ascii="仿宋_GB2312" w:eastAsia="仿宋_GB2312" w:hAnsi="宋体" w:hint="eastAsia"/>
          <w:sz w:val="28"/>
          <w:szCs w:val="28"/>
        </w:rPr>
        <w:t>交易日期调整</w:t>
      </w:r>
    </w:p>
    <w:p w:rsidR="007C13F5" w:rsidRDefault="007C13F5">
      <w:pPr>
        <w:ind w:firstLineChars="200" w:firstLine="31680"/>
        <w:rPr>
          <w:rFonts w:ascii="仿宋_GB2312" w:eastAsia="仿宋_GB2312" w:hAnsi="宋体"/>
          <w:sz w:val="28"/>
          <w:szCs w:val="28"/>
        </w:rPr>
      </w:pPr>
      <w:r>
        <w:rPr>
          <w:rFonts w:ascii="仿宋_GB2312" w:eastAsia="仿宋_GB2312" w:hAnsi="宋体" w:hint="eastAsia"/>
          <w:sz w:val="28"/>
          <w:szCs w:val="28"/>
        </w:rPr>
        <w:t>估价对象与可比实例的交易日期有时间差异时，随着时间的推移，房地产价格有较明显的变化趋势时，必须进行交易日期调整。而本次估价所选取的各可比实例均为距离价值时点半年以内的交易实例，且此期间本地区同类型的房地产市场价格较为平稳，</w:t>
      </w:r>
      <w:r>
        <w:rPr>
          <w:rFonts w:ascii="仿宋_GB2312" w:eastAsia="仿宋_GB2312" w:hAnsi="宋体"/>
          <w:sz w:val="28"/>
          <w:szCs w:val="28"/>
        </w:rPr>
        <w:t xml:space="preserve"> </w:t>
      </w:r>
      <w:r>
        <w:rPr>
          <w:rFonts w:ascii="仿宋_GB2312" w:eastAsia="仿宋_GB2312" w:hAnsi="宋体" w:hint="eastAsia"/>
          <w:sz w:val="28"/>
          <w:szCs w:val="28"/>
        </w:rPr>
        <w:t>因此本次估价不做此项调整。</w:t>
      </w:r>
    </w:p>
    <w:p w:rsidR="007C13F5" w:rsidRDefault="007C13F5">
      <w:pPr>
        <w:ind w:firstLineChars="200" w:firstLine="31680"/>
        <w:rPr>
          <w:rFonts w:ascii="仿宋_GB2312" w:eastAsia="仿宋_GB2312" w:hAnsi="宋体"/>
          <w:sz w:val="28"/>
          <w:szCs w:val="28"/>
        </w:rPr>
      </w:pPr>
      <w:r>
        <w:rPr>
          <w:rFonts w:ascii="仿宋_GB2312" w:eastAsia="仿宋_GB2312" w:hAnsi="宋体"/>
          <w:sz w:val="28"/>
          <w:szCs w:val="28"/>
        </w:rPr>
        <w:t xml:space="preserve">2-3. </w:t>
      </w:r>
      <w:r>
        <w:rPr>
          <w:rFonts w:ascii="仿宋_GB2312" w:eastAsia="仿宋_GB2312" w:hAnsi="宋体" w:hint="eastAsia"/>
          <w:sz w:val="28"/>
          <w:szCs w:val="28"/>
        </w:rPr>
        <w:t>权益因素调整</w:t>
      </w:r>
    </w:p>
    <w:p w:rsidR="007C13F5" w:rsidRDefault="007C13F5">
      <w:pPr>
        <w:ind w:firstLineChars="200" w:firstLine="31680"/>
        <w:rPr>
          <w:rFonts w:ascii="仿宋_GB2312" w:eastAsia="仿宋_GB2312" w:hAnsi="宋体"/>
          <w:sz w:val="28"/>
          <w:szCs w:val="28"/>
        </w:rPr>
      </w:pPr>
      <w:r>
        <w:rPr>
          <w:rFonts w:ascii="仿宋_GB2312" w:eastAsia="仿宋_GB2312" w:hAnsi="宋体" w:hint="eastAsia"/>
          <w:sz w:val="28"/>
          <w:szCs w:val="28"/>
        </w:rPr>
        <w:t>估价对象与可比实例均为产权清晰的房产，不存在其他限制权利，因此本次估价不做此项调整。</w:t>
      </w:r>
    </w:p>
    <w:p w:rsidR="007C13F5" w:rsidRDefault="007C13F5">
      <w:pPr>
        <w:ind w:firstLineChars="200" w:firstLine="31680"/>
        <w:rPr>
          <w:rFonts w:ascii="仿宋_GB2312" w:eastAsia="仿宋_GB2312" w:hAnsi="宋体"/>
          <w:sz w:val="28"/>
          <w:szCs w:val="28"/>
        </w:rPr>
      </w:pPr>
      <w:r>
        <w:rPr>
          <w:rFonts w:ascii="仿宋_GB2312" w:eastAsia="仿宋_GB2312" w:hAnsi="宋体"/>
          <w:sz w:val="28"/>
          <w:szCs w:val="28"/>
        </w:rPr>
        <w:t xml:space="preserve">2-4. </w:t>
      </w:r>
      <w:r>
        <w:rPr>
          <w:rFonts w:ascii="仿宋_GB2312" w:eastAsia="仿宋_GB2312" w:hAnsi="宋体" w:hint="eastAsia"/>
          <w:sz w:val="28"/>
          <w:szCs w:val="28"/>
        </w:rPr>
        <w:t>区域因素调整</w:t>
      </w:r>
    </w:p>
    <w:p w:rsidR="007C13F5" w:rsidRDefault="007C13F5">
      <w:pPr>
        <w:ind w:firstLineChars="200" w:firstLine="31680"/>
        <w:rPr>
          <w:rFonts w:ascii="仿宋_GB2312" w:eastAsia="仿宋_GB2312" w:hAnsi="宋体"/>
          <w:sz w:val="28"/>
          <w:szCs w:val="28"/>
        </w:rPr>
      </w:pPr>
      <w:r>
        <w:rPr>
          <w:rFonts w:ascii="仿宋_GB2312" w:eastAsia="仿宋_GB2312" w:hAnsi="宋体" w:hint="eastAsia"/>
          <w:sz w:val="28"/>
          <w:szCs w:val="28"/>
        </w:rPr>
        <w:t>区域因素是房地产一定范围的外部环境对房地产价格有所影响的因素。主要包括基础设施、公共设施、交通设施、环境因素等。根据物业所处区位的不同，需对影响物业价格的区域因素进行调整。具体做法是各将区域因素中所包含的各项子因素进行打分，均以估价对象得分为</w:t>
      </w:r>
      <w:r>
        <w:rPr>
          <w:rFonts w:ascii="仿宋_GB2312" w:eastAsia="仿宋_GB2312" w:hAnsi="宋体"/>
          <w:sz w:val="28"/>
          <w:szCs w:val="28"/>
        </w:rPr>
        <w:t>100</w:t>
      </w:r>
      <w:r>
        <w:rPr>
          <w:rFonts w:ascii="仿宋_GB2312" w:eastAsia="仿宋_GB2312" w:hAnsi="宋体" w:hint="eastAsia"/>
          <w:sz w:val="28"/>
          <w:szCs w:val="28"/>
        </w:rPr>
        <w:t>，各可比实例与之对比，好于估价对象则得分超过</w:t>
      </w:r>
      <w:r>
        <w:rPr>
          <w:rFonts w:ascii="仿宋_GB2312" w:eastAsia="仿宋_GB2312" w:hAnsi="宋体"/>
          <w:sz w:val="28"/>
          <w:szCs w:val="28"/>
        </w:rPr>
        <w:t>100</w:t>
      </w:r>
      <w:r>
        <w:rPr>
          <w:rFonts w:ascii="仿宋_GB2312" w:eastAsia="仿宋_GB2312" w:hAnsi="宋体" w:hint="eastAsia"/>
          <w:sz w:val="28"/>
          <w:szCs w:val="28"/>
        </w:rPr>
        <w:t>，反之则得分小于</w:t>
      </w:r>
      <w:r>
        <w:rPr>
          <w:rFonts w:ascii="仿宋_GB2312" w:eastAsia="仿宋_GB2312" w:hAnsi="宋体"/>
          <w:sz w:val="28"/>
          <w:szCs w:val="28"/>
        </w:rPr>
        <w:t>100</w:t>
      </w:r>
      <w:r>
        <w:rPr>
          <w:rFonts w:ascii="仿宋_GB2312" w:eastAsia="仿宋_GB2312" w:hAnsi="宋体" w:hint="eastAsia"/>
          <w:sz w:val="28"/>
          <w:szCs w:val="28"/>
        </w:rPr>
        <w:t>，各子因素的得分累加后与估价对象进行比较，求取区域因素调整系数（见表</w:t>
      </w:r>
      <w:r>
        <w:rPr>
          <w:rFonts w:ascii="仿宋_GB2312" w:eastAsia="仿宋_GB2312" w:hAnsi="宋体"/>
          <w:sz w:val="28"/>
          <w:szCs w:val="28"/>
        </w:rPr>
        <w:t>3</w:t>
      </w:r>
      <w:r>
        <w:rPr>
          <w:rFonts w:ascii="仿宋_GB2312" w:eastAsia="仿宋_GB2312" w:hAnsi="宋体" w:hint="eastAsia"/>
          <w:sz w:val="28"/>
          <w:szCs w:val="28"/>
        </w:rPr>
        <w:t>）。</w:t>
      </w:r>
    </w:p>
    <w:p w:rsidR="007C13F5" w:rsidRDefault="007C13F5">
      <w:pPr>
        <w:ind w:firstLineChars="200" w:firstLine="31680"/>
        <w:rPr>
          <w:rFonts w:ascii="仿宋_GB2312" w:eastAsia="仿宋_GB2312" w:hAnsi="宋体"/>
          <w:sz w:val="28"/>
          <w:szCs w:val="28"/>
        </w:rPr>
      </w:pPr>
      <w:r>
        <w:rPr>
          <w:rFonts w:ascii="仿宋_GB2312" w:eastAsia="仿宋_GB2312" w:hAnsi="宋体" w:hint="eastAsia"/>
          <w:sz w:val="28"/>
          <w:szCs w:val="28"/>
        </w:rPr>
        <w:t>本次估价所选取的三个比较案例与估价对象均属于同一区域，故对基础配套设施、道路、商业繁华程度、环境状况、学校、医院等区域因素无需进行修正。</w:t>
      </w:r>
    </w:p>
    <w:p w:rsidR="007C13F5" w:rsidRDefault="007C13F5">
      <w:pPr>
        <w:ind w:firstLineChars="200" w:firstLine="31680"/>
        <w:rPr>
          <w:rFonts w:ascii="仿宋_GB2312" w:eastAsia="仿宋_GB2312" w:hAnsi="宋体"/>
          <w:sz w:val="28"/>
          <w:szCs w:val="28"/>
        </w:rPr>
      </w:pPr>
      <w:r>
        <w:rPr>
          <w:rFonts w:ascii="仿宋_GB2312" w:eastAsia="仿宋_GB2312" w:hAnsi="宋体"/>
          <w:sz w:val="28"/>
          <w:szCs w:val="28"/>
        </w:rPr>
        <w:t xml:space="preserve">2-5. </w:t>
      </w:r>
      <w:r>
        <w:rPr>
          <w:rFonts w:ascii="仿宋_GB2312" w:eastAsia="仿宋_GB2312" w:hAnsi="宋体" w:hint="eastAsia"/>
          <w:sz w:val="28"/>
          <w:szCs w:val="28"/>
        </w:rPr>
        <w:t>实物因素调整</w:t>
      </w:r>
    </w:p>
    <w:p w:rsidR="007C13F5" w:rsidRDefault="007C13F5">
      <w:pPr>
        <w:ind w:firstLineChars="200" w:firstLine="31680"/>
        <w:rPr>
          <w:rFonts w:ascii="仿宋_GB2312" w:eastAsia="仿宋_GB2312" w:hAnsi="宋体"/>
          <w:sz w:val="28"/>
          <w:szCs w:val="28"/>
        </w:rPr>
      </w:pPr>
      <w:r>
        <w:rPr>
          <w:rFonts w:ascii="仿宋_GB2312" w:eastAsia="仿宋_GB2312" w:hAnsi="宋体" w:hint="eastAsia"/>
          <w:sz w:val="28"/>
          <w:szCs w:val="28"/>
        </w:rPr>
        <w:t>实物因素是构成房地产本身的使用功能、质量好坏的因素。主要包括建筑物结构、楼层、面积、装修、光照、使用年限等区别于其它房地产的因素。每宗房地产均具有独一无二的特性，在实物因素上均有别于其它房地产的因素，需进行调整。具体做法是各将实物因素中所包含的各项子因素进行打分，均以估价对象得分为</w:t>
      </w:r>
      <w:r>
        <w:rPr>
          <w:rFonts w:ascii="仿宋_GB2312" w:eastAsia="仿宋_GB2312" w:hAnsi="宋体"/>
          <w:sz w:val="28"/>
          <w:szCs w:val="28"/>
        </w:rPr>
        <w:t>100</w:t>
      </w:r>
      <w:r>
        <w:rPr>
          <w:rFonts w:ascii="仿宋_GB2312" w:eastAsia="仿宋_GB2312" w:hAnsi="宋体" w:hint="eastAsia"/>
          <w:sz w:val="28"/>
          <w:szCs w:val="28"/>
        </w:rPr>
        <w:t>，各可比实例与之对比，好于估价对象则得分超过</w:t>
      </w:r>
      <w:r>
        <w:rPr>
          <w:rFonts w:ascii="仿宋_GB2312" w:eastAsia="仿宋_GB2312" w:hAnsi="宋体"/>
          <w:sz w:val="28"/>
          <w:szCs w:val="28"/>
        </w:rPr>
        <w:t>100</w:t>
      </w:r>
      <w:r>
        <w:rPr>
          <w:rFonts w:ascii="仿宋_GB2312" w:eastAsia="仿宋_GB2312" w:hAnsi="宋体" w:hint="eastAsia"/>
          <w:sz w:val="28"/>
          <w:szCs w:val="28"/>
        </w:rPr>
        <w:t>，反之则得分小于</w:t>
      </w:r>
      <w:r>
        <w:rPr>
          <w:rFonts w:ascii="仿宋_GB2312" w:eastAsia="仿宋_GB2312" w:hAnsi="宋体"/>
          <w:sz w:val="28"/>
          <w:szCs w:val="28"/>
        </w:rPr>
        <w:t>100</w:t>
      </w:r>
      <w:r>
        <w:rPr>
          <w:rFonts w:ascii="仿宋_GB2312" w:eastAsia="仿宋_GB2312" w:hAnsi="宋体" w:hint="eastAsia"/>
          <w:sz w:val="28"/>
          <w:szCs w:val="28"/>
        </w:rPr>
        <w:t>，各子因素的得分累加后与估价对象进行比较，求取实物调整系数（见表</w:t>
      </w:r>
      <w:r>
        <w:rPr>
          <w:rFonts w:ascii="仿宋_GB2312" w:eastAsia="仿宋_GB2312" w:hAnsi="宋体"/>
          <w:sz w:val="28"/>
          <w:szCs w:val="28"/>
        </w:rPr>
        <w:t>3</w:t>
      </w:r>
      <w:r>
        <w:rPr>
          <w:rFonts w:ascii="仿宋_GB2312" w:eastAsia="仿宋_GB2312" w:hAnsi="宋体" w:hint="eastAsia"/>
          <w:sz w:val="28"/>
          <w:szCs w:val="28"/>
        </w:rPr>
        <w:t>）。</w:t>
      </w:r>
    </w:p>
    <w:p w:rsidR="007C13F5" w:rsidRDefault="007C13F5">
      <w:pPr>
        <w:ind w:firstLineChars="200" w:firstLine="31680"/>
        <w:rPr>
          <w:rFonts w:ascii="仿宋_GB2312" w:eastAsia="仿宋_GB2312" w:hAnsi="宋体"/>
          <w:sz w:val="28"/>
          <w:szCs w:val="28"/>
        </w:rPr>
      </w:pPr>
      <w:r>
        <w:rPr>
          <w:rFonts w:ascii="仿宋_GB2312" w:eastAsia="仿宋_GB2312" w:hAnsi="宋体" w:hint="eastAsia"/>
          <w:sz w:val="28"/>
          <w:szCs w:val="28"/>
        </w:rPr>
        <w:t>这里我们主要考虑了估价对象的面积、是否带露台、楼层、套内格局、装饰装修、房屋使用情况等实物因素进行修正。</w:t>
      </w:r>
    </w:p>
    <w:p w:rsidR="007C13F5" w:rsidRDefault="007C13F5">
      <w:pPr>
        <w:ind w:firstLineChars="200" w:firstLine="31680"/>
        <w:jc w:val="center"/>
        <w:rPr>
          <w:rFonts w:ascii="仿宋_GB2312" w:eastAsia="仿宋_GB2312" w:hAnsi="宋体"/>
          <w:sz w:val="28"/>
          <w:szCs w:val="28"/>
        </w:rPr>
      </w:pPr>
      <w:r>
        <w:rPr>
          <w:rFonts w:ascii="仿宋_GB2312" w:eastAsia="仿宋_GB2312" w:hAnsi="宋体" w:hint="eastAsia"/>
          <w:sz w:val="28"/>
          <w:szCs w:val="28"/>
        </w:rPr>
        <w:t>表三</w:t>
      </w:r>
      <w:r>
        <w:rPr>
          <w:rFonts w:ascii="仿宋_GB2312" w:eastAsia="仿宋_GB2312" w:hAnsi="宋体"/>
          <w:sz w:val="28"/>
          <w:szCs w:val="28"/>
        </w:rPr>
        <w:t xml:space="preserve">  </w:t>
      </w:r>
      <w:r>
        <w:rPr>
          <w:rFonts w:ascii="仿宋_GB2312" w:eastAsia="仿宋_GB2312" w:hAnsi="宋体" w:hint="eastAsia"/>
          <w:sz w:val="28"/>
          <w:szCs w:val="28"/>
        </w:rPr>
        <w:t>因素条件量化、计算表</w:t>
      </w:r>
    </w:p>
    <w:tbl>
      <w:tblPr>
        <w:tblW w:w="9639" w:type="dxa"/>
        <w:jc w:val="center"/>
        <w:tblInd w:w="392" w:type="dxa"/>
        <w:tblLook w:val="00A0"/>
      </w:tblPr>
      <w:tblGrid>
        <w:gridCol w:w="436"/>
        <w:gridCol w:w="2268"/>
        <w:gridCol w:w="1888"/>
        <w:gridCol w:w="1645"/>
        <w:gridCol w:w="1701"/>
        <w:gridCol w:w="1701"/>
      </w:tblGrid>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w:t>
            </w:r>
          </w:p>
        </w:tc>
        <w:tc>
          <w:tcPr>
            <w:tcW w:w="1888" w:type="dxa"/>
            <w:tcBorders>
              <w:top w:val="single" w:sz="4" w:space="0" w:color="auto"/>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估价对象</w:t>
            </w:r>
          </w:p>
        </w:tc>
        <w:tc>
          <w:tcPr>
            <w:tcW w:w="1645" w:type="dxa"/>
            <w:tcBorders>
              <w:top w:val="single" w:sz="4" w:space="0" w:color="auto"/>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实例</w:t>
            </w:r>
            <w:r>
              <w:rPr>
                <w:rFonts w:ascii="仿宋_GB2312" w:eastAsia="仿宋_GB2312" w:hAnsi="宋体" w:cs="宋体"/>
                <w:kern w:val="0"/>
                <w:sz w:val="24"/>
              </w:rPr>
              <w:t>A</w:t>
            </w:r>
          </w:p>
        </w:tc>
        <w:tc>
          <w:tcPr>
            <w:tcW w:w="1701" w:type="dxa"/>
            <w:tcBorders>
              <w:top w:val="single" w:sz="4" w:space="0" w:color="auto"/>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实例</w:t>
            </w:r>
            <w:r>
              <w:rPr>
                <w:rFonts w:ascii="仿宋_GB2312" w:eastAsia="仿宋_GB2312" w:hAnsi="宋体" w:cs="宋体"/>
                <w:kern w:val="0"/>
                <w:sz w:val="24"/>
              </w:rPr>
              <w:t>B</w:t>
            </w:r>
          </w:p>
        </w:tc>
        <w:tc>
          <w:tcPr>
            <w:tcW w:w="1701" w:type="dxa"/>
            <w:tcBorders>
              <w:top w:val="single" w:sz="4" w:space="0" w:color="auto"/>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实例</w:t>
            </w:r>
            <w:r>
              <w:rPr>
                <w:rFonts w:ascii="仿宋_GB2312" w:eastAsia="仿宋_GB2312" w:hAnsi="宋体" w:cs="宋体"/>
                <w:kern w:val="0"/>
                <w:sz w:val="24"/>
              </w:rPr>
              <w:t>C</w:t>
            </w:r>
          </w:p>
        </w:tc>
      </w:tr>
      <w:tr w:rsidR="007C13F5">
        <w:trPr>
          <w:trHeight w:val="342"/>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坐落</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感通小镇</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000000"/>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来源</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中介</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中介</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中介</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交易日期</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2020-4</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2020-1</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2019-12</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交易状况</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正常</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权益状况</w:t>
            </w:r>
          </w:p>
        </w:tc>
        <w:tc>
          <w:tcPr>
            <w:tcW w:w="1888"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c>
          <w:tcPr>
            <w:tcW w:w="1645"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c>
          <w:tcPr>
            <w:tcW w:w="1701" w:type="dxa"/>
            <w:tcBorders>
              <w:top w:val="nil"/>
              <w:left w:val="nil"/>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产权清晰</w:t>
            </w:r>
          </w:p>
        </w:tc>
      </w:tr>
      <w:tr w:rsidR="007C13F5">
        <w:trPr>
          <w:trHeight w:val="330"/>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建筑面积（</w:t>
            </w:r>
            <w:r>
              <w:rPr>
                <w:rFonts w:ascii="仿宋_GB2312" w:eastAsia="仿宋_GB2312" w:hAnsi="宋体" w:cs="宋体"/>
                <w:kern w:val="0"/>
                <w:sz w:val="24"/>
              </w:rPr>
              <w:t>m</w:t>
            </w:r>
            <w:r>
              <w:rPr>
                <w:rFonts w:ascii="仿宋_GB2312" w:eastAsia="仿宋_GB2312" w:hAnsi="宋体" w:cs="宋体"/>
                <w:kern w:val="0"/>
                <w:sz w:val="24"/>
                <w:vertAlign w:val="superscript"/>
              </w:rPr>
              <w:t>2</w:t>
            </w:r>
            <w:r>
              <w:rPr>
                <w:rFonts w:ascii="仿宋_GB2312" w:eastAsia="仿宋_GB2312" w:hAnsi="宋体" w:cs="宋体" w:hint="eastAsia"/>
                <w:color w:val="000000"/>
                <w:kern w:val="0"/>
                <w:sz w:val="22"/>
                <w:szCs w:val="22"/>
              </w:rPr>
              <w:t>）</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4"/>
              </w:rPr>
            </w:pPr>
            <w:r>
              <w:rPr>
                <w:rFonts w:ascii="仿宋_GB2312" w:eastAsia="仿宋_GB2312" w:hAnsi="宋体" w:cs="宋体"/>
                <w:color w:val="000000"/>
                <w:kern w:val="0"/>
                <w:sz w:val="24"/>
              </w:rPr>
              <w:t xml:space="preserve">44.58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69.80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39.00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44.68 </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用途</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住宅</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建筑结构</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砖混</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砖混</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砖混</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hint="eastAsia"/>
                <w:kern w:val="0"/>
                <w:sz w:val="24"/>
              </w:rPr>
              <w:t>砖混</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所在楼层</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1-2/2</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1-3/3</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1-2/2</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1-3/3</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000000"/>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交易总价（万元）</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130.00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65.00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80.00 </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000000"/>
            </w:tcBorders>
            <w:noWrap/>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交易单价（元</w:t>
            </w:r>
            <w:r>
              <w:rPr>
                <w:rFonts w:ascii="仿宋_GB2312" w:eastAsia="仿宋_GB2312" w:hAnsi="宋体" w:cs="宋体"/>
                <w:color w:val="000000"/>
                <w:kern w:val="0"/>
                <w:sz w:val="22"/>
                <w:szCs w:val="22"/>
              </w:rPr>
              <w:t>/m2</w:t>
            </w:r>
            <w:r>
              <w:rPr>
                <w:rFonts w:ascii="仿宋_GB2312" w:eastAsia="仿宋_GB2312" w:hAnsi="宋体" w:cs="宋体" w:hint="eastAsia"/>
                <w:color w:val="000000"/>
                <w:kern w:val="0"/>
                <w:sz w:val="22"/>
                <w:szCs w:val="22"/>
              </w:rPr>
              <w:t>）</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18,624.64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16,666.67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17,905.10 </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交易情况修正系数</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交易日期调整系数</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权益状况调整系数</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r>
      <w:tr w:rsidR="007C13F5">
        <w:trPr>
          <w:trHeight w:val="285"/>
          <w:jc w:val="center"/>
        </w:trPr>
        <w:tc>
          <w:tcPr>
            <w:tcW w:w="436" w:type="dxa"/>
            <w:vMerge w:val="restart"/>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区域因素</w:t>
            </w: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道路</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公交</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自来水</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电力</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燃气</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通讯</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商业</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地段等级</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学校</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医院</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公园</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治安</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环境卫生</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区域因素调整系数</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r>
      <w:tr w:rsidR="007C13F5">
        <w:trPr>
          <w:trHeight w:val="300"/>
          <w:jc w:val="center"/>
        </w:trPr>
        <w:tc>
          <w:tcPr>
            <w:tcW w:w="436" w:type="dxa"/>
            <w:vMerge w:val="restart"/>
            <w:tcBorders>
              <w:top w:val="nil"/>
              <w:left w:val="single" w:sz="4" w:space="0" w:color="auto"/>
              <w:bottom w:val="single" w:sz="4" w:space="0" w:color="auto"/>
              <w:right w:val="single" w:sz="4" w:space="0" w:color="auto"/>
            </w:tcBorders>
            <w:vAlign w:val="center"/>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实物因素</w:t>
            </w: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建成年代</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用地强度</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是否有露台</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102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102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面积规模</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98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101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泊车</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景观</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光照</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朝向</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楼层</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98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98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建筑结构</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套内格局</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102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98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102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装饰装修</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102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98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color w:val="000000"/>
                <w:kern w:val="0"/>
                <w:sz w:val="22"/>
                <w:szCs w:val="22"/>
              </w:rPr>
            </w:pPr>
            <w:r>
              <w:rPr>
                <w:rFonts w:ascii="仿宋_GB2312" w:eastAsia="仿宋_GB2312" w:hAnsi="宋体" w:cs="宋体" w:hint="eastAsia"/>
                <w:color w:val="000000"/>
                <w:kern w:val="0"/>
                <w:sz w:val="22"/>
                <w:szCs w:val="22"/>
              </w:rPr>
              <w:t>房屋使用状况</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102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101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kern w:val="0"/>
                <w:sz w:val="24"/>
              </w:rPr>
            </w:pPr>
            <w:r>
              <w:rPr>
                <w:rFonts w:ascii="仿宋_GB2312" w:eastAsia="仿宋_GB2312" w:hAnsi="宋体" w:cs="宋体"/>
                <w:kern w:val="0"/>
                <w:sz w:val="24"/>
              </w:rPr>
              <w:t xml:space="preserve">102 </w:t>
            </w:r>
          </w:p>
        </w:tc>
      </w:tr>
      <w:tr w:rsidR="007C13F5">
        <w:trPr>
          <w:trHeight w:val="285"/>
          <w:jc w:val="center"/>
        </w:trPr>
        <w:tc>
          <w:tcPr>
            <w:tcW w:w="436" w:type="dxa"/>
            <w:vMerge/>
            <w:tcBorders>
              <w:top w:val="nil"/>
              <w:left w:val="single" w:sz="4" w:space="0" w:color="auto"/>
              <w:bottom w:val="single" w:sz="4" w:space="0" w:color="auto"/>
              <w:right w:val="single" w:sz="4" w:space="0" w:color="auto"/>
            </w:tcBorders>
            <w:vAlign w:val="center"/>
          </w:tcPr>
          <w:p w:rsidR="007C13F5" w:rsidRDefault="007C13F5">
            <w:pPr>
              <w:widowControl/>
              <w:jc w:val="left"/>
              <w:rPr>
                <w:rFonts w:ascii="仿宋_GB2312" w:eastAsia="仿宋_GB2312" w:hAnsi="宋体" w:cs="宋体"/>
                <w:color w:val="000000"/>
                <w:kern w:val="0"/>
                <w:sz w:val="22"/>
                <w:szCs w:val="22"/>
              </w:rPr>
            </w:pPr>
          </w:p>
        </w:tc>
        <w:tc>
          <w:tcPr>
            <w:tcW w:w="226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实物因素调整系数</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0.9619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1.0003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0.9812 </w:t>
            </w:r>
          </w:p>
        </w:tc>
      </w:tr>
      <w:tr w:rsidR="007C13F5">
        <w:trPr>
          <w:trHeight w:val="285"/>
          <w:jc w:val="center"/>
        </w:trPr>
        <w:tc>
          <w:tcPr>
            <w:tcW w:w="2704" w:type="dxa"/>
            <w:gridSpan w:val="2"/>
            <w:tcBorders>
              <w:top w:val="single" w:sz="4" w:space="0" w:color="auto"/>
              <w:left w:val="single" w:sz="4" w:space="0" w:color="auto"/>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总调整系数</w:t>
            </w:r>
          </w:p>
        </w:tc>
        <w:tc>
          <w:tcPr>
            <w:tcW w:w="1888"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1.0000 </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0.9619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1.0003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0.9812 </w:t>
            </w:r>
          </w:p>
        </w:tc>
      </w:tr>
      <w:tr w:rsidR="007C13F5">
        <w:trPr>
          <w:trHeight w:val="285"/>
          <w:jc w:val="center"/>
        </w:trPr>
        <w:tc>
          <w:tcPr>
            <w:tcW w:w="4592" w:type="dxa"/>
            <w:gridSpan w:val="3"/>
            <w:tcBorders>
              <w:top w:val="single" w:sz="4" w:space="0" w:color="auto"/>
              <w:left w:val="single" w:sz="4" w:space="0" w:color="auto"/>
              <w:bottom w:val="single" w:sz="4" w:space="0" w:color="auto"/>
              <w:right w:val="single" w:sz="4" w:space="0" w:color="000000"/>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        </w:t>
            </w:r>
            <w:r>
              <w:rPr>
                <w:rFonts w:ascii="仿宋_GB2312" w:eastAsia="仿宋_GB2312" w:hAnsi="宋体" w:cs="宋体" w:hint="eastAsia"/>
                <w:b/>
                <w:bCs/>
                <w:kern w:val="0"/>
                <w:sz w:val="24"/>
              </w:rPr>
              <w:t>比准价格（元</w:t>
            </w:r>
            <w:r>
              <w:rPr>
                <w:rFonts w:ascii="仿宋_GB2312" w:eastAsia="仿宋_GB2312" w:hAnsi="宋体" w:cs="宋体"/>
                <w:b/>
                <w:bCs/>
                <w:kern w:val="0"/>
                <w:sz w:val="24"/>
              </w:rPr>
              <w:t>/</w:t>
            </w:r>
            <w:r>
              <w:rPr>
                <w:rFonts w:ascii="宋体" w:hAnsi="宋体" w:cs="宋体" w:hint="eastAsia"/>
                <w:b/>
                <w:bCs/>
                <w:kern w:val="0"/>
                <w:sz w:val="24"/>
              </w:rPr>
              <w:t>㎡</w:t>
            </w:r>
            <w:r>
              <w:rPr>
                <w:rFonts w:ascii="仿宋_GB2312" w:eastAsia="仿宋_GB2312" w:hAnsi="仿宋_GB2312" w:cs="仿宋_GB2312" w:hint="eastAsia"/>
                <w:b/>
                <w:bCs/>
                <w:kern w:val="0"/>
                <w:sz w:val="24"/>
              </w:rPr>
              <w:t>）</w:t>
            </w:r>
          </w:p>
        </w:tc>
        <w:tc>
          <w:tcPr>
            <w:tcW w:w="1645"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17,915.75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16,671.70 </w:t>
            </w:r>
          </w:p>
        </w:tc>
        <w:tc>
          <w:tcPr>
            <w:tcW w:w="1701" w:type="dxa"/>
            <w:tcBorders>
              <w:top w:val="nil"/>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17,568.07 </w:t>
            </w:r>
          </w:p>
        </w:tc>
      </w:tr>
      <w:tr w:rsidR="007C13F5">
        <w:trPr>
          <w:trHeight w:val="285"/>
          <w:jc w:val="center"/>
        </w:trPr>
        <w:tc>
          <w:tcPr>
            <w:tcW w:w="4592" w:type="dxa"/>
            <w:gridSpan w:val="3"/>
            <w:tcBorders>
              <w:top w:val="single" w:sz="4" w:space="0" w:color="auto"/>
              <w:left w:val="single" w:sz="4" w:space="0" w:color="auto"/>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估价对象评估单价（元</w:t>
            </w:r>
            <w:r>
              <w:rPr>
                <w:rFonts w:ascii="仿宋_GB2312" w:eastAsia="仿宋_GB2312" w:hAnsi="宋体" w:cs="宋体"/>
                <w:b/>
                <w:bCs/>
                <w:kern w:val="0"/>
                <w:sz w:val="24"/>
              </w:rPr>
              <w:t>/</w:t>
            </w:r>
            <w:r>
              <w:rPr>
                <w:rFonts w:ascii="宋体" w:hAnsi="宋体" w:cs="宋体" w:hint="eastAsia"/>
                <w:b/>
                <w:bCs/>
                <w:kern w:val="0"/>
                <w:sz w:val="24"/>
              </w:rPr>
              <w:t>㎡</w:t>
            </w:r>
            <w:r>
              <w:rPr>
                <w:rFonts w:ascii="仿宋_GB2312" w:eastAsia="仿宋_GB2312" w:hAnsi="仿宋_GB2312" w:cs="仿宋_GB2312" w:hint="eastAsia"/>
                <w:b/>
                <w:bCs/>
                <w:kern w:val="0"/>
                <w:sz w:val="24"/>
              </w:rPr>
              <w:t>）</w:t>
            </w:r>
          </w:p>
        </w:tc>
        <w:tc>
          <w:tcPr>
            <w:tcW w:w="5047" w:type="dxa"/>
            <w:gridSpan w:val="3"/>
            <w:tcBorders>
              <w:top w:val="single" w:sz="4" w:space="0" w:color="auto"/>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17,385.18 </w:t>
            </w:r>
          </w:p>
        </w:tc>
      </w:tr>
      <w:tr w:rsidR="007C13F5">
        <w:trPr>
          <w:trHeight w:val="285"/>
          <w:jc w:val="center"/>
        </w:trPr>
        <w:tc>
          <w:tcPr>
            <w:tcW w:w="4592" w:type="dxa"/>
            <w:gridSpan w:val="3"/>
            <w:tcBorders>
              <w:top w:val="single" w:sz="4" w:space="0" w:color="auto"/>
              <w:left w:val="single" w:sz="4" w:space="0" w:color="auto"/>
              <w:bottom w:val="single" w:sz="4" w:space="0" w:color="auto"/>
              <w:right w:val="single" w:sz="4" w:space="0" w:color="auto"/>
            </w:tcBorders>
            <w:noWrap/>
            <w:vAlign w:val="bottom"/>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估价对象评估总价（万元）</w:t>
            </w:r>
          </w:p>
        </w:tc>
        <w:tc>
          <w:tcPr>
            <w:tcW w:w="5047" w:type="dxa"/>
            <w:gridSpan w:val="3"/>
            <w:tcBorders>
              <w:top w:val="single" w:sz="4" w:space="0" w:color="auto"/>
              <w:left w:val="nil"/>
              <w:bottom w:val="single" w:sz="4" w:space="0" w:color="auto"/>
              <w:right w:val="single" w:sz="4" w:space="0" w:color="auto"/>
            </w:tcBorders>
            <w:noWrap/>
            <w:vAlign w:val="center"/>
          </w:tcPr>
          <w:p w:rsidR="007C13F5" w:rsidRDefault="007C13F5">
            <w:pPr>
              <w:widowControl/>
              <w:jc w:val="center"/>
              <w:rPr>
                <w:rFonts w:ascii="仿宋_GB2312" w:eastAsia="仿宋_GB2312" w:hAnsi="宋体" w:cs="宋体"/>
                <w:b/>
                <w:bCs/>
                <w:kern w:val="0"/>
                <w:sz w:val="24"/>
              </w:rPr>
            </w:pPr>
            <w:r>
              <w:rPr>
                <w:rFonts w:ascii="仿宋_GB2312" w:eastAsia="仿宋_GB2312" w:hAnsi="宋体" w:cs="宋体"/>
                <w:b/>
                <w:bCs/>
                <w:kern w:val="0"/>
                <w:sz w:val="24"/>
              </w:rPr>
              <w:t xml:space="preserve">77.50 </w:t>
            </w:r>
          </w:p>
        </w:tc>
      </w:tr>
    </w:tbl>
    <w:p w:rsidR="007C13F5" w:rsidRDefault="007C13F5" w:rsidP="007C13F5">
      <w:pPr>
        <w:spacing w:beforeLines="50" w:line="560" w:lineRule="exact"/>
        <w:ind w:firstLineChars="200" w:firstLine="31680"/>
        <w:jc w:val="left"/>
        <w:outlineLvl w:val="0"/>
        <w:rPr>
          <w:rFonts w:ascii="仿宋_GB2312" w:eastAsia="仿宋_GB2312" w:hAnsi="宋体"/>
          <w:bCs/>
          <w:sz w:val="28"/>
          <w:szCs w:val="28"/>
        </w:rPr>
      </w:pPr>
      <w:r>
        <w:rPr>
          <w:rFonts w:ascii="仿宋_GB2312" w:eastAsia="仿宋_GB2312" w:hAnsi="宋体"/>
          <w:bCs/>
          <w:sz w:val="28"/>
          <w:szCs w:val="28"/>
        </w:rPr>
        <w:t xml:space="preserve">3. </w:t>
      </w:r>
      <w:r>
        <w:rPr>
          <w:rFonts w:ascii="仿宋_GB2312" w:eastAsia="仿宋_GB2312" w:hAnsi="宋体" w:hint="eastAsia"/>
          <w:bCs/>
          <w:sz w:val="28"/>
          <w:szCs w:val="28"/>
        </w:rPr>
        <w:t>求取比准价格</w:t>
      </w:r>
    </w:p>
    <w:p w:rsidR="007C13F5" w:rsidRDefault="007C13F5">
      <w:pPr>
        <w:spacing w:beforeLines="50" w:line="560" w:lineRule="exact"/>
        <w:ind w:firstLineChars="200" w:firstLine="31680"/>
        <w:jc w:val="left"/>
        <w:outlineLvl w:val="0"/>
        <w:rPr>
          <w:rFonts w:ascii="仿宋_GB2312" w:eastAsia="仿宋_GB2312" w:hAnsi="宋体"/>
          <w:bCs/>
          <w:sz w:val="28"/>
          <w:szCs w:val="28"/>
        </w:rPr>
      </w:pPr>
      <w:r>
        <w:rPr>
          <w:rFonts w:ascii="仿宋_GB2312" w:eastAsia="仿宋_GB2312" w:hAnsi="宋体" w:hint="eastAsia"/>
          <w:bCs/>
          <w:sz w:val="28"/>
          <w:szCs w:val="28"/>
        </w:rPr>
        <w:t>比准价格</w:t>
      </w:r>
      <w:r>
        <w:rPr>
          <w:rFonts w:ascii="仿宋_GB2312" w:eastAsia="仿宋_GB2312" w:hAnsi="宋体"/>
          <w:bCs/>
          <w:sz w:val="28"/>
          <w:szCs w:val="28"/>
        </w:rPr>
        <w:t>=</w:t>
      </w:r>
      <w:r>
        <w:rPr>
          <w:rFonts w:ascii="仿宋_GB2312" w:eastAsia="仿宋_GB2312" w:hAnsi="宋体" w:hint="eastAsia"/>
          <w:bCs/>
          <w:sz w:val="28"/>
          <w:szCs w:val="28"/>
        </w:rPr>
        <w:t>实例交易单价×交易情况修正系数×交易日期调整系数×区域因素调整系数×实物因素调整系数（见表</w:t>
      </w:r>
      <w:r>
        <w:rPr>
          <w:rFonts w:ascii="仿宋_GB2312" w:eastAsia="仿宋_GB2312" w:hAnsi="宋体"/>
          <w:bCs/>
          <w:sz w:val="28"/>
          <w:szCs w:val="28"/>
        </w:rPr>
        <w:t>3</w:t>
      </w:r>
      <w:r>
        <w:rPr>
          <w:rFonts w:ascii="仿宋_GB2312" w:eastAsia="仿宋_GB2312" w:hAnsi="宋体" w:hint="eastAsia"/>
          <w:bCs/>
          <w:sz w:val="28"/>
          <w:szCs w:val="28"/>
        </w:rPr>
        <w:t>）</w:t>
      </w:r>
    </w:p>
    <w:p w:rsidR="007C13F5" w:rsidRDefault="007C13F5">
      <w:pPr>
        <w:spacing w:beforeLines="50" w:line="560" w:lineRule="exact"/>
        <w:ind w:firstLineChars="200" w:firstLine="31680"/>
        <w:jc w:val="left"/>
        <w:outlineLvl w:val="0"/>
        <w:rPr>
          <w:rFonts w:ascii="仿宋_GB2312" w:eastAsia="仿宋_GB2312" w:hAnsi="宋体"/>
          <w:bCs/>
          <w:sz w:val="28"/>
          <w:szCs w:val="28"/>
        </w:rPr>
      </w:pPr>
      <w:r>
        <w:rPr>
          <w:rFonts w:ascii="仿宋_GB2312" w:eastAsia="仿宋_GB2312" w:hAnsi="宋体"/>
          <w:bCs/>
          <w:sz w:val="28"/>
          <w:szCs w:val="28"/>
        </w:rPr>
        <w:t xml:space="preserve">3-1. </w:t>
      </w:r>
      <w:r>
        <w:rPr>
          <w:rFonts w:ascii="仿宋_GB2312" w:eastAsia="仿宋_GB2312" w:hAnsi="宋体" w:hint="eastAsia"/>
          <w:bCs/>
          <w:sz w:val="28"/>
          <w:szCs w:val="28"/>
        </w:rPr>
        <w:t>比准价格</w:t>
      </w:r>
      <w:r>
        <w:rPr>
          <w:rFonts w:ascii="仿宋_GB2312" w:eastAsia="仿宋_GB2312" w:hAnsi="宋体"/>
          <w:bCs/>
          <w:sz w:val="28"/>
          <w:szCs w:val="28"/>
        </w:rPr>
        <w:t>A = 17915.75</w:t>
      </w:r>
      <w:r>
        <w:rPr>
          <w:rFonts w:ascii="仿宋_GB2312" w:eastAsia="仿宋_GB2312" w:hAnsi="宋体" w:hint="eastAsia"/>
          <w:bCs/>
          <w:sz w:val="28"/>
          <w:szCs w:val="28"/>
        </w:rPr>
        <w:t>元</w:t>
      </w:r>
      <w:r>
        <w:rPr>
          <w:rFonts w:ascii="仿宋_GB2312" w:eastAsia="仿宋_GB2312" w:hAnsi="宋体"/>
          <w:bCs/>
          <w:sz w:val="28"/>
          <w:szCs w:val="28"/>
        </w:rPr>
        <w:t>/</w:t>
      </w:r>
      <w:r>
        <w:rPr>
          <w:rFonts w:ascii="宋体" w:hAnsi="宋体" w:cs="宋体" w:hint="eastAsia"/>
          <w:bCs/>
          <w:sz w:val="28"/>
          <w:szCs w:val="28"/>
        </w:rPr>
        <w:t>㎡</w:t>
      </w:r>
    </w:p>
    <w:p w:rsidR="007C13F5" w:rsidRDefault="007C13F5">
      <w:pPr>
        <w:spacing w:beforeLines="50" w:line="560" w:lineRule="exact"/>
        <w:ind w:firstLineChars="200" w:firstLine="31680"/>
        <w:jc w:val="left"/>
        <w:outlineLvl w:val="0"/>
        <w:rPr>
          <w:rFonts w:ascii="仿宋_GB2312" w:eastAsia="仿宋_GB2312" w:hAnsi="宋体"/>
          <w:bCs/>
          <w:sz w:val="28"/>
          <w:szCs w:val="28"/>
        </w:rPr>
      </w:pPr>
      <w:r>
        <w:rPr>
          <w:rFonts w:ascii="仿宋_GB2312" w:eastAsia="仿宋_GB2312" w:hAnsi="宋体"/>
          <w:bCs/>
          <w:sz w:val="28"/>
          <w:szCs w:val="28"/>
        </w:rPr>
        <w:t xml:space="preserve">3-2. </w:t>
      </w:r>
      <w:r>
        <w:rPr>
          <w:rFonts w:ascii="仿宋_GB2312" w:eastAsia="仿宋_GB2312" w:hAnsi="宋体" w:hint="eastAsia"/>
          <w:bCs/>
          <w:sz w:val="28"/>
          <w:szCs w:val="28"/>
        </w:rPr>
        <w:t>比准价格</w:t>
      </w:r>
      <w:r>
        <w:rPr>
          <w:rFonts w:ascii="仿宋_GB2312" w:eastAsia="仿宋_GB2312" w:hAnsi="宋体"/>
          <w:bCs/>
          <w:sz w:val="28"/>
          <w:szCs w:val="28"/>
        </w:rPr>
        <w:t>B = 16671.70</w:t>
      </w:r>
      <w:r>
        <w:rPr>
          <w:rFonts w:ascii="仿宋_GB2312" w:eastAsia="仿宋_GB2312" w:hAnsi="宋体" w:hint="eastAsia"/>
          <w:bCs/>
          <w:sz w:val="28"/>
          <w:szCs w:val="28"/>
        </w:rPr>
        <w:t>元</w:t>
      </w:r>
      <w:r>
        <w:rPr>
          <w:rFonts w:ascii="仿宋_GB2312" w:eastAsia="仿宋_GB2312" w:hAnsi="宋体"/>
          <w:bCs/>
          <w:sz w:val="28"/>
          <w:szCs w:val="28"/>
        </w:rPr>
        <w:t>/</w:t>
      </w:r>
      <w:r>
        <w:rPr>
          <w:rFonts w:ascii="宋体" w:hAnsi="宋体" w:cs="宋体" w:hint="eastAsia"/>
          <w:bCs/>
          <w:sz w:val="28"/>
          <w:szCs w:val="28"/>
        </w:rPr>
        <w:t>㎡</w:t>
      </w:r>
    </w:p>
    <w:p w:rsidR="007C13F5" w:rsidRDefault="007C13F5">
      <w:pPr>
        <w:spacing w:beforeLines="50" w:line="560" w:lineRule="exact"/>
        <w:ind w:firstLineChars="200" w:firstLine="31680"/>
        <w:jc w:val="left"/>
        <w:outlineLvl w:val="0"/>
        <w:rPr>
          <w:rFonts w:ascii="仿宋_GB2312" w:eastAsia="仿宋_GB2312" w:hAnsi="宋体"/>
          <w:bCs/>
          <w:sz w:val="28"/>
          <w:szCs w:val="28"/>
        </w:rPr>
      </w:pPr>
      <w:r>
        <w:rPr>
          <w:rFonts w:ascii="仿宋_GB2312" w:eastAsia="仿宋_GB2312" w:hAnsi="宋体"/>
          <w:bCs/>
          <w:sz w:val="28"/>
          <w:szCs w:val="28"/>
        </w:rPr>
        <w:t xml:space="preserve">3-3. </w:t>
      </w:r>
      <w:r>
        <w:rPr>
          <w:rFonts w:ascii="仿宋_GB2312" w:eastAsia="仿宋_GB2312" w:hAnsi="宋体" w:hint="eastAsia"/>
          <w:bCs/>
          <w:sz w:val="28"/>
          <w:szCs w:val="28"/>
        </w:rPr>
        <w:t>比准价格</w:t>
      </w:r>
      <w:r>
        <w:rPr>
          <w:rFonts w:ascii="仿宋_GB2312" w:eastAsia="仿宋_GB2312" w:hAnsi="宋体"/>
          <w:bCs/>
          <w:sz w:val="28"/>
          <w:szCs w:val="28"/>
        </w:rPr>
        <w:t>C = 17568.07</w:t>
      </w:r>
      <w:r>
        <w:rPr>
          <w:rFonts w:ascii="仿宋_GB2312" w:eastAsia="仿宋_GB2312" w:hAnsi="宋体" w:hint="eastAsia"/>
          <w:bCs/>
          <w:sz w:val="28"/>
          <w:szCs w:val="28"/>
        </w:rPr>
        <w:t>元</w:t>
      </w:r>
      <w:r>
        <w:rPr>
          <w:rFonts w:ascii="仿宋_GB2312" w:eastAsia="仿宋_GB2312" w:hAnsi="宋体"/>
          <w:bCs/>
          <w:sz w:val="28"/>
          <w:szCs w:val="28"/>
        </w:rPr>
        <w:t>/</w:t>
      </w:r>
      <w:r>
        <w:rPr>
          <w:rFonts w:ascii="宋体" w:hAnsi="宋体" w:cs="宋体" w:hint="eastAsia"/>
          <w:bCs/>
          <w:sz w:val="28"/>
          <w:szCs w:val="28"/>
        </w:rPr>
        <w:t>㎡</w:t>
      </w:r>
    </w:p>
    <w:p w:rsidR="007C13F5" w:rsidRDefault="007C13F5">
      <w:pPr>
        <w:spacing w:beforeLines="50" w:line="560" w:lineRule="exact"/>
        <w:ind w:firstLineChars="200" w:firstLine="31680"/>
        <w:jc w:val="left"/>
        <w:outlineLvl w:val="0"/>
        <w:rPr>
          <w:rFonts w:ascii="仿宋_GB2312" w:eastAsia="仿宋_GB2312" w:hAnsi="宋体"/>
          <w:bCs/>
          <w:sz w:val="28"/>
          <w:szCs w:val="28"/>
        </w:rPr>
      </w:pPr>
      <w:r>
        <w:rPr>
          <w:rFonts w:ascii="仿宋_GB2312" w:eastAsia="仿宋_GB2312" w:hAnsi="宋体"/>
          <w:bCs/>
          <w:sz w:val="28"/>
          <w:szCs w:val="28"/>
        </w:rPr>
        <w:t xml:space="preserve">4. </w:t>
      </w:r>
      <w:r>
        <w:rPr>
          <w:rFonts w:ascii="仿宋_GB2312" w:eastAsia="仿宋_GB2312" w:hAnsi="宋体" w:hint="eastAsia"/>
          <w:bCs/>
          <w:sz w:val="28"/>
          <w:szCs w:val="28"/>
        </w:rPr>
        <w:t>计算估价对象评估单价</w:t>
      </w:r>
    </w:p>
    <w:p w:rsidR="007C13F5" w:rsidRDefault="007C13F5">
      <w:pPr>
        <w:spacing w:beforeLines="50" w:line="560" w:lineRule="exact"/>
        <w:ind w:firstLineChars="200" w:firstLine="31680"/>
        <w:jc w:val="left"/>
        <w:outlineLvl w:val="0"/>
        <w:rPr>
          <w:rFonts w:ascii="仿宋_GB2312" w:eastAsia="仿宋_GB2312" w:hAnsi="宋体"/>
          <w:bCs/>
          <w:sz w:val="28"/>
          <w:szCs w:val="28"/>
        </w:rPr>
      </w:pPr>
      <w:r>
        <w:rPr>
          <w:rFonts w:ascii="仿宋_GB2312" w:eastAsia="仿宋_GB2312" w:hAnsi="宋体" w:hint="eastAsia"/>
          <w:bCs/>
          <w:sz w:val="28"/>
          <w:szCs w:val="28"/>
        </w:rPr>
        <w:t>通过对可比实例价格进行调整，三个比准价格的结果接近，差距不大，本次估价确定采用</w:t>
      </w:r>
      <w:r>
        <w:rPr>
          <w:rFonts w:ascii="仿宋_GB2312" w:eastAsia="仿宋_GB2312" w:hAnsi="宋体"/>
          <w:bCs/>
          <w:sz w:val="28"/>
          <w:szCs w:val="28"/>
        </w:rPr>
        <w:t>A</w:t>
      </w:r>
      <w:r>
        <w:rPr>
          <w:rFonts w:ascii="仿宋_GB2312" w:eastAsia="仿宋_GB2312" w:hAnsi="宋体" w:hint="eastAsia"/>
          <w:bCs/>
          <w:sz w:val="28"/>
          <w:szCs w:val="28"/>
        </w:rPr>
        <w:t>、</w:t>
      </w:r>
      <w:r>
        <w:rPr>
          <w:rFonts w:ascii="仿宋_GB2312" w:eastAsia="仿宋_GB2312" w:hAnsi="宋体"/>
          <w:bCs/>
          <w:sz w:val="28"/>
          <w:szCs w:val="28"/>
        </w:rPr>
        <w:t>B</w:t>
      </w:r>
      <w:r>
        <w:rPr>
          <w:rFonts w:ascii="仿宋_GB2312" w:eastAsia="仿宋_GB2312" w:hAnsi="宋体" w:hint="eastAsia"/>
          <w:bCs/>
          <w:sz w:val="28"/>
          <w:szCs w:val="28"/>
        </w:rPr>
        <w:t>、</w:t>
      </w:r>
      <w:r>
        <w:rPr>
          <w:rFonts w:ascii="仿宋_GB2312" w:eastAsia="仿宋_GB2312" w:hAnsi="宋体"/>
          <w:bCs/>
          <w:sz w:val="28"/>
          <w:szCs w:val="28"/>
        </w:rPr>
        <w:t>C</w:t>
      </w:r>
      <w:r>
        <w:rPr>
          <w:rFonts w:ascii="仿宋_GB2312" w:eastAsia="仿宋_GB2312" w:hAnsi="宋体" w:hint="eastAsia"/>
          <w:bCs/>
          <w:sz w:val="28"/>
          <w:szCs w:val="28"/>
        </w:rPr>
        <w:t>三个可比实例比准价格的算术平均值作为估价对象的评估单价，即：</w:t>
      </w:r>
    </w:p>
    <w:p w:rsidR="007C13F5" w:rsidRDefault="007C13F5">
      <w:pPr>
        <w:spacing w:beforeLines="50" w:line="560" w:lineRule="exact"/>
        <w:ind w:firstLineChars="200" w:firstLine="31680"/>
        <w:jc w:val="left"/>
        <w:outlineLvl w:val="0"/>
        <w:rPr>
          <w:rFonts w:ascii="仿宋_GB2312" w:eastAsia="仿宋_GB2312" w:hAnsi="宋体"/>
          <w:bCs/>
          <w:sz w:val="28"/>
          <w:szCs w:val="28"/>
        </w:rPr>
      </w:pPr>
      <w:r>
        <w:rPr>
          <w:rFonts w:ascii="仿宋_GB2312" w:eastAsia="仿宋_GB2312" w:hAnsi="宋体" w:hint="eastAsia"/>
          <w:bCs/>
          <w:sz w:val="28"/>
          <w:szCs w:val="28"/>
        </w:rPr>
        <w:t>估价对象评估单价</w:t>
      </w:r>
      <w:r>
        <w:rPr>
          <w:rFonts w:ascii="仿宋_GB2312" w:eastAsia="仿宋_GB2312" w:hAnsi="宋体"/>
          <w:bCs/>
          <w:sz w:val="28"/>
          <w:szCs w:val="28"/>
        </w:rPr>
        <w:t xml:space="preserve"> =</w:t>
      </w:r>
      <w:r>
        <w:rPr>
          <w:rFonts w:ascii="仿宋_GB2312" w:eastAsia="仿宋_GB2312" w:hAnsi="宋体" w:hint="eastAsia"/>
          <w:bCs/>
          <w:sz w:val="28"/>
          <w:szCs w:val="28"/>
        </w:rPr>
        <w:t>（</w:t>
      </w:r>
      <w:r>
        <w:rPr>
          <w:rFonts w:ascii="仿宋_GB2312" w:eastAsia="仿宋_GB2312" w:hAnsi="宋体"/>
          <w:bCs/>
          <w:sz w:val="28"/>
          <w:szCs w:val="28"/>
        </w:rPr>
        <w:t>17915.75+16671.7+17568.07</w:t>
      </w:r>
      <w:r>
        <w:rPr>
          <w:rFonts w:ascii="仿宋_GB2312" w:eastAsia="仿宋_GB2312" w:hAnsi="宋体" w:hint="eastAsia"/>
          <w:bCs/>
          <w:sz w:val="28"/>
          <w:szCs w:val="28"/>
        </w:rPr>
        <w:t>）÷</w:t>
      </w:r>
      <w:r>
        <w:rPr>
          <w:rFonts w:ascii="仿宋_GB2312" w:eastAsia="仿宋_GB2312" w:hAnsi="宋体"/>
          <w:bCs/>
          <w:sz w:val="28"/>
          <w:szCs w:val="28"/>
        </w:rPr>
        <w:t>3</w:t>
      </w:r>
    </w:p>
    <w:p w:rsidR="007C13F5" w:rsidRDefault="007C13F5">
      <w:pPr>
        <w:spacing w:beforeLines="50" w:line="560" w:lineRule="exact"/>
        <w:ind w:firstLineChars="1050" w:firstLine="31680"/>
        <w:jc w:val="left"/>
        <w:outlineLvl w:val="0"/>
        <w:rPr>
          <w:rFonts w:ascii="仿宋_GB2312" w:eastAsia="仿宋_GB2312" w:hAnsi="宋体"/>
          <w:bCs/>
          <w:sz w:val="28"/>
          <w:szCs w:val="28"/>
        </w:rPr>
      </w:pPr>
      <w:r>
        <w:rPr>
          <w:rFonts w:ascii="仿宋_GB2312" w:eastAsia="仿宋_GB2312" w:hAnsi="宋体"/>
          <w:bCs/>
          <w:sz w:val="28"/>
          <w:szCs w:val="28"/>
        </w:rPr>
        <w:t>= 17385.18</w:t>
      </w:r>
      <w:r>
        <w:rPr>
          <w:rFonts w:ascii="仿宋_GB2312" w:eastAsia="仿宋_GB2312" w:hAnsi="宋体" w:hint="eastAsia"/>
          <w:bCs/>
          <w:sz w:val="28"/>
          <w:szCs w:val="28"/>
        </w:rPr>
        <w:t>元</w:t>
      </w:r>
      <w:r>
        <w:rPr>
          <w:rFonts w:ascii="仿宋_GB2312" w:eastAsia="仿宋_GB2312" w:hAnsi="宋体"/>
          <w:bCs/>
          <w:sz w:val="28"/>
          <w:szCs w:val="28"/>
        </w:rPr>
        <w:t>/</w:t>
      </w:r>
      <w:r>
        <w:rPr>
          <w:rFonts w:ascii="宋体" w:hAnsi="宋体" w:cs="宋体" w:hint="eastAsia"/>
          <w:bCs/>
          <w:sz w:val="28"/>
          <w:szCs w:val="28"/>
        </w:rPr>
        <w:t>㎡</w:t>
      </w:r>
    </w:p>
    <w:p w:rsidR="007C13F5" w:rsidRDefault="007C13F5">
      <w:pPr>
        <w:spacing w:beforeLines="50" w:line="560" w:lineRule="exact"/>
        <w:ind w:firstLineChars="200" w:firstLine="31680"/>
        <w:jc w:val="left"/>
        <w:outlineLvl w:val="0"/>
        <w:rPr>
          <w:rFonts w:ascii="仿宋_GB2312" w:eastAsia="仿宋_GB2312" w:hAnsi="宋体"/>
          <w:bCs/>
          <w:sz w:val="28"/>
          <w:szCs w:val="28"/>
        </w:rPr>
      </w:pPr>
      <w:r>
        <w:rPr>
          <w:rFonts w:ascii="仿宋_GB2312" w:eastAsia="仿宋_GB2312" w:hAnsi="宋体"/>
          <w:bCs/>
          <w:sz w:val="28"/>
          <w:szCs w:val="28"/>
        </w:rPr>
        <w:t xml:space="preserve">5. </w:t>
      </w:r>
      <w:r>
        <w:rPr>
          <w:rFonts w:ascii="仿宋_GB2312" w:eastAsia="仿宋_GB2312" w:hAnsi="宋体" w:hint="eastAsia"/>
          <w:bCs/>
          <w:sz w:val="28"/>
          <w:szCs w:val="28"/>
        </w:rPr>
        <w:t>计算估价对象总价</w:t>
      </w:r>
    </w:p>
    <w:p w:rsidR="007C13F5" w:rsidRDefault="007C13F5">
      <w:pPr>
        <w:spacing w:beforeLines="50" w:line="560" w:lineRule="exact"/>
        <w:ind w:firstLineChars="200" w:firstLine="31680"/>
        <w:jc w:val="left"/>
        <w:outlineLvl w:val="0"/>
        <w:rPr>
          <w:rFonts w:ascii="仿宋_GB2312" w:eastAsia="仿宋_GB2312" w:hAnsi="宋体"/>
          <w:bCs/>
          <w:sz w:val="28"/>
          <w:szCs w:val="28"/>
        </w:rPr>
      </w:pPr>
      <w:r>
        <w:rPr>
          <w:rFonts w:ascii="仿宋_GB2312" w:eastAsia="仿宋_GB2312" w:hAnsi="宋体" w:hint="eastAsia"/>
          <w:bCs/>
          <w:sz w:val="28"/>
          <w:szCs w:val="28"/>
        </w:rPr>
        <w:t>估价对象总价</w:t>
      </w:r>
      <w:r>
        <w:rPr>
          <w:rFonts w:ascii="仿宋_GB2312" w:eastAsia="仿宋_GB2312" w:hAnsi="宋体"/>
          <w:bCs/>
          <w:sz w:val="28"/>
          <w:szCs w:val="28"/>
        </w:rPr>
        <w:t xml:space="preserve"> = </w:t>
      </w:r>
      <w:r>
        <w:rPr>
          <w:rFonts w:ascii="仿宋_GB2312" w:eastAsia="仿宋_GB2312" w:hAnsi="宋体" w:hint="eastAsia"/>
          <w:bCs/>
          <w:sz w:val="28"/>
          <w:szCs w:val="28"/>
        </w:rPr>
        <w:t>估价对象建筑面积×估价对象评估单价</w:t>
      </w:r>
    </w:p>
    <w:p w:rsidR="007C13F5" w:rsidRDefault="007C13F5">
      <w:pPr>
        <w:spacing w:beforeLines="50" w:line="560" w:lineRule="exact"/>
        <w:ind w:firstLineChars="850" w:firstLine="31680"/>
        <w:jc w:val="left"/>
        <w:outlineLvl w:val="0"/>
        <w:rPr>
          <w:rFonts w:ascii="仿宋_GB2312" w:eastAsia="仿宋_GB2312" w:hAnsi="宋体"/>
          <w:bCs/>
          <w:sz w:val="28"/>
          <w:szCs w:val="28"/>
        </w:rPr>
      </w:pPr>
      <w:r>
        <w:rPr>
          <w:rFonts w:ascii="仿宋_GB2312" w:eastAsia="仿宋_GB2312" w:hAnsi="宋体"/>
          <w:bCs/>
          <w:sz w:val="28"/>
          <w:szCs w:val="28"/>
        </w:rPr>
        <w:t>= 44.58</w:t>
      </w:r>
      <w:r>
        <w:rPr>
          <w:rFonts w:ascii="宋体" w:hAnsi="宋体" w:cs="宋体" w:hint="eastAsia"/>
          <w:bCs/>
          <w:sz w:val="28"/>
          <w:szCs w:val="28"/>
        </w:rPr>
        <w:t>㎡</w:t>
      </w:r>
      <w:r>
        <w:rPr>
          <w:rFonts w:ascii="仿宋_GB2312" w:eastAsia="仿宋_GB2312" w:hAnsi="宋体" w:hint="eastAsia"/>
          <w:bCs/>
          <w:sz w:val="28"/>
          <w:szCs w:val="28"/>
        </w:rPr>
        <w:t>×</w:t>
      </w:r>
      <w:r>
        <w:rPr>
          <w:rFonts w:ascii="仿宋_GB2312" w:eastAsia="仿宋_GB2312" w:hAnsi="宋体"/>
          <w:bCs/>
          <w:sz w:val="28"/>
          <w:szCs w:val="28"/>
        </w:rPr>
        <w:t>17385.18</w:t>
      </w:r>
      <w:r>
        <w:rPr>
          <w:rFonts w:ascii="仿宋_GB2312" w:eastAsia="仿宋_GB2312" w:hAnsi="宋体" w:hint="eastAsia"/>
          <w:bCs/>
          <w:sz w:val="28"/>
          <w:szCs w:val="28"/>
        </w:rPr>
        <w:t>元</w:t>
      </w:r>
      <w:r>
        <w:rPr>
          <w:rFonts w:ascii="仿宋_GB2312" w:eastAsia="仿宋_GB2312" w:hAnsi="宋体"/>
          <w:bCs/>
          <w:sz w:val="28"/>
          <w:szCs w:val="28"/>
        </w:rPr>
        <w:t>/</w:t>
      </w:r>
      <w:r>
        <w:rPr>
          <w:rFonts w:ascii="宋体" w:hAnsi="宋体" w:cs="宋体" w:hint="eastAsia"/>
          <w:bCs/>
          <w:sz w:val="28"/>
          <w:szCs w:val="28"/>
        </w:rPr>
        <w:t>㎡</w:t>
      </w:r>
    </w:p>
    <w:p w:rsidR="007C13F5" w:rsidRDefault="007C13F5">
      <w:pPr>
        <w:spacing w:beforeLines="50" w:line="560" w:lineRule="exact"/>
        <w:ind w:firstLineChars="800" w:firstLine="31680"/>
        <w:jc w:val="left"/>
        <w:outlineLvl w:val="0"/>
        <w:rPr>
          <w:rFonts w:ascii="仿宋_GB2312" w:eastAsia="仿宋_GB2312" w:hAnsi="宋体"/>
          <w:bCs/>
          <w:sz w:val="28"/>
          <w:szCs w:val="28"/>
        </w:rPr>
      </w:pPr>
      <w:r>
        <w:rPr>
          <w:rFonts w:ascii="仿宋_GB2312" w:eastAsia="仿宋_GB2312" w:hAnsi="宋体" w:hint="eastAsia"/>
          <w:bCs/>
          <w:sz w:val="28"/>
          <w:szCs w:val="28"/>
        </w:rPr>
        <w:t>≈</w:t>
      </w:r>
      <w:r>
        <w:rPr>
          <w:rFonts w:ascii="仿宋_GB2312" w:eastAsia="仿宋_GB2312" w:hAnsi="宋体"/>
          <w:bCs/>
          <w:sz w:val="28"/>
          <w:szCs w:val="28"/>
        </w:rPr>
        <w:t>77.50</w:t>
      </w:r>
      <w:r>
        <w:rPr>
          <w:rFonts w:ascii="仿宋_GB2312" w:eastAsia="仿宋_GB2312" w:hAnsi="宋体" w:hint="eastAsia"/>
          <w:bCs/>
          <w:sz w:val="28"/>
          <w:szCs w:val="28"/>
        </w:rPr>
        <w:t>（万元）（取整至百位）</w:t>
      </w:r>
    </w:p>
    <w:p w:rsidR="007C13F5" w:rsidRDefault="007C13F5">
      <w:pPr>
        <w:spacing w:beforeLines="50" w:line="560" w:lineRule="exact"/>
        <w:ind w:firstLineChars="800" w:firstLine="31680"/>
        <w:jc w:val="left"/>
        <w:outlineLvl w:val="0"/>
        <w:rPr>
          <w:rFonts w:ascii="仿宋_GB2312" w:eastAsia="仿宋_GB2312" w:hAnsi="宋体"/>
          <w:bCs/>
          <w:sz w:val="28"/>
          <w:szCs w:val="28"/>
        </w:rPr>
      </w:pPr>
    </w:p>
    <w:p w:rsidR="007C13F5" w:rsidRDefault="007C13F5">
      <w:pPr>
        <w:pStyle w:val="Heading2"/>
        <w:rPr>
          <w:rFonts w:ascii="仿宋_GB2312" w:eastAsia="仿宋_GB2312"/>
          <w:sz w:val="28"/>
          <w:szCs w:val="28"/>
        </w:rPr>
      </w:pPr>
      <w:bookmarkStart w:id="24" w:name="_Toc499890270"/>
      <w:r>
        <w:rPr>
          <w:rFonts w:ascii="仿宋_GB2312" w:eastAsia="仿宋_GB2312" w:hint="eastAsia"/>
          <w:sz w:val="28"/>
          <w:szCs w:val="28"/>
        </w:rPr>
        <w:t>八、估价结果确定</w:t>
      </w:r>
      <w:bookmarkEnd w:id="24"/>
    </w:p>
    <w:p w:rsidR="007C13F5" w:rsidRDefault="007C13F5">
      <w:pPr>
        <w:ind w:firstLineChars="200" w:firstLine="31680"/>
        <w:rPr>
          <w:rFonts w:ascii="仿宋_GB2312" w:eastAsia="仿宋_GB2312" w:hAnsi="宋体"/>
          <w:b/>
          <w:sz w:val="28"/>
          <w:szCs w:val="28"/>
        </w:rPr>
      </w:pPr>
      <w:r>
        <w:rPr>
          <w:rFonts w:ascii="仿宋_GB2312" w:eastAsia="仿宋_GB2312" w:hAnsi="宋体" w:hint="eastAsia"/>
          <w:sz w:val="28"/>
          <w:szCs w:val="28"/>
        </w:rPr>
        <w:t>通过比较法计算确定估价对象价值为：</w:t>
      </w:r>
    </w:p>
    <w:p w:rsidR="007C13F5" w:rsidRDefault="007C13F5">
      <w:pPr>
        <w:spacing w:beforeLines="50" w:line="560" w:lineRule="exact"/>
        <w:ind w:firstLineChars="200" w:firstLine="31680"/>
        <w:rPr>
          <w:rFonts w:ascii="仿宋_GB2312" w:eastAsia="仿宋_GB2312" w:hAnsi="宋体"/>
          <w:b/>
          <w:sz w:val="28"/>
          <w:szCs w:val="28"/>
        </w:rPr>
      </w:pPr>
      <w:r>
        <w:rPr>
          <w:rFonts w:ascii="仿宋_GB2312" w:eastAsia="仿宋_GB2312" w:hAnsi="宋体" w:hint="eastAsia"/>
          <w:b/>
          <w:sz w:val="28"/>
          <w:szCs w:val="28"/>
        </w:rPr>
        <w:t>（一）市场价值</w:t>
      </w:r>
    </w:p>
    <w:p w:rsidR="007C13F5" w:rsidRDefault="007C13F5">
      <w:pPr>
        <w:spacing w:beforeLines="50" w:line="560" w:lineRule="exact"/>
        <w:ind w:firstLineChars="200" w:firstLine="31680"/>
        <w:jc w:val="center"/>
        <w:rPr>
          <w:rFonts w:ascii="仿宋_GB2312" w:eastAsia="仿宋_GB2312" w:hAnsi="宋体"/>
          <w:b/>
          <w:sz w:val="28"/>
          <w:szCs w:val="28"/>
        </w:rPr>
      </w:pPr>
      <w:r>
        <w:rPr>
          <w:rFonts w:ascii="仿宋_GB2312" w:eastAsia="仿宋_GB2312" w:hAnsi="宋体" w:hint="eastAsia"/>
          <w:b/>
          <w:sz w:val="28"/>
          <w:szCs w:val="28"/>
        </w:rPr>
        <w:t>￥</w:t>
      </w:r>
      <w:r>
        <w:rPr>
          <w:rFonts w:ascii="仿宋_GB2312" w:eastAsia="仿宋_GB2312" w:hAnsi="宋体"/>
          <w:b/>
          <w:sz w:val="28"/>
          <w:szCs w:val="28"/>
        </w:rPr>
        <w:t>77.50</w:t>
      </w:r>
      <w:r>
        <w:rPr>
          <w:rFonts w:ascii="仿宋_GB2312" w:eastAsia="仿宋_GB2312" w:hAnsi="宋体" w:hint="eastAsia"/>
          <w:b/>
          <w:sz w:val="28"/>
          <w:szCs w:val="28"/>
        </w:rPr>
        <w:t>万元（大写人民币柒拾柒万伍仟元）</w:t>
      </w:r>
    </w:p>
    <w:p w:rsidR="007C13F5" w:rsidRDefault="007C13F5">
      <w:pPr>
        <w:spacing w:beforeLines="50" w:line="260" w:lineRule="exact"/>
        <w:jc w:val="center"/>
        <w:rPr>
          <w:rFonts w:ascii="仿宋_GB2312" w:eastAsia="仿宋_GB2312" w:hAnsi="宋体"/>
          <w:b/>
          <w:sz w:val="28"/>
          <w:szCs w:val="28"/>
        </w:rPr>
      </w:pPr>
      <w:r>
        <w:rPr>
          <w:rFonts w:ascii="仿宋_GB2312" w:eastAsia="仿宋_GB2312" w:hAnsi="宋体" w:hint="eastAsia"/>
          <w:sz w:val="28"/>
          <w:szCs w:val="28"/>
        </w:rPr>
        <w:t>详见下表：</w:t>
      </w:r>
    </w:p>
    <w:tbl>
      <w:tblPr>
        <w:tblW w:w="9525" w:type="dxa"/>
        <w:jc w:val="center"/>
        <w:tblInd w:w="1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851"/>
        <w:gridCol w:w="2835"/>
        <w:gridCol w:w="1176"/>
        <w:gridCol w:w="930"/>
        <w:gridCol w:w="998"/>
        <w:gridCol w:w="687"/>
        <w:gridCol w:w="1056"/>
        <w:gridCol w:w="992"/>
      </w:tblGrid>
      <w:tr w:rsidR="007C13F5">
        <w:trPr>
          <w:trHeight w:val="618"/>
          <w:jc w:val="center"/>
        </w:trPr>
        <w:tc>
          <w:tcPr>
            <w:tcW w:w="851"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所有权人</w:t>
            </w:r>
          </w:p>
        </w:tc>
        <w:tc>
          <w:tcPr>
            <w:tcW w:w="2835"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房屋坐落</w:t>
            </w:r>
          </w:p>
        </w:tc>
        <w:tc>
          <w:tcPr>
            <w:tcW w:w="1176"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房产证号</w:t>
            </w:r>
            <w:r>
              <w:rPr>
                <w:rFonts w:ascii="宋体" w:hAnsi="宋体" w:cs="宋体"/>
                <w:color w:val="000000"/>
                <w:kern w:val="0"/>
                <w:szCs w:val="21"/>
              </w:rPr>
              <w:t xml:space="preserve">     </w:t>
            </w:r>
          </w:p>
        </w:tc>
        <w:tc>
          <w:tcPr>
            <w:tcW w:w="930"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所在层</w:t>
            </w:r>
            <w:r>
              <w:rPr>
                <w:rFonts w:ascii="宋体" w:hAnsi="宋体" w:cs="宋体"/>
                <w:color w:val="000000"/>
                <w:kern w:val="0"/>
                <w:szCs w:val="21"/>
              </w:rPr>
              <w:t>/</w:t>
            </w:r>
            <w:r>
              <w:rPr>
                <w:rFonts w:ascii="宋体" w:hAnsi="宋体" w:cs="宋体" w:hint="eastAsia"/>
                <w:color w:val="000000"/>
                <w:kern w:val="0"/>
                <w:szCs w:val="21"/>
              </w:rPr>
              <w:t>总楼层</w:t>
            </w:r>
          </w:p>
        </w:tc>
        <w:tc>
          <w:tcPr>
            <w:tcW w:w="998"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建筑面积（㎡）</w:t>
            </w:r>
          </w:p>
        </w:tc>
        <w:tc>
          <w:tcPr>
            <w:tcW w:w="687"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设计用途</w:t>
            </w:r>
          </w:p>
        </w:tc>
        <w:tc>
          <w:tcPr>
            <w:tcW w:w="1056" w:type="dxa"/>
            <w:vAlign w:val="center"/>
          </w:tcPr>
          <w:p w:rsidR="007C13F5" w:rsidRDefault="007C13F5">
            <w:pPr>
              <w:widowControl/>
              <w:spacing w:line="260" w:lineRule="exact"/>
              <w:jc w:val="center"/>
              <w:rPr>
                <w:rFonts w:ascii="宋体" w:cs="Tahoma"/>
                <w:kern w:val="0"/>
                <w:szCs w:val="21"/>
              </w:rPr>
            </w:pPr>
            <w:r>
              <w:rPr>
                <w:rFonts w:ascii="宋体" w:hAnsi="宋体" w:cs="Tahoma" w:hint="eastAsia"/>
                <w:kern w:val="0"/>
                <w:szCs w:val="21"/>
              </w:rPr>
              <w:t>单价</w:t>
            </w:r>
            <w:r>
              <w:rPr>
                <w:rFonts w:ascii="宋体" w:hAnsi="宋体" w:cs="Tahoma"/>
                <w:kern w:val="0"/>
                <w:szCs w:val="21"/>
              </w:rPr>
              <w:t xml:space="preserve">   (</w:t>
            </w:r>
            <w:r>
              <w:rPr>
                <w:rFonts w:ascii="宋体" w:hAnsi="宋体" w:cs="Tahoma" w:hint="eastAsia"/>
                <w:kern w:val="0"/>
                <w:szCs w:val="21"/>
              </w:rPr>
              <w:t>元</w:t>
            </w:r>
            <w:r>
              <w:rPr>
                <w:rFonts w:ascii="宋体" w:hAnsi="宋体" w:cs="Tahoma"/>
                <w:kern w:val="0"/>
                <w:szCs w:val="21"/>
              </w:rPr>
              <w:t>/m</w:t>
            </w:r>
            <w:r>
              <w:rPr>
                <w:rFonts w:ascii="宋体" w:hAnsi="宋体" w:cs="Tahoma"/>
                <w:kern w:val="0"/>
                <w:szCs w:val="21"/>
                <w:vertAlign w:val="superscript"/>
              </w:rPr>
              <w:t>2</w:t>
            </w:r>
            <w:r>
              <w:rPr>
                <w:rFonts w:ascii="宋体" w:hAnsi="宋体" w:cs="Tahoma"/>
                <w:kern w:val="0"/>
                <w:szCs w:val="21"/>
              </w:rPr>
              <w:t>)</w:t>
            </w:r>
          </w:p>
        </w:tc>
        <w:tc>
          <w:tcPr>
            <w:tcW w:w="992" w:type="dxa"/>
            <w:vAlign w:val="center"/>
          </w:tcPr>
          <w:p w:rsidR="007C13F5" w:rsidRDefault="007C13F5">
            <w:pPr>
              <w:widowControl/>
              <w:spacing w:line="260" w:lineRule="exact"/>
              <w:jc w:val="center"/>
              <w:rPr>
                <w:rFonts w:ascii="宋体" w:cs="Tahoma"/>
                <w:kern w:val="0"/>
                <w:szCs w:val="21"/>
              </w:rPr>
            </w:pPr>
            <w:r>
              <w:rPr>
                <w:rFonts w:ascii="宋体" w:hAnsi="宋体" w:cs="Tahoma" w:hint="eastAsia"/>
                <w:kern w:val="0"/>
                <w:szCs w:val="21"/>
              </w:rPr>
              <w:t>总价</w:t>
            </w:r>
            <w:r>
              <w:rPr>
                <w:rFonts w:ascii="宋体" w:hAnsi="宋体" w:cs="Tahoma"/>
                <w:kern w:val="0"/>
                <w:szCs w:val="21"/>
              </w:rPr>
              <w:t xml:space="preserve">    </w:t>
            </w:r>
            <w:r>
              <w:rPr>
                <w:rFonts w:ascii="宋体" w:hAnsi="宋体" w:cs="Tahoma" w:hint="eastAsia"/>
                <w:kern w:val="0"/>
                <w:szCs w:val="21"/>
              </w:rPr>
              <w:t>（万元）</w:t>
            </w:r>
          </w:p>
        </w:tc>
      </w:tr>
      <w:tr w:rsidR="007C13F5">
        <w:trPr>
          <w:trHeight w:val="904"/>
          <w:jc w:val="center"/>
        </w:trPr>
        <w:tc>
          <w:tcPr>
            <w:tcW w:w="851"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吴小兰</w:t>
            </w:r>
            <w:r>
              <w:rPr>
                <w:rFonts w:ascii="宋体" w:hAnsi="宋体" w:cs="宋体"/>
                <w:color w:val="000000"/>
                <w:kern w:val="0"/>
                <w:szCs w:val="21"/>
              </w:rPr>
              <w:t xml:space="preserve">   </w:t>
            </w:r>
          </w:p>
        </w:tc>
        <w:tc>
          <w:tcPr>
            <w:tcW w:w="2835" w:type="dxa"/>
            <w:vAlign w:val="center"/>
          </w:tcPr>
          <w:p w:rsidR="007C13F5" w:rsidRDefault="007C13F5">
            <w:pPr>
              <w:widowControl/>
              <w:spacing w:line="260" w:lineRule="exact"/>
              <w:jc w:val="left"/>
              <w:rPr>
                <w:rFonts w:ascii="宋体" w:cs="宋体"/>
                <w:color w:val="000000"/>
                <w:kern w:val="0"/>
                <w:szCs w:val="21"/>
              </w:rPr>
            </w:pPr>
            <w:r>
              <w:rPr>
                <w:rFonts w:ascii="宋体" w:hAnsi="宋体" w:cs="宋体" w:hint="eastAsia"/>
                <w:color w:val="000000"/>
                <w:kern w:val="0"/>
                <w:szCs w:val="21"/>
              </w:rPr>
              <w:t>大理市下关镇七里桥感通小区（感通小镇一期</w:t>
            </w:r>
            <w:r>
              <w:rPr>
                <w:rFonts w:ascii="宋体" w:hAnsi="宋体" w:cs="宋体"/>
                <w:color w:val="000000"/>
                <w:kern w:val="0"/>
                <w:szCs w:val="21"/>
              </w:rPr>
              <w:t>81</w:t>
            </w:r>
            <w:r>
              <w:rPr>
                <w:rFonts w:ascii="宋体" w:hAnsi="宋体" w:cs="宋体" w:hint="eastAsia"/>
                <w:color w:val="000000"/>
                <w:kern w:val="0"/>
                <w:szCs w:val="21"/>
              </w:rPr>
              <w:t>号）</w:t>
            </w:r>
          </w:p>
        </w:tc>
        <w:tc>
          <w:tcPr>
            <w:tcW w:w="1176"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color w:val="000000"/>
                <w:kern w:val="0"/>
                <w:szCs w:val="21"/>
              </w:rPr>
              <w:t>909500</w:t>
            </w:r>
          </w:p>
        </w:tc>
        <w:tc>
          <w:tcPr>
            <w:tcW w:w="930"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color w:val="000000"/>
                <w:kern w:val="0"/>
                <w:szCs w:val="21"/>
              </w:rPr>
              <w:t>1-2/2</w:t>
            </w:r>
          </w:p>
        </w:tc>
        <w:tc>
          <w:tcPr>
            <w:tcW w:w="998"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color w:val="000000"/>
                <w:kern w:val="0"/>
                <w:szCs w:val="21"/>
              </w:rPr>
              <w:t>44.58</w:t>
            </w:r>
          </w:p>
        </w:tc>
        <w:tc>
          <w:tcPr>
            <w:tcW w:w="687" w:type="dxa"/>
            <w:vAlign w:val="center"/>
          </w:tcPr>
          <w:p w:rsidR="007C13F5" w:rsidRDefault="007C13F5">
            <w:pPr>
              <w:widowControl/>
              <w:spacing w:line="260" w:lineRule="exact"/>
              <w:jc w:val="center"/>
              <w:rPr>
                <w:rFonts w:ascii="宋体" w:cs="宋体"/>
                <w:color w:val="000000"/>
                <w:kern w:val="0"/>
                <w:szCs w:val="21"/>
              </w:rPr>
            </w:pPr>
            <w:r>
              <w:rPr>
                <w:rFonts w:ascii="宋体" w:hAnsi="宋体" w:cs="宋体" w:hint="eastAsia"/>
                <w:color w:val="000000"/>
                <w:kern w:val="0"/>
                <w:szCs w:val="21"/>
              </w:rPr>
              <w:t>住宅</w:t>
            </w:r>
          </w:p>
        </w:tc>
        <w:tc>
          <w:tcPr>
            <w:tcW w:w="1056" w:type="dxa"/>
            <w:noWrap/>
            <w:vAlign w:val="center"/>
          </w:tcPr>
          <w:p w:rsidR="007C13F5" w:rsidRDefault="007C13F5">
            <w:pPr>
              <w:widowControl/>
              <w:spacing w:line="260" w:lineRule="exact"/>
              <w:jc w:val="right"/>
              <w:rPr>
                <w:rFonts w:ascii="宋体" w:cs="宋体"/>
                <w:color w:val="000000"/>
                <w:kern w:val="0"/>
                <w:szCs w:val="21"/>
              </w:rPr>
            </w:pPr>
            <w:r>
              <w:rPr>
                <w:rFonts w:ascii="宋体" w:hAnsi="宋体" w:cs="宋体"/>
                <w:color w:val="000000"/>
                <w:kern w:val="0"/>
                <w:szCs w:val="21"/>
              </w:rPr>
              <w:t xml:space="preserve">17385.18 </w:t>
            </w:r>
          </w:p>
        </w:tc>
        <w:tc>
          <w:tcPr>
            <w:tcW w:w="992" w:type="dxa"/>
            <w:noWrap/>
            <w:vAlign w:val="center"/>
          </w:tcPr>
          <w:p w:rsidR="007C13F5" w:rsidRDefault="007C13F5">
            <w:pPr>
              <w:widowControl/>
              <w:spacing w:line="260" w:lineRule="exact"/>
              <w:jc w:val="right"/>
              <w:rPr>
                <w:rFonts w:ascii="宋体" w:cs="宋体"/>
                <w:color w:val="000000"/>
                <w:kern w:val="0"/>
                <w:szCs w:val="21"/>
              </w:rPr>
            </w:pPr>
            <w:r>
              <w:rPr>
                <w:rFonts w:ascii="宋体" w:hAnsi="宋体" w:cs="宋体"/>
                <w:color w:val="000000"/>
                <w:kern w:val="0"/>
                <w:szCs w:val="21"/>
              </w:rPr>
              <w:t xml:space="preserve">77.50 </w:t>
            </w:r>
          </w:p>
        </w:tc>
      </w:tr>
    </w:tbl>
    <w:p w:rsidR="007C13F5" w:rsidRDefault="007C13F5">
      <w:pPr>
        <w:spacing w:beforeLines="50" w:line="260" w:lineRule="exact"/>
        <w:jc w:val="center"/>
        <w:rPr>
          <w:rFonts w:ascii="仿宋_GB2312" w:eastAsia="仿宋_GB2312" w:hAnsi="宋体"/>
          <w:b/>
          <w:sz w:val="28"/>
          <w:szCs w:val="28"/>
        </w:rPr>
      </w:pPr>
    </w:p>
    <w:p w:rsidR="007C13F5" w:rsidRDefault="007C13F5">
      <w:pPr>
        <w:spacing w:beforeLines="50" w:line="560" w:lineRule="exact"/>
        <w:ind w:firstLineChars="200" w:firstLine="31680"/>
        <w:jc w:val="left"/>
        <w:rPr>
          <w:rFonts w:ascii="仿宋_GB2312" w:eastAsia="仿宋_GB2312" w:hAnsi="宋体"/>
          <w:b/>
          <w:sz w:val="28"/>
          <w:szCs w:val="28"/>
        </w:rPr>
      </w:pPr>
      <w:r>
        <w:rPr>
          <w:rFonts w:ascii="仿宋_GB2312" w:eastAsia="仿宋_GB2312" w:hAnsi="宋体" w:hint="eastAsia"/>
          <w:b/>
          <w:sz w:val="28"/>
          <w:szCs w:val="28"/>
        </w:rPr>
        <w:t>（二）出卖方和买受方应负担的税费计算方式</w:t>
      </w:r>
    </w:p>
    <w:p w:rsidR="007C13F5" w:rsidRDefault="007C13F5">
      <w:pPr>
        <w:spacing w:beforeLines="50" w:line="560" w:lineRule="exact"/>
        <w:ind w:firstLineChars="200" w:firstLine="31680"/>
        <w:jc w:val="center"/>
        <w:rPr>
          <w:rFonts w:ascii="仿宋_GB2312" w:eastAsia="仿宋_GB2312" w:hAnsi="宋体"/>
          <w:sz w:val="28"/>
          <w:szCs w:val="28"/>
        </w:rPr>
      </w:pPr>
      <w:r>
        <w:rPr>
          <w:rFonts w:ascii="仿宋_GB2312" w:eastAsia="仿宋_GB2312" w:hAnsi="宋体" w:hint="eastAsia"/>
          <w:sz w:val="28"/>
          <w:szCs w:val="28"/>
        </w:rPr>
        <w:t>大理市住宅房地产市场二手房交易税费</w:t>
      </w:r>
    </w:p>
    <w:tbl>
      <w:tblPr>
        <w:tblW w:w="9654"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2100"/>
        <w:gridCol w:w="2200"/>
        <w:gridCol w:w="4180"/>
        <w:gridCol w:w="1174"/>
      </w:tblGrid>
      <w:tr w:rsidR="007C13F5">
        <w:trPr>
          <w:trHeight w:val="600"/>
        </w:trPr>
        <w:tc>
          <w:tcPr>
            <w:tcW w:w="2100"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交易税种</w:t>
            </w:r>
          </w:p>
        </w:tc>
        <w:tc>
          <w:tcPr>
            <w:tcW w:w="2200"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税率</w:t>
            </w:r>
          </w:p>
        </w:tc>
        <w:tc>
          <w:tcPr>
            <w:tcW w:w="4180"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具体政策</w:t>
            </w:r>
          </w:p>
        </w:tc>
        <w:tc>
          <w:tcPr>
            <w:tcW w:w="1174" w:type="dxa"/>
            <w:vAlign w:val="bottom"/>
          </w:tcPr>
          <w:p w:rsidR="007C13F5" w:rsidRDefault="007C13F5">
            <w:pPr>
              <w:widowControl/>
              <w:jc w:val="center"/>
              <w:rPr>
                <w:rFonts w:ascii="宋体" w:cs="宋体"/>
                <w:b/>
                <w:bCs/>
                <w:kern w:val="0"/>
                <w:sz w:val="22"/>
                <w:szCs w:val="22"/>
              </w:rPr>
            </w:pPr>
            <w:r>
              <w:rPr>
                <w:rFonts w:ascii="宋体" w:hAnsi="宋体" w:cs="宋体" w:hint="eastAsia"/>
                <w:b/>
                <w:bCs/>
                <w:kern w:val="0"/>
                <w:sz w:val="22"/>
                <w:szCs w:val="22"/>
              </w:rPr>
              <w:t>承担方</w:t>
            </w: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个人所得税</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1%</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住宅满</w:t>
            </w:r>
            <w:r>
              <w:rPr>
                <w:rFonts w:ascii="宋体" w:hAnsi="宋体" w:cs="宋体"/>
                <w:color w:val="000000"/>
                <w:kern w:val="0"/>
                <w:sz w:val="22"/>
                <w:szCs w:val="22"/>
              </w:rPr>
              <w:t>5</w:t>
            </w:r>
            <w:r>
              <w:rPr>
                <w:rFonts w:ascii="宋体" w:hAnsi="宋体" w:cs="宋体" w:hint="eastAsia"/>
                <w:color w:val="000000"/>
                <w:kern w:val="0"/>
                <w:sz w:val="22"/>
                <w:szCs w:val="22"/>
              </w:rPr>
              <w:t>年且唯一免征，必须提供无房证明</w:t>
            </w:r>
          </w:p>
        </w:tc>
        <w:tc>
          <w:tcPr>
            <w:tcW w:w="1174" w:type="dxa"/>
            <w:vAlign w:val="bottom"/>
          </w:tcPr>
          <w:p w:rsidR="007C13F5" w:rsidRDefault="007C13F5">
            <w:pPr>
              <w:widowControl/>
              <w:jc w:val="center"/>
              <w:rPr>
                <w:rFonts w:ascii="宋体" w:cs="宋体"/>
                <w:kern w:val="0"/>
                <w:sz w:val="22"/>
                <w:szCs w:val="22"/>
              </w:rPr>
            </w:pPr>
            <w:r>
              <w:rPr>
                <w:rFonts w:ascii="宋体" w:hAnsi="宋体" w:cs="宋体" w:hint="eastAsia"/>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契税（首套房）</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1-1.5%</w:t>
            </w:r>
          </w:p>
        </w:tc>
        <w:tc>
          <w:tcPr>
            <w:tcW w:w="418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1%</w:t>
            </w: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1.5%</w:t>
            </w:r>
          </w:p>
        </w:tc>
        <w:tc>
          <w:tcPr>
            <w:tcW w:w="1174" w:type="dxa"/>
            <w:vMerge w:val="restart"/>
            <w:vAlign w:val="bottom"/>
          </w:tcPr>
          <w:p w:rsidR="007C13F5" w:rsidRDefault="007C13F5">
            <w:pPr>
              <w:widowControl/>
              <w:jc w:val="center"/>
              <w:rPr>
                <w:rFonts w:ascii="宋体" w:cs="宋体"/>
                <w:kern w:val="0"/>
                <w:sz w:val="22"/>
                <w:szCs w:val="22"/>
              </w:rPr>
            </w:pPr>
            <w:r>
              <w:rPr>
                <w:rFonts w:ascii="宋体" w:hAnsi="宋体" w:cs="宋体" w:hint="eastAsia"/>
                <w:kern w:val="0"/>
                <w:sz w:val="22"/>
                <w:szCs w:val="22"/>
              </w:rPr>
              <w:t>买方</w:t>
            </w: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契税（二套房）</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1-2%</w:t>
            </w:r>
          </w:p>
        </w:tc>
        <w:tc>
          <w:tcPr>
            <w:tcW w:w="418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1%</w:t>
            </w:r>
            <w:r>
              <w:rPr>
                <w:rFonts w:ascii="宋体" w:hAnsi="宋体" w:cs="宋体" w:hint="eastAsia"/>
                <w:kern w:val="0"/>
                <w:sz w:val="22"/>
                <w:szCs w:val="22"/>
              </w:rPr>
              <w:t>；≥</w:t>
            </w:r>
            <w:r>
              <w:rPr>
                <w:rFonts w:ascii="宋体" w:hAnsi="宋体" w:cs="宋体"/>
                <w:kern w:val="0"/>
                <w:sz w:val="22"/>
                <w:szCs w:val="22"/>
              </w:rPr>
              <w:t>90</w:t>
            </w:r>
            <w:r>
              <w:rPr>
                <w:rFonts w:ascii="宋体" w:hAnsi="宋体" w:cs="宋体" w:hint="eastAsia"/>
                <w:kern w:val="0"/>
                <w:sz w:val="22"/>
                <w:szCs w:val="22"/>
              </w:rPr>
              <w:t>㎡，成交价的</w:t>
            </w:r>
            <w:r>
              <w:rPr>
                <w:rFonts w:ascii="宋体" w:hAnsi="宋体" w:cs="宋体"/>
                <w:kern w:val="0"/>
                <w:sz w:val="22"/>
                <w:szCs w:val="22"/>
              </w:rPr>
              <w:t>2%</w:t>
            </w:r>
          </w:p>
        </w:tc>
        <w:tc>
          <w:tcPr>
            <w:tcW w:w="1174" w:type="dxa"/>
            <w:vMerge/>
            <w:vAlign w:val="center"/>
          </w:tcPr>
          <w:p w:rsidR="007C13F5" w:rsidRDefault="007C13F5">
            <w:pPr>
              <w:widowControl/>
              <w:jc w:val="left"/>
              <w:rPr>
                <w:rFonts w:ascii="宋体" w:hAnsi="宋体" w:cs="宋体"/>
                <w:kern w:val="0"/>
                <w:sz w:val="22"/>
                <w:szCs w:val="22"/>
              </w:rPr>
            </w:pPr>
          </w:p>
        </w:tc>
      </w:tr>
      <w:tr w:rsidR="007C13F5">
        <w:trPr>
          <w:trHeight w:val="600"/>
        </w:trPr>
        <w:tc>
          <w:tcPr>
            <w:tcW w:w="2100" w:type="dxa"/>
            <w:vAlign w:val="bottom"/>
          </w:tcPr>
          <w:p w:rsidR="007C13F5" w:rsidRDefault="007C13F5">
            <w:pPr>
              <w:widowControl/>
              <w:jc w:val="left"/>
              <w:rPr>
                <w:rFonts w:ascii="宋体" w:cs="宋体"/>
                <w:kern w:val="0"/>
                <w:sz w:val="22"/>
                <w:szCs w:val="22"/>
              </w:rPr>
            </w:pPr>
            <w:r>
              <w:rPr>
                <w:rFonts w:ascii="宋体" w:hAnsi="宋体" w:cs="宋体" w:hint="eastAsia"/>
                <w:kern w:val="0"/>
                <w:sz w:val="22"/>
                <w:szCs w:val="22"/>
              </w:rPr>
              <w:t>契税（三套房或以上）</w:t>
            </w:r>
          </w:p>
        </w:tc>
        <w:tc>
          <w:tcPr>
            <w:tcW w:w="220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按成交价的</w:t>
            </w:r>
            <w:r>
              <w:rPr>
                <w:rFonts w:ascii="宋体" w:hAnsi="宋体" w:cs="宋体"/>
                <w:color w:val="000000"/>
                <w:kern w:val="0"/>
                <w:sz w:val="22"/>
                <w:szCs w:val="22"/>
              </w:rPr>
              <w:t>3%</w:t>
            </w:r>
          </w:p>
        </w:tc>
        <w:tc>
          <w:tcPr>
            <w:tcW w:w="4180" w:type="dxa"/>
            <w:vAlign w:val="bottom"/>
          </w:tcPr>
          <w:p w:rsidR="007C13F5" w:rsidRDefault="007C13F5">
            <w:pPr>
              <w:widowControl/>
              <w:jc w:val="left"/>
              <w:rPr>
                <w:rFonts w:ascii="宋体" w:hAnsi="宋体" w:cs="Arial"/>
                <w:kern w:val="0"/>
                <w:sz w:val="22"/>
                <w:szCs w:val="22"/>
              </w:rPr>
            </w:pPr>
            <w:r>
              <w:rPr>
                <w:rFonts w:ascii="宋体" w:hAnsi="宋体" w:cs="Arial" w:hint="eastAsia"/>
                <w:kern w:val="0"/>
                <w:sz w:val="22"/>
                <w:szCs w:val="22"/>
              </w:rPr>
              <w:t>无论面积大小，均按成交价的</w:t>
            </w:r>
            <w:r>
              <w:rPr>
                <w:rFonts w:ascii="宋体" w:hAnsi="宋体" w:cs="Arial"/>
                <w:kern w:val="0"/>
                <w:sz w:val="22"/>
                <w:szCs w:val="22"/>
              </w:rPr>
              <w:t>3%</w:t>
            </w:r>
          </w:p>
        </w:tc>
        <w:tc>
          <w:tcPr>
            <w:tcW w:w="1174" w:type="dxa"/>
            <w:vMerge/>
            <w:vAlign w:val="center"/>
          </w:tcPr>
          <w:p w:rsidR="007C13F5" w:rsidRDefault="007C13F5">
            <w:pPr>
              <w:widowControl/>
              <w:jc w:val="left"/>
              <w:rPr>
                <w:rFonts w:ascii="宋体" w:cs="宋体"/>
                <w:kern w:val="0"/>
                <w:sz w:val="22"/>
                <w:szCs w:val="22"/>
              </w:rPr>
            </w:pP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增值税及附加</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按成交价的</w:t>
            </w:r>
            <w:r>
              <w:rPr>
                <w:rFonts w:ascii="宋体" w:hAnsi="宋体" w:cs="宋体"/>
                <w:kern w:val="0"/>
                <w:sz w:val="22"/>
                <w:szCs w:val="22"/>
              </w:rPr>
              <w:t>5.6%</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住宅满两年免征</w:t>
            </w:r>
          </w:p>
        </w:tc>
        <w:tc>
          <w:tcPr>
            <w:tcW w:w="1174" w:type="dxa"/>
            <w:vAlign w:val="bottom"/>
          </w:tcPr>
          <w:p w:rsidR="007C13F5" w:rsidRDefault="007C13F5">
            <w:pPr>
              <w:widowControl/>
              <w:jc w:val="center"/>
              <w:rPr>
                <w:rFonts w:ascii="宋体" w:cs="宋体"/>
                <w:color w:val="000000"/>
                <w:kern w:val="0"/>
                <w:sz w:val="22"/>
                <w:szCs w:val="22"/>
              </w:rPr>
            </w:pPr>
            <w:r>
              <w:rPr>
                <w:rFonts w:ascii="宋体" w:hAnsi="宋体" w:cs="宋体" w:hint="eastAsia"/>
                <w:color w:val="000000"/>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土地收益金</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按成交价的</w:t>
            </w:r>
            <w:r>
              <w:rPr>
                <w:rFonts w:ascii="宋体" w:hAnsi="宋体" w:cs="宋体"/>
                <w:kern w:val="0"/>
                <w:sz w:val="22"/>
                <w:szCs w:val="22"/>
              </w:rPr>
              <w:t>0.5%</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房改房、经济适用房、合作建房等需要交此费用</w:t>
            </w:r>
          </w:p>
        </w:tc>
        <w:tc>
          <w:tcPr>
            <w:tcW w:w="1174" w:type="dxa"/>
            <w:vAlign w:val="bottom"/>
          </w:tcPr>
          <w:p w:rsidR="007C13F5" w:rsidRDefault="007C13F5">
            <w:pPr>
              <w:widowControl/>
              <w:jc w:val="center"/>
              <w:rPr>
                <w:rFonts w:ascii="宋体" w:cs="宋体"/>
                <w:color w:val="000000"/>
                <w:kern w:val="0"/>
                <w:sz w:val="22"/>
                <w:szCs w:val="22"/>
              </w:rPr>
            </w:pPr>
            <w:r>
              <w:rPr>
                <w:rFonts w:ascii="宋体" w:hAnsi="宋体" w:cs="宋体" w:hint="eastAsia"/>
                <w:color w:val="000000"/>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土地出让金</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按两次成交价差额的</w:t>
            </w:r>
            <w:r>
              <w:rPr>
                <w:rFonts w:ascii="宋体" w:hAnsi="宋体" w:cs="宋体"/>
                <w:kern w:val="0"/>
                <w:sz w:val="22"/>
                <w:szCs w:val="22"/>
              </w:rPr>
              <w:t>10%</w:t>
            </w:r>
          </w:p>
        </w:tc>
        <w:tc>
          <w:tcPr>
            <w:tcW w:w="4180" w:type="dxa"/>
            <w:vAlign w:val="bottom"/>
          </w:tcPr>
          <w:p w:rsidR="007C13F5" w:rsidRDefault="007C13F5">
            <w:pPr>
              <w:widowControl/>
              <w:jc w:val="left"/>
              <w:rPr>
                <w:rFonts w:ascii="宋体" w:hAnsi="宋体" w:cs="宋体"/>
                <w:color w:val="000000"/>
                <w:kern w:val="0"/>
                <w:sz w:val="22"/>
                <w:szCs w:val="22"/>
              </w:rPr>
            </w:pPr>
            <w:r>
              <w:rPr>
                <w:rFonts w:ascii="宋体" w:hAnsi="宋体" w:cs="宋体" w:hint="eastAsia"/>
                <w:color w:val="000000"/>
                <w:kern w:val="0"/>
                <w:sz w:val="22"/>
                <w:szCs w:val="22"/>
              </w:rPr>
              <w:t>经济适用房需要交此费用，计算方式：（现成交单价</w:t>
            </w:r>
            <w:r>
              <w:rPr>
                <w:rFonts w:ascii="宋体" w:cs="宋体"/>
                <w:color w:val="000000"/>
                <w:kern w:val="0"/>
                <w:sz w:val="22"/>
                <w:szCs w:val="22"/>
              </w:rPr>
              <w:t>-</w:t>
            </w:r>
            <w:r>
              <w:rPr>
                <w:rFonts w:ascii="宋体" w:hAnsi="宋体" w:cs="宋体" w:hint="eastAsia"/>
                <w:color w:val="000000"/>
                <w:kern w:val="0"/>
                <w:sz w:val="22"/>
                <w:szCs w:val="22"/>
              </w:rPr>
              <w:t>原优惠单价）×原优惠面积×</w:t>
            </w:r>
            <w:r>
              <w:rPr>
                <w:rFonts w:ascii="宋体" w:hAnsi="宋体" w:cs="宋体"/>
                <w:color w:val="000000"/>
                <w:kern w:val="0"/>
                <w:sz w:val="22"/>
                <w:szCs w:val="22"/>
              </w:rPr>
              <w:t>10%</w:t>
            </w:r>
          </w:p>
        </w:tc>
        <w:tc>
          <w:tcPr>
            <w:tcW w:w="1174" w:type="dxa"/>
            <w:vAlign w:val="bottom"/>
          </w:tcPr>
          <w:p w:rsidR="007C13F5" w:rsidRDefault="007C13F5">
            <w:pPr>
              <w:widowControl/>
              <w:jc w:val="center"/>
              <w:rPr>
                <w:rFonts w:ascii="宋体" w:cs="宋体"/>
                <w:color w:val="000000"/>
                <w:kern w:val="0"/>
                <w:sz w:val="22"/>
                <w:szCs w:val="22"/>
              </w:rPr>
            </w:pPr>
            <w:r>
              <w:rPr>
                <w:rFonts w:ascii="宋体" w:hAnsi="宋体" w:cs="宋体" w:hint="eastAsia"/>
                <w:color w:val="000000"/>
                <w:kern w:val="0"/>
                <w:sz w:val="22"/>
                <w:szCs w:val="22"/>
              </w:rPr>
              <w:t>卖方</w:t>
            </w:r>
          </w:p>
        </w:tc>
      </w:tr>
      <w:tr w:rsidR="007C13F5">
        <w:trPr>
          <w:trHeight w:val="600"/>
        </w:trPr>
        <w:tc>
          <w:tcPr>
            <w:tcW w:w="210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印花税</w:t>
            </w:r>
          </w:p>
        </w:tc>
        <w:tc>
          <w:tcPr>
            <w:tcW w:w="2200" w:type="dxa"/>
            <w:vAlign w:val="bottom"/>
          </w:tcPr>
          <w:p w:rsidR="007C13F5" w:rsidRDefault="007C13F5">
            <w:pPr>
              <w:widowControl/>
              <w:jc w:val="left"/>
              <w:rPr>
                <w:rFonts w:ascii="宋体" w:hAnsi="宋体" w:cs="宋体"/>
                <w:kern w:val="0"/>
                <w:sz w:val="22"/>
                <w:szCs w:val="22"/>
              </w:rPr>
            </w:pPr>
            <w:r>
              <w:rPr>
                <w:rFonts w:ascii="宋体" w:hAnsi="宋体" w:cs="宋体" w:hint="eastAsia"/>
                <w:kern w:val="0"/>
                <w:sz w:val="22"/>
                <w:szCs w:val="22"/>
              </w:rPr>
              <w:t>按成交价的</w:t>
            </w:r>
            <w:r>
              <w:rPr>
                <w:rFonts w:ascii="宋体" w:hAnsi="宋体" w:cs="宋体"/>
                <w:kern w:val="0"/>
                <w:sz w:val="22"/>
                <w:szCs w:val="22"/>
              </w:rPr>
              <w:t>0.05%</w:t>
            </w:r>
          </w:p>
        </w:tc>
        <w:tc>
          <w:tcPr>
            <w:tcW w:w="4180"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目前住宅免征</w:t>
            </w:r>
          </w:p>
        </w:tc>
        <w:tc>
          <w:tcPr>
            <w:tcW w:w="1174" w:type="dxa"/>
            <w:vAlign w:val="bottom"/>
          </w:tcPr>
          <w:p w:rsidR="007C13F5" w:rsidRDefault="007C13F5">
            <w:pPr>
              <w:widowControl/>
              <w:jc w:val="left"/>
              <w:rPr>
                <w:rFonts w:ascii="宋体" w:cs="宋体"/>
                <w:color w:val="000000"/>
                <w:kern w:val="0"/>
                <w:sz w:val="22"/>
                <w:szCs w:val="22"/>
              </w:rPr>
            </w:pPr>
            <w:r>
              <w:rPr>
                <w:rFonts w:ascii="宋体" w:hAnsi="宋体" w:cs="宋体" w:hint="eastAsia"/>
                <w:color w:val="000000"/>
                <w:kern w:val="0"/>
                <w:sz w:val="22"/>
                <w:szCs w:val="22"/>
              </w:rPr>
              <w:t>买方和卖方各一半</w:t>
            </w:r>
          </w:p>
        </w:tc>
      </w:tr>
    </w:tbl>
    <w:p w:rsidR="007C13F5" w:rsidRDefault="007C13F5" w:rsidP="007C13F5">
      <w:pPr>
        <w:spacing w:line="800" w:lineRule="exact"/>
        <w:ind w:firstLineChars="200" w:firstLine="31680"/>
        <w:jc w:val="right"/>
        <w:rPr>
          <w:rFonts w:ascii="仿宋_GB2312" w:eastAsia="仿宋_GB2312" w:hAnsi="宋体"/>
          <w:sz w:val="28"/>
          <w:szCs w:val="28"/>
        </w:rPr>
      </w:pPr>
    </w:p>
    <w:p w:rsidR="007C13F5" w:rsidRDefault="007C13F5">
      <w:pPr>
        <w:spacing w:line="800" w:lineRule="exact"/>
        <w:ind w:firstLineChars="200" w:firstLine="31680"/>
        <w:jc w:val="right"/>
        <w:rPr>
          <w:rFonts w:ascii="仿宋_GB2312" w:eastAsia="仿宋_GB2312" w:hAnsi="宋体"/>
          <w:sz w:val="28"/>
          <w:szCs w:val="28"/>
        </w:rPr>
      </w:pPr>
    </w:p>
    <w:p w:rsidR="007C13F5" w:rsidRDefault="007C13F5">
      <w:pPr>
        <w:spacing w:line="800" w:lineRule="exact"/>
        <w:ind w:firstLineChars="200" w:firstLine="31680"/>
        <w:jc w:val="right"/>
        <w:rPr>
          <w:rFonts w:ascii="仿宋_GB2312" w:eastAsia="仿宋_GB2312" w:hAnsi="宋体"/>
          <w:sz w:val="28"/>
          <w:szCs w:val="28"/>
        </w:rPr>
      </w:pPr>
      <w:r>
        <w:rPr>
          <w:rFonts w:ascii="仿宋_GB2312" w:eastAsia="仿宋_GB2312" w:hAnsi="宋体" w:hint="eastAsia"/>
          <w:sz w:val="28"/>
          <w:szCs w:val="28"/>
        </w:rPr>
        <w:t>云南银信房地产土地资产评估有限公司</w:t>
      </w:r>
    </w:p>
    <w:p w:rsidR="007C13F5" w:rsidRDefault="007C13F5">
      <w:pPr>
        <w:spacing w:line="360" w:lineRule="auto"/>
        <w:ind w:firstLineChars="200" w:firstLine="31680"/>
        <w:jc w:val="right"/>
        <w:rPr>
          <w:rFonts w:ascii="仿宋_GB2312" w:eastAsia="仿宋_GB2312" w:hAnsi="宋体"/>
          <w:sz w:val="28"/>
          <w:szCs w:val="28"/>
        </w:rPr>
      </w:pPr>
      <w:r>
        <w:rPr>
          <w:rFonts w:ascii="仿宋_GB2312" w:eastAsia="仿宋_GB2312" w:hAnsi="宋体"/>
          <w:sz w:val="28"/>
          <w:szCs w:val="28"/>
        </w:rPr>
        <w:t>2020</w:t>
      </w:r>
      <w:r>
        <w:rPr>
          <w:rFonts w:ascii="仿宋_GB2312" w:eastAsia="仿宋_GB2312" w:hAnsi="宋体" w:hint="eastAsia"/>
          <w:sz w:val="28"/>
          <w:szCs w:val="28"/>
        </w:rPr>
        <w:t>年</w:t>
      </w:r>
      <w:r>
        <w:rPr>
          <w:rFonts w:ascii="仿宋_GB2312" w:eastAsia="仿宋_GB2312" w:hAnsi="宋体"/>
          <w:sz w:val="28"/>
          <w:szCs w:val="28"/>
        </w:rPr>
        <w:t>5</w:t>
      </w:r>
      <w:r>
        <w:rPr>
          <w:rFonts w:ascii="仿宋_GB2312" w:eastAsia="仿宋_GB2312" w:hAnsi="宋体" w:hint="eastAsia"/>
          <w:sz w:val="28"/>
          <w:szCs w:val="28"/>
        </w:rPr>
        <w:t>月</w:t>
      </w:r>
      <w:r>
        <w:rPr>
          <w:rFonts w:ascii="仿宋_GB2312" w:eastAsia="仿宋_GB2312" w:hAnsi="宋体"/>
          <w:sz w:val="28"/>
          <w:szCs w:val="28"/>
        </w:rPr>
        <w:t>18</w:t>
      </w:r>
      <w:r>
        <w:rPr>
          <w:rFonts w:ascii="仿宋_GB2312" w:eastAsia="仿宋_GB2312" w:hAnsi="宋体" w:hint="eastAsia"/>
          <w:sz w:val="28"/>
          <w:szCs w:val="28"/>
        </w:rPr>
        <w:t>日</w:t>
      </w:r>
    </w:p>
    <w:p w:rsidR="007C13F5" w:rsidRDefault="007C13F5">
      <w:pPr>
        <w:spacing w:line="360" w:lineRule="auto"/>
        <w:ind w:firstLineChars="200" w:firstLine="31680"/>
        <w:jc w:val="right"/>
        <w:rPr>
          <w:rFonts w:ascii="仿宋_GB2312" w:eastAsia="仿宋_GB2312" w:hAnsi="宋体"/>
          <w:sz w:val="28"/>
          <w:szCs w:val="28"/>
        </w:rPr>
      </w:pPr>
      <w:r>
        <w:rPr>
          <w:rFonts w:ascii="仿宋_GB2312" w:eastAsia="仿宋_GB2312" w:hAnsi="宋体"/>
          <w:sz w:val="28"/>
          <w:szCs w:val="28"/>
        </w:rPr>
        <w:br w:type="page"/>
      </w:r>
    </w:p>
    <w:p w:rsidR="007C13F5" w:rsidRDefault="007C13F5">
      <w:pPr>
        <w:pStyle w:val="Heading1"/>
        <w:ind w:firstLineChars="200" w:firstLine="31680"/>
        <w:rPr>
          <w:rFonts w:ascii="仿宋_GB2312" w:eastAsia="仿宋_GB2312"/>
          <w:b/>
          <w:sz w:val="36"/>
          <w:szCs w:val="36"/>
        </w:rPr>
      </w:pPr>
      <w:bookmarkStart w:id="25" w:name="_Toc499890271"/>
      <w:r>
        <w:rPr>
          <w:rFonts w:ascii="仿宋_GB2312" w:eastAsia="仿宋_GB2312" w:hint="eastAsia"/>
          <w:b/>
          <w:sz w:val="36"/>
          <w:szCs w:val="36"/>
        </w:rPr>
        <w:t>第五部分</w:t>
      </w:r>
      <w:r>
        <w:rPr>
          <w:rFonts w:ascii="仿宋_GB2312" w:eastAsia="仿宋_GB2312"/>
          <w:b/>
          <w:sz w:val="36"/>
          <w:szCs w:val="36"/>
        </w:rPr>
        <w:t xml:space="preserve"> </w:t>
      </w:r>
      <w:r>
        <w:rPr>
          <w:rFonts w:ascii="仿宋_GB2312" w:eastAsia="仿宋_GB2312" w:hint="eastAsia"/>
          <w:b/>
          <w:sz w:val="36"/>
          <w:szCs w:val="36"/>
        </w:rPr>
        <w:t>附</w:t>
      </w:r>
      <w:r>
        <w:rPr>
          <w:rFonts w:ascii="仿宋_GB2312" w:eastAsia="仿宋_GB2312"/>
          <w:b/>
          <w:sz w:val="36"/>
          <w:szCs w:val="36"/>
        </w:rPr>
        <w:t xml:space="preserve">  </w:t>
      </w:r>
      <w:r>
        <w:rPr>
          <w:rFonts w:ascii="仿宋_GB2312" w:eastAsia="仿宋_GB2312" w:hint="eastAsia"/>
          <w:b/>
          <w:sz w:val="36"/>
          <w:szCs w:val="36"/>
        </w:rPr>
        <w:t>件</w:t>
      </w:r>
      <w:bookmarkEnd w:id="25"/>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r>
        <w:rPr>
          <w:rFonts w:ascii="仿宋_GB2312" w:eastAsia="仿宋_GB2312" w:hAnsi="宋体"/>
          <w:sz w:val="28"/>
        </w:rPr>
        <w:t>1.</w:t>
      </w:r>
      <w:r>
        <w:rPr>
          <w:rFonts w:ascii="仿宋_GB2312" w:eastAsia="仿宋_GB2312" w:hAnsi="宋体" w:hint="eastAsia"/>
          <w:sz w:val="28"/>
        </w:rPr>
        <w:t>估价对象位置示意图；</w:t>
      </w:r>
    </w:p>
    <w:p w:rsidR="007C13F5" w:rsidRDefault="007C13F5">
      <w:pPr>
        <w:spacing w:line="480" w:lineRule="auto"/>
        <w:ind w:firstLineChars="200" w:firstLine="31680"/>
        <w:rPr>
          <w:rFonts w:ascii="仿宋_GB2312" w:eastAsia="仿宋_GB2312" w:hAnsi="宋体"/>
          <w:sz w:val="28"/>
        </w:rPr>
      </w:pPr>
      <w:r>
        <w:rPr>
          <w:rFonts w:ascii="仿宋_GB2312" w:eastAsia="仿宋_GB2312" w:hAnsi="宋体"/>
          <w:sz w:val="28"/>
        </w:rPr>
        <w:t>2.</w:t>
      </w:r>
      <w:r>
        <w:rPr>
          <w:rFonts w:ascii="仿宋_GB2312" w:eastAsia="仿宋_GB2312" w:hAnsi="宋体" w:hint="eastAsia"/>
          <w:sz w:val="28"/>
        </w:rPr>
        <w:t>估价对象现场图片；</w:t>
      </w:r>
    </w:p>
    <w:p w:rsidR="007C13F5" w:rsidRDefault="007C13F5">
      <w:pPr>
        <w:spacing w:line="480" w:lineRule="auto"/>
        <w:ind w:firstLineChars="200" w:firstLine="31680"/>
        <w:rPr>
          <w:rFonts w:ascii="仿宋_GB2312" w:eastAsia="仿宋_GB2312" w:hAnsi="宋体"/>
          <w:sz w:val="28"/>
        </w:rPr>
      </w:pPr>
      <w:r>
        <w:rPr>
          <w:rFonts w:ascii="仿宋_GB2312" w:eastAsia="仿宋_GB2312" w:hAnsi="宋体"/>
          <w:sz w:val="28"/>
        </w:rPr>
        <w:t>3.</w:t>
      </w:r>
      <w:r>
        <w:rPr>
          <w:rFonts w:ascii="仿宋_GB2312" w:eastAsia="仿宋_GB2312" w:hAnsi="宋体" w:hint="eastAsia"/>
          <w:sz w:val="28"/>
        </w:rPr>
        <w:t>司法鉴定委托书</w:t>
      </w:r>
      <w:r>
        <w:rPr>
          <w:rFonts w:ascii="仿宋_GB2312" w:eastAsia="仿宋_GB2312" w:hAnsi="宋体" w:hint="eastAsia"/>
          <w:sz w:val="28"/>
          <w:szCs w:val="28"/>
        </w:rPr>
        <w:t>复印件</w:t>
      </w:r>
      <w:r>
        <w:rPr>
          <w:rFonts w:ascii="仿宋_GB2312" w:eastAsia="仿宋_GB2312" w:hAnsi="宋体" w:hint="eastAsia"/>
          <w:sz w:val="28"/>
        </w:rPr>
        <w:t>；</w:t>
      </w:r>
    </w:p>
    <w:p w:rsidR="007C13F5" w:rsidRDefault="007C13F5">
      <w:pPr>
        <w:spacing w:line="480" w:lineRule="auto"/>
        <w:ind w:firstLineChars="200" w:firstLine="31680"/>
        <w:rPr>
          <w:rFonts w:ascii="仿宋_GB2312" w:eastAsia="仿宋_GB2312" w:hAnsi="宋体"/>
          <w:sz w:val="28"/>
        </w:rPr>
      </w:pPr>
      <w:r>
        <w:rPr>
          <w:rFonts w:ascii="仿宋_GB2312" w:eastAsia="仿宋_GB2312" w:hAnsi="宋体"/>
          <w:sz w:val="28"/>
        </w:rPr>
        <w:t>4.</w:t>
      </w:r>
      <w:r>
        <w:rPr>
          <w:rFonts w:ascii="仿宋_GB2312" w:eastAsia="仿宋_GB2312" w:hAnsi="宋体" w:hint="eastAsia"/>
          <w:sz w:val="28"/>
        </w:rPr>
        <w:t>《房屋信息查询摘抄表》（复印件）；</w:t>
      </w:r>
    </w:p>
    <w:p w:rsidR="007C13F5" w:rsidRDefault="007C13F5">
      <w:pPr>
        <w:spacing w:line="480" w:lineRule="auto"/>
        <w:ind w:firstLineChars="200" w:firstLine="31680"/>
        <w:rPr>
          <w:rFonts w:ascii="仿宋_GB2312" w:eastAsia="仿宋_GB2312" w:hAnsi="宋体"/>
          <w:sz w:val="28"/>
        </w:rPr>
      </w:pPr>
      <w:r>
        <w:rPr>
          <w:rFonts w:ascii="仿宋_GB2312" w:eastAsia="仿宋_GB2312" w:hAnsi="宋体"/>
          <w:sz w:val="28"/>
        </w:rPr>
        <w:t>5.</w:t>
      </w:r>
      <w:r>
        <w:rPr>
          <w:rFonts w:ascii="仿宋_GB2312" w:eastAsia="仿宋_GB2312" w:hAnsi="宋体" w:hint="eastAsia"/>
          <w:sz w:val="28"/>
        </w:rPr>
        <w:t>《土地登记卡》（复印件）；</w:t>
      </w:r>
    </w:p>
    <w:p w:rsidR="007C13F5" w:rsidRDefault="007C13F5">
      <w:pPr>
        <w:spacing w:line="480" w:lineRule="auto"/>
        <w:ind w:firstLineChars="200" w:firstLine="31680"/>
        <w:rPr>
          <w:rFonts w:ascii="仿宋_GB2312" w:eastAsia="仿宋_GB2312" w:hAnsi="宋体"/>
          <w:sz w:val="28"/>
        </w:rPr>
      </w:pPr>
      <w:r>
        <w:rPr>
          <w:rFonts w:ascii="仿宋_GB2312" w:eastAsia="仿宋_GB2312" w:hAnsi="宋体"/>
          <w:sz w:val="28"/>
        </w:rPr>
        <w:t>6.</w:t>
      </w:r>
      <w:r>
        <w:rPr>
          <w:rFonts w:ascii="仿宋_GB2312" w:eastAsia="仿宋_GB2312" w:hAnsi="宋体" w:hint="eastAsia"/>
          <w:sz w:val="28"/>
        </w:rPr>
        <w:t>房地产价格评估机构资格证书（复印件）；</w:t>
      </w:r>
    </w:p>
    <w:p w:rsidR="007C13F5" w:rsidRDefault="007C13F5">
      <w:pPr>
        <w:spacing w:line="480" w:lineRule="auto"/>
        <w:ind w:firstLineChars="200" w:firstLine="31680"/>
        <w:rPr>
          <w:rFonts w:ascii="仿宋_GB2312" w:eastAsia="仿宋_GB2312" w:hAnsi="宋体"/>
          <w:sz w:val="28"/>
        </w:rPr>
      </w:pPr>
      <w:r>
        <w:rPr>
          <w:rFonts w:ascii="仿宋_GB2312" w:eastAsia="仿宋_GB2312" w:hAnsi="宋体"/>
          <w:sz w:val="28"/>
        </w:rPr>
        <w:t>7.</w:t>
      </w:r>
      <w:r>
        <w:rPr>
          <w:rFonts w:ascii="仿宋_GB2312" w:eastAsia="仿宋_GB2312" w:hAnsi="宋体" w:hint="eastAsia"/>
          <w:sz w:val="28"/>
        </w:rPr>
        <w:t>房地产价格评估机构《企业法人营业执照》（复印件）；</w:t>
      </w:r>
    </w:p>
    <w:p w:rsidR="007C13F5" w:rsidRDefault="007C13F5">
      <w:pPr>
        <w:spacing w:line="480" w:lineRule="auto"/>
        <w:ind w:firstLineChars="200" w:firstLine="31680"/>
        <w:rPr>
          <w:rFonts w:ascii="仿宋_GB2312" w:eastAsia="仿宋_GB2312" w:hAnsi="宋体"/>
          <w:sz w:val="28"/>
        </w:rPr>
      </w:pPr>
      <w:r>
        <w:rPr>
          <w:rFonts w:ascii="仿宋_GB2312" w:eastAsia="仿宋_GB2312" w:hAnsi="宋体"/>
          <w:sz w:val="28"/>
        </w:rPr>
        <w:t>8.</w:t>
      </w:r>
      <w:r>
        <w:rPr>
          <w:rFonts w:ascii="仿宋_GB2312" w:eastAsia="仿宋_GB2312" w:hAnsi="宋体" w:hint="eastAsia"/>
          <w:sz w:val="28"/>
        </w:rPr>
        <w:t>房地产估价师资格证书（复印件）。</w:t>
      </w: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rPr>
          <w:rFonts w:ascii="仿宋_GB2312" w:eastAsia="仿宋_GB2312" w:hAnsi="宋体"/>
          <w:sz w:val="28"/>
        </w:rPr>
      </w:pPr>
    </w:p>
    <w:p w:rsidR="007C13F5" w:rsidRDefault="007C13F5">
      <w:pPr>
        <w:spacing w:line="480" w:lineRule="auto"/>
        <w:ind w:firstLineChars="200" w:firstLine="31680"/>
        <w:jc w:val="center"/>
        <w:rPr>
          <w:rFonts w:ascii="仿宋_GB2312" w:eastAsia="仿宋_GB2312" w:hAnsi="宋体"/>
          <w:b/>
          <w:sz w:val="36"/>
          <w:szCs w:val="36"/>
        </w:rPr>
        <w:sectPr w:rsidR="007C13F5">
          <w:headerReference w:type="even" r:id="rId8"/>
          <w:headerReference w:type="default" r:id="rId9"/>
          <w:footerReference w:type="even" r:id="rId10"/>
          <w:footerReference w:type="default" r:id="rId11"/>
          <w:headerReference w:type="first" r:id="rId12"/>
          <w:footerReference w:type="first" r:id="rId13"/>
          <w:pgSz w:w="11906" w:h="16838" w:code="9"/>
          <w:pgMar w:top="851" w:right="1286" w:bottom="935" w:left="1304" w:header="851" w:footer="752" w:gutter="0"/>
          <w:pgNumType w:start="1"/>
          <w:cols w:space="425"/>
          <w:titlePg/>
          <w:docGrid w:type="lines" w:linePitch="312"/>
        </w:sectPr>
      </w:pPr>
    </w:p>
    <w:p w:rsidR="007C13F5" w:rsidRDefault="007C13F5">
      <w:pPr>
        <w:spacing w:line="480" w:lineRule="auto"/>
        <w:ind w:firstLineChars="200" w:firstLine="31680"/>
        <w:jc w:val="center"/>
        <w:rPr>
          <w:rFonts w:ascii="仿宋_GB2312" w:eastAsia="仿宋_GB2312" w:hAnsi="宋体"/>
          <w:b/>
          <w:sz w:val="36"/>
          <w:szCs w:val="36"/>
        </w:rPr>
      </w:pPr>
      <w:r>
        <w:rPr>
          <w:rFonts w:ascii="仿宋_GB2312" w:eastAsia="仿宋_GB2312" w:hAnsi="宋体" w:hint="eastAsia"/>
          <w:b/>
          <w:sz w:val="36"/>
          <w:szCs w:val="36"/>
        </w:rPr>
        <w:t>估价对象位置示意图</w:t>
      </w:r>
    </w:p>
    <w:p w:rsidR="007C13F5" w:rsidRDefault="007C13F5">
      <w:pPr>
        <w:spacing w:line="480" w:lineRule="auto"/>
        <w:ind w:firstLineChars="200" w:firstLine="31680"/>
        <w:jc w:val="center"/>
        <w:rPr>
          <w:rFonts w:ascii="仿宋_GB2312" w:eastAsia="仿宋_GB2312" w:hAnsi="宋体"/>
          <w:sz w:val="28"/>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203.7pt;margin-top:50.35pt;width:90pt;height:23.4pt;flip:y;z-index:251664384" adj="33264,-113447">
            <v:textbox style="mso-next-textbox:#_x0000_s1027">
              <w:txbxContent>
                <w:p w:rsidR="007C13F5" w:rsidRDefault="007C13F5">
                  <w:pPr>
                    <w:rPr>
                      <w:color w:val="FF0000"/>
                    </w:rPr>
                  </w:pPr>
                  <w:r>
                    <w:rPr>
                      <w:rFonts w:hint="eastAsia"/>
                      <w:color w:val="FF0000"/>
                    </w:rPr>
                    <w:t>估价对象位置</w:t>
                  </w:r>
                </w:p>
              </w:txbxContent>
            </v:textbox>
          </v:shape>
        </w:pict>
      </w:r>
      <w:r>
        <w:rPr>
          <w:noProof/>
        </w:rPr>
        <w:pict>
          <v:shape id="图片 46" o:spid="_x0000_i1025" type="#_x0000_t75" style="width:665.25pt;height:418.5pt;visibility:visible">
            <v:imagedata r:id="rId14" o:title=""/>
          </v:shape>
        </w:pict>
      </w:r>
    </w:p>
    <w:p w:rsidR="007C13F5" w:rsidRDefault="007C13F5">
      <w:pPr>
        <w:spacing w:line="480" w:lineRule="auto"/>
        <w:ind w:firstLineChars="200" w:firstLine="31680"/>
        <w:sectPr w:rsidR="007C13F5">
          <w:pgSz w:w="16838" w:h="11906" w:orient="landscape" w:code="9"/>
          <w:pgMar w:top="1304" w:right="851" w:bottom="1287" w:left="936" w:header="851" w:footer="754" w:gutter="0"/>
          <w:cols w:space="425"/>
          <w:titlePg/>
          <w:docGrid w:type="linesAndChars" w:linePitch="312"/>
        </w:sectPr>
      </w:pPr>
    </w:p>
    <w:p w:rsidR="007C13F5" w:rsidRDefault="007C13F5">
      <w:pPr>
        <w:spacing w:line="480" w:lineRule="auto"/>
        <w:ind w:firstLineChars="200" w:firstLine="31680"/>
      </w:pPr>
    </w:p>
    <w:p w:rsidR="007C13F5" w:rsidRDefault="007C13F5">
      <w:pPr>
        <w:spacing w:line="480" w:lineRule="auto"/>
        <w:ind w:firstLineChars="200" w:firstLine="31680"/>
        <w:jc w:val="center"/>
        <w:rPr>
          <w:rFonts w:ascii="仿宋_GB2312" w:eastAsia="仿宋_GB2312" w:hAnsi="宋体"/>
          <w:b/>
          <w:sz w:val="36"/>
          <w:szCs w:val="36"/>
        </w:rPr>
      </w:pPr>
      <w:r>
        <w:rPr>
          <w:noProof/>
        </w:rPr>
        <w:pict>
          <v:shape id="图片 3" o:spid="_x0000_s1028" type="#_x0000_t75" alt="IMG_3655.JPG" style="position:absolute;left:0;text-align:left;margin-left:247.55pt;margin-top:31.25pt;width:226.4pt;height:169.8pt;z-index:251652096;visibility:visible">
            <v:imagedata r:id="rId15" o:title=""/>
            <w10:wrap type="square"/>
          </v:shape>
        </w:pict>
      </w:r>
      <w:r>
        <w:rPr>
          <w:noProof/>
        </w:rPr>
        <w:pict>
          <v:shape id="图片 2" o:spid="_x0000_s1029" type="#_x0000_t75" alt="IMG_3651.JPG" style="position:absolute;left:0;text-align:left;margin-left:0;margin-top:32pt;width:226.4pt;height:169.8pt;z-index:251651072;visibility:visible;mso-position-horizontal:left;mso-position-horizontal-relative:margin">
            <v:imagedata r:id="rId16" o:title=""/>
            <w10:wrap type="square" anchorx="margin"/>
          </v:shape>
        </w:pict>
      </w:r>
      <w:r>
        <w:rPr>
          <w:rFonts w:ascii="仿宋_GB2312" w:eastAsia="仿宋_GB2312" w:hAnsi="宋体" w:hint="eastAsia"/>
          <w:b/>
          <w:sz w:val="36"/>
          <w:szCs w:val="36"/>
        </w:rPr>
        <w:t>估价对象照片</w:t>
      </w:r>
    </w:p>
    <w:p w:rsidR="007C13F5" w:rsidRDefault="007C13F5">
      <w:pPr>
        <w:spacing w:line="480" w:lineRule="auto"/>
        <w:ind w:firstLineChars="200" w:firstLine="31680"/>
        <w:jc w:val="center"/>
        <w:rPr>
          <w:rFonts w:ascii="仿宋_GB2312" w:eastAsia="仿宋_GB2312" w:hAnsi="宋体"/>
          <w:b/>
          <w:sz w:val="36"/>
          <w:szCs w:val="36"/>
        </w:rPr>
      </w:pPr>
      <w:r>
        <w:rPr>
          <w:noProof/>
        </w:rPr>
        <w:pict>
          <v:shape id="图片 14" o:spid="_x0000_s1030" type="#_x0000_t75" alt="IMG_3683.JPG" style="position:absolute;left:0;text-align:left;margin-left:11.3pt;margin-top:191.3pt;width:226pt;height:169.5pt;z-index:251656192;visibility:visible">
            <v:imagedata r:id="rId17" o:title=""/>
            <w10:wrap type="square"/>
          </v:shape>
        </w:pict>
      </w:r>
      <w:r>
        <w:rPr>
          <w:noProof/>
        </w:rPr>
        <w:pict>
          <v:shape id="图片 8" o:spid="_x0000_s1031" type="#_x0000_t75" alt="IMG_3673.JPG" style="position:absolute;left:0;text-align:left;margin-left:-235.45pt;margin-top:190.55pt;width:226pt;height:169.5pt;z-index:251653120;visibility:visible">
            <v:imagedata r:id="rId18" o:title=""/>
            <w10:wrap type="square"/>
          </v:shape>
        </w:pict>
      </w:r>
    </w:p>
    <w:p w:rsidR="007C13F5" w:rsidRDefault="007C13F5">
      <w:pPr>
        <w:spacing w:line="480" w:lineRule="auto"/>
        <w:ind w:firstLineChars="200" w:firstLine="31680"/>
        <w:jc w:val="center"/>
        <w:rPr>
          <w:rFonts w:ascii="仿宋_GB2312" w:eastAsia="仿宋_GB2312" w:hAnsi="宋体"/>
          <w:b/>
          <w:sz w:val="36"/>
          <w:szCs w:val="36"/>
        </w:rPr>
      </w:pPr>
      <w:r>
        <w:rPr>
          <w:noProof/>
        </w:rPr>
        <w:pict>
          <v:shape id="图片 11" o:spid="_x0000_s1032" type="#_x0000_t75" alt="IMG_3656.JPG" style="position:absolute;left:0;text-align:left;margin-left:247.55pt;margin-top:2.55pt;width:226pt;height:169.5pt;z-index:251655168;visibility:visible">
            <v:imagedata r:id="rId19" o:title=""/>
            <w10:wrap type="square"/>
          </v:shape>
        </w:pict>
      </w:r>
      <w:r>
        <w:rPr>
          <w:noProof/>
        </w:rPr>
        <w:pict>
          <v:shape id="图片 10" o:spid="_x0000_s1033" type="#_x0000_t75" alt="IMG_3692.JPG" style="position:absolute;left:0;text-align:left;margin-left:1.55pt;margin-top:2.55pt;width:226pt;height:169.5pt;z-index:251654144;visibility:visible">
            <v:imagedata r:id="rId20" o:title=""/>
          </v:shape>
        </w:pict>
      </w: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bookmarkStart w:id="26" w:name="_GoBack"/>
      <w:bookmarkEnd w:id="26"/>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r>
        <w:rPr>
          <w:noProof/>
        </w:rPr>
        <w:pict>
          <v:shape id="_x0000_s1034" type="#_x0000_t75" alt="IMG_3655.JPG" style="position:absolute;left:0;text-align:left;margin-left:247.55pt;margin-top:31.6pt;width:226.4pt;height:169.8pt;z-index:251659264;visibility:visible">
            <v:imagedata r:id="rId21" o:title=""/>
            <w10:wrap type="square"/>
          </v:shape>
        </w:pict>
      </w:r>
      <w:r>
        <w:rPr>
          <w:noProof/>
        </w:rPr>
        <w:pict>
          <v:shape id="_x0000_s1035" type="#_x0000_t75" alt="IMG_3651.JPG" style="position:absolute;left:0;text-align:left;margin-left:0;margin-top:32.35pt;width:226.4pt;height:169.8pt;z-index:251658240;visibility:visible;mso-position-horizontal:left;mso-position-horizontal-relative:margin">
            <v:imagedata r:id="rId22" o:title=""/>
            <w10:wrap type="square" anchorx="margin"/>
          </v:shape>
        </w:pict>
      </w:r>
      <w:r>
        <w:rPr>
          <w:rFonts w:ascii="仿宋_GB2312" w:eastAsia="仿宋_GB2312" w:hAnsi="宋体" w:hint="eastAsia"/>
          <w:b/>
          <w:sz w:val="36"/>
          <w:szCs w:val="36"/>
        </w:rPr>
        <w:t>估价对象照片</w:t>
      </w:r>
    </w:p>
    <w:p w:rsidR="007C13F5" w:rsidRDefault="007C13F5">
      <w:pPr>
        <w:spacing w:line="480" w:lineRule="auto"/>
        <w:ind w:firstLineChars="200" w:firstLine="31680"/>
        <w:jc w:val="center"/>
        <w:rPr>
          <w:rFonts w:ascii="仿宋_GB2312" w:eastAsia="仿宋_GB2312" w:hAnsi="宋体"/>
          <w:b/>
          <w:sz w:val="36"/>
          <w:szCs w:val="36"/>
        </w:rPr>
      </w:pPr>
      <w:r>
        <w:rPr>
          <w:noProof/>
        </w:rPr>
        <w:pict>
          <v:shape id="_x0000_s1036" type="#_x0000_t75" alt="IMG_3683.JPG" style="position:absolute;left:0;text-align:left;margin-left:11.3pt;margin-top:191.65pt;width:226pt;height:169.5pt;z-index:251663360;visibility:visible">
            <v:imagedata r:id="rId23" o:title=""/>
            <w10:wrap type="square"/>
          </v:shape>
        </w:pict>
      </w:r>
      <w:r>
        <w:rPr>
          <w:noProof/>
        </w:rPr>
        <w:pict>
          <v:shape id="_x0000_s1037" type="#_x0000_t75" alt="IMG_3673.JPG" style="position:absolute;left:0;text-align:left;margin-left:-235.45pt;margin-top:190.9pt;width:226pt;height:169.5pt;z-index:251660288;visibility:visible">
            <v:imagedata r:id="rId24" o:title=""/>
            <w10:wrap type="square"/>
          </v:shape>
        </w:pict>
      </w:r>
    </w:p>
    <w:p w:rsidR="007C13F5" w:rsidRDefault="007C13F5">
      <w:pPr>
        <w:spacing w:line="480" w:lineRule="auto"/>
        <w:ind w:firstLineChars="200" w:firstLine="31680"/>
        <w:jc w:val="center"/>
        <w:rPr>
          <w:rFonts w:ascii="仿宋_GB2312" w:eastAsia="仿宋_GB2312" w:hAnsi="宋体"/>
          <w:b/>
          <w:sz w:val="36"/>
          <w:szCs w:val="36"/>
        </w:rPr>
      </w:pPr>
      <w:r>
        <w:rPr>
          <w:noProof/>
        </w:rPr>
        <w:pict>
          <v:shape id="_x0000_s1038" type="#_x0000_t75" alt="IMG_3656.JPG" style="position:absolute;left:0;text-align:left;margin-left:247.55pt;margin-top:2.55pt;width:226pt;height:169.5pt;z-index:251662336;visibility:visible">
            <v:imagedata r:id="rId25" o:title=""/>
            <w10:wrap type="square"/>
          </v:shape>
        </w:pict>
      </w:r>
      <w:r>
        <w:rPr>
          <w:noProof/>
        </w:rPr>
        <w:pict>
          <v:shape id="_x0000_s1039" type="#_x0000_t75" alt="IMG_3692.JPG" style="position:absolute;left:0;text-align:left;margin-left:1.55pt;margin-top:2.55pt;width:226pt;height:169.5pt;z-index:251661312;visibility:visible">
            <v:imagedata r:id="rId26" o:title=""/>
          </v:shape>
        </w:pict>
      </w: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p w:rsidR="007C13F5" w:rsidRDefault="007C13F5">
      <w:pPr>
        <w:spacing w:line="480" w:lineRule="auto"/>
        <w:ind w:firstLineChars="200" w:firstLine="31680"/>
        <w:jc w:val="center"/>
        <w:rPr>
          <w:rFonts w:ascii="仿宋_GB2312" w:eastAsia="仿宋_GB2312" w:hAnsi="宋体"/>
          <w:b/>
          <w:sz w:val="36"/>
          <w:szCs w:val="36"/>
        </w:rPr>
      </w:pPr>
    </w:p>
    <w:sectPr w:rsidR="007C13F5" w:rsidSect="002879F8">
      <w:pgSz w:w="11906" w:h="16838" w:code="9"/>
      <w:pgMar w:top="851" w:right="1287" w:bottom="936" w:left="1304" w:header="851" w:footer="754"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3F5" w:rsidRDefault="007C13F5">
      <w:r>
        <w:separator/>
      </w:r>
    </w:p>
  </w:endnote>
  <w:endnote w:type="continuationSeparator" w:id="0">
    <w:p w:rsidR="007C13F5" w:rsidRDefault="007C13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0000000000000000000"/>
    <w:charset w:val="86"/>
    <w:family w:val="auto"/>
    <w:notTrueType/>
    <w:pitch w:val="variable"/>
    <w:sig w:usb0="00000287" w:usb1="080E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楷体_GB2312">
    <w:altName w:val="楷体"/>
    <w:panose1 w:val="00000000000000000000"/>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Bell MT">
    <w:panose1 w:val="00000000000000000000"/>
    <w:charset w:val="00"/>
    <w:family w:val="roman"/>
    <w:notTrueType/>
    <w:pitch w:val="variable"/>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F5" w:rsidRDefault="007C13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C13F5" w:rsidRDefault="007C13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F5" w:rsidRDefault="007C13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C13F5" w:rsidRDefault="007C13F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F5" w:rsidRDefault="007C13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3F5" w:rsidRDefault="007C13F5">
      <w:r>
        <w:separator/>
      </w:r>
    </w:p>
  </w:footnote>
  <w:footnote w:type="continuationSeparator" w:id="0">
    <w:p w:rsidR="007C13F5" w:rsidRDefault="007C13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F5" w:rsidRDefault="007C13F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F5" w:rsidRDefault="007C13F5">
    <w:pPr>
      <w:pStyle w:val="Header"/>
      <w:pBdr>
        <w:bottom w:val="single" w:sz="6" w:space="0" w:color="auto"/>
      </w:pBdr>
      <w:rPr>
        <w:sz w:val="24"/>
        <w:szCs w:val="24"/>
      </w:rPr>
    </w:pPr>
    <w:r>
      <w:rPr>
        <w:rFonts w:hint="eastAsia"/>
        <w:sz w:val="24"/>
        <w:szCs w:val="24"/>
      </w:rPr>
      <w:t>云南银信房地产土地资产评估有限公司</w:t>
    </w:r>
  </w:p>
  <w:p w:rsidR="007C13F5" w:rsidRDefault="007C13F5">
    <w:pPr>
      <w:pStyle w:val="Header"/>
      <w:pBdr>
        <w:bottom w:val="single" w:sz="6" w:space="0" w:color="auto"/>
      </w:pBdr>
      <w:ind w:firstLineChars="1800" w:firstLine="3168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F5" w:rsidRDefault="007C13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1124D"/>
    <w:multiLevelType w:val="hybridMultilevel"/>
    <w:tmpl w:val="043E046C"/>
    <w:lvl w:ilvl="0" w:tplc="EB246898">
      <w:start w:val="1"/>
      <w:numFmt w:val="japaneseCounting"/>
      <w:lvlText w:val="（%1）"/>
      <w:lvlJc w:val="left"/>
      <w:pPr>
        <w:tabs>
          <w:tab w:val="num" w:pos="1380"/>
        </w:tabs>
        <w:ind w:left="1380" w:hanging="855"/>
      </w:pPr>
      <w:rPr>
        <w:rFonts w:cs="Times New Roman" w:hint="default"/>
      </w:rPr>
    </w:lvl>
    <w:lvl w:ilvl="1" w:tplc="04090019" w:tentative="1">
      <w:start w:val="1"/>
      <w:numFmt w:val="lowerLetter"/>
      <w:lvlText w:val="%2)"/>
      <w:lvlJc w:val="left"/>
      <w:pPr>
        <w:tabs>
          <w:tab w:val="num" w:pos="1365"/>
        </w:tabs>
        <w:ind w:left="1365" w:hanging="420"/>
      </w:pPr>
      <w:rPr>
        <w:rFonts w:cs="Times New Roman"/>
      </w:rPr>
    </w:lvl>
    <w:lvl w:ilvl="2" w:tplc="0409001B" w:tentative="1">
      <w:start w:val="1"/>
      <w:numFmt w:val="lowerRoman"/>
      <w:lvlText w:val="%3."/>
      <w:lvlJc w:val="right"/>
      <w:pPr>
        <w:tabs>
          <w:tab w:val="num" w:pos="1785"/>
        </w:tabs>
        <w:ind w:left="1785" w:hanging="420"/>
      </w:pPr>
      <w:rPr>
        <w:rFonts w:cs="Times New Roman"/>
      </w:rPr>
    </w:lvl>
    <w:lvl w:ilvl="3" w:tplc="0409000F" w:tentative="1">
      <w:start w:val="1"/>
      <w:numFmt w:val="decimal"/>
      <w:lvlText w:val="%4."/>
      <w:lvlJc w:val="left"/>
      <w:pPr>
        <w:tabs>
          <w:tab w:val="num" w:pos="2205"/>
        </w:tabs>
        <w:ind w:left="2205" w:hanging="420"/>
      </w:pPr>
      <w:rPr>
        <w:rFonts w:cs="Times New Roman"/>
      </w:rPr>
    </w:lvl>
    <w:lvl w:ilvl="4" w:tplc="04090019" w:tentative="1">
      <w:start w:val="1"/>
      <w:numFmt w:val="lowerLetter"/>
      <w:lvlText w:val="%5)"/>
      <w:lvlJc w:val="left"/>
      <w:pPr>
        <w:tabs>
          <w:tab w:val="num" w:pos="2625"/>
        </w:tabs>
        <w:ind w:left="2625" w:hanging="420"/>
      </w:pPr>
      <w:rPr>
        <w:rFonts w:cs="Times New Roman"/>
      </w:rPr>
    </w:lvl>
    <w:lvl w:ilvl="5" w:tplc="0409001B" w:tentative="1">
      <w:start w:val="1"/>
      <w:numFmt w:val="lowerRoman"/>
      <w:lvlText w:val="%6."/>
      <w:lvlJc w:val="right"/>
      <w:pPr>
        <w:tabs>
          <w:tab w:val="num" w:pos="3045"/>
        </w:tabs>
        <w:ind w:left="3045" w:hanging="420"/>
      </w:pPr>
      <w:rPr>
        <w:rFonts w:cs="Times New Roman"/>
      </w:rPr>
    </w:lvl>
    <w:lvl w:ilvl="6" w:tplc="0409000F" w:tentative="1">
      <w:start w:val="1"/>
      <w:numFmt w:val="decimal"/>
      <w:lvlText w:val="%7."/>
      <w:lvlJc w:val="left"/>
      <w:pPr>
        <w:tabs>
          <w:tab w:val="num" w:pos="3465"/>
        </w:tabs>
        <w:ind w:left="3465" w:hanging="420"/>
      </w:pPr>
      <w:rPr>
        <w:rFonts w:cs="Times New Roman"/>
      </w:rPr>
    </w:lvl>
    <w:lvl w:ilvl="7" w:tplc="04090019" w:tentative="1">
      <w:start w:val="1"/>
      <w:numFmt w:val="lowerLetter"/>
      <w:lvlText w:val="%8)"/>
      <w:lvlJc w:val="left"/>
      <w:pPr>
        <w:tabs>
          <w:tab w:val="num" w:pos="3885"/>
        </w:tabs>
        <w:ind w:left="3885" w:hanging="420"/>
      </w:pPr>
      <w:rPr>
        <w:rFonts w:cs="Times New Roman"/>
      </w:rPr>
    </w:lvl>
    <w:lvl w:ilvl="8" w:tplc="0409001B" w:tentative="1">
      <w:start w:val="1"/>
      <w:numFmt w:val="lowerRoman"/>
      <w:lvlText w:val="%9."/>
      <w:lvlJc w:val="right"/>
      <w:pPr>
        <w:tabs>
          <w:tab w:val="num" w:pos="4305"/>
        </w:tabs>
        <w:ind w:left="4305" w:hanging="420"/>
      </w:pPr>
      <w:rPr>
        <w:rFonts w:cs="Times New Roman"/>
      </w:rPr>
    </w:lvl>
  </w:abstractNum>
  <w:abstractNum w:abstractNumId="1">
    <w:nsid w:val="0BD1751C"/>
    <w:multiLevelType w:val="hybridMultilevel"/>
    <w:tmpl w:val="53F0AE14"/>
    <w:lvl w:ilvl="0" w:tplc="DA5C888E">
      <w:start w:val="1"/>
      <w:numFmt w:val="decimal"/>
      <w:lvlText w:val="%1、"/>
      <w:lvlJc w:val="left"/>
      <w:pPr>
        <w:tabs>
          <w:tab w:val="num" w:pos="1520"/>
        </w:tabs>
        <w:ind w:left="1520" w:hanging="960"/>
      </w:pPr>
      <w:rPr>
        <w:rFonts w:cs="Times New Roman" w:hint="default"/>
      </w:rPr>
    </w:lvl>
    <w:lvl w:ilvl="1" w:tplc="04090019" w:tentative="1">
      <w:start w:val="1"/>
      <w:numFmt w:val="lowerLetter"/>
      <w:lvlText w:val="%2)"/>
      <w:lvlJc w:val="left"/>
      <w:pPr>
        <w:tabs>
          <w:tab w:val="num" w:pos="1400"/>
        </w:tabs>
        <w:ind w:left="1400" w:hanging="420"/>
      </w:pPr>
      <w:rPr>
        <w:rFonts w:cs="Times New Roman"/>
      </w:rPr>
    </w:lvl>
    <w:lvl w:ilvl="2" w:tplc="0409001B" w:tentative="1">
      <w:start w:val="1"/>
      <w:numFmt w:val="lowerRoman"/>
      <w:lvlText w:val="%3."/>
      <w:lvlJc w:val="right"/>
      <w:pPr>
        <w:tabs>
          <w:tab w:val="num" w:pos="1820"/>
        </w:tabs>
        <w:ind w:left="1820" w:hanging="420"/>
      </w:pPr>
      <w:rPr>
        <w:rFonts w:cs="Times New Roman"/>
      </w:rPr>
    </w:lvl>
    <w:lvl w:ilvl="3" w:tplc="0409000F" w:tentative="1">
      <w:start w:val="1"/>
      <w:numFmt w:val="decimal"/>
      <w:lvlText w:val="%4."/>
      <w:lvlJc w:val="left"/>
      <w:pPr>
        <w:tabs>
          <w:tab w:val="num" w:pos="2240"/>
        </w:tabs>
        <w:ind w:left="2240" w:hanging="420"/>
      </w:pPr>
      <w:rPr>
        <w:rFonts w:cs="Times New Roman"/>
      </w:rPr>
    </w:lvl>
    <w:lvl w:ilvl="4" w:tplc="04090019" w:tentative="1">
      <w:start w:val="1"/>
      <w:numFmt w:val="lowerLetter"/>
      <w:lvlText w:val="%5)"/>
      <w:lvlJc w:val="left"/>
      <w:pPr>
        <w:tabs>
          <w:tab w:val="num" w:pos="2660"/>
        </w:tabs>
        <w:ind w:left="2660" w:hanging="420"/>
      </w:pPr>
      <w:rPr>
        <w:rFonts w:cs="Times New Roman"/>
      </w:rPr>
    </w:lvl>
    <w:lvl w:ilvl="5" w:tplc="0409001B" w:tentative="1">
      <w:start w:val="1"/>
      <w:numFmt w:val="lowerRoman"/>
      <w:lvlText w:val="%6."/>
      <w:lvlJc w:val="right"/>
      <w:pPr>
        <w:tabs>
          <w:tab w:val="num" w:pos="3080"/>
        </w:tabs>
        <w:ind w:left="3080" w:hanging="420"/>
      </w:pPr>
      <w:rPr>
        <w:rFonts w:cs="Times New Roman"/>
      </w:rPr>
    </w:lvl>
    <w:lvl w:ilvl="6" w:tplc="0409000F" w:tentative="1">
      <w:start w:val="1"/>
      <w:numFmt w:val="decimal"/>
      <w:lvlText w:val="%7."/>
      <w:lvlJc w:val="left"/>
      <w:pPr>
        <w:tabs>
          <w:tab w:val="num" w:pos="3500"/>
        </w:tabs>
        <w:ind w:left="3500" w:hanging="420"/>
      </w:pPr>
      <w:rPr>
        <w:rFonts w:cs="Times New Roman"/>
      </w:rPr>
    </w:lvl>
    <w:lvl w:ilvl="7" w:tplc="04090019" w:tentative="1">
      <w:start w:val="1"/>
      <w:numFmt w:val="lowerLetter"/>
      <w:lvlText w:val="%8)"/>
      <w:lvlJc w:val="left"/>
      <w:pPr>
        <w:tabs>
          <w:tab w:val="num" w:pos="3920"/>
        </w:tabs>
        <w:ind w:left="3920" w:hanging="420"/>
      </w:pPr>
      <w:rPr>
        <w:rFonts w:cs="Times New Roman"/>
      </w:rPr>
    </w:lvl>
    <w:lvl w:ilvl="8" w:tplc="0409001B" w:tentative="1">
      <w:start w:val="1"/>
      <w:numFmt w:val="lowerRoman"/>
      <w:lvlText w:val="%9."/>
      <w:lvlJc w:val="right"/>
      <w:pPr>
        <w:tabs>
          <w:tab w:val="num" w:pos="4340"/>
        </w:tabs>
        <w:ind w:left="4340" w:hanging="420"/>
      </w:pPr>
      <w:rPr>
        <w:rFonts w:cs="Times New Roman"/>
      </w:rPr>
    </w:lvl>
  </w:abstractNum>
  <w:abstractNum w:abstractNumId="2">
    <w:nsid w:val="10A531CF"/>
    <w:multiLevelType w:val="hybridMultilevel"/>
    <w:tmpl w:val="C9DEEF88"/>
    <w:lvl w:ilvl="0" w:tplc="93BE8C3E">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8AF2F77"/>
    <w:multiLevelType w:val="hybridMultilevel"/>
    <w:tmpl w:val="4030F6E2"/>
    <w:lvl w:ilvl="0" w:tplc="9C5C1E64">
      <w:start w:val="1"/>
      <w:numFmt w:val="japaneseCounting"/>
      <w:lvlText w:val="%1、"/>
      <w:lvlJc w:val="left"/>
      <w:pPr>
        <w:tabs>
          <w:tab w:val="num" w:pos="1280"/>
        </w:tabs>
        <w:ind w:left="1280" w:hanging="720"/>
      </w:pPr>
      <w:rPr>
        <w:rFonts w:cs="Times New Roman" w:hint="eastAsia"/>
      </w:rPr>
    </w:lvl>
    <w:lvl w:ilvl="1" w:tplc="04090019" w:tentative="1">
      <w:start w:val="1"/>
      <w:numFmt w:val="lowerLetter"/>
      <w:lvlText w:val="%2)"/>
      <w:lvlJc w:val="left"/>
      <w:pPr>
        <w:tabs>
          <w:tab w:val="num" w:pos="1400"/>
        </w:tabs>
        <w:ind w:left="1400" w:hanging="420"/>
      </w:pPr>
      <w:rPr>
        <w:rFonts w:cs="Times New Roman"/>
      </w:rPr>
    </w:lvl>
    <w:lvl w:ilvl="2" w:tplc="0409001B" w:tentative="1">
      <w:start w:val="1"/>
      <w:numFmt w:val="lowerRoman"/>
      <w:lvlText w:val="%3."/>
      <w:lvlJc w:val="right"/>
      <w:pPr>
        <w:tabs>
          <w:tab w:val="num" w:pos="1820"/>
        </w:tabs>
        <w:ind w:left="1820" w:hanging="420"/>
      </w:pPr>
      <w:rPr>
        <w:rFonts w:cs="Times New Roman"/>
      </w:rPr>
    </w:lvl>
    <w:lvl w:ilvl="3" w:tplc="0409000F" w:tentative="1">
      <w:start w:val="1"/>
      <w:numFmt w:val="decimal"/>
      <w:lvlText w:val="%4."/>
      <w:lvlJc w:val="left"/>
      <w:pPr>
        <w:tabs>
          <w:tab w:val="num" w:pos="2240"/>
        </w:tabs>
        <w:ind w:left="2240" w:hanging="420"/>
      </w:pPr>
      <w:rPr>
        <w:rFonts w:cs="Times New Roman"/>
      </w:rPr>
    </w:lvl>
    <w:lvl w:ilvl="4" w:tplc="04090019" w:tentative="1">
      <w:start w:val="1"/>
      <w:numFmt w:val="lowerLetter"/>
      <w:lvlText w:val="%5)"/>
      <w:lvlJc w:val="left"/>
      <w:pPr>
        <w:tabs>
          <w:tab w:val="num" w:pos="2660"/>
        </w:tabs>
        <w:ind w:left="2660" w:hanging="420"/>
      </w:pPr>
      <w:rPr>
        <w:rFonts w:cs="Times New Roman"/>
      </w:rPr>
    </w:lvl>
    <w:lvl w:ilvl="5" w:tplc="0409001B" w:tentative="1">
      <w:start w:val="1"/>
      <w:numFmt w:val="lowerRoman"/>
      <w:lvlText w:val="%6."/>
      <w:lvlJc w:val="right"/>
      <w:pPr>
        <w:tabs>
          <w:tab w:val="num" w:pos="3080"/>
        </w:tabs>
        <w:ind w:left="3080" w:hanging="420"/>
      </w:pPr>
      <w:rPr>
        <w:rFonts w:cs="Times New Roman"/>
      </w:rPr>
    </w:lvl>
    <w:lvl w:ilvl="6" w:tplc="0409000F" w:tentative="1">
      <w:start w:val="1"/>
      <w:numFmt w:val="decimal"/>
      <w:lvlText w:val="%7."/>
      <w:lvlJc w:val="left"/>
      <w:pPr>
        <w:tabs>
          <w:tab w:val="num" w:pos="3500"/>
        </w:tabs>
        <w:ind w:left="3500" w:hanging="420"/>
      </w:pPr>
      <w:rPr>
        <w:rFonts w:cs="Times New Roman"/>
      </w:rPr>
    </w:lvl>
    <w:lvl w:ilvl="7" w:tplc="04090019" w:tentative="1">
      <w:start w:val="1"/>
      <w:numFmt w:val="lowerLetter"/>
      <w:lvlText w:val="%8)"/>
      <w:lvlJc w:val="left"/>
      <w:pPr>
        <w:tabs>
          <w:tab w:val="num" w:pos="3920"/>
        </w:tabs>
        <w:ind w:left="3920" w:hanging="420"/>
      </w:pPr>
      <w:rPr>
        <w:rFonts w:cs="Times New Roman"/>
      </w:rPr>
    </w:lvl>
    <w:lvl w:ilvl="8" w:tplc="0409001B" w:tentative="1">
      <w:start w:val="1"/>
      <w:numFmt w:val="lowerRoman"/>
      <w:lvlText w:val="%9."/>
      <w:lvlJc w:val="right"/>
      <w:pPr>
        <w:tabs>
          <w:tab w:val="num" w:pos="4340"/>
        </w:tabs>
        <w:ind w:left="4340" w:hanging="420"/>
      </w:pPr>
      <w:rPr>
        <w:rFonts w:cs="Times New Roman"/>
      </w:rPr>
    </w:lvl>
  </w:abstractNum>
  <w:abstractNum w:abstractNumId="4">
    <w:nsid w:val="236A45F1"/>
    <w:multiLevelType w:val="hybridMultilevel"/>
    <w:tmpl w:val="9EAA84F8"/>
    <w:lvl w:ilvl="0" w:tplc="39A27BEC">
      <w:start w:val="1"/>
      <w:numFmt w:val="decimal"/>
      <w:lvlText w:val="%1、"/>
      <w:lvlJc w:val="left"/>
      <w:pPr>
        <w:ind w:left="1440" w:hanging="720"/>
      </w:pPr>
      <w:rPr>
        <w:rFonts w:cs="Times New Roman" w:hint="default"/>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abstractNum w:abstractNumId="5">
    <w:nsid w:val="24A576D6"/>
    <w:multiLevelType w:val="multilevel"/>
    <w:tmpl w:val="75E6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AC4AD7"/>
    <w:multiLevelType w:val="hybridMultilevel"/>
    <w:tmpl w:val="163EAA4A"/>
    <w:lvl w:ilvl="0" w:tplc="7402F720">
      <w:start w:val="1"/>
      <w:numFmt w:val="decimal"/>
      <w:lvlText w:val="%1、"/>
      <w:lvlJc w:val="left"/>
      <w:pPr>
        <w:tabs>
          <w:tab w:val="num" w:pos="1580"/>
        </w:tabs>
        <w:ind w:left="1580" w:hanging="1020"/>
      </w:pPr>
      <w:rPr>
        <w:rFonts w:cs="Times New Roman" w:hint="eastAsia"/>
      </w:rPr>
    </w:lvl>
    <w:lvl w:ilvl="1" w:tplc="04090019" w:tentative="1">
      <w:start w:val="1"/>
      <w:numFmt w:val="lowerLetter"/>
      <w:lvlText w:val="%2)"/>
      <w:lvlJc w:val="left"/>
      <w:pPr>
        <w:tabs>
          <w:tab w:val="num" w:pos="1400"/>
        </w:tabs>
        <w:ind w:left="1400" w:hanging="420"/>
      </w:pPr>
      <w:rPr>
        <w:rFonts w:cs="Times New Roman"/>
      </w:rPr>
    </w:lvl>
    <w:lvl w:ilvl="2" w:tplc="0409001B" w:tentative="1">
      <w:start w:val="1"/>
      <w:numFmt w:val="lowerRoman"/>
      <w:lvlText w:val="%3."/>
      <w:lvlJc w:val="right"/>
      <w:pPr>
        <w:tabs>
          <w:tab w:val="num" w:pos="1820"/>
        </w:tabs>
        <w:ind w:left="1820" w:hanging="420"/>
      </w:pPr>
      <w:rPr>
        <w:rFonts w:cs="Times New Roman"/>
      </w:rPr>
    </w:lvl>
    <w:lvl w:ilvl="3" w:tplc="0409000F" w:tentative="1">
      <w:start w:val="1"/>
      <w:numFmt w:val="decimal"/>
      <w:lvlText w:val="%4."/>
      <w:lvlJc w:val="left"/>
      <w:pPr>
        <w:tabs>
          <w:tab w:val="num" w:pos="2240"/>
        </w:tabs>
        <w:ind w:left="2240" w:hanging="420"/>
      </w:pPr>
      <w:rPr>
        <w:rFonts w:cs="Times New Roman"/>
      </w:rPr>
    </w:lvl>
    <w:lvl w:ilvl="4" w:tplc="04090019" w:tentative="1">
      <w:start w:val="1"/>
      <w:numFmt w:val="lowerLetter"/>
      <w:lvlText w:val="%5)"/>
      <w:lvlJc w:val="left"/>
      <w:pPr>
        <w:tabs>
          <w:tab w:val="num" w:pos="2660"/>
        </w:tabs>
        <w:ind w:left="2660" w:hanging="420"/>
      </w:pPr>
      <w:rPr>
        <w:rFonts w:cs="Times New Roman"/>
      </w:rPr>
    </w:lvl>
    <w:lvl w:ilvl="5" w:tplc="0409001B" w:tentative="1">
      <w:start w:val="1"/>
      <w:numFmt w:val="lowerRoman"/>
      <w:lvlText w:val="%6."/>
      <w:lvlJc w:val="right"/>
      <w:pPr>
        <w:tabs>
          <w:tab w:val="num" w:pos="3080"/>
        </w:tabs>
        <w:ind w:left="3080" w:hanging="420"/>
      </w:pPr>
      <w:rPr>
        <w:rFonts w:cs="Times New Roman"/>
      </w:rPr>
    </w:lvl>
    <w:lvl w:ilvl="6" w:tplc="0409000F" w:tentative="1">
      <w:start w:val="1"/>
      <w:numFmt w:val="decimal"/>
      <w:lvlText w:val="%7."/>
      <w:lvlJc w:val="left"/>
      <w:pPr>
        <w:tabs>
          <w:tab w:val="num" w:pos="3500"/>
        </w:tabs>
        <w:ind w:left="3500" w:hanging="420"/>
      </w:pPr>
      <w:rPr>
        <w:rFonts w:cs="Times New Roman"/>
      </w:rPr>
    </w:lvl>
    <w:lvl w:ilvl="7" w:tplc="04090019" w:tentative="1">
      <w:start w:val="1"/>
      <w:numFmt w:val="lowerLetter"/>
      <w:lvlText w:val="%8)"/>
      <w:lvlJc w:val="left"/>
      <w:pPr>
        <w:tabs>
          <w:tab w:val="num" w:pos="3920"/>
        </w:tabs>
        <w:ind w:left="3920" w:hanging="420"/>
      </w:pPr>
      <w:rPr>
        <w:rFonts w:cs="Times New Roman"/>
      </w:rPr>
    </w:lvl>
    <w:lvl w:ilvl="8" w:tplc="0409001B" w:tentative="1">
      <w:start w:val="1"/>
      <w:numFmt w:val="lowerRoman"/>
      <w:lvlText w:val="%9."/>
      <w:lvlJc w:val="right"/>
      <w:pPr>
        <w:tabs>
          <w:tab w:val="num" w:pos="4340"/>
        </w:tabs>
        <w:ind w:left="4340" w:hanging="420"/>
      </w:pPr>
      <w:rPr>
        <w:rFonts w:cs="Times New Roman"/>
      </w:rPr>
    </w:lvl>
  </w:abstractNum>
  <w:abstractNum w:abstractNumId="7">
    <w:nsid w:val="30185178"/>
    <w:multiLevelType w:val="multilevel"/>
    <w:tmpl w:val="7FBC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CC6980"/>
    <w:multiLevelType w:val="hybridMultilevel"/>
    <w:tmpl w:val="AABEBF28"/>
    <w:lvl w:ilvl="0" w:tplc="F83806F8">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9">
    <w:nsid w:val="38123CB0"/>
    <w:multiLevelType w:val="hybridMultilevel"/>
    <w:tmpl w:val="EA020936"/>
    <w:lvl w:ilvl="0" w:tplc="7AD4B14A">
      <w:start w:val="1"/>
      <w:numFmt w:val="decimal"/>
      <w:lvlText w:val="（%1）"/>
      <w:lvlJc w:val="left"/>
      <w:pPr>
        <w:tabs>
          <w:tab w:val="num" w:pos="1280"/>
        </w:tabs>
        <w:ind w:left="1280" w:hanging="720"/>
      </w:pPr>
      <w:rPr>
        <w:rFonts w:cs="Times New Roman" w:hint="eastAsia"/>
      </w:rPr>
    </w:lvl>
    <w:lvl w:ilvl="1" w:tplc="04090019" w:tentative="1">
      <w:start w:val="1"/>
      <w:numFmt w:val="lowerLetter"/>
      <w:lvlText w:val="%2)"/>
      <w:lvlJc w:val="left"/>
      <w:pPr>
        <w:tabs>
          <w:tab w:val="num" w:pos="1400"/>
        </w:tabs>
        <w:ind w:left="1400" w:hanging="420"/>
      </w:pPr>
      <w:rPr>
        <w:rFonts w:cs="Times New Roman"/>
      </w:rPr>
    </w:lvl>
    <w:lvl w:ilvl="2" w:tplc="0409001B" w:tentative="1">
      <w:start w:val="1"/>
      <w:numFmt w:val="lowerRoman"/>
      <w:lvlText w:val="%3."/>
      <w:lvlJc w:val="right"/>
      <w:pPr>
        <w:tabs>
          <w:tab w:val="num" w:pos="1820"/>
        </w:tabs>
        <w:ind w:left="1820" w:hanging="420"/>
      </w:pPr>
      <w:rPr>
        <w:rFonts w:cs="Times New Roman"/>
      </w:rPr>
    </w:lvl>
    <w:lvl w:ilvl="3" w:tplc="0409000F" w:tentative="1">
      <w:start w:val="1"/>
      <w:numFmt w:val="decimal"/>
      <w:lvlText w:val="%4."/>
      <w:lvlJc w:val="left"/>
      <w:pPr>
        <w:tabs>
          <w:tab w:val="num" w:pos="2240"/>
        </w:tabs>
        <w:ind w:left="2240" w:hanging="420"/>
      </w:pPr>
      <w:rPr>
        <w:rFonts w:cs="Times New Roman"/>
      </w:rPr>
    </w:lvl>
    <w:lvl w:ilvl="4" w:tplc="04090019" w:tentative="1">
      <w:start w:val="1"/>
      <w:numFmt w:val="lowerLetter"/>
      <w:lvlText w:val="%5)"/>
      <w:lvlJc w:val="left"/>
      <w:pPr>
        <w:tabs>
          <w:tab w:val="num" w:pos="2660"/>
        </w:tabs>
        <w:ind w:left="2660" w:hanging="420"/>
      </w:pPr>
      <w:rPr>
        <w:rFonts w:cs="Times New Roman"/>
      </w:rPr>
    </w:lvl>
    <w:lvl w:ilvl="5" w:tplc="0409001B" w:tentative="1">
      <w:start w:val="1"/>
      <w:numFmt w:val="lowerRoman"/>
      <w:lvlText w:val="%6."/>
      <w:lvlJc w:val="right"/>
      <w:pPr>
        <w:tabs>
          <w:tab w:val="num" w:pos="3080"/>
        </w:tabs>
        <w:ind w:left="3080" w:hanging="420"/>
      </w:pPr>
      <w:rPr>
        <w:rFonts w:cs="Times New Roman"/>
      </w:rPr>
    </w:lvl>
    <w:lvl w:ilvl="6" w:tplc="0409000F" w:tentative="1">
      <w:start w:val="1"/>
      <w:numFmt w:val="decimal"/>
      <w:lvlText w:val="%7."/>
      <w:lvlJc w:val="left"/>
      <w:pPr>
        <w:tabs>
          <w:tab w:val="num" w:pos="3500"/>
        </w:tabs>
        <w:ind w:left="3500" w:hanging="420"/>
      </w:pPr>
      <w:rPr>
        <w:rFonts w:cs="Times New Roman"/>
      </w:rPr>
    </w:lvl>
    <w:lvl w:ilvl="7" w:tplc="04090019" w:tentative="1">
      <w:start w:val="1"/>
      <w:numFmt w:val="lowerLetter"/>
      <w:lvlText w:val="%8)"/>
      <w:lvlJc w:val="left"/>
      <w:pPr>
        <w:tabs>
          <w:tab w:val="num" w:pos="3920"/>
        </w:tabs>
        <w:ind w:left="3920" w:hanging="420"/>
      </w:pPr>
      <w:rPr>
        <w:rFonts w:cs="Times New Roman"/>
      </w:rPr>
    </w:lvl>
    <w:lvl w:ilvl="8" w:tplc="0409001B" w:tentative="1">
      <w:start w:val="1"/>
      <w:numFmt w:val="lowerRoman"/>
      <w:lvlText w:val="%9."/>
      <w:lvlJc w:val="right"/>
      <w:pPr>
        <w:tabs>
          <w:tab w:val="num" w:pos="4340"/>
        </w:tabs>
        <w:ind w:left="4340" w:hanging="420"/>
      </w:pPr>
      <w:rPr>
        <w:rFonts w:cs="Times New Roman"/>
      </w:rPr>
    </w:lvl>
  </w:abstractNum>
  <w:abstractNum w:abstractNumId="10">
    <w:nsid w:val="3F374FD3"/>
    <w:multiLevelType w:val="hybridMultilevel"/>
    <w:tmpl w:val="F856BAFC"/>
    <w:lvl w:ilvl="0" w:tplc="877E7708">
      <w:start w:val="1"/>
      <w:numFmt w:val="lowerLetter"/>
      <w:lvlText w:val="%1."/>
      <w:lvlJc w:val="left"/>
      <w:pPr>
        <w:ind w:left="949" w:hanging="390"/>
      </w:pPr>
      <w:rPr>
        <w:rFonts w:cs="Times New Roman" w:hint="default"/>
      </w:rPr>
    </w:lvl>
    <w:lvl w:ilvl="1" w:tplc="04090019" w:tentative="1">
      <w:start w:val="1"/>
      <w:numFmt w:val="lowerLetter"/>
      <w:lvlText w:val="%2)"/>
      <w:lvlJc w:val="left"/>
      <w:pPr>
        <w:ind w:left="1399" w:hanging="420"/>
      </w:pPr>
      <w:rPr>
        <w:rFonts w:cs="Times New Roman"/>
      </w:rPr>
    </w:lvl>
    <w:lvl w:ilvl="2" w:tplc="0409001B" w:tentative="1">
      <w:start w:val="1"/>
      <w:numFmt w:val="lowerRoman"/>
      <w:lvlText w:val="%3."/>
      <w:lvlJc w:val="right"/>
      <w:pPr>
        <w:ind w:left="1819" w:hanging="420"/>
      </w:pPr>
      <w:rPr>
        <w:rFonts w:cs="Times New Roman"/>
      </w:rPr>
    </w:lvl>
    <w:lvl w:ilvl="3" w:tplc="0409000F" w:tentative="1">
      <w:start w:val="1"/>
      <w:numFmt w:val="decimal"/>
      <w:lvlText w:val="%4."/>
      <w:lvlJc w:val="left"/>
      <w:pPr>
        <w:ind w:left="2239" w:hanging="420"/>
      </w:pPr>
      <w:rPr>
        <w:rFonts w:cs="Times New Roman"/>
      </w:rPr>
    </w:lvl>
    <w:lvl w:ilvl="4" w:tplc="04090019" w:tentative="1">
      <w:start w:val="1"/>
      <w:numFmt w:val="lowerLetter"/>
      <w:lvlText w:val="%5)"/>
      <w:lvlJc w:val="left"/>
      <w:pPr>
        <w:ind w:left="2659" w:hanging="420"/>
      </w:pPr>
      <w:rPr>
        <w:rFonts w:cs="Times New Roman"/>
      </w:rPr>
    </w:lvl>
    <w:lvl w:ilvl="5" w:tplc="0409001B" w:tentative="1">
      <w:start w:val="1"/>
      <w:numFmt w:val="lowerRoman"/>
      <w:lvlText w:val="%6."/>
      <w:lvlJc w:val="right"/>
      <w:pPr>
        <w:ind w:left="3079" w:hanging="420"/>
      </w:pPr>
      <w:rPr>
        <w:rFonts w:cs="Times New Roman"/>
      </w:rPr>
    </w:lvl>
    <w:lvl w:ilvl="6" w:tplc="0409000F" w:tentative="1">
      <w:start w:val="1"/>
      <w:numFmt w:val="decimal"/>
      <w:lvlText w:val="%7."/>
      <w:lvlJc w:val="left"/>
      <w:pPr>
        <w:ind w:left="3499" w:hanging="420"/>
      </w:pPr>
      <w:rPr>
        <w:rFonts w:cs="Times New Roman"/>
      </w:rPr>
    </w:lvl>
    <w:lvl w:ilvl="7" w:tplc="04090019" w:tentative="1">
      <w:start w:val="1"/>
      <w:numFmt w:val="lowerLetter"/>
      <w:lvlText w:val="%8)"/>
      <w:lvlJc w:val="left"/>
      <w:pPr>
        <w:ind w:left="3919" w:hanging="420"/>
      </w:pPr>
      <w:rPr>
        <w:rFonts w:cs="Times New Roman"/>
      </w:rPr>
    </w:lvl>
    <w:lvl w:ilvl="8" w:tplc="0409001B" w:tentative="1">
      <w:start w:val="1"/>
      <w:numFmt w:val="lowerRoman"/>
      <w:lvlText w:val="%9."/>
      <w:lvlJc w:val="right"/>
      <w:pPr>
        <w:ind w:left="4339" w:hanging="420"/>
      </w:pPr>
      <w:rPr>
        <w:rFonts w:cs="Times New Roman"/>
      </w:rPr>
    </w:lvl>
  </w:abstractNum>
  <w:abstractNum w:abstractNumId="11">
    <w:nsid w:val="465269CE"/>
    <w:multiLevelType w:val="multilevel"/>
    <w:tmpl w:val="AB0C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3C66AA"/>
    <w:multiLevelType w:val="hybridMultilevel"/>
    <w:tmpl w:val="26063E6A"/>
    <w:lvl w:ilvl="0" w:tplc="261097F6">
      <w:start w:val="1"/>
      <w:numFmt w:val="japaneseCounting"/>
      <w:lvlText w:val="%1、"/>
      <w:lvlJc w:val="left"/>
      <w:pPr>
        <w:ind w:left="1685" w:hanging="112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3">
    <w:nsid w:val="50465039"/>
    <w:multiLevelType w:val="hybridMultilevel"/>
    <w:tmpl w:val="F49809A0"/>
    <w:lvl w:ilvl="0" w:tplc="A2564C64">
      <w:start w:val="1"/>
      <w:numFmt w:val="decimal"/>
      <w:lvlText w:val="%1."/>
      <w:lvlJc w:val="left"/>
      <w:pPr>
        <w:tabs>
          <w:tab w:val="num" w:pos="960"/>
        </w:tabs>
        <w:ind w:left="960" w:hanging="360"/>
      </w:pPr>
      <w:rPr>
        <w:rFonts w:cs="Times New Roman" w:hint="eastAsia"/>
      </w:rPr>
    </w:lvl>
    <w:lvl w:ilvl="1" w:tplc="04090019" w:tentative="1">
      <w:start w:val="1"/>
      <w:numFmt w:val="lowerLetter"/>
      <w:lvlText w:val="%2)"/>
      <w:lvlJc w:val="left"/>
      <w:pPr>
        <w:tabs>
          <w:tab w:val="num" w:pos="1440"/>
        </w:tabs>
        <w:ind w:left="1440" w:hanging="420"/>
      </w:pPr>
      <w:rPr>
        <w:rFonts w:cs="Times New Roman"/>
      </w:rPr>
    </w:lvl>
    <w:lvl w:ilvl="2" w:tplc="0409001B" w:tentative="1">
      <w:start w:val="1"/>
      <w:numFmt w:val="lowerRoman"/>
      <w:lvlText w:val="%3."/>
      <w:lvlJc w:val="right"/>
      <w:pPr>
        <w:tabs>
          <w:tab w:val="num" w:pos="1860"/>
        </w:tabs>
        <w:ind w:left="1860" w:hanging="420"/>
      </w:pPr>
      <w:rPr>
        <w:rFonts w:cs="Times New Roman"/>
      </w:rPr>
    </w:lvl>
    <w:lvl w:ilvl="3" w:tplc="0409000F" w:tentative="1">
      <w:start w:val="1"/>
      <w:numFmt w:val="decimal"/>
      <w:lvlText w:val="%4."/>
      <w:lvlJc w:val="left"/>
      <w:pPr>
        <w:tabs>
          <w:tab w:val="num" w:pos="2280"/>
        </w:tabs>
        <w:ind w:left="2280" w:hanging="420"/>
      </w:pPr>
      <w:rPr>
        <w:rFonts w:cs="Times New Roman"/>
      </w:rPr>
    </w:lvl>
    <w:lvl w:ilvl="4" w:tplc="04090019" w:tentative="1">
      <w:start w:val="1"/>
      <w:numFmt w:val="lowerLetter"/>
      <w:lvlText w:val="%5)"/>
      <w:lvlJc w:val="left"/>
      <w:pPr>
        <w:tabs>
          <w:tab w:val="num" w:pos="2700"/>
        </w:tabs>
        <w:ind w:left="2700" w:hanging="420"/>
      </w:pPr>
      <w:rPr>
        <w:rFonts w:cs="Times New Roman"/>
      </w:rPr>
    </w:lvl>
    <w:lvl w:ilvl="5" w:tplc="0409001B" w:tentative="1">
      <w:start w:val="1"/>
      <w:numFmt w:val="lowerRoman"/>
      <w:lvlText w:val="%6."/>
      <w:lvlJc w:val="right"/>
      <w:pPr>
        <w:tabs>
          <w:tab w:val="num" w:pos="3120"/>
        </w:tabs>
        <w:ind w:left="3120" w:hanging="420"/>
      </w:pPr>
      <w:rPr>
        <w:rFonts w:cs="Times New Roman"/>
      </w:rPr>
    </w:lvl>
    <w:lvl w:ilvl="6" w:tplc="0409000F" w:tentative="1">
      <w:start w:val="1"/>
      <w:numFmt w:val="decimal"/>
      <w:lvlText w:val="%7."/>
      <w:lvlJc w:val="left"/>
      <w:pPr>
        <w:tabs>
          <w:tab w:val="num" w:pos="3540"/>
        </w:tabs>
        <w:ind w:left="3540" w:hanging="420"/>
      </w:pPr>
      <w:rPr>
        <w:rFonts w:cs="Times New Roman"/>
      </w:rPr>
    </w:lvl>
    <w:lvl w:ilvl="7" w:tplc="04090019" w:tentative="1">
      <w:start w:val="1"/>
      <w:numFmt w:val="lowerLetter"/>
      <w:lvlText w:val="%8)"/>
      <w:lvlJc w:val="left"/>
      <w:pPr>
        <w:tabs>
          <w:tab w:val="num" w:pos="3960"/>
        </w:tabs>
        <w:ind w:left="3960" w:hanging="420"/>
      </w:pPr>
      <w:rPr>
        <w:rFonts w:cs="Times New Roman"/>
      </w:rPr>
    </w:lvl>
    <w:lvl w:ilvl="8" w:tplc="0409001B" w:tentative="1">
      <w:start w:val="1"/>
      <w:numFmt w:val="lowerRoman"/>
      <w:lvlText w:val="%9."/>
      <w:lvlJc w:val="right"/>
      <w:pPr>
        <w:tabs>
          <w:tab w:val="num" w:pos="4380"/>
        </w:tabs>
        <w:ind w:left="4380" w:hanging="420"/>
      </w:pPr>
      <w:rPr>
        <w:rFonts w:cs="Times New Roman"/>
      </w:rPr>
    </w:lvl>
  </w:abstractNum>
  <w:abstractNum w:abstractNumId="14">
    <w:nsid w:val="562C2732"/>
    <w:multiLevelType w:val="hybridMultilevel"/>
    <w:tmpl w:val="DFCAE754"/>
    <w:lvl w:ilvl="0" w:tplc="F1281BE0">
      <w:start w:val="1"/>
      <w:numFmt w:val="decimal"/>
      <w:lvlText w:val="%1、"/>
      <w:lvlJc w:val="left"/>
      <w:pPr>
        <w:tabs>
          <w:tab w:val="num" w:pos="1505"/>
        </w:tabs>
        <w:ind w:left="1505" w:hanging="945"/>
      </w:pPr>
      <w:rPr>
        <w:rFonts w:cs="Times New Roman" w:hint="default"/>
      </w:rPr>
    </w:lvl>
    <w:lvl w:ilvl="1" w:tplc="04090019" w:tentative="1">
      <w:start w:val="1"/>
      <w:numFmt w:val="lowerLetter"/>
      <w:lvlText w:val="%2)"/>
      <w:lvlJc w:val="left"/>
      <w:pPr>
        <w:tabs>
          <w:tab w:val="num" w:pos="1400"/>
        </w:tabs>
        <w:ind w:left="1400" w:hanging="420"/>
      </w:pPr>
      <w:rPr>
        <w:rFonts w:cs="Times New Roman"/>
      </w:rPr>
    </w:lvl>
    <w:lvl w:ilvl="2" w:tplc="0409001B" w:tentative="1">
      <w:start w:val="1"/>
      <w:numFmt w:val="lowerRoman"/>
      <w:lvlText w:val="%3."/>
      <w:lvlJc w:val="right"/>
      <w:pPr>
        <w:tabs>
          <w:tab w:val="num" w:pos="1820"/>
        </w:tabs>
        <w:ind w:left="1820" w:hanging="420"/>
      </w:pPr>
      <w:rPr>
        <w:rFonts w:cs="Times New Roman"/>
      </w:rPr>
    </w:lvl>
    <w:lvl w:ilvl="3" w:tplc="0409000F" w:tentative="1">
      <w:start w:val="1"/>
      <w:numFmt w:val="decimal"/>
      <w:lvlText w:val="%4."/>
      <w:lvlJc w:val="left"/>
      <w:pPr>
        <w:tabs>
          <w:tab w:val="num" w:pos="2240"/>
        </w:tabs>
        <w:ind w:left="2240" w:hanging="420"/>
      </w:pPr>
      <w:rPr>
        <w:rFonts w:cs="Times New Roman"/>
      </w:rPr>
    </w:lvl>
    <w:lvl w:ilvl="4" w:tplc="04090019" w:tentative="1">
      <w:start w:val="1"/>
      <w:numFmt w:val="lowerLetter"/>
      <w:lvlText w:val="%5)"/>
      <w:lvlJc w:val="left"/>
      <w:pPr>
        <w:tabs>
          <w:tab w:val="num" w:pos="2660"/>
        </w:tabs>
        <w:ind w:left="2660" w:hanging="420"/>
      </w:pPr>
      <w:rPr>
        <w:rFonts w:cs="Times New Roman"/>
      </w:rPr>
    </w:lvl>
    <w:lvl w:ilvl="5" w:tplc="0409001B" w:tentative="1">
      <w:start w:val="1"/>
      <w:numFmt w:val="lowerRoman"/>
      <w:lvlText w:val="%6."/>
      <w:lvlJc w:val="right"/>
      <w:pPr>
        <w:tabs>
          <w:tab w:val="num" w:pos="3080"/>
        </w:tabs>
        <w:ind w:left="3080" w:hanging="420"/>
      </w:pPr>
      <w:rPr>
        <w:rFonts w:cs="Times New Roman"/>
      </w:rPr>
    </w:lvl>
    <w:lvl w:ilvl="6" w:tplc="0409000F" w:tentative="1">
      <w:start w:val="1"/>
      <w:numFmt w:val="decimal"/>
      <w:lvlText w:val="%7."/>
      <w:lvlJc w:val="left"/>
      <w:pPr>
        <w:tabs>
          <w:tab w:val="num" w:pos="3500"/>
        </w:tabs>
        <w:ind w:left="3500" w:hanging="420"/>
      </w:pPr>
      <w:rPr>
        <w:rFonts w:cs="Times New Roman"/>
      </w:rPr>
    </w:lvl>
    <w:lvl w:ilvl="7" w:tplc="04090019" w:tentative="1">
      <w:start w:val="1"/>
      <w:numFmt w:val="lowerLetter"/>
      <w:lvlText w:val="%8)"/>
      <w:lvlJc w:val="left"/>
      <w:pPr>
        <w:tabs>
          <w:tab w:val="num" w:pos="3920"/>
        </w:tabs>
        <w:ind w:left="3920" w:hanging="420"/>
      </w:pPr>
      <w:rPr>
        <w:rFonts w:cs="Times New Roman"/>
      </w:rPr>
    </w:lvl>
    <w:lvl w:ilvl="8" w:tplc="0409001B" w:tentative="1">
      <w:start w:val="1"/>
      <w:numFmt w:val="lowerRoman"/>
      <w:lvlText w:val="%9."/>
      <w:lvlJc w:val="right"/>
      <w:pPr>
        <w:tabs>
          <w:tab w:val="num" w:pos="4340"/>
        </w:tabs>
        <w:ind w:left="4340" w:hanging="420"/>
      </w:pPr>
      <w:rPr>
        <w:rFonts w:cs="Times New Roman"/>
      </w:rPr>
    </w:lvl>
  </w:abstractNum>
  <w:abstractNum w:abstractNumId="15">
    <w:nsid w:val="606012E2"/>
    <w:multiLevelType w:val="hybridMultilevel"/>
    <w:tmpl w:val="6D5827AA"/>
    <w:lvl w:ilvl="0" w:tplc="EC2E2E94">
      <w:start w:val="1"/>
      <w:numFmt w:val="japaneseCounting"/>
      <w:lvlText w:val="%1、"/>
      <w:lvlJc w:val="left"/>
      <w:pPr>
        <w:tabs>
          <w:tab w:val="num" w:pos="720"/>
        </w:tabs>
        <w:ind w:left="720" w:hanging="72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nsid w:val="694416AC"/>
    <w:multiLevelType w:val="hybridMultilevel"/>
    <w:tmpl w:val="C54ECAB2"/>
    <w:lvl w:ilvl="0" w:tplc="E4063B06">
      <w:start w:val="1"/>
      <w:numFmt w:val="decimal"/>
      <w:lvlText w:val="（%1）"/>
      <w:lvlJc w:val="left"/>
      <w:pPr>
        <w:ind w:left="1264" w:hanging="720"/>
      </w:pPr>
      <w:rPr>
        <w:rFonts w:cs="Times New Roman" w:hint="default"/>
      </w:rPr>
    </w:lvl>
    <w:lvl w:ilvl="1" w:tplc="04090019" w:tentative="1">
      <w:start w:val="1"/>
      <w:numFmt w:val="lowerLetter"/>
      <w:lvlText w:val="%2)"/>
      <w:lvlJc w:val="left"/>
      <w:pPr>
        <w:ind w:left="1384" w:hanging="420"/>
      </w:pPr>
      <w:rPr>
        <w:rFonts w:cs="Times New Roman"/>
      </w:rPr>
    </w:lvl>
    <w:lvl w:ilvl="2" w:tplc="0409001B" w:tentative="1">
      <w:start w:val="1"/>
      <w:numFmt w:val="lowerRoman"/>
      <w:lvlText w:val="%3."/>
      <w:lvlJc w:val="right"/>
      <w:pPr>
        <w:ind w:left="1804" w:hanging="420"/>
      </w:pPr>
      <w:rPr>
        <w:rFonts w:cs="Times New Roman"/>
      </w:rPr>
    </w:lvl>
    <w:lvl w:ilvl="3" w:tplc="0409000F" w:tentative="1">
      <w:start w:val="1"/>
      <w:numFmt w:val="decimal"/>
      <w:lvlText w:val="%4."/>
      <w:lvlJc w:val="left"/>
      <w:pPr>
        <w:ind w:left="2224" w:hanging="420"/>
      </w:pPr>
      <w:rPr>
        <w:rFonts w:cs="Times New Roman"/>
      </w:rPr>
    </w:lvl>
    <w:lvl w:ilvl="4" w:tplc="04090019" w:tentative="1">
      <w:start w:val="1"/>
      <w:numFmt w:val="lowerLetter"/>
      <w:lvlText w:val="%5)"/>
      <w:lvlJc w:val="left"/>
      <w:pPr>
        <w:ind w:left="2644" w:hanging="420"/>
      </w:pPr>
      <w:rPr>
        <w:rFonts w:cs="Times New Roman"/>
      </w:rPr>
    </w:lvl>
    <w:lvl w:ilvl="5" w:tplc="0409001B" w:tentative="1">
      <w:start w:val="1"/>
      <w:numFmt w:val="lowerRoman"/>
      <w:lvlText w:val="%6."/>
      <w:lvlJc w:val="right"/>
      <w:pPr>
        <w:ind w:left="3064" w:hanging="420"/>
      </w:pPr>
      <w:rPr>
        <w:rFonts w:cs="Times New Roman"/>
      </w:rPr>
    </w:lvl>
    <w:lvl w:ilvl="6" w:tplc="0409000F" w:tentative="1">
      <w:start w:val="1"/>
      <w:numFmt w:val="decimal"/>
      <w:lvlText w:val="%7."/>
      <w:lvlJc w:val="left"/>
      <w:pPr>
        <w:ind w:left="3484" w:hanging="420"/>
      </w:pPr>
      <w:rPr>
        <w:rFonts w:cs="Times New Roman"/>
      </w:rPr>
    </w:lvl>
    <w:lvl w:ilvl="7" w:tplc="04090019" w:tentative="1">
      <w:start w:val="1"/>
      <w:numFmt w:val="lowerLetter"/>
      <w:lvlText w:val="%8)"/>
      <w:lvlJc w:val="left"/>
      <w:pPr>
        <w:ind w:left="3904" w:hanging="420"/>
      </w:pPr>
      <w:rPr>
        <w:rFonts w:cs="Times New Roman"/>
      </w:rPr>
    </w:lvl>
    <w:lvl w:ilvl="8" w:tplc="0409001B" w:tentative="1">
      <w:start w:val="1"/>
      <w:numFmt w:val="lowerRoman"/>
      <w:lvlText w:val="%9."/>
      <w:lvlJc w:val="right"/>
      <w:pPr>
        <w:ind w:left="4324" w:hanging="420"/>
      </w:pPr>
      <w:rPr>
        <w:rFonts w:cs="Times New Roman"/>
      </w:rPr>
    </w:lvl>
  </w:abstractNum>
  <w:abstractNum w:abstractNumId="17">
    <w:nsid w:val="6E05119B"/>
    <w:multiLevelType w:val="hybridMultilevel"/>
    <w:tmpl w:val="CD107A64"/>
    <w:lvl w:ilvl="0" w:tplc="C6F05922">
      <w:start w:val="1"/>
      <w:numFmt w:val="japaneseCounting"/>
      <w:lvlText w:val="（%1）"/>
      <w:lvlJc w:val="left"/>
      <w:pPr>
        <w:ind w:left="1470" w:hanging="945"/>
      </w:pPr>
      <w:rPr>
        <w:rFonts w:cs="Times New Roman" w:hint="default"/>
      </w:rPr>
    </w:lvl>
    <w:lvl w:ilvl="1" w:tplc="04090019" w:tentative="1">
      <w:start w:val="1"/>
      <w:numFmt w:val="lowerLetter"/>
      <w:lvlText w:val="%2)"/>
      <w:lvlJc w:val="left"/>
      <w:pPr>
        <w:ind w:left="1365" w:hanging="420"/>
      </w:pPr>
      <w:rPr>
        <w:rFonts w:cs="Times New Roman"/>
      </w:rPr>
    </w:lvl>
    <w:lvl w:ilvl="2" w:tplc="0409001B" w:tentative="1">
      <w:start w:val="1"/>
      <w:numFmt w:val="lowerRoman"/>
      <w:lvlText w:val="%3."/>
      <w:lvlJc w:val="right"/>
      <w:pPr>
        <w:ind w:left="1785" w:hanging="420"/>
      </w:pPr>
      <w:rPr>
        <w:rFonts w:cs="Times New Roman"/>
      </w:rPr>
    </w:lvl>
    <w:lvl w:ilvl="3" w:tplc="0409000F" w:tentative="1">
      <w:start w:val="1"/>
      <w:numFmt w:val="decimal"/>
      <w:lvlText w:val="%4."/>
      <w:lvlJc w:val="left"/>
      <w:pPr>
        <w:ind w:left="2205" w:hanging="420"/>
      </w:pPr>
      <w:rPr>
        <w:rFonts w:cs="Times New Roman"/>
      </w:rPr>
    </w:lvl>
    <w:lvl w:ilvl="4" w:tplc="04090019" w:tentative="1">
      <w:start w:val="1"/>
      <w:numFmt w:val="lowerLetter"/>
      <w:lvlText w:val="%5)"/>
      <w:lvlJc w:val="left"/>
      <w:pPr>
        <w:ind w:left="2625" w:hanging="420"/>
      </w:pPr>
      <w:rPr>
        <w:rFonts w:cs="Times New Roman"/>
      </w:rPr>
    </w:lvl>
    <w:lvl w:ilvl="5" w:tplc="0409001B" w:tentative="1">
      <w:start w:val="1"/>
      <w:numFmt w:val="lowerRoman"/>
      <w:lvlText w:val="%6."/>
      <w:lvlJc w:val="right"/>
      <w:pPr>
        <w:ind w:left="3045" w:hanging="420"/>
      </w:pPr>
      <w:rPr>
        <w:rFonts w:cs="Times New Roman"/>
      </w:rPr>
    </w:lvl>
    <w:lvl w:ilvl="6" w:tplc="0409000F" w:tentative="1">
      <w:start w:val="1"/>
      <w:numFmt w:val="decimal"/>
      <w:lvlText w:val="%7."/>
      <w:lvlJc w:val="left"/>
      <w:pPr>
        <w:ind w:left="3465" w:hanging="420"/>
      </w:pPr>
      <w:rPr>
        <w:rFonts w:cs="Times New Roman"/>
      </w:rPr>
    </w:lvl>
    <w:lvl w:ilvl="7" w:tplc="04090019" w:tentative="1">
      <w:start w:val="1"/>
      <w:numFmt w:val="lowerLetter"/>
      <w:lvlText w:val="%8)"/>
      <w:lvlJc w:val="left"/>
      <w:pPr>
        <w:ind w:left="3885" w:hanging="420"/>
      </w:pPr>
      <w:rPr>
        <w:rFonts w:cs="Times New Roman"/>
      </w:rPr>
    </w:lvl>
    <w:lvl w:ilvl="8" w:tplc="0409001B" w:tentative="1">
      <w:start w:val="1"/>
      <w:numFmt w:val="lowerRoman"/>
      <w:lvlText w:val="%9."/>
      <w:lvlJc w:val="right"/>
      <w:pPr>
        <w:ind w:left="4305" w:hanging="420"/>
      </w:pPr>
      <w:rPr>
        <w:rFonts w:cs="Times New Roman"/>
      </w:rPr>
    </w:lvl>
  </w:abstractNum>
  <w:abstractNum w:abstractNumId="18">
    <w:nsid w:val="714D7867"/>
    <w:multiLevelType w:val="hybridMultilevel"/>
    <w:tmpl w:val="C6645F76"/>
    <w:lvl w:ilvl="0" w:tplc="834EA510">
      <w:start w:val="1"/>
      <w:numFmt w:val="decimalEnclosedCircle"/>
      <w:lvlText w:val="%1"/>
      <w:lvlJc w:val="left"/>
      <w:pPr>
        <w:tabs>
          <w:tab w:val="num" w:pos="921"/>
        </w:tabs>
        <w:ind w:left="921" w:hanging="360"/>
      </w:pPr>
      <w:rPr>
        <w:rFonts w:cs="Times New Roman" w:hint="default"/>
      </w:rPr>
    </w:lvl>
    <w:lvl w:ilvl="1" w:tplc="04090019" w:tentative="1">
      <w:start w:val="1"/>
      <w:numFmt w:val="lowerLetter"/>
      <w:lvlText w:val="%2)"/>
      <w:lvlJc w:val="left"/>
      <w:pPr>
        <w:tabs>
          <w:tab w:val="num" w:pos="1401"/>
        </w:tabs>
        <w:ind w:left="1401" w:hanging="420"/>
      </w:pPr>
      <w:rPr>
        <w:rFonts w:cs="Times New Roman"/>
      </w:rPr>
    </w:lvl>
    <w:lvl w:ilvl="2" w:tplc="0409001B" w:tentative="1">
      <w:start w:val="1"/>
      <w:numFmt w:val="lowerRoman"/>
      <w:lvlText w:val="%3."/>
      <w:lvlJc w:val="right"/>
      <w:pPr>
        <w:tabs>
          <w:tab w:val="num" w:pos="1821"/>
        </w:tabs>
        <w:ind w:left="1821" w:hanging="420"/>
      </w:pPr>
      <w:rPr>
        <w:rFonts w:cs="Times New Roman"/>
      </w:rPr>
    </w:lvl>
    <w:lvl w:ilvl="3" w:tplc="0409000F" w:tentative="1">
      <w:start w:val="1"/>
      <w:numFmt w:val="decimal"/>
      <w:lvlText w:val="%4."/>
      <w:lvlJc w:val="left"/>
      <w:pPr>
        <w:tabs>
          <w:tab w:val="num" w:pos="2241"/>
        </w:tabs>
        <w:ind w:left="2241" w:hanging="420"/>
      </w:pPr>
      <w:rPr>
        <w:rFonts w:cs="Times New Roman"/>
      </w:rPr>
    </w:lvl>
    <w:lvl w:ilvl="4" w:tplc="04090019" w:tentative="1">
      <w:start w:val="1"/>
      <w:numFmt w:val="lowerLetter"/>
      <w:lvlText w:val="%5)"/>
      <w:lvlJc w:val="left"/>
      <w:pPr>
        <w:tabs>
          <w:tab w:val="num" w:pos="2661"/>
        </w:tabs>
        <w:ind w:left="2661" w:hanging="420"/>
      </w:pPr>
      <w:rPr>
        <w:rFonts w:cs="Times New Roman"/>
      </w:rPr>
    </w:lvl>
    <w:lvl w:ilvl="5" w:tplc="0409001B" w:tentative="1">
      <w:start w:val="1"/>
      <w:numFmt w:val="lowerRoman"/>
      <w:lvlText w:val="%6."/>
      <w:lvlJc w:val="right"/>
      <w:pPr>
        <w:tabs>
          <w:tab w:val="num" w:pos="3081"/>
        </w:tabs>
        <w:ind w:left="3081" w:hanging="420"/>
      </w:pPr>
      <w:rPr>
        <w:rFonts w:cs="Times New Roman"/>
      </w:rPr>
    </w:lvl>
    <w:lvl w:ilvl="6" w:tplc="0409000F" w:tentative="1">
      <w:start w:val="1"/>
      <w:numFmt w:val="decimal"/>
      <w:lvlText w:val="%7."/>
      <w:lvlJc w:val="left"/>
      <w:pPr>
        <w:tabs>
          <w:tab w:val="num" w:pos="3501"/>
        </w:tabs>
        <w:ind w:left="3501" w:hanging="420"/>
      </w:pPr>
      <w:rPr>
        <w:rFonts w:cs="Times New Roman"/>
      </w:rPr>
    </w:lvl>
    <w:lvl w:ilvl="7" w:tplc="04090019" w:tentative="1">
      <w:start w:val="1"/>
      <w:numFmt w:val="lowerLetter"/>
      <w:lvlText w:val="%8)"/>
      <w:lvlJc w:val="left"/>
      <w:pPr>
        <w:tabs>
          <w:tab w:val="num" w:pos="3921"/>
        </w:tabs>
        <w:ind w:left="3921" w:hanging="420"/>
      </w:pPr>
      <w:rPr>
        <w:rFonts w:cs="Times New Roman"/>
      </w:rPr>
    </w:lvl>
    <w:lvl w:ilvl="8" w:tplc="0409001B" w:tentative="1">
      <w:start w:val="1"/>
      <w:numFmt w:val="lowerRoman"/>
      <w:lvlText w:val="%9."/>
      <w:lvlJc w:val="right"/>
      <w:pPr>
        <w:tabs>
          <w:tab w:val="num" w:pos="4341"/>
        </w:tabs>
        <w:ind w:left="4341" w:hanging="420"/>
      </w:pPr>
      <w:rPr>
        <w:rFonts w:cs="Times New Roman"/>
      </w:rPr>
    </w:lvl>
  </w:abstractNum>
  <w:abstractNum w:abstractNumId="19">
    <w:nsid w:val="767234D0"/>
    <w:multiLevelType w:val="hybridMultilevel"/>
    <w:tmpl w:val="43F2007E"/>
    <w:lvl w:ilvl="0" w:tplc="0D6403BA">
      <w:start w:val="1"/>
      <w:numFmt w:val="japaneseCounting"/>
      <w:lvlText w:val="（%1）"/>
      <w:lvlJc w:val="left"/>
      <w:pPr>
        <w:ind w:left="885" w:hanging="88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0">
    <w:nsid w:val="796F63DA"/>
    <w:multiLevelType w:val="hybridMultilevel"/>
    <w:tmpl w:val="4C105D6C"/>
    <w:lvl w:ilvl="0" w:tplc="57363B90">
      <w:start w:val="1"/>
      <w:numFmt w:val="lowerLetter"/>
      <w:lvlText w:val="%1."/>
      <w:lvlJc w:val="left"/>
      <w:pPr>
        <w:ind w:left="965" w:hanging="40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num w:numId="1">
    <w:abstractNumId w:val="15"/>
  </w:num>
  <w:num w:numId="2">
    <w:abstractNumId w:val="6"/>
  </w:num>
  <w:num w:numId="3">
    <w:abstractNumId w:val="9"/>
  </w:num>
  <w:num w:numId="4">
    <w:abstractNumId w:val="3"/>
  </w:num>
  <w:num w:numId="5">
    <w:abstractNumId w:val="13"/>
  </w:num>
  <w:num w:numId="6">
    <w:abstractNumId w:val="18"/>
  </w:num>
  <w:num w:numId="7">
    <w:abstractNumId w:val="0"/>
  </w:num>
  <w:num w:numId="8">
    <w:abstractNumId w:val="1"/>
  </w:num>
  <w:num w:numId="9">
    <w:abstractNumId w:val="14"/>
  </w:num>
  <w:num w:numId="10">
    <w:abstractNumId w:val="5"/>
  </w:num>
  <w:num w:numId="11">
    <w:abstractNumId w:val="7"/>
  </w:num>
  <w:num w:numId="12">
    <w:abstractNumId w:val="11"/>
  </w:num>
  <w:num w:numId="13">
    <w:abstractNumId w:val="19"/>
  </w:num>
  <w:num w:numId="14">
    <w:abstractNumId w:val="17"/>
  </w:num>
  <w:num w:numId="15">
    <w:abstractNumId w:val="2"/>
  </w:num>
  <w:num w:numId="16">
    <w:abstractNumId w:val="4"/>
  </w:num>
  <w:num w:numId="17">
    <w:abstractNumId w:val="8"/>
  </w:num>
  <w:num w:numId="18">
    <w:abstractNumId w:val="12"/>
  </w:num>
  <w:num w:numId="19">
    <w:abstractNumId w:val="16"/>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13F5"/>
    <w:rsid w:val="002879F8"/>
    <w:rsid w:val="007C13F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szCs w:val="24"/>
    </w:rPr>
  </w:style>
  <w:style w:type="paragraph" w:styleId="Heading1">
    <w:name w:val="heading 1"/>
    <w:basedOn w:val="Normal"/>
    <w:next w:val="Normal"/>
    <w:link w:val="Heading1Char"/>
    <w:uiPriority w:val="99"/>
    <w:qFormat/>
    <w:pPr>
      <w:keepNext/>
      <w:jc w:val="center"/>
      <w:outlineLvl w:val="0"/>
    </w:pPr>
    <w:rPr>
      <w:rFonts w:ascii="宋体" w:hAnsi="宋体"/>
      <w:sz w:val="28"/>
    </w:rPr>
  </w:style>
  <w:style w:type="paragraph" w:styleId="Heading2">
    <w:name w:val="heading 2"/>
    <w:basedOn w:val="Normal"/>
    <w:next w:val="Normal"/>
    <w:link w:val="Heading2Char"/>
    <w:uiPriority w:val="99"/>
    <w:qFormat/>
    <w:pPr>
      <w:keepNext/>
      <w:keepLines/>
      <w:spacing w:before="260" w:after="260" w:line="416" w:lineRule="auto"/>
      <w:outlineLvl w:val="1"/>
    </w:pPr>
    <w:rPr>
      <w:rFonts w:ascii="Cambria" w:hAnsi="Cambria"/>
      <w:b/>
      <w:bCs/>
      <w:sz w:val="32"/>
      <w:szCs w:val="32"/>
    </w:rPr>
  </w:style>
  <w:style w:type="paragraph" w:styleId="Heading4">
    <w:name w:val="heading 4"/>
    <w:basedOn w:val="Normal"/>
    <w:next w:val="Normal"/>
    <w:link w:val="Heading4Char"/>
    <w:uiPriority w:val="99"/>
    <w:qFormat/>
    <w:pPr>
      <w:keepNext/>
      <w:keepLines/>
      <w:spacing w:before="280" w:after="290" w:line="376" w:lineRule="auto"/>
      <w:outlineLvl w:val="3"/>
    </w:pPr>
    <w:rPr>
      <w:rFonts w:ascii="Arial" w:eastAsia="黑体" w:hAnsi="Arial"/>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cs="Times New Roman"/>
      <w:b/>
      <w:bCs/>
      <w:kern w:val="44"/>
      <w:sz w:val="44"/>
      <w:szCs w:val="44"/>
    </w:rPr>
  </w:style>
  <w:style w:type="character" w:customStyle="1" w:styleId="Heading2Char">
    <w:name w:val="Heading 2 Char"/>
    <w:basedOn w:val="DefaultParagraphFont"/>
    <w:link w:val="Heading2"/>
    <w:uiPriority w:val="99"/>
    <w:semiHidden/>
    <w:locked/>
    <w:rPr>
      <w:rFonts w:ascii="Cambria" w:eastAsia="宋体" w:hAnsi="Cambria" w:cs="Times New Roman"/>
      <w:b/>
      <w:bCs/>
      <w:kern w:val="2"/>
      <w:sz w:val="32"/>
      <w:szCs w:val="32"/>
    </w:rPr>
  </w:style>
  <w:style w:type="character" w:customStyle="1" w:styleId="Heading4Char">
    <w:name w:val="Heading 4 Char"/>
    <w:basedOn w:val="DefaultParagraphFont"/>
    <w:link w:val="Heading4"/>
    <w:uiPriority w:val="99"/>
    <w:semiHidden/>
    <w:locked/>
    <w:rPr>
      <w:rFonts w:ascii="Cambria" w:eastAsia="宋体" w:hAnsi="Cambria" w:cs="Times New Roman"/>
      <w:b/>
      <w:bCs/>
      <w:sz w:val="28"/>
      <w:szCs w:val="28"/>
    </w:rPr>
  </w:style>
  <w:style w:type="paragraph" w:styleId="BodyTextIndent">
    <w:name w:val="Body Text Indent"/>
    <w:basedOn w:val="Normal"/>
    <w:link w:val="BodyTextIndentChar"/>
    <w:uiPriority w:val="99"/>
    <w:pPr>
      <w:spacing w:line="700" w:lineRule="exact"/>
      <w:ind w:firstLine="600"/>
    </w:pPr>
    <w:rPr>
      <w:rFonts w:ascii="华文中宋" w:eastAsia="华文中宋" w:hAnsi="华文中宋"/>
      <w:sz w:val="28"/>
    </w:r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Pr>
      <w:rFonts w:cs="Times New Roman"/>
      <w:sz w:val="18"/>
      <w:szCs w:val="18"/>
    </w:rPr>
  </w:style>
  <w:style w:type="character" w:styleId="PageNumber">
    <w:name w:val="page number"/>
    <w:basedOn w:val="DefaultParagraphFont"/>
    <w:uiPriority w:val="99"/>
    <w:rPr>
      <w:rFonts w:cs="Times New Roman"/>
    </w:rPr>
  </w:style>
  <w:style w:type="paragraph" w:styleId="Footer">
    <w:name w:val="footer"/>
    <w:basedOn w:val="Normal"/>
    <w:link w:val="FooterChar"/>
    <w:uiPriority w:val="9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rFonts w:cs="Times New Roman"/>
      <w:sz w:val="18"/>
      <w:szCs w:val="18"/>
    </w:rPr>
  </w:style>
  <w:style w:type="paragraph" w:customStyle="1" w:styleId="zw">
    <w:name w:val="zw"/>
    <w:basedOn w:val="Normal"/>
    <w:uiPriority w:val="99"/>
    <w:pPr>
      <w:adjustRightInd w:val="0"/>
      <w:spacing w:line="360" w:lineRule="auto"/>
      <w:ind w:firstLine="482"/>
      <w:textAlignment w:val="baseline"/>
    </w:pPr>
    <w:rPr>
      <w:rFonts w:ascii="Arial Narrow" w:eastAsia="楷体_GB2312" w:hAnsi="Arial Narrow"/>
      <w:kern w:val="0"/>
      <w:sz w:val="24"/>
      <w:szCs w:val="20"/>
    </w:rPr>
  </w:style>
  <w:style w:type="paragraph" w:styleId="BodyTextIndent3">
    <w:name w:val="Body Text Indent 3"/>
    <w:basedOn w:val="Normal"/>
    <w:link w:val="BodyTextIndent3Char"/>
    <w:uiPriority w:val="99"/>
    <w:pPr>
      <w:spacing w:after="120"/>
      <w:ind w:leftChars="200" w:left="420"/>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Date">
    <w:name w:val="Date"/>
    <w:basedOn w:val="Normal"/>
    <w:next w:val="Normal"/>
    <w:link w:val="DateChar"/>
    <w:uiPriority w:val="99"/>
    <w:pPr>
      <w:ind w:leftChars="2500" w:left="100"/>
    </w:pPr>
  </w:style>
  <w:style w:type="character" w:customStyle="1" w:styleId="DateChar">
    <w:name w:val="Date Char"/>
    <w:basedOn w:val="DefaultParagraphFont"/>
    <w:link w:val="Date"/>
    <w:uiPriority w:val="99"/>
    <w:semiHidden/>
    <w:locked/>
    <w:rPr>
      <w:rFonts w:cs="Times New Roman"/>
      <w:sz w:val="24"/>
      <w:szCs w:val="24"/>
    </w:rPr>
  </w:style>
  <w:style w:type="paragraph" w:styleId="NormalWeb">
    <w:name w:val="Normal (Web)"/>
    <w:basedOn w:val="Normal"/>
    <w:uiPriority w:val="99"/>
    <w:pPr>
      <w:widowControl/>
      <w:spacing w:before="100" w:beforeAutospacing="1" w:after="100" w:afterAutospacing="1"/>
      <w:jc w:val="left"/>
    </w:pPr>
    <w:rPr>
      <w:rFonts w:ascii="宋体" w:hAnsi="宋体"/>
      <w:kern w:val="0"/>
      <w:sz w:val="24"/>
    </w:rPr>
  </w:style>
  <w:style w:type="table" w:styleId="TableGrid">
    <w:name w:val="Table Grid"/>
    <w:basedOn w:val="TableNormal"/>
    <w:uiPriority w:val="99"/>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Normal"/>
    <w:uiPriority w:val="99"/>
    <w:pPr>
      <w:widowControl/>
      <w:spacing w:before="100" w:beforeAutospacing="1" w:after="100" w:afterAutospacing="1"/>
      <w:jc w:val="left"/>
    </w:pPr>
    <w:rPr>
      <w:rFonts w:ascii="宋体" w:hAnsi="宋体"/>
      <w:kern w:val="0"/>
      <w:sz w:val="24"/>
    </w:rPr>
  </w:style>
  <w:style w:type="paragraph" w:customStyle="1" w:styleId="Char">
    <w:name w:val="Char"/>
    <w:basedOn w:val="Normal"/>
    <w:uiPriority w:val="99"/>
    <w:rPr>
      <w:rFonts w:ascii="Tahoma" w:hAnsi="Tahoma"/>
      <w:sz w:val="24"/>
      <w:szCs w:val="20"/>
    </w:rPr>
  </w:style>
  <w:style w:type="character" w:styleId="CommentReference">
    <w:name w:val="annotation reference"/>
    <w:basedOn w:val="DefaultParagraphFont"/>
    <w:uiPriority w:val="99"/>
    <w:semiHidden/>
    <w:rPr>
      <w:rFonts w:cs="Times New Roman"/>
      <w:sz w:val="21"/>
    </w:rPr>
  </w:style>
  <w:style w:type="paragraph" w:styleId="CommentText">
    <w:name w:val="annotation text"/>
    <w:basedOn w:val="Normal"/>
    <w:link w:val="CommentTextChar"/>
    <w:uiPriority w:val="99"/>
    <w:pPr>
      <w:jc w:val="left"/>
    </w:pPr>
  </w:style>
  <w:style w:type="character" w:customStyle="1" w:styleId="CommentTextChar">
    <w:name w:val="Comment Text Char"/>
    <w:basedOn w:val="DefaultParagraphFont"/>
    <w:link w:val="CommentText"/>
    <w:uiPriority w:val="99"/>
    <w:locked/>
    <w:rPr>
      <w:rFonts w:cs="Times New Roman"/>
      <w:kern w:val="2"/>
      <w:sz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b/>
      <w:bCs/>
      <w:szCs w:val="24"/>
    </w:rPr>
  </w:style>
  <w:style w:type="paragraph" w:styleId="BalloonText">
    <w:name w:val="Balloon Text"/>
    <w:basedOn w:val="Normal"/>
    <w:link w:val="BalloonTextChar"/>
    <w:uiPriority w:val="99"/>
    <w:semiHidden/>
    <w:rPr>
      <w:sz w:val="18"/>
      <w:szCs w:val="18"/>
    </w:rPr>
  </w:style>
  <w:style w:type="character" w:customStyle="1" w:styleId="BalloonTextChar">
    <w:name w:val="Balloon Text Char"/>
    <w:basedOn w:val="DefaultParagraphFont"/>
    <w:link w:val="BalloonText"/>
    <w:uiPriority w:val="99"/>
    <w:semiHidden/>
    <w:locked/>
    <w:rPr>
      <w:rFonts w:cs="Times New Roman"/>
      <w:sz w:val="2"/>
    </w:rPr>
  </w:style>
  <w:style w:type="character" w:styleId="Hyperlink">
    <w:name w:val="Hyperlink"/>
    <w:basedOn w:val="DefaultParagraphFont"/>
    <w:uiPriority w:val="99"/>
    <w:rPr>
      <w:rFonts w:cs="Times New Roman"/>
      <w:color w:val="2D64B3"/>
      <w:u w:val="none"/>
      <w:effect w:val="none"/>
    </w:rPr>
  </w:style>
  <w:style w:type="paragraph" w:customStyle="1" w:styleId="length-tip">
    <w:name w:val="length-tip"/>
    <w:basedOn w:val="Normal"/>
    <w:uiPriority w:val="99"/>
    <w:pPr>
      <w:widowControl/>
      <w:spacing w:before="100" w:beforeAutospacing="1" w:after="100" w:afterAutospacing="1"/>
      <w:jc w:val="left"/>
    </w:pPr>
    <w:rPr>
      <w:rFonts w:ascii="宋体" w:hAnsi="宋体" w:cs="宋体"/>
      <w:kern w:val="0"/>
      <w:sz w:val="24"/>
    </w:rPr>
  </w:style>
  <w:style w:type="character" w:customStyle="1" w:styleId="tip4">
    <w:name w:val="tip4"/>
    <w:uiPriority w:val="99"/>
    <w:rPr>
      <w:vanish/>
      <w:color w:val="FF0000"/>
      <w:sz w:val="18"/>
    </w:rPr>
  </w:style>
  <w:style w:type="paragraph" w:customStyle="1" w:styleId="loading2">
    <w:name w:val="loading2"/>
    <w:basedOn w:val="Normal"/>
    <w:uiPriority w:val="99"/>
    <w:pPr>
      <w:widowControl/>
      <w:spacing w:before="300" w:after="100" w:afterAutospacing="1"/>
      <w:jc w:val="left"/>
    </w:pPr>
    <w:rPr>
      <w:rFonts w:ascii="宋体" w:hAnsi="宋体" w:cs="宋体"/>
      <w:kern w:val="0"/>
      <w:szCs w:val="21"/>
    </w:rPr>
  </w:style>
  <w:style w:type="paragraph" w:customStyle="1" w:styleId="reader-word-layerreader-word-s14-9">
    <w:name w:val="reader-word-layer reader-word-s14-9"/>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4-14">
    <w:name w:val="reader-word-layer reader-word-s14-14"/>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4-17">
    <w:name w:val="reader-word-layer reader-word-s14-17"/>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4-13">
    <w:name w:val="reader-word-layer reader-word-s14-13"/>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5-1">
    <w:name w:val="reader-word-layer reader-word-s15-1"/>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5-5">
    <w:name w:val="reader-word-layer reader-word-s15-5"/>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5-6">
    <w:name w:val="reader-word-layer reader-word-s15-6"/>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5-6reader-word-s15-11">
    <w:name w:val="reader-word-layer reader-word-s15-6 reader-word-s15-11"/>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5-7">
    <w:name w:val="reader-word-layer reader-word-s15-7"/>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5-8">
    <w:name w:val="reader-word-layer reader-word-s15-8"/>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5-10">
    <w:name w:val="reader-word-layer reader-word-s15-10"/>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5-8reader-word-s15-11">
    <w:name w:val="reader-word-layer reader-word-s15-8 reader-word-s15-11"/>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5-12">
    <w:name w:val="reader-word-layer reader-word-s15-12"/>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6-1">
    <w:name w:val="reader-word-layer reader-word-s16-1"/>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6-7">
    <w:name w:val="reader-word-layer reader-word-s16-7"/>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6-8">
    <w:name w:val="reader-word-layer reader-word-s16-8"/>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6-9">
    <w:name w:val="reader-word-layer reader-word-s16-9"/>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6-11">
    <w:name w:val="reader-word-layer reader-word-s16-11"/>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6-12">
    <w:name w:val="reader-word-layer reader-word-s16-12"/>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6-13">
    <w:name w:val="reader-word-layer reader-word-s16-13"/>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6-15">
    <w:name w:val="reader-word-layer reader-word-s16-15"/>
    <w:basedOn w:val="Normal"/>
    <w:uiPriority w:val="99"/>
    <w:pPr>
      <w:widowControl/>
      <w:spacing w:before="100" w:beforeAutospacing="1" w:after="100" w:afterAutospacing="1"/>
      <w:jc w:val="left"/>
    </w:pPr>
    <w:rPr>
      <w:rFonts w:ascii="宋体" w:hAnsi="宋体" w:cs="宋体"/>
      <w:kern w:val="0"/>
      <w:sz w:val="24"/>
    </w:rPr>
  </w:style>
  <w:style w:type="paragraph" w:customStyle="1" w:styleId="reader-word-layerreader-word-s16-16">
    <w:name w:val="reader-word-layer reader-word-s16-16"/>
    <w:basedOn w:val="Normal"/>
    <w:uiPriority w:val="99"/>
    <w:pPr>
      <w:widowControl/>
      <w:spacing w:before="100" w:beforeAutospacing="1" w:after="100" w:afterAutospacing="1"/>
      <w:jc w:val="left"/>
    </w:pPr>
    <w:rPr>
      <w:rFonts w:ascii="宋体" w:hAnsi="宋体" w:cs="宋体"/>
      <w:kern w:val="0"/>
      <w:sz w:val="24"/>
    </w:rPr>
  </w:style>
  <w:style w:type="character" w:customStyle="1" w:styleId="ico-doc-tickiet2">
    <w:name w:val="ico-doc-tickiet2"/>
    <w:basedOn w:val="DefaultParagraphFont"/>
    <w:uiPriority w:val="99"/>
    <w:rPr>
      <w:rFonts w:cs="Times New Roman"/>
    </w:rPr>
  </w:style>
  <w:style w:type="character" w:customStyle="1" w:styleId="tips5">
    <w:name w:val="tips5"/>
    <w:basedOn w:val="DefaultParagraphFont"/>
    <w:uiPriority w:val="99"/>
    <w:rPr>
      <w:rFonts w:cs="Times New Roman"/>
    </w:rPr>
  </w:style>
  <w:style w:type="paragraph" w:styleId="z-TopofForm">
    <w:name w:val="HTML Top of Form"/>
    <w:basedOn w:val="Normal"/>
    <w:next w:val="Normal"/>
    <w:link w:val="z-TopofFormChar"/>
    <w:hidden/>
    <w:uiPriority w:val="99"/>
    <w:pPr>
      <w:widowControl/>
      <w:pBdr>
        <w:bottom w:val="single" w:sz="6" w:space="1" w:color="auto"/>
      </w:pBdr>
      <w:jc w:val="center"/>
    </w:pPr>
    <w:rPr>
      <w:rFonts w:ascii="Arial" w:hAnsi="Arial" w:cs="Arial"/>
      <w:vanish/>
      <w:kern w:val="0"/>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rPr>
  </w:style>
  <w:style w:type="paragraph" w:styleId="z-BottomofForm">
    <w:name w:val="HTML Bottom of Form"/>
    <w:basedOn w:val="Normal"/>
    <w:next w:val="Normal"/>
    <w:link w:val="z-BottomofFormChar"/>
    <w:hidden/>
    <w:uiPriority w:val="99"/>
    <w:pPr>
      <w:widowControl/>
      <w:pBdr>
        <w:top w:val="single" w:sz="6" w:space="1" w:color="auto"/>
      </w:pBdr>
      <w:jc w:val="center"/>
    </w:pPr>
    <w:rPr>
      <w:rFonts w:ascii="Arial" w:hAnsi="Arial" w:cs="Arial"/>
      <w:vanish/>
      <w:kern w:val="0"/>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rPr>
  </w:style>
  <w:style w:type="character" w:customStyle="1" w:styleId="cr">
    <w:name w:val="cr"/>
    <w:basedOn w:val="DefaultParagraphFont"/>
    <w:uiPriority w:val="99"/>
    <w:rPr>
      <w:rFonts w:cs="Times New Roman"/>
    </w:rPr>
  </w:style>
  <w:style w:type="paragraph" w:styleId="TOC1">
    <w:name w:val="toc 1"/>
    <w:basedOn w:val="Normal"/>
    <w:next w:val="Normal"/>
    <w:autoRedefine/>
    <w:uiPriority w:val="99"/>
  </w:style>
  <w:style w:type="paragraph" w:styleId="TOC2">
    <w:name w:val="toc 2"/>
    <w:basedOn w:val="Normal"/>
    <w:next w:val="Normal"/>
    <w:autoRedefine/>
    <w:uiPriority w:val="99"/>
    <w:pPr>
      <w:ind w:leftChars="200" w:left="420"/>
    </w:pPr>
  </w:style>
  <w:style w:type="paragraph" w:styleId="ListParagraph">
    <w:name w:val="List Paragraph"/>
    <w:basedOn w:val="Normal"/>
    <w:uiPriority w:val="99"/>
    <w:qFormat/>
    <w:pPr>
      <w:widowControl/>
      <w:spacing w:line="300" w:lineRule="auto"/>
      <w:ind w:firstLineChars="200" w:firstLine="420"/>
      <w:jc w:val="left"/>
    </w:pPr>
    <w:rPr>
      <w:rFonts w:ascii="Bell MT" w:eastAsia="黑体" w:hAnsi="Bell MT" w:cs="黑体"/>
      <w:kern w:val="0"/>
      <w:sz w:val="22"/>
      <w:szCs w:val="22"/>
    </w:rPr>
  </w:style>
  <w:style w:type="character" w:customStyle="1" w:styleId="font21">
    <w:name w:val="font21"/>
    <w:basedOn w:val="DefaultParagraphFont"/>
    <w:uiPriority w:val="99"/>
    <w:rPr>
      <w:rFonts w:ascii="仿宋_GB2312" w:eastAsia="仿宋_GB2312" w:cs="仿宋_GB2312"/>
      <w:color w:val="000000"/>
      <w:sz w:val="24"/>
      <w:szCs w:val="24"/>
      <w:u w:val="none"/>
    </w:rPr>
  </w:style>
  <w:style w:type="character" w:customStyle="1" w:styleId="font11">
    <w:name w:val="font11"/>
    <w:basedOn w:val="DefaultParagraphFont"/>
    <w:uiPriority w:val="99"/>
    <w:rPr>
      <w:rFonts w:ascii="仿宋_GB2312" w:eastAsia="仿宋_GB2312" w:cs="仿宋_GB2312"/>
      <w:color w:val="000000"/>
      <w:sz w:val="24"/>
      <w:szCs w:val="24"/>
      <w:u w:val="none"/>
      <w:vertAlign w:val="superscript"/>
    </w:rPr>
  </w:style>
  <w:style w:type="character" w:customStyle="1" w:styleId="font31">
    <w:name w:val="font31"/>
    <w:basedOn w:val="DefaultParagraphFont"/>
    <w:uiPriority w:val="99"/>
    <w:rPr>
      <w:rFonts w:ascii="仿宋_GB2312" w:eastAsia="仿宋_GB2312" w:cs="仿宋_GB2312"/>
      <w:color w:val="000000"/>
      <w:sz w:val="24"/>
      <w:szCs w:val="24"/>
      <w:u w:val="none"/>
    </w:rPr>
  </w:style>
</w:styles>
</file>

<file path=word/webSettings.xml><?xml version="1.0" encoding="utf-8"?>
<w:webSettings xmlns:r="http://schemas.openxmlformats.org/officeDocument/2006/relationships" xmlns:w="http://schemas.openxmlformats.org/wordprocessingml/2006/main">
  <w:divs>
    <w:div w:id="1634097817">
      <w:marLeft w:val="0"/>
      <w:marRight w:val="0"/>
      <w:marTop w:val="0"/>
      <w:marBottom w:val="0"/>
      <w:divBdr>
        <w:top w:val="none" w:sz="0" w:space="0" w:color="auto"/>
        <w:left w:val="none" w:sz="0" w:space="0" w:color="auto"/>
        <w:bottom w:val="none" w:sz="0" w:space="0" w:color="auto"/>
        <w:right w:val="none" w:sz="0" w:space="0" w:color="auto"/>
      </w:divBdr>
    </w:div>
    <w:div w:id="1634097819">
      <w:marLeft w:val="0"/>
      <w:marRight w:val="0"/>
      <w:marTop w:val="0"/>
      <w:marBottom w:val="0"/>
      <w:divBdr>
        <w:top w:val="none" w:sz="0" w:space="0" w:color="auto"/>
        <w:left w:val="none" w:sz="0" w:space="0" w:color="auto"/>
        <w:bottom w:val="none" w:sz="0" w:space="0" w:color="auto"/>
        <w:right w:val="none" w:sz="0" w:space="0" w:color="auto"/>
      </w:divBdr>
    </w:div>
    <w:div w:id="1634097821">
      <w:marLeft w:val="0"/>
      <w:marRight w:val="0"/>
      <w:marTop w:val="0"/>
      <w:marBottom w:val="0"/>
      <w:divBdr>
        <w:top w:val="none" w:sz="0" w:space="0" w:color="auto"/>
        <w:left w:val="none" w:sz="0" w:space="0" w:color="auto"/>
        <w:bottom w:val="none" w:sz="0" w:space="0" w:color="auto"/>
        <w:right w:val="none" w:sz="0" w:space="0" w:color="auto"/>
      </w:divBdr>
    </w:div>
    <w:div w:id="1634097823">
      <w:marLeft w:val="0"/>
      <w:marRight w:val="0"/>
      <w:marTop w:val="0"/>
      <w:marBottom w:val="0"/>
      <w:divBdr>
        <w:top w:val="none" w:sz="0" w:space="0" w:color="auto"/>
        <w:left w:val="none" w:sz="0" w:space="0" w:color="auto"/>
        <w:bottom w:val="none" w:sz="0" w:space="0" w:color="auto"/>
        <w:right w:val="none" w:sz="0" w:space="0" w:color="auto"/>
      </w:divBdr>
    </w:div>
    <w:div w:id="1634097827">
      <w:marLeft w:val="0"/>
      <w:marRight w:val="0"/>
      <w:marTop w:val="0"/>
      <w:marBottom w:val="0"/>
      <w:divBdr>
        <w:top w:val="none" w:sz="0" w:space="0" w:color="auto"/>
        <w:left w:val="none" w:sz="0" w:space="0" w:color="auto"/>
        <w:bottom w:val="none" w:sz="0" w:space="0" w:color="auto"/>
        <w:right w:val="none" w:sz="0" w:space="0" w:color="auto"/>
      </w:divBdr>
    </w:div>
    <w:div w:id="1634097828">
      <w:marLeft w:val="0"/>
      <w:marRight w:val="0"/>
      <w:marTop w:val="0"/>
      <w:marBottom w:val="0"/>
      <w:divBdr>
        <w:top w:val="none" w:sz="0" w:space="0" w:color="auto"/>
        <w:left w:val="none" w:sz="0" w:space="0" w:color="auto"/>
        <w:bottom w:val="none" w:sz="0" w:space="0" w:color="auto"/>
        <w:right w:val="none" w:sz="0" w:space="0" w:color="auto"/>
      </w:divBdr>
    </w:div>
    <w:div w:id="1634097836">
      <w:marLeft w:val="0"/>
      <w:marRight w:val="0"/>
      <w:marTop w:val="0"/>
      <w:marBottom w:val="0"/>
      <w:divBdr>
        <w:top w:val="none" w:sz="0" w:space="0" w:color="auto"/>
        <w:left w:val="none" w:sz="0" w:space="0" w:color="auto"/>
        <w:bottom w:val="none" w:sz="0" w:space="0" w:color="auto"/>
        <w:right w:val="none" w:sz="0" w:space="0" w:color="auto"/>
      </w:divBdr>
    </w:div>
    <w:div w:id="1634097842">
      <w:marLeft w:val="0"/>
      <w:marRight w:val="0"/>
      <w:marTop w:val="0"/>
      <w:marBottom w:val="0"/>
      <w:divBdr>
        <w:top w:val="none" w:sz="0" w:space="0" w:color="auto"/>
        <w:left w:val="none" w:sz="0" w:space="0" w:color="auto"/>
        <w:bottom w:val="none" w:sz="0" w:space="0" w:color="auto"/>
        <w:right w:val="none" w:sz="0" w:space="0" w:color="auto"/>
      </w:divBdr>
    </w:div>
    <w:div w:id="1634097851">
      <w:marLeft w:val="0"/>
      <w:marRight w:val="0"/>
      <w:marTop w:val="0"/>
      <w:marBottom w:val="0"/>
      <w:divBdr>
        <w:top w:val="none" w:sz="0" w:space="0" w:color="auto"/>
        <w:left w:val="none" w:sz="0" w:space="0" w:color="auto"/>
        <w:bottom w:val="none" w:sz="0" w:space="0" w:color="auto"/>
        <w:right w:val="none" w:sz="0" w:space="0" w:color="auto"/>
      </w:divBdr>
    </w:div>
    <w:div w:id="1634097864">
      <w:marLeft w:val="0"/>
      <w:marRight w:val="0"/>
      <w:marTop w:val="0"/>
      <w:marBottom w:val="0"/>
      <w:divBdr>
        <w:top w:val="none" w:sz="0" w:space="0" w:color="auto"/>
        <w:left w:val="none" w:sz="0" w:space="0" w:color="auto"/>
        <w:bottom w:val="none" w:sz="0" w:space="0" w:color="auto"/>
        <w:right w:val="none" w:sz="0" w:space="0" w:color="auto"/>
      </w:divBdr>
    </w:div>
    <w:div w:id="1634097876">
      <w:marLeft w:val="0"/>
      <w:marRight w:val="0"/>
      <w:marTop w:val="100"/>
      <w:marBottom w:val="100"/>
      <w:divBdr>
        <w:top w:val="none" w:sz="0" w:space="0" w:color="auto"/>
        <w:left w:val="none" w:sz="0" w:space="0" w:color="auto"/>
        <w:bottom w:val="none" w:sz="0" w:space="0" w:color="auto"/>
        <w:right w:val="none" w:sz="0" w:space="0" w:color="auto"/>
      </w:divBdr>
      <w:divsChild>
        <w:div w:id="1634098020">
          <w:marLeft w:val="0"/>
          <w:marRight w:val="0"/>
          <w:marTop w:val="0"/>
          <w:marBottom w:val="0"/>
          <w:divBdr>
            <w:top w:val="none" w:sz="0" w:space="0" w:color="auto"/>
            <w:left w:val="none" w:sz="0" w:space="0" w:color="auto"/>
            <w:bottom w:val="none" w:sz="0" w:space="0" w:color="auto"/>
            <w:right w:val="none" w:sz="0" w:space="0" w:color="auto"/>
          </w:divBdr>
          <w:divsChild>
            <w:div w:id="1634098418">
              <w:marLeft w:val="0"/>
              <w:marRight w:val="0"/>
              <w:marTop w:val="0"/>
              <w:marBottom w:val="0"/>
              <w:divBdr>
                <w:top w:val="none" w:sz="0" w:space="0" w:color="auto"/>
                <w:left w:val="none" w:sz="0" w:space="0" w:color="auto"/>
                <w:bottom w:val="none" w:sz="0" w:space="0" w:color="auto"/>
                <w:right w:val="none" w:sz="0" w:space="0" w:color="auto"/>
              </w:divBdr>
              <w:divsChild>
                <w:div w:id="1634098390">
                  <w:marLeft w:val="0"/>
                  <w:marRight w:val="0"/>
                  <w:marTop w:val="0"/>
                  <w:marBottom w:val="0"/>
                  <w:divBdr>
                    <w:top w:val="none" w:sz="0" w:space="0" w:color="auto"/>
                    <w:left w:val="none" w:sz="0" w:space="0" w:color="auto"/>
                    <w:bottom w:val="none" w:sz="0" w:space="0" w:color="auto"/>
                    <w:right w:val="none" w:sz="0" w:space="0" w:color="auto"/>
                  </w:divBdr>
                  <w:divsChild>
                    <w:div w:id="1634097913">
                      <w:marLeft w:val="0"/>
                      <w:marRight w:val="0"/>
                      <w:marTop w:val="150"/>
                      <w:marBottom w:val="0"/>
                      <w:divBdr>
                        <w:top w:val="none" w:sz="0" w:space="0" w:color="auto"/>
                        <w:left w:val="none" w:sz="0" w:space="0" w:color="auto"/>
                        <w:bottom w:val="none" w:sz="0" w:space="0" w:color="auto"/>
                        <w:right w:val="none" w:sz="0" w:space="0" w:color="auto"/>
                      </w:divBdr>
                      <w:divsChild>
                        <w:div w:id="1634098162">
                          <w:marLeft w:val="0"/>
                          <w:marRight w:val="0"/>
                          <w:marTop w:val="0"/>
                          <w:marBottom w:val="0"/>
                          <w:divBdr>
                            <w:top w:val="none" w:sz="0" w:space="0" w:color="auto"/>
                            <w:left w:val="none" w:sz="0" w:space="0" w:color="auto"/>
                            <w:bottom w:val="none" w:sz="0" w:space="0" w:color="auto"/>
                            <w:right w:val="none" w:sz="0" w:space="0" w:color="auto"/>
                          </w:divBdr>
                          <w:divsChild>
                            <w:div w:id="1634098593">
                              <w:marLeft w:val="0"/>
                              <w:marRight w:val="0"/>
                              <w:marTop w:val="0"/>
                              <w:marBottom w:val="0"/>
                              <w:divBdr>
                                <w:top w:val="none" w:sz="0" w:space="0" w:color="auto"/>
                                <w:left w:val="none" w:sz="0" w:space="0" w:color="auto"/>
                                <w:bottom w:val="none" w:sz="0" w:space="0" w:color="auto"/>
                                <w:right w:val="none" w:sz="0" w:space="0" w:color="auto"/>
                              </w:divBdr>
                              <w:divsChild>
                                <w:div w:id="1634098219">
                                  <w:marLeft w:val="0"/>
                                  <w:marRight w:val="0"/>
                                  <w:marTop w:val="0"/>
                                  <w:marBottom w:val="0"/>
                                  <w:divBdr>
                                    <w:top w:val="none" w:sz="0" w:space="0" w:color="auto"/>
                                    <w:left w:val="none" w:sz="0" w:space="0" w:color="auto"/>
                                    <w:bottom w:val="none" w:sz="0" w:space="0" w:color="auto"/>
                                    <w:right w:val="none" w:sz="0" w:space="0" w:color="auto"/>
                                  </w:divBdr>
                                  <w:divsChild>
                                    <w:div w:id="1634097921">
                                      <w:marLeft w:val="0"/>
                                      <w:marRight w:val="0"/>
                                      <w:marTop w:val="0"/>
                                      <w:marBottom w:val="0"/>
                                      <w:divBdr>
                                        <w:top w:val="none" w:sz="0" w:space="0" w:color="auto"/>
                                        <w:left w:val="none" w:sz="0" w:space="0" w:color="auto"/>
                                        <w:bottom w:val="none" w:sz="0" w:space="0" w:color="auto"/>
                                        <w:right w:val="none" w:sz="0" w:space="0" w:color="auto"/>
                                      </w:divBdr>
                                      <w:divsChild>
                                        <w:div w:id="1634098006">
                                          <w:marLeft w:val="0"/>
                                          <w:marRight w:val="0"/>
                                          <w:marTop w:val="0"/>
                                          <w:marBottom w:val="0"/>
                                          <w:divBdr>
                                            <w:top w:val="none" w:sz="0" w:space="0" w:color="auto"/>
                                            <w:left w:val="none" w:sz="0" w:space="0" w:color="auto"/>
                                            <w:bottom w:val="none" w:sz="0" w:space="0" w:color="auto"/>
                                            <w:right w:val="none" w:sz="0" w:space="0" w:color="auto"/>
                                          </w:divBdr>
                                          <w:divsChild>
                                            <w:div w:id="1634098297">
                                              <w:marLeft w:val="0"/>
                                              <w:marRight w:val="0"/>
                                              <w:marTop w:val="0"/>
                                              <w:marBottom w:val="0"/>
                                              <w:divBdr>
                                                <w:top w:val="none" w:sz="0" w:space="0" w:color="auto"/>
                                                <w:left w:val="none" w:sz="0" w:space="0" w:color="auto"/>
                                                <w:bottom w:val="none" w:sz="0" w:space="0" w:color="auto"/>
                                                <w:right w:val="none" w:sz="0" w:space="0" w:color="auto"/>
                                              </w:divBdr>
                                              <w:divsChild>
                                                <w:div w:id="1634097926">
                                                  <w:marLeft w:val="0"/>
                                                  <w:marRight w:val="0"/>
                                                  <w:marTop w:val="0"/>
                                                  <w:marBottom w:val="0"/>
                                                  <w:divBdr>
                                                    <w:top w:val="none" w:sz="0" w:space="0" w:color="auto"/>
                                                    <w:left w:val="none" w:sz="0" w:space="0" w:color="auto"/>
                                                    <w:bottom w:val="none" w:sz="0" w:space="0" w:color="auto"/>
                                                    <w:right w:val="none" w:sz="0" w:space="0" w:color="auto"/>
                                                  </w:divBdr>
                                                  <w:divsChild>
                                                    <w:div w:id="1634098065">
                                                      <w:marLeft w:val="0"/>
                                                      <w:marRight w:val="0"/>
                                                      <w:marTop w:val="0"/>
                                                      <w:marBottom w:val="0"/>
                                                      <w:divBdr>
                                                        <w:top w:val="none" w:sz="0" w:space="0" w:color="auto"/>
                                                        <w:left w:val="none" w:sz="0" w:space="0" w:color="auto"/>
                                                        <w:bottom w:val="none" w:sz="0" w:space="0" w:color="auto"/>
                                                        <w:right w:val="none" w:sz="0" w:space="0" w:color="auto"/>
                                                      </w:divBdr>
                                                      <w:divsChild>
                                                        <w:div w:id="1634098478">
                                                          <w:marLeft w:val="0"/>
                                                          <w:marRight w:val="0"/>
                                                          <w:marTop w:val="0"/>
                                                          <w:marBottom w:val="0"/>
                                                          <w:divBdr>
                                                            <w:top w:val="none" w:sz="0" w:space="0" w:color="auto"/>
                                                            <w:left w:val="none" w:sz="0" w:space="0" w:color="auto"/>
                                                            <w:bottom w:val="none" w:sz="0" w:space="0" w:color="auto"/>
                                                            <w:right w:val="none" w:sz="0" w:space="0" w:color="auto"/>
                                                          </w:divBdr>
                                                          <w:divsChild>
                                                            <w:div w:id="1634098164">
                                                              <w:marLeft w:val="0"/>
                                                              <w:marRight w:val="0"/>
                                                              <w:marTop w:val="0"/>
                                                              <w:marBottom w:val="0"/>
                                                              <w:divBdr>
                                                                <w:top w:val="none" w:sz="0" w:space="0" w:color="auto"/>
                                                                <w:left w:val="none" w:sz="0" w:space="0" w:color="auto"/>
                                                                <w:bottom w:val="none" w:sz="0" w:space="0" w:color="auto"/>
                                                                <w:right w:val="none" w:sz="0" w:space="0" w:color="auto"/>
                                                              </w:divBdr>
                                                              <w:divsChild>
                                                                <w:div w:id="1634098338">
                                                                  <w:marLeft w:val="0"/>
                                                                  <w:marRight w:val="0"/>
                                                                  <w:marTop w:val="0"/>
                                                                  <w:marBottom w:val="0"/>
                                                                  <w:divBdr>
                                                                    <w:top w:val="none" w:sz="0" w:space="0" w:color="auto"/>
                                                                    <w:left w:val="none" w:sz="0" w:space="0" w:color="auto"/>
                                                                    <w:bottom w:val="none" w:sz="0" w:space="0" w:color="auto"/>
                                                                    <w:right w:val="none" w:sz="0" w:space="0" w:color="auto"/>
                                                                  </w:divBdr>
                                                                  <w:divsChild>
                                                                    <w:div w:id="1634098419">
                                                                      <w:marLeft w:val="0"/>
                                                                      <w:marRight w:val="0"/>
                                                                      <w:marTop w:val="0"/>
                                                                      <w:marBottom w:val="0"/>
                                                                      <w:divBdr>
                                                                        <w:top w:val="none" w:sz="0" w:space="0" w:color="auto"/>
                                                                        <w:left w:val="none" w:sz="0" w:space="0" w:color="auto"/>
                                                                        <w:bottom w:val="none" w:sz="0" w:space="0" w:color="auto"/>
                                                                        <w:right w:val="none" w:sz="0" w:space="0" w:color="auto"/>
                                                                      </w:divBdr>
                                                                      <w:divsChild>
                                                                        <w:div w:id="1634097833">
                                                                          <w:marLeft w:val="0"/>
                                                                          <w:marRight w:val="0"/>
                                                                          <w:marTop w:val="0"/>
                                                                          <w:marBottom w:val="0"/>
                                                                          <w:divBdr>
                                                                            <w:top w:val="none" w:sz="0" w:space="0" w:color="auto"/>
                                                                            <w:left w:val="none" w:sz="0" w:space="0" w:color="auto"/>
                                                                            <w:bottom w:val="none" w:sz="0" w:space="0" w:color="auto"/>
                                                                            <w:right w:val="none" w:sz="0" w:space="0" w:color="auto"/>
                                                                          </w:divBdr>
                                                                          <w:divsChild>
                                                                            <w:div w:id="1634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7878">
      <w:marLeft w:val="0"/>
      <w:marRight w:val="0"/>
      <w:marTop w:val="0"/>
      <w:marBottom w:val="0"/>
      <w:divBdr>
        <w:top w:val="none" w:sz="0" w:space="0" w:color="auto"/>
        <w:left w:val="none" w:sz="0" w:space="0" w:color="auto"/>
        <w:bottom w:val="none" w:sz="0" w:space="0" w:color="auto"/>
        <w:right w:val="none" w:sz="0" w:space="0" w:color="auto"/>
      </w:divBdr>
    </w:div>
    <w:div w:id="1634097879">
      <w:marLeft w:val="0"/>
      <w:marRight w:val="0"/>
      <w:marTop w:val="0"/>
      <w:marBottom w:val="0"/>
      <w:divBdr>
        <w:top w:val="none" w:sz="0" w:space="0" w:color="auto"/>
        <w:left w:val="none" w:sz="0" w:space="0" w:color="auto"/>
        <w:bottom w:val="none" w:sz="0" w:space="0" w:color="auto"/>
        <w:right w:val="none" w:sz="0" w:space="0" w:color="auto"/>
      </w:divBdr>
    </w:div>
    <w:div w:id="1634097882">
      <w:marLeft w:val="0"/>
      <w:marRight w:val="0"/>
      <w:marTop w:val="0"/>
      <w:marBottom w:val="0"/>
      <w:divBdr>
        <w:top w:val="none" w:sz="0" w:space="0" w:color="auto"/>
        <w:left w:val="none" w:sz="0" w:space="0" w:color="auto"/>
        <w:bottom w:val="none" w:sz="0" w:space="0" w:color="auto"/>
        <w:right w:val="none" w:sz="0" w:space="0" w:color="auto"/>
      </w:divBdr>
      <w:divsChild>
        <w:div w:id="1634097895">
          <w:marLeft w:val="0"/>
          <w:marRight w:val="0"/>
          <w:marTop w:val="0"/>
          <w:marBottom w:val="0"/>
          <w:divBdr>
            <w:top w:val="none" w:sz="0" w:space="0" w:color="auto"/>
            <w:left w:val="none" w:sz="0" w:space="0" w:color="auto"/>
            <w:bottom w:val="none" w:sz="0" w:space="0" w:color="auto"/>
            <w:right w:val="none" w:sz="0" w:space="0" w:color="auto"/>
          </w:divBdr>
          <w:divsChild>
            <w:div w:id="1634098367">
              <w:marLeft w:val="0"/>
              <w:marRight w:val="0"/>
              <w:marTop w:val="0"/>
              <w:marBottom w:val="0"/>
              <w:divBdr>
                <w:top w:val="single" w:sz="6" w:space="0" w:color="DBDBDB"/>
                <w:left w:val="none" w:sz="0" w:space="0" w:color="auto"/>
                <w:bottom w:val="none" w:sz="0" w:space="0" w:color="auto"/>
                <w:right w:val="none" w:sz="0" w:space="0" w:color="auto"/>
              </w:divBdr>
              <w:divsChild>
                <w:div w:id="1634098696">
                  <w:marLeft w:val="0"/>
                  <w:marRight w:val="0"/>
                  <w:marTop w:val="0"/>
                  <w:marBottom w:val="0"/>
                  <w:divBdr>
                    <w:top w:val="none" w:sz="0" w:space="0" w:color="auto"/>
                    <w:left w:val="none" w:sz="0" w:space="0" w:color="auto"/>
                    <w:bottom w:val="none" w:sz="0" w:space="0" w:color="auto"/>
                    <w:right w:val="none" w:sz="0" w:space="0" w:color="auto"/>
                  </w:divBdr>
                  <w:divsChild>
                    <w:div w:id="1634098069">
                      <w:marLeft w:val="0"/>
                      <w:marRight w:val="0"/>
                      <w:marTop w:val="0"/>
                      <w:marBottom w:val="0"/>
                      <w:divBdr>
                        <w:top w:val="none" w:sz="0" w:space="0" w:color="auto"/>
                        <w:left w:val="none" w:sz="0" w:space="0" w:color="auto"/>
                        <w:bottom w:val="none" w:sz="0" w:space="0" w:color="auto"/>
                        <w:right w:val="none" w:sz="0" w:space="0" w:color="auto"/>
                      </w:divBdr>
                      <w:divsChild>
                        <w:div w:id="1634097847">
                          <w:marLeft w:val="0"/>
                          <w:marRight w:val="0"/>
                          <w:marTop w:val="0"/>
                          <w:marBottom w:val="0"/>
                          <w:divBdr>
                            <w:top w:val="none" w:sz="0" w:space="0" w:color="auto"/>
                            <w:left w:val="none" w:sz="0" w:space="0" w:color="auto"/>
                            <w:bottom w:val="none" w:sz="0" w:space="0" w:color="auto"/>
                            <w:right w:val="none" w:sz="0" w:space="0" w:color="auto"/>
                          </w:divBdr>
                          <w:divsChild>
                            <w:div w:id="1634098495">
                              <w:marLeft w:val="0"/>
                              <w:marRight w:val="0"/>
                              <w:marTop w:val="0"/>
                              <w:marBottom w:val="0"/>
                              <w:divBdr>
                                <w:top w:val="none" w:sz="0" w:space="0" w:color="auto"/>
                                <w:left w:val="none" w:sz="0" w:space="0" w:color="auto"/>
                                <w:bottom w:val="none" w:sz="0" w:space="0" w:color="auto"/>
                                <w:right w:val="none" w:sz="0" w:space="0" w:color="auto"/>
                              </w:divBdr>
                              <w:divsChild>
                                <w:div w:id="1634098282">
                                  <w:marLeft w:val="0"/>
                                  <w:marRight w:val="0"/>
                                  <w:marTop w:val="0"/>
                                  <w:marBottom w:val="0"/>
                                  <w:divBdr>
                                    <w:top w:val="none" w:sz="0" w:space="0" w:color="auto"/>
                                    <w:left w:val="none" w:sz="0" w:space="0" w:color="auto"/>
                                    <w:bottom w:val="none" w:sz="0" w:space="0" w:color="auto"/>
                                    <w:right w:val="none" w:sz="0" w:space="0" w:color="auto"/>
                                  </w:divBdr>
                                  <w:divsChild>
                                    <w:div w:id="1634097927">
                                      <w:marLeft w:val="0"/>
                                      <w:marRight w:val="0"/>
                                      <w:marTop w:val="0"/>
                                      <w:marBottom w:val="0"/>
                                      <w:divBdr>
                                        <w:top w:val="none" w:sz="0" w:space="0" w:color="auto"/>
                                        <w:left w:val="none" w:sz="0" w:space="0" w:color="auto"/>
                                        <w:bottom w:val="none" w:sz="0" w:space="0" w:color="auto"/>
                                        <w:right w:val="none" w:sz="0" w:space="0" w:color="auto"/>
                                      </w:divBdr>
                                    </w:div>
                                    <w:div w:id="1634097992">
                                      <w:marLeft w:val="0"/>
                                      <w:marRight w:val="0"/>
                                      <w:marTop w:val="0"/>
                                      <w:marBottom w:val="0"/>
                                      <w:divBdr>
                                        <w:top w:val="none" w:sz="0" w:space="0" w:color="auto"/>
                                        <w:left w:val="none" w:sz="0" w:space="0" w:color="auto"/>
                                        <w:bottom w:val="none" w:sz="0" w:space="0" w:color="auto"/>
                                        <w:right w:val="none" w:sz="0" w:space="0" w:color="auto"/>
                                      </w:divBdr>
                                    </w:div>
                                    <w:div w:id="1634098042">
                                      <w:marLeft w:val="0"/>
                                      <w:marRight w:val="0"/>
                                      <w:marTop w:val="0"/>
                                      <w:marBottom w:val="0"/>
                                      <w:divBdr>
                                        <w:top w:val="none" w:sz="0" w:space="0" w:color="auto"/>
                                        <w:left w:val="none" w:sz="0" w:space="0" w:color="auto"/>
                                        <w:bottom w:val="none" w:sz="0" w:space="0" w:color="auto"/>
                                        <w:right w:val="none" w:sz="0" w:space="0" w:color="auto"/>
                                      </w:divBdr>
                                    </w:div>
                                    <w:div w:id="1634098057">
                                      <w:marLeft w:val="0"/>
                                      <w:marRight w:val="0"/>
                                      <w:marTop w:val="0"/>
                                      <w:marBottom w:val="0"/>
                                      <w:divBdr>
                                        <w:top w:val="none" w:sz="0" w:space="0" w:color="auto"/>
                                        <w:left w:val="none" w:sz="0" w:space="0" w:color="auto"/>
                                        <w:bottom w:val="none" w:sz="0" w:space="0" w:color="auto"/>
                                        <w:right w:val="none" w:sz="0" w:space="0" w:color="auto"/>
                                      </w:divBdr>
                                    </w:div>
                                    <w:div w:id="1634098215">
                                      <w:marLeft w:val="0"/>
                                      <w:marRight w:val="0"/>
                                      <w:marTop w:val="0"/>
                                      <w:marBottom w:val="0"/>
                                      <w:divBdr>
                                        <w:top w:val="none" w:sz="0" w:space="0" w:color="auto"/>
                                        <w:left w:val="none" w:sz="0" w:space="0" w:color="auto"/>
                                        <w:bottom w:val="none" w:sz="0" w:space="0" w:color="auto"/>
                                        <w:right w:val="none" w:sz="0" w:space="0" w:color="auto"/>
                                      </w:divBdr>
                                    </w:div>
                                    <w:div w:id="1634098240">
                                      <w:marLeft w:val="0"/>
                                      <w:marRight w:val="0"/>
                                      <w:marTop w:val="0"/>
                                      <w:marBottom w:val="0"/>
                                      <w:divBdr>
                                        <w:top w:val="none" w:sz="0" w:space="0" w:color="auto"/>
                                        <w:left w:val="none" w:sz="0" w:space="0" w:color="auto"/>
                                        <w:bottom w:val="none" w:sz="0" w:space="0" w:color="auto"/>
                                        <w:right w:val="none" w:sz="0" w:space="0" w:color="auto"/>
                                      </w:divBdr>
                                    </w:div>
                                    <w:div w:id="1634098603">
                                      <w:marLeft w:val="0"/>
                                      <w:marRight w:val="0"/>
                                      <w:marTop w:val="0"/>
                                      <w:marBottom w:val="0"/>
                                      <w:divBdr>
                                        <w:top w:val="none" w:sz="0" w:space="0" w:color="auto"/>
                                        <w:left w:val="none" w:sz="0" w:space="0" w:color="auto"/>
                                        <w:bottom w:val="none" w:sz="0" w:space="0" w:color="auto"/>
                                        <w:right w:val="none" w:sz="0" w:space="0" w:color="auto"/>
                                      </w:divBdr>
                                    </w:div>
                                    <w:div w:id="16340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097892">
      <w:marLeft w:val="0"/>
      <w:marRight w:val="0"/>
      <w:marTop w:val="0"/>
      <w:marBottom w:val="0"/>
      <w:divBdr>
        <w:top w:val="none" w:sz="0" w:space="0" w:color="auto"/>
        <w:left w:val="none" w:sz="0" w:space="0" w:color="auto"/>
        <w:bottom w:val="none" w:sz="0" w:space="0" w:color="auto"/>
        <w:right w:val="none" w:sz="0" w:space="0" w:color="auto"/>
      </w:divBdr>
      <w:divsChild>
        <w:div w:id="1634097996">
          <w:marLeft w:val="0"/>
          <w:marRight w:val="0"/>
          <w:marTop w:val="0"/>
          <w:marBottom w:val="0"/>
          <w:divBdr>
            <w:top w:val="none" w:sz="0" w:space="0" w:color="auto"/>
            <w:left w:val="none" w:sz="0" w:space="0" w:color="auto"/>
            <w:bottom w:val="none" w:sz="0" w:space="0" w:color="auto"/>
            <w:right w:val="none" w:sz="0" w:space="0" w:color="auto"/>
          </w:divBdr>
          <w:divsChild>
            <w:div w:id="1634098220">
              <w:marLeft w:val="0"/>
              <w:marRight w:val="0"/>
              <w:marTop w:val="0"/>
              <w:marBottom w:val="0"/>
              <w:divBdr>
                <w:top w:val="none" w:sz="0" w:space="0" w:color="auto"/>
                <w:left w:val="none" w:sz="0" w:space="0" w:color="auto"/>
                <w:bottom w:val="none" w:sz="0" w:space="0" w:color="auto"/>
                <w:right w:val="none" w:sz="0" w:space="0" w:color="auto"/>
              </w:divBdr>
              <w:divsChild>
                <w:div w:id="1634097959">
                  <w:marLeft w:val="0"/>
                  <w:marRight w:val="0"/>
                  <w:marTop w:val="0"/>
                  <w:marBottom w:val="0"/>
                  <w:divBdr>
                    <w:top w:val="none" w:sz="0" w:space="0" w:color="auto"/>
                    <w:left w:val="none" w:sz="0" w:space="0" w:color="auto"/>
                    <w:bottom w:val="none" w:sz="0" w:space="0" w:color="auto"/>
                    <w:right w:val="none" w:sz="0" w:space="0" w:color="auto"/>
                  </w:divBdr>
                  <w:divsChild>
                    <w:div w:id="1634098602">
                      <w:marLeft w:val="0"/>
                      <w:marRight w:val="0"/>
                      <w:marTop w:val="0"/>
                      <w:marBottom w:val="0"/>
                      <w:divBdr>
                        <w:top w:val="none" w:sz="0" w:space="0" w:color="auto"/>
                        <w:left w:val="none" w:sz="0" w:space="0" w:color="auto"/>
                        <w:bottom w:val="none" w:sz="0" w:space="0" w:color="auto"/>
                        <w:right w:val="none" w:sz="0" w:space="0" w:color="auto"/>
                      </w:divBdr>
                      <w:divsChild>
                        <w:div w:id="16340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097897">
      <w:marLeft w:val="0"/>
      <w:marRight w:val="0"/>
      <w:marTop w:val="0"/>
      <w:marBottom w:val="0"/>
      <w:divBdr>
        <w:top w:val="none" w:sz="0" w:space="0" w:color="auto"/>
        <w:left w:val="none" w:sz="0" w:space="0" w:color="auto"/>
        <w:bottom w:val="none" w:sz="0" w:space="0" w:color="auto"/>
        <w:right w:val="none" w:sz="0" w:space="0" w:color="auto"/>
      </w:divBdr>
    </w:div>
    <w:div w:id="1634097911">
      <w:marLeft w:val="0"/>
      <w:marRight w:val="0"/>
      <w:marTop w:val="0"/>
      <w:marBottom w:val="0"/>
      <w:divBdr>
        <w:top w:val="none" w:sz="0" w:space="0" w:color="auto"/>
        <w:left w:val="none" w:sz="0" w:space="0" w:color="auto"/>
        <w:bottom w:val="none" w:sz="0" w:space="0" w:color="auto"/>
        <w:right w:val="none" w:sz="0" w:space="0" w:color="auto"/>
      </w:divBdr>
    </w:div>
    <w:div w:id="1634097934">
      <w:marLeft w:val="0"/>
      <w:marRight w:val="0"/>
      <w:marTop w:val="0"/>
      <w:marBottom w:val="0"/>
      <w:divBdr>
        <w:top w:val="none" w:sz="0" w:space="0" w:color="auto"/>
        <w:left w:val="none" w:sz="0" w:space="0" w:color="auto"/>
        <w:bottom w:val="none" w:sz="0" w:space="0" w:color="auto"/>
        <w:right w:val="none" w:sz="0" w:space="0" w:color="auto"/>
      </w:divBdr>
      <w:divsChild>
        <w:div w:id="1634098513">
          <w:marLeft w:val="0"/>
          <w:marRight w:val="0"/>
          <w:marTop w:val="0"/>
          <w:marBottom w:val="0"/>
          <w:divBdr>
            <w:top w:val="none" w:sz="0" w:space="0" w:color="auto"/>
            <w:left w:val="none" w:sz="0" w:space="0" w:color="auto"/>
            <w:bottom w:val="none" w:sz="0" w:space="0" w:color="auto"/>
            <w:right w:val="none" w:sz="0" w:space="0" w:color="auto"/>
          </w:divBdr>
          <w:divsChild>
            <w:div w:id="1634098627">
              <w:marLeft w:val="0"/>
              <w:marRight w:val="0"/>
              <w:marTop w:val="300"/>
              <w:marBottom w:val="0"/>
              <w:divBdr>
                <w:top w:val="none" w:sz="0" w:space="0" w:color="auto"/>
                <w:left w:val="none" w:sz="0" w:space="0" w:color="auto"/>
                <w:bottom w:val="none" w:sz="0" w:space="0" w:color="auto"/>
                <w:right w:val="none" w:sz="0" w:space="0" w:color="auto"/>
              </w:divBdr>
              <w:divsChild>
                <w:div w:id="1634098115">
                  <w:marLeft w:val="0"/>
                  <w:marRight w:val="0"/>
                  <w:marTop w:val="0"/>
                  <w:marBottom w:val="0"/>
                  <w:divBdr>
                    <w:top w:val="single" w:sz="6" w:space="0" w:color="E5E5E5"/>
                    <w:left w:val="single" w:sz="6" w:space="0" w:color="E5E5E5"/>
                    <w:bottom w:val="single" w:sz="6" w:space="0" w:color="E5E5E5"/>
                    <w:right w:val="single" w:sz="6" w:space="0" w:color="E5E5E5"/>
                  </w:divBdr>
                  <w:divsChild>
                    <w:div w:id="1634098363">
                      <w:marLeft w:val="0"/>
                      <w:marRight w:val="0"/>
                      <w:marTop w:val="0"/>
                      <w:marBottom w:val="0"/>
                      <w:divBdr>
                        <w:top w:val="none" w:sz="0" w:space="0" w:color="auto"/>
                        <w:left w:val="none" w:sz="0" w:space="0" w:color="auto"/>
                        <w:bottom w:val="none" w:sz="0" w:space="0" w:color="auto"/>
                        <w:right w:val="none" w:sz="0" w:space="0" w:color="auto"/>
                      </w:divBdr>
                      <w:divsChild>
                        <w:div w:id="16340985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34097936">
      <w:marLeft w:val="0"/>
      <w:marRight w:val="0"/>
      <w:marTop w:val="0"/>
      <w:marBottom w:val="0"/>
      <w:divBdr>
        <w:top w:val="none" w:sz="0" w:space="0" w:color="auto"/>
        <w:left w:val="none" w:sz="0" w:space="0" w:color="auto"/>
        <w:bottom w:val="none" w:sz="0" w:space="0" w:color="auto"/>
        <w:right w:val="none" w:sz="0" w:space="0" w:color="auto"/>
      </w:divBdr>
    </w:div>
    <w:div w:id="1634097937">
      <w:marLeft w:val="0"/>
      <w:marRight w:val="0"/>
      <w:marTop w:val="100"/>
      <w:marBottom w:val="100"/>
      <w:divBdr>
        <w:top w:val="none" w:sz="0" w:space="0" w:color="auto"/>
        <w:left w:val="none" w:sz="0" w:space="0" w:color="auto"/>
        <w:bottom w:val="none" w:sz="0" w:space="0" w:color="auto"/>
        <w:right w:val="none" w:sz="0" w:space="0" w:color="auto"/>
      </w:divBdr>
      <w:divsChild>
        <w:div w:id="1634098556">
          <w:marLeft w:val="0"/>
          <w:marRight w:val="0"/>
          <w:marTop w:val="0"/>
          <w:marBottom w:val="0"/>
          <w:divBdr>
            <w:top w:val="none" w:sz="0" w:space="0" w:color="auto"/>
            <w:left w:val="none" w:sz="0" w:space="0" w:color="auto"/>
            <w:bottom w:val="none" w:sz="0" w:space="0" w:color="auto"/>
            <w:right w:val="none" w:sz="0" w:space="0" w:color="auto"/>
          </w:divBdr>
          <w:divsChild>
            <w:div w:id="1634097919">
              <w:marLeft w:val="0"/>
              <w:marRight w:val="0"/>
              <w:marTop w:val="0"/>
              <w:marBottom w:val="0"/>
              <w:divBdr>
                <w:top w:val="none" w:sz="0" w:space="0" w:color="auto"/>
                <w:left w:val="none" w:sz="0" w:space="0" w:color="auto"/>
                <w:bottom w:val="none" w:sz="0" w:space="0" w:color="auto"/>
                <w:right w:val="none" w:sz="0" w:space="0" w:color="auto"/>
              </w:divBdr>
              <w:divsChild>
                <w:div w:id="1634097872">
                  <w:marLeft w:val="0"/>
                  <w:marRight w:val="0"/>
                  <w:marTop w:val="0"/>
                  <w:marBottom w:val="0"/>
                  <w:divBdr>
                    <w:top w:val="none" w:sz="0" w:space="0" w:color="auto"/>
                    <w:left w:val="none" w:sz="0" w:space="0" w:color="auto"/>
                    <w:bottom w:val="none" w:sz="0" w:space="0" w:color="auto"/>
                    <w:right w:val="none" w:sz="0" w:space="0" w:color="auto"/>
                  </w:divBdr>
                  <w:divsChild>
                    <w:div w:id="1634098045">
                      <w:marLeft w:val="0"/>
                      <w:marRight w:val="0"/>
                      <w:marTop w:val="150"/>
                      <w:marBottom w:val="0"/>
                      <w:divBdr>
                        <w:top w:val="none" w:sz="0" w:space="0" w:color="auto"/>
                        <w:left w:val="none" w:sz="0" w:space="0" w:color="auto"/>
                        <w:bottom w:val="none" w:sz="0" w:space="0" w:color="auto"/>
                        <w:right w:val="none" w:sz="0" w:space="0" w:color="auto"/>
                      </w:divBdr>
                      <w:divsChild>
                        <w:div w:id="1634097962">
                          <w:marLeft w:val="0"/>
                          <w:marRight w:val="0"/>
                          <w:marTop w:val="0"/>
                          <w:marBottom w:val="0"/>
                          <w:divBdr>
                            <w:top w:val="none" w:sz="0" w:space="0" w:color="auto"/>
                            <w:left w:val="none" w:sz="0" w:space="0" w:color="auto"/>
                            <w:bottom w:val="none" w:sz="0" w:space="0" w:color="auto"/>
                            <w:right w:val="none" w:sz="0" w:space="0" w:color="auto"/>
                          </w:divBdr>
                          <w:divsChild>
                            <w:div w:id="1634098129">
                              <w:marLeft w:val="0"/>
                              <w:marRight w:val="0"/>
                              <w:marTop w:val="0"/>
                              <w:marBottom w:val="0"/>
                              <w:divBdr>
                                <w:top w:val="none" w:sz="0" w:space="0" w:color="auto"/>
                                <w:left w:val="none" w:sz="0" w:space="0" w:color="auto"/>
                                <w:bottom w:val="none" w:sz="0" w:space="0" w:color="auto"/>
                                <w:right w:val="none" w:sz="0" w:space="0" w:color="auto"/>
                              </w:divBdr>
                              <w:divsChild>
                                <w:div w:id="1634097916">
                                  <w:marLeft w:val="0"/>
                                  <w:marRight w:val="0"/>
                                  <w:marTop w:val="0"/>
                                  <w:marBottom w:val="0"/>
                                  <w:divBdr>
                                    <w:top w:val="none" w:sz="0" w:space="0" w:color="auto"/>
                                    <w:left w:val="none" w:sz="0" w:space="0" w:color="auto"/>
                                    <w:bottom w:val="none" w:sz="0" w:space="0" w:color="auto"/>
                                    <w:right w:val="none" w:sz="0" w:space="0" w:color="auto"/>
                                  </w:divBdr>
                                  <w:divsChild>
                                    <w:div w:id="1634098518">
                                      <w:marLeft w:val="0"/>
                                      <w:marRight w:val="0"/>
                                      <w:marTop w:val="0"/>
                                      <w:marBottom w:val="0"/>
                                      <w:divBdr>
                                        <w:top w:val="none" w:sz="0" w:space="0" w:color="auto"/>
                                        <w:left w:val="none" w:sz="0" w:space="0" w:color="auto"/>
                                        <w:bottom w:val="none" w:sz="0" w:space="0" w:color="auto"/>
                                        <w:right w:val="none" w:sz="0" w:space="0" w:color="auto"/>
                                      </w:divBdr>
                                      <w:divsChild>
                                        <w:div w:id="1634098543">
                                          <w:marLeft w:val="0"/>
                                          <w:marRight w:val="0"/>
                                          <w:marTop w:val="0"/>
                                          <w:marBottom w:val="0"/>
                                          <w:divBdr>
                                            <w:top w:val="none" w:sz="0" w:space="0" w:color="auto"/>
                                            <w:left w:val="none" w:sz="0" w:space="0" w:color="auto"/>
                                            <w:bottom w:val="none" w:sz="0" w:space="0" w:color="auto"/>
                                            <w:right w:val="none" w:sz="0" w:space="0" w:color="auto"/>
                                          </w:divBdr>
                                          <w:divsChild>
                                            <w:div w:id="1634098271">
                                              <w:marLeft w:val="0"/>
                                              <w:marRight w:val="0"/>
                                              <w:marTop w:val="0"/>
                                              <w:marBottom w:val="0"/>
                                              <w:divBdr>
                                                <w:top w:val="none" w:sz="0" w:space="0" w:color="auto"/>
                                                <w:left w:val="none" w:sz="0" w:space="0" w:color="auto"/>
                                                <w:bottom w:val="none" w:sz="0" w:space="0" w:color="auto"/>
                                                <w:right w:val="none" w:sz="0" w:space="0" w:color="auto"/>
                                              </w:divBdr>
                                              <w:divsChild>
                                                <w:div w:id="1634097905">
                                                  <w:marLeft w:val="0"/>
                                                  <w:marRight w:val="0"/>
                                                  <w:marTop w:val="0"/>
                                                  <w:marBottom w:val="0"/>
                                                  <w:divBdr>
                                                    <w:top w:val="none" w:sz="0" w:space="0" w:color="auto"/>
                                                    <w:left w:val="none" w:sz="0" w:space="0" w:color="auto"/>
                                                    <w:bottom w:val="none" w:sz="0" w:space="0" w:color="auto"/>
                                                    <w:right w:val="none" w:sz="0" w:space="0" w:color="auto"/>
                                                  </w:divBdr>
                                                  <w:divsChild>
                                                    <w:div w:id="1634098394">
                                                      <w:marLeft w:val="0"/>
                                                      <w:marRight w:val="0"/>
                                                      <w:marTop w:val="0"/>
                                                      <w:marBottom w:val="0"/>
                                                      <w:divBdr>
                                                        <w:top w:val="none" w:sz="0" w:space="0" w:color="auto"/>
                                                        <w:left w:val="none" w:sz="0" w:space="0" w:color="auto"/>
                                                        <w:bottom w:val="none" w:sz="0" w:space="0" w:color="auto"/>
                                                        <w:right w:val="none" w:sz="0" w:space="0" w:color="auto"/>
                                                      </w:divBdr>
                                                      <w:divsChild>
                                                        <w:div w:id="1634098490">
                                                          <w:marLeft w:val="0"/>
                                                          <w:marRight w:val="0"/>
                                                          <w:marTop w:val="0"/>
                                                          <w:marBottom w:val="0"/>
                                                          <w:divBdr>
                                                            <w:top w:val="none" w:sz="0" w:space="0" w:color="auto"/>
                                                            <w:left w:val="none" w:sz="0" w:space="0" w:color="auto"/>
                                                            <w:bottom w:val="none" w:sz="0" w:space="0" w:color="auto"/>
                                                            <w:right w:val="none" w:sz="0" w:space="0" w:color="auto"/>
                                                          </w:divBdr>
                                                          <w:divsChild>
                                                            <w:div w:id="1634098218">
                                                              <w:marLeft w:val="0"/>
                                                              <w:marRight w:val="0"/>
                                                              <w:marTop w:val="0"/>
                                                              <w:marBottom w:val="0"/>
                                                              <w:divBdr>
                                                                <w:top w:val="none" w:sz="0" w:space="0" w:color="auto"/>
                                                                <w:left w:val="none" w:sz="0" w:space="0" w:color="auto"/>
                                                                <w:bottom w:val="none" w:sz="0" w:space="0" w:color="auto"/>
                                                                <w:right w:val="none" w:sz="0" w:space="0" w:color="auto"/>
                                                              </w:divBdr>
                                                              <w:divsChild>
                                                                <w:div w:id="1634097858">
                                                                  <w:marLeft w:val="0"/>
                                                                  <w:marRight w:val="0"/>
                                                                  <w:marTop w:val="0"/>
                                                                  <w:marBottom w:val="0"/>
                                                                  <w:divBdr>
                                                                    <w:top w:val="none" w:sz="0" w:space="0" w:color="auto"/>
                                                                    <w:left w:val="none" w:sz="0" w:space="0" w:color="auto"/>
                                                                    <w:bottom w:val="none" w:sz="0" w:space="0" w:color="auto"/>
                                                                    <w:right w:val="none" w:sz="0" w:space="0" w:color="auto"/>
                                                                  </w:divBdr>
                                                                  <w:divsChild>
                                                                    <w:div w:id="1634098508">
                                                                      <w:marLeft w:val="0"/>
                                                                      <w:marRight w:val="0"/>
                                                                      <w:marTop w:val="0"/>
                                                                      <w:marBottom w:val="0"/>
                                                                      <w:divBdr>
                                                                        <w:top w:val="none" w:sz="0" w:space="0" w:color="auto"/>
                                                                        <w:left w:val="none" w:sz="0" w:space="0" w:color="auto"/>
                                                                        <w:bottom w:val="none" w:sz="0" w:space="0" w:color="auto"/>
                                                                        <w:right w:val="none" w:sz="0" w:space="0" w:color="auto"/>
                                                                      </w:divBdr>
                                                                      <w:divsChild>
                                                                        <w:div w:id="1634098210">
                                                                          <w:marLeft w:val="0"/>
                                                                          <w:marRight w:val="0"/>
                                                                          <w:marTop w:val="0"/>
                                                                          <w:marBottom w:val="0"/>
                                                                          <w:divBdr>
                                                                            <w:top w:val="none" w:sz="0" w:space="0" w:color="auto"/>
                                                                            <w:left w:val="none" w:sz="0" w:space="0" w:color="auto"/>
                                                                            <w:bottom w:val="none" w:sz="0" w:space="0" w:color="auto"/>
                                                                            <w:right w:val="none" w:sz="0" w:space="0" w:color="auto"/>
                                                                          </w:divBdr>
                                                                          <w:divsChild>
                                                                            <w:div w:id="16340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8481">
                                                  <w:marLeft w:val="0"/>
                                                  <w:marRight w:val="0"/>
                                                  <w:marTop w:val="0"/>
                                                  <w:marBottom w:val="0"/>
                                                  <w:divBdr>
                                                    <w:top w:val="none" w:sz="0" w:space="0" w:color="auto"/>
                                                    <w:left w:val="none" w:sz="0" w:space="0" w:color="auto"/>
                                                    <w:bottom w:val="none" w:sz="0" w:space="0" w:color="auto"/>
                                                    <w:right w:val="none" w:sz="0" w:space="0" w:color="auto"/>
                                                  </w:divBdr>
                                                  <w:divsChild>
                                                    <w:div w:id="1634098460">
                                                      <w:marLeft w:val="0"/>
                                                      <w:marRight w:val="0"/>
                                                      <w:marTop w:val="0"/>
                                                      <w:marBottom w:val="0"/>
                                                      <w:divBdr>
                                                        <w:top w:val="none" w:sz="0" w:space="0" w:color="auto"/>
                                                        <w:left w:val="none" w:sz="0" w:space="0" w:color="auto"/>
                                                        <w:bottom w:val="none" w:sz="0" w:space="0" w:color="auto"/>
                                                        <w:right w:val="none" w:sz="0" w:space="0" w:color="auto"/>
                                                      </w:divBdr>
                                                      <w:divsChild>
                                                        <w:div w:id="1634097965">
                                                          <w:marLeft w:val="0"/>
                                                          <w:marRight w:val="0"/>
                                                          <w:marTop w:val="0"/>
                                                          <w:marBottom w:val="0"/>
                                                          <w:divBdr>
                                                            <w:top w:val="none" w:sz="0" w:space="0" w:color="auto"/>
                                                            <w:left w:val="none" w:sz="0" w:space="0" w:color="auto"/>
                                                            <w:bottom w:val="none" w:sz="0" w:space="0" w:color="auto"/>
                                                            <w:right w:val="none" w:sz="0" w:space="0" w:color="auto"/>
                                                          </w:divBdr>
                                                          <w:divsChild>
                                                            <w:div w:id="1634098135">
                                                              <w:marLeft w:val="0"/>
                                                              <w:marRight w:val="0"/>
                                                              <w:marTop w:val="0"/>
                                                              <w:marBottom w:val="0"/>
                                                              <w:divBdr>
                                                                <w:top w:val="none" w:sz="0" w:space="0" w:color="auto"/>
                                                                <w:left w:val="none" w:sz="0" w:space="0" w:color="auto"/>
                                                                <w:bottom w:val="none" w:sz="0" w:space="0" w:color="auto"/>
                                                                <w:right w:val="none" w:sz="0" w:space="0" w:color="auto"/>
                                                              </w:divBdr>
                                                              <w:divsChild>
                                                                <w:div w:id="1634097898">
                                                                  <w:marLeft w:val="0"/>
                                                                  <w:marRight w:val="0"/>
                                                                  <w:marTop w:val="0"/>
                                                                  <w:marBottom w:val="0"/>
                                                                  <w:divBdr>
                                                                    <w:top w:val="none" w:sz="0" w:space="0" w:color="auto"/>
                                                                    <w:left w:val="none" w:sz="0" w:space="0" w:color="auto"/>
                                                                    <w:bottom w:val="none" w:sz="0" w:space="0" w:color="auto"/>
                                                                    <w:right w:val="none" w:sz="0" w:space="0" w:color="auto"/>
                                                                  </w:divBdr>
                                                                  <w:divsChild>
                                                                    <w:div w:id="1634098073">
                                                                      <w:marLeft w:val="0"/>
                                                                      <w:marRight w:val="0"/>
                                                                      <w:marTop w:val="0"/>
                                                                      <w:marBottom w:val="0"/>
                                                                      <w:divBdr>
                                                                        <w:top w:val="none" w:sz="0" w:space="0" w:color="auto"/>
                                                                        <w:left w:val="none" w:sz="0" w:space="0" w:color="auto"/>
                                                                        <w:bottom w:val="none" w:sz="0" w:space="0" w:color="auto"/>
                                                                        <w:right w:val="none" w:sz="0" w:space="0" w:color="auto"/>
                                                                      </w:divBdr>
                                                                      <w:divsChild>
                                                                        <w:div w:id="1634097814">
                                                                          <w:marLeft w:val="0"/>
                                                                          <w:marRight w:val="0"/>
                                                                          <w:marTop w:val="0"/>
                                                                          <w:marBottom w:val="0"/>
                                                                          <w:divBdr>
                                                                            <w:top w:val="none" w:sz="0" w:space="0" w:color="auto"/>
                                                                            <w:left w:val="none" w:sz="0" w:space="0" w:color="auto"/>
                                                                            <w:bottom w:val="none" w:sz="0" w:space="0" w:color="auto"/>
                                                                            <w:right w:val="none" w:sz="0" w:space="0" w:color="auto"/>
                                                                          </w:divBdr>
                                                                          <w:divsChild>
                                                                            <w:div w:id="1634098333">
                                                                              <w:marLeft w:val="0"/>
                                                                              <w:marRight w:val="0"/>
                                                                              <w:marTop w:val="0"/>
                                                                              <w:marBottom w:val="0"/>
                                                                              <w:divBdr>
                                                                                <w:top w:val="none" w:sz="0" w:space="0" w:color="auto"/>
                                                                                <w:left w:val="none" w:sz="0" w:space="0" w:color="auto"/>
                                                                                <w:bottom w:val="none" w:sz="0" w:space="0" w:color="auto"/>
                                                                                <w:right w:val="none" w:sz="0" w:space="0" w:color="auto"/>
                                                                              </w:divBdr>
                                                                              <w:divsChild>
                                                                                <w:div w:id="16340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036">
                                                                          <w:marLeft w:val="0"/>
                                                                          <w:marRight w:val="0"/>
                                                                          <w:marTop w:val="0"/>
                                                                          <w:marBottom w:val="0"/>
                                                                          <w:divBdr>
                                                                            <w:top w:val="none" w:sz="0" w:space="0" w:color="auto"/>
                                                                            <w:left w:val="none" w:sz="0" w:space="0" w:color="auto"/>
                                                                            <w:bottom w:val="none" w:sz="0" w:space="0" w:color="auto"/>
                                                                            <w:right w:val="none" w:sz="0" w:space="0" w:color="auto"/>
                                                                          </w:divBdr>
                                                                          <w:divsChild>
                                                                            <w:div w:id="1634097958">
                                                                              <w:marLeft w:val="0"/>
                                                                              <w:marRight w:val="0"/>
                                                                              <w:marTop w:val="0"/>
                                                                              <w:marBottom w:val="0"/>
                                                                              <w:divBdr>
                                                                                <w:top w:val="none" w:sz="0" w:space="0" w:color="auto"/>
                                                                                <w:left w:val="none" w:sz="0" w:space="0" w:color="auto"/>
                                                                                <w:bottom w:val="none" w:sz="0" w:space="0" w:color="auto"/>
                                                                                <w:right w:val="none" w:sz="0" w:space="0" w:color="auto"/>
                                                                              </w:divBdr>
                                                                            </w:div>
                                                                          </w:divsChild>
                                                                        </w:div>
                                                                        <w:div w:id="1634098397">
                                                                          <w:marLeft w:val="0"/>
                                                                          <w:marRight w:val="0"/>
                                                                          <w:marTop w:val="0"/>
                                                                          <w:marBottom w:val="0"/>
                                                                          <w:divBdr>
                                                                            <w:top w:val="none" w:sz="0" w:space="0" w:color="auto"/>
                                                                            <w:left w:val="none" w:sz="0" w:space="0" w:color="auto"/>
                                                                            <w:bottom w:val="none" w:sz="0" w:space="0" w:color="auto"/>
                                                                            <w:right w:val="none" w:sz="0" w:space="0" w:color="auto"/>
                                                                          </w:divBdr>
                                                                          <w:divsChild>
                                                                            <w:div w:id="1634098557">
                                                                              <w:marLeft w:val="0"/>
                                                                              <w:marRight w:val="0"/>
                                                                              <w:marTop w:val="0"/>
                                                                              <w:marBottom w:val="0"/>
                                                                              <w:divBdr>
                                                                                <w:top w:val="none" w:sz="0" w:space="0" w:color="auto"/>
                                                                                <w:left w:val="none" w:sz="0" w:space="0" w:color="auto"/>
                                                                                <w:bottom w:val="none" w:sz="0" w:space="0" w:color="auto"/>
                                                                                <w:right w:val="none" w:sz="0" w:space="0" w:color="auto"/>
                                                                              </w:divBdr>
                                                                            </w:div>
                                                                          </w:divsChild>
                                                                        </w:div>
                                                                        <w:div w:id="1634098592">
                                                                          <w:marLeft w:val="0"/>
                                                                          <w:marRight w:val="0"/>
                                                                          <w:marTop w:val="0"/>
                                                                          <w:marBottom w:val="0"/>
                                                                          <w:divBdr>
                                                                            <w:top w:val="none" w:sz="0" w:space="0" w:color="auto"/>
                                                                            <w:left w:val="none" w:sz="0" w:space="0" w:color="auto"/>
                                                                            <w:bottom w:val="none" w:sz="0" w:space="0" w:color="auto"/>
                                                                            <w:right w:val="none" w:sz="0" w:space="0" w:color="auto"/>
                                                                          </w:divBdr>
                                                                          <w:divsChild>
                                                                            <w:div w:id="1634098523">
                                                                              <w:marLeft w:val="0"/>
                                                                              <w:marRight w:val="0"/>
                                                                              <w:marTop w:val="0"/>
                                                                              <w:marBottom w:val="0"/>
                                                                              <w:divBdr>
                                                                                <w:top w:val="none" w:sz="0" w:space="0" w:color="auto"/>
                                                                                <w:left w:val="none" w:sz="0" w:space="0" w:color="auto"/>
                                                                                <w:bottom w:val="none" w:sz="0" w:space="0" w:color="auto"/>
                                                                                <w:right w:val="none" w:sz="0" w:space="0" w:color="auto"/>
                                                                              </w:divBdr>
                                                                              <w:divsChild>
                                                                                <w:div w:id="16340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656">
                                                                          <w:marLeft w:val="0"/>
                                                                          <w:marRight w:val="0"/>
                                                                          <w:marTop w:val="0"/>
                                                                          <w:marBottom w:val="0"/>
                                                                          <w:divBdr>
                                                                            <w:top w:val="none" w:sz="0" w:space="0" w:color="auto"/>
                                                                            <w:left w:val="none" w:sz="0" w:space="0" w:color="auto"/>
                                                                            <w:bottom w:val="none" w:sz="0" w:space="0" w:color="auto"/>
                                                                            <w:right w:val="none" w:sz="0" w:space="0" w:color="auto"/>
                                                                          </w:divBdr>
                                                                          <w:divsChild>
                                                                            <w:div w:id="16340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7938">
      <w:marLeft w:val="0"/>
      <w:marRight w:val="0"/>
      <w:marTop w:val="0"/>
      <w:marBottom w:val="0"/>
      <w:divBdr>
        <w:top w:val="none" w:sz="0" w:space="0" w:color="auto"/>
        <w:left w:val="none" w:sz="0" w:space="0" w:color="auto"/>
        <w:bottom w:val="none" w:sz="0" w:space="0" w:color="auto"/>
        <w:right w:val="none" w:sz="0" w:space="0" w:color="auto"/>
      </w:divBdr>
    </w:div>
    <w:div w:id="1634097939">
      <w:marLeft w:val="0"/>
      <w:marRight w:val="0"/>
      <w:marTop w:val="0"/>
      <w:marBottom w:val="0"/>
      <w:divBdr>
        <w:top w:val="none" w:sz="0" w:space="0" w:color="auto"/>
        <w:left w:val="none" w:sz="0" w:space="0" w:color="auto"/>
        <w:bottom w:val="none" w:sz="0" w:space="0" w:color="auto"/>
        <w:right w:val="none" w:sz="0" w:space="0" w:color="auto"/>
      </w:divBdr>
    </w:div>
    <w:div w:id="1634097945">
      <w:marLeft w:val="0"/>
      <w:marRight w:val="0"/>
      <w:marTop w:val="0"/>
      <w:marBottom w:val="0"/>
      <w:divBdr>
        <w:top w:val="none" w:sz="0" w:space="0" w:color="auto"/>
        <w:left w:val="none" w:sz="0" w:space="0" w:color="auto"/>
        <w:bottom w:val="none" w:sz="0" w:space="0" w:color="auto"/>
        <w:right w:val="none" w:sz="0" w:space="0" w:color="auto"/>
      </w:divBdr>
    </w:div>
    <w:div w:id="1634097949">
      <w:marLeft w:val="0"/>
      <w:marRight w:val="0"/>
      <w:marTop w:val="0"/>
      <w:marBottom w:val="0"/>
      <w:divBdr>
        <w:top w:val="none" w:sz="0" w:space="0" w:color="auto"/>
        <w:left w:val="none" w:sz="0" w:space="0" w:color="auto"/>
        <w:bottom w:val="none" w:sz="0" w:space="0" w:color="auto"/>
        <w:right w:val="none" w:sz="0" w:space="0" w:color="auto"/>
      </w:divBdr>
    </w:div>
    <w:div w:id="1634097951">
      <w:marLeft w:val="0"/>
      <w:marRight w:val="0"/>
      <w:marTop w:val="0"/>
      <w:marBottom w:val="0"/>
      <w:divBdr>
        <w:top w:val="none" w:sz="0" w:space="0" w:color="auto"/>
        <w:left w:val="none" w:sz="0" w:space="0" w:color="auto"/>
        <w:bottom w:val="none" w:sz="0" w:space="0" w:color="auto"/>
        <w:right w:val="none" w:sz="0" w:space="0" w:color="auto"/>
      </w:divBdr>
    </w:div>
    <w:div w:id="1634097966">
      <w:marLeft w:val="0"/>
      <w:marRight w:val="0"/>
      <w:marTop w:val="0"/>
      <w:marBottom w:val="0"/>
      <w:divBdr>
        <w:top w:val="none" w:sz="0" w:space="0" w:color="auto"/>
        <w:left w:val="none" w:sz="0" w:space="0" w:color="auto"/>
        <w:bottom w:val="none" w:sz="0" w:space="0" w:color="auto"/>
        <w:right w:val="none" w:sz="0" w:space="0" w:color="auto"/>
      </w:divBdr>
    </w:div>
    <w:div w:id="1634097985">
      <w:marLeft w:val="0"/>
      <w:marRight w:val="0"/>
      <w:marTop w:val="100"/>
      <w:marBottom w:val="100"/>
      <w:divBdr>
        <w:top w:val="none" w:sz="0" w:space="0" w:color="auto"/>
        <w:left w:val="none" w:sz="0" w:space="0" w:color="auto"/>
        <w:bottom w:val="none" w:sz="0" w:space="0" w:color="auto"/>
        <w:right w:val="none" w:sz="0" w:space="0" w:color="auto"/>
      </w:divBdr>
      <w:divsChild>
        <w:div w:id="1634098005">
          <w:marLeft w:val="0"/>
          <w:marRight w:val="0"/>
          <w:marTop w:val="0"/>
          <w:marBottom w:val="0"/>
          <w:divBdr>
            <w:top w:val="none" w:sz="0" w:space="0" w:color="auto"/>
            <w:left w:val="none" w:sz="0" w:space="0" w:color="auto"/>
            <w:bottom w:val="none" w:sz="0" w:space="0" w:color="auto"/>
            <w:right w:val="none" w:sz="0" w:space="0" w:color="auto"/>
          </w:divBdr>
          <w:divsChild>
            <w:div w:id="1634098235">
              <w:marLeft w:val="0"/>
              <w:marRight w:val="0"/>
              <w:marTop w:val="0"/>
              <w:marBottom w:val="0"/>
              <w:divBdr>
                <w:top w:val="none" w:sz="0" w:space="0" w:color="auto"/>
                <w:left w:val="none" w:sz="0" w:space="0" w:color="auto"/>
                <w:bottom w:val="none" w:sz="0" w:space="0" w:color="auto"/>
                <w:right w:val="none" w:sz="0" w:space="0" w:color="auto"/>
              </w:divBdr>
              <w:divsChild>
                <w:div w:id="1634098362">
                  <w:marLeft w:val="0"/>
                  <w:marRight w:val="0"/>
                  <w:marTop w:val="0"/>
                  <w:marBottom w:val="0"/>
                  <w:divBdr>
                    <w:top w:val="none" w:sz="0" w:space="0" w:color="auto"/>
                    <w:left w:val="none" w:sz="0" w:space="0" w:color="auto"/>
                    <w:bottom w:val="none" w:sz="0" w:space="0" w:color="auto"/>
                    <w:right w:val="none" w:sz="0" w:space="0" w:color="auto"/>
                  </w:divBdr>
                  <w:divsChild>
                    <w:div w:id="1634098578">
                      <w:marLeft w:val="0"/>
                      <w:marRight w:val="0"/>
                      <w:marTop w:val="150"/>
                      <w:marBottom w:val="0"/>
                      <w:divBdr>
                        <w:top w:val="none" w:sz="0" w:space="0" w:color="auto"/>
                        <w:left w:val="none" w:sz="0" w:space="0" w:color="auto"/>
                        <w:bottom w:val="none" w:sz="0" w:space="0" w:color="auto"/>
                        <w:right w:val="none" w:sz="0" w:space="0" w:color="auto"/>
                      </w:divBdr>
                      <w:divsChild>
                        <w:div w:id="1634098180">
                          <w:marLeft w:val="0"/>
                          <w:marRight w:val="0"/>
                          <w:marTop w:val="0"/>
                          <w:marBottom w:val="0"/>
                          <w:divBdr>
                            <w:top w:val="none" w:sz="0" w:space="0" w:color="auto"/>
                            <w:left w:val="none" w:sz="0" w:space="0" w:color="auto"/>
                            <w:bottom w:val="none" w:sz="0" w:space="0" w:color="auto"/>
                            <w:right w:val="none" w:sz="0" w:space="0" w:color="auto"/>
                          </w:divBdr>
                          <w:divsChild>
                            <w:div w:id="1634098659">
                              <w:marLeft w:val="0"/>
                              <w:marRight w:val="0"/>
                              <w:marTop w:val="0"/>
                              <w:marBottom w:val="0"/>
                              <w:divBdr>
                                <w:top w:val="none" w:sz="0" w:space="0" w:color="auto"/>
                                <w:left w:val="none" w:sz="0" w:space="0" w:color="auto"/>
                                <w:bottom w:val="none" w:sz="0" w:space="0" w:color="auto"/>
                                <w:right w:val="none" w:sz="0" w:space="0" w:color="auto"/>
                              </w:divBdr>
                              <w:divsChild>
                                <w:div w:id="1634098646">
                                  <w:marLeft w:val="0"/>
                                  <w:marRight w:val="0"/>
                                  <w:marTop w:val="0"/>
                                  <w:marBottom w:val="0"/>
                                  <w:divBdr>
                                    <w:top w:val="none" w:sz="0" w:space="0" w:color="auto"/>
                                    <w:left w:val="none" w:sz="0" w:space="0" w:color="auto"/>
                                    <w:bottom w:val="none" w:sz="0" w:space="0" w:color="auto"/>
                                    <w:right w:val="none" w:sz="0" w:space="0" w:color="auto"/>
                                  </w:divBdr>
                                  <w:divsChild>
                                    <w:div w:id="1634097860">
                                      <w:marLeft w:val="0"/>
                                      <w:marRight w:val="0"/>
                                      <w:marTop w:val="0"/>
                                      <w:marBottom w:val="0"/>
                                      <w:divBdr>
                                        <w:top w:val="none" w:sz="0" w:space="0" w:color="auto"/>
                                        <w:left w:val="none" w:sz="0" w:space="0" w:color="auto"/>
                                        <w:bottom w:val="none" w:sz="0" w:space="0" w:color="auto"/>
                                        <w:right w:val="none" w:sz="0" w:space="0" w:color="auto"/>
                                      </w:divBdr>
                                      <w:divsChild>
                                        <w:div w:id="1634098023">
                                          <w:marLeft w:val="0"/>
                                          <w:marRight w:val="0"/>
                                          <w:marTop w:val="0"/>
                                          <w:marBottom w:val="0"/>
                                          <w:divBdr>
                                            <w:top w:val="none" w:sz="0" w:space="0" w:color="auto"/>
                                            <w:left w:val="none" w:sz="0" w:space="0" w:color="auto"/>
                                            <w:bottom w:val="none" w:sz="0" w:space="0" w:color="auto"/>
                                            <w:right w:val="none" w:sz="0" w:space="0" w:color="auto"/>
                                          </w:divBdr>
                                          <w:divsChild>
                                            <w:div w:id="1634098101">
                                              <w:marLeft w:val="0"/>
                                              <w:marRight w:val="0"/>
                                              <w:marTop w:val="0"/>
                                              <w:marBottom w:val="0"/>
                                              <w:divBdr>
                                                <w:top w:val="none" w:sz="0" w:space="0" w:color="auto"/>
                                                <w:left w:val="none" w:sz="0" w:space="0" w:color="auto"/>
                                                <w:bottom w:val="none" w:sz="0" w:space="0" w:color="auto"/>
                                                <w:right w:val="none" w:sz="0" w:space="0" w:color="auto"/>
                                              </w:divBdr>
                                              <w:divsChild>
                                                <w:div w:id="1634097933">
                                                  <w:marLeft w:val="0"/>
                                                  <w:marRight w:val="0"/>
                                                  <w:marTop w:val="0"/>
                                                  <w:marBottom w:val="0"/>
                                                  <w:divBdr>
                                                    <w:top w:val="none" w:sz="0" w:space="0" w:color="auto"/>
                                                    <w:left w:val="none" w:sz="0" w:space="0" w:color="auto"/>
                                                    <w:bottom w:val="none" w:sz="0" w:space="0" w:color="auto"/>
                                                    <w:right w:val="none" w:sz="0" w:space="0" w:color="auto"/>
                                                  </w:divBdr>
                                                  <w:divsChild>
                                                    <w:div w:id="1634098203">
                                                      <w:marLeft w:val="0"/>
                                                      <w:marRight w:val="0"/>
                                                      <w:marTop w:val="0"/>
                                                      <w:marBottom w:val="0"/>
                                                      <w:divBdr>
                                                        <w:top w:val="none" w:sz="0" w:space="0" w:color="auto"/>
                                                        <w:left w:val="none" w:sz="0" w:space="0" w:color="auto"/>
                                                        <w:bottom w:val="none" w:sz="0" w:space="0" w:color="auto"/>
                                                        <w:right w:val="none" w:sz="0" w:space="0" w:color="auto"/>
                                                      </w:divBdr>
                                                      <w:divsChild>
                                                        <w:div w:id="1634097887">
                                                          <w:marLeft w:val="0"/>
                                                          <w:marRight w:val="0"/>
                                                          <w:marTop w:val="0"/>
                                                          <w:marBottom w:val="0"/>
                                                          <w:divBdr>
                                                            <w:top w:val="none" w:sz="0" w:space="0" w:color="auto"/>
                                                            <w:left w:val="none" w:sz="0" w:space="0" w:color="auto"/>
                                                            <w:bottom w:val="none" w:sz="0" w:space="0" w:color="auto"/>
                                                            <w:right w:val="none" w:sz="0" w:space="0" w:color="auto"/>
                                                          </w:divBdr>
                                                          <w:divsChild>
                                                            <w:div w:id="1634097855">
                                                              <w:marLeft w:val="0"/>
                                                              <w:marRight w:val="0"/>
                                                              <w:marTop w:val="0"/>
                                                              <w:marBottom w:val="0"/>
                                                              <w:divBdr>
                                                                <w:top w:val="none" w:sz="0" w:space="0" w:color="auto"/>
                                                                <w:left w:val="none" w:sz="0" w:space="0" w:color="auto"/>
                                                                <w:bottom w:val="none" w:sz="0" w:space="0" w:color="auto"/>
                                                                <w:right w:val="none" w:sz="0" w:space="0" w:color="auto"/>
                                                              </w:divBdr>
                                                              <w:divsChild>
                                                                <w:div w:id="1634098199">
                                                                  <w:marLeft w:val="0"/>
                                                                  <w:marRight w:val="0"/>
                                                                  <w:marTop w:val="0"/>
                                                                  <w:marBottom w:val="0"/>
                                                                  <w:divBdr>
                                                                    <w:top w:val="none" w:sz="0" w:space="0" w:color="auto"/>
                                                                    <w:left w:val="none" w:sz="0" w:space="0" w:color="auto"/>
                                                                    <w:bottom w:val="none" w:sz="0" w:space="0" w:color="auto"/>
                                                                    <w:right w:val="none" w:sz="0" w:space="0" w:color="auto"/>
                                                                  </w:divBdr>
                                                                  <w:divsChild>
                                                                    <w:div w:id="1634098379">
                                                                      <w:marLeft w:val="0"/>
                                                                      <w:marRight w:val="0"/>
                                                                      <w:marTop w:val="0"/>
                                                                      <w:marBottom w:val="0"/>
                                                                      <w:divBdr>
                                                                        <w:top w:val="none" w:sz="0" w:space="0" w:color="auto"/>
                                                                        <w:left w:val="none" w:sz="0" w:space="0" w:color="auto"/>
                                                                        <w:bottom w:val="none" w:sz="0" w:space="0" w:color="auto"/>
                                                                        <w:right w:val="none" w:sz="0" w:space="0" w:color="auto"/>
                                                                      </w:divBdr>
                                                                      <w:divsChild>
                                                                        <w:div w:id="1634098572">
                                                                          <w:marLeft w:val="0"/>
                                                                          <w:marRight w:val="0"/>
                                                                          <w:marTop w:val="0"/>
                                                                          <w:marBottom w:val="0"/>
                                                                          <w:divBdr>
                                                                            <w:top w:val="none" w:sz="0" w:space="0" w:color="auto"/>
                                                                            <w:left w:val="none" w:sz="0" w:space="0" w:color="auto"/>
                                                                            <w:bottom w:val="none" w:sz="0" w:space="0" w:color="auto"/>
                                                                            <w:right w:val="none" w:sz="0" w:space="0" w:color="auto"/>
                                                                          </w:divBdr>
                                                                          <w:divsChild>
                                                                            <w:div w:id="16340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7988">
      <w:marLeft w:val="0"/>
      <w:marRight w:val="0"/>
      <w:marTop w:val="0"/>
      <w:marBottom w:val="0"/>
      <w:divBdr>
        <w:top w:val="none" w:sz="0" w:space="0" w:color="auto"/>
        <w:left w:val="none" w:sz="0" w:space="0" w:color="auto"/>
        <w:bottom w:val="none" w:sz="0" w:space="0" w:color="auto"/>
        <w:right w:val="none" w:sz="0" w:space="0" w:color="auto"/>
      </w:divBdr>
    </w:div>
    <w:div w:id="1634097989">
      <w:marLeft w:val="0"/>
      <w:marRight w:val="0"/>
      <w:marTop w:val="0"/>
      <w:marBottom w:val="0"/>
      <w:divBdr>
        <w:top w:val="none" w:sz="0" w:space="0" w:color="auto"/>
        <w:left w:val="none" w:sz="0" w:space="0" w:color="auto"/>
        <w:bottom w:val="none" w:sz="0" w:space="0" w:color="auto"/>
        <w:right w:val="none" w:sz="0" w:space="0" w:color="auto"/>
      </w:divBdr>
    </w:div>
    <w:div w:id="1634097997">
      <w:marLeft w:val="0"/>
      <w:marRight w:val="0"/>
      <w:marTop w:val="0"/>
      <w:marBottom w:val="0"/>
      <w:divBdr>
        <w:top w:val="none" w:sz="0" w:space="0" w:color="auto"/>
        <w:left w:val="none" w:sz="0" w:space="0" w:color="auto"/>
        <w:bottom w:val="none" w:sz="0" w:space="0" w:color="auto"/>
        <w:right w:val="none" w:sz="0" w:space="0" w:color="auto"/>
      </w:divBdr>
    </w:div>
    <w:div w:id="1634097999">
      <w:marLeft w:val="0"/>
      <w:marRight w:val="0"/>
      <w:marTop w:val="0"/>
      <w:marBottom w:val="0"/>
      <w:divBdr>
        <w:top w:val="none" w:sz="0" w:space="0" w:color="auto"/>
        <w:left w:val="none" w:sz="0" w:space="0" w:color="auto"/>
        <w:bottom w:val="none" w:sz="0" w:space="0" w:color="auto"/>
        <w:right w:val="none" w:sz="0" w:space="0" w:color="auto"/>
      </w:divBdr>
    </w:div>
    <w:div w:id="1634098002">
      <w:marLeft w:val="0"/>
      <w:marRight w:val="0"/>
      <w:marTop w:val="0"/>
      <w:marBottom w:val="0"/>
      <w:divBdr>
        <w:top w:val="none" w:sz="0" w:space="0" w:color="auto"/>
        <w:left w:val="none" w:sz="0" w:space="0" w:color="auto"/>
        <w:bottom w:val="none" w:sz="0" w:space="0" w:color="auto"/>
        <w:right w:val="none" w:sz="0" w:space="0" w:color="auto"/>
      </w:divBdr>
    </w:div>
    <w:div w:id="1634098009">
      <w:marLeft w:val="0"/>
      <w:marRight w:val="0"/>
      <w:marTop w:val="0"/>
      <w:marBottom w:val="0"/>
      <w:divBdr>
        <w:top w:val="none" w:sz="0" w:space="0" w:color="auto"/>
        <w:left w:val="none" w:sz="0" w:space="0" w:color="auto"/>
        <w:bottom w:val="none" w:sz="0" w:space="0" w:color="auto"/>
        <w:right w:val="none" w:sz="0" w:space="0" w:color="auto"/>
      </w:divBdr>
    </w:div>
    <w:div w:id="1634098013">
      <w:marLeft w:val="0"/>
      <w:marRight w:val="0"/>
      <w:marTop w:val="0"/>
      <w:marBottom w:val="0"/>
      <w:divBdr>
        <w:top w:val="none" w:sz="0" w:space="0" w:color="auto"/>
        <w:left w:val="none" w:sz="0" w:space="0" w:color="auto"/>
        <w:bottom w:val="none" w:sz="0" w:space="0" w:color="auto"/>
        <w:right w:val="none" w:sz="0" w:space="0" w:color="auto"/>
      </w:divBdr>
    </w:div>
    <w:div w:id="1634098014">
      <w:marLeft w:val="0"/>
      <w:marRight w:val="0"/>
      <w:marTop w:val="0"/>
      <w:marBottom w:val="0"/>
      <w:divBdr>
        <w:top w:val="none" w:sz="0" w:space="0" w:color="auto"/>
        <w:left w:val="none" w:sz="0" w:space="0" w:color="auto"/>
        <w:bottom w:val="none" w:sz="0" w:space="0" w:color="auto"/>
        <w:right w:val="none" w:sz="0" w:space="0" w:color="auto"/>
      </w:divBdr>
    </w:div>
    <w:div w:id="1634098015">
      <w:marLeft w:val="0"/>
      <w:marRight w:val="0"/>
      <w:marTop w:val="0"/>
      <w:marBottom w:val="0"/>
      <w:divBdr>
        <w:top w:val="none" w:sz="0" w:space="0" w:color="auto"/>
        <w:left w:val="none" w:sz="0" w:space="0" w:color="auto"/>
        <w:bottom w:val="none" w:sz="0" w:space="0" w:color="auto"/>
        <w:right w:val="none" w:sz="0" w:space="0" w:color="auto"/>
      </w:divBdr>
    </w:div>
    <w:div w:id="1634098016">
      <w:marLeft w:val="0"/>
      <w:marRight w:val="0"/>
      <w:marTop w:val="0"/>
      <w:marBottom w:val="0"/>
      <w:divBdr>
        <w:top w:val="none" w:sz="0" w:space="0" w:color="auto"/>
        <w:left w:val="none" w:sz="0" w:space="0" w:color="auto"/>
        <w:bottom w:val="none" w:sz="0" w:space="0" w:color="auto"/>
        <w:right w:val="none" w:sz="0" w:space="0" w:color="auto"/>
      </w:divBdr>
    </w:div>
    <w:div w:id="1634098028">
      <w:marLeft w:val="0"/>
      <w:marRight w:val="0"/>
      <w:marTop w:val="0"/>
      <w:marBottom w:val="0"/>
      <w:divBdr>
        <w:top w:val="none" w:sz="0" w:space="0" w:color="auto"/>
        <w:left w:val="none" w:sz="0" w:space="0" w:color="auto"/>
        <w:bottom w:val="none" w:sz="0" w:space="0" w:color="auto"/>
        <w:right w:val="none" w:sz="0" w:space="0" w:color="auto"/>
      </w:divBdr>
    </w:div>
    <w:div w:id="1634098037">
      <w:marLeft w:val="0"/>
      <w:marRight w:val="0"/>
      <w:marTop w:val="0"/>
      <w:marBottom w:val="0"/>
      <w:divBdr>
        <w:top w:val="none" w:sz="0" w:space="0" w:color="auto"/>
        <w:left w:val="none" w:sz="0" w:space="0" w:color="auto"/>
        <w:bottom w:val="none" w:sz="0" w:space="0" w:color="auto"/>
        <w:right w:val="none" w:sz="0" w:space="0" w:color="auto"/>
      </w:divBdr>
    </w:div>
    <w:div w:id="1634098041">
      <w:marLeft w:val="0"/>
      <w:marRight w:val="0"/>
      <w:marTop w:val="0"/>
      <w:marBottom w:val="0"/>
      <w:divBdr>
        <w:top w:val="none" w:sz="0" w:space="0" w:color="auto"/>
        <w:left w:val="none" w:sz="0" w:space="0" w:color="auto"/>
        <w:bottom w:val="none" w:sz="0" w:space="0" w:color="auto"/>
        <w:right w:val="none" w:sz="0" w:space="0" w:color="auto"/>
      </w:divBdr>
    </w:div>
    <w:div w:id="1634098044">
      <w:marLeft w:val="0"/>
      <w:marRight w:val="0"/>
      <w:marTop w:val="0"/>
      <w:marBottom w:val="0"/>
      <w:divBdr>
        <w:top w:val="none" w:sz="0" w:space="0" w:color="auto"/>
        <w:left w:val="none" w:sz="0" w:space="0" w:color="auto"/>
        <w:bottom w:val="none" w:sz="0" w:space="0" w:color="auto"/>
        <w:right w:val="none" w:sz="0" w:space="0" w:color="auto"/>
      </w:divBdr>
    </w:div>
    <w:div w:id="1634098049">
      <w:marLeft w:val="0"/>
      <w:marRight w:val="0"/>
      <w:marTop w:val="0"/>
      <w:marBottom w:val="0"/>
      <w:divBdr>
        <w:top w:val="none" w:sz="0" w:space="0" w:color="auto"/>
        <w:left w:val="none" w:sz="0" w:space="0" w:color="auto"/>
        <w:bottom w:val="none" w:sz="0" w:space="0" w:color="auto"/>
        <w:right w:val="none" w:sz="0" w:space="0" w:color="auto"/>
      </w:divBdr>
    </w:div>
    <w:div w:id="1634098051">
      <w:marLeft w:val="0"/>
      <w:marRight w:val="0"/>
      <w:marTop w:val="0"/>
      <w:marBottom w:val="0"/>
      <w:divBdr>
        <w:top w:val="none" w:sz="0" w:space="0" w:color="auto"/>
        <w:left w:val="none" w:sz="0" w:space="0" w:color="auto"/>
        <w:bottom w:val="none" w:sz="0" w:space="0" w:color="auto"/>
        <w:right w:val="none" w:sz="0" w:space="0" w:color="auto"/>
      </w:divBdr>
      <w:divsChild>
        <w:div w:id="1634097867">
          <w:marLeft w:val="0"/>
          <w:marRight w:val="0"/>
          <w:marTop w:val="0"/>
          <w:marBottom w:val="0"/>
          <w:divBdr>
            <w:top w:val="none" w:sz="0" w:space="0" w:color="auto"/>
            <w:left w:val="none" w:sz="0" w:space="0" w:color="auto"/>
            <w:bottom w:val="none" w:sz="0" w:space="0" w:color="auto"/>
            <w:right w:val="none" w:sz="0" w:space="0" w:color="auto"/>
          </w:divBdr>
          <w:divsChild>
            <w:div w:id="1634098587">
              <w:marLeft w:val="0"/>
              <w:marRight w:val="0"/>
              <w:marTop w:val="0"/>
              <w:marBottom w:val="0"/>
              <w:divBdr>
                <w:top w:val="none" w:sz="0" w:space="0" w:color="auto"/>
                <w:left w:val="none" w:sz="0" w:space="0" w:color="auto"/>
                <w:bottom w:val="none" w:sz="0" w:space="0" w:color="auto"/>
                <w:right w:val="none" w:sz="0" w:space="0" w:color="auto"/>
              </w:divBdr>
              <w:divsChild>
                <w:div w:id="16340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052">
      <w:marLeft w:val="0"/>
      <w:marRight w:val="0"/>
      <w:marTop w:val="0"/>
      <w:marBottom w:val="0"/>
      <w:divBdr>
        <w:top w:val="none" w:sz="0" w:space="0" w:color="auto"/>
        <w:left w:val="none" w:sz="0" w:space="0" w:color="auto"/>
        <w:bottom w:val="none" w:sz="0" w:space="0" w:color="auto"/>
        <w:right w:val="none" w:sz="0" w:space="0" w:color="auto"/>
      </w:divBdr>
    </w:div>
    <w:div w:id="1634098053">
      <w:marLeft w:val="0"/>
      <w:marRight w:val="0"/>
      <w:marTop w:val="0"/>
      <w:marBottom w:val="0"/>
      <w:divBdr>
        <w:top w:val="none" w:sz="0" w:space="0" w:color="auto"/>
        <w:left w:val="none" w:sz="0" w:space="0" w:color="auto"/>
        <w:bottom w:val="none" w:sz="0" w:space="0" w:color="auto"/>
        <w:right w:val="none" w:sz="0" w:space="0" w:color="auto"/>
      </w:divBdr>
    </w:div>
    <w:div w:id="1634098054">
      <w:marLeft w:val="0"/>
      <w:marRight w:val="0"/>
      <w:marTop w:val="0"/>
      <w:marBottom w:val="0"/>
      <w:divBdr>
        <w:top w:val="none" w:sz="0" w:space="0" w:color="auto"/>
        <w:left w:val="none" w:sz="0" w:space="0" w:color="auto"/>
        <w:bottom w:val="none" w:sz="0" w:space="0" w:color="auto"/>
        <w:right w:val="none" w:sz="0" w:space="0" w:color="auto"/>
      </w:divBdr>
    </w:div>
    <w:div w:id="1634098056">
      <w:marLeft w:val="0"/>
      <w:marRight w:val="0"/>
      <w:marTop w:val="0"/>
      <w:marBottom w:val="0"/>
      <w:divBdr>
        <w:top w:val="none" w:sz="0" w:space="0" w:color="auto"/>
        <w:left w:val="none" w:sz="0" w:space="0" w:color="auto"/>
        <w:bottom w:val="none" w:sz="0" w:space="0" w:color="auto"/>
        <w:right w:val="none" w:sz="0" w:space="0" w:color="auto"/>
      </w:divBdr>
    </w:div>
    <w:div w:id="1634098060">
      <w:marLeft w:val="0"/>
      <w:marRight w:val="0"/>
      <w:marTop w:val="0"/>
      <w:marBottom w:val="0"/>
      <w:divBdr>
        <w:top w:val="none" w:sz="0" w:space="0" w:color="auto"/>
        <w:left w:val="none" w:sz="0" w:space="0" w:color="auto"/>
        <w:bottom w:val="none" w:sz="0" w:space="0" w:color="auto"/>
        <w:right w:val="none" w:sz="0" w:space="0" w:color="auto"/>
      </w:divBdr>
    </w:div>
    <w:div w:id="1634098075">
      <w:marLeft w:val="0"/>
      <w:marRight w:val="0"/>
      <w:marTop w:val="0"/>
      <w:marBottom w:val="0"/>
      <w:divBdr>
        <w:top w:val="none" w:sz="0" w:space="0" w:color="auto"/>
        <w:left w:val="none" w:sz="0" w:space="0" w:color="auto"/>
        <w:bottom w:val="none" w:sz="0" w:space="0" w:color="auto"/>
        <w:right w:val="none" w:sz="0" w:space="0" w:color="auto"/>
      </w:divBdr>
    </w:div>
    <w:div w:id="1634098077">
      <w:marLeft w:val="0"/>
      <w:marRight w:val="0"/>
      <w:marTop w:val="0"/>
      <w:marBottom w:val="0"/>
      <w:divBdr>
        <w:top w:val="none" w:sz="0" w:space="0" w:color="auto"/>
        <w:left w:val="none" w:sz="0" w:space="0" w:color="auto"/>
        <w:bottom w:val="none" w:sz="0" w:space="0" w:color="auto"/>
        <w:right w:val="none" w:sz="0" w:space="0" w:color="auto"/>
      </w:divBdr>
    </w:div>
    <w:div w:id="1634098092">
      <w:marLeft w:val="0"/>
      <w:marRight w:val="0"/>
      <w:marTop w:val="100"/>
      <w:marBottom w:val="100"/>
      <w:divBdr>
        <w:top w:val="none" w:sz="0" w:space="0" w:color="auto"/>
        <w:left w:val="none" w:sz="0" w:space="0" w:color="auto"/>
        <w:bottom w:val="none" w:sz="0" w:space="0" w:color="auto"/>
        <w:right w:val="none" w:sz="0" w:space="0" w:color="auto"/>
      </w:divBdr>
      <w:divsChild>
        <w:div w:id="1634097869">
          <w:marLeft w:val="0"/>
          <w:marRight w:val="0"/>
          <w:marTop w:val="0"/>
          <w:marBottom w:val="0"/>
          <w:divBdr>
            <w:top w:val="none" w:sz="0" w:space="0" w:color="auto"/>
            <w:left w:val="none" w:sz="0" w:space="0" w:color="auto"/>
            <w:bottom w:val="none" w:sz="0" w:space="0" w:color="auto"/>
            <w:right w:val="none" w:sz="0" w:space="0" w:color="auto"/>
          </w:divBdr>
          <w:divsChild>
            <w:div w:id="1634097862">
              <w:marLeft w:val="0"/>
              <w:marRight w:val="0"/>
              <w:marTop w:val="0"/>
              <w:marBottom w:val="0"/>
              <w:divBdr>
                <w:top w:val="none" w:sz="0" w:space="0" w:color="auto"/>
                <w:left w:val="none" w:sz="0" w:space="0" w:color="auto"/>
                <w:bottom w:val="none" w:sz="0" w:space="0" w:color="auto"/>
                <w:right w:val="none" w:sz="0" w:space="0" w:color="auto"/>
              </w:divBdr>
              <w:divsChild>
                <w:div w:id="1634098168">
                  <w:marLeft w:val="0"/>
                  <w:marRight w:val="0"/>
                  <w:marTop w:val="0"/>
                  <w:marBottom w:val="0"/>
                  <w:divBdr>
                    <w:top w:val="none" w:sz="0" w:space="0" w:color="auto"/>
                    <w:left w:val="none" w:sz="0" w:space="0" w:color="auto"/>
                    <w:bottom w:val="none" w:sz="0" w:space="0" w:color="auto"/>
                    <w:right w:val="none" w:sz="0" w:space="0" w:color="auto"/>
                  </w:divBdr>
                  <w:divsChild>
                    <w:div w:id="1634098695">
                      <w:marLeft w:val="0"/>
                      <w:marRight w:val="0"/>
                      <w:marTop w:val="150"/>
                      <w:marBottom w:val="0"/>
                      <w:divBdr>
                        <w:top w:val="none" w:sz="0" w:space="0" w:color="auto"/>
                        <w:left w:val="none" w:sz="0" w:space="0" w:color="auto"/>
                        <w:bottom w:val="none" w:sz="0" w:space="0" w:color="auto"/>
                        <w:right w:val="none" w:sz="0" w:space="0" w:color="auto"/>
                      </w:divBdr>
                      <w:divsChild>
                        <w:div w:id="1634097865">
                          <w:marLeft w:val="0"/>
                          <w:marRight w:val="0"/>
                          <w:marTop w:val="0"/>
                          <w:marBottom w:val="0"/>
                          <w:divBdr>
                            <w:top w:val="none" w:sz="0" w:space="0" w:color="auto"/>
                            <w:left w:val="none" w:sz="0" w:space="0" w:color="auto"/>
                            <w:bottom w:val="none" w:sz="0" w:space="0" w:color="auto"/>
                            <w:right w:val="none" w:sz="0" w:space="0" w:color="auto"/>
                          </w:divBdr>
                          <w:divsChild>
                            <w:div w:id="1634097841">
                              <w:marLeft w:val="0"/>
                              <w:marRight w:val="0"/>
                              <w:marTop w:val="0"/>
                              <w:marBottom w:val="0"/>
                              <w:divBdr>
                                <w:top w:val="none" w:sz="0" w:space="0" w:color="auto"/>
                                <w:left w:val="none" w:sz="0" w:space="0" w:color="auto"/>
                                <w:bottom w:val="none" w:sz="0" w:space="0" w:color="auto"/>
                                <w:right w:val="none" w:sz="0" w:space="0" w:color="auto"/>
                              </w:divBdr>
                              <w:divsChild>
                                <w:div w:id="1634098449">
                                  <w:marLeft w:val="0"/>
                                  <w:marRight w:val="0"/>
                                  <w:marTop w:val="0"/>
                                  <w:marBottom w:val="0"/>
                                  <w:divBdr>
                                    <w:top w:val="none" w:sz="0" w:space="0" w:color="auto"/>
                                    <w:left w:val="none" w:sz="0" w:space="0" w:color="auto"/>
                                    <w:bottom w:val="none" w:sz="0" w:space="0" w:color="auto"/>
                                    <w:right w:val="none" w:sz="0" w:space="0" w:color="auto"/>
                                  </w:divBdr>
                                  <w:divsChild>
                                    <w:div w:id="1634098456">
                                      <w:marLeft w:val="0"/>
                                      <w:marRight w:val="0"/>
                                      <w:marTop w:val="0"/>
                                      <w:marBottom w:val="0"/>
                                      <w:divBdr>
                                        <w:top w:val="none" w:sz="0" w:space="0" w:color="auto"/>
                                        <w:left w:val="none" w:sz="0" w:space="0" w:color="auto"/>
                                        <w:bottom w:val="none" w:sz="0" w:space="0" w:color="auto"/>
                                        <w:right w:val="none" w:sz="0" w:space="0" w:color="auto"/>
                                      </w:divBdr>
                                      <w:divsChild>
                                        <w:div w:id="1634098583">
                                          <w:marLeft w:val="0"/>
                                          <w:marRight w:val="0"/>
                                          <w:marTop w:val="0"/>
                                          <w:marBottom w:val="0"/>
                                          <w:divBdr>
                                            <w:top w:val="none" w:sz="0" w:space="0" w:color="auto"/>
                                            <w:left w:val="none" w:sz="0" w:space="0" w:color="auto"/>
                                            <w:bottom w:val="none" w:sz="0" w:space="0" w:color="auto"/>
                                            <w:right w:val="none" w:sz="0" w:space="0" w:color="auto"/>
                                          </w:divBdr>
                                          <w:divsChild>
                                            <w:div w:id="1634098127">
                                              <w:marLeft w:val="0"/>
                                              <w:marRight w:val="0"/>
                                              <w:marTop w:val="0"/>
                                              <w:marBottom w:val="0"/>
                                              <w:divBdr>
                                                <w:top w:val="none" w:sz="0" w:space="0" w:color="auto"/>
                                                <w:left w:val="none" w:sz="0" w:space="0" w:color="auto"/>
                                                <w:bottom w:val="none" w:sz="0" w:space="0" w:color="auto"/>
                                                <w:right w:val="none" w:sz="0" w:space="0" w:color="auto"/>
                                              </w:divBdr>
                                              <w:divsChild>
                                                <w:div w:id="1634098139">
                                                  <w:marLeft w:val="0"/>
                                                  <w:marRight w:val="0"/>
                                                  <w:marTop w:val="0"/>
                                                  <w:marBottom w:val="0"/>
                                                  <w:divBdr>
                                                    <w:top w:val="none" w:sz="0" w:space="0" w:color="auto"/>
                                                    <w:left w:val="none" w:sz="0" w:space="0" w:color="auto"/>
                                                    <w:bottom w:val="none" w:sz="0" w:space="0" w:color="auto"/>
                                                    <w:right w:val="none" w:sz="0" w:space="0" w:color="auto"/>
                                                  </w:divBdr>
                                                  <w:divsChild>
                                                    <w:div w:id="1634098330">
                                                      <w:marLeft w:val="0"/>
                                                      <w:marRight w:val="0"/>
                                                      <w:marTop w:val="0"/>
                                                      <w:marBottom w:val="0"/>
                                                      <w:divBdr>
                                                        <w:top w:val="none" w:sz="0" w:space="0" w:color="auto"/>
                                                        <w:left w:val="none" w:sz="0" w:space="0" w:color="auto"/>
                                                        <w:bottom w:val="none" w:sz="0" w:space="0" w:color="auto"/>
                                                        <w:right w:val="none" w:sz="0" w:space="0" w:color="auto"/>
                                                      </w:divBdr>
                                                      <w:divsChild>
                                                        <w:div w:id="1634098393">
                                                          <w:marLeft w:val="0"/>
                                                          <w:marRight w:val="0"/>
                                                          <w:marTop w:val="0"/>
                                                          <w:marBottom w:val="0"/>
                                                          <w:divBdr>
                                                            <w:top w:val="none" w:sz="0" w:space="0" w:color="auto"/>
                                                            <w:left w:val="none" w:sz="0" w:space="0" w:color="auto"/>
                                                            <w:bottom w:val="none" w:sz="0" w:space="0" w:color="auto"/>
                                                            <w:right w:val="none" w:sz="0" w:space="0" w:color="auto"/>
                                                          </w:divBdr>
                                                          <w:divsChild>
                                                            <w:div w:id="1634097943">
                                                              <w:marLeft w:val="0"/>
                                                              <w:marRight w:val="0"/>
                                                              <w:marTop w:val="0"/>
                                                              <w:marBottom w:val="0"/>
                                                              <w:divBdr>
                                                                <w:top w:val="none" w:sz="0" w:space="0" w:color="auto"/>
                                                                <w:left w:val="none" w:sz="0" w:space="0" w:color="auto"/>
                                                                <w:bottom w:val="none" w:sz="0" w:space="0" w:color="auto"/>
                                                                <w:right w:val="none" w:sz="0" w:space="0" w:color="auto"/>
                                                              </w:divBdr>
                                                              <w:divsChild>
                                                                <w:div w:id="1634098032">
                                                                  <w:marLeft w:val="0"/>
                                                                  <w:marRight w:val="0"/>
                                                                  <w:marTop w:val="0"/>
                                                                  <w:marBottom w:val="0"/>
                                                                  <w:divBdr>
                                                                    <w:top w:val="none" w:sz="0" w:space="0" w:color="auto"/>
                                                                    <w:left w:val="none" w:sz="0" w:space="0" w:color="auto"/>
                                                                    <w:bottom w:val="none" w:sz="0" w:space="0" w:color="auto"/>
                                                                    <w:right w:val="none" w:sz="0" w:space="0" w:color="auto"/>
                                                                  </w:divBdr>
                                                                  <w:divsChild>
                                                                    <w:div w:id="1634097944">
                                                                      <w:marLeft w:val="0"/>
                                                                      <w:marRight w:val="0"/>
                                                                      <w:marTop w:val="0"/>
                                                                      <w:marBottom w:val="0"/>
                                                                      <w:divBdr>
                                                                        <w:top w:val="none" w:sz="0" w:space="0" w:color="auto"/>
                                                                        <w:left w:val="none" w:sz="0" w:space="0" w:color="auto"/>
                                                                        <w:bottom w:val="none" w:sz="0" w:space="0" w:color="auto"/>
                                                                        <w:right w:val="none" w:sz="0" w:space="0" w:color="auto"/>
                                                                      </w:divBdr>
                                                                      <w:divsChild>
                                                                        <w:div w:id="1634097881">
                                                                          <w:marLeft w:val="0"/>
                                                                          <w:marRight w:val="0"/>
                                                                          <w:marTop w:val="0"/>
                                                                          <w:marBottom w:val="0"/>
                                                                          <w:divBdr>
                                                                            <w:top w:val="none" w:sz="0" w:space="0" w:color="auto"/>
                                                                            <w:left w:val="none" w:sz="0" w:space="0" w:color="auto"/>
                                                                            <w:bottom w:val="none" w:sz="0" w:space="0" w:color="auto"/>
                                                                            <w:right w:val="none" w:sz="0" w:space="0" w:color="auto"/>
                                                                          </w:divBdr>
                                                                          <w:divsChild>
                                                                            <w:div w:id="16340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093">
      <w:marLeft w:val="0"/>
      <w:marRight w:val="0"/>
      <w:marTop w:val="0"/>
      <w:marBottom w:val="0"/>
      <w:divBdr>
        <w:top w:val="none" w:sz="0" w:space="0" w:color="auto"/>
        <w:left w:val="none" w:sz="0" w:space="0" w:color="auto"/>
        <w:bottom w:val="none" w:sz="0" w:space="0" w:color="auto"/>
        <w:right w:val="none" w:sz="0" w:space="0" w:color="auto"/>
      </w:divBdr>
    </w:div>
    <w:div w:id="1634098094">
      <w:marLeft w:val="0"/>
      <w:marRight w:val="0"/>
      <w:marTop w:val="0"/>
      <w:marBottom w:val="0"/>
      <w:divBdr>
        <w:top w:val="none" w:sz="0" w:space="0" w:color="auto"/>
        <w:left w:val="none" w:sz="0" w:space="0" w:color="auto"/>
        <w:bottom w:val="none" w:sz="0" w:space="0" w:color="auto"/>
        <w:right w:val="none" w:sz="0" w:space="0" w:color="auto"/>
      </w:divBdr>
    </w:div>
    <w:div w:id="1634098095">
      <w:marLeft w:val="0"/>
      <w:marRight w:val="0"/>
      <w:marTop w:val="100"/>
      <w:marBottom w:val="100"/>
      <w:divBdr>
        <w:top w:val="none" w:sz="0" w:space="0" w:color="auto"/>
        <w:left w:val="none" w:sz="0" w:space="0" w:color="auto"/>
        <w:bottom w:val="none" w:sz="0" w:space="0" w:color="auto"/>
        <w:right w:val="none" w:sz="0" w:space="0" w:color="auto"/>
      </w:divBdr>
      <w:divsChild>
        <w:div w:id="1634097840">
          <w:marLeft w:val="0"/>
          <w:marRight w:val="0"/>
          <w:marTop w:val="0"/>
          <w:marBottom w:val="0"/>
          <w:divBdr>
            <w:top w:val="none" w:sz="0" w:space="0" w:color="auto"/>
            <w:left w:val="none" w:sz="0" w:space="0" w:color="auto"/>
            <w:bottom w:val="none" w:sz="0" w:space="0" w:color="auto"/>
            <w:right w:val="none" w:sz="0" w:space="0" w:color="auto"/>
          </w:divBdr>
          <w:divsChild>
            <w:div w:id="1634098206">
              <w:marLeft w:val="0"/>
              <w:marRight w:val="0"/>
              <w:marTop w:val="0"/>
              <w:marBottom w:val="0"/>
              <w:divBdr>
                <w:top w:val="none" w:sz="0" w:space="0" w:color="auto"/>
                <w:left w:val="none" w:sz="0" w:space="0" w:color="auto"/>
                <w:bottom w:val="none" w:sz="0" w:space="0" w:color="auto"/>
                <w:right w:val="none" w:sz="0" w:space="0" w:color="auto"/>
              </w:divBdr>
              <w:divsChild>
                <w:div w:id="1634098148">
                  <w:marLeft w:val="0"/>
                  <w:marRight w:val="0"/>
                  <w:marTop w:val="0"/>
                  <w:marBottom w:val="0"/>
                  <w:divBdr>
                    <w:top w:val="none" w:sz="0" w:space="0" w:color="auto"/>
                    <w:left w:val="none" w:sz="0" w:space="0" w:color="auto"/>
                    <w:bottom w:val="none" w:sz="0" w:space="0" w:color="auto"/>
                    <w:right w:val="none" w:sz="0" w:space="0" w:color="auto"/>
                  </w:divBdr>
                  <w:divsChild>
                    <w:div w:id="1634098439">
                      <w:marLeft w:val="0"/>
                      <w:marRight w:val="0"/>
                      <w:marTop w:val="150"/>
                      <w:marBottom w:val="0"/>
                      <w:divBdr>
                        <w:top w:val="none" w:sz="0" w:space="0" w:color="auto"/>
                        <w:left w:val="none" w:sz="0" w:space="0" w:color="auto"/>
                        <w:bottom w:val="none" w:sz="0" w:space="0" w:color="auto"/>
                        <w:right w:val="none" w:sz="0" w:space="0" w:color="auto"/>
                      </w:divBdr>
                      <w:divsChild>
                        <w:div w:id="1634098687">
                          <w:marLeft w:val="0"/>
                          <w:marRight w:val="0"/>
                          <w:marTop w:val="0"/>
                          <w:marBottom w:val="0"/>
                          <w:divBdr>
                            <w:top w:val="none" w:sz="0" w:space="0" w:color="auto"/>
                            <w:left w:val="none" w:sz="0" w:space="0" w:color="auto"/>
                            <w:bottom w:val="none" w:sz="0" w:space="0" w:color="auto"/>
                            <w:right w:val="none" w:sz="0" w:space="0" w:color="auto"/>
                          </w:divBdr>
                          <w:divsChild>
                            <w:div w:id="1634098361">
                              <w:marLeft w:val="0"/>
                              <w:marRight w:val="0"/>
                              <w:marTop w:val="0"/>
                              <w:marBottom w:val="0"/>
                              <w:divBdr>
                                <w:top w:val="none" w:sz="0" w:space="0" w:color="auto"/>
                                <w:left w:val="none" w:sz="0" w:space="0" w:color="auto"/>
                                <w:bottom w:val="none" w:sz="0" w:space="0" w:color="auto"/>
                                <w:right w:val="none" w:sz="0" w:space="0" w:color="auto"/>
                              </w:divBdr>
                              <w:divsChild>
                                <w:div w:id="1634097942">
                                  <w:marLeft w:val="0"/>
                                  <w:marRight w:val="0"/>
                                  <w:marTop w:val="0"/>
                                  <w:marBottom w:val="0"/>
                                  <w:divBdr>
                                    <w:top w:val="none" w:sz="0" w:space="0" w:color="auto"/>
                                    <w:left w:val="none" w:sz="0" w:space="0" w:color="auto"/>
                                    <w:bottom w:val="none" w:sz="0" w:space="0" w:color="auto"/>
                                    <w:right w:val="none" w:sz="0" w:space="0" w:color="auto"/>
                                  </w:divBdr>
                                  <w:divsChild>
                                    <w:div w:id="1634097832">
                                      <w:marLeft w:val="0"/>
                                      <w:marRight w:val="0"/>
                                      <w:marTop w:val="0"/>
                                      <w:marBottom w:val="0"/>
                                      <w:divBdr>
                                        <w:top w:val="none" w:sz="0" w:space="0" w:color="auto"/>
                                        <w:left w:val="none" w:sz="0" w:space="0" w:color="auto"/>
                                        <w:bottom w:val="none" w:sz="0" w:space="0" w:color="auto"/>
                                        <w:right w:val="none" w:sz="0" w:space="0" w:color="auto"/>
                                      </w:divBdr>
                                      <w:divsChild>
                                        <w:div w:id="1634098074">
                                          <w:marLeft w:val="0"/>
                                          <w:marRight w:val="0"/>
                                          <w:marTop w:val="0"/>
                                          <w:marBottom w:val="0"/>
                                          <w:divBdr>
                                            <w:top w:val="none" w:sz="0" w:space="0" w:color="auto"/>
                                            <w:left w:val="none" w:sz="0" w:space="0" w:color="auto"/>
                                            <w:bottom w:val="none" w:sz="0" w:space="0" w:color="auto"/>
                                            <w:right w:val="none" w:sz="0" w:space="0" w:color="auto"/>
                                          </w:divBdr>
                                          <w:divsChild>
                                            <w:div w:id="1634097804">
                                              <w:marLeft w:val="0"/>
                                              <w:marRight w:val="0"/>
                                              <w:marTop w:val="0"/>
                                              <w:marBottom w:val="0"/>
                                              <w:divBdr>
                                                <w:top w:val="none" w:sz="0" w:space="0" w:color="auto"/>
                                                <w:left w:val="none" w:sz="0" w:space="0" w:color="auto"/>
                                                <w:bottom w:val="none" w:sz="0" w:space="0" w:color="auto"/>
                                                <w:right w:val="none" w:sz="0" w:space="0" w:color="auto"/>
                                              </w:divBdr>
                                              <w:divsChild>
                                                <w:div w:id="1634098131">
                                                  <w:marLeft w:val="0"/>
                                                  <w:marRight w:val="0"/>
                                                  <w:marTop w:val="0"/>
                                                  <w:marBottom w:val="0"/>
                                                  <w:divBdr>
                                                    <w:top w:val="none" w:sz="0" w:space="0" w:color="auto"/>
                                                    <w:left w:val="none" w:sz="0" w:space="0" w:color="auto"/>
                                                    <w:bottom w:val="none" w:sz="0" w:space="0" w:color="auto"/>
                                                    <w:right w:val="none" w:sz="0" w:space="0" w:color="auto"/>
                                                  </w:divBdr>
                                                  <w:divsChild>
                                                    <w:div w:id="1634098336">
                                                      <w:marLeft w:val="0"/>
                                                      <w:marRight w:val="0"/>
                                                      <w:marTop w:val="0"/>
                                                      <w:marBottom w:val="0"/>
                                                      <w:divBdr>
                                                        <w:top w:val="none" w:sz="0" w:space="0" w:color="auto"/>
                                                        <w:left w:val="none" w:sz="0" w:space="0" w:color="auto"/>
                                                        <w:bottom w:val="none" w:sz="0" w:space="0" w:color="auto"/>
                                                        <w:right w:val="none" w:sz="0" w:space="0" w:color="auto"/>
                                                      </w:divBdr>
                                                      <w:divsChild>
                                                        <w:div w:id="1634097868">
                                                          <w:marLeft w:val="0"/>
                                                          <w:marRight w:val="0"/>
                                                          <w:marTop w:val="0"/>
                                                          <w:marBottom w:val="0"/>
                                                          <w:divBdr>
                                                            <w:top w:val="none" w:sz="0" w:space="0" w:color="auto"/>
                                                            <w:left w:val="none" w:sz="0" w:space="0" w:color="auto"/>
                                                            <w:bottom w:val="none" w:sz="0" w:space="0" w:color="auto"/>
                                                            <w:right w:val="none" w:sz="0" w:space="0" w:color="auto"/>
                                                          </w:divBdr>
                                                          <w:divsChild>
                                                            <w:div w:id="1634098372">
                                                              <w:marLeft w:val="0"/>
                                                              <w:marRight w:val="0"/>
                                                              <w:marTop w:val="0"/>
                                                              <w:marBottom w:val="0"/>
                                                              <w:divBdr>
                                                                <w:top w:val="none" w:sz="0" w:space="0" w:color="auto"/>
                                                                <w:left w:val="none" w:sz="0" w:space="0" w:color="auto"/>
                                                                <w:bottom w:val="none" w:sz="0" w:space="0" w:color="auto"/>
                                                                <w:right w:val="none" w:sz="0" w:space="0" w:color="auto"/>
                                                              </w:divBdr>
                                                              <w:divsChild>
                                                                <w:div w:id="1634098388">
                                                                  <w:marLeft w:val="0"/>
                                                                  <w:marRight w:val="0"/>
                                                                  <w:marTop w:val="0"/>
                                                                  <w:marBottom w:val="0"/>
                                                                  <w:divBdr>
                                                                    <w:top w:val="none" w:sz="0" w:space="0" w:color="auto"/>
                                                                    <w:left w:val="none" w:sz="0" w:space="0" w:color="auto"/>
                                                                    <w:bottom w:val="none" w:sz="0" w:space="0" w:color="auto"/>
                                                                    <w:right w:val="none" w:sz="0" w:space="0" w:color="auto"/>
                                                                  </w:divBdr>
                                                                  <w:divsChild>
                                                                    <w:div w:id="1634098187">
                                                                      <w:marLeft w:val="0"/>
                                                                      <w:marRight w:val="0"/>
                                                                      <w:marTop w:val="0"/>
                                                                      <w:marBottom w:val="0"/>
                                                                      <w:divBdr>
                                                                        <w:top w:val="none" w:sz="0" w:space="0" w:color="auto"/>
                                                                        <w:left w:val="none" w:sz="0" w:space="0" w:color="auto"/>
                                                                        <w:bottom w:val="none" w:sz="0" w:space="0" w:color="auto"/>
                                                                        <w:right w:val="none" w:sz="0" w:space="0" w:color="auto"/>
                                                                      </w:divBdr>
                                                                      <w:divsChild>
                                                                        <w:div w:id="1634097889">
                                                                          <w:marLeft w:val="0"/>
                                                                          <w:marRight w:val="0"/>
                                                                          <w:marTop w:val="0"/>
                                                                          <w:marBottom w:val="0"/>
                                                                          <w:divBdr>
                                                                            <w:top w:val="none" w:sz="0" w:space="0" w:color="auto"/>
                                                                            <w:left w:val="none" w:sz="0" w:space="0" w:color="auto"/>
                                                                            <w:bottom w:val="none" w:sz="0" w:space="0" w:color="auto"/>
                                                                            <w:right w:val="none" w:sz="0" w:space="0" w:color="auto"/>
                                                                          </w:divBdr>
                                                                          <w:divsChild>
                                                                            <w:div w:id="163409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103">
      <w:marLeft w:val="0"/>
      <w:marRight w:val="0"/>
      <w:marTop w:val="0"/>
      <w:marBottom w:val="0"/>
      <w:divBdr>
        <w:top w:val="none" w:sz="0" w:space="0" w:color="auto"/>
        <w:left w:val="none" w:sz="0" w:space="0" w:color="auto"/>
        <w:bottom w:val="none" w:sz="0" w:space="0" w:color="auto"/>
        <w:right w:val="none" w:sz="0" w:space="0" w:color="auto"/>
      </w:divBdr>
    </w:div>
    <w:div w:id="1634098105">
      <w:marLeft w:val="0"/>
      <w:marRight w:val="0"/>
      <w:marTop w:val="0"/>
      <w:marBottom w:val="0"/>
      <w:divBdr>
        <w:top w:val="none" w:sz="0" w:space="0" w:color="auto"/>
        <w:left w:val="none" w:sz="0" w:space="0" w:color="auto"/>
        <w:bottom w:val="none" w:sz="0" w:space="0" w:color="auto"/>
        <w:right w:val="none" w:sz="0" w:space="0" w:color="auto"/>
      </w:divBdr>
    </w:div>
    <w:div w:id="1634098112">
      <w:marLeft w:val="0"/>
      <w:marRight w:val="0"/>
      <w:marTop w:val="0"/>
      <w:marBottom w:val="0"/>
      <w:divBdr>
        <w:top w:val="none" w:sz="0" w:space="0" w:color="auto"/>
        <w:left w:val="none" w:sz="0" w:space="0" w:color="auto"/>
        <w:bottom w:val="none" w:sz="0" w:space="0" w:color="auto"/>
        <w:right w:val="none" w:sz="0" w:space="0" w:color="auto"/>
      </w:divBdr>
    </w:div>
    <w:div w:id="1634098119">
      <w:marLeft w:val="0"/>
      <w:marRight w:val="0"/>
      <w:marTop w:val="0"/>
      <w:marBottom w:val="0"/>
      <w:divBdr>
        <w:top w:val="none" w:sz="0" w:space="0" w:color="auto"/>
        <w:left w:val="none" w:sz="0" w:space="0" w:color="auto"/>
        <w:bottom w:val="none" w:sz="0" w:space="0" w:color="auto"/>
        <w:right w:val="none" w:sz="0" w:space="0" w:color="auto"/>
      </w:divBdr>
    </w:div>
    <w:div w:id="1634098121">
      <w:marLeft w:val="0"/>
      <w:marRight w:val="0"/>
      <w:marTop w:val="0"/>
      <w:marBottom w:val="0"/>
      <w:divBdr>
        <w:top w:val="none" w:sz="0" w:space="0" w:color="auto"/>
        <w:left w:val="none" w:sz="0" w:space="0" w:color="auto"/>
        <w:bottom w:val="none" w:sz="0" w:space="0" w:color="auto"/>
        <w:right w:val="none" w:sz="0" w:space="0" w:color="auto"/>
      </w:divBdr>
    </w:div>
    <w:div w:id="1634098124">
      <w:marLeft w:val="0"/>
      <w:marRight w:val="0"/>
      <w:marTop w:val="0"/>
      <w:marBottom w:val="0"/>
      <w:divBdr>
        <w:top w:val="none" w:sz="0" w:space="0" w:color="auto"/>
        <w:left w:val="none" w:sz="0" w:space="0" w:color="auto"/>
        <w:bottom w:val="none" w:sz="0" w:space="0" w:color="auto"/>
        <w:right w:val="none" w:sz="0" w:space="0" w:color="auto"/>
      </w:divBdr>
    </w:div>
    <w:div w:id="1634098125">
      <w:marLeft w:val="0"/>
      <w:marRight w:val="0"/>
      <w:marTop w:val="0"/>
      <w:marBottom w:val="0"/>
      <w:divBdr>
        <w:top w:val="none" w:sz="0" w:space="0" w:color="auto"/>
        <w:left w:val="none" w:sz="0" w:space="0" w:color="auto"/>
        <w:bottom w:val="none" w:sz="0" w:space="0" w:color="auto"/>
        <w:right w:val="none" w:sz="0" w:space="0" w:color="auto"/>
      </w:divBdr>
    </w:div>
    <w:div w:id="1634098137">
      <w:marLeft w:val="0"/>
      <w:marRight w:val="0"/>
      <w:marTop w:val="0"/>
      <w:marBottom w:val="0"/>
      <w:divBdr>
        <w:top w:val="none" w:sz="0" w:space="0" w:color="auto"/>
        <w:left w:val="none" w:sz="0" w:space="0" w:color="auto"/>
        <w:bottom w:val="none" w:sz="0" w:space="0" w:color="auto"/>
        <w:right w:val="none" w:sz="0" w:space="0" w:color="auto"/>
      </w:divBdr>
    </w:div>
    <w:div w:id="1634098140">
      <w:marLeft w:val="0"/>
      <w:marRight w:val="0"/>
      <w:marTop w:val="0"/>
      <w:marBottom w:val="0"/>
      <w:divBdr>
        <w:top w:val="none" w:sz="0" w:space="0" w:color="auto"/>
        <w:left w:val="none" w:sz="0" w:space="0" w:color="auto"/>
        <w:bottom w:val="none" w:sz="0" w:space="0" w:color="auto"/>
        <w:right w:val="none" w:sz="0" w:space="0" w:color="auto"/>
      </w:divBdr>
    </w:div>
    <w:div w:id="1634098146">
      <w:marLeft w:val="0"/>
      <w:marRight w:val="0"/>
      <w:marTop w:val="0"/>
      <w:marBottom w:val="0"/>
      <w:divBdr>
        <w:top w:val="none" w:sz="0" w:space="0" w:color="auto"/>
        <w:left w:val="none" w:sz="0" w:space="0" w:color="auto"/>
        <w:bottom w:val="none" w:sz="0" w:space="0" w:color="auto"/>
        <w:right w:val="none" w:sz="0" w:space="0" w:color="auto"/>
      </w:divBdr>
    </w:div>
    <w:div w:id="1634098147">
      <w:marLeft w:val="0"/>
      <w:marRight w:val="0"/>
      <w:marTop w:val="0"/>
      <w:marBottom w:val="0"/>
      <w:divBdr>
        <w:top w:val="none" w:sz="0" w:space="0" w:color="auto"/>
        <w:left w:val="none" w:sz="0" w:space="0" w:color="auto"/>
        <w:bottom w:val="none" w:sz="0" w:space="0" w:color="auto"/>
        <w:right w:val="none" w:sz="0" w:space="0" w:color="auto"/>
      </w:divBdr>
    </w:div>
    <w:div w:id="1634098150">
      <w:marLeft w:val="0"/>
      <w:marRight w:val="0"/>
      <w:marTop w:val="0"/>
      <w:marBottom w:val="0"/>
      <w:divBdr>
        <w:top w:val="none" w:sz="0" w:space="0" w:color="auto"/>
        <w:left w:val="none" w:sz="0" w:space="0" w:color="auto"/>
        <w:bottom w:val="none" w:sz="0" w:space="0" w:color="auto"/>
        <w:right w:val="none" w:sz="0" w:space="0" w:color="auto"/>
      </w:divBdr>
    </w:div>
    <w:div w:id="1634098152">
      <w:marLeft w:val="0"/>
      <w:marRight w:val="0"/>
      <w:marTop w:val="0"/>
      <w:marBottom w:val="0"/>
      <w:divBdr>
        <w:top w:val="none" w:sz="0" w:space="0" w:color="auto"/>
        <w:left w:val="none" w:sz="0" w:space="0" w:color="auto"/>
        <w:bottom w:val="none" w:sz="0" w:space="0" w:color="auto"/>
        <w:right w:val="none" w:sz="0" w:space="0" w:color="auto"/>
      </w:divBdr>
    </w:div>
    <w:div w:id="1634098156">
      <w:marLeft w:val="0"/>
      <w:marRight w:val="0"/>
      <w:marTop w:val="0"/>
      <w:marBottom w:val="0"/>
      <w:divBdr>
        <w:top w:val="none" w:sz="0" w:space="0" w:color="auto"/>
        <w:left w:val="none" w:sz="0" w:space="0" w:color="auto"/>
        <w:bottom w:val="none" w:sz="0" w:space="0" w:color="auto"/>
        <w:right w:val="none" w:sz="0" w:space="0" w:color="auto"/>
      </w:divBdr>
    </w:div>
    <w:div w:id="1634098159">
      <w:marLeft w:val="0"/>
      <w:marRight w:val="0"/>
      <w:marTop w:val="0"/>
      <w:marBottom w:val="0"/>
      <w:divBdr>
        <w:top w:val="none" w:sz="0" w:space="0" w:color="auto"/>
        <w:left w:val="none" w:sz="0" w:space="0" w:color="auto"/>
        <w:bottom w:val="none" w:sz="0" w:space="0" w:color="auto"/>
        <w:right w:val="none" w:sz="0" w:space="0" w:color="auto"/>
      </w:divBdr>
    </w:div>
    <w:div w:id="1634098161">
      <w:marLeft w:val="0"/>
      <w:marRight w:val="0"/>
      <w:marTop w:val="0"/>
      <w:marBottom w:val="0"/>
      <w:divBdr>
        <w:top w:val="none" w:sz="0" w:space="0" w:color="auto"/>
        <w:left w:val="none" w:sz="0" w:space="0" w:color="auto"/>
        <w:bottom w:val="none" w:sz="0" w:space="0" w:color="auto"/>
        <w:right w:val="none" w:sz="0" w:space="0" w:color="auto"/>
      </w:divBdr>
    </w:div>
    <w:div w:id="1634098172">
      <w:marLeft w:val="0"/>
      <w:marRight w:val="0"/>
      <w:marTop w:val="0"/>
      <w:marBottom w:val="0"/>
      <w:divBdr>
        <w:top w:val="none" w:sz="0" w:space="0" w:color="auto"/>
        <w:left w:val="none" w:sz="0" w:space="0" w:color="auto"/>
        <w:bottom w:val="none" w:sz="0" w:space="0" w:color="auto"/>
        <w:right w:val="none" w:sz="0" w:space="0" w:color="auto"/>
      </w:divBdr>
    </w:div>
    <w:div w:id="1634098175">
      <w:marLeft w:val="0"/>
      <w:marRight w:val="0"/>
      <w:marTop w:val="0"/>
      <w:marBottom w:val="0"/>
      <w:divBdr>
        <w:top w:val="none" w:sz="0" w:space="0" w:color="auto"/>
        <w:left w:val="none" w:sz="0" w:space="0" w:color="auto"/>
        <w:bottom w:val="none" w:sz="0" w:space="0" w:color="auto"/>
        <w:right w:val="none" w:sz="0" w:space="0" w:color="auto"/>
      </w:divBdr>
    </w:div>
    <w:div w:id="1634098176">
      <w:marLeft w:val="0"/>
      <w:marRight w:val="0"/>
      <w:marTop w:val="0"/>
      <w:marBottom w:val="0"/>
      <w:divBdr>
        <w:top w:val="none" w:sz="0" w:space="0" w:color="auto"/>
        <w:left w:val="none" w:sz="0" w:space="0" w:color="auto"/>
        <w:bottom w:val="none" w:sz="0" w:space="0" w:color="auto"/>
        <w:right w:val="none" w:sz="0" w:space="0" w:color="auto"/>
      </w:divBdr>
    </w:div>
    <w:div w:id="1634098178">
      <w:marLeft w:val="0"/>
      <w:marRight w:val="0"/>
      <w:marTop w:val="0"/>
      <w:marBottom w:val="0"/>
      <w:divBdr>
        <w:top w:val="none" w:sz="0" w:space="0" w:color="auto"/>
        <w:left w:val="none" w:sz="0" w:space="0" w:color="auto"/>
        <w:bottom w:val="none" w:sz="0" w:space="0" w:color="auto"/>
        <w:right w:val="none" w:sz="0" w:space="0" w:color="auto"/>
      </w:divBdr>
      <w:divsChild>
        <w:div w:id="1634098184">
          <w:marLeft w:val="0"/>
          <w:marRight w:val="0"/>
          <w:marTop w:val="0"/>
          <w:marBottom w:val="0"/>
          <w:divBdr>
            <w:top w:val="none" w:sz="0" w:space="0" w:color="auto"/>
            <w:left w:val="none" w:sz="0" w:space="0" w:color="auto"/>
            <w:bottom w:val="none" w:sz="0" w:space="0" w:color="auto"/>
            <w:right w:val="none" w:sz="0" w:space="0" w:color="auto"/>
          </w:divBdr>
          <w:divsChild>
            <w:div w:id="1634098048">
              <w:marLeft w:val="0"/>
              <w:marRight w:val="0"/>
              <w:marTop w:val="0"/>
              <w:marBottom w:val="0"/>
              <w:divBdr>
                <w:top w:val="single" w:sz="6" w:space="0" w:color="DBDBDB"/>
                <w:left w:val="none" w:sz="0" w:space="0" w:color="auto"/>
                <w:bottom w:val="none" w:sz="0" w:space="0" w:color="auto"/>
                <w:right w:val="none" w:sz="0" w:space="0" w:color="auto"/>
              </w:divBdr>
              <w:divsChild>
                <w:div w:id="1634097912">
                  <w:marLeft w:val="0"/>
                  <w:marRight w:val="0"/>
                  <w:marTop w:val="0"/>
                  <w:marBottom w:val="0"/>
                  <w:divBdr>
                    <w:top w:val="none" w:sz="0" w:space="0" w:color="auto"/>
                    <w:left w:val="none" w:sz="0" w:space="0" w:color="auto"/>
                    <w:bottom w:val="none" w:sz="0" w:space="0" w:color="auto"/>
                    <w:right w:val="none" w:sz="0" w:space="0" w:color="auto"/>
                  </w:divBdr>
                  <w:divsChild>
                    <w:div w:id="1634097866">
                      <w:marLeft w:val="0"/>
                      <w:marRight w:val="0"/>
                      <w:marTop w:val="0"/>
                      <w:marBottom w:val="0"/>
                      <w:divBdr>
                        <w:top w:val="none" w:sz="0" w:space="0" w:color="auto"/>
                        <w:left w:val="none" w:sz="0" w:space="0" w:color="auto"/>
                        <w:bottom w:val="none" w:sz="0" w:space="0" w:color="auto"/>
                        <w:right w:val="none" w:sz="0" w:space="0" w:color="auto"/>
                      </w:divBdr>
                      <w:divsChild>
                        <w:div w:id="1634098686">
                          <w:marLeft w:val="0"/>
                          <w:marRight w:val="0"/>
                          <w:marTop w:val="0"/>
                          <w:marBottom w:val="0"/>
                          <w:divBdr>
                            <w:top w:val="none" w:sz="0" w:space="0" w:color="auto"/>
                            <w:left w:val="none" w:sz="0" w:space="0" w:color="auto"/>
                            <w:bottom w:val="none" w:sz="0" w:space="0" w:color="auto"/>
                            <w:right w:val="none" w:sz="0" w:space="0" w:color="auto"/>
                          </w:divBdr>
                          <w:divsChild>
                            <w:div w:id="1634098160">
                              <w:marLeft w:val="0"/>
                              <w:marRight w:val="0"/>
                              <w:marTop w:val="0"/>
                              <w:marBottom w:val="0"/>
                              <w:divBdr>
                                <w:top w:val="none" w:sz="0" w:space="0" w:color="auto"/>
                                <w:left w:val="none" w:sz="0" w:space="0" w:color="auto"/>
                                <w:bottom w:val="none" w:sz="0" w:space="0" w:color="auto"/>
                                <w:right w:val="none" w:sz="0" w:space="0" w:color="auto"/>
                              </w:divBdr>
                              <w:divsChild>
                                <w:div w:id="1634098322">
                                  <w:marLeft w:val="0"/>
                                  <w:marRight w:val="0"/>
                                  <w:marTop w:val="0"/>
                                  <w:marBottom w:val="0"/>
                                  <w:divBdr>
                                    <w:top w:val="none" w:sz="0" w:space="0" w:color="auto"/>
                                    <w:left w:val="none" w:sz="0" w:space="0" w:color="auto"/>
                                    <w:bottom w:val="none" w:sz="0" w:space="0" w:color="auto"/>
                                    <w:right w:val="none" w:sz="0" w:space="0" w:color="auto"/>
                                  </w:divBdr>
                                  <w:divsChild>
                                    <w:div w:id="1634097967">
                                      <w:marLeft w:val="0"/>
                                      <w:marRight w:val="0"/>
                                      <w:marTop w:val="0"/>
                                      <w:marBottom w:val="0"/>
                                      <w:divBdr>
                                        <w:top w:val="none" w:sz="0" w:space="0" w:color="auto"/>
                                        <w:left w:val="none" w:sz="0" w:space="0" w:color="auto"/>
                                        <w:bottom w:val="none" w:sz="0" w:space="0" w:color="auto"/>
                                        <w:right w:val="none" w:sz="0" w:space="0" w:color="auto"/>
                                      </w:divBdr>
                                    </w:div>
                                    <w:div w:id="1634097971">
                                      <w:marLeft w:val="0"/>
                                      <w:marRight w:val="0"/>
                                      <w:marTop w:val="0"/>
                                      <w:marBottom w:val="0"/>
                                      <w:divBdr>
                                        <w:top w:val="none" w:sz="0" w:space="0" w:color="auto"/>
                                        <w:left w:val="none" w:sz="0" w:space="0" w:color="auto"/>
                                        <w:bottom w:val="none" w:sz="0" w:space="0" w:color="auto"/>
                                        <w:right w:val="none" w:sz="0" w:space="0" w:color="auto"/>
                                      </w:divBdr>
                                    </w:div>
                                    <w:div w:id="1634097990">
                                      <w:marLeft w:val="0"/>
                                      <w:marRight w:val="0"/>
                                      <w:marTop w:val="0"/>
                                      <w:marBottom w:val="0"/>
                                      <w:divBdr>
                                        <w:top w:val="none" w:sz="0" w:space="0" w:color="auto"/>
                                        <w:left w:val="none" w:sz="0" w:space="0" w:color="auto"/>
                                        <w:bottom w:val="none" w:sz="0" w:space="0" w:color="auto"/>
                                        <w:right w:val="none" w:sz="0" w:space="0" w:color="auto"/>
                                      </w:divBdr>
                                    </w:div>
                                    <w:div w:id="1634098031">
                                      <w:marLeft w:val="0"/>
                                      <w:marRight w:val="0"/>
                                      <w:marTop w:val="0"/>
                                      <w:marBottom w:val="0"/>
                                      <w:divBdr>
                                        <w:top w:val="none" w:sz="0" w:space="0" w:color="auto"/>
                                        <w:left w:val="none" w:sz="0" w:space="0" w:color="auto"/>
                                        <w:bottom w:val="none" w:sz="0" w:space="0" w:color="auto"/>
                                        <w:right w:val="none" w:sz="0" w:space="0" w:color="auto"/>
                                      </w:divBdr>
                                    </w:div>
                                    <w:div w:id="1634098034">
                                      <w:marLeft w:val="0"/>
                                      <w:marRight w:val="0"/>
                                      <w:marTop w:val="0"/>
                                      <w:marBottom w:val="0"/>
                                      <w:divBdr>
                                        <w:top w:val="none" w:sz="0" w:space="0" w:color="auto"/>
                                        <w:left w:val="none" w:sz="0" w:space="0" w:color="auto"/>
                                        <w:bottom w:val="none" w:sz="0" w:space="0" w:color="auto"/>
                                        <w:right w:val="none" w:sz="0" w:space="0" w:color="auto"/>
                                      </w:divBdr>
                                    </w:div>
                                    <w:div w:id="1634098126">
                                      <w:marLeft w:val="0"/>
                                      <w:marRight w:val="0"/>
                                      <w:marTop w:val="0"/>
                                      <w:marBottom w:val="0"/>
                                      <w:divBdr>
                                        <w:top w:val="none" w:sz="0" w:space="0" w:color="auto"/>
                                        <w:left w:val="none" w:sz="0" w:space="0" w:color="auto"/>
                                        <w:bottom w:val="none" w:sz="0" w:space="0" w:color="auto"/>
                                        <w:right w:val="none" w:sz="0" w:space="0" w:color="auto"/>
                                      </w:divBdr>
                                    </w:div>
                                    <w:div w:id="1634098163">
                                      <w:marLeft w:val="0"/>
                                      <w:marRight w:val="0"/>
                                      <w:marTop w:val="0"/>
                                      <w:marBottom w:val="0"/>
                                      <w:divBdr>
                                        <w:top w:val="none" w:sz="0" w:space="0" w:color="auto"/>
                                        <w:left w:val="none" w:sz="0" w:space="0" w:color="auto"/>
                                        <w:bottom w:val="none" w:sz="0" w:space="0" w:color="auto"/>
                                        <w:right w:val="none" w:sz="0" w:space="0" w:color="auto"/>
                                      </w:divBdr>
                                    </w:div>
                                    <w:div w:id="1634098239">
                                      <w:marLeft w:val="0"/>
                                      <w:marRight w:val="0"/>
                                      <w:marTop w:val="0"/>
                                      <w:marBottom w:val="0"/>
                                      <w:divBdr>
                                        <w:top w:val="none" w:sz="0" w:space="0" w:color="auto"/>
                                        <w:left w:val="none" w:sz="0" w:space="0" w:color="auto"/>
                                        <w:bottom w:val="none" w:sz="0" w:space="0" w:color="auto"/>
                                        <w:right w:val="none" w:sz="0" w:space="0" w:color="auto"/>
                                      </w:divBdr>
                                    </w:div>
                                    <w:div w:id="1634098422">
                                      <w:marLeft w:val="0"/>
                                      <w:marRight w:val="0"/>
                                      <w:marTop w:val="0"/>
                                      <w:marBottom w:val="0"/>
                                      <w:divBdr>
                                        <w:top w:val="none" w:sz="0" w:space="0" w:color="auto"/>
                                        <w:left w:val="none" w:sz="0" w:space="0" w:color="auto"/>
                                        <w:bottom w:val="none" w:sz="0" w:space="0" w:color="auto"/>
                                        <w:right w:val="none" w:sz="0" w:space="0" w:color="auto"/>
                                      </w:divBdr>
                                    </w:div>
                                    <w:div w:id="1634098570">
                                      <w:marLeft w:val="0"/>
                                      <w:marRight w:val="0"/>
                                      <w:marTop w:val="0"/>
                                      <w:marBottom w:val="0"/>
                                      <w:divBdr>
                                        <w:top w:val="none" w:sz="0" w:space="0" w:color="auto"/>
                                        <w:left w:val="none" w:sz="0" w:space="0" w:color="auto"/>
                                        <w:bottom w:val="none" w:sz="0" w:space="0" w:color="auto"/>
                                        <w:right w:val="none" w:sz="0" w:space="0" w:color="auto"/>
                                      </w:divBdr>
                                    </w:div>
                                    <w:div w:id="16340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098181">
      <w:marLeft w:val="0"/>
      <w:marRight w:val="0"/>
      <w:marTop w:val="0"/>
      <w:marBottom w:val="0"/>
      <w:divBdr>
        <w:top w:val="none" w:sz="0" w:space="0" w:color="auto"/>
        <w:left w:val="none" w:sz="0" w:space="0" w:color="auto"/>
        <w:bottom w:val="none" w:sz="0" w:space="0" w:color="auto"/>
        <w:right w:val="none" w:sz="0" w:space="0" w:color="auto"/>
      </w:divBdr>
    </w:div>
    <w:div w:id="1634098186">
      <w:marLeft w:val="0"/>
      <w:marRight w:val="0"/>
      <w:marTop w:val="100"/>
      <w:marBottom w:val="100"/>
      <w:divBdr>
        <w:top w:val="none" w:sz="0" w:space="0" w:color="auto"/>
        <w:left w:val="none" w:sz="0" w:space="0" w:color="auto"/>
        <w:bottom w:val="none" w:sz="0" w:space="0" w:color="auto"/>
        <w:right w:val="none" w:sz="0" w:space="0" w:color="auto"/>
      </w:divBdr>
      <w:divsChild>
        <w:div w:id="1634098272">
          <w:marLeft w:val="0"/>
          <w:marRight w:val="0"/>
          <w:marTop w:val="0"/>
          <w:marBottom w:val="0"/>
          <w:divBdr>
            <w:top w:val="none" w:sz="0" w:space="0" w:color="auto"/>
            <w:left w:val="none" w:sz="0" w:space="0" w:color="auto"/>
            <w:bottom w:val="none" w:sz="0" w:space="0" w:color="auto"/>
            <w:right w:val="none" w:sz="0" w:space="0" w:color="auto"/>
          </w:divBdr>
          <w:divsChild>
            <w:div w:id="1634098055">
              <w:marLeft w:val="0"/>
              <w:marRight w:val="0"/>
              <w:marTop w:val="0"/>
              <w:marBottom w:val="0"/>
              <w:divBdr>
                <w:top w:val="none" w:sz="0" w:space="0" w:color="auto"/>
                <w:left w:val="none" w:sz="0" w:space="0" w:color="auto"/>
                <w:bottom w:val="none" w:sz="0" w:space="0" w:color="auto"/>
                <w:right w:val="none" w:sz="0" w:space="0" w:color="auto"/>
              </w:divBdr>
              <w:divsChild>
                <w:div w:id="1634098155">
                  <w:marLeft w:val="0"/>
                  <w:marRight w:val="0"/>
                  <w:marTop w:val="0"/>
                  <w:marBottom w:val="0"/>
                  <w:divBdr>
                    <w:top w:val="none" w:sz="0" w:space="0" w:color="auto"/>
                    <w:left w:val="none" w:sz="0" w:space="0" w:color="auto"/>
                    <w:bottom w:val="none" w:sz="0" w:space="0" w:color="auto"/>
                    <w:right w:val="none" w:sz="0" w:space="0" w:color="auto"/>
                  </w:divBdr>
                  <w:divsChild>
                    <w:div w:id="1634098622">
                      <w:marLeft w:val="0"/>
                      <w:marRight w:val="0"/>
                      <w:marTop w:val="150"/>
                      <w:marBottom w:val="0"/>
                      <w:divBdr>
                        <w:top w:val="none" w:sz="0" w:space="0" w:color="auto"/>
                        <w:left w:val="none" w:sz="0" w:space="0" w:color="auto"/>
                        <w:bottom w:val="none" w:sz="0" w:space="0" w:color="auto"/>
                        <w:right w:val="none" w:sz="0" w:space="0" w:color="auto"/>
                      </w:divBdr>
                      <w:divsChild>
                        <w:div w:id="1634098098">
                          <w:marLeft w:val="0"/>
                          <w:marRight w:val="0"/>
                          <w:marTop w:val="0"/>
                          <w:marBottom w:val="0"/>
                          <w:divBdr>
                            <w:top w:val="none" w:sz="0" w:space="0" w:color="auto"/>
                            <w:left w:val="none" w:sz="0" w:space="0" w:color="auto"/>
                            <w:bottom w:val="none" w:sz="0" w:space="0" w:color="auto"/>
                            <w:right w:val="none" w:sz="0" w:space="0" w:color="auto"/>
                          </w:divBdr>
                          <w:divsChild>
                            <w:div w:id="1634098637">
                              <w:marLeft w:val="0"/>
                              <w:marRight w:val="0"/>
                              <w:marTop w:val="0"/>
                              <w:marBottom w:val="0"/>
                              <w:divBdr>
                                <w:top w:val="none" w:sz="0" w:space="0" w:color="auto"/>
                                <w:left w:val="none" w:sz="0" w:space="0" w:color="auto"/>
                                <w:bottom w:val="none" w:sz="0" w:space="0" w:color="auto"/>
                                <w:right w:val="none" w:sz="0" w:space="0" w:color="auto"/>
                              </w:divBdr>
                              <w:divsChild>
                                <w:div w:id="1634097859">
                                  <w:marLeft w:val="0"/>
                                  <w:marRight w:val="0"/>
                                  <w:marTop w:val="0"/>
                                  <w:marBottom w:val="0"/>
                                  <w:divBdr>
                                    <w:top w:val="none" w:sz="0" w:space="0" w:color="auto"/>
                                    <w:left w:val="none" w:sz="0" w:space="0" w:color="auto"/>
                                    <w:bottom w:val="none" w:sz="0" w:space="0" w:color="auto"/>
                                    <w:right w:val="none" w:sz="0" w:space="0" w:color="auto"/>
                                  </w:divBdr>
                                  <w:divsChild>
                                    <w:div w:id="1634098688">
                                      <w:marLeft w:val="0"/>
                                      <w:marRight w:val="0"/>
                                      <w:marTop w:val="0"/>
                                      <w:marBottom w:val="0"/>
                                      <w:divBdr>
                                        <w:top w:val="none" w:sz="0" w:space="0" w:color="auto"/>
                                        <w:left w:val="none" w:sz="0" w:space="0" w:color="auto"/>
                                        <w:bottom w:val="none" w:sz="0" w:space="0" w:color="auto"/>
                                        <w:right w:val="none" w:sz="0" w:space="0" w:color="auto"/>
                                      </w:divBdr>
                                      <w:divsChild>
                                        <w:div w:id="1634097848">
                                          <w:marLeft w:val="0"/>
                                          <w:marRight w:val="0"/>
                                          <w:marTop w:val="0"/>
                                          <w:marBottom w:val="0"/>
                                          <w:divBdr>
                                            <w:top w:val="none" w:sz="0" w:space="0" w:color="auto"/>
                                            <w:left w:val="none" w:sz="0" w:space="0" w:color="auto"/>
                                            <w:bottom w:val="none" w:sz="0" w:space="0" w:color="auto"/>
                                            <w:right w:val="none" w:sz="0" w:space="0" w:color="auto"/>
                                          </w:divBdr>
                                          <w:divsChild>
                                            <w:div w:id="1634098561">
                                              <w:marLeft w:val="0"/>
                                              <w:marRight w:val="0"/>
                                              <w:marTop w:val="0"/>
                                              <w:marBottom w:val="0"/>
                                              <w:divBdr>
                                                <w:top w:val="none" w:sz="0" w:space="0" w:color="auto"/>
                                                <w:left w:val="none" w:sz="0" w:space="0" w:color="auto"/>
                                                <w:bottom w:val="none" w:sz="0" w:space="0" w:color="auto"/>
                                                <w:right w:val="none" w:sz="0" w:space="0" w:color="auto"/>
                                              </w:divBdr>
                                              <w:divsChild>
                                                <w:div w:id="1634098649">
                                                  <w:marLeft w:val="0"/>
                                                  <w:marRight w:val="0"/>
                                                  <w:marTop w:val="0"/>
                                                  <w:marBottom w:val="0"/>
                                                  <w:divBdr>
                                                    <w:top w:val="none" w:sz="0" w:space="0" w:color="auto"/>
                                                    <w:left w:val="none" w:sz="0" w:space="0" w:color="auto"/>
                                                    <w:bottom w:val="none" w:sz="0" w:space="0" w:color="auto"/>
                                                    <w:right w:val="none" w:sz="0" w:space="0" w:color="auto"/>
                                                  </w:divBdr>
                                                  <w:divsChild>
                                                    <w:div w:id="1634098064">
                                                      <w:marLeft w:val="0"/>
                                                      <w:marRight w:val="0"/>
                                                      <w:marTop w:val="0"/>
                                                      <w:marBottom w:val="0"/>
                                                      <w:divBdr>
                                                        <w:top w:val="none" w:sz="0" w:space="0" w:color="auto"/>
                                                        <w:left w:val="none" w:sz="0" w:space="0" w:color="auto"/>
                                                        <w:bottom w:val="none" w:sz="0" w:space="0" w:color="auto"/>
                                                        <w:right w:val="none" w:sz="0" w:space="0" w:color="auto"/>
                                                      </w:divBdr>
                                                      <w:divsChild>
                                                        <w:div w:id="1634098545">
                                                          <w:marLeft w:val="0"/>
                                                          <w:marRight w:val="0"/>
                                                          <w:marTop w:val="0"/>
                                                          <w:marBottom w:val="0"/>
                                                          <w:divBdr>
                                                            <w:top w:val="none" w:sz="0" w:space="0" w:color="auto"/>
                                                            <w:left w:val="none" w:sz="0" w:space="0" w:color="auto"/>
                                                            <w:bottom w:val="none" w:sz="0" w:space="0" w:color="auto"/>
                                                            <w:right w:val="none" w:sz="0" w:space="0" w:color="auto"/>
                                                          </w:divBdr>
                                                          <w:divsChild>
                                                            <w:div w:id="1634098624">
                                                              <w:marLeft w:val="0"/>
                                                              <w:marRight w:val="0"/>
                                                              <w:marTop w:val="0"/>
                                                              <w:marBottom w:val="0"/>
                                                              <w:divBdr>
                                                                <w:top w:val="none" w:sz="0" w:space="0" w:color="auto"/>
                                                                <w:left w:val="none" w:sz="0" w:space="0" w:color="auto"/>
                                                                <w:bottom w:val="none" w:sz="0" w:space="0" w:color="auto"/>
                                                                <w:right w:val="none" w:sz="0" w:space="0" w:color="auto"/>
                                                              </w:divBdr>
                                                              <w:divsChild>
                                                                <w:div w:id="1634098579">
                                                                  <w:marLeft w:val="0"/>
                                                                  <w:marRight w:val="0"/>
                                                                  <w:marTop w:val="0"/>
                                                                  <w:marBottom w:val="0"/>
                                                                  <w:divBdr>
                                                                    <w:top w:val="none" w:sz="0" w:space="0" w:color="auto"/>
                                                                    <w:left w:val="none" w:sz="0" w:space="0" w:color="auto"/>
                                                                    <w:bottom w:val="none" w:sz="0" w:space="0" w:color="auto"/>
                                                                    <w:right w:val="none" w:sz="0" w:space="0" w:color="auto"/>
                                                                  </w:divBdr>
                                                                  <w:divsChild>
                                                                    <w:div w:id="1634098560">
                                                                      <w:marLeft w:val="0"/>
                                                                      <w:marRight w:val="0"/>
                                                                      <w:marTop w:val="0"/>
                                                                      <w:marBottom w:val="0"/>
                                                                      <w:divBdr>
                                                                        <w:top w:val="none" w:sz="0" w:space="0" w:color="auto"/>
                                                                        <w:left w:val="none" w:sz="0" w:space="0" w:color="auto"/>
                                                                        <w:bottom w:val="none" w:sz="0" w:space="0" w:color="auto"/>
                                                                        <w:right w:val="none" w:sz="0" w:space="0" w:color="auto"/>
                                                                      </w:divBdr>
                                                                      <w:divsChild>
                                                                        <w:div w:id="1634097929">
                                                                          <w:marLeft w:val="0"/>
                                                                          <w:marRight w:val="0"/>
                                                                          <w:marTop w:val="0"/>
                                                                          <w:marBottom w:val="0"/>
                                                                          <w:divBdr>
                                                                            <w:top w:val="none" w:sz="0" w:space="0" w:color="auto"/>
                                                                            <w:left w:val="none" w:sz="0" w:space="0" w:color="auto"/>
                                                                            <w:bottom w:val="none" w:sz="0" w:space="0" w:color="auto"/>
                                                                            <w:right w:val="none" w:sz="0" w:space="0" w:color="auto"/>
                                                                          </w:divBdr>
                                                                          <w:divsChild>
                                                                            <w:div w:id="16340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188">
      <w:marLeft w:val="0"/>
      <w:marRight w:val="0"/>
      <w:marTop w:val="100"/>
      <w:marBottom w:val="100"/>
      <w:divBdr>
        <w:top w:val="none" w:sz="0" w:space="0" w:color="auto"/>
        <w:left w:val="none" w:sz="0" w:space="0" w:color="auto"/>
        <w:bottom w:val="none" w:sz="0" w:space="0" w:color="auto"/>
        <w:right w:val="none" w:sz="0" w:space="0" w:color="auto"/>
      </w:divBdr>
      <w:divsChild>
        <w:div w:id="1634097822">
          <w:marLeft w:val="0"/>
          <w:marRight w:val="0"/>
          <w:marTop w:val="0"/>
          <w:marBottom w:val="0"/>
          <w:divBdr>
            <w:top w:val="none" w:sz="0" w:space="0" w:color="auto"/>
            <w:left w:val="none" w:sz="0" w:space="0" w:color="auto"/>
            <w:bottom w:val="none" w:sz="0" w:space="0" w:color="auto"/>
            <w:right w:val="none" w:sz="0" w:space="0" w:color="auto"/>
          </w:divBdr>
          <w:divsChild>
            <w:div w:id="1634098685">
              <w:marLeft w:val="0"/>
              <w:marRight w:val="0"/>
              <w:marTop w:val="0"/>
              <w:marBottom w:val="0"/>
              <w:divBdr>
                <w:top w:val="none" w:sz="0" w:space="0" w:color="auto"/>
                <w:left w:val="none" w:sz="0" w:space="0" w:color="auto"/>
                <w:bottom w:val="none" w:sz="0" w:space="0" w:color="auto"/>
                <w:right w:val="none" w:sz="0" w:space="0" w:color="auto"/>
              </w:divBdr>
              <w:divsChild>
                <w:div w:id="1634098395">
                  <w:marLeft w:val="0"/>
                  <w:marRight w:val="0"/>
                  <w:marTop w:val="0"/>
                  <w:marBottom w:val="0"/>
                  <w:divBdr>
                    <w:top w:val="none" w:sz="0" w:space="0" w:color="auto"/>
                    <w:left w:val="none" w:sz="0" w:space="0" w:color="auto"/>
                    <w:bottom w:val="none" w:sz="0" w:space="0" w:color="auto"/>
                    <w:right w:val="none" w:sz="0" w:space="0" w:color="auto"/>
                  </w:divBdr>
                  <w:divsChild>
                    <w:div w:id="1634098171">
                      <w:marLeft w:val="0"/>
                      <w:marRight w:val="0"/>
                      <w:marTop w:val="150"/>
                      <w:marBottom w:val="0"/>
                      <w:divBdr>
                        <w:top w:val="none" w:sz="0" w:space="0" w:color="auto"/>
                        <w:left w:val="none" w:sz="0" w:space="0" w:color="auto"/>
                        <w:bottom w:val="none" w:sz="0" w:space="0" w:color="auto"/>
                        <w:right w:val="none" w:sz="0" w:space="0" w:color="auto"/>
                      </w:divBdr>
                      <w:divsChild>
                        <w:div w:id="1634097843">
                          <w:marLeft w:val="0"/>
                          <w:marRight w:val="0"/>
                          <w:marTop w:val="0"/>
                          <w:marBottom w:val="0"/>
                          <w:divBdr>
                            <w:top w:val="none" w:sz="0" w:space="0" w:color="auto"/>
                            <w:left w:val="none" w:sz="0" w:space="0" w:color="auto"/>
                            <w:bottom w:val="none" w:sz="0" w:space="0" w:color="auto"/>
                            <w:right w:val="none" w:sz="0" w:space="0" w:color="auto"/>
                          </w:divBdr>
                          <w:divsChild>
                            <w:div w:id="1634098450">
                              <w:marLeft w:val="0"/>
                              <w:marRight w:val="0"/>
                              <w:marTop w:val="0"/>
                              <w:marBottom w:val="0"/>
                              <w:divBdr>
                                <w:top w:val="none" w:sz="0" w:space="0" w:color="auto"/>
                                <w:left w:val="none" w:sz="0" w:space="0" w:color="auto"/>
                                <w:bottom w:val="none" w:sz="0" w:space="0" w:color="auto"/>
                                <w:right w:val="none" w:sz="0" w:space="0" w:color="auto"/>
                              </w:divBdr>
                              <w:divsChild>
                                <w:div w:id="1634097830">
                                  <w:marLeft w:val="0"/>
                                  <w:marRight w:val="0"/>
                                  <w:marTop w:val="0"/>
                                  <w:marBottom w:val="0"/>
                                  <w:divBdr>
                                    <w:top w:val="none" w:sz="0" w:space="0" w:color="auto"/>
                                    <w:left w:val="none" w:sz="0" w:space="0" w:color="auto"/>
                                    <w:bottom w:val="none" w:sz="0" w:space="0" w:color="auto"/>
                                    <w:right w:val="none" w:sz="0" w:space="0" w:color="auto"/>
                                  </w:divBdr>
                                  <w:divsChild>
                                    <w:div w:id="1634098226">
                                      <w:marLeft w:val="0"/>
                                      <w:marRight w:val="0"/>
                                      <w:marTop w:val="0"/>
                                      <w:marBottom w:val="0"/>
                                      <w:divBdr>
                                        <w:top w:val="none" w:sz="0" w:space="0" w:color="auto"/>
                                        <w:left w:val="none" w:sz="0" w:space="0" w:color="auto"/>
                                        <w:bottom w:val="none" w:sz="0" w:space="0" w:color="auto"/>
                                        <w:right w:val="none" w:sz="0" w:space="0" w:color="auto"/>
                                      </w:divBdr>
                                      <w:divsChild>
                                        <w:div w:id="1634098480">
                                          <w:marLeft w:val="0"/>
                                          <w:marRight w:val="0"/>
                                          <w:marTop w:val="0"/>
                                          <w:marBottom w:val="0"/>
                                          <w:divBdr>
                                            <w:top w:val="none" w:sz="0" w:space="0" w:color="auto"/>
                                            <w:left w:val="none" w:sz="0" w:space="0" w:color="auto"/>
                                            <w:bottom w:val="none" w:sz="0" w:space="0" w:color="auto"/>
                                            <w:right w:val="none" w:sz="0" w:space="0" w:color="auto"/>
                                          </w:divBdr>
                                          <w:divsChild>
                                            <w:div w:id="1634098047">
                                              <w:marLeft w:val="0"/>
                                              <w:marRight w:val="0"/>
                                              <w:marTop w:val="0"/>
                                              <w:marBottom w:val="0"/>
                                              <w:divBdr>
                                                <w:top w:val="none" w:sz="0" w:space="0" w:color="auto"/>
                                                <w:left w:val="none" w:sz="0" w:space="0" w:color="auto"/>
                                                <w:bottom w:val="none" w:sz="0" w:space="0" w:color="auto"/>
                                                <w:right w:val="none" w:sz="0" w:space="0" w:color="auto"/>
                                              </w:divBdr>
                                              <w:divsChild>
                                                <w:div w:id="1634098133">
                                                  <w:marLeft w:val="0"/>
                                                  <w:marRight w:val="0"/>
                                                  <w:marTop w:val="0"/>
                                                  <w:marBottom w:val="0"/>
                                                  <w:divBdr>
                                                    <w:top w:val="none" w:sz="0" w:space="0" w:color="auto"/>
                                                    <w:left w:val="none" w:sz="0" w:space="0" w:color="auto"/>
                                                    <w:bottom w:val="none" w:sz="0" w:space="0" w:color="auto"/>
                                                    <w:right w:val="none" w:sz="0" w:space="0" w:color="auto"/>
                                                  </w:divBdr>
                                                  <w:divsChild>
                                                    <w:div w:id="1634097972">
                                                      <w:marLeft w:val="0"/>
                                                      <w:marRight w:val="0"/>
                                                      <w:marTop w:val="0"/>
                                                      <w:marBottom w:val="0"/>
                                                      <w:divBdr>
                                                        <w:top w:val="none" w:sz="0" w:space="0" w:color="auto"/>
                                                        <w:left w:val="none" w:sz="0" w:space="0" w:color="auto"/>
                                                        <w:bottom w:val="none" w:sz="0" w:space="0" w:color="auto"/>
                                                        <w:right w:val="none" w:sz="0" w:space="0" w:color="auto"/>
                                                      </w:divBdr>
                                                      <w:divsChild>
                                                        <w:div w:id="1634098067">
                                                          <w:marLeft w:val="0"/>
                                                          <w:marRight w:val="0"/>
                                                          <w:marTop w:val="0"/>
                                                          <w:marBottom w:val="0"/>
                                                          <w:divBdr>
                                                            <w:top w:val="none" w:sz="0" w:space="0" w:color="auto"/>
                                                            <w:left w:val="none" w:sz="0" w:space="0" w:color="auto"/>
                                                            <w:bottom w:val="none" w:sz="0" w:space="0" w:color="auto"/>
                                                            <w:right w:val="none" w:sz="0" w:space="0" w:color="auto"/>
                                                          </w:divBdr>
                                                          <w:divsChild>
                                                            <w:div w:id="1634098012">
                                                              <w:marLeft w:val="0"/>
                                                              <w:marRight w:val="0"/>
                                                              <w:marTop w:val="0"/>
                                                              <w:marBottom w:val="0"/>
                                                              <w:divBdr>
                                                                <w:top w:val="none" w:sz="0" w:space="0" w:color="auto"/>
                                                                <w:left w:val="none" w:sz="0" w:space="0" w:color="auto"/>
                                                                <w:bottom w:val="none" w:sz="0" w:space="0" w:color="auto"/>
                                                                <w:right w:val="none" w:sz="0" w:space="0" w:color="auto"/>
                                                              </w:divBdr>
                                                              <w:divsChild>
                                                                <w:div w:id="1634098614">
                                                                  <w:marLeft w:val="0"/>
                                                                  <w:marRight w:val="0"/>
                                                                  <w:marTop w:val="0"/>
                                                                  <w:marBottom w:val="0"/>
                                                                  <w:divBdr>
                                                                    <w:top w:val="none" w:sz="0" w:space="0" w:color="auto"/>
                                                                    <w:left w:val="none" w:sz="0" w:space="0" w:color="auto"/>
                                                                    <w:bottom w:val="none" w:sz="0" w:space="0" w:color="auto"/>
                                                                    <w:right w:val="none" w:sz="0" w:space="0" w:color="auto"/>
                                                                  </w:divBdr>
                                                                  <w:divsChild>
                                                                    <w:div w:id="1634097902">
                                                                      <w:marLeft w:val="0"/>
                                                                      <w:marRight w:val="0"/>
                                                                      <w:marTop w:val="0"/>
                                                                      <w:marBottom w:val="0"/>
                                                                      <w:divBdr>
                                                                        <w:top w:val="none" w:sz="0" w:space="0" w:color="auto"/>
                                                                        <w:left w:val="none" w:sz="0" w:space="0" w:color="auto"/>
                                                                        <w:bottom w:val="none" w:sz="0" w:space="0" w:color="auto"/>
                                                                        <w:right w:val="none" w:sz="0" w:space="0" w:color="auto"/>
                                                                      </w:divBdr>
                                                                      <w:divsChild>
                                                                        <w:div w:id="1634098573">
                                                                          <w:marLeft w:val="0"/>
                                                                          <w:marRight w:val="0"/>
                                                                          <w:marTop w:val="0"/>
                                                                          <w:marBottom w:val="0"/>
                                                                          <w:divBdr>
                                                                            <w:top w:val="none" w:sz="0" w:space="0" w:color="auto"/>
                                                                            <w:left w:val="none" w:sz="0" w:space="0" w:color="auto"/>
                                                                            <w:bottom w:val="none" w:sz="0" w:space="0" w:color="auto"/>
                                                                            <w:right w:val="none" w:sz="0" w:space="0" w:color="auto"/>
                                                                          </w:divBdr>
                                                                          <w:divsChild>
                                                                            <w:div w:id="16340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196">
      <w:marLeft w:val="0"/>
      <w:marRight w:val="0"/>
      <w:marTop w:val="0"/>
      <w:marBottom w:val="0"/>
      <w:divBdr>
        <w:top w:val="none" w:sz="0" w:space="0" w:color="auto"/>
        <w:left w:val="none" w:sz="0" w:space="0" w:color="auto"/>
        <w:bottom w:val="none" w:sz="0" w:space="0" w:color="auto"/>
        <w:right w:val="none" w:sz="0" w:space="0" w:color="auto"/>
      </w:divBdr>
    </w:div>
    <w:div w:id="1634098200">
      <w:marLeft w:val="0"/>
      <w:marRight w:val="0"/>
      <w:marTop w:val="0"/>
      <w:marBottom w:val="0"/>
      <w:divBdr>
        <w:top w:val="none" w:sz="0" w:space="0" w:color="auto"/>
        <w:left w:val="none" w:sz="0" w:space="0" w:color="auto"/>
        <w:bottom w:val="none" w:sz="0" w:space="0" w:color="auto"/>
        <w:right w:val="none" w:sz="0" w:space="0" w:color="auto"/>
      </w:divBdr>
    </w:div>
    <w:div w:id="1634098202">
      <w:marLeft w:val="0"/>
      <w:marRight w:val="0"/>
      <w:marTop w:val="0"/>
      <w:marBottom w:val="0"/>
      <w:divBdr>
        <w:top w:val="none" w:sz="0" w:space="0" w:color="auto"/>
        <w:left w:val="none" w:sz="0" w:space="0" w:color="auto"/>
        <w:bottom w:val="none" w:sz="0" w:space="0" w:color="auto"/>
        <w:right w:val="none" w:sz="0" w:space="0" w:color="auto"/>
      </w:divBdr>
    </w:div>
    <w:div w:id="1634098214">
      <w:marLeft w:val="0"/>
      <w:marRight w:val="0"/>
      <w:marTop w:val="0"/>
      <w:marBottom w:val="0"/>
      <w:divBdr>
        <w:top w:val="none" w:sz="0" w:space="0" w:color="auto"/>
        <w:left w:val="none" w:sz="0" w:space="0" w:color="auto"/>
        <w:bottom w:val="none" w:sz="0" w:space="0" w:color="auto"/>
        <w:right w:val="none" w:sz="0" w:space="0" w:color="auto"/>
      </w:divBdr>
    </w:div>
    <w:div w:id="1634098222">
      <w:marLeft w:val="0"/>
      <w:marRight w:val="0"/>
      <w:marTop w:val="0"/>
      <w:marBottom w:val="0"/>
      <w:divBdr>
        <w:top w:val="none" w:sz="0" w:space="0" w:color="auto"/>
        <w:left w:val="none" w:sz="0" w:space="0" w:color="auto"/>
        <w:bottom w:val="none" w:sz="0" w:space="0" w:color="auto"/>
        <w:right w:val="none" w:sz="0" w:space="0" w:color="auto"/>
      </w:divBdr>
    </w:div>
    <w:div w:id="1634098223">
      <w:marLeft w:val="0"/>
      <w:marRight w:val="0"/>
      <w:marTop w:val="0"/>
      <w:marBottom w:val="0"/>
      <w:divBdr>
        <w:top w:val="none" w:sz="0" w:space="0" w:color="auto"/>
        <w:left w:val="none" w:sz="0" w:space="0" w:color="auto"/>
        <w:bottom w:val="none" w:sz="0" w:space="0" w:color="auto"/>
        <w:right w:val="none" w:sz="0" w:space="0" w:color="auto"/>
      </w:divBdr>
    </w:div>
    <w:div w:id="1634098227">
      <w:marLeft w:val="0"/>
      <w:marRight w:val="0"/>
      <w:marTop w:val="0"/>
      <w:marBottom w:val="0"/>
      <w:divBdr>
        <w:top w:val="none" w:sz="0" w:space="0" w:color="auto"/>
        <w:left w:val="none" w:sz="0" w:space="0" w:color="auto"/>
        <w:bottom w:val="none" w:sz="0" w:space="0" w:color="auto"/>
        <w:right w:val="none" w:sz="0" w:space="0" w:color="auto"/>
      </w:divBdr>
    </w:div>
    <w:div w:id="1634098230">
      <w:marLeft w:val="0"/>
      <w:marRight w:val="0"/>
      <w:marTop w:val="0"/>
      <w:marBottom w:val="0"/>
      <w:divBdr>
        <w:top w:val="none" w:sz="0" w:space="0" w:color="auto"/>
        <w:left w:val="none" w:sz="0" w:space="0" w:color="auto"/>
        <w:bottom w:val="none" w:sz="0" w:space="0" w:color="auto"/>
        <w:right w:val="none" w:sz="0" w:space="0" w:color="auto"/>
      </w:divBdr>
    </w:div>
    <w:div w:id="1634098233">
      <w:marLeft w:val="0"/>
      <w:marRight w:val="0"/>
      <w:marTop w:val="0"/>
      <w:marBottom w:val="0"/>
      <w:divBdr>
        <w:top w:val="none" w:sz="0" w:space="0" w:color="auto"/>
        <w:left w:val="none" w:sz="0" w:space="0" w:color="auto"/>
        <w:bottom w:val="none" w:sz="0" w:space="0" w:color="auto"/>
        <w:right w:val="none" w:sz="0" w:space="0" w:color="auto"/>
      </w:divBdr>
    </w:div>
    <w:div w:id="1634098234">
      <w:marLeft w:val="0"/>
      <w:marRight w:val="0"/>
      <w:marTop w:val="0"/>
      <w:marBottom w:val="0"/>
      <w:divBdr>
        <w:top w:val="none" w:sz="0" w:space="0" w:color="auto"/>
        <w:left w:val="none" w:sz="0" w:space="0" w:color="auto"/>
        <w:bottom w:val="none" w:sz="0" w:space="0" w:color="auto"/>
        <w:right w:val="none" w:sz="0" w:space="0" w:color="auto"/>
      </w:divBdr>
    </w:div>
    <w:div w:id="1634098238">
      <w:marLeft w:val="0"/>
      <w:marRight w:val="0"/>
      <w:marTop w:val="0"/>
      <w:marBottom w:val="0"/>
      <w:divBdr>
        <w:top w:val="none" w:sz="0" w:space="0" w:color="auto"/>
        <w:left w:val="none" w:sz="0" w:space="0" w:color="auto"/>
        <w:bottom w:val="none" w:sz="0" w:space="0" w:color="auto"/>
        <w:right w:val="none" w:sz="0" w:space="0" w:color="auto"/>
      </w:divBdr>
    </w:div>
    <w:div w:id="1634098244">
      <w:marLeft w:val="0"/>
      <w:marRight w:val="0"/>
      <w:marTop w:val="0"/>
      <w:marBottom w:val="0"/>
      <w:divBdr>
        <w:top w:val="none" w:sz="0" w:space="0" w:color="auto"/>
        <w:left w:val="none" w:sz="0" w:space="0" w:color="auto"/>
        <w:bottom w:val="none" w:sz="0" w:space="0" w:color="auto"/>
        <w:right w:val="none" w:sz="0" w:space="0" w:color="auto"/>
      </w:divBdr>
    </w:div>
    <w:div w:id="1634098248">
      <w:marLeft w:val="0"/>
      <w:marRight w:val="0"/>
      <w:marTop w:val="0"/>
      <w:marBottom w:val="0"/>
      <w:divBdr>
        <w:top w:val="none" w:sz="0" w:space="0" w:color="auto"/>
        <w:left w:val="none" w:sz="0" w:space="0" w:color="auto"/>
        <w:bottom w:val="none" w:sz="0" w:space="0" w:color="auto"/>
        <w:right w:val="none" w:sz="0" w:space="0" w:color="auto"/>
      </w:divBdr>
    </w:div>
    <w:div w:id="1634098252">
      <w:marLeft w:val="0"/>
      <w:marRight w:val="0"/>
      <w:marTop w:val="0"/>
      <w:marBottom w:val="0"/>
      <w:divBdr>
        <w:top w:val="none" w:sz="0" w:space="0" w:color="auto"/>
        <w:left w:val="none" w:sz="0" w:space="0" w:color="auto"/>
        <w:bottom w:val="none" w:sz="0" w:space="0" w:color="auto"/>
        <w:right w:val="none" w:sz="0" w:space="0" w:color="auto"/>
      </w:divBdr>
    </w:div>
    <w:div w:id="1634098258">
      <w:marLeft w:val="0"/>
      <w:marRight w:val="0"/>
      <w:marTop w:val="0"/>
      <w:marBottom w:val="0"/>
      <w:divBdr>
        <w:top w:val="none" w:sz="0" w:space="0" w:color="auto"/>
        <w:left w:val="none" w:sz="0" w:space="0" w:color="auto"/>
        <w:bottom w:val="none" w:sz="0" w:space="0" w:color="auto"/>
        <w:right w:val="none" w:sz="0" w:space="0" w:color="auto"/>
      </w:divBdr>
    </w:div>
    <w:div w:id="1634098262">
      <w:marLeft w:val="0"/>
      <w:marRight w:val="0"/>
      <w:marTop w:val="0"/>
      <w:marBottom w:val="0"/>
      <w:divBdr>
        <w:top w:val="none" w:sz="0" w:space="0" w:color="auto"/>
        <w:left w:val="none" w:sz="0" w:space="0" w:color="auto"/>
        <w:bottom w:val="none" w:sz="0" w:space="0" w:color="auto"/>
        <w:right w:val="none" w:sz="0" w:space="0" w:color="auto"/>
      </w:divBdr>
    </w:div>
    <w:div w:id="1634098264">
      <w:marLeft w:val="0"/>
      <w:marRight w:val="0"/>
      <w:marTop w:val="0"/>
      <w:marBottom w:val="0"/>
      <w:divBdr>
        <w:top w:val="none" w:sz="0" w:space="0" w:color="auto"/>
        <w:left w:val="none" w:sz="0" w:space="0" w:color="auto"/>
        <w:bottom w:val="none" w:sz="0" w:space="0" w:color="auto"/>
        <w:right w:val="none" w:sz="0" w:space="0" w:color="auto"/>
      </w:divBdr>
    </w:div>
    <w:div w:id="1634098265">
      <w:marLeft w:val="0"/>
      <w:marRight w:val="0"/>
      <w:marTop w:val="0"/>
      <w:marBottom w:val="0"/>
      <w:divBdr>
        <w:top w:val="none" w:sz="0" w:space="0" w:color="auto"/>
        <w:left w:val="none" w:sz="0" w:space="0" w:color="auto"/>
        <w:bottom w:val="none" w:sz="0" w:space="0" w:color="auto"/>
        <w:right w:val="none" w:sz="0" w:space="0" w:color="auto"/>
      </w:divBdr>
    </w:div>
    <w:div w:id="1634098273">
      <w:marLeft w:val="0"/>
      <w:marRight w:val="0"/>
      <w:marTop w:val="100"/>
      <w:marBottom w:val="100"/>
      <w:divBdr>
        <w:top w:val="none" w:sz="0" w:space="0" w:color="auto"/>
        <w:left w:val="none" w:sz="0" w:space="0" w:color="auto"/>
        <w:bottom w:val="none" w:sz="0" w:space="0" w:color="auto"/>
        <w:right w:val="none" w:sz="0" w:space="0" w:color="auto"/>
      </w:divBdr>
      <w:divsChild>
        <w:div w:id="1634098582">
          <w:marLeft w:val="0"/>
          <w:marRight w:val="0"/>
          <w:marTop w:val="0"/>
          <w:marBottom w:val="0"/>
          <w:divBdr>
            <w:top w:val="none" w:sz="0" w:space="0" w:color="auto"/>
            <w:left w:val="none" w:sz="0" w:space="0" w:color="auto"/>
            <w:bottom w:val="none" w:sz="0" w:space="0" w:color="auto"/>
            <w:right w:val="none" w:sz="0" w:space="0" w:color="auto"/>
          </w:divBdr>
          <w:divsChild>
            <w:div w:id="1634098114">
              <w:marLeft w:val="0"/>
              <w:marRight w:val="0"/>
              <w:marTop w:val="0"/>
              <w:marBottom w:val="0"/>
              <w:divBdr>
                <w:top w:val="none" w:sz="0" w:space="0" w:color="auto"/>
                <w:left w:val="none" w:sz="0" w:space="0" w:color="auto"/>
                <w:bottom w:val="none" w:sz="0" w:space="0" w:color="auto"/>
                <w:right w:val="none" w:sz="0" w:space="0" w:color="auto"/>
              </w:divBdr>
              <w:divsChild>
                <w:div w:id="1634098667">
                  <w:marLeft w:val="0"/>
                  <w:marRight w:val="0"/>
                  <w:marTop w:val="0"/>
                  <w:marBottom w:val="0"/>
                  <w:divBdr>
                    <w:top w:val="none" w:sz="0" w:space="0" w:color="auto"/>
                    <w:left w:val="none" w:sz="0" w:space="0" w:color="auto"/>
                    <w:bottom w:val="none" w:sz="0" w:space="0" w:color="auto"/>
                    <w:right w:val="none" w:sz="0" w:space="0" w:color="auto"/>
                  </w:divBdr>
                  <w:divsChild>
                    <w:div w:id="1634098225">
                      <w:marLeft w:val="0"/>
                      <w:marRight w:val="0"/>
                      <w:marTop w:val="150"/>
                      <w:marBottom w:val="0"/>
                      <w:divBdr>
                        <w:top w:val="none" w:sz="0" w:space="0" w:color="auto"/>
                        <w:left w:val="none" w:sz="0" w:space="0" w:color="auto"/>
                        <w:bottom w:val="none" w:sz="0" w:space="0" w:color="auto"/>
                        <w:right w:val="none" w:sz="0" w:space="0" w:color="auto"/>
                      </w:divBdr>
                      <w:divsChild>
                        <w:div w:id="1634098010">
                          <w:marLeft w:val="0"/>
                          <w:marRight w:val="0"/>
                          <w:marTop w:val="0"/>
                          <w:marBottom w:val="0"/>
                          <w:divBdr>
                            <w:top w:val="none" w:sz="0" w:space="0" w:color="auto"/>
                            <w:left w:val="none" w:sz="0" w:space="0" w:color="auto"/>
                            <w:bottom w:val="none" w:sz="0" w:space="0" w:color="auto"/>
                            <w:right w:val="none" w:sz="0" w:space="0" w:color="auto"/>
                          </w:divBdr>
                          <w:divsChild>
                            <w:div w:id="1634098289">
                              <w:marLeft w:val="0"/>
                              <w:marRight w:val="0"/>
                              <w:marTop w:val="0"/>
                              <w:marBottom w:val="0"/>
                              <w:divBdr>
                                <w:top w:val="none" w:sz="0" w:space="0" w:color="auto"/>
                                <w:left w:val="none" w:sz="0" w:space="0" w:color="auto"/>
                                <w:bottom w:val="none" w:sz="0" w:space="0" w:color="auto"/>
                                <w:right w:val="none" w:sz="0" w:space="0" w:color="auto"/>
                              </w:divBdr>
                              <w:divsChild>
                                <w:div w:id="1634097861">
                                  <w:marLeft w:val="0"/>
                                  <w:marRight w:val="0"/>
                                  <w:marTop w:val="0"/>
                                  <w:marBottom w:val="0"/>
                                  <w:divBdr>
                                    <w:top w:val="none" w:sz="0" w:space="0" w:color="auto"/>
                                    <w:left w:val="none" w:sz="0" w:space="0" w:color="auto"/>
                                    <w:bottom w:val="none" w:sz="0" w:space="0" w:color="auto"/>
                                    <w:right w:val="none" w:sz="0" w:space="0" w:color="auto"/>
                                  </w:divBdr>
                                  <w:divsChild>
                                    <w:div w:id="1634098278">
                                      <w:marLeft w:val="0"/>
                                      <w:marRight w:val="0"/>
                                      <w:marTop w:val="0"/>
                                      <w:marBottom w:val="0"/>
                                      <w:divBdr>
                                        <w:top w:val="none" w:sz="0" w:space="0" w:color="auto"/>
                                        <w:left w:val="none" w:sz="0" w:space="0" w:color="auto"/>
                                        <w:bottom w:val="none" w:sz="0" w:space="0" w:color="auto"/>
                                        <w:right w:val="none" w:sz="0" w:space="0" w:color="auto"/>
                                      </w:divBdr>
                                      <w:divsChild>
                                        <w:div w:id="1634098648">
                                          <w:marLeft w:val="0"/>
                                          <w:marRight w:val="0"/>
                                          <w:marTop w:val="0"/>
                                          <w:marBottom w:val="0"/>
                                          <w:divBdr>
                                            <w:top w:val="none" w:sz="0" w:space="0" w:color="auto"/>
                                            <w:left w:val="none" w:sz="0" w:space="0" w:color="auto"/>
                                            <w:bottom w:val="none" w:sz="0" w:space="0" w:color="auto"/>
                                            <w:right w:val="none" w:sz="0" w:space="0" w:color="auto"/>
                                          </w:divBdr>
                                          <w:divsChild>
                                            <w:div w:id="1634098007">
                                              <w:marLeft w:val="0"/>
                                              <w:marRight w:val="0"/>
                                              <w:marTop w:val="0"/>
                                              <w:marBottom w:val="0"/>
                                              <w:divBdr>
                                                <w:top w:val="none" w:sz="0" w:space="0" w:color="auto"/>
                                                <w:left w:val="none" w:sz="0" w:space="0" w:color="auto"/>
                                                <w:bottom w:val="none" w:sz="0" w:space="0" w:color="auto"/>
                                                <w:right w:val="none" w:sz="0" w:space="0" w:color="auto"/>
                                              </w:divBdr>
                                              <w:divsChild>
                                                <w:div w:id="1634098030">
                                                  <w:marLeft w:val="0"/>
                                                  <w:marRight w:val="0"/>
                                                  <w:marTop w:val="0"/>
                                                  <w:marBottom w:val="0"/>
                                                  <w:divBdr>
                                                    <w:top w:val="none" w:sz="0" w:space="0" w:color="auto"/>
                                                    <w:left w:val="none" w:sz="0" w:space="0" w:color="auto"/>
                                                    <w:bottom w:val="none" w:sz="0" w:space="0" w:color="auto"/>
                                                    <w:right w:val="none" w:sz="0" w:space="0" w:color="auto"/>
                                                  </w:divBdr>
                                                  <w:divsChild>
                                                    <w:div w:id="1634098640">
                                                      <w:marLeft w:val="0"/>
                                                      <w:marRight w:val="0"/>
                                                      <w:marTop w:val="0"/>
                                                      <w:marBottom w:val="0"/>
                                                      <w:divBdr>
                                                        <w:top w:val="none" w:sz="0" w:space="0" w:color="auto"/>
                                                        <w:left w:val="none" w:sz="0" w:space="0" w:color="auto"/>
                                                        <w:bottom w:val="none" w:sz="0" w:space="0" w:color="auto"/>
                                                        <w:right w:val="none" w:sz="0" w:space="0" w:color="auto"/>
                                                      </w:divBdr>
                                                      <w:divsChild>
                                                        <w:div w:id="1634098691">
                                                          <w:marLeft w:val="0"/>
                                                          <w:marRight w:val="0"/>
                                                          <w:marTop w:val="0"/>
                                                          <w:marBottom w:val="0"/>
                                                          <w:divBdr>
                                                            <w:top w:val="none" w:sz="0" w:space="0" w:color="auto"/>
                                                            <w:left w:val="none" w:sz="0" w:space="0" w:color="auto"/>
                                                            <w:bottom w:val="none" w:sz="0" w:space="0" w:color="auto"/>
                                                            <w:right w:val="none" w:sz="0" w:space="0" w:color="auto"/>
                                                          </w:divBdr>
                                                          <w:divsChild>
                                                            <w:div w:id="1634098682">
                                                              <w:marLeft w:val="0"/>
                                                              <w:marRight w:val="0"/>
                                                              <w:marTop w:val="0"/>
                                                              <w:marBottom w:val="0"/>
                                                              <w:divBdr>
                                                                <w:top w:val="none" w:sz="0" w:space="0" w:color="auto"/>
                                                                <w:left w:val="none" w:sz="0" w:space="0" w:color="auto"/>
                                                                <w:bottom w:val="none" w:sz="0" w:space="0" w:color="auto"/>
                                                                <w:right w:val="none" w:sz="0" w:space="0" w:color="auto"/>
                                                              </w:divBdr>
                                                              <w:divsChild>
                                                                <w:div w:id="1634098142">
                                                                  <w:marLeft w:val="0"/>
                                                                  <w:marRight w:val="0"/>
                                                                  <w:marTop w:val="0"/>
                                                                  <w:marBottom w:val="0"/>
                                                                  <w:divBdr>
                                                                    <w:top w:val="none" w:sz="0" w:space="0" w:color="auto"/>
                                                                    <w:left w:val="none" w:sz="0" w:space="0" w:color="auto"/>
                                                                    <w:bottom w:val="none" w:sz="0" w:space="0" w:color="auto"/>
                                                                    <w:right w:val="none" w:sz="0" w:space="0" w:color="auto"/>
                                                                  </w:divBdr>
                                                                  <w:divsChild>
                                                                    <w:div w:id="1634098099">
                                                                      <w:marLeft w:val="0"/>
                                                                      <w:marRight w:val="0"/>
                                                                      <w:marTop w:val="0"/>
                                                                      <w:marBottom w:val="0"/>
                                                                      <w:divBdr>
                                                                        <w:top w:val="none" w:sz="0" w:space="0" w:color="auto"/>
                                                                        <w:left w:val="none" w:sz="0" w:space="0" w:color="auto"/>
                                                                        <w:bottom w:val="none" w:sz="0" w:space="0" w:color="auto"/>
                                                                        <w:right w:val="none" w:sz="0" w:space="0" w:color="auto"/>
                                                                      </w:divBdr>
                                                                      <w:divsChild>
                                                                        <w:div w:id="1634098070">
                                                                          <w:marLeft w:val="0"/>
                                                                          <w:marRight w:val="0"/>
                                                                          <w:marTop w:val="0"/>
                                                                          <w:marBottom w:val="0"/>
                                                                          <w:divBdr>
                                                                            <w:top w:val="none" w:sz="0" w:space="0" w:color="auto"/>
                                                                            <w:left w:val="none" w:sz="0" w:space="0" w:color="auto"/>
                                                                            <w:bottom w:val="none" w:sz="0" w:space="0" w:color="auto"/>
                                                                            <w:right w:val="none" w:sz="0" w:space="0" w:color="auto"/>
                                                                          </w:divBdr>
                                                                          <w:divsChild>
                                                                            <w:div w:id="1634098189">
                                                                              <w:marLeft w:val="0"/>
                                                                              <w:marRight w:val="0"/>
                                                                              <w:marTop w:val="0"/>
                                                                              <w:marBottom w:val="0"/>
                                                                              <w:divBdr>
                                                                                <w:top w:val="none" w:sz="0" w:space="0" w:color="auto"/>
                                                                                <w:left w:val="none" w:sz="0" w:space="0" w:color="auto"/>
                                                                                <w:bottom w:val="none" w:sz="0" w:space="0" w:color="auto"/>
                                                                                <w:right w:val="none" w:sz="0" w:space="0" w:color="auto"/>
                                                                              </w:divBdr>
                                                                            </w:div>
                                                                          </w:divsChild>
                                                                        </w:div>
                                                                        <w:div w:id="1634098427">
                                                                          <w:marLeft w:val="0"/>
                                                                          <w:marRight w:val="0"/>
                                                                          <w:marTop w:val="0"/>
                                                                          <w:marBottom w:val="0"/>
                                                                          <w:divBdr>
                                                                            <w:top w:val="none" w:sz="0" w:space="0" w:color="auto"/>
                                                                            <w:left w:val="none" w:sz="0" w:space="0" w:color="auto"/>
                                                                            <w:bottom w:val="none" w:sz="0" w:space="0" w:color="auto"/>
                                                                            <w:right w:val="none" w:sz="0" w:space="0" w:color="auto"/>
                                                                          </w:divBdr>
                                                                          <w:divsChild>
                                                                            <w:div w:id="1634098117">
                                                                              <w:marLeft w:val="0"/>
                                                                              <w:marRight w:val="0"/>
                                                                              <w:marTop w:val="0"/>
                                                                              <w:marBottom w:val="0"/>
                                                                              <w:divBdr>
                                                                                <w:top w:val="none" w:sz="0" w:space="0" w:color="auto"/>
                                                                                <w:left w:val="none" w:sz="0" w:space="0" w:color="auto"/>
                                                                                <w:bottom w:val="none" w:sz="0" w:space="0" w:color="auto"/>
                                                                                <w:right w:val="none" w:sz="0" w:space="0" w:color="auto"/>
                                                                              </w:divBdr>
                                                                              <w:divsChild>
                                                                                <w:div w:id="16340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558">
                                                                          <w:marLeft w:val="0"/>
                                                                          <w:marRight w:val="0"/>
                                                                          <w:marTop w:val="0"/>
                                                                          <w:marBottom w:val="0"/>
                                                                          <w:divBdr>
                                                                            <w:top w:val="none" w:sz="0" w:space="0" w:color="auto"/>
                                                                            <w:left w:val="none" w:sz="0" w:space="0" w:color="auto"/>
                                                                            <w:bottom w:val="none" w:sz="0" w:space="0" w:color="auto"/>
                                                                            <w:right w:val="none" w:sz="0" w:space="0" w:color="auto"/>
                                                                          </w:divBdr>
                                                                          <w:divsChild>
                                                                            <w:div w:id="16340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274">
      <w:marLeft w:val="0"/>
      <w:marRight w:val="0"/>
      <w:marTop w:val="100"/>
      <w:marBottom w:val="100"/>
      <w:divBdr>
        <w:top w:val="none" w:sz="0" w:space="0" w:color="auto"/>
        <w:left w:val="none" w:sz="0" w:space="0" w:color="auto"/>
        <w:bottom w:val="none" w:sz="0" w:space="0" w:color="auto"/>
        <w:right w:val="none" w:sz="0" w:space="0" w:color="auto"/>
      </w:divBdr>
      <w:divsChild>
        <w:div w:id="1634098371">
          <w:marLeft w:val="0"/>
          <w:marRight w:val="0"/>
          <w:marTop w:val="0"/>
          <w:marBottom w:val="0"/>
          <w:divBdr>
            <w:top w:val="none" w:sz="0" w:space="0" w:color="auto"/>
            <w:left w:val="none" w:sz="0" w:space="0" w:color="auto"/>
            <w:bottom w:val="none" w:sz="0" w:space="0" w:color="auto"/>
            <w:right w:val="none" w:sz="0" w:space="0" w:color="auto"/>
          </w:divBdr>
          <w:divsChild>
            <w:div w:id="1634098588">
              <w:marLeft w:val="0"/>
              <w:marRight w:val="0"/>
              <w:marTop w:val="0"/>
              <w:marBottom w:val="0"/>
              <w:divBdr>
                <w:top w:val="none" w:sz="0" w:space="0" w:color="auto"/>
                <w:left w:val="none" w:sz="0" w:space="0" w:color="auto"/>
                <w:bottom w:val="none" w:sz="0" w:space="0" w:color="auto"/>
                <w:right w:val="none" w:sz="0" w:space="0" w:color="auto"/>
              </w:divBdr>
              <w:divsChild>
                <w:div w:id="1634098503">
                  <w:marLeft w:val="0"/>
                  <w:marRight w:val="0"/>
                  <w:marTop w:val="0"/>
                  <w:marBottom w:val="0"/>
                  <w:divBdr>
                    <w:top w:val="none" w:sz="0" w:space="0" w:color="auto"/>
                    <w:left w:val="none" w:sz="0" w:space="0" w:color="auto"/>
                    <w:bottom w:val="none" w:sz="0" w:space="0" w:color="auto"/>
                    <w:right w:val="none" w:sz="0" w:space="0" w:color="auto"/>
                  </w:divBdr>
                  <w:divsChild>
                    <w:div w:id="1634098001">
                      <w:marLeft w:val="0"/>
                      <w:marRight w:val="0"/>
                      <w:marTop w:val="150"/>
                      <w:marBottom w:val="0"/>
                      <w:divBdr>
                        <w:top w:val="none" w:sz="0" w:space="0" w:color="auto"/>
                        <w:left w:val="none" w:sz="0" w:space="0" w:color="auto"/>
                        <w:bottom w:val="none" w:sz="0" w:space="0" w:color="auto"/>
                        <w:right w:val="none" w:sz="0" w:space="0" w:color="auto"/>
                      </w:divBdr>
                      <w:divsChild>
                        <w:div w:id="1634098604">
                          <w:marLeft w:val="0"/>
                          <w:marRight w:val="0"/>
                          <w:marTop w:val="0"/>
                          <w:marBottom w:val="0"/>
                          <w:divBdr>
                            <w:top w:val="none" w:sz="0" w:space="0" w:color="auto"/>
                            <w:left w:val="none" w:sz="0" w:space="0" w:color="auto"/>
                            <w:bottom w:val="none" w:sz="0" w:space="0" w:color="auto"/>
                            <w:right w:val="none" w:sz="0" w:space="0" w:color="auto"/>
                          </w:divBdr>
                          <w:divsChild>
                            <w:div w:id="1634098339">
                              <w:marLeft w:val="0"/>
                              <w:marRight w:val="0"/>
                              <w:marTop w:val="0"/>
                              <w:marBottom w:val="0"/>
                              <w:divBdr>
                                <w:top w:val="none" w:sz="0" w:space="0" w:color="auto"/>
                                <w:left w:val="none" w:sz="0" w:space="0" w:color="auto"/>
                                <w:bottom w:val="none" w:sz="0" w:space="0" w:color="auto"/>
                                <w:right w:val="none" w:sz="0" w:space="0" w:color="auto"/>
                              </w:divBdr>
                              <w:divsChild>
                                <w:div w:id="1634098380">
                                  <w:marLeft w:val="0"/>
                                  <w:marRight w:val="0"/>
                                  <w:marTop w:val="0"/>
                                  <w:marBottom w:val="0"/>
                                  <w:divBdr>
                                    <w:top w:val="none" w:sz="0" w:space="0" w:color="auto"/>
                                    <w:left w:val="none" w:sz="0" w:space="0" w:color="auto"/>
                                    <w:bottom w:val="none" w:sz="0" w:space="0" w:color="auto"/>
                                    <w:right w:val="none" w:sz="0" w:space="0" w:color="auto"/>
                                  </w:divBdr>
                                  <w:divsChild>
                                    <w:div w:id="1634098130">
                                      <w:marLeft w:val="0"/>
                                      <w:marRight w:val="0"/>
                                      <w:marTop w:val="0"/>
                                      <w:marBottom w:val="0"/>
                                      <w:divBdr>
                                        <w:top w:val="none" w:sz="0" w:space="0" w:color="auto"/>
                                        <w:left w:val="none" w:sz="0" w:space="0" w:color="auto"/>
                                        <w:bottom w:val="none" w:sz="0" w:space="0" w:color="auto"/>
                                        <w:right w:val="none" w:sz="0" w:space="0" w:color="auto"/>
                                      </w:divBdr>
                                      <w:divsChild>
                                        <w:div w:id="1634098085">
                                          <w:marLeft w:val="0"/>
                                          <w:marRight w:val="0"/>
                                          <w:marTop w:val="0"/>
                                          <w:marBottom w:val="0"/>
                                          <w:divBdr>
                                            <w:top w:val="none" w:sz="0" w:space="0" w:color="auto"/>
                                            <w:left w:val="none" w:sz="0" w:space="0" w:color="auto"/>
                                            <w:bottom w:val="none" w:sz="0" w:space="0" w:color="auto"/>
                                            <w:right w:val="none" w:sz="0" w:space="0" w:color="auto"/>
                                          </w:divBdr>
                                          <w:divsChild>
                                            <w:div w:id="1634098377">
                                              <w:marLeft w:val="0"/>
                                              <w:marRight w:val="0"/>
                                              <w:marTop w:val="0"/>
                                              <w:marBottom w:val="0"/>
                                              <w:divBdr>
                                                <w:top w:val="none" w:sz="0" w:space="0" w:color="auto"/>
                                                <w:left w:val="none" w:sz="0" w:space="0" w:color="auto"/>
                                                <w:bottom w:val="none" w:sz="0" w:space="0" w:color="auto"/>
                                                <w:right w:val="none" w:sz="0" w:space="0" w:color="auto"/>
                                              </w:divBdr>
                                              <w:divsChild>
                                                <w:div w:id="1634098091">
                                                  <w:marLeft w:val="0"/>
                                                  <w:marRight w:val="0"/>
                                                  <w:marTop w:val="0"/>
                                                  <w:marBottom w:val="0"/>
                                                  <w:divBdr>
                                                    <w:top w:val="none" w:sz="0" w:space="0" w:color="auto"/>
                                                    <w:left w:val="none" w:sz="0" w:space="0" w:color="auto"/>
                                                    <w:bottom w:val="none" w:sz="0" w:space="0" w:color="auto"/>
                                                    <w:right w:val="none" w:sz="0" w:space="0" w:color="auto"/>
                                                  </w:divBdr>
                                                  <w:divsChild>
                                                    <w:div w:id="1634098555">
                                                      <w:marLeft w:val="0"/>
                                                      <w:marRight w:val="0"/>
                                                      <w:marTop w:val="0"/>
                                                      <w:marBottom w:val="0"/>
                                                      <w:divBdr>
                                                        <w:top w:val="none" w:sz="0" w:space="0" w:color="auto"/>
                                                        <w:left w:val="none" w:sz="0" w:space="0" w:color="auto"/>
                                                        <w:bottom w:val="none" w:sz="0" w:space="0" w:color="auto"/>
                                                        <w:right w:val="none" w:sz="0" w:space="0" w:color="auto"/>
                                                      </w:divBdr>
                                                      <w:divsChild>
                                                        <w:div w:id="1634097922">
                                                          <w:marLeft w:val="0"/>
                                                          <w:marRight w:val="0"/>
                                                          <w:marTop w:val="0"/>
                                                          <w:marBottom w:val="0"/>
                                                          <w:divBdr>
                                                            <w:top w:val="none" w:sz="0" w:space="0" w:color="auto"/>
                                                            <w:left w:val="none" w:sz="0" w:space="0" w:color="auto"/>
                                                            <w:bottom w:val="none" w:sz="0" w:space="0" w:color="auto"/>
                                                            <w:right w:val="none" w:sz="0" w:space="0" w:color="auto"/>
                                                          </w:divBdr>
                                                          <w:divsChild>
                                                            <w:div w:id="1634097837">
                                                              <w:marLeft w:val="0"/>
                                                              <w:marRight w:val="0"/>
                                                              <w:marTop w:val="0"/>
                                                              <w:marBottom w:val="0"/>
                                                              <w:divBdr>
                                                                <w:top w:val="none" w:sz="0" w:space="0" w:color="auto"/>
                                                                <w:left w:val="none" w:sz="0" w:space="0" w:color="auto"/>
                                                                <w:bottom w:val="none" w:sz="0" w:space="0" w:color="auto"/>
                                                                <w:right w:val="none" w:sz="0" w:space="0" w:color="auto"/>
                                                              </w:divBdr>
                                                              <w:divsChild>
                                                                <w:div w:id="1634098533">
                                                                  <w:marLeft w:val="0"/>
                                                                  <w:marRight w:val="0"/>
                                                                  <w:marTop w:val="0"/>
                                                                  <w:marBottom w:val="0"/>
                                                                  <w:divBdr>
                                                                    <w:top w:val="none" w:sz="0" w:space="0" w:color="auto"/>
                                                                    <w:left w:val="none" w:sz="0" w:space="0" w:color="auto"/>
                                                                    <w:bottom w:val="none" w:sz="0" w:space="0" w:color="auto"/>
                                                                    <w:right w:val="none" w:sz="0" w:space="0" w:color="auto"/>
                                                                  </w:divBdr>
                                                                  <w:divsChild>
                                                                    <w:div w:id="1634097900">
                                                                      <w:marLeft w:val="0"/>
                                                                      <w:marRight w:val="0"/>
                                                                      <w:marTop w:val="0"/>
                                                                      <w:marBottom w:val="0"/>
                                                                      <w:divBdr>
                                                                        <w:top w:val="none" w:sz="0" w:space="0" w:color="auto"/>
                                                                        <w:left w:val="none" w:sz="0" w:space="0" w:color="auto"/>
                                                                        <w:bottom w:val="none" w:sz="0" w:space="0" w:color="auto"/>
                                                                        <w:right w:val="none" w:sz="0" w:space="0" w:color="auto"/>
                                                                      </w:divBdr>
                                                                      <w:divsChild>
                                                                        <w:div w:id="1634097852">
                                                                          <w:marLeft w:val="0"/>
                                                                          <w:marRight w:val="0"/>
                                                                          <w:marTop w:val="0"/>
                                                                          <w:marBottom w:val="0"/>
                                                                          <w:divBdr>
                                                                            <w:top w:val="none" w:sz="0" w:space="0" w:color="auto"/>
                                                                            <w:left w:val="none" w:sz="0" w:space="0" w:color="auto"/>
                                                                            <w:bottom w:val="none" w:sz="0" w:space="0" w:color="auto"/>
                                                                            <w:right w:val="none" w:sz="0" w:space="0" w:color="auto"/>
                                                                          </w:divBdr>
                                                                          <w:divsChild>
                                                                            <w:div w:id="1634098467">
                                                                              <w:marLeft w:val="0"/>
                                                                              <w:marRight w:val="0"/>
                                                                              <w:marTop w:val="0"/>
                                                                              <w:marBottom w:val="0"/>
                                                                              <w:divBdr>
                                                                                <w:top w:val="none" w:sz="0" w:space="0" w:color="auto"/>
                                                                                <w:left w:val="none" w:sz="0" w:space="0" w:color="auto"/>
                                                                                <w:bottom w:val="none" w:sz="0" w:space="0" w:color="auto"/>
                                                                                <w:right w:val="none" w:sz="0" w:space="0" w:color="auto"/>
                                                                              </w:divBdr>
                                                                            </w:div>
                                                                          </w:divsChild>
                                                                        </w:div>
                                                                        <w:div w:id="1634097961">
                                                                          <w:marLeft w:val="0"/>
                                                                          <w:marRight w:val="0"/>
                                                                          <w:marTop w:val="0"/>
                                                                          <w:marBottom w:val="0"/>
                                                                          <w:divBdr>
                                                                            <w:top w:val="none" w:sz="0" w:space="0" w:color="auto"/>
                                                                            <w:left w:val="none" w:sz="0" w:space="0" w:color="auto"/>
                                                                            <w:bottom w:val="none" w:sz="0" w:space="0" w:color="auto"/>
                                                                            <w:right w:val="none" w:sz="0" w:space="0" w:color="auto"/>
                                                                          </w:divBdr>
                                                                          <w:divsChild>
                                                                            <w:div w:id="1634097964">
                                                                              <w:marLeft w:val="0"/>
                                                                              <w:marRight w:val="0"/>
                                                                              <w:marTop w:val="0"/>
                                                                              <w:marBottom w:val="0"/>
                                                                              <w:divBdr>
                                                                                <w:top w:val="none" w:sz="0" w:space="0" w:color="auto"/>
                                                                                <w:left w:val="none" w:sz="0" w:space="0" w:color="auto"/>
                                                                                <w:bottom w:val="none" w:sz="0" w:space="0" w:color="auto"/>
                                                                                <w:right w:val="none" w:sz="0" w:space="0" w:color="auto"/>
                                                                              </w:divBdr>
                                                                              <w:divsChild>
                                                                                <w:div w:id="16340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122">
                                                                          <w:marLeft w:val="0"/>
                                                                          <w:marRight w:val="0"/>
                                                                          <w:marTop w:val="0"/>
                                                                          <w:marBottom w:val="0"/>
                                                                          <w:divBdr>
                                                                            <w:top w:val="none" w:sz="0" w:space="0" w:color="auto"/>
                                                                            <w:left w:val="none" w:sz="0" w:space="0" w:color="auto"/>
                                                                            <w:bottom w:val="none" w:sz="0" w:space="0" w:color="auto"/>
                                                                            <w:right w:val="none" w:sz="0" w:space="0" w:color="auto"/>
                                                                          </w:divBdr>
                                                                          <w:divsChild>
                                                                            <w:div w:id="163409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277">
      <w:marLeft w:val="0"/>
      <w:marRight w:val="0"/>
      <w:marTop w:val="0"/>
      <w:marBottom w:val="0"/>
      <w:divBdr>
        <w:top w:val="none" w:sz="0" w:space="0" w:color="auto"/>
        <w:left w:val="none" w:sz="0" w:space="0" w:color="auto"/>
        <w:bottom w:val="none" w:sz="0" w:space="0" w:color="auto"/>
        <w:right w:val="none" w:sz="0" w:space="0" w:color="auto"/>
      </w:divBdr>
    </w:div>
    <w:div w:id="1634098280">
      <w:marLeft w:val="0"/>
      <w:marRight w:val="0"/>
      <w:marTop w:val="0"/>
      <w:marBottom w:val="0"/>
      <w:divBdr>
        <w:top w:val="none" w:sz="0" w:space="0" w:color="auto"/>
        <w:left w:val="none" w:sz="0" w:space="0" w:color="auto"/>
        <w:bottom w:val="none" w:sz="0" w:space="0" w:color="auto"/>
        <w:right w:val="none" w:sz="0" w:space="0" w:color="auto"/>
      </w:divBdr>
    </w:div>
    <w:div w:id="1634098293">
      <w:marLeft w:val="0"/>
      <w:marRight w:val="0"/>
      <w:marTop w:val="0"/>
      <w:marBottom w:val="0"/>
      <w:divBdr>
        <w:top w:val="none" w:sz="0" w:space="0" w:color="auto"/>
        <w:left w:val="none" w:sz="0" w:space="0" w:color="auto"/>
        <w:bottom w:val="none" w:sz="0" w:space="0" w:color="auto"/>
        <w:right w:val="none" w:sz="0" w:space="0" w:color="auto"/>
      </w:divBdr>
    </w:div>
    <w:div w:id="1634098301">
      <w:marLeft w:val="0"/>
      <w:marRight w:val="0"/>
      <w:marTop w:val="0"/>
      <w:marBottom w:val="0"/>
      <w:divBdr>
        <w:top w:val="none" w:sz="0" w:space="0" w:color="auto"/>
        <w:left w:val="none" w:sz="0" w:space="0" w:color="auto"/>
        <w:bottom w:val="none" w:sz="0" w:space="0" w:color="auto"/>
        <w:right w:val="none" w:sz="0" w:space="0" w:color="auto"/>
      </w:divBdr>
    </w:div>
    <w:div w:id="1634098303">
      <w:marLeft w:val="0"/>
      <w:marRight w:val="0"/>
      <w:marTop w:val="0"/>
      <w:marBottom w:val="0"/>
      <w:divBdr>
        <w:top w:val="none" w:sz="0" w:space="0" w:color="auto"/>
        <w:left w:val="none" w:sz="0" w:space="0" w:color="auto"/>
        <w:bottom w:val="none" w:sz="0" w:space="0" w:color="auto"/>
        <w:right w:val="none" w:sz="0" w:space="0" w:color="auto"/>
      </w:divBdr>
    </w:div>
    <w:div w:id="1634098305">
      <w:marLeft w:val="0"/>
      <w:marRight w:val="0"/>
      <w:marTop w:val="0"/>
      <w:marBottom w:val="0"/>
      <w:divBdr>
        <w:top w:val="none" w:sz="0" w:space="0" w:color="auto"/>
        <w:left w:val="none" w:sz="0" w:space="0" w:color="auto"/>
        <w:bottom w:val="none" w:sz="0" w:space="0" w:color="auto"/>
        <w:right w:val="none" w:sz="0" w:space="0" w:color="auto"/>
      </w:divBdr>
    </w:div>
    <w:div w:id="1634098306">
      <w:marLeft w:val="0"/>
      <w:marRight w:val="0"/>
      <w:marTop w:val="0"/>
      <w:marBottom w:val="0"/>
      <w:divBdr>
        <w:top w:val="none" w:sz="0" w:space="0" w:color="auto"/>
        <w:left w:val="none" w:sz="0" w:space="0" w:color="auto"/>
        <w:bottom w:val="none" w:sz="0" w:space="0" w:color="auto"/>
        <w:right w:val="none" w:sz="0" w:space="0" w:color="auto"/>
      </w:divBdr>
    </w:div>
    <w:div w:id="1634098307">
      <w:marLeft w:val="0"/>
      <w:marRight w:val="0"/>
      <w:marTop w:val="0"/>
      <w:marBottom w:val="0"/>
      <w:divBdr>
        <w:top w:val="none" w:sz="0" w:space="0" w:color="auto"/>
        <w:left w:val="none" w:sz="0" w:space="0" w:color="auto"/>
        <w:bottom w:val="none" w:sz="0" w:space="0" w:color="auto"/>
        <w:right w:val="none" w:sz="0" w:space="0" w:color="auto"/>
      </w:divBdr>
    </w:div>
    <w:div w:id="1634098313">
      <w:marLeft w:val="0"/>
      <w:marRight w:val="0"/>
      <w:marTop w:val="0"/>
      <w:marBottom w:val="0"/>
      <w:divBdr>
        <w:top w:val="none" w:sz="0" w:space="0" w:color="auto"/>
        <w:left w:val="none" w:sz="0" w:space="0" w:color="auto"/>
        <w:bottom w:val="none" w:sz="0" w:space="0" w:color="auto"/>
        <w:right w:val="none" w:sz="0" w:space="0" w:color="auto"/>
      </w:divBdr>
    </w:div>
    <w:div w:id="1634098319">
      <w:marLeft w:val="0"/>
      <w:marRight w:val="0"/>
      <w:marTop w:val="0"/>
      <w:marBottom w:val="0"/>
      <w:divBdr>
        <w:top w:val="none" w:sz="0" w:space="0" w:color="auto"/>
        <w:left w:val="none" w:sz="0" w:space="0" w:color="auto"/>
        <w:bottom w:val="none" w:sz="0" w:space="0" w:color="auto"/>
        <w:right w:val="none" w:sz="0" w:space="0" w:color="auto"/>
      </w:divBdr>
    </w:div>
    <w:div w:id="1634098320">
      <w:marLeft w:val="0"/>
      <w:marRight w:val="0"/>
      <w:marTop w:val="0"/>
      <w:marBottom w:val="0"/>
      <w:divBdr>
        <w:top w:val="none" w:sz="0" w:space="0" w:color="auto"/>
        <w:left w:val="none" w:sz="0" w:space="0" w:color="auto"/>
        <w:bottom w:val="none" w:sz="0" w:space="0" w:color="auto"/>
        <w:right w:val="none" w:sz="0" w:space="0" w:color="auto"/>
      </w:divBdr>
    </w:div>
    <w:div w:id="1634098321">
      <w:marLeft w:val="0"/>
      <w:marRight w:val="0"/>
      <w:marTop w:val="0"/>
      <w:marBottom w:val="0"/>
      <w:divBdr>
        <w:top w:val="none" w:sz="0" w:space="0" w:color="auto"/>
        <w:left w:val="none" w:sz="0" w:space="0" w:color="auto"/>
        <w:bottom w:val="none" w:sz="0" w:space="0" w:color="auto"/>
        <w:right w:val="none" w:sz="0" w:space="0" w:color="auto"/>
      </w:divBdr>
    </w:div>
    <w:div w:id="1634098324">
      <w:marLeft w:val="0"/>
      <w:marRight w:val="0"/>
      <w:marTop w:val="0"/>
      <w:marBottom w:val="0"/>
      <w:divBdr>
        <w:top w:val="none" w:sz="0" w:space="0" w:color="auto"/>
        <w:left w:val="none" w:sz="0" w:space="0" w:color="auto"/>
        <w:bottom w:val="none" w:sz="0" w:space="0" w:color="auto"/>
        <w:right w:val="none" w:sz="0" w:space="0" w:color="auto"/>
      </w:divBdr>
    </w:div>
    <w:div w:id="1634098326">
      <w:marLeft w:val="0"/>
      <w:marRight w:val="0"/>
      <w:marTop w:val="0"/>
      <w:marBottom w:val="0"/>
      <w:divBdr>
        <w:top w:val="none" w:sz="0" w:space="0" w:color="auto"/>
        <w:left w:val="none" w:sz="0" w:space="0" w:color="auto"/>
        <w:bottom w:val="none" w:sz="0" w:space="0" w:color="auto"/>
        <w:right w:val="none" w:sz="0" w:space="0" w:color="auto"/>
      </w:divBdr>
      <w:divsChild>
        <w:div w:id="1634098694">
          <w:marLeft w:val="0"/>
          <w:marRight w:val="0"/>
          <w:marTop w:val="0"/>
          <w:marBottom w:val="0"/>
          <w:divBdr>
            <w:top w:val="none" w:sz="0" w:space="0" w:color="auto"/>
            <w:left w:val="none" w:sz="0" w:space="0" w:color="auto"/>
            <w:bottom w:val="none" w:sz="0" w:space="0" w:color="auto"/>
            <w:right w:val="none" w:sz="0" w:space="0" w:color="auto"/>
          </w:divBdr>
          <w:divsChild>
            <w:div w:id="1634098617">
              <w:marLeft w:val="0"/>
              <w:marRight w:val="0"/>
              <w:marTop w:val="0"/>
              <w:marBottom w:val="0"/>
              <w:divBdr>
                <w:top w:val="none" w:sz="0" w:space="0" w:color="auto"/>
                <w:left w:val="none" w:sz="0" w:space="0" w:color="auto"/>
                <w:bottom w:val="none" w:sz="0" w:space="0" w:color="auto"/>
                <w:right w:val="none" w:sz="0" w:space="0" w:color="auto"/>
              </w:divBdr>
              <w:divsChild>
                <w:div w:id="1634098487">
                  <w:marLeft w:val="0"/>
                  <w:marRight w:val="0"/>
                  <w:marTop w:val="0"/>
                  <w:marBottom w:val="0"/>
                  <w:divBdr>
                    <w:top w:val="none" w:sz="0" w:space="0" w:color="auto"/>
                    <w:left w:val="none" w:sz="0" w:space="0" w:color="auto"/>
                    <w:bottom w:val="none" w:sz="0" w:space="0" w:color="auto"/>
                    <w:right w:val="none" w:sz="0" w:space="0" w:color="auto"/>
                  </w:divBdr>
                  <w:divsChild>
                    <w:div w:id="1634098242">
                      <w:marLeft w:val="0"/>
                      <w:marRight w:val="0"/>
                      <w:marTop w:val="0"/>
                      <w:marBottom w:val="0"/>
                      <w:divBdr>
                        <w:top w:val="none" w:sz="0" w:space="0" w:color="auto"/>
                        <w:left w:val="none" w:sz="0" w:space="0" w:color="auto"/>
                        <w:bottom w:val="none" w:sz="0" w:space="0" w:color="auto"/>
                        <w:right w:val="none" w:sz="0" w:space="0" w:color="auto"/>
                      </w:divBdr>
                      <w:divsChild>
                        <w:div w:id="16340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098331">
      <w:marLeft w:val="0"/>
      <w:marRight w:val="0"/>
      <w:marTop w:val="0"/>
      <w:marBottom w:val="0"/>
      <w:divBdr>
        <w:top w:val="none" w:sz="0" w:space="0" w:color="auto"/>
        <w:left w:val="none" w:sz="0" w:space="0" w:color="auto"/>
        <w:bottom w:val="none" w:sz="0" w:space="0" w:color="auto"/>
        <w:right w:val="none" w:sz="0" w:space="0" w:color="auto"/>
      </w:divBdr>
    </w:div>
    <w:div w:id="1634098337">
      <w:marLeft w:val="0"/>
      <w:marRight w:val="0"/>
      <w:marTop w:val="0"/>
      <w:marBottom w:val="0"/>
      <w:divBdr>
        <w:top w:val="none" w:sz="0" w:space="0" w:color="auto"/>
        <w:left w:val="none" w:sz="0" w:space="0" w:color="auto"/>
        <w:bottom w:val="none" w:sz="0" w:space="0" w:color="auto"/>
        <w:right w:val="none" w:sz="0" w:space="0" w:color="auto"/>
      </w:divBdr>
    </w:div>
    <w:div w:id="1634098342">
      <w:marLeft w:val="0"/>
      <w:marRight w:val="0"/>
      <w:marTop w:val="100"/>
      <w:marBottom w:val="100"/>
      <w:divBdr>
        <w:top w:val="none" w:sz="0" w:space="0" w:color="auto"/>
        <w:left w:val="none" w:sz="0" w:space="0" w:color="auto"/>
        <w:bottom w:val="none" w:sz="0" w:space="0" w:color="auto"/>
        <w:right w:val="none" w:sz="0" w:space="0" w:color="auto"/>
      </w:divBdr>
      <w:divsChild>
        <w:div w:id="1634097856">
          <w:marLeft w:val="0"/>
          <w:marRight w:val="0"/>
          <w:marTop w:val="0"/>
          <w:marBottom w:val="0"/>
          <w:divBdr>
            <w:top w:val="none" w:sz="0" w:space="0" w:color="auto"/>
            <w:left w:val="none" w:sz="0" w:space="0" w:color="auto"/>
            <w:bottom w:val="none" w:sz="0" w:space="0" w:color="auto"/>
            <w:right w:val="none" w:sz="0" w:space="0" w:color="auto"/>
          </w:divBdr>
          <w:divsChild>
            <w:div w:id="1634098039">
              <w:marLeft w:val="0"/>
              <w:marRight w:val="0"/>
              <w:marTop w:val="0"/>
              <w:marBottom w:val="0"/>
              <w:divBdr>
                <w:top w:val="none" w:sz="0" w:space="0" w:color="auto"/>
                <w:left w:val="none" w:sz="0" w:space="0" w:color="auto"/>
                <w:bottom w:val="none" w:sz="0" w:space="0" w:color="auto"/>
                <w:right w:val="none" w:sz="0" w:space="0" w:color="auto"/>
              </w:divBdr>
              <w:divsChild>
                <w:div w:id="1634098562">
                  <w:marLeft w:val="0"/>
                  <w:marRight w:val="0"/>
                  <w:marTop w:val="0"/>
                  <w:marBottom w:val="0"/>
                  <w:divBdr>
                    <w:top w:val="none" w:sz="0" w:space="0" w:color="auto"/>
                    <w:left w:val="none" w:sz="0" w:space="0" w:color="auto"/>
                    <w:bottom w:val="none" w:sz="0" w:space="0" w:color="auto"/>
                    <w:right w:val="none" w:sz="0" w:space="0" w:color="auto"/>
                  </w:divBdr>
                  <w:divsChild>
                    <w:div w:id="16340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7928">
          <w:marLeft w:val="0"/>
          <w:marRight w:val="0"/>
          <w:marTop w:val="0"/>
          <w:marBottom w:val="0"/>
          <w:divBdr>
            <w:top w:val="none" w:sz="0" w:space="0" w:color="auto"/>
            <w:left w:val="none" w:sz="0" w:space="0" w:color="auto"/>
            <w:bottom w:val="none" w:sz="0" w:space="0" w:color="auto"/>
            <w:right w:val="none" w:sz="0" w:space="0" w:color="auto"/>
          </w:divBdr>
          <w:divsChild>
            <w:div w:id="1634098539">
              <w:marLeft w:val="0"/>
              <w:marRight w:val="0"/>
              <w:marTop w:val="0"/>
              <w:marBottom w:val="0"/>
              <w:divBdr>
                <w:top w:val="none" w:sz="0" w:space="0" w:color="auto"/>
                <w:left w:val="none" w:sz="0" w:space="0" w:color="auto"/>
                <w:bottom w:val="none" w:sz="0" w:space="0" w:color="auto"/>
                <w:right w:val="none" w:sz="0" w:space="0" w:color="auto"/>
              </w:divBdr>
              <w:divsChild>
                <w:div w:id="1634098474">
                  <w:marLeft w:val="0"/>
                  <w:marRight w:val="0"/>
                  <w:marTop w:val="0"/>
                  <w:marBottom w:val="0"/>
                  <w:divBdr>
                    <w:top w:val="none" w:sz="0" w:space="0" w:color="auto"/>
                    <w:left w:val="none" w:sz="0" w:space="0" w:color="auto"/>
                    <w:bottom w:val="none" w:sz="0" w:space="0" w:color="auto"/>
                    <w:right w:val="none" w:sz="0" w:space="0" w:color="auto"/>
                  </w:divBdr>
                  <w:divsChild>
                    <w:div w:id="1634098414">
                      <w:marLeft w:val="0"/>
                      <w:marRight w:val="0"/>
                      <w:marTop w:val="0"/>
                      <w:marBottom w:val="0"/>
                      <w:divBdr>
                        <w:top w:val="none" w:sz="0" w:space="0" w:color="auto"/>
                        <w:left w:val="none" w:sz="0" w:space="0" w:color="auto"/>
                        <w:bottom w:val="none" w:sz="0" w:space="0" w:color="auto"/>
                        <w:right w:val="none" w:sz="0" w:space="0" w:color="auto"/>
                      </w:divBdr>
                    </w:div>
                    <w:div w:id="1634098430">
                      <w:marLeft w:val="0"/>
                      <w:marRight w:val="0"/>
                      <w:marTop w:val="0"/>
                      <w:marBottom w:val="0"/>
                      <w:divBdr>
                        <w:top w:val="none" w:sz="0" w:space="0" w:color="auto"/>
                        <w:left w:val="none" w:sz="0" w:space="0" w:color="auto"/>
                        <w:bottom w:val="none" w:sz="0" w:space="0" w:color="auto"/>
                        <w:right w:val="none" w:sz="0" w:space="0" w:color="auto"/>
                      </w:divBdr>
                      <w:divsChild>
                        <w:div w:id="16340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504">
                  <w:marLeft w:val="0"/>
                  <w:marRight w:val="0"/>
                  <w:marTop w:val="0"/>
                  <w:marBottom w:val="0"/>
                  <w:divBdr>
                    <w:top w:val="none" w:sz="0" w:space="0" w:color="auto"/>
                    <w:left w:val="none" w:sz="0" w:space="0" w:color="auto"/>
                    <w:bottom w:val="none" w:sz="0" w:space="0" w:color="auto"/>
                    <w:right w:val="none" w:sz="0" w:space="0" w:color="auto"/>
                  </w:divBdr>
                  <w:divsChild>
                    <w:div w:id="1634097844">
                      <w:marLeft w:val="0"/>
                      <w:marRight w:val="0"/>
                      <w:marTop w:val="0"/>
                      <w:marBottom w:val="0"/>
                      <w:divBdr>
                        <w:top w:val="none" w:sz="0" w:space="0" w:color="auto"/>
                        <w:left w:val="none" w:sz="0" w:space="0" w:color="auto"/>
                        <w:bottom w:val="none" w:sz="0" w:space="0" w:color="auto"/>
                        <w:right w:val="none" w:sz="0" w:space="0" w:color="auto"/>
                      </w:divBdr>
                    </w:div>
                    <w:div w:id="1634097884">
                      <w:marLeft w:val="0"/>
                      <w:marRight w:val="0"/>
                      <w:marTop w:val="0"/>
                      <w:marBottom w:val="0"/>
                      <w:divBdr>
                        <w:top w:val="none" w:sz="0" w:space="0" w:color="auto"/>
                        <w:left w:val="none" w:sz="0" w:space="0" w:color="auto"/>
                        <w:bottom w:val="none" w:sz="0" w:space="0" w:color="auto"/>
                        <w:right w:val="none" w:sz="0" w:space="0" w:color="auto"/>
                      </w:divBdr>
                    </w:div>
                    <w:div w:id="1634098611">
                      <w:marLeft w:val="0"/>
                      <w:marRight w:val="0"/>
                      <w:marTop w:val="0"/>
                      <w:marBottom w:val="0"/>
                      <w:divBdr>
                        <w:top w:val="none" w:sz="0" w:space="0" w:color="auto"/>
                        <w:left w:val="none" w:sz="0" w:space="0" w:color="auto"/>
                        <w:bottom w:val="none" w:sz="0" w:space="0" w:color="auto"/>
                        <w:right w:val="none" w:sz="0" w:space="0" w:color="auto"/>
                      </w:divBdr>
                      <w:divsChild>
                        <w:div w:id="1634098268">
                          <w:marLeft w:val="0"/>
                          <w:marRight w:val="0"/>
                          <w:marTop w:val="0"/>
                          <w:marBottom w:val="0"/>
                          <w:divBdr>
                            <w:top w:val="none" w:sz="0" w:space="0" w:color="auto"/>
                            <w:left w:val="none" w:sz="0" w:space="0" w:color="auto"/>
                            <w:bottom w:val="none" w:sz="0" w:space="0" w:color="auto"/>
                            <w:right w:val="none" w:sz="0" w:space="0" w:color="auto"/>
                          </w:divBdr>
                        </w:div>
                        <w:div w:id="1634098535">
                          <w:marLeft w:val="0"/>
                          <w:marRight w:val="0"/>
                          <w:marTop w:val="0"/>
                          <w:marBottom w:val="0"/>
                          <w:divBdr>
                            <w:top w:val="none" w:sz="0" w:space="0" w:color="auto"/>
                            <w:left w:val="none" w:sz="0" w:space="0" w:color="auto"/>
                            <w:bottom w:val="none" w:sz="0" w:space="0" w:color="auto"/>
                            <w:right w:val="none" w:sz="0" w:space="0" w:color="auto"/>
                          </w:divBdr>
                        </w:div>
                      </w:divsChild>
                    </w:div>
                    <w:div w:id="1634098672">
                      <w:marLeft w:val="0"/>
                      <w:marRight w:val="0"/>
                      <w:marTop w:val="0"/>
                      <w:marBottom w:val="0"/>
                      <w:divBdr>
                        <w:top w:val="none" w:sz="0" w:space="0" w:color="auto"/>
                        <w:left w:val="none" w:sz="0" w:space="0" w:color="auto"/>
                        <w:bottom w:val="none" w:sz="0" w:space="0" w:color="auto"/>
                        <w:right w:val="none" w:sz="0" w:space="0" w:color="auto"/>
                      </w:divBdr>
                      <w:divsChild>
                        <w:div w:id="163409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97931">
          <w:marLeft w:val="0"/>
          <w:marRight w:val="0"/>
          <w:marTop w:val="0"/>
          <w:marBottom w:val="0"/>
          <w:divBdr>
            <w:top w:val="none" w:sz="0" w:space="0" w:color="auto"/>
            <w:left w:val="none" w:sz="0" w:space="0" w:color="auto"/>
            <w:bottom w:val="none" w:sz="0" w:space="0" w:color="auto"/>
            <w:right w:val="none" w:sz="0" w:space="0" w:color="auto"/>
          </w:divBdr>
          <w:divsChild>
            <w:div w:id="1634098061">
              <w:marLeft w:val="0"/>
              <w:marRight w:val="0"/>
              <w:marTop w:val="0"/>
              <w:marBottom w:val="0"/>
              <w:divBdr>
                <w:top w:val="none" w:sz="0" w:space="0" w:color="auto"/>
                <w:left w:val="none" w:sz="0" w:space="0" w:color="auto"/>
                <w:bottom w:val="none" w:sz="0" w:space="0" w:color="auto"/>
                <w:right w:val="none" w:sz="0" w:space="0" w:color="auto"/>
              </w:divBdr>
              <w:divsChild>
                <w:div w:id="1634097903">
                  <w:marLeft w:val="0"/>
                  <w:marRight w:val="0"/>
                  <w:marTop w:val="0"/>
                  <w:marBottom w:val="0"/>
                  <w:divBdr>
                    <w:top w:val="none" w:sz="0" w:space="0" w:color="auto"/>
                    <w:left w:val="none" w:sz="0" w:space="0" w:color="auto"/>
                    <w:bottom w:val="none" w:sz="0" w:space="0" w:color="auto"/>
                    <w:right w:val="none" w:sz="0" w:space="0" w:color="auto"/>
                  </w:divBdr>
                  <w:divsChild>
                    <w:div w:id="16340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046">
          <w:marLeft w:val="0"/>
          <w:marRight w:val="0"/>
          <w:marTop w:val="0"/>
          <w:marBottom w:val="0"/>
          <w:divBdr>
            <w:top w:val="none" w:sz="0" w:space="0" w:color="auto"/>
            <w:left w:val="none" w:sz="0" w:space="0" w:color="auto"/>
            <w:bottom w:val="none" w:sz="0" w:space="0" w:color="auto"/>
            <w:right w:val="none" w:sz="0" w:space="0" w:color="auto"/>
          </w:divBdr>
        </w:div>
        <w:div w:id="1634098198">
          <w:marLeft w:val="0"/>
          <w:marRight w:val="0"/>
          <w:marTop w:val="0"/>
          <w:marBottom w:val="0"/>
          <w:divBdr>
            <w:top w:val="none" w:sz="0" w:space="0" w:color="auto"/>
            <w:left w:val="none" w:sz="0" w:space="0" w:color="auto"/>
            <w:bottom w:val="single" w:sz="6" w:space="0" w:color="DDDDDD"/>
            <w:right w:val="none" w:sz="0" w:space="0" w:color="auto"/>
          </w:divBdr>
          <w:divsChild>
            <w:div w:id="1634098149">
              <w:marLeft w:val="0"/>
              <w:marRight w:val="0"/>
              <w:marTop w:val="0"/>
              <w:marBottom w:val="0"/>
              <w:divBdr>
                <w:top w:val="none" w:sz="0" w:space="0" w:color="auto"/>
                <w:left w:val="none" w:sz="0" w:space="0" w:color="auto"/>
                <w:bottom w:val="none" w:sz="0" w:space="0" w:color="auto"/>
                <w:right w:val="none" w:sz="0" w:space="0" w:color="auto"/>
              </w:divBdr>
            </w:div>
            <w:div w:id="1634098424">
              <w:marLeft w:val="0"/>
              <w:marRight w:val="0"/>
              <w:marTop w:val="0"/>
              <w:marBottom w:val="0"/>
              <w:divBdr>
                <w:top w:val="none" w:sz="0" w:space="0" w:color="auto"/>
                <w:left w:val="none" w:sz="0" w:space="0" w:color="auto"/>
                <w:bottom w:val="none" w:sz="0" w:space="0" w:color="auto"/>
                <w:right w:val="none" w:sz="0" w:space="0" w:color="auto"/>
              </w:divBdr>
              <w:divsChild>
                <w:div w:id="1634097891">
                  <w:marLeft w:val="0"/>
                  <w:marRight w:val="0"/>
                  <w:marTop w:val="0"/>
                  <w:marBottom w:val="0"/>
                  <w:divBdr>
                    <w:top w:val="none" w:sz="0" w:space="0" w:color="auto"/>
                    <w:left w:val="none" w:sz="0" w:space="0" w:color="auto"/>
                    <w:bottom w:val="none" w:sz="0" w:space="0" w:color="auto"/>
                    <w:right w:val="none" w:sz="0" w:space="0" w:color="auto"/>
                  </w:divBdr>
                </w:div>
                <w:div w:id="1634098351">
                  <w:marLeft w:val="0"/>
                  <w:marRight w:val="0"/>
                  <w:marTop w:val="0"/>
                  <w:marBottom w:val="0"/>
                  <w:divBdr>
                    <w:top w:val="none" w:sz="0" w:space="0" w:color="auto"/>
                    <w:left w:val="none" w:sz="0" w:space="0" w:color="auto"/>
                    <w:bottom w:val="none" w:sz="0" w:space="0" w:color="auto"/>
                    <w:right w:val="none" w:sz="0" w:space="0" w:color="auto"/>
                  </w:divBdr>
                  <w:divsChild>
                    <w:div w:id="16340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461">
          <w:marLeft w:val="0"/>
          <w:marRight w:val="0"/>
          <w:marTop w:val="0"/>
          <w:marBottom w:val="0"/>
          <w:divBdr>
            <w:top w:val="none" w:sz="0" w:space="0" w:color="auto"/>
            <w:left w:val="none" w:sz="0" w:space="0" w:color="auto"/>
            <w:bottom w:val="none" w:sz="0" w:space="0" w:color="auto"/>
            <w:right w:val="none" w:sz="0" w:space="0" w:color="auto"/>
          </w:divBdr>
          <w:divsChild>
            <w:div w:id="1634097946">
              <w:marLeft w:val="0"/>
              <w:marRight w:val="0"/>
              <w:marTop w:val="0"/>
              <w:marBottom w:val="0"/>
              <w:divBdr>
                <w:top w:val="none" w:sz="0" w:space="0" w:color="auto"/>
                <w:left w:val="none" w:sz="0" w:space="0" w:color="auto"/>
                <w:bottom w:val="none" w:sz="0" w:space="0" w:color="auto"/>
                <w:right w:val="none" w:sz="0" w:space="0" w:color="auto"/>
              </w:divBdr>
              <w:divsChild>
                <w:div w:id="1634098003">
                  <w:marLeft w:val="0"/>
                  <w:marRight w:val="0"/>
                  <w:marTop w:val="0"/>
                  <w:marBottom w:val="0"/>
                  <w:divBdr>
                    <w:top w:val="none" w:sz="0" w:space="0" w:color="auto"/>
                    <w:left w:val="none" w:sz="0" w:space="0" w:color="auto"/>
                    <w:bottom w:val="none" w:sz="0" w:space="0" w:color="auto"/>
                    <w:right w:val="none" w:sz="0" w:space="0" w:color="auto"/>
                  </w:divBdr>
                  <w:divsChild>
                    <w:div w:id="1634098078">
                      <w:marLeft w:val="0"/>
                      <w:marRight w:val="0"/>
                      <w:marTop w:val="0"/>
                      <w:marBottom w:val="0"/>
                      <w:divBdr>
                        <w:top w:val="none" w:sz="0" w:space="0" w:color="auto"/>
                        <w:left w:val="none" w:sz="0" w:space="0" w:color="auto"/>
                        <w:bottom w:val="none" w:sz="0" w:space="0" w:color="auto"/>
                        <w:right w:val="none" w:sz="0" w:space="0" w:color="auto"/>
                      </w:divBdr>
                    </w:div>
                    <w:div w:id="16340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681">
          <w:marLeft w:val="0"/>
          <w:marRight w:val="0"/>
          <w:marTop w:val="0"/>
          <w:marBottom w:val="0"/>
          <w:divBdr>
            <w:top w:val="none" w:sz="0" w:space="0" w:color="auto"/>
            <w:left w:val="none" w:sz="0" w:space="0" w:color="auto"/>
            <w:bottom w:val="none" w:sz="0" w:space="0" w:color="auto"/>
            <w:right w:val="none" w:sz="0" w:space="0" w:color="auto"/>
          </w:divBdr>
          <w:divsChild>
            <w:div w:id="1634098158">
              <w:marLeft w:val="0"/>
              <w:marRight w:val="0"/>
              <w:marTop w:val="0"/>
              <w:marBottom w:val="0"/>
              <w:divBdr>
                <w:top w:val="none" w:sz="0" w:space="0" w:color="auto"/>
                <w:left w:val="none" w:sz="0" w:space="0" w:color="auto"/>
                <w:bottom w:val="none" w:sz="0" w:space="0" w:color="auto"/>
                <w:right w:val="none" w:sz="0" w:space="0" w:color="auto"/>
              </w:divBdr>
            </w:div>
            <w:div w:id="1634098403">
              <w:marLeft w:val="0"/>
              <w:marRight w:val="0"/>
              <w:marTop w:val="570"/>
              <w:marBottom w:val="600"/>
              <w:divBdr>
                <w:top w:val="none" w:sz="0" w:space="0" w:color="auto"/>
                <w:left w:val="none" w:sz="0" w:space="0" w:color="auto"/>
                <w:bottom w:val="none" w:sz="0" w:space="0" w:color="auto"/>
                <w:right w:val="none" w:sz="0" w:space="0" w:color="auto"/>
              </w:divBdr>
              <w:divsChild>
                <w:div w:id="1634097810">
                  <w:marLeft w:val="0"/>
                  <w:marRight w:val="0"/>
                  <w:marTop w:val="0"/>
                  <w:marBottom w:val="0"/>
                  <w:divBdr>
                    <w:top w:val="none" w:sz="0" w:space="0" w:color="auto"/>
                    <w:left w:val="none" w:sz="0" w:space="0" w:color="auto"/>
                    <w:bottom w:val="none" w:sz="0" w:space="0" w:color="auto"/>
                    <w:right w:val="none" w:sz="0" w:space="0" w:color="auto"/>
                  </w:divBdr>
                  <w:divsChild>
                    <w:div w:id="1634098089">
                      <w:marLeft w:val="0"/>
                      <w:marRight w:val="0"/>
                      <w:marTop w:val="0"/>
                      <w:marBottom w:val="0"/>
                      <w:divBdr>
                        <w:top w:val="none" w:sz="0" w:space="0" w:color="auto"/>
                        <w:left w:val="none" w:sz="0" w:space="0" w:color="auto"/>
                        <w:bottom w:val="none" w:sz="0" w:space="0" w:color="auto"/>
                        <w:right w:val="none" w:sz="0" w:space="0" w:color="auto"/>
                      </w:divBdr>
                      <w:divsChild>
                        <w:div w:id="1634098294">
                          <w:marLeft w:val="0"/>
                          <w:marRight w:val="0"/>
                          <w:marTop w:val="0"/>
                          <w:marBottom w:val="0"/>
                          <w:divBdr>
                            <w:top w:val="none" w:sz="0" w:space="0" w:color="auto"/>
                            <w:left w:val="none" w:sz="0" w:space="0" w:color="auto"/>
                            <w:bottom w:val="none" w:sz="0" w:space="0" w:color="auto"/>
                            <w:right w:val="none" w:sz="0" w:space="0" w:color="auto"/>
                          </w:divBdr>
                        </w:div>
                        <w:div w:id="163409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173">
                  <w:marLeft w:val="0"/>
                  <w:marRight w:val="0"/>
                  <w:marTop w:val="300"/>
                  <w:marBottom w:val="0"/>
                  <w:divBdr>
                    <w:top w:val="none" w:sz="0" w:space="0" w:color="auto"/>
                    <w:left w:val="none" w:sz="0" w:space="0" w:color="auto"/>
                    <w:bottom w:val="none" w:sz="0" w:space="0" w:color="auto"/>
                    <w:right w:val="none" w:sz="0" w:space="0" w:color="auto"/>
                  </w:divBdr>
                </w:div>
              </w:divsChild>
            </w:div>
            <w:div w:id="1634098532">
              <w:marLeft w:val="0"/>
              <w:marRight w:val="0"/>
              <w:marTop w:val="0"/>
              <w:marBottom w:val="0"/>
              <w:divBdr>
                <w:top w:val="none" w:sz="0" w:space="0" w:color="auto"/>
                <w:left w:val="none" w:sz="0" w:space="0" w:color="auto"/>
                <w:bottom w:val="none" w:sz="0" w:space="0" w:color="auto"/>
                <w:right w:val="none" w:sz="0" w:space="0" w:color="auto"/>
              </w:divBdr>
              <w:divsChild>
                <w:div w:id="1634097896">
                  <w:marLeft w:val="0"/>
                  <w:marRight w:val="0"/>
                  <w:marTop w:val="0"/>
                  <w:marBottom w:val="0"/>
                  <w:divBdr>
                    <w:top w:val="none" w:sz="0" w:space="0" w:color="auto"/>
                    <w:left w:val="none" w:sz="0" w:space="0" w:color="auto"/>
                    <w:bottom w:val="none" w:sz="0" w:space="0" w:color="auto"/>
                    <w:right w:val="none" w:sz="0" w:space="0" w:color="auto"/>
                  </w:divBdr>
                  <w:divsChild>
                    <w:div w:id="1634097835">
                      <w:marLeft w:val="0"/>
                      <w:marRight w:val="0"/>
                      <w:marTop w:val="0"/>
                      <w:marBottom w:val="0"/>
                      <w:divBdr>
                        <w:top w:val="none" w:sz="0" w:space="0" w:color="auto"/>
                        <w:left w:val="none" w:sz="0" w:space="0" w:color="auto"/>
                        <w:bottom w:val="none" w:sz="0" w:space="0" w:color="auto"/>
                        <w:right w:val="none" w:sz="0" w:space="0" w:color="auto"/>
                      </w:divBdr>
                      <w:divsChild>
                        <w:div w:id="1634097925">
                          <w:marLeft w:val="0"/>
                          <w:marRight w:val="0"/>
                          <w:marTop w:val="0"/>
                          <w:marBottom w:val="0"/>
                          <w:divBdr>
                            <w:top w:val="none" w:sz="0" w:space="0" w:color="auto"/>
                            <w:left w:val="none" w:sz="0" w:space="0" w:color="auto"/>
                            <w:bottom w:val="none" w:sz="0" w:space="0" w:color="auto"/>
                            <w:right w:val="none" w:sz="0" w:space="0" w:color="auto"/>
                          </w:divBdr>
                          <w:divsChild>
                            <w:div w:id="1634098318">
                              <w:marLeft w:val="0"/>
                              <w:marRight w:val="0"/>
                              <w:marTop w:val="0"/>
                              <w:marBottom w:val="0"/>
                              <w:divBdr>
                                <w:top w:val="none" w:sz="0" w:space="0" w:color="auto"/>
                                <w:left w:val="none" w:sz="0" w:space="0" w:color="auto"/>
                                <w:bottom w:val="none" w:sz="0" w:space="0" w:color="auto"/>
                                <w:right w:val="none" w:sz="0" w:space="0" w:color="auto"/>
                              </w:divBdr>
                              <w:divsChild>
                                <w:div w:id="1634098059">
                                  <w:marLeft w:val="0"/>
                                  <w:marRight w:val="0"/>
                                  <w:marTop w:val="0"/>
                                  <w:marBottom w:val="0"/>
                                  <w:divBdr>
                                    <w:top w:val="none" w:sz="0" w:space="0" w:color="auto"/>
                                    <w:left w:val="none" w:sz="0" w:space="0" w:color="auto"/>
                                    <w:bottom w:val="none" w:sz="0" w:space="0" w:color="auto"/>
                                    <w:right w:val="none" w:sz="0" w:space="0" w:color="auto"/>
                                  </w:divBdr>
                                  <w:divsChild>
                                    <w:div w:id="1634098425">
                                      <w:marLeft w:val="0"/>
                                      <w:marRight w:val="0"/>
                                      <w:marTop w:val="0"/>
                                      <w:marBottom w:val="0"/>
                                      <w:divBdr>
                                        <w:top w:val="none" w:sz="0" w:space="0" w:color="auto"/>
                                        <w:left w:val="none" w:sz="0" w:space="0" w:color="auto"/>
                                        <w:bottom w:val="none" w:sz="0" w:space="0" w:color="auto"/>
                                        <w:right w:val="none" w:sz="0" w:space="0" w:color="auto"/>
                                      </w:divBdr>
                                      <w:divsChild>
                                        <w:div w:id="1634098353">
                                          <w:marLeft w:val="0"/>
                                          <w:marRight w:val="0"/>
                                          <w:marTop w:val="0"/>
                                          <w:marBottom w:val="0"/>
                                          <w:divBdr>
                                            <w:top w:val="none" w:sz="0" w:space="0" w:color="auto"/>
                                            <w:left w:val="none" w:sz="0" w:space="0" w:color="auto"/>
                                            <w:bottom w:val="none" w:sz="0" w:space="0" w:color="auto"/>
                                            <w:right w:val="none" w:sz="0" w:space="0" w:color="auto"/>
                                          </w:divBdr>
                                          <w:divsChild>
                                            <w:div w:id="1634098270">
                                              <w:marLeft w:val="0"/>
                                              <w:marRight w:val="0"/>
                                              <w:marTop w:val="0"/>
                                              <w:marBottom w:val="0"/>
                                              <w:divBdr>
                                                <w:top w:val="none" w:sz="0" w:space="0" w:color="auto"/>
                                                <w:left w:val="none" w:sz="0" w:space="0" w:color="auto"/>
                                                <w:bottom w:val="none" w:sz="0" w:space="0" w:color="auto"/>
                                                <w:right w:val="none" w:sz="0" w:space="0" w:color="auto"/>
                                              </w:divBdr>
                                              <w:divsChild>
                                                <w:div w:id="1634097915">
                                                  <w:marLeft w:val="0"/>
                                                  <w:marRight w:val="0"/>
                                                  <w:marTop w:val="0"/>
                                                  <w:marBottom w:val="0"/>
                                                  <w:divBdr>
                                                    <w:top w:val="none" w:sz="0" w:space="0" w:color="auto"/>
                                                    <w:left w:val="none" w:sz="0" w:space="0" w:color="auto"/>
                                                    <w:bottom w:val="none" w:sz="0" w:space="0" w:color="auto"/>
                                                    <w:right w:val="none" w:sz="0" w:space="0" w:color="auto"/>
                                                  </w:divBdr>
                                                  <w:divsChild>
                                                    <w:div w:id="1634098236">
                                                      <w:marLeft w:val="0"/>
                                                      <w:marRight w:val="0"/>
                                                      <w:marTop w:val="0"/>
                                                      <w:marBottom w:val="0"/>
                                                      <w:divBdr>
                                                        <w:top w:val="none" w:sz="0" w:space="0" w:color="auto"/>
                                                        <w:left w:val="none" w:sz="0" w:space="0" w:color="auto"/>
                                                        <w:bottom w:val="none" w:sz="0" w:space="0" w:color="auto"/>
                                                        <w:right w:val="none" w:sz="0" w:space="0" w:color="auto"/>
                                                      </w:divBdr>
                                                    </w:div>
                                                  </w:divsChild>
                                                </w:div>
                                                <w:div w:id="1634097993">
                                                  <w:marLeft w:val="0"/>
                                                  <w:marRight w:val="0"/>
                                                  <w:marTop w:val="0"/>
                                                  <w:marBottom w:val="0"/>
                                                  <w:divBdr>
                                                    <w:top w:val="none" w:sz="0" w:space="0" w:color="auto"/>
                                                    <w:left w:val="none" w:sz="0" w:space="0" w:color="auto"/>
                                                    <w:bottom w:val="none" w:sz="0" w:space="0" w:color="auto"/>
                                                    <w:right w:val="none" w:sz="0" w:space="0" w:color="auto"/>
                                                  </w:divBdr>
                                                  <w:divsChild>
                                                    <w:div w:id="1634098494">
                                                      <w:marLeft w:val="0"/>
                                                      <w:marRight w:val="0"/>
                                                      <w:marTop w:val="0"/>
                                                      <w:marBottom w:val="0"/>
                                                      <w:divBdr>
                                                        <w:top w:val="none" w:sz="0" w:space="0" w:color="auto"/>
                                                        <w:left w:val="none" w:sz="0" w:space="0" w:color="auto"/>
                                                        <w:bottom w:val="none" w:sz="0" w:space="0" w:color="auto"/>
                                                        <w:right w:val="none" w:sz="0" w:space="0" w:color="auto"/>
                                                      </w:divBdr>
                                                    </w:div>
                                                  </w:divsChild>
                                                </w:div>
                                                <w:div w:id="1634098538">
                                                  <w:marLeft w:val="0"/>
                                                  <w:marRight w:val="0"/>
                                                  <w:marTop w:val="0"/>
                                                  <w:marBottom w:val="0"/>
                                                  <w:divBdr>
                                                    <w:top w:val="none" w:sz="0" w:space="0" w:color="auto"/>
                                                    <w:left w:val="none" w:sz="0" w:space="0" w:color="auto"/>
                                                    <w:bottom w:val="none" w:sz="0" w:space="0" w:color="auto"/>
                                                    <w:right w:val="none" w:sz="0" w:space="0" w:color="auto"/>
                                                  </w:divBdr>
                                                  <w:divsChild>
                                                    <w:div w:id="1634097963">
                                                      <w:marLeft w:val="0"/>
                                                      <w:marRight w:val="0"/>
                                                      <w:marTop w:val="0"/>
                                                      <w:marBottom w:val="0"/>
                                                      <w:divBdr>
                                                        <w:top w:val="none" w:sz="0" w:space="0" w:color="auto"/>
                                                        <w:left w:val="none" w:sz="0" w:space="0" w:color="auto"/>
                                                        <w:bottom w:val="none" w:sz="0" w:space="0" w:color="auto"/>
                                                        <w:right w:val="none" w:sz="0" w:space="0" w:color="auto"/>
                                                      </w:divBdr>
                                                      <w:divsChild>
                                                        <w:div w:id="163409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098022">
                          <w:marLeft w:val="0"/>
                          <w:marRight w:val="0"/>
                          <w:marTop w:val="0"/>
                          <w:marBottom w:val="0"/>
                          <w:divBdr>
                            <w:top w:val="none" w:sz="0" w:space="0" w:color="auto"/>
                            <w:left w:val="none" w:sz="0" w:space="0" w:color="auto"/>
                            <w:bottom w:val="none" w:sz="0" w:space="0" w:color="auto"/>
                            <w:right w:val="none" w:sz="0" w:space="0" w:color="auto"/>
                          </w:divBdr>
                          <w:divsChild>
                            <w:div w:id="1634098185">
                              <w:marLeft w:val="0"/>
                              <w:marRight w:val="0"/>
                              <w:marTop w:val="0"/>
                              <w:marBottom w:val="0"/>
                              <w:divBdr>
                                <w:top w:val="none" w:sz="0" w:space="0" w:color="auto"/>
                                <w:left w:val="none" w:sz="0" w:space="0" w:color="auto"/>
                                <w:bottom w:val="none" w:sz="0" w:space="0" w:color="auto"/>
                                <w:right w:val="none" w:sz="0" w:space="0" w:color="auto"/>
                              </w:divBdr>
                              <w:divsChild>
                                <w:div w:id="1634098261">
                                  <w:marLeft w:val="0"/>
                                  <w:marRight w:val="0"/>
                                  <w:marTop w:val="0"/>
                                  <w:marBottom w:val="0"/>
                                  <w:divBdr>
                                    <w:top w:val="none" w:sz="0" w:space="0" w:color="auto"/>
                                    <w:left w:val="none" w:sz="0" w:space="0" w:color="auto"/>
                                    <w:bottom w:val="none" w:sz="0" w:space="0" w:color="auto"/>
                                    <w:right w:val="none" w:sz="0" w:space="0" w:color="auto"/>
                                  </w:divBdr>
                                  <w:divsChild>
                                    <w:div w:id="1634097982">
                                      <w:marLeft w:val="0"/>
                                      <w:marRight w:val="0"/>
                                      <w:marTop w:val="0"/>
                                      <w:marBottom w:val="0"/>
                                      <w:divBdr>
                                        <w:top w:val="none" w:sz="0" w:space="0" w:color="auto"/>
                                        <w:left w:val="none" w:sz="0" w:space="0" w:color="auto"/>
                                        <w:bottom w:val="none" w:sz="0" w:space="0" w:color="auto"/>
                                        <w:right w:val="none" w:sz="0" w:space="0" w:color="auto"/>
                                      </w:divBdr>
                                      <w:divsChild>
                                        <w:div w:id="1634097954">
                                          <w:marLeft w:val="0"/>
                                          <w:marRight w:val="0"/>
                                          <w:marTop w:val="0"/>
                                          <w:marBottom w:val="0"/>
                                          <w:divBdr>
                                            <w:top w:val="none" w:sz="0" w:space="0" w:color="auto"/>
                                            <w:left w:val="none" w:sz="0" w:space="0" w:color="auto"/>
                                            <w:bottom w:val="none" w:sz="0" w:space="0" w:color="auto"/>
                                            <w:right w:val="none" w:sz="0" w:space="0" w:color="auto"/>
                                          </w:divBdr>
                                          <w:divsChild>
                                            <w:div w:id="1634098701">
                                              <w:marLeft w:val="0"/>
                                              <w:marRight w:val="0"/>
                                              <w:marTop w:val="0"/>
                                              <w:marBottom w:val="0"/>
                                              <w:divBdr>
                                                <w:top w:val="none" w:sz="0" w:space="0" w:color="auto"/>
                                                <w:left w:val="none" w:sz="0" w:space="0" w:color="auto"/>
                                                <w:bottom w:val="none" w:sz="0" w:space="0" w:color="auto"/>
                                                <w:right w:val="none" w:sz="0" w:space="0" w:color="auto"/>
                                              </w:divBdr>
                                              <w:divsChild>
                                                <w:div w:id="1634097948">
                                                  <w:marLeft w:val="0"/>
                                                  <w:marRight w:val="0"/>
                                                  <w:marTop w:val="0"/>
                                                  <w:marBottom w:val="0"/>
                                                  <w:divBdr>
                                                    <w:top w:val="none" w:sz="0" w:space="0" w:color="auto"/>
                                                    <w:left w:val="none" w:sz="0" w:space="0" w:color="auto"/>
                                                    <w:bottom w:val="none" w:sz="0" w:space="0" w:color="auto"/>
                                                    <w:right w:val="none" w:sz="0" w:space="0" w:color="auto"/>
                                                  </w:divBdr>
                                                  <w:divsChild>
                                                    <w:div w:id="1634098259">
                                                      <w:marLeft w:val="0"/>
                                                      <w:marRight w:val="0"/>
                                                      <w:marTop w:val="0"/>
                                                      <w:marBottom w:val="0"/>
                                                      <w:divBdr>
                                                        <w:top w:val="none" w:sz="0" w:space="0" w:color="auto"/>
                                                        <w:left w:val="none" w:sz="0" w:space="0" w:color="auto"/>
                                                        <w:bottom w:val="none" w:sz="0" w:space="0" w:color="auto"/>
                                                        <w:right w:val="none" w:sz="0" w:space="0" w:color="auto"/>
                                                      </w:divBdr>
                                                      <w:divsChild>
                                                        <w:div w:id="163409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024">
                                                  <w:marLeft w:val="0"/>
                                                  <w:marRight w:val="0"/>
                                                  <w:marTop w:val="0"/>
                                                  <w:marBottom w:val="0"/>
                                                  <w:divBdr>
                                                    <w:top w:val="none" w:sz="0" w:space="0" w:color="auto"/>
                                                    <w:left w:val="none" w:sz="0" w:space="0" w:color="auto"/>
                                                    <w:bottom w:val="none" w:sz="0" w:space="0" w:color="auto"/>
                                                    <w:right w:val="none" w:sz="0" w:space="0" w:color="auto"/>
                                                  </w:divBdr>
                                                  <w:divsChild>
                                                    <w:div w:id="1634098563">
                                                      <w:marLeft w:val="0"/>
                                                      <w:marRight w:val="0"/>
                                                      <w:marTop w:val="0"/>
                                                      <w:marBottom w:val="0"/>
                                                      <w:divBdr>
                                                        <w:top w:val="none" w:sz="0" w:space="0" w:color="auto"/>
                                                        <w:left w:val="none" w:sz="0" w:space="0" w:color="auto"/>
                                                        <w:bottom w:val="none" w:sz="0" w:space="0" w:color="auto"/>
                                                        <w:right w:val="none" w:sz="0" w:space="0" w:color="auto"/>
                                                      </w:divBdr>
                                                    </w:div>
                                                  </w:divsChild>
                                                </w:div>
                                                <w:div w:id="1634098216">
                                                  <w:marLeft w:val="0"/>
                                                  <w:marRight w:val="0"/>
                                                  <w:marTop w:val="0"/>
                                                  <w:marBottom w:val="0"/>
                                                  <w:divBdr>
                                                    <w:top w:val="none" w:sz="0" w:space="0" w:color="auto"/>
                                                    <w:left w:val="none" w:sz="0" w:space="0" w:color="auto"/>
                                                    <w:bottom w:val="none" w:sz="0" w:space="0" w:color="auto"/>
                                                    <w:right w:val="none" w:sz="0" w:space="0" w:color="auto"/>
                                                  </w:divBdr>
                                                  <w:divsChild>
                                                    <w:div w:id="16340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8442">
                          <w:marLeft w:val="0"/>
                          <w:marRight w:val="0"/>
                          <w:marTop w:val="0"/>
                          <w:marBottom w:val="0"/>
                          <w:divBdr>
                            <w:top w:val="none" w:sz="0" w:space="0" w:color="auto"/>
                            <w:left w:val="none" w:sz="0" w:space="0" w:color="auto"/>
                            <w:bottom w:val="none" w:sz="0" w:space="0" w:color="auto"/>
                            <w:right w:val="none" w:sz="0" w:space="0" w:color="auto"/>
                          </w:divBdr>
                          <w:divsChild>
                            <w:div w:id="1634098655">
                              <w:marLeft w:val="0"/>
                              <w:marRight w:val="0"/>
                              <w:marTop w:val="0"/>
                              <w:marBottom w:val="0"/>
                              <w:divBdr>
                                <w:top w:val="none" w:sz="0" w:space="0" w:color="auto"/>
                                <w:left w:val="none" w:sz="0" w:space="0" w:color="auto"/>
                                <w:bottom w:val="none" w:sz="0" w:space="0" w:color="auto"/>
                                <w:right w:val="none" w:sz="0" w:space="0" w:color="auto"/>
                              </w:divBdr>
                              <w:divsChild>
                                <w:div w:id="1634097880">
                                  <w:marLeft w:val="0"/>
                                  <w:marRight w:val="0"/>
                                  <w:marTop w:val="0"/>
                                  <w:marBottom w:val="0"/>
                                  <w:divBdr>
                                    <w:top w:val="none" w:sz="0" w:space="0" w:color="auto"/>
                                    <w:left w:val="none" w:sz="0" w:space="0" w:color="auto"/>
                                    <w:bottom w:val="none" w:sz="0" w:space="0" w:color="auto"/>
                                    <w:right w:val="none" w:sz="0" w:space="0" w:color="auto"/>
                                  </w:divBdr>
                                  <w:divsChild>
                                    <w:div w:id="1634098613">
                                      <w:marLeft w:val="0"/>
                                      <w:marRight w:val="0"/>
                                      <w:marTop w:val="0"/>
                                      <w:marBottom w:val="0"/>
                                      <w:divBdr>
                                        <w:top w:val="none" w:sz="0" w:space="0" w:color="auto"/>
                                        <w:left w:val="none" w:sz="0" w:space="0" w:color="auto"/>
                                        <w:bottom w:val="none" w:sz="0" w:space="0" w:color="auto"/>
                                        <w:right w:val="none" w:sz="0" w:space="0" w:color="auto"/>
                                      </w:divBdr>
                                      <w:divsChild>
                                        <w:div w:id="1634098601">
                                          <w:marLeft w:val="0"/>
                                          <w:marRight w:val="0"/>
                                          <w:marTop w:val="0"/>
                                          <w:marBottom w:val="0"/>
                                          <w:divBdr>
                                            <w:top w:val="none" w:sz="0" w:space="0" w:color="auto"/>
                                            <w:left w:val="none" w:sz="0" w:space="0" w:color="auto"/>
                                            <w:bottom w:val="none" w:sz="0" w:space="0" w:color="auto"/>
                                            <w:right w:val="none" w:sz="0" w:space="0" w:color="auto"/>
                                          </w:divBdr>
                                          <w:divsChild>
                                            <w:div w:id="1634097941">
                                              <w:marLeft w:val="0"/>
                                              <w:marRight w:val="0"/>
                                              <w:marTop w:val="0"/>
                                              <w:marBottom w:val="0"/>
                                              <w:divBdr>
                                                <w:top w:val="none" w:sz="0" w:space="0" w:color="auto"/>
                                                <w:left w:val="none" w:sz="0" w:space="0" w:color="auto"/>
                                                <w:bottom w:val="none" w:sz="0" w:space="0" w:color="auto"/>
                                                <w:right w:val="none" w:sz="0" w:space="0" w:color="auto"/>
                                              </w:divBdr>
                                              <w:divsChild>
                                                <w:div w:id="1634098170">
                                                  <w:marLeft w:val="0"/>
                                                  <w:marRight w:val="0"/>
                                                  <w:marTop w:val="0"/>
                                                  <w:marBottom w:val="0"/>
                                                  <w:divBdr>
                                                    <w:top w:val="none" w:sz="0" w:space="0" w:color="auto"/>
                                                    <w:left w:val="none" w:sz="0" w:space="0" w:color="auto"/>
                                                    <w:bottom w:val="none" w:sz="0" w:space="0" w:color="auto"/>
                                                    <w:right w:val="none" w:sz="0" w:space="0" w:color="auto"/>
                                                  </w:divBdr>
                                                  <w:divsChild>
                                                    <w:div w:id="1634098063">
                                                      <w:marLeft w:val="0"/>
                                                      <w:marRight w:val="0"/>
                                                      <w:marTop w:val="0"/>
                                                      <w:marBottom w:val="0"/>
                                                      <w:divBdr>
                                                        <w:top w:val="none" w:sz="0" w:space="0" w:color="auto"/>
                                                        <w:left w:val="none" w:sz="0" w:space="0" w:color="auto"/>
                                                        <w:bottom w:val="none" w:sz="0" w:space="0" w:color="auto"/>
                                                        <w:right w:val="none" w:sz="0" w:space="0" w:color="auto"/>
                                                      </w:divBdr>
                                                      <w:divsChild>
                                                        <w:div w:id="16340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177">
                                                  <w:marLeft w:val="0"/>
                                                  <w:marRight w:val="0"/>
                                                  <w:marTop w:val="0"/>
                                                  <w:marBottom w:val="0"/>
                                                  <w:divBdr>
                                                    <w:top w:val="none" w:sz="0" w:space="0" w:color="auto"/>
                                                    <w:left w:val="none" w:sz="0" w:space="0" w:color="auto"/>
                                                    <w:bottom w:val="none" w:sz="0" w:space="0" w:color="auto"/>
                                                    <w:right w:val="none" w:sz="0" w:space="0" w:color="auto"/>
                                                  </w:divBdr>
                                                  <w:divsChild>
                                                    <w:div w:id="1634097956">
                                                      <w:marLeft w:val="0"/>
                                                      <w:marRight w:val="0"/>
                                                      <w:marTop w:val="0"/>
                                                      <w:marBottom w:val="0"/>
                                                      <w:divBdr>
                                                        <w:top w:val="none" w:sz="0" w:space="0" w:color="auto"/>
                                                        <w:left w:val="none" w:sz="0" w:space="0" w:color="auto"/>
                                                        <w:bottom w:val="none" w:sz="0" w:space="0" w:color="auto"/>
                                                        <w:right w:val="none" w:sz="0" w:space="0" w:color="auto"/>
                                                      </w:divBdr>
                                                    </w:div>
                                                  </w:divsChild>
                                                </w:div>
                                                <w:div w:id="1634098335">
                                                  <w:marLeft w:val="0"/>
                                                  <w:marRight w:val="0"/>
                                                  <w:marTop w:val="0"/>
                                                  <w:marBottom w:val="0"/>
                                                  <w:divBdr>
                                                    <w:top w:val="none" w:sz="0" w:space="0" w:color="auto"/>
                                                    <w:left w:val="none" w:sz="0" w:space="0" w:color="auto"/>
                                                    <w:bottom w:val="none" w:sz="0" w:space="0" w:color="auto"/>
                                                    <w:right w:val="none" w:sz="0" w:space="0" w:color="auto"/>
                                                  </w:divBdr>
                                                  <w:divsChild>
                                                    <w:div w:id="16340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097845">
                      <w:marLeft w:val="0"/>
                      <w:marRight w:val="0"/>
                      <w:marTop w:val="0"/>
                      <w:marBottom w:val="0"/>
                      <w:divBdr>
                        <w:top w:val="none" w:sz="0" w:space="0" w:color="auto"/>
                        <w:left w:val="none" w:sz="0" w:space="0" w:color="auto"/>
                        <w:bottom w:val="none" w:sz="0" w:space="0" w:color="auto"/>
                        <w:right w:val="none" w:sz="0" w:space="0" w:color="auto"/>
                      </w:divBdr>
                      <w:divsChild>
                        <w:div w:id="1634098050">
                          <w:marLeft w:val="0"/>
                          <w:marRight w:val="0"/>
                          <w:marTop w:val="0"/>
                          <w:marBottom w:val="0"/>
                          <w:divBdr>
                            <w:top w:val="none" w:sz="0" w:space="0" w:color="auto"/>
                            <w:left w:val="none" w:sz="0" w:space="0" w:color="auto"/>
                            <w:bottom w:val="none" w:sz="0" w:space="0" w:color="auto"/>
                            <w:right w:val="none" w:sz="0" w:space="0" w:color="auto"/>
                          </w:divBdr>
                          <w:divsChild>
                            <w:div w:id="1634097973">
                              <w:marLeft w:val="0"/>
                              <w:marRight w:val="0"/>
                              <w:marTop w:val="0"/>
                              <w:marBottom w:val="0"/>
                              <w:divBdr>
                                <w:top w:val="none" w:sz="0" w:space="0" w:color="auto"/>
                                <w:left w:val="none" w:sz="0" w:space="0" w:color="auto"/>
                                <w:bottom w:val="none" w:sz="0" w:space="0" w:color="auto"/>
                                <w:right w:val="none" w:sz="0" w:space="0" w:color="auto"/>
                              </w:divBdr>
                              <w:divsChild>
                                <w:div w:id="1634098329">
                                  <w:marLeft w:val="0"/>
                                  <w:marRight w:val="0"/>
                                  <w:marTop w:val="1005"/>
                                  <w:marBottom w:val="0"/>
                                  <w:divBdr>
                                    <w:top w:val="none" w:sz="0" w:space="0" w:color="auto"/>
                                    <w:left w:val="none" w:sz="0" w:space="0" w:color="auto"/>
                                    <w:bottom w:val="none" w:sz="0" w:space="0" w:color="auto"/>
                                    <w:right w:val="none" w:sz="0" w:space="0" w:color="auto"/>
                                  </w:divBdr>
                                  <w:divsChild>
                                    <w:div w:id="1634097977">
                                      <w:marLeft w:val="0"/>
                                      <w:marRight w:val="0"/>
                                      <w:marTop w:val="0"/>
                                      <w:marBottom w:val="0"/>
                                      <w:divBdr>
                                        <w:top w:val="none" w:sz="0" w:space="0" w:color="auto"/>
                                        <w:left w:val="none" w:sz="0" w:space="0" w:color="auto"/>
                                        <w:bottom w:val="none" w:sz="0" w:space="0" w:color="auto"/>
                                        <w:right w:val="none" w:sz="0" w:space="0" w:color="auto"/>
                                      </w:divBdr>
                                    </w:div>
                                    <w:div w:id="1634098486">
                                      <w:marLeft w:val="0"/>
                                      <w:marRight w:val="0"/>
                                      <w:marTop w:val="0"/>
                                      <w:marBottom w:val="0"/>
                                      <w:divBdr>
                                        <w:top w:val="none" w:sz="0" w:space="0" w:color="auto"/>
                                        <w:left w:val="none" w:sz="0" w:space="0" w:color="auto"/>
                                        <w:bottom w:val="none" w:sz="0" w:space="0" w:color="auto"/>
                                        <w:right w:val="none" w:sz="0" w:space="0" w:color="auto"/>
                                      </w:divBdr>
                                      <w:divsChild>
                                        <w:div w:id="1634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098407">
                      <w:marLeft w:val="0"/>
                      <w:marRight w:val="0"/>
                      <w:marTop w:val="0"/>
                      <w:marBottom w:val="120"/>
                      <w:divBdr>
                        <w:top w:val="single" w:sz="6" w:space="0" w:color="E2E2E2"/>
                        <w:left w:val="single" w:sz="6" w:space="0" w:color="E2E2E2"/>
                        <w:bottom w:val="single" w:sz="6" w:space="0" w:color="E2E2E2"/>
                        <w:right w:val="single" w:sz="6" w:space="0" w:color="E2E2E2"/>
                      </w:divBdr>
                    </w:div>
                    <w:div w:id="1634098525">
                      <w:marLeft w:val="0"/>
                      <w:marRight w:val="0"/>
                      <w:marTop w:val="0"/>
                      <w:marBottom w:val="0"/>
                      <w:divBdr>
                        <w:top w:val="none" w:sz="0" w:space="0" w:color="auto"/>
                        <w:left w:val="none" w:sz="0" w:space="0" w:color="auto"/>
                        <w:bottom w:val="none" w:sz="0" w:space="0" w:color="auto"/>
                        <w:right w:val="none" w:sz="0" w:space="0" w:color="auto"/>
                      </w:divBdr>
                    </w:div>
                  </w:divsChild>
                </w:div>
                <w:div w:id="1634097986">
                  <w:marLeft w:val="0"/>
                  <w:marRight w:val="0"/>
                  <w:marTop w:val="0"/>
                  <w:marBottom w:val="0"/>
                  <w:divBdr>
                    <w:top w:val="none" w:sz="0" w:space="0" w:color="auto"/>
                    <w:left w:val="none" w:sz="0" w:space="0" w:color="auto"/>
                    <w:bottom w:val="none" w:sz="0" w:space="0" w:color="auto"/>
                    <w:right w:val="none" w:sz="0" w:space="0" w:color="auto"/>
                  </w:divBdr>
                  <w:divsChild>
                    <w:div w:id="16340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620">
              <w:marLeft w:val="0"/>
              <w:marRight w:val="0"/>
              <w:marTop w:val="0"/>
              <w:marBottom w:val="0"/>
              <w:divBdr>
                <w:top w:val="none" w:sz="0" w:space="0" w:color="auto"/>
                <w:left w:val="none" w:sz="0" w:space="0" w:color="auto"/>
                <w:bottom w:val="none" w:sz="0" w:space="0" w:color="auto"/>
                <w:right w:val="none" w:sz="0" w:space="0" w:color="auto"/>
              </w:divBdr>
              <w:divsChild>
                <w:div w:id="1634098071">
                  <w:marLeft w:val="0"/>
                  <w:marRight w:val="0"/>
                  <w:marTop w:val="0"/>
                  <w:marBottom w:val="0"/>
                  <w:divBdr>
                    <w:top w:val="none" w:sz="0" w:space="0" w:color="auto"/>
                    <w:left w:val="none" w:sz="0" w:space="0" w:color="auto"/>
                    <w:bottom w:val="none" w:sz="0" w:space="0" w:color="auto"/>
                    <w:right w:val="none" w:sz="0" w:space="0" w:color="auto"/>
                  </w:divBdr>
                  <w:divsChild>
                    <w:div w:id="1634097807">
                      <w:marLeft w:val="0"/>
                      <w:marRight w:val="0"/>
                      <w:marTop w:val="0"/>
                      <w:marBottom w:val="0"/>
                      <w:divBdr>
                        <w:top w:val="none" w:sz="0" w:space="0" w:color="auto"/>
                        <w:left w:val="none" w:sz="0" w:space="0" w:color="auto"/>
                        <w:bottom w:val="none" w:sz="0" w:space="0" w:color="auto"/>
                        <w:right w:val="none" w:sz="0" w:space="0" w:color="auto"/>
                      </w:divBdr>
                      <w:divsChild>
                        <w:div w:id="1634098325">
                          <w:marLeft w:val="0"/>
                          <w:marRight w:val="0"/>
                          <w:marTop w:val="0"/>
                          <w:marBottom w:val="0"/>
                          <w:divBdr>
                            <w:top w:val="none" w:sz="0" w:space="0" w:color="auto"/>
                            <w:left w:val="none" w:sz="0" w:space="0" w:color="auto"/>
                            <w:bottom w:val="none" w:sz="0" w:space="0" w:color="auto"/>
                            <w:right w:val="none" w:sz="0" w:space="0" w:color="auto"/>
                          </w:divBdr>
                        </w:div>
                      </w:divsChild>
                    </w:div>
                    <w:div w:id="1634097994">
                      <w:marLeft w:val="0"/>
                      <w:marRight w:val="0"/>
                      <w:marTop w:val="0"/>
                      <w:marBottom w:val="0"/>
                      <w:divBdr>
                        <w:top w:val="none" w:sz="0" w:space="0" w:color="auto"/>
                        <w:left w:val="none" w:sz="0" w:space="0" w:color="auto"/>
                        <w:bottom w:val="none" w:sz="0" w:space="0" w:color="auto"/>
                        <w:right w:val="none" w:sz="0" w:space="0" w:color="auto"/>
                      </w:divBdr>
                    </w:div>
                  </w:divsChild>
                </w:div>
                <w:div w:id="163409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343">
      <w:marLeft w:val="0"/>
      <w:marRight w:val="0"/>
      <w:marTop w:val="0"/>
      <w:marBottom w:val="0"/>
      <w:divBdr>
        <w:top w:val="none" w:sz="0" w:space="0" w:color="auto"/>
        <w:left w:val="none" w:sz="0" w:space="0" w:color="auto"/>
        <w:bottom w:val="none" w:sz="0" w:space="0" w:color="auto"/>
        <w:right w:val="none" w:sz="0" w:space="0" w:color="auto"/>
      </w:divBdr>
    </w:div>
    <w:div w:id="1634098352">
      <w:marLeft w:val="0"/>
      <w:marRight w:val="0"/>
      <w:marTop w:val="0"/>
      <w:marBottom w:val="0"/>
      <w:divBdr>
        <w:top w:val="none" w:sz="0" w:space="0" w:color="auto"/>
        <w:left w:val="none" w:sz="0" w:space="0" w:color="auto"/>
        <w:bottom w:val="none" w:sz="0" w:space="0" w:color="auto"/>
        <w:right w:val="none" w:sz="0" w:space="0" w:color="auto"/>
      </w:divBdr>
    </w:div>
    <w:div w:id="1634098354">
      <w:marLeft w:val="0"/>
      <w:marRight w:val="0"/>
      <w:marTop w:val="0"/>
      <w:marBottom w:val="0"/>
      <w:divBdr>
        <w:top w:val="none" w:sz="0" w:space="0" w:color="auto"/>
        <w:left w:val="none" w:sz="0" w:space="0" w:color="auto"/>
        <w:bottom w:val="none" w:sz="0" w:space="0" w:color="auto"/>
        <w:right w:val="none" w:sz="0" w:space="0" w:color="auto"/>
      </w:divBdr>
    </w:div>
    <w:div w:id="1634098356">
      <w:marLeft w:val="0"/>
      <w:marRight w:val="0"/>
      <w:marTop w:val="0"/>
      <w:marBottom w:val="0"/>
      <w:divBdr>
        <w:top w:val="none" w:sz="0" w:space="0" w:color="auto"/>
        <w:left w:val="none" w:sz="0" w:space="0" w:color="auto"/>
        <w:bottom w:val="none" w:sz="0" w:space="0" w:color="auto"/>
        <w:right w:val="none" w:sz="0" w:space="0" w:color="auto"/>
      </w:divBdr>
    </w:div>
    <w:div w:id="1634098357">
      <w:marLeft w:val="0"/>
      <w:marRight w:val="0"/>
      <w:marTop w:val="0"/>
      <w:marBottom w:val="0"/>
      <w:divBdr>
        <w:top w:val="none" w:sz="0" w:space="0" w:color="auto"/>
        <w:left w:val="none" w:sz="0" w:space="0" w:color="auto"/>
        <w:bottom w:val="none" w:sz="0" w:space="0" w:color="auto"/>
        <w:right w:val="none" w:sz="0" w:space="0" w:color="auto"/>
      </w:divBdr>
    </w:div>
    <w:div w:id="1634098360">
      <w:marLeft w:val="0"/>
      <w:marRight w:val="0"/>
      <w:marTop w:val="0"/>
      <w:marBottom w:val="0"/>
      <w:divBdr>
        <w:top w:val="none" w:sz="0" w:space="0" w:color="auto"/>
        <w:left w:val="none" w:sz="0" w:space="0" w:color="auto"/>
        <w:bottom w:val="none" w:sz="0" w:space="0" w:color="auto"/>
        <w:right w:val="none" w:sz="0" w:space="0" w:color="auto"/>
      </w:divBdr>
    </w:div>
    <w:div w:id="1634098364">
      <w:marLeft w:val="0"/>
      <w:marRight w:val="0"/>
      <w:marTop w:val="0"/>
      <w:marBottom w:val="0"/>
      <w:divBdr>
        <w:top w:val="none" w:sz="0" w:space="0" w:color="auto"/>
        <w:left w:val="none" w:sz="0" w:space="0" w:color="auto"/>
        <w:bottom w:val="none" w:sz="0" w:space="0" w:color="auto"/>
        <w:right w:val="none" w:sz="0" w:space="0" w:color="auto"/>
      </w:divBdr>
    </w:div>
    <w:div w:id="1634098368">
      <w:marLeft w:val="0"/>
      <w:marRight w:val="0"/>
      <w:marTop w:val="0"/>
      <w:marBottom w:val="0"/>
      <w:divBdr>
        <w:top w:val="none" w:sz="0" w:space="0" w:color="auto"/>
        <w:left w:val="none" w:sz="0" w:space="0" w:color="auto"/>
        <w:bottom w:val="none" w:sz="0" w:space="0" w:color="auto"/>
        <w:right w:val="none" w:sz="0" w:space="0" w:color="auto"/>
      </w:divBdr>
      <w:divsChild>
        <w:div w:id="1634098597">
          <w:marLeft w:val="0"/>
          <w:marRight w:val="0"/>
          <w:marTop w:val="0"/>
          <w:marBottom w:val="0"/>
          <w:divBdr>
            <w:top w:val="none" w:sz="0" w:space="0" w:color="auto"/>
            <w:left w:val="none" w:sz="0" w:space="0" w:color="auto"/>
            <w:bottom w:val="none" w:sz="0" w:space="0" w:color="auto"/>
            <w:right w:val="none" w:sz="0" w:space="0" w:color="auto"/>
          </w:divBdr>
          <w:divsChild>
            <w:div w:id="1634097904">
              <w:marLeft w:val="0"/>
              <w:marRight w:val="0"/>
              <w:marTop w:val="300"/>
              <w:marBottom w:val="0"/>
              <w:divBdr>
                <w:top w:val="none" w:sz="0" w:space="0" w:color="auto"/>
                <w:left w:val="none" w:sz="0" w:space="0" w:color="auto"/>
                <w:bottom w:val="none" w:sz="0" w:space="0" w:color="auto"/>
                <w:right w:val="none" w:sz="0" w:space="0" w:color="auto"/>
              </w:divBdr>
              <w:divsChild>
                <w:div w:id="1634098109">
                  <w:marLeft w:val="0"/>
                  <w:marRight w:val="0"/>
                  <w:marTop w:val="0"/>
                  <w:marBottom w:val="0"/>
                  <w:divBdr>
                    <w:top w:val="single" w:sz="6" w:space="0" w:color="E5E5E5"/>
                    <w:left w:val="single" w:sz="6" w:space="0" w:color="E5E5E5"/>
                    <w:bottom w:val="single" w:sz="6" w:space="0" w:color="E5E5E5"/>
                    <w:right w:val="single" w:sz="6" w:space="0" w:color="E5E5E5"/>
                  </w:divBdr>
                  <w:divsChild>
                    <w:div w:id="1634098385">
                      <w:marLeft w:val="0"/>
                      <w:marRight w:val="0"/>
                      <w:marTop w:val="0"/>
                      <w:marBottom w:val="0"/>
                      <w:divBdr>
                        <w:top w:val="none" w:sz="0" w:space="0" w:color="auto"/>
                        <w:left w:val="none" w:sz="0" w:space="0" w:color="auto"/>
                        <w:bottom w:val="none" w:sz="0" w:space="0" w:color="auto"/>
                        <w:right w:val="none" w:sz="0" w:space="0" w:color="auto"/>
                      </w:divBdr>
                      <w:divsChild>
                        <w:div w:id="1634097808">
                          <w:marLeft w:val="0"/>
                          <w:marRight w:val="0"/>
                          <w:marTop w:val="300"/>
                          <w:marBottom w:val="525"/>
                          <w:divBdr>
                            <w:top w:val="none" w:sz="0" w:space="0" w:color="auto"/>
                            <w:left w:val="none" w:sz="0" w:space="0" w:color="auto"/>
                            <w:bottom w:val="none" w:sz="0" w:space="0" w:color="auto"/>
                            <w:right w:val="none" w:sz="0" w:space="0" w:color="auto"/>
                          </w:divBdr>
                        </w:div>
                        <w:div w:id="1634098062">
                          <w:marLeft w:val="0"/>
                          <w:marRight w:val="0"/>
                          <w:marTop w:val="0"/>
                          <w:marBottom w:val="225"/>
                          <w:divBdr>
                            <w:top w:val="none" w:sz="0" w:space="0" w:color="auto"/>
                            <w:left w:val="none" w:sz="0" w:space="0" w:color="auto"/>
                            <w:bottom w:val="none" w:sz="0" w:space="0" w:color="auto"/>
                            <w:right w:val="none" w:sz="0" w:space="0" w:color="auto"/>
                          </w:divBdr>
                          <w:divsChild>
                            <w:div w:id="1634098376">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634098118">
                          <w:marLeft w:val="0"/>
                          <w:marRight w:val="0"/>
                          <w:marTop w:val="0"/>
                          <w:marBottom w:val="0"/>
                          <w:divBdr>
                            <w:top w:val="none" w:sz="0" w:space="0" w:color="auto"/>
                            <w:left w:val="none" w:sz="0" w:space="0" w:color="auto"/>
                            <w:bottom w:val="none" w:sz="0" w:space="0" w:color="auto"/>
                            <w:right w:val="none" w:sz="0" w:space="0" w:color="auto"/>
                          </w:divBdr>
                        </w:div>
                        <w:div w:id="1634098365">
                          <w:marLeft w:val="0"/>
                          <w:marRight w:val="0"/>
                          <w:marTop w:val="525"/>
                          <w:marBottom w:val="525"/>
                          <w:divBdr>
                            <w:top w:val="none" w:sz="0" w:space="0" w:color="auto"/>
                            <w:left w:val="none" w:sz="0" w:space="0" w:color="auto"/>
                            <w:bottom w:val="none" w:sz="0" w:space="0" w:color="auto"/>
                            <w:right w:val="none" w:sz="0" w:space="0" w:color="auto"/>
                          </w:divBdr>
                          <w:divsChild>
                            <w:div w:id="1634098145">
                              <w:marLeft w:val="0"/>
                              <w:marRight w:val="0"/>
                              <w:marTop w:val="0"/>
                              <w:marBottom w:val="0"/>
                              <w:divBdr>
                                <w:top w:val="single" w:sz="6" w:space="0" w:color="DDDDDD"/>
                                <w:left w:val="none" w:sz="0" w:space="0" w:color="auto"/>
                                <w:bottom w:val="single" w:sz="6" w:space="0" w:color="DDDDDD"/>
                                <w:right w:val="none" w:sz="0" w:space="0" w:color="auto"/>
                              </w:divBdr>
                              <w:divsChild>
                                <w:div w:id="1634097970">
                                  <w:marLeft w:val="0"/>
                                  <w:marRight w:val="0"/>
                                  <w:marTop w:val="0"/>
                                  <w:marBottom w:val="0"/>
                                  <w:divBdr>
                                    <w:top w:val="none" w:sz="0" w:space="0" w:color="auto"/>
                                    <w:left w:val="single" w:sz="6" w:space="0" w:color="EBEBEB"/>
                                    <w:bottom w:val="none" w:sz="0" w:space="0" w:color="auto"/>
                                    <w:right w:val="none" w:sz="0" w:space="0" w:color="auto"/>
                                  </w:divBdr>
                                </w:div>
                              </w:divsChild>
                            </w:div>
                          </w:divsChild>
                        </w:div>
                        <w:div w:id="1634098420">
                          <w:marLeft w:val="0"/>
                          <w:marRight w:val="0"/>
                          <w:marTop w:val="0"/>
                          <w:marBottom w:val="225"/>
                          <w:divBdr>
                            <w:top w:val="none" w:sz="0" w:space="0" w:color="auto"/>
                            <w:left w:val="none" w:sz="0" w:space="0" w:color="auto"/>
                            <w:bottom w:val="none" w:sz="0" w:space="0" w:color="auto"/>
                            <w:right w:val="none" w:sz="0" w:space="0" w:color="auto"/>
                          </w:divBdr>
                        </w:div>
                        <w:div w:id="1634098477">
                          <w:marLeft w:val="0"/>
                          <w:marRight w:val="0"/>
                          <w:marTop w:val="0"/>
                          <w:marBottom w:val="225"/>
                          <w:divBdr>
                            <w:top w:val="none" w:sz="0" w:space="0" w:color="auto"/>
                            <w:left w:val="none" w:sz="0" w:space="0" w:color="auto"/>
                            <w:bottom w:val="none" w:sz="0" w:space="0" w:color="auto"/>
                            <w:right w:val="none" w:sz="0" w:space="0" w:color="auto"/>
                          </w:divBdr>
                        </w:div>
                        <w:div w:id="1634098526">
                          <w:marLeft w:val="0"/>
                          <w:marRight w:val="0"/>
                          <w:marTop w:val="0"/>
                          <w:marBottom w:val="225"/>
                          <w:divBdr>
                            <w:top w:val="none" w:sz="0" w:space="0" w:color="auto"/>
                            <w:left w:val="none" w:sz="0" w:space="0" w:color="auto"/>
                            <w:bottom w:val="none" w:sz="0" w:space="0" w:color="auto"/>
                            <w:right w:val="none" w:sz="0" w:space="0" w:color="auto"/>
                          </w:divBdr>
                          <w:divsChild>
                            <w:div w:id="1634098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98369">
      <w:marLeft w:val="0"/>
      <w:marRight w:val="0"/>
      <w:marTop w:val="0"/>
      <w:marBottom w:val="0"/>
      <w:divBdr>
        <w:top w:val="none" w:sz="0" w:space="0" w:color="auto"/>
        <w:left w:val="none" w:sz="0" w:space="0" w:color="auto"/>
        <w:bottom w:val="none" w:sz="0" w:space="0" w:color="auto"/>
        <w:right w:val="none" w:sz="0" w:space="0" w:color="auto"/>
      </w:divBdr>
    </w:div>
    <w:div w:id="1634098370">
      <w:marLeft w:val="0"/>
      <w:marRight w:val="0"/>
      <w:marTop w:val="0"/>
      <w:marBottom w:val="0"/>
      <w:divBdr>
        <w:top w:val="none" w:sz="0" w:space="0" w:color="auto"/>
        <w:left w:val="none" w:sz="0" w:space="0" w:color="auto"/>
        <w:bottom w:val="none" w:sz="0" w:space="0" w:color="auto"/>
        <w:right w:val="none" w:sz="0" w:space="0" w:color="auto"/>
      </w:divBdr>
    </w:div>
    <w:div w:id="1634098374">
      <w:marLeft w:val="0"/>
      <w:marRight w:val="0"/>
      <w:marTop w:val="0"/>
      <w:marBottom w:val="0"/>
      <w:divBdr>
        <w:top w:val="none" w:sz="0" w:space="0" w:color="auto"/>
        <w:left w:val="none" w:sz="0" w:space="0" w:color="auto"/>
        <w:bottom w:val="none" w:sz="0" w:space="0" w:color="auto"/>
        <w:right w:val="none" w:sz="0" w:space="0" w:color="auto"/>
      </w:divBdr>
    </w:div>
    <w:div w:id="1634098378">
      <w:marLeft w:val="0"/>
      <w:marRight w:val="0"/>
      <w:marTop w:val="100"/>
      <w:marBottom w:val="100"/>
      <w:divBdr>
        <w:top w:val="none" w:sz="0" w:space="0" w:color="auto"/>
        <w:left w:val="none" w:sz="0" w:space="0" w:color="auto"/>
        <w:bottom w:val="none" w:sz="0" w:space="0" w:color="auto"/>
        <w:right w:val="none" w:sz="0" w:space="0" w:color="auto"/>
      </w:divBdr>
      <w:divsChild>
        <w:div w:id="1634098136">
          <w:marLeft w:val="0"/>
          <w:marRight w:val="0"/>
          <w:marTop w:val="0"/>
          <w:marBottom w:val="0"/>
          <w:divBdr>
            <w:top w:val="none" w:sz="0" w:space="0" w:color="auto"/>
            <w:left w:val="none" w:sz="0" w:space="0" w:color="auto"/>
            <w:bottom w:val="none" w:sz="0" w:space="0" w:color="auto"/>
            <w:right w:val="none" w:sz="0" w:space="0" w:color="auto"/>
          </w:divBdr>
        </w:div>
        <w:div w:id="1634098205">
          <w:marLeft w:val="0"/>
          <w:marRight w:val="0"/>
          <w:marTop w:val="0"/>
          <w:marBottom w:val="0"/>
          <w:divBdr>
            <w:top w:val="none" w:sz="0" w:space="0" w:color="auto"/>
            <w:left w:val="none" w:sz="0" w:space="0" w:color="auto"/>
            <w:bottom w:val="single" w:sz="6" w:space="0" w:color="DDDDDD"/>
            <w:right w:val="none" w:sz="0" w:space="0" w:color="auto"/>
          </w:divBdr>
          <w:divsChild>
            <w:div w:id="1634097980">
              <w:marLeft w:val="0"/>
              <w:marRight w:val="0"/>
              <w:marTop w:val="0"/>
              <w:marBottom w:val="0"/>
              <w:divBdr>
                <w:top w:val="none" w:sz="0" w:space="0" w:color="auto"/>
                <w:left w:val="none" w:sz="0" w:space="0" w:color="auto"/>
                <w:bottom w:val="none" w:sz="0" w:space="0" w:color="auto"/>
                <w:right w:val="none" w:sz="0" w:space="0" w:color="auto"/>
              </w:divBdr>
            </w:div>
            <w:div w:id="1634098097">
              <w:marLeft w:val="0"/>
              <w:marRight w:val="0"/>
              <w:marTop w:val="0"/>
              <w:marBottom w:val="0"/>
              <w:divBdr>
                <w:top w:val="none" w:sz="0" w:space="0" w:color="auto"/>
                <w:left w:val="none" w:sz="0" w:space="0" w:color="auto"/>
                <w:bottom w:val="none" w:sz="0" w:space="0" w:color="auto"/>
                <w:right w:val="none" w:sz="0" w:space="0" w:color="auto"/>
              </w:divBdr>
              <w:divsChild>
                <w:div w:id="1634098347">
                  <w:marLeft w:val="0"/>
                  <w:marRight w:val="0"/>
                  <w:marTop w:val="0"/>
                  <w:marBottom w:val="0"/>
                  <w:divBdr>
                    <w:top w:val="none" w:sz="0" w:space="0" w:color="auto"/>
                    <w:left w:val="none" w:sz="0" w:space="0" w:color="auto"/>
                    <w:bottom w:val="none" w:sz="0" w:space="0" w:color="auto"/>
                    <w:right w:val="none" w:sz="0" w:space="0" w:color="auto"/>
                  </w:divBdr>
                  <w:divsChild>
                    <w:div w:id="1634098245">
                      <w:marLeft w:val="0"/>
                      <w:marRight w:val="0"/>
                      <w:marTop w:val="0"/>
                      <w:marBottom w:val="0"/>
                      <w:divBdr>
                        <w:top w:val="none" w:sz="0" w:space="0" w:color="auto"/>
                        <w:left w:val="none" w:sz="0" w:space="0" w:color="auto"/>
                        <w:bottom w:val="none" w:sz="0" w:space="0" w:color="auto"/>
                        <w:right w:val="none" w:sz="0" w:space="0" w:color="auto"/>
                      </w:divBdr>
                    </w:div>
                  </w:divsChild>
                </w:div>
                <w:div w:id="16340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207">
          <w:marLeft w:val="0"/>
          <w:marRight w:val="0"/>
          <w:marTop w:val="0"/>
          <w:marBottom w:val="0"/>
          <w:divBdr>
            <w:top w:val="none" w:sz="0" w:space="0" w:color="auto"/>
            <w:left w:val="none" w:sz="0" w:space="0" w:color="auto"/>
            <w:bottom w:val="none" w:sz="0" w:space="0" w:color="auto"/>
            <w:right w:val="none" w:sz="0" w:space="0" w:color="auto"/>
          </w:divBdr>
          <w:divsChild>
            <w:div w:id="1634098401">
              <w:marLeft w:val="0"/>
              <w:marRight w:val="0"/>
              <w:marTop w:val="0"/>
              <w:marBottom w:val="0"/>
              <w:divBdr>
                <w:top w:val="none" w:sz="0" w:space="0" w:color="auto"/>
                <w:left w:val="none" w:sz="0" w:space="0" w:color="auto"/>
                <w:bottom w:val="none" w:sz="0" w:space="0" w:color="auto"/>
                <w:right w:val="none" w:sz="0" w:space="0" w:color="auto"/>
              </w:divBdr>
              <w:divsChild>
                <w:div w:id="1634097809">
                  <w:marLeft w:val="0"/>
                  <w:marRight w:val="0"/>
                  <w:marTop w:val="0"/>
                  <w:marBottom w:val="0"/>
                  <w:divBdr>
                    <w:top w:val="none" w:sz="0" w:space="0" w:color="auto"/>
                    <w:left w:val="none" w:sz="0" w:space="0" w:color="auto"/>
                    <w:bottom w:val="none" w:sz="0" w:space="0" w:color="auto"/>
                    <w:right w:val="none" w:sz="0" w:space="0" w:color="auto"/>
                  </w:divBdr>
                  <w:divsChild>
                    <w:div w:id="1634097801">
                      <w:marLeft w:val="0"/>
                      <w:marRight w:val="0"/>
                      <w:marTop w:val="0"/>
                      <w:marBottom w:val="0"/>
                      <w:divBdr>
                        <w:top w:val="none" w:sz="0" w:space="0" w:color="auto"/>
                        <w:left w:val="none" w:sz="0" w:space="0" w:color="auto"/>
                        <w:bottom w:val="none" w:sz="0" w:space="0" w:color="auto"/>
                        <w:right w:val="none" w:sz="0" w:space="0" w:color="auto"/>
                      </w:divBdr>
                      <w:divsChild>
                        <w:div w:id="1634098527">
                          <w:marLeft w:val="0"/>
                          <w:marRight w:val="0"/>
                          <w:marTop w:val="0"/>
                          <w:marBottom w:val="0"/>
                          <w:divBdr>
                            <w:top w:val="none" w:sz="0" w:space="0" w:color="auto"/>
                            <w:left w:val="none" w:sz="0" w:space="0" w:color="auto"/>
                            <w:bottom w:val="none" w:sz="0" w:space="0" w:color="auto"/>
                            <w:right w:val="none" w:sz="0" w:space="0" w:color="auto"/>
                          </w:divBdr>
                        </w:div>
                      </w:divsChild>
                    </w:div>
                    <w:div w:id="1634098505">
                      <w:marLeft w:val="0"/>
                      <w:marRight w:val="0"/>
                      <w:marTop w:val="0"/>
                      <w:marBottom w:val="0"/>
                      <w:divBdr>
                        <w:top w:val="none" w:sz="0" w:space="0" w:color="auto"/>
                        <w:left w:val="none" w:sz="0" w:space="0" w:color="auto"/>
                        <w:bottom w:val="none" w:sz="0" w:space="0" w:color="auto"/>
                        <w:right w:val="none" w:sz="0" w:space="0" w:color="auto"/>
                      </w:divBdr>
                    </w:div>
                  </w:divsChild>
                </w:div>
                <w:div w:id="1634098386">
                  <w:marLeft w:val="0"/>
                  <w:marRight w:val="0"/>
                  <w:marTop w:val="0"/>
                  <w:marBottom w:val="0"/>
                  <w:divBdr>
                    <w:top w:val="none" w:sz="0" w:space="0" w:color="auto"/>
                    <w:left w:val="none" w:sz="0" w:space="0" w:color="auto"/>
                    <w:bottom w:val="none" w:sz="0" w:space="0" w:color="auto"/>
                    <w:right w:val="none" w:sz="0" w:space="0" w:color="auto"/>
                  </w:divBdr>
                  <w:divsChild>
                    <w:div w:id="1634097909">
                      <w:marLeft w:val="0"/>
                      <w:marRight w:val="0"/>
                      <w:marTop w:val="0"/>
                      <w:marBottom w:val="0"/>
                      <w:divBdr>
                        <w:top w:val="none" w:sz="0" w:space="0" w:color="auto"/>
                        <w:left w:val="none" w:sz="0" w:space="0" w:color="auto"/>
                        <w:bottom w:val="none" w:sz="0" w:space="0" w:color="auto"/>
                        <w:right w:val="none" w:sz="0" w:space="0" w:color="auto"/>
                      </w:divBdr>
                    </w:div>
                    <w:div w:id="1634098167">
                      <w:marLeft w:val="0"/>
                      <w:marRight w:val="0"/>
                      <w:marTop w:val="0"/>
                      <w:marBottom w:val="0"/>
                      <w:divBdr>
                        <w:top w:val="none" w:sz="0" w:space="0" w:color="auto"/>
                        <w:left w:val="none" w:sz="0" w:space="0" w:color="auto"/>
                        <w:bottom w:val="none" w:sz="0" w:space="0" w:color="auto"/>
                        <w:right w:val="none" w:sz="0" w:space="0" w:color="auto"/>
                      </w:divBdr>
                    </w:div>
                    <w:div w:id="1634098257">
                      <w:marLeft w:val="0"/>
                      <w:marRight w:val="0"/>
                      <w:marTop w:val="0"/>
                      <w:marBottom w:val="0"/>
                      <w:divBdr>
                        <w:top w:val="none" w:sz="0" w:space="0" w:color="auto"/>
                        <w:left w:val="none" w:sz="0" w:space="0" w:color="auto"/>
                        <w:bottom w:val="none" w:sz="0" w:space="0" w:color="auto"/>
                        <w:right w:val="none" w:sz="0" w:space="0" w:color="auto"/>
                      </w:divBdr>
                      <w:divsChild>
                        <w:div w:id="1634098209">
                          <w:marLeft w:val="0"/>
                          <w:marRight w:val="0"/>
                          <w:marTop w:val="0"/>
                          <w:marBottom w:val="0"/>
                          <w:divBdr>
                            <w:top w:val="none" w:sz="0" w:space="0" w:color="auto"/>
                            <w:left w:val="none" w:sz="0" w:space="0" w:color="auto"/>
                            <w:bottom w:val="none" w:sz="0" w:space="0" w:color="auto"/>
                            <w:right w:val="none" w:sz="0" w:space="0" w:color="auto"/>
                          </w:divBdr>
                        </w:div>
                      </w:divsChild>
                    </w:div>
                    <w:div w:id="1634098612">
                      <w:marLeft w:val="0"/>
                      <w:marRight w:val="0"/>
                      <w:marTop w:val="0"/>
                      <w:marBottom w:val="0"/>
                      <w:divBdr>
                        <w:top w:val="none" w:sz="0" w:space="0" w:color="auto"/>
                        <w:left w:val="none" w:sz="0" w:space="0" w:color="auto"/>
                        <w:bottom w:val="none" w:sz="0" w:space="0" w:color="auto"/>
                        <w:right w:val="none" w:sz="0" w:space="0" w:color="auto"/>
                      </w:divBdr>
                      <w:divsChild>
                        <w:div w:id="1634098542">
                          <w:marLeft w:val="0"/>
                          <w:marRight w:val="0"/>
                          <w:marTop w:val="0"/>
                          <w:marBottom w:val="0"/>
                          <w:divBdr>
                            <w:top w:val="none" w:sz="0" w:space="0" w:color="auto"/>
                            <w:left w:val="none" w:sz="0" w:space="0" w:color="auto"/>
                            <w:bottom w:val="none" w:sz="0" w:space="0" w:color="auto"/>
                            <w:right w:val="none" w:sz="0" w:space="0" w:color="auto"/>
                          </w:divBdr>
                        </w:div>
                        <w:div w:id="16340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98249">
          <w:marLeft w:val="0"/>
          <w:marRight w:val="0"/>
          <w:marTop w:val="0"/>
          <w:marBottom w:val="0"/>
          <w:divBdr>
            <w:top w:val="none" w:sz="0" w:space="0" w:color="auto"/>
            <w:left w:val="none" w:sz="0" w:space="0" w:color="auto"/>
            <w:bottom w:val="none" w:sz="0" w:space="0" w:color="auto"/>
            <w:right w:val="none" w:sz="0" w:space="0" w:color="auto"/>
          </w:divBdr>
          <w:divsChild>
            <w:div w:id="1634097960">
              <w:marLeft w:val="0"/>
              <w:marRight w:val="0"/>
              <w:marTop w:val="0"/>
              <w:marBottom w:val="0"/>
              <w:divBdr>
                <w:top w:val="none" w:sz="0" w:space="0" w:color="auto"/>
                <w:left w:val="none" w:sz="0" w:space="0" w:color="auto"/>
                <w:bottom w:val="none" w:sz="0" w:space="0" w:color="auto"/>
                <w:right w:val="none" w:sz="0" w:space="0" w:color="auto"/>
              </w:divBdr>
              <w:divsChild>
                <w:div w:id="1634098346">
                  <w:marLeft w:val="0"/>
                  <w:marRight w:val="0"/>
                  <w:marTop w:val="0"/>
                  <w:marBottom w:val="0"/>
                  <w:divBdr>
                    <w:top w:val="none" w:sz="0" w:space="0" w:color="auto"/>
                    <w:left w:val="none" w:sz="0" w:space="0" w:color="auto"/>
                    <w:bottom w:val="none" w:sz="0" w:space="0" w:color="auto"/>
                    <w:right w:val="none" w:sz="0" w:space="0" w:color="auto"/>
                  </w:divBdr>
                  <w:divsChild>
                    <w:div w:id="163409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416">
          <w:marLeft w:val="0"/>
          <w:marRight w:val="0"/>
          <w:marTop w:val="0"/>
          <w:marBottom w:val="0"/>
          <w:divBdr>
            <w:top w:val="none" w:sz="0" w:space="0" w:color="auto"/>
            <w:left w:val="none" w:sz="0" w:space="0" w:color="auto"/>
            <w:bottom w:val="none" w:sz="0" w:space="0" w:color="auto"/>
            <w:right w:val="none" w:sz="0" w:space="0" w:color="auto"/>
          </w:divBdr>
          <w:divsChild>
            <w:div w:id="1634098366">
              <w:marLeft w:val="0"/>
              <w:marRight w:val="0"/>
              <w:marTop w:val="0"/>
              <w:marBottom w:val="0"/>
              <w:divBdr>
                <w:top w:val="none" w:sz="0" w:space="0" w:color="auto"/>
                <w:left w:val="none" w:sz="0" w:space="0" w:color="auto"/>
                <w:bottom w:val="none" w:sz="0" w:space="0" w:color="auto"/>
                <w:right w:val="none" w:sz="0" w:space="0" w:color="auto"/>
              </w:divBdr>
              <w:divsChild>
                <w:div w:id="1634097893">
                  <w:marLeft w:val="0"/>
                  <w:marRight w:val="0"/>
                  <w:marTop w:val="0"/>
                  <w:marBottom w:val="0"/>
                  <w:divBdr>
                    <w:top w:val="none" w:sz="0" w:space="0" w:color="auto"/>
                    <w:left w:val="none" w:sz="0" w:space="0" w:color="auto"/>
                    <w:bottom w:val="none" w:sz="0" w:space="0" w:color="auto"/>
                    <w:right w:val="none" w:sz="0" w:space="0" w:color="auto"/>
                  </w:divBdr>
                  <w:divsChild>
                    <w:div w:id="16340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423">
          <w:marLeft w:val="0"/>
          <w:marRight w:val="0"/>
          <w:marTop w:val="0"/>
          <w:marBottom w:val="0"/>
          <w:divBdr>
            <w:top w:val="none" w:sz="0" w:space="0" w:color="auto"/>
            <w:left w:val="none" w:sz="0" w:space="0" w:color="auto"/>
            <w:bottom w:val="none" w:sz="0" w:space="0" w:color="auto"/>
            <w:right w:val="none" w:sz="0" w:space="0" w:color="auto"/>
          </w:divBdr>
          <w:divsChild>
            <w:div w:id="1634098116">
              <w:marLeft w:val="0"/>
              <w:marRight w:val="0"/>
              <w:marTop w:val="0"/>
              <w:marBottom w:val="0"/>
              <w:divBdr>
                <w:top w:val="none" w:sz="0" w:space="0" w:color="auto"/>
                <w:left w:val="none" w:sz="0" w:space="0" w:color="auto"/>
                <w:bottom w:val="none" w:sz="0" w:space="0" w:color="auto"/>
                <w:right w:val="none" w:sz="0" w:space="0" w:color="auto"/>
              </w:divBdr>
              <w:divsChild>
                <w:div w:id="1634098500">
                  <w:marLeft w:val="0"/>
                  <w:marRight w:val="0"/>
                  <w:marTop w:val="0"/>
                  <w:marBottom w:val="0"/>
                  <w:divBdr>
                    <w:top w:val="none" w:sz="0" w:space="0" w:color="auto"/>
                    <w:left w:val="none" w:sz="0" w:space="0" w:color="auto"/>
                    <w:bottom w:val="none" w:sz="0" w:space="0" w:color="auto"/>
                    <w:right w:val="none" w:sz="0" w:space="0" w:color="auto"/>
                  </w:divBdr>
                  <w:divsChild>
                    <w:div w:id="1634097924">
                      <w:marLeft w:val="0"/>
                      <w:marRight w:val="0"/>
                      <w:marTop w:val="0"/>
                      <w:marBottom w:val="0"/>
                      <w:divBdr>
                        <w:top w:val="none" w:sz="0" w:space="0" w:color="auto"/>
                        <w:left w:val="none" w:sz="0" w:space="0" w:color="auto"/>
                        <w:bottom w:val="none" w:sz="0" w:space="0" w:color="auto"/>
                        <w:right w:val="none" w:sz="0" w:space="0" w:color="auto"/>
                      </w:divBdr>
                    </w:div>
                    <w:div w:id="163409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607">
          <w:marLeft w:val="0"/>
          <w:marRight w:val="0"/>
          <w:marTop w:val="0"/>
          <w:marBottom w:val="0"/>
          <w:divBdr>
            <w:top w:val="none" w:sz="0" w:space="0" w:color="auto"/>
            <w:left w:val="none" w:sz="0" w:space="0" w:color="auto"/>
            <w:bottom w:val="none" w:sz="0" w:space="0" w:color="auto"/>
            <w:right w:val="none" w:sz="0" w:space="0" w:color="auto"/>
          </w:divBdr>
          <w:divsChild>
            <w:div w:id="1634098088">
              <w:marLeft w:val="0"/>
              <w:marRight w:val="0"/>
              <w:marTop w:val="0"/>
              <w:marBottom w:val="0"/>
              <w:divBdr>
                <w:top w:val="none" w:sz="0" w:space="0" w:color="auto"/>
                <w:left w:val="none" w:sz="0" w:space="0" w:color="auto"/>
                <w:bottom w:val="none" w:sz="0" w:space="0" w:color="auto"/>
                <w:right w:val="none" w:sz="0" w:space="0" w:color="auto"/>
              </w:divBdr>
              <w:divsChild>
                <w:div w:id="1634098551">
                  <w:marLeft w:val="0"/>
                  <w:marRight w:val="0"/>
                  <w:marTop w:val="0"/>
                  <w:marBottom w:val="0"/>
                  <w:divBdr>
                    <w:top w:val="none" w:sz="0" w:space="0" w:color="auto"/>
                    <w:left w:val="none" w:sz="0" w:space="0" w:color="auto"/>
                    <w:bottom w:val="none" w:sz="0" w:space="0" w:color="auto"/>
                    <w:right w:val="none" w:sz="0" w:space="0" w:color="auto"/>
                  </w:divBdr>
                  <w:divsChild>
                    <w:div w:id="1634098134">
                      <w:marLeft w:val="0"/>
                      <w:marRight w:val="0"/>
                      <w:marTop w:val="0"/>
                      <w:marBottom w:val="0"/>
                      <w:divBdr>
                        <w:top w:val="none" w:sz="0" w:space="0" w:color="auto"/>
                        <w:left w:val="none" w:sz="0" w:space="0" w:color="auto"/>
                        <w:bottom w:val="none" w:sz="0" w:space="0" w:color="auto"/>
                        <w:right w:val="none" w:sz="0" w:space="0" w:color="auto"/>
                      </w:divBdr>
                    </w:div>
                    <w:div w:id="1634098391">
                      <w:marLeft w:val="0"/>
                      <w:marRight w:val="0"/>
                      <w:marTop w:val="0"/>
                      <w:marBottom w:val="0"/>
                      <w:divBdr>
                        <w:top w:val="none" w:sz="0" w:space="0" w:color="auto"/>
                        <w:left w:val="none" w:sz="0" w:space="0" w:color="auto"/>
                        <w:bottom w:val="none" w:sz="0" w:space="0" w:color="auto"/>
                        <w:right w:val="none" w:sz="0" w:space="0" w:color="auto"/>
                      </w:divBdr>
                      <w:divsChild>
                        <w:div w:id="16340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647">
                  <w:marLeft w:val="0"/>
                  <w:marRight w:val="0"/>
                  <w:marTop w:val="0"/>
                  <w:marBottom w:val="0"/>
                  <w:divBdr>
                    <w:top w:val="none" w:sz="0" w:space="0" w:color="auto"/>
                    <w:left w:val="none" w:sz="0" w:space="0" w:color="auto"/>
                    <w:bottom w:val="none" w:sz="0" w:space="0" w:color="auto"/>
                    <w:right w:val="none" w:sz="0" w:space="0" w:color="auto"/>
                  </w:divBdr>
                </w:div>
              </w:divsChild>
            </w:div>
            <w:div w:id="1634098327">
              <w:marLeft w:val="0"/>
              <w:marRight w:val="0"/>
              <w:marTop w:val="0"/>
              <w:marBottom w:val="0"/>
              <w:divBdr>
                <w:top w:val="none" w:sz="0" w:space="0" w:color="auto"/>
                <w:left w:val="none" w:sz="0" w:space="0" w:color="auto"/>
                <w:bottom w:val="none" w:sz="0" w:space="0" w:color="auto"/>
                <w:right w:val="none" w:sz="0" w:space="0" w:color="auto"/>
              </w:divBdr>
            </w:div>
            <w:div w:id="1634098506">
              <w:marLeft w:val="0"/>
              <w:marRight w:val="0"/>
              <w:marTop w:val="570"/>
              <w:marBottom w:val="600"/>
              <w:divBdr>
                <w:top w:val="none" w:sz="0" w:space="0" w:color="auto"/>
                <w:left w:val="none" w:sz="0" w:space="0" w:color="auto"/>
                <w:bottom w:val="none" w:sz="0" w:space="0" w:color="auto"/>
                <w:right w:val="none" w:sz="0" w:space="0" w:color="auto"/>
              </w:divBdr>
              <w:divsChild>
                <w:div w:id="1634097846">
                  <w:marLeft w:val="0"/>
                  <w:marRight w:val="0"/>
                  <w:marTop w:val="300"/>
                  <w:marBottom w:val="0"/>
                  <w:divBdr>
                    <w:top w:val="none" w:sz="0" w:space="0" w:color="auto"/>
                    <w:left w:val="none" w:sz="0" w:space="0" w:color="auto"/>
                    <w:bottom w:val="none" w:sz="0" w:space="0" w:color="auto"/>
                    <w:right w:val="none" w:sz="0" w:space="0" w:color="auto"/>
                  </w:divBdr>
                </w:div>
                <w:div w:id="1634098232">
                  <w:marLeft w:val="0"/>
                  <w:marRight w:val="0"/>
                  <w:marTop w:val="0"/>
                  <w:marBottom w:val="0"/>
                  <w:divBdr>
                    <w:top w:val="none" w:sz="0" w:space="0" w:color="auto"/>
                    <w:left w:val="none" w:sz="0" w:space="0" w:color="auto"/>
                    <w:bottom w:val="none" w:sz="0" w:space="0" w:color="auto"/>
                    <w:right w:val="none" w:sz="0" w:space="0" w:color="auto"/>
                  </w:divBdr>
                  <w:divsChild>
                    <w:div w:id="1634098082">
                      <w:marLeft w:val="0"/>
                      <w:marRight w:val="0"/>
                      <w:marTop w:val="0"/>
                      <w:marBottom w:val="0"/>
                      <w:divBdr>
                        <w:top w:val="none" w:sz="0" w:space="0" w:color="auto"/>
                        <w:left w:val="none" w:sz="0" w:space="0" w:color="auto"/>
                        <w:bottom w:val="none" w:sz="0" w:space="0" w:color="auto"/>
                        <w:right w:val="none" w:sz="0" w:space="0" w:color="auto"/>
                      </w:divBdr>
                      <w:divsChild>
                        <w:div w:id="1634097811">
                          <w:marLeft w:val="0"/>
                          <w:marRight w:val="0"/>
                          <w:marTop w:val="0"/>
                          <w:marBottom w:val="0"/>
                          <w:divBdr>
                            <w:top w:val="none" w:sz="0" w:space="0" w:color="auto"/>
                            <w:left w:val="none" w:sz="0" w:space="0" w:color="auto"/>
                            <w:bottom w:val="none" w:sz="0" w:space="0" w:color="auto"/>
                            <w:right w:val="none" w:sz="0" w:space="0" w:color="auto"/>
                          </w:divBdr>
                        </w:div>
                        <w:div w:id="16340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618">
              <w:marLeft w:val="0"/>
              <w:marRight w:val="0"/>
              <w:marTop w:val="0"/>
              <w:marBottom w:val="0"/>
              <w:divBdr>
                <w:top w:val="none" w:sz="0" w:space="0" w:color="auto"/>
                <w:left w:val="none" w:sz="0" w:space="0" w:color="auto"/>
                <w:bottom w:val="none" w:sz="0" w:space="0" w:color="auto"/>
                <w:right w:val="none" w:sz="0" w:space="0" w:color="auto"/>
              </w:divBdr>
              <w:divsChild>
                <w:div w:id="1634098285">
                  <w:marLeft w:val="0"/>
                  <w:marRight w:val="0"/>
                  <w:marTop w:val="0"/>
                  <w:marBottom w:val="0"/>
                  <w:divBdr>
                    <w:top w:val="none" w:sz="0" w:space="0" w:color="auto"/>
                    <w:left w:val="none" w:sz="0" w:space="0" w:color="auto"/>
                    <w:bottom w:val="none" w:sz="0" w:space="0" w:color="auto"/>
                    <w:right w:val="none" w:sz="0" w:space="0" w:color="auto"/>
                  </w:divBdr>
                  <w:divsChild>
                    <w:div w:id="1634097998">
                      <w:marLeft w:val="0"/>
                      <w:marRight w:val="0"/>
                      <w:marTop w:val="0"/>
                      <w:marBottom w:val="0"/>
                      <w:divBdr>
                        <w:top w:val="none" w:sz="0" w:space="0" w:color="auto"/>
                        <w:left w:val="none" w:sz="0" w:space="0" w:color="auto"/>
                        <w:bottom w:val="none" w:sz="0" w:space="0" w:color="auto"/>
                        <w:right w:val="none" w:sz="0" w:space="0" w:color="auto"/>
                      </w:divBdr>
                      <w:divsChild>
                        <w:div w:id="1634097968">
                          <w:marLeft w:val="0"/>
                          <w:marRight w:val="0"/>
                          <w:marTop w:val="0"/>
                          <w:marBottom w:val="0"/>
                          <w:divBdr>
                            <w:top w:val="none" w:sz="0" w:space="0" w:color="auto"/>
                            <w:left w:val="none" w:sz="0" w:space="0" w:color="auto"/>
                            <w:bottom w:val="none" w:sz="0" w:space="0" w:color="auto"/>
                            <w:right w:val="none" w:sz="0" w:space="0" w:color="auto"/>
                          </w:divBdr>
                          <w:divsChild>
                            <w:div w:id="1634097969">
                              <w:marLeft w:val="0"/>
                              <w:marRight w:val="0"/>
                              <w:marTop w:val="0"/>
                              <w:marBottom w:val="0"/>
                              <w:divBdr>
                                <w:top w:val="none" w:sz="0" w:space="0" w:color="auto"/>
                                <w:left w:val="none" w:sz="0" w:space="0" w:color="auto"/>
                                <w:bottom w:val="none" w:sz="0" w:space="0" w:color="auto"/>
                                <w:right w:val="none" w:sz="0" w:space="0" w:color="auto"/>
                              </w:divBdr>
                              <w:divsChild>
                                <w:div w:id="1634098295">
                                  <w:marLeft w:val="0"/>
                                  <w:marRight w:val="0"/>
                                  <w:marTop w:val="0"/>
                                  <w:marBottom w:val="0"/>
                                  <w:divBdr>
                                    <w:top w:val="none" w:sz="0" w:space="0" w:color="auto"/>
                                    <w:left w:val="none" w:sz="0" w:space="0" w:color="auto"/>
                                    <w:bottom w:val="none" w:sz="0" w:space="0" w:color="auto"/>
                                    <w:right w:val="none" w:sz="0" w:space="0" w:color="auto"/>
                                  </w:divBdr>
                                  <w:divsChild>
                                    <w:div w:id="1634098253">
                                      <w:marLeft w:val="0"/>
                                      <w:marRight w:val="0"/>
                                      <w:marTop w:val="0"/>
                                      <w:marBottom w:val="0"/>
                                      <w:divBdr>
                                        <w:top w:val="none" w:sz="0" w:space="0" w:color="auto"/>
                                        <w:left w:val="none" w:sz="0" w:space="0" w:color="auto"/>
                                        <w:bottom w:val="none" w:sz="0" w:space="0" w:color="auto"/>
                                        <w:right w:val="none" w:sz="0" w:space="0" w:color="auto"/>
                                      </w:divBdr>
                                      <w:divsChild>
                                        <w:div w:id="1634098689">
                                          <w:marLeft w:val="0"/>
                                          <w:marRight w:val="0"/>
                                          <w:marTop w:val="0"/>
                                          <w:marBottom w:val="0"/>
                                          <w:divBdr>
                                            <w:top w:val="none" w:sz="0" w:space="0" w:color="auto"/>
                                            <w:left w:val="none" w:sz="0" w:space="0" w:color="auto"/>
                                            <w:bottom w:val="none" w:sz="0" w:space="0" w:color="auto"/>
                                            <w:right w:val="none" w:sz="0" w:space="0" w:color="auto"/>
                                          </w:divBdr>
                                          <w:divsChild>
                                            <w:div w:id="1634098179">
                                              <w:marLeft w:val="0"/>
                                              <w:marRight w:val="0"/>
                                              <w:marTop w:val="0"/>
                                              <w:marBottom w:val="0"/>
                                              <w:divBdr>
                                                <w:top w:val="none" w:sz="0" w:space="0" w:color="auto"/>
                                                <w:left w:val="none" w:sz="0" w:space="0" w:color="auto"/>
                                                <w:bottom w:val="none" w:sz="0" w:space="0" w:color="auto"/>
                                                <w:right w:val="none" w:sz="0" w:space="0" w:color="auto"/>
                                              </w:divBdr>
                                              <w:divsChild>
                                                <w:div w:id="1634097930">
                                                  <w:marLeft w:val="0"/>
                                                  <w:marRight w:val="0"/>
                                                  <w:marTop w:val="0"/>
                                                  <w:marBottom w:val="0"/>
                                                  <w:divBdr>
                                                    <w:top w:val="none" w:sz="0" w:space="0" w:color="auto"/>
                                                    <w:left w:val="none" w:sz="0" w:space="0" w:color="auto"/>
                                                    <w:bottom w:val="none" w:sz="0" w:space="0" w:color="auto"/>
                                                    <w:right w:val="none" w:sz="0" w:space="0" w:color="auto"/>
                                                  </w:divBdr>
                                                  <w:divsChild>
                                                    <w:div w:id="1634098586">
                                                      <w:marLeft w:val="0"/>
                                                      <w:marRight w:val="0"/>
                                                      <w:marTop w:val="0"/>
                                                      <w:marBottom w:val="0"/>
                                                      <w:divBdr>
                                                        <w:top w:val="none" w:sz="0" w:space="0" w:color="auto"/>
                                                        <w:left w:val="none" w:sz="0" w:space="0" w:color="auto"/>
                                                        <w:bottom w:val="none" w:sz="0" w:space="0" w:color="auto"/>
                                                        <w:right w:val="none" w:sz="0" w:space="0" w:color="auto"/>
                                                      </w:divBdr>
                                                    </w:div>
                                                  </w:divsChild>
                                                </w:div>
                                                <w:div w:id="1634097950">
                                                  <w:marLeft w:val="0"/>
                                                  <w:marRight w:val="0"/>
                                                  <w:marTop w:val="0"/>
                                                  <w:marBottom w:val="0"/>
                                                  <w:divBdr>
                                                    <w:top w:val="none" w:sz="0" w:space="0" w:color="auto"/>
                                                    <w:left w:val="none" w:sz="0" w:space="0" w:color="auto"/>
                                                    <w:bottom w:val="none" w:sz="0" w:space="0" w:color="auto"/>
                                                    <w:right w:val="none" w:sz="0" w:space="0" w:color="auto"/>
                                                  </w:divBdr>
                                                  <w:divsChild>
                                                    <w:div w:id="1634098670">
                                                      <w:marLeft w:val="0"/>
                                                      <w:marRight w:val="0"/>
                                                      <w:marTop w:val="0"/>
                                                      <w:marBottom w:val="0"/>
                                                      <w:divBdr>
                                                        <w:top w:val="none" w:sz="0" w:space="0" w:color="auto"/>
                                                        <w:left w:val="none" w:sz="0" w:space="0" w:color="auto"/>
                                                        <w:bottom w:val="none" w:sz="0" w:space="0" w:color="auto"/>
                                                        <w:right w:val="none" w:sz="0" w:space="0" w:color="auto"/>
                                                      </w:divBdr>
                                                      <w:divsChild>
                                                        <w:div w:id="16340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7991">
                                                  <w:marLeft w:val="0"/>
                                                  <w:marRight w:val="0"/>
                                                  <w:marTop w:val="0"/>
                                                  <w:marBottom w:val="0"/>
                                                  <w:divBdr>
                                                    <w:top w:val="none" w:sz="0" w:space="0" w:color="auto"/>
                                                    <w:left w:val="none" w:sz="0" w:space="0" w:color="auto"/>
                                                    <w:bottom w:val="none" w:sz="0" w:space="0" w:color="auto"/>
                                                    <w:right w:val="none" w:sz="0" w:space="0" w:color="auto"/>
                                                  </w:divBdr>
                                                  <w:divsChild>
                                                    <w:div w:id="1634098697">
                                                      <w:marLeft w:val="0"/>
                                                      <w:marRight w:val="0"/>
                                                      <w:marTop w:val="0"/>
                                                      <w:marBottom w:val="0"/>
                                                      <w:divBdr>
                                                        <w:top w:val="none" w:sz="0" w:space="0" w:color="auto"/>
                                                        <w:left w:val="none" w:sz="0" w:space="0" w:color="auto"/>
                                                        <w:bottom w:val="none" w:sz="0" w:space="0" w:color="auto"/>
                                                        <w:right w:val="none" w:sz="0" w:space="0" w:color="auto"/>
                                                      </w:divBdr>
                                                      <w:divsChild>
                                                        <w:div w:id="163409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019">
                                                  <w:marLeft w:val="0"/>
                                                  <w:marRight w:val="0"/>
                                                  <w:marTop w:val="0"/>
                                                  <w:marBottom w:val="0"/>
                                                  <w:divBdr>
                                                    <w:top w:val="none" w:sz="0" w:space="0" w:color="auto"/>
                                                    <w:left w:val="none" w:sz="0" w:space="0" w:color="auto"/>
                                                    <w:bottom w:val="none" w:sz="0" w:space="0" w:color="auto"/>
                                                    <w:right w:val="none" w:sz="0" w:space="0" w:color="auto"/>
                                                  </w:divBdr>
                                                  <w:divsChild>
                                                    <w:div w:id="1634098157">
                                                      <w:marLeft w:val="0"/>
                                                      <w:marRight w:val="0"/>
                                                      <w:marTop w:val="0"/>
                                                      <w:marBottom w:val="0"/>
                                                      <w:divBdr>
                                                        <w:top w:val="none" w:sz="0" w:space="0" w:color="auto"/>
                                                        <w:left w:val="none" w:sz="0" w:space="0" w:color="auto"/>
                                                        <w:bottom w:val="none" w:sz="0" w:space="0" w:color="auto"/>
                                                        <w:right w:val="none" w:sz="0" w:space="0" w:color="auto"/>
                                                      </w:divBdr>
                                                    </w:div>
                                                  </w:divsChild>
                                                </w:div>
                                                <w:div w:id="1634098316">
                                                  <w:marLeft w:val="0"/>
                                                  <w:marRight w:val="0"/>
                                                  <w:marTop w:val="0"/>
                                                  <w:marBottom w:val="0"/>
                                                  <w:divBdr>
                                                    <w:top w:val="none" w:sz="0" w:space="0" w:color="auto"/>
                                                    <w:left w:val="none" w:sz="0" w:space="0" w:color="auto"/>
                                                    <w:bottom w:val="none" w:sz="0" w:space="0" w:color="auto"/>
                                                    <w:right w:val="none" w:sz="0" w:space="0" w:color="auto"/>
                                                  </w:divBdr>
                                                  <w:divsChild>
                                                    <w:div w:id="16340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975">
                          <w:marLeft w:val="0"/>
                          <w:marRight w:val="0"/>
                          <w:marTop w:val="0"/>
                          <w:marBottom w:val="0"/>
                          <w:divBdr>
                            <w:top w:val="none" w:sz="0" w:space="0" w:color="auto"/>
                            <w:left w:val="none" w:sz="0" w:space="0" w:color="auto"/>
                            <w:bottom w:val="none" w:sz="0" w:space="0" w:color="auto"/>
                            <w:right w:val="none" w:sz="0" w:space="0" w:color="auto"/>
                          </w:divBdr>
                          <w:divsChild>
                            <w:div w:id="1634097901">
                              <w:marLeft w:val="0"/>
                              <w:marRight w:val="0"/>
                              <w:marTop w:val="0"/>
                              <w:marBottom w:val="0"/>
                              <w:divBdr>
                                <w:top w:val="none" w:sz="0" w:space="0" w:color="auto"/>
                                <w:left w:val="none" w:sz="0" w:space="0" w:color="auto"/>
                                <w:bottom w:val="none" w:sz="0" w:space="0" w:color="auto"/>
                                <w:right w:val="none" w:sz="0" w:space="0" w:color="auto"/>
                              </w:divBdr>
                              <w:divsChild>
                                <w:div w:id="1634098512">
                                  <w:marLeft w:val="0"/>
                                  <w:marRight w:val="0"/>
                                  <w:marTop w:val="0"/>
                                  <w:marBottom w:val="0"/>
                                  <w:divBdr>
                                    <w:top w:val="none" w:sz="0" w:space="0" w:color="auto"/>
                                    <w:left w:val="none" w:sz="0" w:space="0" w:color="auto"/>
                                    <w:bottom w:val="none" w:sz="0" w:space="0" w:color="auto"/>
                                    <w:right w:val="none" w:sz="0" w:space="0" w:color="auto"/>
                                  </w:divBdr>
                                  <w:divsChild>
                                    <w:div w:id="1634097957">
                                      <w:marLeft w:val="0"/>
                                      <w:marRight w:val="0"/>
                                      <w:marTop w:val="0"/>
                                      <w:marBottom w:val="0"/>
                                      <w:divBdr>
                                        <w:top w:val="none" w:sz="0" w:space="0" w:color="auto"/>
                                        <w:left w:val="none" w:sz="0" w:space="0" w:color="auto"/>
                                        <w:bottom w:val="none" w:sz="0" w:space="0" w:color="auto"/>
                                        <w:right w:val="none" w:sz="0" w:space="0" w:color="auto"/>
                                      </w:divBdr>
                                      <w:divsChild>
                                        <w:div w:id="1634097979">
                                          <w:marLeft w:val="0"/>
                                          <w:marRight w:val="0"/>
                                          <w:marTop w:val="0"/>
                                          <w:marBottom w:val="0"/>
                                          <w:divBdr>
                                            <w:top w:val="none" w:sz="0" w:space="0" w:color="auto"/>
                                            <w:left w:val="none" w:sz="0" w:space="0" w:color="auto"/>
                                            <w:bottom w:val="none" w:sz="0" w:space="0" w:color="auto"/>
                                            <w:right w:val="none" w:sz="0" w:space="0" w:color="auto"/>
                                          </w:divBdr>
                                          <w:divsChild>
                                            <w:div w:id="1634098438">
                                              <w:marLeft w:val="0"/>
                                              <w:marRight w:val="0"/>
                                              <w:marTop w:val="0"/>
                                              <w:marBottom w:val="0"/>
                                              <w:divBdr>
                                                <w:top w:val="none" w:sz="0" w:space="0" w:color="auto"/>
                                                <w:left w:val="none" w:sz="0" w:space="0" w:color="auto"/>
                                                <w:bottom w:val="none" w:sz="0" w:space="0" w:color="auto"/>
                                                <w:right w:val="none" w:sz="0" w:space="0" w:color="auto"/>
                                              </w:divBdr>
                                              <w:divsChild>
                                                <w:div w:id="1634097812">
                                                  <w:marLeft w:val="0"/>
                                                  <w:marRight w:val="0"/>
                                                  <w:marTop w:val="0"/>
                                                  <w:marBottom w:val="0"/>
                                                  <w:divBdr>
                                                    <w:top w:val="none" w:sz="0" w:space="0" w:color="auto"/>
                                                    <w:left w:val="none" w:sz="0" w:space="0" w:color="auto"/>
                                                    <w:bottom w:val="none" w:sz="0" w:space="0" w:color="auto"/>
                                                    <w:right w:val="none" w:sz="0" w:space="0" w:color="auto"/>
                                                  </w:divBdr>
                                                  <w:divsChild>
                                                    <w:div w:id="1634097885">
                                                      <w:marLeft w:val="0"/>
                                                      <w:marRight w:val="0"/>
                                                      <w:marTop w:val="0"/>
                                                      <w:marBottom w:val="0"/>
                                                      <w:divBdr>
                                                        <w:top w:val="none" w:sz="0" w:space="0" w:color="auto"/>
                                                        <w:left w:val="none" w:sz="0" w:space="0" w:color="auto"/>
                                                        <w:bottom w:val="none" w:sz="0" w:space="0" w:color="auto"/>
                                                        <w:right w:val="none" w:sz="0" w:space="0" w:color="auto"/>
                                                      </w:divBdr>
                                                      <w:divsChild>
                                                        <w:div w:id="16340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000">
                                                  <w:marLeft w:val="0"/>
                                                  <w:marRight w:val="0"/>
                                                  <w:marTop w:val="0"/>
                                                  <w:marBottom w:val="0"/>
                                                  <w:divBdr>
                                                    <w:top w:val="none" w:sz="0" w:space="0" w:color="auto"/>
                                                    <w:left w:val="none" w:sz="0" w:space="0" w:color="auto"/>
                                                    <w:bottom w:val="none" w:sz="0" w:space="0" w:color="auto"/>
                                                    <w:right w:val="none" w:sz="0" w:space="0" w:color="auto"/>
                                                  </w:divBdr>
                                                  <w:divsChild>
                                                    <w:div w:id="1634098299">
                                                      <w:marLeft w:val="0"/>
                                                      <w:marRight w:val="0"/>
                                                      <w:marTop w:val="0"/>
                                                      <w:marBottom w:val="0"/>
                                                      <w:divBdr>
                                                        <w:top w:val="none" w:sz="0" w:space="0" w:color="auto"/>
                                                        <w:left w:val="none" w:sz="0" w:space="0" w:color="auto"/>
                                                        <w:bottom w:val="none" w:sz="0" w:space="0" w:color="auto"/>
                                                        <w:right w:val="none" w:sz="0" w:space="0" w:color="auto"/>
                                                      </w:divBdr>
                                                    </w:div>
                                                  </w:divsChild>
                                                </w:div>
                                                <w:div w:id="1634098111">
                                                  <w:marLeft w:val="0"/>
                                                  <w:marRight w:val="0"/>
                                                  <w:marTop w:val="0"/>
                                                  <w:marBottom w:val="0"/>
                                                  <w:divBdr>
                                                    <w:top w:val="none" w:sz="0" w:space="0" w:color="auto"/>
                                                    <w:left w:val="none" w:sz="0" w:space="0" w:color="auto"/>
                                                    <w:bottom w:val="none" w:sz="0" w:space="0" w:color="auto"/>
                                                    <w:right w:val="none" w:sz="0" w:space="0" w:color="auto"/>
                                                  </w:divBdr>
                                                  <w:divsChild>
                                                    <w:div w:id="1634097875">
                                                      <w:marLeft w:val="0"/>
                                                      <w:marRight w:val="0"/>
                                                      <w:marTop w:val="0"/>
                                                      <w:marBottom w:val="0"/>
                                                      <w:divBdr>
                                                        <w:top w:val="none" w:sz="0" w:space="0" w:color="auto"/>
                                                        <w:left w:val="none" w:sz="0" w:space="0" w:color="auto"/>
                                                        <w:bottom w:val="none" w:sz="0" w:space="0" w:color="auto"/>
                                                        <w:right w:val="none" w:sz="0" w:space="0" w:color="auto"/>
                                                      </w:divBdr>
                                                    </w:div>
                                                  </w:divsChild>
                                                </w:div>
                                                <w:div w:id="1634098373">
                                                  <w:marLeft w:val="0"/>
                                                  <w:marRight w:val="0"/>
                                                  <w:marTop w:val="0"/>
                                                  <w:marBottom w:val="0"/>
                                                  <w:divBdr>
                                                    <w:top w:val="none" w:sz="0" w:space="0" w:color="auto"/>
                                                    <w:left w:val="none" w:sz="0" w:space="0" w:color="auto"/>
                                                    <w:bottom w:val="none" w:sz="0" w:space="0" w:color="auto"/>
                                                    <w:right w:val="none" w:sz="0" w:space="0" w:color="auto"/>
                                                  </w:divBdr>
                                                  <w:divsChild>
                                                    <w:div w:id="1634098654">
                                                      <w:marLeft w:val="0"/>
                                                      <w:marRight w:val="0"/>
                                                      <w:marTop w:val="0"/>
                                                      <w:marBottom w:val="0"/>
                                                      <w:divBdr>
                                                        <w:top w:val="none" w:sz="0" w:space="0" w:color="auto"/>
                                                        <w:left w:val="none" w:sz="0" w:space="0" w:color="auto"/>
                                                        <w:bottom w:val="none" w:sz="0" w:space="0" w:color="auto"/>
                                                        <w:right w:val="none" w:sz="0" w:space="0" w:color="auto"/>
                                                      </w:divBdr>
                                                      <w:divsChild>
                                                        <w:div w:id="16340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596">
                                                  <w:marLeft w:val="0"/>
                                                  <w:marRight w:val="0"/>
                                                  <w:marTop w:val="0"/>
                                                  <w:marBottom w:val="0"/>
                                                  <w:divBdr>
                                                    <w:top w:val="none" w:sz="0" w:space="0" w:color="auto"/>
                                                    <w:left w:val="none" w:sz="0" w:space="0" w:color="auto"/>
                                                    <w:bottom w:val="none" w:sz="0" w:space="0" w:color="auto"/>
                                                    <w:right w:val="none" w:sz="0" w:space="0" w:color="auto"/>
                                                  </w:divBdr>
                                                  <w:divsChild>
                                                    <w:div w:id="1634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984">
                          <w:marLeft w:val="0"/>
                          <w:marRight w:val="0"/>
                          <w:marTop w:val="0"/>
                          <w:marBottom w:val="0"/>
                          <w:divBdr>
                            <w:top w:val="none" w:sz="0" w:space="0" w:color="auto"/>
                            <w:left w:val="none" w:sz="0" w:space="0" w:color="auto"/>
                            <w:bottom w:val="none" w:sz="0" w:space="0" w:color="auto"/>
                            <w:right w:val="none" w:sz="0" w:space="0" w:color="auto"/>
                          </w:divBdr>
                          <w:divsChild>
                            <w:div w:id="1634098549">
                              <w:marLeft w:val="0"/>
                              <w:marRight w:val="0"/>
                              <w:marTop w:val="0"/>
                              <w:marBottom w:val="0"/>
                              <w:divBdr>
                                <w:top w:val="none" w:sz="0" w:space="0" w:color="auto"/>
                                <w:left w:val="none" w:sz="0" w:space="0" w:color="auto"/>
                                <w:bottom w:val="none" w:sz="0" w:space="0" w:color="auto"/>
                                <w:right w:val="none" w:sz="0" w:space="0" w:color="auto"/>
                              </w:divBdr>
                              <w:divsChild>
                                <w:div w:id="1634097894">
                                  <w:marLeft w:val="0"/>
                                  <w:marRight w:val="0"/>
                                  <w:marTop w:val="0"/>
                                  <w:marBottom w:val="0"/>
                                  <w:divBdr>
                                    <w:top w:val="none" w:sz="0" w:space="0" w:color="auto"/>
                                    <w:left w:val="none" w:sz="0" w:space="0" w:color="auto"/>
                                    <w:bottom w:val="none" w:sz="0" w:space="0" w:color="auto"/>
                                    <w:right w:val="none" w:sz="0" w:space="0" w:color="auto"/>
                                  </w:divBdr>
                                  <w:divsChild>
                                    <w:div w:id="1634098639">
                                      <w:marLeft w:val="0"/>
                                      <w:marRight w:val="0"/>
                                      <w:marTop w:val="0"/>
                                      <w:marBottom w:val="0"/>
                                      <w:divBdr>
                                        <w:top w:val="none" w:sz="0" w:space="0" w:color="auto"/>
                                        <w:left w:val="none" w:sz="0" w:space="0" w:color="auto"/>
                                        <w:bottom w:val="none" w:sz="0" w:space="0" w:color="auto"/>
                                        <w:right w:val="none" w:sz="0" w:space="0" w:color="auto"/>
                                      </w:divBdr>
                                      <w:divsChild>
                                        <w:div w:id="1634098544">
                                          <w:marLeft w:val="0"/>
                                          <w:marRight w:val="0"/>
                                          <w:marTop w:val="0"/>
                                          <w:marBottom w:val="0"/>
                                          <w:divBdr>
                                            <w:top w:val="none" w:sz="0" w:space="0" w:color="auto"/>
                                            <w:left w:val="none" w:sz="0" w:space="0" w:color="auto"/>
                                            <w:bottom w:val="none" w:sz="0" w:space="0" w:color="auto"/>
                                            <w:right w:val="none" w:sz="0" w:space="0" w:color="auto"/>
                                          </w:divBdr>
                                          <w:divsChild>
                                            <w:div w:id="1634098208">
                                              <w:marLeft w:val="0"/>
                                              <w:marRight w:val="0"/>
                                              <w:marTop w:val="0"/>
                                              <w:marBottom w:val="0"/>
                                              <w:divBdr>
                                                <w:top w:val="none" w:sz="0" w:space="0" w:color="auto"/>
                                                <w:left w:val="none" w:sz="0" w:space="0" w:color="auto"/>
                                                <w:bottom w:val="none" w:sz="0" w:space="0" w:color="auto"/>
                                                <w:right w:val="none" w:sz="0" w:space="0" w:color="auto"/>
                                              </w:divBdr>
                                              <w:divsChild>
                                                <w:div w:id="1634098300">
                                                  <w:marLeft w:val="0"/>
                                                  <w:marRight w:val="0"/>
                                                  <w:marTop w:val="0"/>
                                                  <w:marBottom w:val="0"/>
                                                  <w:divBdr>
                                                    <w:top w:val="none" w:sz="0" w:space="0" w:color="auto"/>
                                                    <w:left w:val="none" w:sz="0" w:space="0" w:color="auto"/>
                                                    <w:bottom w:val="none" w:sz="0" w:space="0" w:color="auto"/>
                                                    <w:right w:val="none" w:sz="0" w:space="0" w:color="auto"/>
                                                  </w:divBdr>
                                                  <w:divsChild>
                                                    <w:div w:id="16340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098084">
                      <w:marLeft w:val="0"/>
                      <w:marRight w:val="0"/>
                      <w:marTop w:val="0"/>
                      <w:marBottom w:val="0"/>
                      <w:divBdr>
                        <w:top w:val="none" w:sz="0" w:space="0" w:color="auto"/>
                        <w:left w:val="none" w:sz="0" w:space="0" w:color="auto"/>
                        <w:bottom w:val="none" w:sz="0" w:space="0" w:color="auto"/>
                        <w:right w:val="none" w:sz="0" w:space="0" w:color="auto"/>
                      </w:divBdr>
                      <w:divsChild>
                        <w:div w:id="1634098096">
                          <w:marLeft w:val="0"/>
                          <w:marRight w:val="0"/>
                          <w:marTop w:val="0"/>
                          <w:marBottom w:val="0"/>
                          <w:divBdr>
                            <w:top w:val="none" w:sz="0" w:space="0" w:color="auto"/>
                            <w:left w:val="none" w:sz="0" w:space="0" w:color="auto"/>
                            <w:bottom w:val="none" w:sz="0" w:space="0" w:color="auto"/>
                            <w:right w:val="none" w:sz="0" w:space="0" w:color="auto"/>
                          </w:divBdr>
                          <w:divsChild>
                            <w:div w:id="1634097839">
                              <w:marLeft w:val="0"/>
                              <w:marRight w:val="0"/>
                              <w:marTop w:val="0"/>
                              <w:marBottom w:val="0"/>
                              <w:divBdr>
                                <w:top w:val="none" w:sz="0" w:space="0" w:color="auto"/>
                                <w:left w:val="none" w:sz="0" w:space="0" w:color="auto"/>
                                <w:bottom w:val="none" w:sz="0" w:space="0" w:color="auto"/>
                                <w:right w:val="none" w:sz="0" w:space="0" w:color="auto"/>
                              </w:divBdr>
                              <w:divsChild>
                                <w:div w:id="1634097914">
                                  <w:marLeft w:val="0"/>
                                  <w:marRight w:val="0"/>
                                  <w:marTop w:val="1005"/>
                                  <w:marBottom w:val="0"/>
                                  <w:divBdr>
                                    <w:top w:val="none" w:sz="0" w:space="0" w:color="auto"/>
                                    <w:left w:val="none" w:sz="0" w:space="0" w:color="auto"/>
                                    <w:bottom w:val="none" w:sz="0" w:space="0" w:color="auto"/>
                                    <w:right w:val="none" w:sz="0" w:space="0" w:color="auto"/>
                                  </w:divBdr>
                                  <w:divsChild>
                                    <w:div w:id="1634098546">
                                      <w:marLeft w:val="0"/>
                                      <w:marRight w:val="0"/>
                                      <w:marTop w:val="0"/>
                                      <w:marBottom w:val="0"/>
                                      <w:divBdr>
                                        <w:top w:val="none" w:sz="0" w:space="0" w:color="auto"/>
                                        <w:left w:val="none" w:sz="0" w:space="0" w:color="auto"/>
                                        <w:bottom w:val="none" w:sz="0" w:space="0" w:color="auto"/>
                                        <w:right w:val="none" w:sz="0" w:space="0" w:color="auto"/>
                                      </w:divBdr>
                                      <w:divsChild>
                                        <w:div w:id="1634098332">
                                          <w:marLeft w:val="0"/>
                                          <w:marRight w:val="0"/>
                                          <w:marTop w:val="0"/>
                                          <w:marBottom w:val="0"/>
                                          <w:divBdr>
                                            <w:top w:val="none" w:sz="0" w:space="0" w:color="auto"/>
                                            <w:left w:val="none" w:sz="0" w:space="0" w:color="auto"/>
                                            <w:bottom w:val="none" w:sz="0" w:space="0" w:color="auto"/>
                                            <w:right w:val="none" w:sz="0" w:space="0" w:color="auto"/>
                                          </w:divBdr>
                                        </w:div>
                                      </w:divsChild>
                                    </w:div>
                                    <w:div w:id="16340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98402">
                      <w:marLeft w:val="0"/>
                      <w:marRight w:val="0"/>
                      <w:marTop w:val="0"/>
                      <w:marBottom w:val="0"/>
                      <w:divBdr>
                        <w:top w:val="none" w:sz="0" w:space="0" w:color="auto"/>
                        <w:left w:val="none" w:sz="0" w:space="0" w:color="auto"/>
                        <w:bottom w:val="none" w:sz="0" w:space="0" w:color="auto"/>
                        <w:right w:val="none" w:sz="0" w:space="0" w:color="auto"/>
                      </w:divBdr>
                    </w:div>
                    <w:div w:id="1634098493">
                      <w:marLeft w:val="0"/>
                      <w:marRight w:val="0"/>
                      <w:marTop w:val="0"/>
                      <w:marBottom w:val="120"/>
                      <w:divBdr>
                        <w:top w:val="single" w:sz="6" w:space="0" w:color="E2E2E2"/>
                        <w:left w:val="single" w:sz="6" w:space="0" w:color="E2E2E2"/>
                        <w:bottom w:val="single" w:sz="6" w:space="0" w:color="E2E2E2"/>
                        <w:right w:val="single" w:sz="6" w:space="0" w:color="E2E2E2"/>
                      </w:divBdr>
                    </w:div>
                  </w:divsChild>
                </w:div>
                <w:div w:id="1634098519">
                  <w:marLeft w:val="0"/>
                  <w:marRight w:val="0"/>
                  <w:marTop w:val="0"/>
                  <w:marBottom w:val="0"/>
                  <w:divBdr>
                    <w:top w:val="none" w:sz="0" w:space="0" w:color="auto"/>
                    <w:left w:val="none" w:sz="0" w:space="0" w:color="auto"/>
                    <w:bottom w:val="none" w:sz="0" w:space="0" w:color="auto"/>
                    <w:right w:val="none" w:sz="0" w:space="0" w:color="auto"/>
                  </w:divBdr>
                  <w:divsChild>
                    <w:div w:id="16340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98383">
      <w:marLeft w:val="0"/>
      <w:marRight w:val="0"/>
      <w:marTop w:val="0"/>
      <w:marBottom w:val="0"/>
      <w:divBdr>
        <w:top w:val="none" w:sz="0" w:space="0" w:color="auto"/>
        <w:left w:val="none" w:sz="0" w:space="0" w:color="auto"/>
        <w:bottom w:val="none" w:sz="0" w:space="0" w:color="auto"/>
        <w:right w:val="none" w:sz="0" w:space="0" w:color="auto"/>
      </w:divBdr>
    </w:div>
    <w:div w:id="1634098400">
      <w:marLeft w:val="0"/>
      <w:marRight w:val="0"/>
      <w:marTop w:val="0"/>
      <w:marBottom w:val="0"/>
      <w:divBdr>
        <w:top w:val="none" w:sz="0" w:space="0" w:color="auto"/>
        <w:left w:val="none" w:sz="0" w:space="0" w:color="auto"/>
        <w:bottom w:val="none" w:sz="0" w:space="0" w:color="auto"/>
        <w:right w:val="none" w:sz="0" w:space="0" w:color="auto"/>
      </w:divBdr>
    </w:div>
    <w:div w:id="1634098409">
      <w:marLeft w:val="0"/>
      <w:marRight w:val="0"/>
      <w:marTop w:val="0"/>
      <w:marBottom w:val="0"/>
      <w:divBdr>
        <w:top w:val="none" w:sz="0" w:space="0" w:color="auto"/>
        <w:left w:val="none" w:sz="0" w:space="0" w:color="auto"/>
        <w:bottom w:val="none" w:sz="0" w:space="0" w:color="auto"/>
        <w:right w:val="none" w:sz="0" w:space="0" w:color="auto"/>
      </w:divBdr>
      <w:divsChild>
        <w:div w:id="1634098033">
          <w:marLeft w:val="0"/>
          <w:marRight w:val="0"/>
          <w:marTop w:val="0"/>
          <w:marBottom w:val="0"/>
          <w:divBdr>
            <w:top w:val="none" w:sz="0" w:space="0" w:color="auto"/>
            <w:left w:val="none" w:sz="0" w:space="0" w:color="auto"/>
            <w:bottom w:val="none" w:sz="0" w:space="0" w:color="auto"/>
            <w:right w:val="none" w:sz="0" w:space="0" w:color="auto"/>
          </w:divBdr>
          <w:divsChild>
            <w:div w:id="1634098241">
              <w:marLeft w:val="0"/>
              <w:marRight w:val="0"/>
              <w:marTop w:val="300"/>
              <w:marBottom w:val="0"/>
              <w:divBdr>
                <w:top w:val="none" w:sz="0" w:space="0" w:color="auto"/>
                <w:left w:val="none" w:sz="0" w:space="0" w:color="auto"/>
                <w:bottom w:val="none" w:sz="0" w:space="0" w:color="auto"/>
                <w:right w:val="none" w:sz="0" w:space="0" w:color="auto"/>
              </w:divBdr>
              <w:divsChild>
                <w:div w:id="1634098693">
                  <w:marLeft w:val="0"/>
                  <w:marRight w:val="0"/>
                  <w:marTop w:val="0"/>
                  <w:marBottom w:val="0"/>
                  <w:divBdr>
                    <w:top w:val="single" w:sz="6" w:space="0" w:color="E5E5E5"/>
                    <w:left w:val="single" w:sz="6" w:space="0" w:color="E5E5E5"/>
                    <w:bottom w:val="single" w:sz="6" w:space="0" w:color="E5E5E5"/>
                    <w:right w:val="single" w:sz="6" w:space="0" w:color="E5E5E5"/>
                  </w:divBdr>
                  <w:divsChild>
                    <w:div w:id="1634098286">
                      <w:marLeft w:val="0"/>
                      <w:marRight w:val="0"/>
                      <w:marTop w:val="0"/>
                      <w:marBottom w:val="0"/>
                      <w:divBdr>
                        <w:top w:val="none" w:sz="0" w:space="0" w:color="auto"/>
                        <w:left w:val="none" w:sz="0" w:space="0" w:color="auto"/>
                        <w:bottom w:val="none" w:sz="0" w:space="0" w:color="auto"/>
                        <w:right w:val="none" w:sz="0" w:space="0" w:color="auto"/>
                      </w:divBdr>
                      <w:divsChild>
                        <w:div w:id="1634097899">
                          <w:marLeft w:val="0"/>
                          <w:marRight w:val="0"/>
                          <w:marTop w:val="0"/>
                          <w:marBottom w:val="225"/>
                          <w:divBdr>
                            <w:top w:val="none" w:sz="0" w:space="0" w:color="auto"/>
                            <w:left w:val="none" w:sz="0" w:space="0" w:color="auto"/>
                            <w:bottom w:val="none" w:sz="0" w:space="0" w:color="auto"/>
                            <w:right w:val="none" w:sz="0" w:space="0" w:color="auto"/>
                          </w:divBdr>
                        </w:div>
                        <w:div w:id="1634097917">
                          <w:marLeft w:val="0"/>
                          <w:marRight w:val="0"/>
                          <w:marTop w:val="0"/>
                          <w:marBottom w:val="225"/>
                          <w:divBdr>
                            <w:top w:val="none" w:sz="0" w:space="0" w:color="auto"/>
                            <w:left w:val="none" w:sz="0" w:space="0" w:color="auto"/>
                            <w:bottom w:val="none" w:sz="0" w:space="0" w:color="auto"/>
                            <w:right w:val="none" w:sz="0" w:space="0" w:color="auto"/>
                          </w:divBdr>
                        </w:div>
                        <w:div w:id="1634097940">
                          <w:marLeft w:val="0"/>
                          <w:marRight w:val="0"/>
                          <w:marTop w:val="0"/>
                          <w:marBottom w:val="225"/>
                          <w:divBdr>
                            <w:top w:val="none" w:sz="0" w:space="0" w:color="auto"/>
                            <w:left w:val="none" w:sz="0" w:space="0" w:color="auto"/>
                            <w:bottom w:val="none" w:sz="0" w:space="0" w:color="auto"/>
                            <w:right w:val="none" w:sz="0" w:space="0" w:color="auto"/>
                          </w:divBdr>
                        </w:div>
                        <w:div w:id="1634097974">
                          <w:marLeft w:val="0"/>
                          <w:marRight w:val="0"/>
                          <w:marTop w:val="0"/>
                          <w:marBottom w:val="225"/>
                          <w:divBdr>
                            <w:top w:val="none" w:sz="0" w:space="0" w:color="auto"/>
                            <w:left w:val="none" w:sz="0" w:space="0" w:color="auto"/>
                            <w:bottom w:val="none" w:sz="0" w:space="0" w:color="auto"/>
                            <w:right w:val="none" w:sz="0" w:space="0" w:color="auto"/>
                          </w:divBdr>
                        </w:div>
                        <w:div w:id="1634098011">
                          <w:marLeft w:val="0"/>
                          <w:marRight w:val="0"/>
                          <w:marTop w:val="0"/>
                          <w:marBottom w:val="225"/>
                          <w:divBdr>
                            <w:top w:val="none" w:sz="0" w:space="0" w:color="auto"/>
                            <w:left w:val="none" w:sz="0" w:space="0" w:color="auto"/>
                            <w:bottom w:val="none" w:sz="0" w:space="0" w:color="auto"/>
                            <w:right w:val="none" w:sz="0" w:space="0" w:color="auto"/>
                          </w:divBdr>
                        </w:div>
                        <w:div w:id="1634098043">
                          <w:marLeft w:val="0"/>
                          <w:marRight w:val="0"/>
                          <w:marTop w:val="0"/>
                          <w:marBottom w:val="225"/>
                          <w:divBdr>
                            <w:top w:val="none" w:sz="0" w:space="0" w:color="auto"/>
                            <w:left w:val="none" w:sz="0" w:space="0" w:color="auto"/>
                            <w:bottom w:val="none" w:sz="0" w:space="0" w:color="auto"/>
                            <w:right w:val="none" w:sz="0" w:space="0" w:color="auto"/>
                          </w:divBdr>
                        </w:div>
                        <w:div w:id="1634098086">
                          <w:marLeft w:val="0"/>
                          <w:marRight w:val="0"/>
                          <w:marTop w:val="0"/>
                          <w:marBottom w:val="225"/>
                          <w:divBdr>
                            <w:top w:val="none" w:sz="0" w:space="0" w:color="auto"/>
                            <w:left w:val="none" w:sz="0" w:space="0" w:color="auto"/>
                            <w:bottom w:val="none" w:sz="0" w:space="0" w:color="auto"/>
                            <w:right w:val="none" w:sz="0" w:space="0" w:color="auto"/>
                          </w:divBdr>
                        </w:div>
                        <w:div w:id="1634098128">
                          <w:marLeft w:val="0"/>
                          <w:marRight w:val="0"/>
                          <w:marTop w:val="0"/>
                          <w:marBottom w:val="225"/>
                          <w:divBdr>
                            <w:top w:val="none" w:sz="0" w:space="0" w:color="auto"/>
                            <w:left w:val="none" w:sz="0" w:space="0" w:color="auto"/>
                            <w:bottom w:val="none" w:sz="0" w:space="0" w:color="auto"/>
                            <w:right w:val="none" w:sz="0" w:space="0" w:color="auto"/>
                          </w:divBdr>
                        </w:div>
                        <w:div w:id="1634098165">
                          <w:marLeft w:val="0"/>
                          <w:marRight w:val="0"/>
                          <w:marTop w:val="0"/>
                          <w:marBottom w:val="225"/>
                          <w:divBdr>
                            <w:top w:val="none" w:sz="0" w:space="0" w:color="auto"/>
                            <w:left w:val="none" w:sz="0" w:space="0" w:color="auto"/>
                            <w:bottom w:val="none" w:sz="0" w:space="0" w:color="auto"/>
                            <w:right w:val="none" w:sz="0" w:space="0" w:color="auto"/>
                          </w:divBdr>
                        </w:div>
                        <w:div w:id="1634098281">
                          <w:marLeft w:val="0"/>
                          <w:marRight w:val="0"/>
                          <w:marTop w:val="0"/>
                          <w:marBottom w:val="225"/>
                          <w:divBdr>
                            <w:top w:val="none" w:sz="0" w:space="0" w:color="auto"/>
                            <w:left w:val="none" w:sz="0" w:space="0" w:color="auto"/>
                            <w:bottom w:val="none" w:sz="0" w:space="0" w:color="auto"/>
                            <w:right w:val="none" w:sz="0" w:space="0" w:color="auto"/>
                          </w:divBdr>
                        </w:div>
                        <w:div w:id="1634098291">
                          <w:marLeft w:val="0"/>
                          <w:marRight w:val="0"/>
                          <w:marTop w:val="0"/>
                          <w:marBottom w:val="225"/>
                          <w:divBdr>
                            <w:top w:val="none" w:sz="0" w:space="0" w:color="auto"/>
                            <w:left w:val="none" w:sz="0" w:space="0" w:color="auto"/>
                            <w:bottom w:val="none" w:sz="0" w:space="0" w:color="auto"/>
                            <w:right w:val="none" w:sz="0" w:space="0" w:color="auto"/>
                          </w:divBdr>
                        </w:div>
                        <w:div w:id="1634098323">
                          <w:marLeft w:val="0"/>
                          <w:marRight w:val="0"/>
                          <w:marTop w:val="0"/>
                          <w:marBottom w:val="0"/>
                          <w:divBdr>
                            <w:top w:val="none" w:sz="0" w:space="0" w:color="auto"/>
                            <w:left w:val="none" w:sz="0" w:space="0" w:color="auto"/>
                            <w:bottom w:val="none" w:sz="0" w:space="0" w:color="auto"/>
                            <w:right w:val="none" w:sz="0" w:space="0" w:color="auto"/>
                          </w:divBdr>
                        </w:div>
                        <w:div w:id="1634098389">
                          <w:marLeft w:val="0"/>
                          <w:marRight w:val="0"/>
                          <w:marTop w:val="0"/>
                          <w:marBottom w:val="225"/>
                          <w:divBdr>
                            <w:top w:val="none" w:sz="0" w:space="0" w:color="auto"/>
                            <w:left w:val="none" w:sz="0" w:space="0" w:color="auto"/>
                            <w:bottom w:val="none" w:sz="0" w:space="0" w:color="auto"/>
                            <w:right w:val="none" w:sz="0" w:space="0" w:color="auto"/>
                          </w:divBdr>
                        </w:div>
                        <w:div w:id="1634098415">
                          <w:marLeft w:val="0"/>
                          <w:marRight w:val="0"/>
                          <w:marTop w:val="0"/>
                          <w:marBottom w:val="225"/>
                          <w:divBdr>
                            <w:top w:val="none" w:sz="0" w:space="0" w:color="auto"/>
                            <w:left w:val="none" w:sz="0" w:space="0" w:color="auto"/>
                            <w:bottom w:val="none" w:sz="0" w:space="0" w:color="auto"/>
                            <w:right w:val="none" w:sz="0" w:space="0" w:color="auto"/>
                          </w:divBdr>
                        </w:div>
                        <w:div w:id="1634098432">
                          <w:marLeft w:val="0"/>
                          <w:marRight w:val="0"/>
                          <w:marTop w:val="0"/>
                          <w:marBottom w:val="225"/>
                          <w:divBdr>
                            <w:top w:val="none" w:sz="0" w:space="0" w:color="auto"/>
                            <w:left w:val="none" w:sz="0" w:space="0" w:color="auto"/>
                            <w:bottom w:val="none" w:sz="0" w:space="0" w:color="auto"/>
                            <w:right w:val="none" w:sz="0" w:space="0" w:color="auto"/>
                          </w:divBdr>
                        </w:div>
                        <w:div w:id="1634098448">
                          <w:marLeft w:val="0"/>
                          <w:marRight w:val="0"/>
                          <w:marTop w:val="0"/>
                          <w:marBottom w:val="225"/>
                          <w:divBdr>
                            <w:top w:val="none" w:sz="0" w:space="0" w:color="auto"/>
                            <w:left w:val="none" w:sz="0" w:space="0" w:color="auto"/>
                            <w:bottom w:val="none" w:sz="0" w:space="0" w:color="auto"/>
                            <w:right w:val="none" w:sz="0" w:space="0" w:color="auto"/>
                          </w:divBdr>
                        </w:div>
                        <w:div w:id="16340985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34098413">
      <w:marLeft w:val="0"/>
      <w:marRight w:val="0"/>
      <w:marTop w:val="0"/>
      <w:marBottom w:val="0"/>
      <w:divBdr>
        <w:top w:val="none" w:sz="0" w:space="0" w:color="auto"/>
        <w:left w:val="none" w:sz="0" w:space="0" w:color="auto"/>
        <w:bottom w:val="none" w:sz="0" w:space="0" w:color="auto"/>
        <w:right w:val="none" w:sz="0" w:space="0" w:color="auto"/>
      </w:divBdr>
      <w:divsChild>
        <w:div w:id="1634098213">
          <w:marLeft w:val="0"/>
          <w:marRight w:val="0"/>
          <w:marTop w:val="0"/>
          <w:marBottom w:val="0"/>
          <w:divBdr>
            <w:top w:val="none" w:sz="0" w:space="0" w:color="auto"/>
            <w:left w:val="none" w:sz="0" w:space="0" w:color="auto"/>
            <w:bottom w:val="none" w:sz="0" w:space="0" w:color="auto"/>
            <w:right w:val="none" w:sz="0" w:space="0" w:color="auto"/>
          </w:divBdr>
          <w:divsChild>
            <w:div w:id="1634098598">
              <w:marLeft w:val="0"/>
              <w:marRight w:val="0"/>
              <w:marTop w:val="0"/>
              <w:marBottom w:val="0"/>
              <w:divBdr>
                <w:top w:val="single" w:sz="6" w:space="0" w:color="DBDBDB"/>
                <w:left w:val="none" w:sz="0" w:space="0" w:color="auto"/>
                <w:bottom w:val="none" w:sz="0" w:space="0" w:color="auto"/>
                <w:right w:val="none" w:sz="0" w:space="0" w:color="auto"/>
              </w:divBdr>
              <w:divsChild>
                <w:div w:id="1634097829">
                  <w:marLeft w:val="0"/>
                  <w:marRight w:val="0"/>
                  <w:marTop w:val="0"/>
                  <w:marBottom w:val="0"/>
                  <w:divBdr>
                    <w:top w:val="none" w:sz="0" w:space="0" w:color="auto"/>
                    <w:left w:val="none" w:sz="0" w:space="0" w:color="auto"/>
                    <w:bottom w:val="none" w:sz="0" w:space="0" w:color="auto"/>
                    <w:right w:val="none" w:sz="0" w:space="0" w:color="auto"/>
                  </w:divBdr>
                  <w:divsChild>
                    <w:div w:id="1634098008">
                      <w:marLeft w:val="0"/>
                      <w:marRight w:val="0"/>
                      <w:marTop w:val="0"/>
                      <w:marBottom w:val="0"/>
                      <w:divBdr>
                        <w:top w:val="none" w:sz="0" w:space="0" w:color="auto"/>
                        <w:left w:val="none" w:sz="0" w:space="0" w:color="auto"/>
                        <w:bottom w:val="none" w:sz="0" w:space="0" w:color="auto"/>
                        <w:right w:val="none" w:sz="0" w:space="0" w:color="auto"/>
                      </w:divBdr>
                      <w:divsChild>
                        <w:div w:id="1634098405">
                          <w:marLeft w:val="0"/>
                          <w:marRight w:val="0"/>
                          <w:marTop w:val="0"/>
                          <w:marBottom w:val="0"/>
                          <w:divBdr>
                            <w:top w:val="none" w:sz="0" w:space="0" w:color="auto"/>
                            <w:left w:val="none" w:sz="0" w:space="0" w:color="auto"/>
                            <w:bottom w:val="none" w:sz="0" w:space="0" w:color="auto"/>
                            <w:right w:val="none" w:sz="0" w:space="0" w:color="auto"/>
                          </w:divBdr>
                          <w:divsChild>
                            <w:div w:id="1634098581">
                              <w:marLeft w:val="0"/>
                              <w:marRight w:val="0"/>
                              <w:marTop w:val="0"/>
                              <w:marBottom w:val="0"/>
                              <w:divBdr>
                                <w:top w:val="none" w:sz="0" w:space="0" w:color="auto"/>
                                <w:left w:val="none" w:sz="0" w:space="0" w:color="auto"/>
                                <w:bottom w:val="none" w:sz="0" w:space="0" w:color="auto"/>
                                <w:right w:val="none" w:sz="0" w:space="0" w:color="auto"/>
                              </w:divBdr>
                              <w:divsChild>
                                <w:div w:id="1634098108">
                                  <w:marLeft w:val="0"/>
                                  <w:marRight w:val="0"/>
                                  <w:marTop w:val="0"/>
                                  <w:marBottom w:val="0"/>
                                  <w:divBdr>
                                    <w:top w:val="none" w:sz="0" w:space="0" w:color="auto"/>
                                    <w:left w:val="none" w:sz="0" w:space="0" w:color="auto"/>
                                    <w:bottom w:val="none" w:sz="0" w:space="0" w:color="auto"/>
                                    <w:right w:val="none" w:sz="0" w:space="0" w:color="auto"/>
                                  </w:divBdr>
                                  <w:divsChild>
                                    <w:div w:id="1634097955">
                                      <w:marLeft w:val="0"/>
                                      <w:marRight w:val="0"/>
                                      <w:marTop w:val="0"/>
                                      <w:marBottom w:val="0"/>
                                      <w:divBdr>
                                        <w:top w:val="none" w:sz="0" w:space="0" w:color="auto"/>
                                        <w:left w:val="none" w:sz="0" w:space="0" w:color="auto"/>
                                        <w:bottom w:val="none" w:sz="0" w:space="0" w:color="auto"/>
                                        <w:right w:val="none" w:sz="0" w:space="0" w:color="auto"/>
                                      </w:divBdr>
                                    </w:div>
                                    <w:div w:id="1634098154">
                                      <w:marLeft w:val="0"/>
                                      <w:marRight w:val="0"/>
                                      <w:marTop w:val="0"/>
                                      <w:marBottom w:val="0"/>
                                      <w:divBdr>
                                        <w:top w:val="none" w:sz="0" w:space="0" w:color="auto"/>
                                        <w:left w:val="none" w:sz="0" w:space="0" w:color="auto"/>
                                        <w:bottom w:val="none" w:sz="0" w:space="0" w:color="auto"/>
                                        <w:right w:val="none" w:sz="0" w:space="0" w:color="auto"/>
                                      </w:divBdr>
                                    </w:div>
                                    <w:div w:id="1634098217">
                                      <w:marLeft w:val="0"/>
                                      <w:marRight w:val="0"/>
                                      <w:marTop w:val="0"/>
                                      <w:marBottom w:val="0"/>
                                      <w:divBdr>
                                        <w:top w:val="none" w:sz="0" w:space="0" w:color="auto"/>
                                        <w:left w:val="none" w:sz="0" w:space="0" w:color="auto"/>
                                        <w:bottom w:val="none" w:sz="0" w:space="0" w:color="auto"/>
                                        <w:right w:val="none" w:sz="0" w:space="0" w:color="auto"/>
                                      </w:divBdr>
                                    </w:div>
                                    <w:div w:id="1634098350">
                                      <w:marLeft w:val="0"/>
                                      <w:marRight w:val="0"/>
                                      <w:marTop w:val="0"/>
                                      <w:marBottom w:val="0"/>
                                      <w:divBdr>
                                        <w:top w:val="none" w:sz="0" w:space="0" w:color="auto"/>
                                        <w:left w:val="none" w:sz="0" w:space="0" w:color="auto"/>
                                        <w:bottom w:val="none" w:sz="0" w:space="0" w:color="auto"/>
                                        <w:right w:val="none" w:sz="0" w:space="0" w:color="auto"/>
                                      </w:divBdr>
                                    </w:div>
                                    <w:div w:id="1634098565">
                                      <w:marLeft w:val="0"/>
                                      <w:marRight w:val="0"/>
                                      <w:marTop w:val="0"/>
                                      <w:marBottom w:val="0"/>
                                      <w:divBdr>
                                        <w:top w:val="none" w:sz="0" w:space="0" w:color="auto"/>
                                        <w:left w:val="none" w:sz="0" w:space="0" w:color="auto"/>
                                        <w:bottom w:val="none" w:sz="0" w:space="0" w:color="auto"/>
                                        <w:right w:val="none" w:sz="0" w:space="0" w:color="auto"/>
                                      </w:divBdr>
                                    </w:div>
                                    <w:div w:id="16340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098426">
      <w:marLeft w:val="0"/>
      <w:marRight w:val="0"/>
      <w:marTop w:val="0"/>
      <w:marBottom w:val="0"/>
      <w:divBdr>
        <w:top w:val="none" w:sz="0" w:space="0" w:color="auto"/>
        <w:left w:val="none" w:sz="0" w:space="0" w:color="auto"/>
        <w:bottom w:val="none" w:sz="0" w:space="0" w:color="auto"/>
        <w:right w:val="none" w:sz="0" w:space="0" w:color="auto"/>
      </w:divBdr>
    </w:div>
    <w:div w:id="1634098431">
      <w:marLeft w:val="0"/>
      <w:marRight w:val="0"/>
      <w:marTop w:val="0"/>
      <w:marBottom w:val="0"/>
      <w:divBdr>
        <w:top w:val="none" w:sz="0" w:space="0" w:color="auto"/>
        <w:left w:val="none" w:sz="0" w:space="0" w:color="auto"/>
        <w:bottom w:val="none" w:sz="0" w:space="0" w:color="auto"/>
        <w:right w:val="none" w:sz="0" w:space="0" w:color="auto"/>
      </w:divBdr>
    </w:div>
    <w:div w:id="1634098436">
      <w:marLeft w:val="0"/>
      <w:marRight w:val="0"/>
      <w:marTop w:val="0"/>
      <w:marBottom w:val="0"/>
      <w:divBdr>
        <w:top w:val="none" w:sz="0" w:space="0" w:color="auto"/>
        <w:left w:val="none" w:sz="0" w:space="0" w:color="auto"/>
        <w:bottom w:val="none" w:sz="0" w:space="0" w:color="auto"/>
        <w:right w:val="none" w:sz="0" w:space="0" w:color="auto"/>
      </w:divBdr>
    </w:div>
    <w:div w:id="1634098437">
      <w:marLeft w:val="0"/>
      <w:marRight w:val="0"/>
      <w:marTop w:val="100"/>
      <w:marBottom w:val="100"/>
      <w:divBdr>
        <w:top w:val="none" w:sz="0" w:space="0" w:color="auto"/>
        <w:left w:val="none" w:sz="0" w:space="0" w:color="auto"/>
        <w:bottom w:val="none" w:sz="0" w:space="0" w:color="auto"/>
        <w:right w:val="none" w:sz="0" w:space="0" w:color="auto"/>
      </w:divBdr>
      <w:divsChild>
        <w:div w:id="1634097978">
          <w:marLeft w:val="0"/>
          <w:marRight w:val="0"/>
          <w:marTop w:val="0"/>
          <w:marBottom w:val="0"/>
          <w:divBdr>
            <w:top w:val="none" w:sz="0" w:space="0" w:color="auto"/>
            <w:left w:val="none" w:sz="0" w:space="0" w:color="auto"/>
            <w:bottom w:val="none" w:sz="0" w:space="0" w:color="auto"/>
            <w:right w:val="none" w:sz="0" w:space="0" w:color="auto"/>
          </w:divBdr>
          <w:divsChild>
            <w:div w:id="1634098384">
              <w:marLeft w:val="0"/>
              <w:marRight w:val="0"/>
              <w:marTop w:val="0"/>
              <w:marBottom w:val="0"/>
              <w:divBdr>
                <w:top w:val="none" w:sz="0" w:space="0" w:color="auto"/>
                <w:left w:val="none" w:sz="0" w:space="0" w:color="auto"/>
                <w:bottom w:val="none" w:sz="0" w:space="0" w:color="auto"/>
                <w:right w:val="none" w:sz="0" w:space="0" w:color="auto"/>
              </w:divBdr>
              <w:divsChild>
                <w:div w:id="1634098692">
                  <w:marLeft w:val="0"/>
                  <w:marRight w:val="0"/>
                  <w:marTop w:val="0"/>
                  <w:marBottom w:val="0"/>
                  <w:divBdr>
                    <w:top w:val="none" w:sz="0" w:space="0" w:color="auto"/>
                    <w:left w:val="none" w:sz="0" w:space="0" w:color="auto"/>
                    <w:bottom w:val="none" w:sz="0" w:space="0" w:color="auto"/>
                    <w:right w:val="none" w:sz="0" w:space="0" w:color="auto"/>
                  </w:divBdr>
                  <w:divsChild>
                    <w:div w:id="1634097874">
                      <w:marLeft w:val="0"/>
                      <w:marRight w:val="0"/>
                      <w:marTop w:val="150"/>
                      <w:marBottom w:val="0"/>
                      <w:divBdr>
                        <w:top w:val="none" w:sz="0" w:space="0" w:color="auto"/>
                        <w:left w:val="none" w:sz="0" w:space="0" w:color="auto"/>
                        <w:bottom w:val="none" w:sz="0" w:space="0" w:color="auto"/>
                        <w:right w:val="none" w:sz="0" w:space="0" w:color="auto"/>
                      </w:divBdr>
                      <w:divsChild>
                        <w:div w:id="1634097920">
                          <w:marLeft w:val="0"/>
                          <w:marRight w:val="0"/>
                          <w:marTop w:val="0"/>
                          <w:marBottom w:val="0"/>
                          <w:divBdr>
                            <w:top w:val="none" w:sz="0" w:space="0" w:color="auto"/>
                            <w:left w:val="none" w:sz="0" w:space="0" w:color="auto"/>
                            <w:bottom w:val="none" w:sz="0" w:space="0" w:color="auto"/>
                            <w:right w:val="none" w:sz="0" w:space="0" w:color="auto"/>
                          </w:divBdr>
                          <w:divsChild>
                            <w:div w:id="1634098398">
                              <w:marLeft w:val="0"/>
                              <w:marRight w:val="0"/>
                              <w:marTop w:val="0"/>
                              <w:marBottom w:val="0"/>
                              <w:divBdr>
                                <w:top w:val="none" w:sz="0" w:space="0" w:color="auto"/>
                                <w:left w:val="none" w:sz="0" w:space="0" w:color="auto"/>
                                <w:bottom w:val="none" w:sz="0" w:space="0" w:color="auto"/>
                                <w:right w:val="none" w:sz="0" w:space="0" w:color="auto"/>
                              </w:divBdr>
                              <w:divsChild>
                                <w:div w:id="1634097857">
                                  <w:marLeft w:val="0"/>
                                  <w:marRight w:val="0"/>
                                  <w:marTop w:val="0"/>
                                  <w:marBottom w:val="0"/>
                                  <w:divBdr>
                                    <w:top w:val="none" w:sz="0" w:space="0" w:color="auto"/>
                                    <w:left w:val="none" w:sz="0" w:space="0" w:color="auto"/>
                                    <w:bottom w:val="none" w:sz="0" w:space="0" w:color="auto"/>
                                    <w:right w:val="none" w:sz="0" w:space="0" w:color="auto"/>
                                  </w:divBdr>
                                  <w:divsChild>
                                    <w:div w:id="1634098375">
                                      <w:marLeft w:val="0"/>
                                      <w:marRight w:val="0"/>
                                      <w:marTop w:val="0"/>
                                      <w:marBottom w:val="0"/>
                                      <w:divBdr>
                                        <w:top w:val="none" w:sz="0" w:space="0" w:color="auto"/>
                                        <w:left w:val="none" w:sz="0" w:space="0" w:color="auto"/>
                                        <w:bottom w:val="none" w:sz="0" w:space="0" w:color="auto"/>
                                        <w:right w:val="none" w:sz="0" w:space="0" w:color="auto"/>
                                      </w:divBdr>
                                      <w:divsChild>
                                        <w:div w:id="1634097820">
                                          <w:marLeft w:val="0"/>
                                          <w:marRight w:val="0"/>
                                          <w:marTop w:val="0"/>
                                          <w:marBottom w:val="0"/>
                                          <w:divBdr>
                                            <w:top w:val="none" w:sz="0" w:space="0" w:color="auto"/>
                                            <w:left w:val="none" w:sz="0" w:space="0" w:color="auto"/>
                                            <w:bottom w:val="none" w:sz="0" w:space="0" w:color="auto"/>
                                            <w:right w:val="none" w:sz="0" w:space="0" w:color="auto"/>
                                          </w:divBdr>
                                          <w:divsChild>
                                            <w:div w:id="1634098310">
                                              <w:marLeft w:val="0"/>
                                              <w:marRight w:val="0"/>
                                              <w:marTop w:val="0"/>
                                              <w:marBottom w:val="0"/>
                                              <w:divBdr>
                                                <w:top w:val="none" w:sz="0" w:space="0" w:color="auto"/>
                                                <w:left w:val="none" w:sz="0" w:space="0" w:color="auto"/>
                                                <w:bottom w:val="none" w:sz="0" w:space="0" w:color="auto"/>
                                                <w:right w:val="none" w:sz="0" w:space="0" w:color="auto"/>
                                              </w:divBdr>
                                              <w:divsChild>
                                                <w:div w:id="1634098079">
                                                  <w:marLeft w:val="0"/>
                                                  <w:marRight w:val="0"/>
                                                  <w:marTop w:val="0"/>
                                                  <w:marBottom w:val="0"/>
                                                  <w:divBdr>
                                                    <w:top w:val="none" w:sz="0" w:space="0" w:color="auto"/>
                                                    <w:left w:val="none" w:sz="0" w:space="0" w:color="auto"/>
                                                    <w:bottom w:val="none" w:sz="0" w:space="0" w:color="auto"/>
                                                    <w:right w:val="none" w:sz="0" w:space="0" w:color="auto"/>
                                                  </w:divBdr>
                                                  <w:divsChild>
                                                    <w:div w:id="1634098204">
                                                      <w:marLeft w:val="0"/>
                                                      <w:marRight w:val="0"/>
                                                      <w:marTop w:val="0"/>
                                                      <w:marBottom w:val="0"/>
                                                      <w:divBdr>
                                                        <w:top w:val="none" w:sz="0" w:space="0" w:color="auto"/>
                                                        <w:left w:val="none" w:sz="0" w:space="0" w:color="auto"/>
                                                        <w:bottom w:val="none" w:sz="0" w:space="0" w:color="auto"/>
                                                        <w:right w:val="none" w:sz="0" w:space="0" w:color="auto"/>
                                                      </w:divBdr>
                                                      <w:divsChild>
                                                        <w:div w:id="1634098038">
                                                          <w:marLeft w:val="0"/>
                                                          <w:marRight w:val="0"/>
                                                          <w:marTop w:val="0"/>
                                                          <w:marBottom w:val="0"/>
                                                          <w:divBdr>
                                                            <w:top w:val="none" w:sz="0" w:space="0" w:color="auto"/>
                                                            <w:left w:val="none" w:sz="0" w:space="0" w:color="auto"/>
                                                            <w:bottom w:val="none" w:sz="0" w:space="0" w:color="auto"/>
                                                            <w:right w:val="none" w:sz="0" w:space="0" w:color="auto"/>
                                                          </w:divBdr>
                                                          <w:divsChild>
                                                            <w:div w:id="1634098256">
                                                              <w:marLeft w:val="0"/>
                                                              <w:marRight w:val="0"/>
                                                              <w:marTop w:val="0"/>
                                                              <w:marBottom w:val="0"/>
                                                              <w:divBdr>
                                                                <w:top w:val="none" w:sz="0" w:space="0" w:color="auto"/>
                                                                <w:left w:val="none" w:sz="0" w:space="0" w:color="auto"/>
                                                                <w:bottom w:val="none" w:sz="0" w:space="0" w:color="auto"/>
                                                                <w:right w:val="none" w:sz="0" w:space="0" w:color="auto"/>
                                                              </w:divBdr>
                                                              <w:divsChild>
                                                                <w:div w:id="1634098411">
                                                                  <w:marLeft w:val="0"/>
                                                                  <w:marRight w:val="0"/>
                                                                  <w:marTop w:val="0"/>
                                                                  <w:marBottom w:val="0"/>
                                                                  <w:divBdr>
                                                                    <w:top w:val="none" w:sz="0" w:space="0" w:color="auto"/>
                                                                    <w:left w:val="none" w:sz="0" w:space="0" w:color="auto"/>
                                                                    <w:bottom w:val="none" w:sz="0" w:space="0" w:color="auto"/>
                                                                    <w:right w:val="none" w:sz="0" w:space="0" w:color="auto"/>
                                                                  </w:divBdr>
                                                                  <w:divsChild>
                                                                    <w:div w:id="1634097883">
                                                                      <w:marLeft w:val="0"/>
                                                                      <w:marRight w:val="0"/>
                                                                      <w:marTop w:val="0"/>
                                                                      <w:marBottom w:val="0"/>
                                                                      <w:divBdr>
                                                                        <w:top w:val="none" w:sz="0" w:space="0" w:color="auto"/>
                                                                        <w:left w:val="none" w:sz="0" w:space="0" w:color="auto"/>
                                                                        <w:bottom w:val="none" w:sz="0" w:space="0" w:color="auto"/>
                                                                        <w:right w:val="none" w:sz="0" w:space="0" w:color="auto"/>
                                                                      </w:divBdr>
                                                                      <w:divsChild>
                                                                        <w:div w:id="1634097932">
                                                                          <w:marLeft w:val="0"/>
                                                                          <w:marRight w:val="0"/>
                                                                          <w:marTop w:val="0"/>
                                                                          <w:marBottom w:val="0"/>
                                                                          <w:divBdr>
                                                                            <w:top w:val="none" w:sz="0" w:space="0" w:color="auto"/>
                                                                            <w:left w:val="none" w:sz="0" w:space="0" w:color="auto"/>
                                                                            <w:bottom w:val="none" w:sz="0" w:space="0" w:color="auto"/>
                                                                            <w:right w:val="none" w:sz="0" w:space="0" w:color="auto"/>
                                                                          </w:divBdr>
                                                                          <w:divsChild>
                                                                            <w:div w:id="1634098610">
                                                                              <w:marLeft w:val="0"/>
                                                                              <w:marRight w:val="0"/>
                                                                              <w:marTop w:val="0"/>
                                                                              <w:marBottom w:val="0"/>
                                                                              <w:divBdr>
                                                                                <w:top w:val="none" w:sz="0" w:space="0" w:color="auto"/>
                                                                                <w:left w:val="none" w:sz="0" w:space="0" w:color="auto"/>
                                                                                <w:bottom w:val="none" w:sz="0" w:space="0" w:color="auto"/>
                                                                                <w:right w:val="none" w:sz="0" w:space="0" w:color="auto"/>
                                                                              </w:divBdr>
                                                                            </w:div>
                                                                          </w:divsChild>
                                                                        </w:div>
                                                                        <w:div w:id="1634098027">
                                                                          <w:marLeft w:val="0"/>
                                                                          <w:marRight w:val="0"/>
                                                                          <w:marTop w:val="0"/>
                                                                          <w:marBottom w:val="0"/>
                                                                          <w:divBdr>
                                                                            <w:top w:val="none" w:sz="0" w:space="0" w:color="auto"/>
                                                                            <w:left w:val="none" w:sz="0" w:space="0" w:color="auto"/>
                                                                            <w:bottom w:val="none" w:sz="0" w:space="0" w:color="auto"/>
                                                                            <w:right w:val="none" w:sz="0" w:space="0" w:color="auto"/>
                                                                          </w:divBdr>
                                                                          <w:divsChild>
                                                                            <w:div w:id="1634098577">
                                                                              <w:marLeft w:val="0"/>
                                                                              <w:marRight w:val="0"/>
                                                                              <w:marTop w:val="0"/>
                                                                              <w:marBottom w:val="0"/>
                                                                              <w:divBdr>
                                                                                <w:top w:val="none" w:sz="0" w:space="0" w:color="auto"/>
                                                                                <w:left w:val="none" w:sz="0" w:space="0" w:color="auto"/>
                                                                                <w:bottom w:val="none" w:sz="0" w:space="0" w:color="auto"/>
                                                                                <w:right w:val="none" w:sz="0" w:space="0" w:color="auto"/>
                                                                              </w:divBdr>
                                                                              <w:divsChild>
                                                                                <w:div w:id="16340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104">
                                                                          <w:marLeft w:val="0"/>
                                                                          <w:marRight w:val="0"/>
                                                                          <w:marTop w:val="0"/>
                                                                          <w:marBottom w:val="0"/>
                                                                          <w:divBdr>
                                                                            <w:top w:val="none" w:sz="0" w:space="0" w:color="auto"/>
                                                                            <w:left w:val="none" w:sz="0" w:space="0" w:color="auto"/>
                                                                            <w:bottom w:val="none" w:sz="0" w:space="0" w:color="auto"/>
                                                                            <w:right w:val="none" w:sz="0" w:space="0" w:color="auto"/>
                                                                          </w:divBdr>
                                                                          <w:divsChild>
                                                                            <w:div w:id="16340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8510">
                                                  <w:marLeft w:val="0"/>
                                                  <w:marRight w:val="0"/>
                                                  <w:marTop w:val="0"/>
                                                  <w:marBottom w:val="0"/>
                                                  <w:divBdr>
                                                    <w:top w:val="none" w:sz="0" w:space="0" w:color="auto"/>
                                                    <w:left w:val="none" w:sz="0" w:space="0" w:color="auto"/>
                                                    <w:bottom w:val="none" w:sz="0" w:space="0" w:color="auto"/>
                                                    <w:right w:val="none" w:sz="0" w:space="0" w:color="auto"/>
                                                  </w:divBdr>
                                                  <w:divsChild>
                                                    <w:div w:id="1634098585">
                                                      <w:marLeft w:val="0"/>
                                                      <w:marRight w:val="0"/>
                                                      <w:marTop w:val="0"/>
                                                      <w:marBottom w:val="0"/>
                                                      <w:divBdr>
                                                        <w:top w:val="none" w:sz="0" w:space="0" w:color="auto"/>
                                                        <w:left w:val="none" w:sz="0" w:space="0" w:color="auto"/>
                                                        <w:bottom w:val="none" w:sz="0" w:space="0" w:color="auto"/>
                                                        <w:right w:val="none" w:sz="0" w:space="0" w:color="auto"/>
                                                      </w:divBdr>
                                                      <w:divsChild>
                                                        <w:div w:id="1634098120">
                                                          <w:marLeft w:val="0"/>
                                                          <w:marRight w:val="0"/>
                                                          <w:marTop w:val="0"/>
                                                          <w:marBottom w:val="0"/>
                                                          <w:divBdr>
                                                            <w:top w:val="none" w:sz="0" w:space="0" w:color="auto"/>
                                                            <w:left w:val="none" w:sz="0" w:space="0" w:color="auto"/>
                                                            <w:bottom w:val="none" w:sz="0" w:space="0" w:color="auto"/>
                                                            <w:right w:val="none" w:sz="0" w:space="0" w:color="auto"/>
                                                          </w:divBdr>
                                                          <w:divsChild>
                                                            <w:div w:id="1634097953">
                                                              <w:marLeft w:val="0"/>
                                                              <w:marRight w:val="0"/>
                                                              <w:marTop w:val="0"/>
                                                              <w:marBottom w:val="0"/>
                                                              <w:divBdr>
                                                                <w:top w:val="none" w:sz="0" w:space="0" w:color="auto"/>
                                                                <w:left w:val="none" w:sz="0" w:space="0" w:color="auto"/>
                                                                <w:bottom w:val="none" w:sz="0" w:space="0" w:color="auto"/>
                                                                <w:right w:val="none" w:sz="0" w:space="0" w:color="auto"/>
                                                              </w:divBdr>
                                                              <w:divsChild>
                                                                <w:div w:id="1634098699">
                                                                  <w:marLeft w:val="0"/>
                                                                  <w:marRight w:val="0"/>
                                                                  <w:marTop w:val="0"/>
                                                                  <w:marBottom w:val="0"/>
                                                                  <w:divBdr>
                                                                    <w:top w:val="none" w:sz="0" w:space="0" w:color="auto"/>
                                                                    <w:left w:val="none" w:sz="0" w:space="0" w:color="auto"/>
                                                                    <w:bottom w:val="none" w:sz="0" w:space="0" w:color="auto"/>
                                                                    <w:right w:val="none" w:sz="0" w:space="0" w:color="auto"/>
                                                                  </w:divBdr>
                                                                  <w:divsChild>
                                                                    <w:div w:id="1634098514">
                                                                      <w:marLeft w:val="0"/>
                                                                      <w:marRight w:val="0"/>
                                                                      <w:marTop w:val="0"/>
                                                                      <w:marBottom w:val="0"/>
                                                                      <w:divBdr>
                                                                        <w:top w:val="none" w:sz="0" w:space="0" w:color="auto"/>
                                                                        <w:left w:val="none" w:sz="0" w:space="0" w:color="auto"/>
                                                                        <w:bottom w:val="none" w:sz="0" w:space="0" w:color="auto"/>
                                                                        <w:right w:val="none" w:sz="0" w:space="0" w:color="auto"/>
                                                                      </w:divBdr>
                                                                      <w:divsChild>
                                                                        <w:div w:id="1634097815">
                                                                          <w:marLeft w:val="0"/>
                                                                          <w:marRight w:val="0"/>
                                                                          <w:marTop w:val="0"/>
                                                                          <w:marBottom w:val="0"/>
                                                                          <w:divBdr>
                                                                            <w:top w:val="none" w:sz="0" w:space="0" w:color="auto"/>
                                                                            <w:left w:val="none" w:sz="0" w:space="0" w:color="auto"/>
                                                                            <w:bottom w:val="none" w:sz="0" w:space="0" w:color="auto"/>
                                                                            <w:right w:val="none" w:sz="0" w:space="0" w:color="auto"/>
                                                                          </w:divBdr>
                                                                          <w:divsChild>
                                                                            <w:div w:id="1634098193">
                                                                              <w:marLeft w:val="0"/>
                                                                              <w:marRight w:val="0"/>
                                                                              <w:marTop w:val="0"/>
                                                                              <w:marBottom w:val="0"/>
                                                                              <w:divBdr>
                                                                                <w:top w:val="none" w:sz="0" w:space="0" w:color="auto"/>
                                                                                <w:left w:val="none" w:sz="0" w:space="0" w:color="auto"/>
                                                                                <w:bottom w:val="none" w:sz="0" w:space="0" w:color="auto"/>
                                                                                <w:right w:val="none" w:sz="0" w:space="0" w:color="auto"/>
                                                                              </w:divBdr>
                                                                            </w:div>
                                                                          </w:divsChild>
                                                                        </w:div>
                                                                        <w:div w:id="1634097849">
                                                                          <w:marLeft w:val="0"/>
                                                                          <w:marRight w:val="0"/>
                                                                          <w:marTop w:val="0"/>
                                                                          <w:marBottom w:val="0"/>
                                                                          <w:divBdr>
                                                                            <w:top w:val="none" w:sz="0" w:space="0" w:color="auto"/>
                                                                            <w:left w:val="none" w:sz="0" w:space="0" w:color="auto"/>
                                                                            <w:bottom w:val="none" w:sz="0" w:space="0" w:color="auto"/>
                                                                            <w:right w:val="none" w:sz="0" w:space="0" w:color="auto"/>
                                                                          </w:divBdr>
                                                                          <w:divsChild>
                                                                            <w:div w:id="1634098392">
                                                                              <w:marLeft w:val="0"/>
                                                                              <w:marRight w:val="0"/>
                                                                              <w:marTop w:val="0"/>
                                                                              <w:marBottom w:val="0"/>
                                                                              <w:divBdr>
                                                                                <w:top w:val="none" w:sz="0" w:space="0" w:color="auto"/>
                                                                                <w:left w:val="none" w:sz="0" w:space="0" w:color="auto"/>
                                                                                <w:bottom w:val="none" w:sz="0" w:space="0" w:color="auto"/>
                                                                                <w:right w:val="none" w:sz="0" w:space="0" w:color="auto"/>
                                                                              </w:divBdr>
                                                                              <w:divsChild>
                                                                                <w:div w:id="16340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035">
                                                                          <w:marLeft w:val="0"/>
                                                                          <w:marRight w:val="0"/>
                                                                          <w:marTop w:val="0"/>
                                                                          <w:marBottom w:val="0"/>
                                                                          <w:divBdr>
                                                                            <w:top w:val="none" w:sz="0" w:space="0" w:color="auto"/>
                                                                            <w:left w:val="none" w:sz="0" w:space="0" w:color="auto"/>
                                                                            <w:bottom w:val="none" w:sz="0" w:space="0" w:color="auto"/>
                                                                            <w:right w:val="none" w:sz="0" w:space="0" w:color="auto"/>
                                                                          </w:divBdr>
                                                                          <w:divsChild>
                                                                            <w:div w:id="16340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441">
      <w:marLeft w:val="0"/>
      <w:marRight w:val="0"/>
      <w:marTop w:val="0"/>
      <w:marBottom w:val="0"/>
      <w:divBdr>
        <w:top w:val="none" w:sz="0" w:space="0" w:color="auto"/>
        <w:left w:val="none" w:sz="0" w:space="0" w:color="auto"/>
        <w:bottom w:val="none" w:sz="0" w:space="0" w:color="auto"/>
        <w:right w:val="none" w:sz="0" w:space="0" w:color="auto"/>
      </w:divBdr>
    </w:div>
    <w:div w:id="1634098443">
      <w:marLeft w:val="0"/>
      <w:marRight w:val="0"/>
      <w:marTop w:val="0"/>
      <w:marBottom w:val="0"/>
      <w:divBdr>
        <w:top w:val="none" w:sz="0" w:space="0" w:color="auto"/>
        <w:left w:val="none" w:sz="0" w:space="0" w:color="auto"/>
        <w:bottom w:val="none" w:sz="0" w:space="0" w:color="auto"/>
        <w:right w:val="none" w:sz="0" w:space="0" w:color="auto"/>
      </w:divBdr>
    </w:div>
    <w:div w:id="1634098444">
      <w:marLeft w:val="0"/>
      <w:marRight w:val="0"/>
      <w:marTop w:val="0"/>
      <w:marBottom w:val="0"/>
      <w:divBdr>
        <w:top w:val="none" w:sz="0" w:space="0" w:color="auto"/>
        <w:left w:val="none" w:sz="0" w:space="0" w:color="auto"/>
        <w:bottom w:val="none" w:sz="0" w:space="0" w:color="auto"/>
        <w:right w:val="none" w:sz="0" w:space="0" w:color="auto"/>
      </w:divBdr>
    </w:div>
    <w:div w:id="1634098447">
      <w:marLeft w:val="0"/>
      <w:marRight w:val="0"/>
      <w:marTop w:val="0"/>
      <w:marBottom w:val="0"/>
      <w:divBdr>
        <w:top w:val="none" w:sz="0" w:space="0" w:color="auto"/>
        <w:left w:val="none" w:sz="0" w:space="0" w:color="auto"/>
        <w:bottom w:val="none" w:sz="0" w:space="0" w:color="auto"/>
        <w:right w:val="none" w:sz="0" w:space="0" w:color="auto"/>
      </w:divBdr>
    </w:div>
    <w:div w:id="1634098452">
      <w:marLeft w:val="0"/>
      <w:marRight w:val="0"/>
      <w:marTop w:val="0"/>
      <w:marBottom w:val="0"/>
      <w:divBdr>
        <w:top w:val="none" w:sz="0" w:space="0" w:color="auto"/>
        <w:left w:val="none" w:sz="0" w:space="0" w:color="auto"/>
        <w:bottom w:val="none" w:sz="0" w:space="0" w:color="auto"/>
        <w:right w:val="none" w:sz="0" w:space="0" w:color="auto"/>
      </w:divBdr>
    </w:div>
    <w:div w:id="1634098455">
      <w:marLeft w:val="0"/>
      <w:marRight w:val="0"/>
      <w:marTop w:val="0"/>
      <w:marBottom w:val="0"/>
      <w:divBdr>
        <w:top w:val="none" w:sz="0" w:space="0" w:color="auto"/>
        <w:left w:val="none" w:sz="0" w:space="0" w:color="auto"/>
        <w:bottom w:val="none" w:sz="0" w:space="0" w:color="auto"/>
        <w:right w:val="none" w:sz="0" w:space="0" w:color="auto"/>
      </w:divBdr>
    </w:div>
    <w:div w:id="1634098457">
      <w:marLeft w:val="0"/>
      <w:marRight w:val="0"/>
      <w:marTop w:val="100"/>
      <w:marBottom w:val="100"/>
      <w:divBdr>
        <w:top w:val="none" w:sz="0" w:space="0" w:color="auto"/>
        <w:left w:val="none" w:sz="0" w:space="0" w:color="auto"/>
        <w:bottom w:val="none" w:sz="0" w:space="0" w:color="auto"/>
        <w:right w:val="none" w:sz="0" w:space="0" w:color="auto"/>
      </w:divBdr>
      <w:divsChild>
        <w:div w:id="1634098087">
          <w:marLeft w:val="0"/>
          <w:marRight w:val="0"/>
          <w:marTop w:val="0"/>
          <w:marBottom w:val="0"/>
          <w:divBdr>
            <w:top w:val="none" w:sz="0" w:space="0" w:color="auto"/>
            <w:left w:val="none" w:sz="0" w:space="0" w:color="auto"/>
            <w:bottom w:val="none" w:sz="0" w:space="0" w:color="auto"/>
            <w:right w:val="none" w:sz="0" w:space="0" w:color="auto"/>
          </w:divBdr>
          <w:divsChild>
            <w:div w:id="1634098496">
              <w:marLeft w:val="0"/>
              <w:marRight w:val="0"/>
              <w:marTop w:val="0"/>
              <w:marBottom w:val="0"/>
              <w:divBdr>
                <w:top w:val="none" w:sz="0" w:space="0" w:color="auto"/>
                <w:left w:val="none" w:sz="0" w:space="0" w:color="auto"/>
                <w:bottom w:val="none" w:sz="0" w:space="0" w:color="auto"/>
                <w:right w:val="none" w:sz="0" w:space="0" w:color="auto"/>
              </w:divBdr>
              <w:divsChild>
                <w:div w:id="1634098674">
                  <w:marLeft w:val="0"/>
                  <w:marRight w:val="0"/>
                  <w:marTop w:val="0"/>
                  <w:marBottom w:val="0"/>
                  <w:divBdr>
                    <w:top w:val="none" w:sz="0" w:space="0" w:color="auto"/>
                    <w:left w:val="none" w:sz="0" w:space="0" w:color="auto"/>
                    <w:bottom w:val="none" w:sz="0" w:space="0" w:color="auto"/>
                    <w:right w:val="none" w:sz="0" w:space="0" w:color="auto"/>
                  </w:divBdr>
                  <w:divsChild>
                    <w:div w:id="1634098296">
                      <w:marLeft w:val="0"/>
                      <w:marRight w:val="0"/>
                      <w:marTop w:val="150"/>
                      <w:marBottom w:val="0"/>
                      <w:divBdr>
                        <w:top w:val="none" w:sz="0" w:space="0" w:color="auto"/>
                        <w:left w:val="none" w:sz="0" w:space="0" w:color="auto"/>
                        <w:bottom w:val="none" w:sz="0" w:space="0" w:color="auto"/>
                        <w:right w:val="none" w:sz="0" w:space="0" w:color="auto"/>
                      </w:divBdr>
                      <w:divsChild>
                        <w:div w:id="1634098469">
                          <w:marLeft w:val="0"/>
                          <w:marRight w:val="0"/>
                          <w:marTop w:val="0"/>
                          <w:marBottom w:val="0"/>
                          <w:divBdr>
                            <w:top w:val="none" w:sz="0" w:space="0" w:color="auto"/>
                            <w:left w:val="none" w:sz="0" w:space="0" w:color="auto"/>
                            <w:bottom w:val="none" w:sz="0" w:space="0" w:color="auto"/>
                            <w:right w:val="none" w:sz="0" w:space="0" w:color="auto"/>
                          </w:divBdr>
                          <w:divsChild>
                            <w:div w:id="1634098408">
                              <w:marLeft w:val="0"/>
                              <w:marRight w:val="0"/>
                              <w:marTop w:val="0"/>
                              <w:marBottom w:val="0"/>
                              <w:divBdr>
                                <w:top w:val="none" w:sz="0" w:space="0" w:color="auto"/>
                                <w:left w:val="none" w:sz="0" w:space="0" w:color="auto"/>
                                <w:bottom w:val="none" w:sz="0" w:space="0" w:color="auto"/>
                                <w:right w:val="none" w:sz="0" w:space="0" w:color="auto"/>
                              </w:divBdr>
                              <w:divsChild>
                                <w:div w:id="1634098345">
                                  <w:marLeft w:val="0"/>
                                  <w:marRight w:val="0"/>
                                  <w:marTop w:val="0"/>
                                  <w:marBottom w:val="0"/>
                                  <w:divBdr>
                                    <w:top w:val="none" w:sz="0" w:space="0" w:color="auto"/>
                                    <w:left w:val="none" w:sz="0" w:space="0" w:color="auto"/>
                                    <w:bottom w:val="none" w:sz="0" w:space="0" w:color="auto"/>
                                    <w:right w:val="none" w:sz="0" w:space="0" w:color="auto"/>
                                  </w:divBdr>
                                  <w:divsChild>
                                    <w:div w:id="1634098406">
                                      <w:marLeft w:val="0"/>
                                      <w:marRight w:val="0"/>
                                      <w:marTop w:val="0"/>
                                      <w:marBottom w:val="0"/>
                                      <w:divBdr>
                                        <w:top w:val="none" w:sz="0" w:space="0" w:color="auto"/>
                                        <w:left w:val="none" w:sz="0" w:space="0" w:color="auto"/>
                                        <w:bottom w:val="none" w:sz="0" w:space="0" w:color="auto"/>
                                        <w:right w:val="none" w:sz="0" w:space="0" w:color="auto"/>
                                      </w:divBdr>
                                      <w:divsChild>
                                        <w:div w:id="1634098068">
                                          <w:marLeft w:val="0"/>
                                          <w:marRight w:val="0"/>
                                          <w:marTop w:val="0"/>
                                          <w:marBottom w:val="0"/>
                                          <w:divBdr>
                                            <w:top w:val="none" w:sz="0" w:space="0" w:color="auto"/>
                                            <w:left w:val="none" w:sz="0" w:space="0" w:color="auto"/>
                                            <w:bottom w:val="none" w:sz="0" w:space="0" w:color="auto"/>
                                            <w:right w:val="none" w:sz="0" w:space="0" w:color="auto"/>
                                          </w:divBdr>
                                          <w:divsChild>
                                            <w:div w:id="1634097816">
                                              <w:marLeft w:val="0"/>
                                              <w:marRight w:val="0"/>
                                              <w:marTop w:val="0"/>
                                              <w:marBottom w:val="0"/>
                                              <w:divBdr>
                                                <w:top w:val="none" w:sz="0" w:space="0" w:color="auto"/>
                                                <w:left w:val="none" w:sz="0" w:space="0" w:color="auto"/>
                                                <w:bottom w:val="none" w:sz="0" w:space="0" w:color="auto"/>
                                                <w:right w:val="none" w:sz="0" w:space="0" w:color="auto"/>
                                              </w:divBdr>
                                              <w:divsChild>
                                                <w:div w:id="1634097873">
                                                  <w:marLeft w:val="0"/>
                                                  <w:marRight w:val="0"/>
                                                  <w:marTop w:val="0"/>
                                                  <w:marBottom w:val="0"/>
                                                  <w:divBdr>
                                                    <w:top w:val="none" w:sz="0" w:space="0" w:color="auto"/>
                                                    <w:left w:val="none" w:sz="0" w:space="0" w:color="auto"/>
                                                    <w:bottom w:val="none" w:sz="0" w:space="0" w:color="auto"/>
                                                    <w:right w:val="none" w:sz="0" w:space="0" w:color="auto"/>
                                                  </w:divBdr>
                                                  <w:divsChild>
                                                    <w:div w:id="1634098151">
                                                      <w:marLeft w:val="0"/>
                                                      <w:marRight w:val="0"/>
                                                      <w:marTop w:val="0"/>
                                                      <w:marBottom w:val="0"/>
                                                      <w:divBdr>
                                                        <w:top w:val="none" w:sz="0" w:space="0" w:color="auto"/>
                                                        <w:left w:val="none" w:sz="0" w:space="0" w:color="auto"/>
                                                        <w:bottom w:val="none" w:sz="0" w:space="0" w:color="auto"/>
                                                        <w:right w:val="none" w:sz="0" w:space="0" w:color="auto"/>
                                                      </w:divBdr>
                                                      <w:divsChild>
                                                        <w:div w:id="1634098298">
                                                          <w:marLeft w:val="0"/>
                                                          <w:marRight w:val="0"/>
                                                          <w:marTop w:val="0"/>
                                                          <w:marBottom w:val="0"/>
                                                          <w:divBdr>
                                                            <w:top w:val="none" w:sz="0" w:space="0" w:color="auto"/>
                                                            <w:left w:val="none" w:sz="0" w:space="0" w:color="auto"/>
                                                            <w:bottom w:val="none" w:sz="0" w:space="0" w:color="auto"/>
                                                            <w:right w:val="none" w:sz="0" w:space="0" w:color="auto"/>
                                                          </w:divBdr>
                                                          <w:divsChild>
                                                            <w:div w:id="1634097831">
                                                              <w:marLeft w:val="0"/>
                                                              <w:marRight w:val="0"/>
                                                              <w:marTop w:val="0"/>
                                                              <w:marBottom w:val="0"/>
                                                              <w:divBdr>
                                                                <w:top w:val="none" w:sz="0" w:space="0" w:color="auto"/>
                                                                <w:left w:val="none" w:sz="0" w:space="0" w:color="auto"/>
                                                                <w:bottom w:val="none" w:sz="0" w:space="0" w:color="auto"/>
                                                                <w:right w:val="none" w:sz="0" w:space="0" w:color="auto"/>
                                                              </w:divBdr>
                                                              <w:divsChild>
                                                                <w:div w:id="1634097853">
                                                                  <w:marLeft w:val="0"/>
                                                                  <w:marRight w:val="0"/>
                                                                  <w:marTop w:val="0"/>
                                                                  <w:marBottom w:val="0"/>
                                                                  <w:divBdr>
                                                                    <w:top w:val="none" w:sz="0" w:space="0" w:color="auto"/>
                                                                    <w:left w:val="none" w:sz="0" w:space="0" w:color="auto"/>
                                                                    <w:bottom w:val="none" w:sz="0" w:space="0" w:color="auto"/>
                                                                    <w:right w:val="none" w:sz="0" w:space="0" w:color="auto"/>
                                                                  </w:divBdr>
                                                                  <w:divsChild>
                                                                    <w:div w:id="1634098550">
                                                                      <w:marLeft w:val="0"/>
                                                                      <w:marRight w:val="0"/>
                                                                      <w:marTop w:val="0"/>
                                                                      <w:marBottom w:val="0"/>
                                                                      <w:divBdr>
                                                                        <w:top w:val="none" w:sz="0" w:space="0" w:color="auto"/>
                                                                        <w:left w:val="none" w:sz="0" w:space="0" w:color="auto"/>
                                                                        <w:bottom w:val="none" w:sz="0" w:space="0" w:color="auto"/>
                                                                        <w:right w:val="none" w:sz="0" w:space="0" w:color="auto"/>
                                                                      </w:divBdr>
                                                                      <w:divsChild>
                                                                        <w:div w:id="1634098288">
                                                                          <w:marLeft w:val="0"/>
                                                                          <w:marRight w:val="0"/>
                                                                          <w:marTop w:val="0"/>
                                                                          <w:marBottom w:val="0"/>
                                                                          <w:divBdr>
                                                                            <w:top w:val="none" w:sz="0" w:space="0" w:color="auto"/>
                                                                            <w:left w:val="none" w:sz="0" w:space="0" w:color="auto"/>
                                                                            <w:bottom w:val="none" w:sz="0" w:space="0" w:color="auto"/>
                                                                            <w:right w:val="none" w:sz="0" w:space="0" w:color="auto"/>
                                                                          </w:divBdr>
                                                                          <w:divsChild>
                                                                            <w:div w:id="163409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8284">
                                                  <w:marLeft w:val="0"/>
                                                  <w:marRight w:val="0"/>
                                                  <w:marTop w:val="0"/>
                                                  <w:marBottom w:val="0"/>
                                                  <w:divBdr>
                                                    <w:top w:val="none" w:sz="0" w:space="0" w:color="auto"/>
                                                    <w:left w:val="none" w:sz="0" w:space="0" w:color="auto"/>
                                                    <w:bottom w:val="none" w:sz="0" w:space="0" w:color="auto"/>
                                                    <w:right w:val="none" w:sz="0" w:space="0" w:color="auto"/>
                                                  </w:divBdr>
                                                  <w:divsChild>
                                                    <w:div w:id="1634098433">
                                                      <w:marLeft w:val="0"/>
                                                      <w:marRight w:val="0"/>
                                                      <w:marTop w:val="0"/>
                                                      <w:marBottom w:val="0"/>
                                                      <w:divBdr>
                                                        <w:top w:val="none" w:sz="0" w:space="0" w:color="auto"/>
                                                        <w:left w:val="none" w:sz="0" w:space="0" w:color="auto"/>
                                                        <w:bottom w:val="none" w:sz="0" w:space="0" w:color="auto"/>
                                                        <w:right w:val="none" w:sz="0" w:space="0" w:color="auto"/>
                                                      </w:divBdr>
                                                      <w:divsChild>
                                                        <w:div w:id="1634097981">
                                                          <w:marLeft w:val="0"/>
                                                          <w:marRight w:val="0"/>
                                                          <w:marTop w:val="0"/>
                                                          <w:marBottom w:val="0"/>
                                                          <w:divBdr>
                                                            <w:top w:val="none" w:sz="0" w:space="0" w:color="auto"/>
                                                            <w:left w:val="none" w:sz="0" w:space="0" w:color="auto"/>
                                                            <w:bottom w:val="none" w:sz="0" w:space="0" w:color="auto"/>
                                                            <w:right w:val="none" w:sz="0" w:space="0" w:color="auto"/>
                                                          </w:divBdr>
                                                          <w:divsChild>
                                                            <w:div w:id="1634097838">
                                                              <w:marLeft w:val="0"/>
                                                              <w:marRight w:val="0"/>
                                                              <w:marTop w:val="0"/>
                                                              <w:marBottom w:val="0"/>
                                                              <w:divBdr>
                                                                <w:top w:val="none" w:sz="0" w:space="0" w:color="auto"/>
                                                                <w:left w:val="none" w:sz="0" w:space="0" w:color="auto"/>
                                                                <w:bottom w:val="none" w:sz="0" w:space="0" w:color="auto"/>
                                                                <w:right w:val="none" w:sz="0" w:space="0" w:color="auto"/>
                                                              </w:divBdr>
                                                              <w:divsChild>
                                                                <w:div w:id="1634098231">
                                                                  <w:marLeft w:val="0"/>
                                                                  <w:marRight w:val="0"/>
                                                                  <w:marTop w:val="0"/>
                                                                  <w:marBottom w:val="0"/>
                                                                  <w:divBdr>
                                                                    <w:top w:val="none" w:sz="0" w:space="0" w:color="auto"/>
                                                                    <w:left w:val="none" w:sz="0" w:space="0" w:color="auto"/>
                                                                    <w:bottom w:val="none" w:sz="0" w:space="0" w:color="auto"/>
                                                                    <w:right w:val="none" w:sz="0" w:space="0" w:color="auto"/>
                                                                  </w:divBdr>
                                                                  <w:divsChild>
                                                                    <w:div w:id="1634097871">
                                                                      <w:marLeft w:val="0"/>
                                                                      <w:marRight w:val="0"/>
                                                                      <w:marTop w:val="0"/>
                                                                      <w:marBottom w:val="0"/>
                                                                      <w:divBdr>
                                                                        <w:top w:val="none" w:sz="0" w:space="0" w:color="auto"/>
                                                                        <w:left w:val="none" w:sz="0" w:space="0" w:color="auto"/>
                                                                        <w:bottom w:val="none" w:sz="0" w:space="0" w:color="auto"/>
                                                                        <w:right w:val="none" w:sz="0" w:space="0" w:color="auto"/>
                                                                      </w:divBdr>
                                                                      <w:divsChild>
                                                                        <w:div w:id="1634098195">
                                                                          <w:marLeft w:val="0"/>
                                                                          <w:marRight w:val="0"/>
                                                                          <w:marTop w:val="0"/>
                                                                          <w:marBottom w:val="0"/>
                                                                          <w:divBdr>
                                                                            <w:top w:val="none" w:sz="0" w:space="0" w:color="auto"/>
                                                                            <w:left w:val="none" w:sz="0" w:space="0" w:color="auto"/>
                                                                            <w:bottom w:val="none" w:sz="0" w:space="0" w:color="auto"/>
                                                                            <w:right w:val="none" w:sz="0" w:space="0" w:color="auto"/>
                                                                          </w:divBdr>
                                                                          <w:divsChild>
                                                                            <w:div w:id="1634098212">
                                                                              <w:marLeft w:val="0"/>
                                                                              <w:marRight w:val="0"/>
                                                                              <w:marTop w:val="0"/>
                                                                              <w:marBottom w:val="0"/>
                                                                              <w:divBdr>
                                                                                <w:top w:val="none" w:sz="0" w:space="0" w:color="auto"/>
                                                                                <w:left w:val="none" w:sz="0" w:space="0" w:color="auto"/>
                                                                                <w:bottom w:val="none" w:sz="0" w:space="0" w:color="auto"/>
                                                                                <w:right w:val="none" w:sz="0" w:space="0" w:color="auto"/>
                                                                              </w:divBdr>
                                                                            </w:div>
                                                                          </w:divsChild>
                                                                        </w:div>
                                                                        <w:div w:id="1634098531">
                                                                          <w:marLeft w:val="0"/>
                                                                          <w:marRight w:val="0"/>
                                                                          <w:marTop w:val="0"/>
                                                                          <w:marBottom w:val="0"/>
                                                                          <w:divBdr>
                                                                            <w:top w:val="none" w:sz="0" w:space="0" w:color="auto"/>
                                                                            <w:left w:val="none" w:sz="0" w:space="0" w:color="auto"/>
                                                                            <w:bottom w:val="none" w:sz="0" w:space="0" w:color="auto"/>
                                                                            <w:right w:val="none" w:sz="0" w:space="0" w:color="auto"/>
                                                                          </w:divBdr>
                                                                          <w:divsChild>
                                                                            <w:div w:id="1634098434">
                                                                              <w:marLeft w:val="0"/>
                                                                              <w:marRight w:val="0"/>
                                                                              <w:marTop w:val="0"/>
                                                                              <w:marBottom w:val="0"/>
                                                                              <w:divBdr>
                                                                                <w:top w:val="none" w:sz="0" w:space="0" w:color="auto"/>
                                                                                <w:left w:val="none" w:sz="0" w:space="0" w:color="auto"/>
                                                                                <w:bottom w:val="none" w:sz="0" w:space="0" w:color="auto"/>
                                                                                <w:right w:val="none" w:sz="0" w:space="0" w:color="auto"/>
                                                                              </w:divBdr>
                                                                              <w:divsChild>
                                                                                <w:div w:id="16340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678">
                                                                          <w:marLeft w:val="0"/>
                                                                          <w:marRight w:val="0"/>
                                                                          <w:marTop w:val="0"/>
                                                                          <w:marBottom w:val="0"/>
                                                                          <w:divBdr>
                                                                            <w:top w:val="none" w:sz="0" w:space="0" w:color="auto"/>
                                                                            <w:left w:val="none" w:sz="0" w:space="0" w:color="auto"/>
                                                                            <w:bottom w:val="none" w:sz="0" w:space="0" w:color="auto"/>
                                                                            <w:right w:val="none" w:sz="0" w:space="0" w:color="auto"/>
                                                                          </w:divBdr>
                                                                          <w:divsChild>
                                                                            <w:div w:id="16340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463">
      <w:marLeft w:val="0"/>
      <w:marRight w:val="0"/>
      <w:marTop w:val="0"/>
      <w:marBottom w:val="0"/>
      <w:divBdr>
        <w:top w:val="none" w:sz="0" w:space="0" w:color="auto"/>
        <w:left w:val="none" w:sz="0" w:space="0" w:color="auto"/>
        <w:bottom w:val="none" w:sz="0" w:space="0" w:color="auto"/>
        <w:right w:val="none" w:sz="0" w:space="0" w:color="auto"/>
      </w:divBdr>
    </w:div>
    <w:div w:id="1634098464">
      <w:marLeft w:val="0"/>
      <w:marRight w:val="0"/>
      <w:marTop w:val="0"/>
      <w:marBottom w:val="0"/>
      <w:divBdr>
        <w:top w:val="none" w:sz="0" w:space="0" w:color="auto"/>
        <w:left w:val="none" w:sz="0" w:space="0" w:color="auto"/>
        <w:bottom w:val="none" w:sz="0" w:space="0" w:color="auto"/>
        <w:right w:val="none" w:sz="0" w:space="0" w:color="auto"/>
      </w:divBdr>
    </w:div>
    <w:div w:id="1634098466">
      <w:marLeft w:val="0"/>
      <w:marRight w:val="0"/>
      <w:marTop w:val="0"/>
      <w:marBottom w:val="0"/>
      <w:divBdr>
        <w:top w:val="none" w:sz="0" w:space="0" w:color="auto"/>
        <w:left w:val="none" w:sz="0" w:space="0" w:color="auto"/>
        <w:bottom w:val="none" w:sz="0" w:space="0" w:color="auto"/>
        <w:right w:val="none" w:sz="0" w:space="0" w:color="auto"/>
      </w:divBdr>
    </w:div>
    <w:div w:id="1634098470">
      <w:marLeft w:val="0"/>
      <w:marRight w:val="0"/>
      <w:marTop w:val="0"/>
      <w:marBottom w:val="0"/>
      <w:divBdr>
        <w:top w:val="none" w:sz="0" w:space="0" w:color="auto"/>
        <w:left w:val="none" w:sz="0" w:space="0" w:color="auto"/>
        <w:bottom w:val="none" w:sz="0" w:space="0" w:color="auto"/>
        <w:right w:val="none" w:sz="0" w:space="0" w:color="auto"/>
      </w:divBdr>
    </w:div>
    <w:div w:id="1634098476">
      <w:marLeft w:val="0"/>
      <w:marRight w:val="0"/>
      <w:marTop w:val="0"/>
      <w:marBottom w:val="0"/>
      <w:divBdr>
        <w:top w:val="none" w:sz="0" w:space="0" w:color="auto"/>
        <w:left w:val="none" w:sz="0" w:space="0" w:color="auto"/>
        <w:bottom w:val="none" w:sz="0" w:space="0" w:color="auto"/>
        <w:right w:val="none" w:sz="0" w:space="0" w:color="auto"/>
      </w:divBdr>
    </w:div>
    <w:div w:id="1634098479">
      <w:marLeft w:val="0"/>
      <w:marRight w:val="0"/>
      <w:marTop w:val="0"/>
      <w:marBottom w:val="0"/>
      <w:divBdr>
        <w:top w:val="none" w:sz="0" w:space="0" w:color="auto"/>
        <w:left w:val="none" w:sz="0" w:space="0" w:color="auto"/>
        <w:bottom w:val="none" w:sz="0" w:space="0" w:color="auto"/>
        <w:right w:val="none" w:sz="0" w:space="0" w:color="auto"/>
      </w:divBdr>
    </w:div>
    <w:div w:id="1634098482">
      <w:marLeft w:val="0"/>
      <w:marRight w:val="0"/>
      <w:marTop w:val="0"/>
      <w:marBottom w:val="0"/>
      <w:divBdr>
        <w:top w:val="none" w:sz="0" w:space="0" w:color="auto"/>
        <w:left w:val="none" w:sz="0" w:space="0" w:color="auto"/>
        <w:bottom w:val="none" w:sz="0" w:space="0" w:color="auto"/>
        <w:right w:val="none" w:sz="0" w:space="0" w:color="auto"/>
      </w:divBdr>
      <w:divsChild>
        <w:div w:id="1634098004">
          <w:marLeft w:val="0"/>
          <w:marRight w:val="0"/>
          <w:marTop w:val="0"/>
          <w:marBottom w:val="0"/>
          <w:divBdr>
            <w:top w:val="none" w:sz="0" w:space="0" w:color="auto"/>
            <w:left w:val="none" w:sz="0" w:space="0" w:color="auto"/>
            <w:bottom w:val="none" w:sz="0" w:space="0" w:color="auto"/>
            <w:right w:val="none" w:sz="0" w:space="0" w:color="auto"/>
          </w:divBdr>
          <w:divsChild>
            <w:div w:id="1634097834">
              <w:marLeft w:val="0"/>
              <w:marRight w:val="0"/>
              <w:marTop w:val="0"/>
              <w:marBottom w:val="0"/>
              <w:divBdr>
                <w:top w:val="none" w:sz="0" w:space="0" w:color="auto"/>
                <w:left w:val="none" w:sz="0" w:space="0" w:color="auto"/>
                <w:bottom w:val="none" w:sz="0" w:space="0" w:color="auto"/>
                <w:right w:val="none" w:sz="0" w:space="0" w:color="auto"/>
              </w:divBdr>
              <w:divsChild>
                <w:div w:id="1634098194">
                  <w:marLeft w:val="0"/>
                  <w:marRight w:val="0"/>
                  <w:marTop w:val="0"/>
                  <w:marBottom w:val="0"/>
                  <w:divBdr>
                    <w:top w:val="none" w:sz="0" w:space="0" w:color="auto"/>
                    <w:left w:val="none" w:sz="0" w:space="0" w:color="auto"/>
                    <w:bottom w:val="none" w:sz="0" w:space="0" w:color="auto"/>
                    <w:right w:val="none" w:sz="0" w:space="0" w:color="auto"/>
                  </w:divBdr>
                  <w:divsChild>
                    <w:div w:id="1634098102">
                      <w:marLeft w:val="0"/>
                      <w:marRight w:val="0"/>
                      <w:marTop w:val="0"/>
                      <w:marBottom w:val="0"/>
                      <w:divBdr>
                        <w:top w:val="none" w:sz="0" w:space="0" w:color="auto"/>
                        <w:left w:val="none" w:sz="0" w:space="0" w:color="auto"/>
                        <w:bottom w:val="none" w:sz="0" w:space="0" w:color="auto"/>
                        <w:right w:val="none" w:sz="0" w:space="0" w:color="auto"/>
                      </w:divBdr>
                      <w:divsChild>
                        <w:div w:id="1634098348">
                          <w:marLeft w:val="0"/>
                          <w:marRight w:val="0"/>
                          <w:marTop w:val="0"/>
                          <w:marBottom w:val="0"/>
                          <w:divBdr>
                            <w:top w:val="none" w:sz="0" w:space="0" w:color="auto"/>
                            <w:left w:val="none" w:sz="0" w:space="0" w:color="auto"/>
                            <w:bottom w:val="none" w:sz="0" w:space="0" w:color="auto"/>
                            <w:right w:val="none" w:sz="0" w:space="0" w:color="auto"/>
                          </w:divBdr>
                        </w:div>
                        <w:div w:id="1634098459">
                          <w:marLeft w:val="0"/>
                          <w:marRight w:val="0"/>
                          <w:marTop w:val="0"/>
                          <w:marBottom w:val="0"/>
                          <w:divBdr>
                            <w:top w:val="none" w:sz="0" w:space="0" w:color="auto"/>
                            <w:left w:val="none" w:sz="0" w:space="0" w:color="auto"/>
                            <w:bottom w:val="none" w:sz="0" w:space="0" w:color="auto"/>
                            <w:right w:val="none" w:sz="0" w:space="0" w:color="auto"/>
                          </w:divBdr>
                          <w:divsChild>
                            <w:div w:id="1634098302">
                              <w:marLeft w:val="0"/>
                              <w:marRight w:val="0"/>
                              <w:marTop w:val="0"/>
                              <w:marBottom w:val="0"/>
                              <w:divBdr>
                                <w:top w:val="none" w:sz="0" w:space="0" w:color="auto"/>
                                <w:left w:val="none" w:sz="0" w:space="0" w:color="auto"/>
                                <w:bottom w:val="none" w:sz="0" w:space="0" w:color="auto"/>
                                <w:right w:val="none" w:sz="0" w:space="0" w:color="auto"/>
                              </w:divBdr>
                              <w:divsChild>
                                <w:div w:id="1634098260">
                                  <w:marLeft w:val="0"/>
                                  <w:marRight w:val="0"/>
                                  <w:marTop w:val="0"/>
                                  <w:marBottom w:val="0"/>
                                  <w:divBdr>
                                    <w:top w:val="none" w:sz="0" w:space="0" w:color="auto"/>
                                    <w:left w:val="none" w:sz="0" w:space="0" w:color="auto"/>
                                    <w:bottom w:val="none" w:sz="0" w:space="0" w:color="auto"/>
                                    <w:right w:val="none" w:sz="0" w:space="0" w:color="auto"/>
                                  </w:divBdr>
                                  <w:divsChild>
                                    <w:div w:id="16340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098489">
      <w:marLeft w:val="0"/>
      <w:marRight w:val="0"/>
      <w:marTop w:val="0"/>
      <w:marBottom w:val="0"/>
      <w:divBdr>
        <w:top w:val="none" w:sz="0" w:space="0" w:color="auto"/>
        <w:left w:val="none" w:sz="0" w:space="0" w:color="auto"/>
        <w:bottom w:val="none" w:sz="0" w:space="0" w:color="auto"/>
        <w:right w:val="none" w:sz="0" w:space="0" w:color="auto"/>
      </w:divBdr>
    </w:div>
    <w:div w:id="1634098491">
      <w:marLeft w:val="0"/>
      <w:marRight w:val="0"/>
      <w:marTop w:val="0"/>
      <w:marBottom w:val="0"/>
      <w:divBdr>
        <w:top w:val="none" w:sz="0" w:space="0" w:color="auto"/>
        <w:left w:val="none" w:sz="0" w:space="0" w:color="auto"/>
        <w:bottom w:val="none" w:sz="0" w:space="0" w:color="auto"/>
        <w:right w:val="none" w:sz="0" w:space="0" w:color="auto"/>
      </w:divBdr>
    </w:div>
    <w:div w:id="1634098492">
      <w:marLeft w:val="0"/>
      <w:marRight w:val="0"/>
      <w:marTop w:val="0"/>
      <w:marBottom w:val="0"/>
      <w:divBdr>
        <w:top w:val="none" w:sz="0" w:space="0" w:color="auto"/>
        <w:left w:val="none" w:sz="0" w:space="0" w:color="auto"/>
        <w:bottom w:val="none" w:sz="0" w:space="0" w:color="auto"/>
        <w:right w:val="none" w:sz="0" w:space="0" w:color="auto"/>
      </w:divBdr>
    </w:div>
    <w:div w:id="1634098497">
      <w:marLeft w:val="0"/>
      <w:marRight w:val="0"/>
      <w:marTop w:val="0"/>
      <w:marBottom w:val="0"/>
      <w:divBdr>
        <w:top w:val="none" w:sz="0" w:space="0" w:color="auto"/>
        <w:left w:val="none" w:sz="0" w:space="0" w:color="auto"/>
        <w:bottom w:val="none" w:sz="0" w:space="0" w:color="auto"/>
        <w:right w:val="none" w:sz="0" w:space="0" w:color="auto"/>
      </w:divBdr>
    </w:div>
    <w:div w:id="1634098509">
      <w:marLeft w:val="0"/>
      <w:marRight w:val="0"/>
      <w:marTop w:val="0"/>
      <w:marBottom w:val="0"/>
      <w:divBdr>
        <w:top w:val="none" w:sz="0" w:space="0" w:color="auto"/>
        <w:left w:val="none" w:sz="0" w:space="0" w:color="auto"/>
        <w:bottom w:val="none" w:sz="0" w:space="0" w:color="auto"/>
        <w:right w:val="none" w:sz="0" w:space="0" w:color="auto"/>
      </w:divBdr>
    </w:div>
    <w:div w:id="1634098511">
      <w:marLeft w:val="0"/>
      <w:marRight w:val="0"/>
      <w:marTop w:val="0"/>
      <w:marBottom w:val="0"/>
      <w:divBdr>
        <w:top w:val="none" w:sz="0" w:space="0" w:color="auto"/>
        <w:left w:val="none" w:sz="0" w:space="0" w:color="auto"/>
        <w:bottom w:val="none" w:sz="0" w:space="0" w:color="auto"/>
        <w:right w:val="none" w:sz="0" w:space="0" w:color="auto"/>
      </w:divBdr>
    </w:div>
    <w:div w:id="1634098517">
      <w:marLeft w:val="0"/>
      <w:marRight w:val="0"/>
      <w:marTop w:val="100"/>
      <w:marBottom w:val="100"/>
      <w:divBdr>
        <w:top w:val="none" w:sz="0" w:space="0" w:color="auto"/>
        <w:left w:val="none" w:sz="0" w:space="0" w:color="auto"/>
        <w:bottom w:val="none" w:sz="0" w:space="0" w:color="auto"/>
        <w:right w:val="none" w:sz="0" w:space="0" w:color="auto"/>
      </w:divBdr>
      <w:divsChild>
        <w:div w:id="1634097805">
          <w:marLeft w:val="0"/>
          <w:marRight w:val="0"/>
          <w:marTop w:val="0"/>
          <w:marBottom w:val="0"/>
          <w:divBdr>
            <w:top w:val="none" w:sz="0" w:space="0" w:color="auto"/>
            <w:left w:val="none" w:sz="0" w:space="0" w:color="auto"/>
            <w:bottom w:val="none" w:sz="0" w:space="0" w:color="auto"/>
            <w:right w:val="none" w:sz="0" w:space="0" w:color="auto"/>
          </w:divBdr>
          <w:divsChild>
            <w:div w:id="1634098106">
              <w:marLeft w:val="0"/>
              <w:marRight w:val="0"/>
              <w:marTop w:val="0"/>
              <w:marBottom w:val="0"/>
              <w:divBdr>
                <w:top w:val="none" w:sz="0" w:space="0" w:color="auto"/>
                <w:left w:val="none" w:sz="0" w:space="0" w:color="auto"/>
                <w:bottom w:val="none" w:sz="0" w:space="0" w:color="auto"/>
                <w:right w:val="none" w:sz="0" w:space="0" w:color="auto"/>
              </w:divBdr>
              <w:divsChild>
                <w:div w:id="1634098485">
                  <w:marLeft w:val="0"/>
                  <w:marRight w:val="0"/>
                  <w:marTop w:val="0"/>
                  <w:marBottom w:val="0"/>
                  <w:divBdr>
                    <w:top w:val="none" w:sz="0" w:space="0" w:color="auto"/>
                    <w:left w:val="none" w:sz="0" w:space="0" w:color="auto"/>
                    <w:bottom w:val="none" w:sz="0" w:space="0" w:color="auto"/>
                    <w:right w:val="none" w:sz="0" w:space="0" w:color="auto"/>
                  </w:divBdr>
                  <w:divsChild>
                    <w:div w:id="1634098475">
                      <w:marLeft w:val="0"/>
                      <w:marRight w:val="0"/>
                      <w:marTop w:val="150"/>
                      <w:marBottom w:val="0"/>
                      <w:divBdr>
                        <w:top w:val="none" w:sz="0" w:space="0" w:color="auto"/>
                        <w:left w:val="none" w:sz="0" w:space="0" w:color="auto"/>
                        <w:bottom w:val="none" w:sz="0" w:space="0" w:color="auto"/>
                        <w:right w:val="none" w:sz="0" w:space="0" w:color="auto"/>
                      </w:divBdr>
                      <w:divsChild>
                        <w:div w:id="1634098229">
                          <w:marLeft w:val="0"/>
                          <w:marRight w:val="0"/>
                          <w:marTop w:val="0"/>
                          <w:marBottom w:val="0"/>
                          <w:divBdr>
                            <w:top w:val="none" w:sz="0" w:space="0" w:color="auto"/>
                            <w:left w:val="none" w:sz="0" w:space="0" w:color="auto"/>
                            <w:bottom w:val="none" w:sz="0" w:space="0" w:color="auto"/>
                            <w:right w:val="none" w:sz="0" w:space="0" w:color="auto"/>
                          </w:divBdr>
                          <w:divsChild>
                            <w:div w:id="1634098472">
                              <w:marLeft w:val="0"/>
                              <w:marRight w:val="0"/>
                              <w:marTop w:val="0"/>
                              <w:marBottom w:val="0"/>
                              <w:divBdr>
                                <w:top w:val="none" w:sz="0" w:space="0" w:color="auto"/>
                                <w:left w:val="none" w:sz="0" w:space="0" w:color="auto"/>
                                <w:bottom w:val="none" w:sz="0" w:space="0" w:color="auto"/>
                                <w:right w:val="none" w:sz="0" w:space="0" w:color="auto"/>
                              </w:divBdr>
                              <w:divsChild>
                                <w:div w:id="1634098113">
                                  <w:marLeft w:val="0"/>
                                  <w:marRight w:val="0"/>
                                  <w:marTop w:val="0"/>
                                  <w:marBottom w:val="0"/>
                                  <w:divBdr>
                                    <w:top w:val="none" w:sz="0" w:space="0" w:color="auto"/>
                                    <w:left w:val="none" w:sz="0" w:space="0" w:color="auto"/>
                                    <w:bottom w:val="none" w:sz="0" w:space="0" w:color="auto"/>
                                    <w:right w:val="none" w:sz="0" w:space="0" w:color="auto"/>
                                  </w:divBdr>
                                  <w:divsChild>
                                    <w:div w:id="1634098174">
                                      <w:marLeft w:val="0"/>
                                      <w:marRight w:val="0"/>
                                      <w:marTop w:val="0"/>
                                      <w:marBottom w:val="0"/>
                                      <w:divBdr>
                                        <w:top w:val="none" w:sz="0" w:space="0" w:color="auto"/>
                                        <w:left w:val="none" w:sz="0" w:space="0" w:color="auto"/>
                                        <w:bottom w:val="none" w:sz="0" w:space="0" w:color="auto"/>
                                        <w:right w:val="none" w:sz="0" w:space="0" w:color="auto"/>
                                      </w:divBdr>
                                      <w:divsChild>
                                        <w:div w:id="1634098267">
                                          <w:marLeft w:val="0"/>
                                          <w:marRight w:val="0"/>
                                          <w:marTop w:val="0"/>
                                          <w:marBottom w:val="0"/>
                                          <w:divBdr>
                                            <w:top w:val="none" w:sz="0" w:space="0" w:color="auto"/>
                                            <w:left w:val="none" w:sz="0" w:space="0" w:color="auto"/>
                                            <w:bottom w:val="none" w:sz="0" w:space="0" w:color="auto"/>
                                            <w:right w:val="none" w:sz="0" w:space="0" w:color="auto"/>
                                          </w:divBdr>
                                          <w:divsChild>
                                            <w:div w:id="1634098435">
                                              <w:marLeft w:val="0"/>
                                              <w:marRight w:val="0"/>
                                              <w:marTop w:val="0"/>
                                              <w:marBottom w:val="0"/>
                                              <w:divBdr>
                                                <w:top w:val="none" w:sz="0" w:space="0" w:color="auto"/>
                                                <w:left w:val="none" w:sz="0" w:space="0" w:color="auto"/>
                                                <w:bottom w:val="none" w:sz="0" w:space="0" w:color="auto"/>
                                                <w:right w:val="none" w:sz="0" w:space="0" w:color="auto"/>
                                              </w:divBdr>
                                              <w:divsChild>
                                                <w:div w:id="1634098040">
                                                  <w:marLeft w:val="0"/>
                                                  <w:marRight w:val="0"/>
                                                  <w:marTop w:val="0"/>
                                                  <w:marBottom w:val="0"/>
                                                  <w:divBdr>
                                                    <w:top w:val="none" w:sz="0" w:space="0" w:color="auto"/>
                                                    <w:left w:val="none" w:sz="0" w:space="0" w:color="auto"/>
                                                    <w:bottom w:val="none" w:sz="0" w:space="0" w:color="auto"/>
                                                    <w:right w:val="none" w:sz="0" w:space="0" w:color="auto"/>
                                                  </w:divBdr>
                                                  <w:divsChild>
                                                    <w:div w:id="1634098608">
                                                      <w:marLeft w:val="0"/>
                                                      <w:marRight w:val="0"/>
                                                      <w:marTop w:val="0"/>
                                                      <w:marBottom w:val="0"/>
                                                      <w:divBdr>
                                                        <w:top w:val="none" w:sz="0" w:space="0" w:color="auto"/>
                                                        <w:left w:val="none" w:sz="0" w:space="0" w:color="auto"/>
                                                        <w:bottom w:val="none" w:sz="0" w:space="0" w:color="auto"/>
                                                        <w:right w:val="none" w:sz="0" w:space="0" w:color="auto"/>
                                                      </w:divBdr>
                                                      <w:divsChild>
                                                        <w:div w:id="1634097947">
                                                          <w:marLeft w:val="0"/>
                                                          <w:marRight w:val="0"/>
                                                          <w:marTop w:val="0"/>
                                                          <w:marBottom w:val="0"/>
                                                          <w:divBdr>
                                                            <w:top w:val="none" w:sz="0" w:space="0" w:color="auto"/>
                                                            <w:left w:val="none" w:sz="0" w:space="0" w:color="auto"/>
                                                            <w:bottom w:val="none" w:sz="0" w:space="0" w:color="auto"/>
                                                            <w:right w:val="none" w:sz="0" w:space="0" w:color="auto"/>
                                                          </w:divBdr>
                                                          <w:divsChild>
                                                            <w:div w:id="1634098276">
                                                              <w:marLeft w:val="0"/>
                                                              <w:marRight w:val="0"/>
                                                              <w:marTop w:val="0"/>
                                                              <w:marBottom w:val="0"/>
                                                              <w:divBdr>
                                                                <w:top w:val="none" w:sz="0" w:space="0" w:color="auto"/>
                                                                <w:left w:val="none" w:sz="0" w:space="0" w:color="auto"/>
                                                                <w:bottom w:val="none" w:sz="0" w:space="0" w:color="auto"/>
                                                                <w:right w:val="none" w:sz="0" w:space="0" w:color="auto"/>
                                                              </w:divBdr>
                                                              <w:divsChild>
                                                                <w:div w:id="1634098192">
                                                                  <w:marLeft w:val="0"/>
                                                                  <w:marRight w:val="0"/>
                                                                  <w:marTop w:val="0"/>
                                                                  <w:marBottom w:val="0"/>
                                                                  <w:divBdr>
                                                                    <w:top w:val="none" w:sz="0" w:space="0" w:color="auto"/>
                                                                    <w:left w:val="none" w:sz="0" w:space="0" w:color="auto"/>
                                                                    <w:bottom w:val="none" w:sz="0" w:space="0" w:color="auto"/>
                                                                    <w:right w:val="none" w:sz="0" w:space="0" w:color="auto"/>
                                                                  </w:divBdr>
                                                                  <w:divsChild>
                                                                    <w:div w:id="1634098521">
                                                                      <w:marLeft w:val="0"/>
                                                                      <w:marRight w:val="0"/>
                                                                      <w:marTop w:val="0"/>
                                                                      <w:marBottom w:val="0"/>
                                                                      <w:divBdr>
                                                                        <w:top w:val="none" w:sz="0" w:space="0" w:color="auto"/>
                                                                        <w:left w:val="none" w:sz="0" w:space="0" w:color="auto"/>
                                                                        <w:bottom w:val="none" w:sz="0" w:space="0" w:color="auto"/>
                                                                        <w:right w:val="none" w:sz="0" w:space="0" w:color="auto"/>
                                                                      </w:divBdr>
                                                                      <w:divsChild>
                                                                        <w:div w:id="1634098524">
                                                                          <w:marLeft w:val="0"/>
                                                                          <w:marRight w:val="0"/>
                                                                          <w:marTop w:val="0"/>
                                                                          <w:marBottom w:val="0"/>
                                                                          <w:divBdr>
                                                                            <w:top w:val="none" w:sz="0" w:space="0" w:color="auto"/>
                                                                            <w:left w:val="none" w:sz="0" w:space="0" w:color="auto"/>
                                                                            <w:bottom w:val="none" w:sz="0" w:space="0" w:color="auto"/>
                                                                            <w:right w:val="none" w:sz="0" w:space="0" w:color="auto"/>
                                                                          </w:divBdr>
                                                                          <w:divsChild>
                                                                            <w:div w:id="16340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520">
      <w:marLeft w:val="0"/>
      <w:marRight w:val="0"/>
      <w:marTop w:val="0"/>
      <w:marBottom w:val="0"/>
      <w:divBdr>
        <w:top w:val="none" w:sz="0" w:space="0" w:color="auto"/>
        <w:left w:val="none" w:sz="0" w:space="0" w:color="auto"/>
        <w:bottom w:val="none" w:sz="0" w:space="0" w:color="auto"/>
        <w:right w:val="none" w:sz="0" w:space="0" w:color="auto"/>
      </w:divBdr>
    </w:div>
    <w:div w:id="1634098522">
      <w:marLeft w:val="0"/>
      <w:marRight w:val="0"/>
      <w:marTop w:val="0"/>
      <w:marBottom w:val="0"/>
      <w:divBdr>
        <w:top w:val="none" w:sz="0" w:space="0" w:color="auto"/>
        <w:left w:val="none" w:sz="0" w:space="0" w:color="auto"/>
        <w:bottom w:val="none" w:sz="0" w:space="0" w:color="auto"/>
        <w:right w:val="none" w:sz="0" w:space="0" w:color="auto"/>
      </w:divBdr>
    </w:div>
    <w:div w:id="1634098529">
      <w:marLeft w:val="0"/>
      <w:marRight w:val="0"/>
      <w:marTop w:val="100"/>
      <w:marBottom w:val="100"/>
      <w:divBdr>
        <w:top w:val="none" w:sz="0" w:space="0" w:color="auto"/>
        <w:left w:val="none" w:sz="0" w:space="0" w:color="auto"/>
        <w:bottom w:val="none" w:sz="0" w:space="0" w:color="auto"/>
        <w:right w:val="none" w:sz="0" w:space="0" w:color="auto"/>
      </w:divBdr>
      <w:divsChild>
        <w:div w:id="1634098290">
          <w:marLeft w:val="0"/>
          <w:marRight w:val="0"/>
          <w:marTop w:val="0"/>
          <w:marBottom w:val="0"/>
          <w:divBdr>
            <w:top w:val="none" w:sz="0" w:space="0" w:color="auto"/>
            <w:left w:val="none" w:sz="0" w:space="0" w:color="auto"/>
            <w:bottom w:val="none" w:sz="0" w:space="0" w:color="auto"/>
            <w:right w:val="none" w:sz="0" w:space="0" w:color="auto"/>
          </w:divBdr>
          <w:divsChild>
            <w:div w:id="1634098072">
              <w:marLeft w:val="0"/>
              <w:marRight w:val="0"/>
              <w:marTop w:val="0"/>
              <w:marBottom w:val="0"/>
              <w:divBdr>
                <w:top w:val="none" w:sz="0" w:space="0" w:color="auto"/>
                <w:left w:val="none" w:sz="0" w:space="0" w:color="auto"/>
                <w:bottom w:val="none" w:sz="0" w:space="0" w:color="auto"/>
                <w:right w:val="none" w:sz="0" w:space="0" w:color="auto"/>
              </w:divBdr>
              <w:divsChild>
                <w:div w:id="1634098143">
                  <w:marLeft w:val="0"/>
                  <w:marRight w:val="0"/>
                  <w:marTop w:val="0"/>
                  <w:marBottom w:val="0"/>
                  <w:divBdr>
                    <w:top w:val="none" w:sz="0" w:space="0" w:color="auto"/>
                    <w:left w:val="none" w:sz="0" w:space="0" w:color="auto"/>
                    <w:bottom w:val="none" w:sz="0" w:space="0" w:color="auto"/>
                    <w:right w:val="none" w:sz="0" w:space="0" w:color="auto"/>
                  </w:divBdr>
                  <w:divsChild>
                    <w:div w:id="1634098698">
                      <w:marLeft w:val="0"/>
                      <w:marRight w:val="0"/>
                      <w:marTop w:val="150"/>
                      <w:marBottom w:val="0"/>
                      <w:divBdr>
                        <w:top w:val="none" w:sz="0" w:space="0" w:color="auto"/>
                        <w:left w:val="none" w:sz="0" w:space="0" w:color="auto"/>
                        <w:bottom w:val="none" w:sz="0" w:space="0" w:color="auto"/>
                        <w:right w:val="none" w:sz="0" w:space="0" w:color="auto"/>
                      </w:divBdr>
                      <w:divsChild>
                        <w:div w:id="1634097983">
                          <w:marLeft w:val="0"/>
                          <w:marRight w:val="0"/>
                          <w:marTop w:val="0"/>
                          <w:marBottom w:val="0"/>
                          <w:divBdr>
                            <w:top w:val="none" w:sz="0" w:space="0" w:color="auto"/>
                            <w:left w:val="none" w:sz="0" w:space="0" w:color="auto"/>
                            <w:bottom w:val="none" w:sz="0" w:space="0" w:color="auto"/>
                            <w:right w:val="none" w:sz="0" w:space="0" w:color="auto"/>
                          </w:divBdr>
                          <w:divsChild>
                            <w:div w:id="1634098359">
                              <w:marLeft w:val="0"/>
                              <w:marRight w:val="0"/>
                              <w:marTop w:val="0"/>
                              <w:marBottom w:val="0"/>
                              <w:divBdr>
                                <w:top w:val="none" w:sz="0" w:space="0" w:color="auto"/>
                                <w:left w:val="none" w:sz="0" w:space="0" w:color="auto"/>
                                <w:bottom w:val="none" w:sz="0" w:space="0" w:color="auto"/>
                                <w:right w:val="none" w:sz="0" w:space="0" w:color="auto"/>
                              </w:divBdr>
                              <w:divsChild>
                                <w:div w:id="1634098211">
                                  <w:marLeft w:val="0"/>
                                  <w:marRight w:val="0"/>
                                  <w:marTop w:val="0"/>
                                  <w:marBottom w:val="0"/>
                                  <w:divBdr>
                                    <w:top w:val="none" w:sz="0" w:space="0" w:color="auto"/>
                                    <w:left w:val="none" w:sz="0" w:space="0" w:color="auto"/>
                                    <w:bottom w:val="none" w:sz="0" w:space="0" w:color="auto"/>
                                    <w:right w:val="none" w:sz="0" w:space="0" w:color="auto"/>
                                  </w:divBdr>
                                  <w:divsChild>
                                    <w:div w:id="1634098417">
                                      <w:marLeft w:val="0"/>
                                      <w:marRight w:val="0"/>
                                      <w:marTop w:val="0"/>
                                      <w:marBottom w:val="0"/>
                                      <w:divBdr>
                                        <w:top w:val="none" w:sz="0" w:space="0" w:color="auto"/>
                                        <w:left w:val="none" w:sz="0" w:space="0" w:color="auto"/>
                                        <w:bottom w:val="none" w:sz="0" w:space="0" w:color="auto"/>
                                        <w:right w:val="none" w:sz="0" w:space="0" w:color="auto"/>
                                      </w:divBdr>
                                      <w:divsChild>
                                        <w:div w:id="1634098571">
                                          <w:marLeft w:val="0"/>
                                          <w:marRight w:val="0"/>
                                          <w:marTop w:val="0"/>
                                          <w:marBottom w:val="0"/>
                                          <w:divBdr>
                                            <w:top w:val="none" w:sz="0" w:space="0" w:color="auto"/>
                                            <w:left w:val="none" w:sz="0" w:space="0" w:color="auto"/>
                                            <w:bottom w:val="none" w:sz="0" w:space="0" w:color="auto"/>
                                            <w:right w:val="none" w:sz="0" w:space="0" w:color="auto"/>
                                          </w:divBdr>
                                          <w:divsChild>
                                            <w:div w:id="1634097863">
                                              <w:marLeft w:val="0"/>
                                              <w:marRight w:val="0"/>
                                              <w:marTop w:val="0"/>
                                              <w:marBottom w:val="0"/>
                                              <w:divBdr>
                                                <w:top w:val="none" w:sz="0" w:space="0" w:color="auto"/>
                                                <w:left w:val="none" w:sz="0" w:space="0" w:color="auto"/>
                                                <w:bottom w:val="none" w:sz="0" w:space="0" w:color="auto"/>
                                                <w:right w:val="none" w:sz="0" w:space="0" w:color="auto"/>
                                              </w:divBdr>
                                              <w:divsChild>
                                                <w:div w:id="1634098183">
                                                  <w:marLeft w:val="0"/>
                                                  <w:marRight w:val="0"/>
                                                  <w:marTop w:val="0"/>
                                                  <w:marBottom w:val="0"/>
                                                  <w:divBdr>
                                                    <w:top w:val="none" w:sz="0" w:space="0" w:color="auto"/>
                                                    <w:left w:val="none" w:sz="0" w:space="0" w:color="auto"/>
                                                    <w:bottom w:val="none" w:sz="0" w:space="0" w:color="auto"/>
                                                    <w:right w:val="none" w:sz="0" w:space="0" w:color="auto"/>
                                                  </w:divBdr>
                                                  <w:divsChild>
                                                    <w:div w:id="1634097886">
                                                      <w:marLeft w:val="0"/>
                                                      <w:marRight w:val="0"/>
                                                      <w:marTop w:val="0"/>
                                                      <w:marBottom w:val="0"/>
                                                      <w:divBdr>
                                                        <w:top w:val="none" w:sz="0" w:space="0" w:color="auto"/>
                                                        <w:left w:val="none" w:sz="0" w:space="0" w:color="auto"/>
                                                        <w:bottom w:val="none" w:sz="0" w:space="0" w:color="auto"/>
                                                        <w:right w:val="none" w:sz="0" w:space="0" w:color="auto"/>
                                                      </w:divBdr>
                                                      <w:divsChild>
                                                        <w:div w:id="1634098308">
                                                          <w:marLeft w:val="0"/>
                                                          <w:marRight w:val="0"/>
                                                          <w:marTop w:val="0"/>
                                                          <w:marBottom w:val="0"/>
                                                          <w:divBdr>
                                                            <w:top w:val="none" w:sz="0" w:space="0" w:color="auto"/>
                                                            <w:left w:val="none" w:sz="0" w:space="0" w:color="auto"/>
                                                            <w:bottom w:val="none" w:sz="0" w:space="0" w:color="auto"/>
                                                            <w:right w:val="none" w:sz="0" w:space="0" w:color="auto"/>
                                                          </w:divBdr>
                                                          <w:divsChild>
                                                            <w:div w:id="1634098468">
                                                              <w:marLeft w:val="0"/>
                                                              <w:marRight w:val="0"/>
                                                              <w:marTop w:val="0"/>
                                                              <w:marBottom w:val="0"/>
                                                              <w:divBdr>
                                                                <w:top w:val="none" w:sz="0" w:space="0" w:color="auto"/>
                                                                <w:left w:val="none" w:sz="0" w:space="0" w:color="auto"/>
                                                                <w:bottom w:val="none" w:sz="0" w:space="0" w:color="auto"/>
                                                                <w:right w:val="none" w:sz="0" w:space="0" w:color="auto"/>
                                                              </w:divBdr>
                                                              <w:divsChild>
                                                                <w:div w:id="1634098058">
                                                                  <w:marLeft w:val="0"/>
                                                                  <w:marRight w:val="0"/>
                                                                  <w:marTop w:val="0"/>
                                                                  <w:marBottom w:val="0"/>
                                                                  <w:divBdr>
                                                                    <w:top w:val="none" w:sz="0" w:space="0" w:color="auto"/>
                                                                    <w:left w:val="none" w:sz="0" w:space="0" w:color="auto"/>
                                                                    <w:bottom w:val="none" w:sz="0" w:space="0" w:color="auto"/>
                                                                    <w:right w:val="none" w:sz="0" w:space="0" w:color="auto"/>
                                                                  </w:divBdr>
                                                                  <w:divsChild>
                                                                    <w:div w:id="1634097803">
                                                                      <w:marLeft w:val="0"/>
                                                                      <w:marRight w:val="0"/>
                                                                      <w:marTop w:val="0"/>
                                                                      <w:marBottom w:val="0"/>
                                                                      <w:divBdr>
                                                                        <w:top w:val="none" w:sz="0" w:space="0" w:color="auto"/>
                                                                        <w:left w:val="none" w:sz="0" w:space="0" w:color="auto"/>
                                                                        <w:bottom w:val="none" w:sz="0" w:space="0" w:color="auto"/>
                                                                        <w:right w:val="none" w:sz="0" w:space="0" w:color="auto"/>
                                                                      </w:divBdr>
                                                                      <w:divsChild>
                                                                        <w:div w:id="1634098311">
                                                                          <w:marLeft w:val="0"/>
                                                                          <w:marRight w:val="0"/>
                                                                          <w:marTop w:val="0"/>
                                                                          <w:marBottom w:val="0"/>
                                                                          <w:divBdr>
                                                                            <w:top w:val="none" w:sz="0" w:space="0" w:color="auto"/>
                                                                            <w:left w:val="none" w:sz="0" w:space="0" w:color="auto"/>
                                                                            <w:bottom w:val="none" w:sz="0" w:space="0" w:color="auto"/>
                                                                            <w:right w:val="none" w:sz="0" w:space="0" w:color="auto"/>
                                                                          </w:divBdr>
                                                                          <w:divsChild>
                                                                            <w:div w:id="16340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534">
      <w:marLeft w:val="0"/>
      <w:marRight w:val="0"/>
      <w:marTop w:val="0"/>
      <w:marBottom w:val="0"/>
      <w:divBdr>
        <w:top w:val="none" w:sz="0" w:space="0" w:color="auto"/>
        <w:left w:val="none" w:sz="0" w:space="0" w:color="auto"/>
        <w:bottom w:val="none" w:sz="0" w:space="0" w:color="auto"/>
        <w:right w:val="none" w:sz="0" w:space="0" w:color="auto"/>
      </w:divBdr>
      <w:divsChild>
        <w:div w:id="1634098440">
          <w:marLeft w:val="0"/>
          <w:marRight w:val="0"/>
          <w:marTop w:val="0"/>
          <w:marBottom w:val="0"/>
          <w:divBdr>
            <w:top w:val="none" w:sz="0" w:space="0" w:color="auto"/>
            <w:left w:val="none" w:sz="0" w:space="0" w:color="auto"/>
            <w:bottom w:val="none" w:sz="0" w:space="0" w:color="auto"/>
            <w:right w:val="none" w:sz="0" w:space="0" w:color="auto"/>
          </w:divBdr>
          <w:divsChild>
            <w:div w:id="1634098594">
              <w:marLeft w:val="0"/>
              <w:marRight w:val="0"/>
              <w:marTop w:val="0"/>
              <w:marBottom w:val="0"/>
              <w:divBdr>
                <w:top w:val="single" w:sz="6" w:space="0" w:color="DBDBDB"/>
                <w:left w:val="none" w:sz="0" w:space="0" w:color="auto"/>
                <w:bottom w:val="none" w:sz="0" w:space="0" w:color="auto"/>
                <w:right w:val="none" w:sz="0" w:space="0" w:color="auto"/>
              </w:divBdr>
              <w:divsChild>
                <w:div w:id="1634098668">
                  <w:marLeft w:val="0"/>
                  <w:marRight w:val="0"/>
                  <w:marTop w:val="0"/>
                  <w:marBottom w:val="0"/>
                  <w:divBdr>
                    <w:top w:val="none" w:sz="0" w:space="0" w:color="auto"/>
                    <w:left w:val="none" w:sz="0" w:space="0" w:color="auto"/>
                    <w:bottom w:val="none" w:sz="0" w:space="0" w:color="auto"/>
                    <w:right w:val="none" w:sz="0" w:space="0" w:color="auto"/>
                  </w:divBdr>
                  <w:divsChild>
                    <w:div w:id="1634097802">
                      <w:marLeft w:val="0"/>
                      <w:marRight w:val="0"/>
                      <w:marTop w:val="0"/>
                      <w:marBottom w:val="0"/>
                      <w:divBdr>
                        <w:top w:val="none" w:sz="0" w:space="0" w:color="auto"/>
                        <w:left w:val="none" w:sz="0" w:space="0" w:color="auto"/>
                        <w:bottom w:val="none" w:sz="0" w:space="0" w:color="auto"/>
                        <w:right w:val="none" w:sz="0" w:space="0" w:color="auto"/>
                      </w:divBdr>
                      <w:divsChild>
                        <w:div w:id="1634098266">
                          <w:marLeft w:val="0"/>
                          <w:marRight w:val="0"/>
                          <w:marTop w:val="0"/>
                          <w:marBottom w:val="0"/>
                          <w:divBdr>
                            <w:top w:val="none" w:sz="0" w:space="0" w:color="auto"/>
                            <w:left w:val="none" w:sz="0" w:space="0" w:color="auto"/>
                            <w:bottom w:val="none" w:sz="0" w:space="0" w:color="auto"/>
                            <w:right w:val="none" w:sz="0" w:space="0" w:color="auto"/>
                          </w:divBdr>
                          <w:divsChild>
                            <w:div w:id="1634098553">
                              <w:marLeft w:val="0"/>
                              <w:marRight w:val="0"/>
                              <w:marTop w:val="0"/>
                              <w:marBottom w:val="0"/>
                              <w:divBdr>
                                <w:top w:val="none" w:sz="0" w:space="0" w:color="auto"/>
                                <w:left w:val="none" w:sz="0" w:space="0" w:color="auto"/>
                                <w:bottom w:val="none" w:sz="0" w:space="0" w:color="auto"/>
                                <w:right w:val="none" w:sz="0" w:space="0" w:color="auto"/>
                              </w:divBdr>
                              <w:divsChild>
                                <w:div w:id="16340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8536">
      <w:marLeft w:val="0"/>
      <w:marRight w:val="0"/>
      <w:marTop w:val="0"/>
      <w:marBottom w:val="0"/>
      <w:divBdr>
        <w:top w:val="none" w:sz="0" w:space="0" w:color="auto"/>
        <w:left w:val="none" w:sz="0" w:space="0" w:color="auto"/>
        <w:bottom w:val="none" w:sz="0" w:space="0" w:color="auto"/>
        <w:right w:val="none" w:sz="0" w:space="0" w:color="auto"/>
      </w:divBdr>
    </w:div>
    <w:div w:id="1634098537">
      <w:marLeft w:val="0"/>
      <w:marRight w:val="0"/>
      <w:marTop w:val="0"/>
      <w:marBottom w:val="0"/>
      <w:divBdr>
        <w:top w:val="none" w:sz="0" w:space="0" w:color="auto"/>
        <w:left w:val="none" w:sz="0" w:space="0" w:color="auto"/>
        <w:bottom w:val="none" w:sz="0" w:space="0" w:color="auto"/>
        <w:right w:val="none" w:sz="0" w:space="0" w:color="auto"/>
      </w:divBdr>
    </w:div>
    <w:div w:id="1634098540">
      <w:marLeft w:val="0"/>
      <w:marRight w:val="0"/>
      <w:marTop w:val="0"/>
      <w:marBottom w:val="0"/>
      <w:divBdr>
        <w:top w:val="none" w:sz="0" w:space="0" w:color="auto"/>
        <w:left w:val="none" w:sz="0" w:space="0" w:color="auto"/>
        <w:bottom w:val="none" w:sz="0" w:space="0" w:color="auto"/>
        <w:right w:val="none" w:sz="0" w:space="0" w:color="auto"/>
      </w:divBdr>
    </w:div>
    <w:div w:id="1634098548">
      <w:marLeft w:val="0"/>
      <w:marRight w:val="0"/>
      <w:marTop w:val="0"/>
      <w:marBottom w:val="0"/>
      <w:divBdr>
        <w:top w:val="none" w:sz="0" w:space="0" w:color="auto"/>
        <w:left w:val="none" w:sz="0" w:space="0" w:color="auto"/>
        <w:bottom w:val="none" w:sz="0" w:space="0" w:color="auto"/>
        <w:right w:val="none" w:sz="0" w:space="0" w:color="auto"/>
      </w:divBdr>
    </w:div>
    <w:div w:id="1634098564">
      <w:marLeft w:val="0"/>
      <w:marRight w:val="0"/>
      <w:marTop w:val="0"/>
      <w:marBottom w:val="0"/>
      <w:divBdr>
        <w:top w:val="none" w:sz="0" w:space="0" w:color="auto"/>
        <w:left w:val="none" w:sz="0" w:space="0" w:color="auto"/>
        <w:bottom w:val="none" w:sz="0" w:space="0" w:color="auto"/>
        <w:right w:val="none" w:sz="0" w:space="0" w:color="auto"/>
      </w:divBdr>
    </w:div>
    <w:div w:id="1634098567">
      <w:marLeft w:val="0"/>
      <w:marRight w:val="0"/>
      <w:marTop w:val="0"/>
      <w:marBottom w:val="0"/>
      <w:divBdr>
        <w:top w:val="none" w:sz="0" w:space="0" w:color="auto"/>
        <w:left w:val="none" w:sz="0" w:space="0" w:color="auto"/>
        <w:bottom w:val="none" w:sz="0" w:space="0" w:color="auto"/>
        <w:right w:val="none" w:sz="0" w:space="0" w:color="auto"/>
      </w:divBdr>
    </w:div>
    <w:div w:id="1634098568">
      <w:marLeft w:val="0"/>
      <w:marRight w:val="0"/>
      <w:marTop w:val="0"/>
      <w:marBottom w:val="0"/>
      <w:divBdr>
        <w:top w:val="none" w:sz="0" w:space="0" w:color="auto"/>
        <w:left w:val="none" w:sz="0" w:space="0" w:color="auto"/>
        <w:bottom w:val="none" w:sz="0" w:space="0" w:color="auto"/>
        <w:right w:val="none" w:sz="0" w:space="0" w:color="auto"/>
      </w:divBdr>
      <w:divsChild>
        <w:div w:id="1634098566">
          <w:marLeft w:val="0"/>
          <w:marRight w:val="0"/>
          <w:marTop w:val="0"/>
          <w:marBottom w:val="0"/>
          <w:divBdr>
            <w:top w:val="none" w:sz="0" w:space="0" w:color="auto"/>
            <w:left w:val="none" w:sz="0" w:space="0" w:color="auto"/>
            <w:bottom w:val="none" w:sz="0" w:space="0" w:color="auto"/>
            <w:right w:val="none" w:sz="0" w:space="0" w:color="auto"/>
          </w:divBdr>
          <w:divsChild>
            <w:div w:id="1634097888">
              <w:marLeft w:val="0"/>
              <w:marRight w:val="0"/>
              <w:marTop w:val="0"/>
              <w:marBottom w:val="0"/>
              <w:divBdr>
                <w:top w:val="none" w:sz="0" w:space="0" w:color="auto"/>
                <w:left w:val="none" w:sz="0" w:space="0" w:color="auto"/>
                <w:bottom w:val="none" w:sz="0" w:space="0" w:color="auto"/>
                <w:right w:val="none" w:sz="0" w:space="0" w:color="auto"/>
              </w:divBdr>
              <w:divsChild>
                <w:div w:id="1634098251">
                  <w:marLeft w:val="0"/>
                  <w:marRight w:val="0"/>
                  <w:marTop w:val="0"/>
                  <w:marBottom w:val="0"/>
                  <w:divBdr>
                    <w:top w:val="none" w:sz="0" w:space="0" w:color="auto"/>
                    <w:left w:val="none" w:sz="0" w:space="0" w:color="auto"/>
                    <w:bottom w:val="none" w:sz="0" w:space="0" w:color="auto"/>
                    <w:right w:val="none" w:sz="0" w:space="0" w:color="auto"/>
                  </w:divBdr>
                  <w:divsChild>
                    <w:div w:id="1634098341">
                      <w:marLeft w:val="0"/>
                      <w:marRight w:val="0"/>
                      <w:marTop w:val="210"/>
                      <w:marBottom w:val="0"/>
                      <w:divBdr>
                        <w:top w:val="none" w:sz="0" w:space="0" w:color="auto"/>
                        <w:left w:val="none" w:sz="0" w:space="0" w:color="auto"/>
                        <w:bottom w:val="none" w:sz="0" w:space="0" w:color="auto"/>
                        <w:right w:val="none" w:sz="0" w:space="0" w:color="auto"/>
                      </w:divBdr>
                      <w:divsChild>
                        <w:div w:id="1634098663">
                          <w:marLeft w:val="0"/>
                          <w:marRight w:val="0"/>
                          <w:marTop w:val="0"/>
                          <w:marBottom w:val="0"/>
                          <w:divBdr>
                            <w:top w:val="none" w:sz="0" w:space="0" w:color="auto"/>
                            <w:left w:val="none" w:sz="0" w:space="0" w:color="auto"/>
                            <w:bottom w:val="none" w:sz="0" w:space="0" w:color="auto"/>
                            <w:right w:val="none" w:sz="0" w:space="0" w:color="auto"/>
                          </w:divBdr>
                          <w:divsChild>
                            <w:div w:id="1634097877">
                              <w:marLeft w:val="0"/>
                              <w:marRight w:val="0"/>
                              <w:marTop w:val="0"/>
                              <w:marBottom w:val="0"/>
                              <w:divBdr>
                                <w:top w:val="none" w:sz="0" w:space="0" w:color="auto"/>
                                <w:left w:val="none" w:sz="0" w:space="0" w:color="auto"/>
                                <w:bottom w:val="none" w:sz="0" w:space="0" w:color="auto"/>
                                <w:right w:val="none" w:sz="0" w:space="0" w:color="auto"/>
                              </w:divBdr>
                              <w:divsChild>
                                <w:div w:id="1634098488">
                                  <w:marLeft w:val="0"/>
                                  <w:marRight w:val="0"/>
                                  <w:marTop w:val="0"/>
                                  <w:marBottom w:val="0"/>
                                  <w:divBdr>
                                    <w:top w:val="none" w:sz="0" w:space="0" w:color="auto"/>
                                    <w:left w:val="none" w:sz="0" w:space="0" w:color="auto"/>
                                    <w:bottom w:val="none" w:sz="0" w:space="0" w:color="auto"/>
                                    <w:right w:val="none" w:sz="0" w:space="0" w:color="auto"/>
                                  </w:divBdr>
                                  <w:divsChild>
                                    <w:div w:id="1634098315">
                                      <w:marLeft w:val="0"/>
                                      <w:marRight w:val="0"/>
                                      <w:marTop w:val="0"/>
                                      <w:marBottom w:val="0"/>
                                      <w:divBdr>
                                        <w:top w:val="none" w:sz="0" w:space="0" w:color="auto"/>
                                        <w:left w:val="none" w:sz="0" w:space="0" w:color="auto"/>
                                        <w:bottom w:val="none" w:sz="0" w:space="0" w:color="auto"/>
                                        <w:right w:val="none" w:sz="0" w:space="0" w:color="auto"/>
                                      </w:divBdr>
                                      <w:divsChild>
                                        <w:div w:id="1634097818">
                                          <w:marLeft w:val="0"/>
                                          <w:marRight w:val="0"/>
                                          <w:marTop w:val="0"/>
                                          <w:marBottom w:val="0"/>
                                          <w:divBdr>
                                            <w:top w:val="none" w:sz="0" w:space="0" w:color="auto"/>
                                            <w:left w:val="none" w:sz="0" w:space="0" w:color="auto"/>
                                            <w:bottom w:val="none" w:sz="0" w:space="0" w:color="auto"/>
                                            <w:right w:val="none" w:sz="0" w:space="0" w:color="auto"/>
                                          </w:divBdr>
                                        </w:div>
                                        <w:div w:id="1634098169">
                                          <w:marLeft w:val="0"/>
                                          <w:marRight w:val="0"/>
                                          <w:marTop w:val="0"/>
                                          <w:marBottom w:val="0"/>
                                          <w:divBdr>
                                            <w:top w:val="none" w:sz="0" w:space="0" w:color="auto"/>
                                            <w:left w:val="none" w:sz="0" w:space="0" w:color="auto"/>
                                            <w:bottom w:val="none" w:sz="0" w:space="0" w:color="auto"/>
                                            <w:right w:val="none" w:sz="0" w:space="0" w:color="auto"/>
                                          </w:divBdr>
                                        </w:div>
                                        <w:div w:id="1634098382">
                                          <w:marLeft w:val="0"/>
                                          <w:marRight w:val="0"/>
                                          <w:marTop w:val="0"/>
                                          <w:marBottom w:val="0"/>
                                          <w:divBdr>
                                            <w:top w:val="none" w:sz="0" w:space="0" w:color="auto"/>
                                            <w:left w:val="none" w:sz="0" w:space="0" w:color="auto"/>
                                            <w:bottom w:val="none" w:sz="0" w:space="0" w:color="auto"/>
                                            <w:right w:val="none" w:sz="0" w:space="0" w:color="auto"/>
                                          </w:divBdr>
                                        </w:div>
                                        <w:div w:id="1634098453">
                                          <w:marLeft w:val="0"/>
                                          <w:marRight w:val="0"/>
                                          <w:marTop w:val="0"/>
                                          <w:marBottom w:val="0"/>
                                          <w:divBdr>
                                            <w:top w:val="none" w:sz="0" w:space="0" w:color="auto"/>
                                            <w:left w:val="none" w:sz="0" w:space="0" w:color="auto"/>
                                            <w:bottom w:val="none" w:sz="0" w:space="0" w:color="auto"/>
                                            <w:right w:val="none" w:sz="0" w:space="0" w:color="auto"/>
                                          </w:divBdr>
                                        </w:div>
                                        <w:div w:id="1634098501">
                                          <w:marLeft w:val="0"/>
                                          <w:marRight w:val="0"/>
                                          <w:marTop w:val="0"/>
                                          <w:marBottom w:val="0"/>
                                          <w:divBdr>
                                            <w:top w:val="none" w:sz="0" w:space="0" w:color="auto"/>
                                            <w:left w:val="none" w:sz="0" w:space="0" w:color="auto"/>
                                            <w:bottom w:val="none" w:sz="0" w:space="0" w:color="auto"/>
                                            <w:right w:val="none" w:sz="0" w:space="0" w:color="auto"/>
                                          </w:divBdr>
                                        </w:div>
                                        <w:div w:id="163409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098569">
      <w:marLeft w:val="0"/>
      <w:marRight w:val="0"/>
      <w:marTop w:val="0"/>
      <w:marBottom w:val="0"/>
      <w:divBdr>
        <w:top w:val="none" w:sz="0" w:space="0" w:color="auto"/>
        <w:left w:val="none" w:sz="0" w:space="0" w:color="auto"/>
        <w:bottom w:val="none" w:sz="0" w:space="0" w:color="auto"/>
        <w:right w:val="none" w:sz="0" w:space="0" w:color="auto"/>
      </w:divBdr>
    </w:div>
    <w:div w:id="1634098576">
      <w:marLeft w:val="0"/>
      <w:marRight w:val="0"/>
      <w:marTop w:val="0"/>
      <w:marBottom w:val="0"/>
      <w:divBdr>
        <w:top w:val="none" w:sz="0" w:space="0" w:color="auto"/>
        <w:left w:val="none" w:sz="0" w:space="0" w:color="auto"/>
        <w:bottom w:val="none" w:sz="0" w:space="0" w:color="auto"/>
        <w:right w:val="none" w:sz="0" w:space="0" w:color="auto"/>
      </w:divBdr>
    </w:div>
    <w:div w:id="1634098589">
      <w:marLeft w:val="0"/>
      <w:marRight w:val="0"/>
      <w:marTop w:val="0"/>
      <w:marBottom w:val="0"/>
      <w:divBdr>
        <w:top w:val="none" w:sz="0" w:space="0" w:color="auto"/>
        <w:left w:val="none" w:sz="0" w:space="0" w:color="auto"/>
        <w:bottom w:val="none" w:sz="0" w:space="0" w:color="auto"/>
        <w:right w:val="none" w:sz="0" w:space="0" w:color="auto"/>
      </w:divBdr>
      <w:divsChild>
        <w:div w:id="1634098458">
          <w:marLeft w:val="0"/>
          <w:marRight w:val="0"/>
          <w:marTop w:val="0"/>
          <w:marBottom w:val="0"/>
          <w:divBdr>
            <w:top w:val="none" w:sz="0" w:space="0" w:color="auto"/>
            <w:left w:val="none" w:sz="0" w:space="0" w:color="auto"/>
            <w:bottom w:val="none" w:sz="0" w:space="0" w:color="auto"/>
            <w:right w:val="none" w:sz="0" w:space="0" w:color="auto"/>
          </w:divBdr>
          <w:divsChild>
            <w:div w:id="1634098314">
              <w:marLeft w:val="0"/>
              <w:marRight w:val="0"/>
              <w:marTop w:val="300"/>
              <w:marBottom w:val="0"/>
              <w:divBdr>
                <w:top w:val="none" w:sz="0" w:space="0" w:color="auto"/>
                <w:left w:val="none" w:sz="0" w:space="0" w:color="auto"/>
                <w:bottom w:val="none" w:sz="0" w:space="0" w:color="auto"/>
                <w:right w:val="none" w:sz="0" w:space="0" w:color="auto"/>
              </w:divBdr>
              <w:divsChild>
                <w:div w:id="1634098507">
                  <w:marLeft w:val="0"/>
                  <w:marRight w:val="0"/>
                  <w:marTop w:val="0"/>
                  <w:marBottom w:val="0"/>
                  <w:divBdr>
                    <w:top w:val="single" w:sz="6" w:space="0" w:color="E5E5E5"/>
                    <w:left w:val="single" w:sz="6" w:space="0" w:color="E5E5E5"/>
                    <w:bottom w:val="single" w:sz="6" w:space="0" w:color="E5E5E5"/>
                    <w:right w:val="single" w:sz="6" w:space="0" w:color="E5E5E5"/>
                  </w:divBdr>
                  <w:divsChild>
                    <w:div w:id="1634098287">
                      <w:marLeft w:val="0"/>
                      <w:marRight w:val="0"/>
                      <w:marTop w:val="0"/>
                      <w:marBottom w:val="0"/>
                      <w:divBdr>
                        <w:top w:val="none" w:sz="0" w:space="0" w:color="auto"/>
                        <w:left w:val="none" w:sz="0" w:space="0" w:color="auto"/>
                        <w:bottom w:val="none" w:sz="0" w:space="0" w:color="auto"/>
                        <w:right w:val="none" w:sz="0" w:space="0" w:color="auto"/>
                      </w:divBdr>
                      <w:divsChild>
                        <w:div w:id="1634097825">
                          <w:marLeft w:val="0"/>
                          <w:marRight w:val="0"/>
                          <w:marTop w:val="0"/>
                          <w:marBottom w:val="225"/>
                          <w:divBdr>
                            <w:top w:val="none" w:sz="0" w:space="0" w:color="auto"/>
                            <w:left w:val="none" w:sz="0" w:space="0" w:color="auto"/>
                            <w:bottom w:val="none" w:sz="0" w:space="0" w:color="auto"/>
                            <w:right w:val="none" w:sz="0" w:space="0" w:color="auto"/>
                          </w:divBdr>
                          <w:divsChild>
                            <w:div w:id="1634097826">
                              <w:marLeft w:val="0"/>
                              <w:marRight w:val="0"/>
                              <w:marTop w:val="0"/>
                              <w:marBottom w:val="225"/>
                              <w:divBdr>
                                <w:top w:val="none" w:sz="0" w:space="0" w:color="auto"/>
                                <w:left w:val="none" w:sz="0" w:space="0" w:color="auto"/>
                                <w:bottom w:val="none" w:sz="0" w:space="0" w:color="auto"/>
                                <w:right w:val="none" w:sz="0" w:space="0" w:color="auto"/>
                              </w:divBdr>
                            </w:div>
                            <w:div w:id="1634098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98595">
      <w:marLeft w:val="0"/>
      <w:marRight w:val="0"/>
      <w:marTop w:val="0"/>
      <w:marBottom w:val="0"/>
      <w:divBdr>
        <w:top w:val="none" w:sz="0" w:space="0" w:color="auto"/>
        <w:left w:val="none" w:sz="0" w:space="0" w:color="auto"/>
        <w:bottom w:val="none" w:sz="0" w:space="0" w:color="auto"/>
        <w:right w:val="none" w:sz="0" w:space="0" w:color="auto"/>
      </w:divBdr>
    </w:div>
    <w:div w:id="1634098599">
      <w:marLeft w:val="0"/>
      <w:marRight w:val="0"/>
      <w:marTop w:val="0"/>
      <w:marBottom w:val="0"/>
      <w:divBdr>
        <w:top w:val="none" w:sz="0" w:space="0" w:color="auto"/>
        <w:left w:val="none" w:sz="0" w:space="0" w:color="auto"/>
        <w:bottom w:val="none" w:sz="0" w:space="0" w:color="auto"/>
        <w:right w:val="none" w:sz="0" w:space="0" w:color="auto"/>
      </w:divBdr>
    </w:div>
    <w:div w:id="1634098605">
      <w:marLeft w:val="0"/>
      <w:marRight w:val="0"/>
      <w:marTop w:val="0"/>
      <w:marBottom w:val="0"/>
      <w:divBdr>
        <w:top w:val="none" w:sz="0" w:space="0" w:color="auto"/>
        <w:left w:val="none" w:sz="0" w:space="0" w:color="auto"/>
        <w:bottom w:val="none" w:sz="0" w:space="0" w:color="auto"/>
        <w:right w:val="none" w:sz="0" w:space="0" w:color="auto"/>
      </w:divBdr>
    </w:div>
    <w:div w:id="1634098606">
      <w:marLeft w:val="0"/>
      <w:marRight w:val="0"/>
      <w:marTop w:val="0"/>
      <w:marBottom w:val="0"/>
      <w:divBdr>
        <w:top w:val="none" w:sz="0" w:space="0" w:color="auto"/>
        <w:left w:val="none" w:sz="0" w:space="0" w:color="auto"/>
        <w:bottom w:val="none" w:sz="0" w:space="0" w:color="auto"/>
        <w:right w:val="none" w:sz="0" w:space="0" w:color="auto"/>
      </w:divBdr>
    </w:div>
    <w:div w:id="1634098615">
      <w:marLeft w:val="0"/>
      <w:marRight w:val="0"/>
      <w:marTop w:val="0"/>
      <w:marBottom w:val="0"/>
      <w:divBdr>
        <w:top w:val="none" w:sz="0" w:space="0" w:color="auto"/>
        <w:left w:val="none" w:sz="0" w:space="0" w:color="auto"/>
        <w:bottom w:val="none" w:sz="0" w:space="0" w:color="auto"/>
        <w:right w:val="none" w:sz="0" w:space="0" w:color="auto"/>
      </w:divBdr>
    </w:div>
    <w:div w:id="1634098621">
      <w:marLeft w:val="0"/>
      <w:marRight w:val="0"/>
      <w:marTop w:val="0"/>
      <w:marBottom w:val="0"/>
      <w:divBdr>
        <w:top w:val="none" w:sz="0" w:space="0" w:color="auto"/>
        <w:left w:val="none" w:sz="0" w:space="0" w:color="auto"/>
        <w:bottom w:val="none" w:sz="0" w:space="0" w:color="auto"/>
        <w:right w:val="none" w:sz="0" w:space="0" w:color="auto"/>
      </w:divBdr>
    </w:div>
    <w:div w:id="1634098628">
      <w:marLeft w:val="0"/>
      <w:marRight w:val="0"/>
      <w:marTop w:val="100"/>
      <w:marBottom w:val="100"/>
      <w:divBdr>
        <w:top w:val="none" w:sz="0" w:space="0" w:color="auto"/>
        <w:left w:val="none" w:sz="0" w:space="0" w:color="auto"/>
        <w:bottom w:val="none" w:sz="0" w:space="0" w:color="auto"/>
        <w:right w:val="none" w:sz="0" w:space="0" w:color="auto"/>
      </w:divBdr>
      <w:divsChild>
        <w:div w:id="1634098428">
          <w:marLeft w:val="0"/>
          <w:marRight w:val="0"/>
          <w:marTop w:val="0"/>
          <w:marBottom w:val="0"/>
          <w:divBdr>
            <w:top w:val="none" w:sz="0" w:space="0" w:color="auto"/>
            <w:left w:val="none" w:sz="0" w:space="0" w:color="auto"/>
            <w:bottom w:val="none" w:sz="0" w:space="0" w:color="auto"/>
            <w:right w:val="none" w:sz="0" w:space="0" w:color="auto"/>
          </w:divBdr>
          <w:divsChild>
            <w:div w:id="1634098483">
              <w:marLeft w:val="0"/>
              <w:marRight w:val="0"/>
              <w:marTop w:val="0"/>
              <w:marBottom w:val="0"/>
              <w:divBdr>
                <w:top w:val="none" w:sz="0" w:space="0" w:color="auto"/>
                <w:left w:val="none" w:sz="0" w:space="0" w:color="auto"/>
                <w:bottom w:val="none" w:sz="0" w:space="0" w:color="auto"/>
                <w:right w:val="none" w:sz="0" w:space="0" w:color="auto"/>
              </w:divBdr>
              <w:divsChild>
                <w:div w:id="1634098454">
                  <w:marLeft w:val="0"/>
                  <w:marRight w:val="0"/>
                  <w:marTop w:val="0"/>
                  <w:marBottom w:val="0"/>
                  <w:divBdr>
                    <w:top w:val="none" w:sz="0" w:space="0" w:color="auto"/>
                    <w:left w:val="none" w:sz="0" w:space="0" w:color="auto"/>
                    <w:bottom w:val="none" w:sz="0" w:space="0" w:color="auto"/>
                    <w:right w:val="none" w:sz="0" w:space="0" w:color="auto"/>
                  </w:divBdr>
                  <w:divsChild>
                    <w:div w:id="1634098462">
                      <w:marLeft w:val="0"/>
                      <w:marRight w:val="0"/>
                      <w:marTop w:val="150"/>
                      <w:marBottom w:val="0"/>
                      <w:divBdr>
                        <w:top w:val="none" w:sz="0" w:space="0" w:color="auto"/>
                        <w:left w:val="none" w:sz="0" w:space="0" w:color="auto"/>
                        <w:bottom w:val="none" w:sz="0" w:space="0" w:color="auto"/>
                        <w:right w:val="none" w:sz="0" w:space="0" w:color="auto"/>
                      </w:divBdr>
                      <w:divsChild>
                        <w:div w:id="1634098197">
                          <w:marLeft w:val="0"/>
                          <w:marRight w:val="0"/>
                          <w:marTop w:val="0"/>
                          <w:marBottom w:val="0"/>
                          <w:divBdr>
                            <w:top w:val="none" w:sz="0" w:space="0" w:color="auto"/>
                            <w:left w:val="none" w:sz="0" w:space="0" w:color="auto"/>
                            <w:bottom w:val="none" w:sz="0" w:space="0" w:color="auto"/>
                            <w:right w:val="none" w:sz="0" w:space="0" w:color="auto"/>
                          </w:divBdr>
                          <w:divsChild>
                            <w:div w:id="1634098029">
                              <w:marLeft w:val="0"/>
                              <w:marRight w:val="0"/>
                              <w:marTop w:val="0"/>
                              <w:marBottom w:val="0"/>
                              <w:divBdr>
                                <w:top w:val="none" w:sz="0" w:space="0" w:color="auto"/>
                                <w:left w:val="none" w:sz="0" w:space="0" w:color="auto"/>
                                <w:bottom w:val="none" w:sz="0" w:space="0" w:color="auto"/>
                                <w:right w:val="none" w:sz="0" w:space="0" w:color="auto"/>
                              </w:divBdr>
                              <w:divsChild>
                                <w:div w:id="1634098201">
                                  <w:marLeft w:val="0"/>
                                  <w:marRight w:val="0"/>
                                  <w:marTop w:val="0"/>
                                  <w:marBottom w:val="0"/>
                                  <w:divBdr>
                                    <w:top w:val="none" w:sz="0" w:space="0" w:color="auto"/>
                                    <w:left w:val="none" w:sz="0" w:space="0" w:color="auto"/>
                                    <w:bottom w:val="none" w:sz="0" w:space="0" w:color="auto"/>
                                    <w:right w:val="none" w:sz="0" w:space="0" w:color="auto"/>
                                  </w:divBdr>
                                  <w:divsChild>
                                    <w:div w:id="1634098080">
                                      <w:marLeft w:val="0"/>
                                      <w:marRight w:val="0"/>
                                      <w:marTop w:val="0"/>
                                      <w:marBottom w:val="0"/>
                                      <w:divBdr>
                                        <w:top w:val="none" w:sz="0" w:space="0" w:color="auto"/>
                                        <w:left w:val="none" w:sz="0" w:space="0" w:color="auto"/>
                                        <w:bottom w:val="none" w:sz="0" w:space="0" w:color="auto"/>
                                        <w:right w:val="none" w:sz="0" w:space="0" w:color="auto"/>
                                      </w:divBdr>
                                      <w:divsChild>
                                        <w:div w:id="1634098123">
                                          <w:marLeft w:val="0"/>
                                          <w:marRight w:val="0"/>
                                          <w:marTop w:val="0"/>
                                          <w:marBottom w:val="0"/>
                                          <w:divBdr>
                                            <w:top w:val="none" w:sz="0" w:space="0" w:color="auto"/>
                                            <w:left w:val="none" w:sz="0" w:space="0" w:color="auto"/>
                                            <w:bottom w:val="none" w:sz="0" w:space="0" w:color="auto"/>
                                            <w:right w:val="none" w:sz="0" w:space="0" w:color="auto"/>
                                          </w:divBdr>
                                          <w:divsChild>
                                            <w:div w:id="1634097976">
                                              <w:marLeft w:val="0"/>
                                              <w:marRight w:val="0"/>
                                              <w:marTop w:val="0"/>
                                              <w:marBottom w:val="0"/>
                                              <w:divBdr>
                                                <w:top w:val="none" w:sz="0" w:space="0" w:color="auto"/>
                                                <w:left w:val="none" w:sz="0" w:space="0" w:color="auto"/>
                                                <w:bottom w:val="none" w:sz="0" w:space="0" w:color="auto"/>
                                                <w:right w:val="none" w:sz="0" w:space="0" w:color="auto"/>
                                              </w:divBdr>
                                              <w:divsChild>
                                                <w:div w:id="1634098484">
                                                  <w:marLeft w:val="0"/>
                                                  <w:marRight w:val="0"/>
                                                  <w:marTop w:val="0"/>
                                                  <w:marBottom w:val="0"/>
                                                  <w:divBdr>
                                                    <w:top w:val="none" w:sz="0" w:space="0" w:color="auto"/>
                                                    <w:left w:val="none" w:sz="0" w:space="0" w:color="auto"/>
                                                    <w:bottom w:val="none" w:sz="0" w:space="0" w:color="auto"/>
                                                    <w:right w:val="none" w:sz="0" w:space="0" w:color="auto"/>
                                                  </w:divBdr>
                                                  <w:divsChild>
                                                    <w:div w:id="1634098399">
                                                      <w:marLeft w:val="0"/>
                                                      <w:marRight w:val="0"/>
                                                      <w:marTop w:val="0"/>
                                                      <w:marBottom w:val="0"/>
                                                      <w:divBdr>
                                                        <w:top w:val="none" w:sz="0" w:space="0" w:color="auto"/>
                                                        <w:left w:val="none" w:sz="0" w:space="0" w:color="auto"/>
                                                        <w:bottom w:val="none" w:sz="0" w:space="0" w:color="auto"/>
                                                        <w:right w:val="none" w:sz="0" w:space="0" w:color="auto"/>
                                                      </w:divBdr>
                                                      <w:divsChild>
                                                        <w:div w:id="1634098651">
                                                          <w:marLeft w:val="0"/>
                                                          <w:marRight w:val="0"/>
                                                          <w:marTop w:val="0"/>
                                                          <w:marBottom w:val="0"/>
                                                          <w:divBdr>
                                                            <w:top w:val="none" w:sz="0" w:space="0" w:color="auto"/>
                                                            <w:left w:val="none" w:sz="0" w:space="0" w:color="auto"/>
                                                            <w:bottom w:val="none" w:sz="0" w:space="0" w:color="auto"/>
                                                            <w:right w:val="none" w:sz="0" w:space="0" w:color="auto"/>
                                                          </w:divBdr>
                                                          <w:divsChild>
                                                            <w:div w:id="1634098635">
                                                              <w:marLeft w:val="0"/>
                                                              <w:marRight w:val="0"/>
                                                              <w:marTop w:val="0"/>
                                                              <w:marBottom w:val="0"/>
                                                              <w:divBdr>
                                                                <w:top w:val="none" w:sz="0" w:space="0" w:color="auto"/>
                                                                <w:left w:val="none" w:sz="0" w:space="0" w:color="auto"/>
                                                                <w:bottom w:val="none" w:sz="0" w:space="0" w:color="auto"/>
                                                                <w:right w:val="none" w:sz="0" w:space="0" w:color="auto"/>
                                                              </w:divBdr>
                                                              <w:divsChild>
                                                                <w:div w:id="1634098473">
                                                                  <w:marLeft w:val="0"/>
                                                                  <w:marRight w:val="0"/>
                                                                  <w:marTop w:val="0"/>
                                                                  <w:marBottom w:val="0"/>
                                                                  <w:divBdr>
                                                                    <w:top w:val="none" w:sz="0" w:space="0" w:color="auto"/>
                                                                    <w:left w:val="none" w:sz="0" w:space="0" w:color="auto"/>
                                                                    <w:bottom w:val="none" w:sz="0" w:space="0" w:color="auto"/>
                                                                    <w:right w:val="none" w:sz="0" w:space="0" w:color="auto"/>
                                                                  </w:divBdr>
                                                                  <w:divsChild>
                                                                    <w:div w:id="1634098387">
                                                                      <w:marLeft w:val="0"/>
                                                                      <w:marRight w:val="0"/>
                                                                      <w:marTop w:val="0"/>
                                                                      <w:marBottom w:val="0"/>
                                                                      <w:divBdr>
                                                                        <w:top w:val="none" w:sz="0" w:space="0" w:color="auto"/>
                                                                        <w:left w:val="none" w:sz="0" w:space="0" w:color="auto"/>
                                                                        <w:bottom w:val="none" w:sz="0" w:space="0" w:color="auto"/>
                                                                        <w:right w:val="none" w:sz="0" w:space="0" w:color="auto"/>
                                                                      </w:divBdr>
                                                                      <w:divsChild>
                                                                        <w:div w:id="1634098344">
                                                                          <w:marLeft w:val="0"/>
                                                                          <w:marRight w:val="0"/>
                                                                          <w:marTop w:val="0"/>
                                                                          <w:marBottom w:val="0"/>
                                                                          <w:divBdr>
                                                                            <w:top w:val="none" w:sz="0" w:space="0" w:color="auto"/>
                                                                            <w:left w:val="none" w:sz="0" w:space="0" w:color="auto"/>
                                                                            <w:bottom w:val="none" w:sz="0" w:space="0" w:color="auto"/>
                                                                            <w:right w:val="none" w:sz="0" w:space="0" w:color="auto"/>
                                                                          </w:divBdr>
                                                                          <w:divsChild>
                                                                            <w:div w:id="163409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630">
      <w:marLeft w:val="0"/>
      <w:marRight w:val="0"/>
      <w:marTop w:val="0"/>
      <w:marBottom w:val="0"/>
      <w:divBdr>
        <w:top w:val="none" w:sz="0" w:space="0" w:color="auto"/>
        <w:left w:val="none" w:sz="0" w:space="0" w:color="auto"/>
        <w:bottom w:val="none" w:sz="0" w:space="0" w:color="auto"/>
        <w:right w:val="none" w:sz="0" w:space="0" w:color="auto"/>
      </w:divBdr>
    </w:div>
    <w:div w:id="1634098631">
      <w:marLeft w:val="0"/>
      <w:marRight w:val="0"/>
      <w:marTop w:val="0"/>
      <w:marBottom w:val="0"/>
      <w:divBdr>
        <w:top w:val="none" w:sz="0" w:space="0" w:color="auto"/>
        <w:left w:val="none" w:sz="0" w:space="0" w:color="auto"/>
        <w:bottom w:val="none" w:sz="0" w:space="0" w:color="auto"/>
        <w:right w:val="none" w:sz="0" w:space="0" w:color="auto"/>
      </w:divBdr>
    </w:div>
    <w:div w:id="1634098632">
      <w:marLeft w:val="0"/>
      <w:marRight w:val="0"/>
      <w:marTop w:val="0"/>
      <w:marBottom w:val="0"/>
      <w:divBdr>
        <w:top w:val="none" w:sz="0" w:space="0" w:color="auto"/>
        <w:left w:val="none" w:sz="0" w:space="0" w:color="auto"/>
        <w:bottom w:val="none" w:sz="0" w:space="0" w:color="auto"/>
        <w:right w:val="none" w:sz="0" w:space="0" w:color="auto"/>
      </w:divBdr>
    </w:div>
    <w:div w:id="1634098633">
      <w:marLeft w:val="0"/>
      <w:marRight w:val="0"/>
      <w:marTop w:val="0"/>
      <w:marBottom w:val="0"/>
      <w:divBdr>
        <w:top w:val="none" w:sz="0" w:space="0" w:color="auto"/>
        <w:left w:val="none" w:sz="0" w:space="0" w:color="auto"/>
        <w:bottom w:val="none" w:sz="0" w:space="0" w:color="auto"/>
        <w:right w:val="none" w:sz="0" w:space="0" w:color="auto"/>
      </w:divBdr>
    </w:div>
    <w:div w:id="1634098636">
      <w:marLeft w:val="0"/>
      <w:marRight w:val="0"/>
      <w:marTop w:val="0"/>
      <w:marBottom w:val="0"/>
      <w:divBdr>
        <w:top w:val="none" w:sz="0" w:space="0" w:color="auto"/>
        <w:left w:val="none" w:sz="0" w:space="0" w:color="auto"/>
        <w:bottom w:val="none" w:sz="0" w:space="0" w:color="auto"/>
        <w:right w:val="none" w:sz="0" w:space="0" w:color="auto"/>
      </w:divBdr>
    </w:div>
    <w:div w:id="1634098643">
      <w:marLeft w:val="0"/>
      <w:marRight w:val="0"/>
      <w:marTop w:val="0"/>
      <w:marBottom w:val="0"/>
      <w:divBdr>
        <w:top w:val="none" w:sz="0" w:space="0" w:color="auto"/>
        <w:left w:val="none" w:sz="0" w:space="0" w:color="auto"/>
        <w:bottom w:val="none" w:sz="0" w:space="0" w:color="auto"/>
        <w:right w:val="none" w:sz="0" w:space="0" w:color="auto"/>
      </w:divBdr>
    </w:div>
    <w:div w:id="1634098650">
      <w:marLeft w:val="0"/>
      <w:marRight w:val="0"/>
      <w:marTop w:val="0"/>
      <w:marBottom w:val="0"/>
      <w:divBdr>
        <w:top w:val="none" w:sz="0" w:space="0" w:color="auto"/>
        <w:left w:val="none" w:sz="0" w:space="0" w:color="auto"/>
        <w:bottom w:val="none" w:sz="0" w:space="0" w:color="auto"/>
        <w:right w:val="none" w:sz="0" w:space="0" w:color="auto"/>
      </w:divBdr>
    </w:div>
    <w:div w:id="1634098657">
      <w:marLeft w:val="0"/>
      <w:marRight w:val="0"/>
      <w:marTop w:val="0"/>
      <w:marBottom w:val="0"/>
      <w:divBdr>
        <w:top w:val="none" w:sz="0" w:space="0" w:color="auto"/>
        <w:left w:val="none" w:sz="0" w:space="0" w:color="auto"/>
        <w:bottom w:val="none" w:sz="0" w:space="0" w:color="auto"/>
        <w:right w:val="none" w:sz="0" w:space="0" w:color="auto"/>
      </w:divBdr>
    </w:div>
    <w:div w:id="1634098660">
      <w:marLeft w:val="0"/>
      <w:marRight w:val="0"/>
      <w:marTop w:val="0"/>
      <w:marBottom w:val="0"/>
      <w:divBdr>
        <w:top w:val="none" w:sz="0" w:space="0" w:color="auto"/>
        <w:left w:val="none" w:sz="0" w:space="0" w:color="auto"/>
        <w:bottom w:val="none" w:sz="0" w:space="0" w:color="auto"/>
        <w:right w:val="none" w:sz="0" w:space="0" w:color="auto"/>
      </w:divBdr>
    </w:div>
    <w:div w:id="1634098661">
      <w:marLeft w:val="0"/>
      <w:marRight w:val="0"/>
      <w:marTop w:val="0"/>
      <w:marBottom w:val="0"/>
      <w:divBdr>
        <w:top w:val="none" w:sz="0" w:space="0" w:color="auto"/>
        <w:left w:val="none" w:sz="0" w:space="0" w:color="auto"/>
        <w:bottom w:val="none" w:sz="0" w:space="0" w:color="auto"/>
        <w:right w:val="none" w:sz="0" w:space="0" w:color="auto"/>
      </w:divBdr>
    </w:div>
    <w:div w:id="1634098662">
      <w:marLeft w:val="0"/>
      <w:marRight w:val="0"/>
      <w:marTop w:val="0"/>
      <w:marBottom w:val="0"/>
      <w:divBdr>
        <w:top w:val="none" w:sz="0" w:space="0" w:color="auto"/>
        <w:left w:val="none" w:sz="0" w:space="0" w:color="auto"/>
        <w:bottom w:val="none" w:sz="0" w:space="0" w:color="auto"/>
        <w:right w:val="none" w:sz="0" w:space="0" w:color="auto"/>
      </w:divBdr>
    </w:div>
    <w:div w:id="1634098664">
      <w:marLeft w:val="0"/>
      <w:marRight w:val="0"/>
      <w:marTop w:val="0"/>
      <w:marBottom w:val="0"/>
      <w:divBdr>
        <w:top w:val="none" w:sz="0" w:space="0" w:color="auto"/>
        <w:left w:val="none" w:sz="0" w:space="0" w:color="auto"/>
        <w:bottom w:val="none" w:sz="0" w:space="0" w:color="auto"/>
        <w:right w:val="none" w:sz="0" w:space="0" w:color="auto"/>
      </w:divBdr>
    </w:div>
    <w:div w:id="1634098669">
      <w:marLeft w:val="0"/>
      <w:marRight w:val="0"/>
      <w:marTop w:val="0"/>
      <w:marBottom w:val="0"/>
      <w:divBdr>
        <w:top w:val="none" w:sz="0" w:space="0" w:color="auto"/>
        <w:left w:val="none" w:sz="0" w:space="0" w:color="auto"/>
        <w:bottom w:val="none" w:sz="0" w:space="0" w:color="auto"/>
        <w:right w:val="none" w:sz="0" w:space="0" w:color="auto"/>
      </w:divBdr>
    </w:div>
    <w:div w:id="1634098673">
      <w:marLeft w:val="0"/>
      <w:marRight w:val="0"/>
      <w:marTop w:val="0"/>
      <w:marBottom w:val="0"/>
      <w:divBdr>
        <w:top w:val="none" w:sz="0" w:space="0" w:color="auto"/>
        <w:left w:val="none" w:sz="0" w:space="0" w:color="auto"/>
        <w:bottom w:val="none" w:sz="0" w:space="0" w:color="auto"/>
        <w:right w:val="none" w:sz="0" w:space="0" w:color="auto"/>
      </w:divBdr>
    </w:div>
    <w:div w:id="1634098675">
      <w:marLeft w:val="0"/>
      <w:marRight w:val="0"/>
      <w:marTop w:val="0"/>
      <w:marBottom w:val="0"/>
      <w:divBdr>
        <w:top w:val="none" w:sz="0" w:space="0" w:color="auto"/>
        <w:left w:val="none" w:sz="0" w:space="0" w:color="auto"/>
        <w:bottom w:val="none" w:sz="0" w:space="0" w:color="auto"/>
        <w:right w:val="none" w:sz="0" w:space="0" w:color="auto"/>
      </w:divBdr>
      <w:divsChild>
        <w:div w:id="1634098328">
          <w:marLeft w:val="0"/>
          <w:marRight w:val="0"/>
          <w:marTop w:val="0"/>
          <w:marBottom w:val="0"/>
          <w:divBdr>
            <w:top w:val="none" w:sz="0" w:space="0" w:color="auto"/>
            <w:left w:val="none" w:sz="0" w:space="0" w:color="auto"/>
            <w:bottom w:val="none" w:sz="0" w:space="0" w:color="auto"/>
            <w:right w:val="none" w:sz="0" w:space="0" w:color="auto"/>
          </w:divBdr>
          <w:divsChild>
            <w:div w:id="1634098530">
              <w:marLeft w:val="0"/>
              <w:marRight w:val="0"/>
              <w:marTop w:val="0"/>
              <w:marBottom w:val="0"/>
              <w:divBdr>
                <w:top w:val="none" w:sz="0" w:space="0" w:color="auto"/>
                <w:left w:val="none" w:sz="0" w:space="0" w:color="auto"/>
                <w:bottom w:val="none" w:sz="0" w:space="0" w:color="auto"/>
                <w:right w:val="none" w:sz="0" w:space="0" w:color="auto"/>
              </w:divBdr>
              <w:divsChild>
                <w:div w:id="1634097906">
                  <w:marLeft w:val="0"/>
                  <w:marRight w:val="0"/>
                  <w:marTop w:val="0"/>
                  <w:marBottom w:val="0"/>
                  <w:divBdr>
                    <w:top w:val="none" w:sz="0" w:space="0" w:color="auto"/>
                    <w:left w:val="none" w:sz="0" w:space="0" w:color="auto"/>
                    <w:bottom w:val="none" w:sz="0" w:space="0" w:color="auto"/>
                    <w:right w:val="none" w:sz="0" w:space="0" w:color="auto"/>
                  </w:divBdr>
                  <w:divsChild>
                    <w:div w:id="1634097806">
                      <w:marLeft w:val="0"/>
                      <w:marRight w:val="0"/>
                      <w:marTop w:val="0"/>
                      <w:marBottom w:val="0"/>
                      <w:divBdr>
                        <w:top w:val="none" w:sz="0" w:space="0" w:color="auto"/>
                        <w:left w:val="none" w:sz="0" w:space="0" w:color="auto"/>
                        <w:bottom w:val="none" w:sz="0" w:space="0" w:color="auto"/>
                        <w:right w:val="none" w:sz="0" w:space="0" w:color="auto"/>
                      </w:divBdr>
                    </w:div>
                    <w:div w:id="1634098279">
                      <w:marLeft w:val="0"/>
                      <w:marRight w:val="0"/>
                      <w:marTop w:val="0"/>
                      <w:marBottom w:val="0"/>
                      <w:divBdr>
                        <w:top w:val="none" w:sz="0" w:space="0" w:color="auto"/>
                        <w:left w:val="none" w:sz="0" w:space="0" w:color="auto"/>
                        <w:bottom w:val="none" w:sz="0" w:space="0" w:color="auto"/>
                        <w:right w:val="none" w:sz="0" w:space="0" w:color="auto"/>
                      </w:divBdr>
                    </w:div>
                  </w:divsChild>
                </w:div>
                <w:div w:id="1634097908">
                  <w:marLeft w:val="0"/>
                  <w:marRight w:val="0"/>
                  <w:marTop w:val="0"/>
                  <w:marBottom w:val="0"/>
                  <w:divBdr>
                    <w:top w:val="none" w:sz="0" w:space="0" w:color="auto"/>
                    <w:left w:val="none" w:sz="0" w:space="0" w:color="auto"/>
                    <w:bottom w:val="none" w:sz="0" w:space="0" w:color="auto"/>
                    <w:right w:val="none" w:sz="0" w:space="0" w:color="auto"/>
                  </w:divBdr>
                  <w:divsChild>
                    <w:div w:id="1634098190">
                      <w:marLeft w:val="0"/>
                      <w:marRight w:val="0"/>
                      <w:marTop w:val="0"/>
                      <w:marBottom w:val="0"/>
                      <w:divBdr>
                        <w:top w:val="none" w:sz="0" w:space="0" w:color="auto"/>
                        <w:left w:val="none" w:sz="0" w:space="0" w:color="auto"/>
                        <w:bottom w:val="none" w:sz="0" w:space="0" w:color="auto"/>
                        <w:right w:val="none" w:sz="0" w:space="0" w:color="auto"/>
                      </w:divBdr>
                      <w:divsChild>
                        <w:div w:id="1634098541">
                          <w:marLeft w:val="0"/>
                          <w:marRight w:val="0"/>
                          <w:marTop w:val="0"/>
                          <w:marBottom w:val="0"/>
                          <w:divBdr>
                            <w:top w:val="none" w:sz="0" w:space="0" w:color="auto"/>
                            <w:left w:val="none" w:sz="0" w:space="0" w:color="auto"/>
                            <w:bottom w:val="none" w:sz="0" w:space="0" w:color="auto"/>
                            <w:right w:val="none" w:sz="0" w:space="0" w:color="auto"/>
                          </w:divBdr>
                          <w:divsChild>
                            <w:div w:id="1634097870">
                              <w:marLeft w:val="0"/>
                              <w:marRight w:val="0"/>
                              <w:marTop w:val="0"/>
                              <w:marBottom w:val="0"/>
                              <w:divBdr>
                                <w:top w:val="none" w:sz="0" w:space="0" w:color="auto"/>
                                <w:left w:val="none" w:sz="0" w:space="0" w:color="auto"/>
                                <w:bottom w:val="none" w:sz="0" w:space="0" w:color="auto"/>
                                <w:right w:val="none" w:sz="0" w:space="0" w:color="auto"/>
                              </w:divBdr>
                              <w:divsChild>
                                <w:div w:id="1634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98100">
                  <w:marLeft w:val="0"/>
                  <w:marRight w:val="0"/>
                  <w:marTop w:val="0"/>
                  <w:marBottom w:val="0"/>
                  <w:divBdr>
                    <w:top w:val="none" w:sz="0" w:space="0" w:color="auto"/>
                    <w:left w:val="none" w:sz="0" w:space="0" w:color="auto"/>
                    <w:bottom w:val="none" w:sz="0" w:space="0" w:color="auto"/>
                    <w:right w:val="none" w:sz="0" w:space="0" w:color="auto"/>
                  </w:divBdr>
                  <w:divsChild>
                    <w:div w:id="1634098243">
                      <w:marLeft w:val="0"/>
                      <w:marRight w:val="0"/>
                      <w:marTop w:val="0"/>
                      <w:marBottom w:val="0"/>
                      <w:divBdr>
                        <w:top w:val="none" w:sz="0" w:space="0" w:color="auto"/>
                        <w:left w:val="none" w:sz="0" w:space="0" w:color="auto"/>
                        <w:bottom w:val="none" w:sz="0" w:space="0" w:color="auto"/>
                        <w:right w:val="none" w:sz="0" w:space="0" w:color="auto"/>
                      </w:divBdr>
                    </w:div>
                    <w:div w:id="1634098283">
                      <w:marLeft w:val="0"/>
                      <w:marRight w:val="0"/>
                      <w:marTop w:val="0"/>
                      <w:marBottom w:val="0"/>
                      <w:divBdr>
                        <w:top w:val="none" w:sz="0" w:space="0" w:color="auto"/>
                        <w:left w:val="none" w:sz="0" w:space="0" w:color="auto"/>
                        <w:bottom w:val="none" w:sz="0" w:space="0" w:color="auto"/>
                        <w:right w:val="none" w:sz="0" w:space="0" w:color="auto"/>
                      </w:divBdr>
                    </w:div>
                  </w:divsChild>
                </w:div>
                <w:div w:id="1634098107">
                  <w:marLeft w:val="0"/>
                  <w:marRight w:val="0"/>
                  <w:marTop w:val="0"/>
                  <w:marBottom w:val="0"/>
                  <w:divBdr>
                    <w:top w:val="none" w:sz="0" w:space="0" w:color="auto"/>
                    <w:left w:val="none" w:sz="0" w:space="0" w:color="auto"/>
                    <w:bottom w:val="none" w:sz="0" w:space="0" w:color="auto"/>
                    <w:right w:val="none" w:sz="0" w:space="0" w:color="auto"/>
                  </w:divBdr>
                  <w:divsChild>
                    <w:div w:id="1634098025">
                      <w:marLeft w:val="0"/>
                      <w:marRight w:val="0"/>
                      <w:marTop w:val="0"/>
                      <w:marBottom w:val="0"/>
                      <w:divBdr>
                        <w:top w:val="none" w:sz="0" w:space="0" w:color="auto"/>
                        <w:left w:val="none" w:sz="0" w:space="0" w:color="auto"/>
                        <w:bottom w:val="none" w:sz="0" w:space="0" w:color="auto"/>
                        <w:right w:val="none" w:sz="0" w:space="0" w:color="auto"/>
                      </w:divBdr>
                      <w:divsChild>
                        <w:div w:id="1634098552">
                          <w:marLeft w:val="0"/>
                          <w:marRight w:val="0"/>
                          <w:marTop w:val="0"/>
                          <w:marBottom w:val="0"/>
                          <w:divBdr>
                            <w:top w:val="none" w:sz="0" w:space="0" w:color="auto"/>
                            <w:left w:val="none" w:sz="0" w:space="0" w:color="auto"/>
                            <w:bottom w:val="none" w:sz="0" w:space="0" w:color="auto"/>
                            <w:right w:val="none" w:sz="0" w:space="0" w:color="auto"/>
                          </w:divBdr>
                          <w:divsChild>
                            <w:div w:id="1634098275">
                              <w:marLeft w:val="0"/>
                              <w:marRight w:val="0"/>
                              <w:marTop w:val="0"/>
                              <w:marBottom w:val="0"/>
                              <w:divBdr>
                                <w:top w:val="none" w:sz="0" w:space="0" w:color="auto"/>
                                <w:left w:val="none" w:sz="0" w:space="0" w:color="auto"/>
                                <w:bottom w:val="none" w:sz="0" w:space="0" w:color="auto"/>
                                <w:right w:val="none" w:sz="0" w:space="0" w:color="auto"/>
                              </w:divBdr>
                            </w:div>
                            <w:div w:id="1634098304">
                              <w:marLeft w:val="0"/>
                              <w:marRight w:val="0"/>
                              <w:marTop w:val="0"/>
                              <w:marBottom w:val="0"/>
                              <w:divBdr>
                                <w:top w:val="none" w:sz="0" w:space="0" w:color="auto"/>
                                <w:left w:val="none" w:sz="0" w:space="0" w:color="auto"/>
                                <w:bottom w:val="none" w:sz="0" w:space="0" w:color="auto"/>
                                <w:right w:val="none" w:sz="0" w:space="0" w:color="auto"/>
                              </w:divBdr>
                              <w:divsChild>
                                <w:div w:id="16340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076">
                      <w:marLeft w:val="0"/>
                      <w:marRight w:val="0"/>
                      <w:marTop w:val="0"/>
                      <w:marBottom w:val="0"/>
                      <w:divBdr>
                        <w:top w:val="none" w:sz="0" w:space="0" w:color="auto"/>
                        <w:left w:val="none" w:sz="0" w:space="0" w:color="auto"/>
                        <w:bottom w:val="none" w:sz="0" w:space="0" w:color="auto"/>
                        <w:right w:val="none" w:sz="0" w:space="0" w:color="auto"/>
                      </w:divBdr>
                      <w:divsChild>
                        <w:div w:id="1634098703">
                          <w:marLeft w:val="0"/>
                          <w:marRight w:val="0"/>
                          <w:marTop w:val="0"/>
                          <w:marBottom w:val="0"/>
                          <w:divBdr>
                            <w:top w:val="none" w:sz="0" w:space="0" w:color="auto"/>
                            <w:left w:val="none" w:sz="0" w:space="0" w:color="auto"/>
                            <w:bottom w:val="none" w:sz="0" w:space="0" w:color="auto"/>
                            <w:right w:val="none" w:sz="0" w:space="0" w:color="auto"/>
                          </w:divBdr>
                          <w:divsChild>
                            <w:div w:id="16340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153">
                      <w:marLeft w:val="0"/>
                      <w:marRight w:val="0"/>
                      <w:marTop w:val="0"/>
                      <w:marBottom w:val="0"/>
                      <w:divBdr>
                        <w:top w:val="none" w:sz="0" w:space="0" w:color="auto"/>
                        <w:left w:val="none" w:sz="0" w:space="0" w:color="auto"/>
                        <w:bottom w:val="none" w:sz="0" w:space="0" w:color="auto"/>
                        <w:right w:val="none" w:sz="0" w:space="0" w:color="auto"/>
                      </w:divBdr>
                    </w:div>
                    <w:div w:id="1634098191">
                      <w:marLeft w:val="0"/>
                      <w:marRight w:val="0"/>
                      <w:marTop w:val="0"/>
                      <w:marBottom w:val="0"/>
                      <w:divBdr>
                        <w:top w:val="none" w:sz="0" w:space="0" w:color="auto"/>
                        <w:left w:val="none" w:sz="0" w:space="0" w:color="auto"/>
                        <w:bottom w:val="none" w:sz="0" w:space="0" w:color="auto"/>
                        <w:right w:val="none" w:sz="0" w:space="0" w:color="auto"/>
                      </w:divBdr>
                    </w:div>
                    <w:div w:id="1634098671">
                      <w:marLeft w:val="0"/>
                      <w:marRight w:val="0"/>
                      <w:marTop w:val="0"/>
                      <w:marBottom w:val="0"/>
                      <w:divBdr>
                        <w:top w:val="dashed" w:sz="6" w:space="0" w:color="CCCCCC"/>
                        <w:left w:val="none" w:sz="0" w:space="0" w:color="auto"/>
                        <w:bottom w:val="none" w:sz="0" w:space="0" w:color="auto"/>
                        <w:right w:val="none" w:sz="0" w:space="0" w:color="auto"/>
                      </w:divBdr>
                    </w:div>
                  </w:divsChild>
                </w:div>
                <w:div w:id="1634098334">
                  <w:marLeft w:val="0"/>
                  <w:marRight w:val="0"/>
                  <w:marTop w:val="0"/>
                  <w:marBottom w:val="0"/>
                  <w:divBdr>
                    <w:top w:val="none" w:sz="0" w:space="0" w:color="auto"/>
                    <w:left w:val="none" w:sz="0" w:space="0" w:color="auto"/>
                    <w:bottom w:val="none" w:sz="0" w:space="0" w:color="auto"/>
                    <w:right w:val="none" w:sz="0" w:space="0" w:color="auto"/>
                  </w:divBdr>
                  <w:divsChild>
                    <w:div w:id="1634097935">
                      <w:marLeft w:val="0"/>
                      <w:marRight w:val="0"/>
                      <w:marTop w:val="0"/>
                      <w:marBottom w:val="0"/>
                      <w:divBdr>
                        <w:top w:val="none" w:sz="0" w:space="0" w:color="auto"/>
                        <w:left w:val="none" w:sz="0" w:space="0" w:color="auto"/>
                        <w:bottom w:val="none" w:sz="0" w:space="0" w:color="auto"/>
                        <w:right w:val="none" w:sz="0" w:space="0" w:color="auto"/>
                      </w:divBdr>
                    </w:div>
                    <w:div w:id="1634098269">
                      <w:marLeft w:val="0"/>
                      <w:marRight w:val="0"/>
                      <w:marTop w:val="0"/>
                      <w:marBottom w:val="0"/>
                      <w:divBdr>
                        <w:top w:val="none" w:sz="0" w:space="0" w:color="auto"/>
                        <w:left w:val="none" w:sz="0" w:space="0" w:color="auto"/>
                        <w:bottom w:val="none" w:sz="0" w:space="0" w:color="auto"/>
                        <w:right w:val="none" w:sz="0" w:space="0" w:color="auto"/>
                      </w:divBdr>
                    </w:div>
                  </w:divsChild>
                </w:div>
                <w:div w:id="1634098498">
                  <w:marLeft w:val="0"/>
                  <w:marRight w:val="0"/>
                  <w:marTop w:val="0"/>
                  <w:marBottom w:val="0"/>
                  <w:divBdr>
                    <w:top w:val="none" w:sz="0" w:space="0" w:color="auto"/>
                    <w:left w:val="none" w:sz="0" w:space="0" w:color="auto"/>
                    <w:bottom w:val="none" w:sz="0" w:space="0" w:color="auto"/>
                    <w:right w:val="none" w:sz="0" w:space="0" w:color="auto"/>
                  </w:divBdr>
                  <w:divsChild>
                    <w:div w:id="1634098358">
                      <w:marLeft w:val="0"/>
                      <w:marRight w:val="0"/>
                      <w:marTop w:val="0"/>
                      <w:marBottom w:val="0"/>
                      <w:divBdr>
                        <w:top w:val="none" w:sz="0" w:space="0" w:color="auto"/>
                        <w:left w:val="none" w:sz="0" w:space="0" w:color="auto"/>
                        <w:bottom w:val="none" w:sz="0" w:space="0" w:color="auto"/>
                        <w:right w:val="none" w:sz="0" w:space="0" w:color="auto"/>
                      </w:divBdr>
                    </w:div>
                    <w:div w:id="16340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98676">
      <w:marLeft w:val="0"/>
      <w:marRight w:val="0"/>
      <w:marTop w:val="0"/>
      <w:marBottom w:val="0"/>
      <w:divBdr>
        <w:top w:val="none" w:sz="0" w:space="0" w:color="auto"/>
        <w:left w:val="none" w:sz="0" w:space="0" w:color="auto"/>
        <w:bottom w:val="none" w:sz="0" w:space="0" w:color="auto"/>
        <w:right w:val="none" w:sz="0" w:space="0" w:color="auto"/>
      </w:divBdr>
    </w:div>
    <w:div w:id="1634098679">
      <w:marLeft w:val="0"/>
      <w:marRight w:val="0"/>
      <w:marTop w:val="0"/>
      <w:marBottom w:val="0"/>
      <w:divBdr>
        <w:top w:val="none" w:sz="0" w:space="0" w:color="auto"/>
        <w:left w:val="none" w:sz="0" w:space="0" w:color="auto"/>
        <w:bottom w:val="none" w:sz="0" w:space="0" w:color="auto"/>
        <w:right w:val="none" w:sz="0" w:space="0" w:color="auto"/>
      </w:divBdr>
    </w:div>
    <w:div w:id="1634098680">
      <w:marLeft w:val="0"/>
      <w:marRight w:val="0"/>
      <w:marTop w:val="0"/>
      <w:marBottom w:val="0"/>
      <w:divBdr>
        <w:top w:val="none" w:sz="0" w:space="0" w:color="auto"/>
        <w:left w:val="none" w:sz="0" w:space="0" w:color="auto"/>
        <w:bottom w:val="none" w:sz="0" w:space="0" w:color="auto"/>
        <w:right w:val="none" w:sz="0" w:space="0" w:color="auto"/>
      </w:divBdr>
    </w:div>
    <w:div w:id="1634098683">
      <w:marLeft w:val="0"/>
      <w:marRight w:val="0"/>
      <w:marTop w:val="0"/>
      <w:marBottom w:val="0"/>
      <w:divBdr>
        <w:top w:val="none" w:sz="0" w:space="0" w:color="auto"/>
        <w:left w:val="none" w:sz="0" w:space="0" w:color="auto"/>
        <w:bottom w:val="none" w:sz="0" w:space="0" w:color="auto"/>
        <w:right w:val="none" w:sz="0" w:space="0" w:color="auto"/>
      </w:divBdr>
    </w:div>
    <w:div w:id="1634098684">
      <w:marLeft w:val="0"/>
      <w:marRight w:val="0"/>
      <w:marTop w:val="100"/>
      <w:marBottom w:val="100"/>
      <w:divBdr>
        <w:top w:val="none" w:sz="0" w:space="0" w:color="auto"/>
        <w:left w:val="none" w:sz="0" w:space="0" w:color="auto"/>
        <w:bottom w:val="none" w:sz="0" w:space="0" w:color="auto"/>
        <w:right w:val="none" w:sz="0" w:space="0" w:color="auto"/>
      </w:divBdr>
      <w:divsChild>
        <w:div w:id="1634097952">
          <w:marLeft w:val="0"/>
          <w:marRight w:val="0"/>
          <w:marTop w:val="0"/>
          <w:marBottom w:val="0"/>
          <w:divBdr>
            <w:top w:val="none" w:sz="0" w:space="0" w:color="auto"/>
            <w:left w:val="none" w:sz="0" w:space="0" w:color="auto"/>
            <w:bottom w:val="none" w:sz="0" w:space="0" w:color="auto"/>
            <w:right w:val="none" w:sz="0" w:space="0" w:color="auto"/>
          </w:divBdr>
          <w:divsChild>
            <w:div w:id="1634098081">
              <w:marLeft w:val="0"/>
              <w:marRight w:val="0"/>
              <w:marTop w:val="0"/>
              <w:marBottom w:val="0"/>
              <w:divBdr>
                <w:top w:val="none" w:sz="0" w:space="0" w:color="auto"/>
                <w:left w:val="none" w:sz="0" w:space="0" w:color="auto"/>
                <w:bottom w:val="none" w:sz="0" w:space="0" w:color="auto"/>
                <w:right w:val="none" w:sz="0" w:space="0" w:color="auto"/>
              </w:divBdr>
              <w:divsChild>
                <w:div w:id="1634098590">
                  <w:marLeft w:val="0"/>
                  <w:marRight w:val="0"/>
                  <w:marTop w:val="0"/>
                  <w:marBottom w:val="0"/>
                  <w:divBdr>
                    <w:top w:val="none" w:sz="0" w:space="0" w:color="auto"/>
                    <w:left w:val="none" w:sz="0" w:space="0" w:color="auto"/>
                    <w:bottom w:val="none" w:sz="0" w:space="0" w:color="auto"/>
                    <w:right w:val="none" w:sz="0" w:space="0" w:color="auto"/>
                  </w:divBdr>
                  <w:divsChild>
                    <w:div w:id="1634098638">
                      <w:marLeft w:val="0"/>
                      <w:marRight w:val="0"/>
                      <w:marTop w:val="150"/>
                      <w:marBottom w:val="0"/>
                      <w:divBdr>
                        <w:top w:val="none" w:sz="0" w:space="0" w:color="auto"/>
                        <w:left w:val="none" w:sz="0" w:space="0" w:color="auto"/>
                        <w:bottom w:val="none" w:sz="0" w:space="0" w:color="auto"/>
                        <w:right w:val="none" w:sz="0" w:space="0" w:color="auto"/>
                      </w:divBdr>
                      <w:divsChild>
                        <w:div w:id="1634098446">
                          <w:marLeft w:val="0"/>
                          <w:marRight w:val="0"/>
                          <w:marTop w:val="0"/>
                          <w:marBottom w:val="0"/>
                          <w:divBdr>
                            <w:top w:val="none" w:sz="0" w:space="0" w:color="auto"/>
                            <w:left w:val="none" w:sz="0" w:space="0" w:color="auto"/>
                            <w:bottom w:val="none" w:sz="0" w:space="0" w:color="auto"/>
                            <w:right w:val="none" w:sz="0" w:space="0" w:color="auto"/>
                          </w:divBdr>
                          <w:divsChild>
                            <w:div w:id="1634098090">
                              <w:marLeft w:val="0"/>
                              <w:marRight w:val="0"/>
                              <w:marTop w:val="0"/>
                              <w:marBottom w:val="0"/>
                              <w:divBdr>
                                <w:top w:val="none" w:sz="0" w:space="0" w:color="auto"/>
                                <w:left w:val="none" w:sz="0" w:space="0" w:color="auto"/>
                                <w:bottom w:val="none" w:sz="0" w:space="0" w:color="auto"/>
                                <w:right w:val="none" w:sz="0" w:space="0" w:color="auto"/>
                              </w:divBdr>
                              <w:divsChild>
                                <w:div w:id="1634098644">
                                  <w:marLeft w:val="0"/>
                                  <w:marRight w:val="0"/>
                                  <w:marTop w:val="0"/>
                                  <w:marBottom w:val="0"/>
                                  <w:divBdr>
                                    <w:top w:val="none" w:sz="0" w:space="0" w:color="auto"/>
                                    <w:left w:val="none" w:sz="0" w:space="0" w:color="auto"/>
                                    <w:bottom w:val="none" w:sz="0" w:space="0" w:color="auto"/>
                                    <w:right w:val="none" w:sz="0" w:space="0" w:color="auto"/>
                                  </w:divBdr>
                                  <w:divsChild>
                                    <w:div w:id="1634097813">
                                      <w:marLeft w:val="0"/>
                                      <w:marRight w:val="0"/>
                                      <w:marTop w:val="0"/>
                                      <w:marBottom w:val="0"/>
                                      <w:divBdr>
                                        <w:top w:val="none" w:sz="0" w:space="0" w:color="auto"/>
                                        <w:left w:val="none" w:sz="0" w:space="0" w:color="auto"/>
                                        <w:bottom w:val="none" w:sz="0" w:space="0" w:color="auto"/>
                                        <w:right w:val="none" w:sz="0" w:space="0" w:color="auto"/>
                                      </w:divBdr>
                                      <w:divsChild>
                                        <w:div w:id="1634098645">
                                          <w:marLeft w:val="0"/>
                                          <w:marRight w:val="0"/>
                                          <w:marTop w:val="0"/>
                                          <w:marBottom w:val="0"/>
                                          <w:divBdr>
                                            <w:top w:val="none" w:sz="0" w:space="0" w:color="auto"/>
                                            <w:left w:val="none" w:sz="0" w:space="0" w:color="auto"/>
                                            <w:bottom w:val="none" w:sz="0" w:space="0" w:color="auto"/>
                                            <w:right w:val="none" w:sz="0" w:space="0" w:color="auto"/>
                                          </w:divBdr>
                                          <w:divsChild>
                                            <w:div w:id="1634097923">
                                              <w:marLeft w:val="0"/>
                                              <w:marRight w:val="0"/>
                                              <w:marTop w:val="0"/>
                                              <w:marBottom w:val="0"/>
                                              <w:divBdr>
                                                <w:top w:val="none" w:sz="0" w:space="0" w:color="auto"/>
                                                <w:left w:val="none" w:sz="0" w:space="0" w:color="auto"/>
                                                <w:bottom w:val="none" w:sz="0" w:space="0" w:color="auto"/>
                                                <w:right w:val="none" w:sz="0" w:space="0" w:color="auto"/>
                                              </w:divBdr>
                                              <w:divsChild>
                                                <w:div w:id="1634098138">
                                                  <w:marLeft w:val="0"/>
                                                  <w:marRight w:val="0"/>
                                                  <w:marTop w:val="0"/>
                                                  <w:marBottom w:val="0"/>
                                                  <w:divBdr>
                                                    <w:top w:val="none" w:sz="0" w:space="0" w:color="auto"/>
                                                    <w:left w:val="none" w:sz="0" w:space="0" w:color="auto"/>
                                                    <w:bottom w:val="none" w:sz="0" w:space="0" w:color="auto"/>
                                                    <w:right w:val="none" w:sz="0" w:space="0" w:color="auto"/>
                                                  </w:divBdr>
                                                  <w:divsChild>
                                                    <w:div w:id="1634098600">
                                                      <w:marLeft w:val="0"/>
                                                      <w:marRight w:val="0"/>
                                                      <w:marTop w:val="0"/>
                                                      <w:marBottom w:val="0"/>
                                                      <w:divBdr>
                                                        <w:top w:val="none" w:sz="0" w:space="0" w:color="auto"/>
                                                        <w:left w:val="none" w:sz="0" w:space="0" w:color="auto"/>
                                                        <w:bottom w:val="none" w:sz="0" w:space="0" w:color="auto"/>
                                                        <w:right w:val="none" w:sz="0" w:space="0" w:color="auto"/>
                                                      </w:divBdr>
                                                      <w:divsChild>
                                                        <w:div w:id="1634098166">
                                                          <w:marLeft w:val="0"/>
                                                          <w:marRight w:val="0"/>
                                                          <w:marTop w:val="0"/>
                                                          <w:marBottom w:val="0"/>
                                                          <w:divBdr>
                                                            <w:top w:val="none" w:sz="0" w:space="0" w:color="auto"/>
                                                            <w:left w:val="none" w:sz="0" w:space="0" w:color="auto"/>
                                                            <w:bottom w:val="none" w:sz="0" w:space="0" w:color="auto"/>
                                                            <w:right w:val="none" w:sz="0" w:space="0" w:color="auto"/>
                                                          </w:divBdr>
                                                          <w:divsChild>
                                                            <w:div w:id="1634097890">
                                                              <w:marLeft w:val="0"/>
                                                              <w:marRight w:val="0"/>
                                                              <w:marTop w:val="0"/>
                                                              <w:marBottom w:val="0"/>
                                                              <w:divBdr>
                                                                <w:top w:val="none" w:sz="0" w:space="0" w:color="auto"/>
                                                                <w:left w:val="none" w:sz="0" w:space="0" w:color="auto"/>
                                                                <w:bottom w:val="none" w:sz="0" w:space="0" w:color="auto"/>
                                                                <w:right w:val="none" w:sz="0" w:space="0" w:color="auto"/>
                                                              </w:divBdr>
                                                              <w:divsChild>
                                                                <w:div w:id="1634098182">
                                                                  <w:marLeft w:val="0"/>
                                                                  <w:marRight w:val="0"/>
                                                                  <w:marTop w:val="0"/>
                                                                  <w:marBottom w:val="0"/>
                                                                  <w:divBdr>
                                                                    <w:top w:val="none" w:sz="0" w:space="0" w:color="auto"/>
                                                                    <w:left w:val="none" w:sz="0" w:space="0" w:color="auto"/>
                                                                    <w:bottom w:val="none" w:sz="0" w:space="0" w:color="auto"/>
                                                                    <w:right w:val="none" w:sz="0" w:space="0" w:color="auto"/>
                                                                  </w:divBdr>
                                                                  <w:divsChild>
                                                                    <w:div w:id="1634097910">
                                                                      <w:marLeft w:val="0"/>
                                                                      <w:marRight w:val="0"/>
                                                                      <w:marTop w:val="0"/>
                                                                      <w:marBottom w:val="0"/>
                                                                      <w:divBdr>
                                                                        <w:top w:val="none" w:sz="0" w:space="0" w:color="auto"/>
                                                                        <w:left w:val="none" w:sz="0" w:space="0" w:color="auto"/>
                                                                        <w:bottom w:val="none" w:sz="0" w:space="0" w:color="auto"/>
                                                                        <w:right w:val="none" w:sz="0" w:space="0" w:color="auto"/>
                                                                      </w:divBdr>
                                                                      <w:divsChild>
                                                                        <w:div w:id="1634097907">
                                                                          <w:marLeft w:val="0"/>
                                                                          <w:marRight w:val="0"/>
                                                                          <w:marTop w:val="0"/>
                                                                          <w:marBottom w:val="0"/>
                                                                          <w:divBdr>
                                                                            <w:top w:val="none" w:sz="0" w:space="0" w:color="auto"/>
                                                                            <w:left w:val="none" w:sz="0" w:space="0" w:color="auto"/>
                                                                            <w:bottom w:val="none" w:sz="0" w:space="0" w:color="auto"/>
                                                                            <w:right w:val="none" w:sz="0" w:space="0" w:color="auto"/>
                                                                          </w:divBdr>
                                                                          <w:divsChild>
                                                                            <w:div w:id="16340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98690">
      <w:marLeft w:val="0"/>
      <w:marRight w:val="0"/>
      <w:marTop w:val="0"/>
      <w:marBottom w:val="0"/>
      <w:divBdr>
        <w:top w:val="none" w:sz="0" w:space="0" w:color="auto"/>
        <w:left w:val="none" w:sz="0" w:space="0" w:color="auto"/>
        <w:bottom w:val="none" w:sz="0" w:space="0" w:color="auto"/>
        <w:right w:val="none" w:sz="0" w:space="0" w:color="auto"/>
      </w:divBdr>
    </w:div>
    <w:div w:id="1634098700">
      <w:marLeft w:val="0"/>
      <w:marRight w:val="0"/>
      <w:marTop w:val="0"/>
      <w:marBottom w:val="0"/>
      <w:divBdr>
        <w:top w:val="none" w:sz="0" w:space="0" w:color="auto"/>
        <w:left w:val="none" w:sz="0" w:space="0" w:color="auto"/>
        <w:bottom w:val="none" w:sz="0" w:space="0" w:color="auto"/>
        <w:right w:val="none" w:sz="0" w:space="0" w:color="auto"/>
      </w:divBdr>
    </w:div>
    <w:div w:id="1634098702">
      <w:marLeft w:val="0"/>
      <w:marRight w:val="0"/>
      <w:marTop w:val="0"/>
      <w:marBottom w:val="0"/>
      <w:divBdr>
        <w:top w:val="none" w:sz="0" w:space="0" w:color="auto"/>
        <w:left w:val="none" w:sz="0" w:space="0" w:color="auto"/>
        <w:bottom w:val="none" w:sz="0" w:space="0" w:color="auto"/>
        <w:right w:val="none" w:sz="0" w:space="0" w:color="auto"/>
      </w:divBdr>
    </w:div>
    <w:div w:id="16340987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50</Pages>
  <Words>3876</Words>
  <Characters>22098</Characters>
  <Application>Microsoft Office Outlook</Application>
  <DocSecurity>0</DocSecurity>
  <Lines>0</Lines>
  <Paragraphs>0</Paragraphs>
  <ScaleCrop>false</ScaleCrop>
  <Company>workgroup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云 南 银 河 房 地 产 评 估 有 限 责 任 公 司</dc:title>
  <dc:subject/>
  <dc:creator>02</dc:creator>
  <cp:keywords/>
  <dc:description/>
  <cp:lastModifiedBy>NTKO</cp:lastModifiedBy>
  <cp:revision>3</cp:revision>
  <cp:lastPrinted>2020-05-26T04:01:00Z</cp:lastPrinted>
  <dcterms:created xsi:type="dcterms:W3CDTF">2020-06-18T01:31:00Z</dcterms:created>
  <dcterms:modified xsi:type="dcterms:W3CDTF">2020-06-18T01:33:00Z</dcterms:modified>
</cp:coreProperties>
</file>