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Arial Black" w:eastAsia="黑体"/>
          <w:b/>
          <w:bCs/>
          <w:sz w:val="72"/>
          <w:szCs w:val="72"/>
        </w:rPr>
      </w:pPr>
      <w:r>
        <w:rPr>
          <w:rFonts w:hint="eastAsia" w:ascii="黑体" w:eastAsia="黑体"/>
          <w:b/>
          <w:bCs/>
          <w:sz w:val="72"/>
          <w:szCs w:val="72"/>
        </w:rPr>
        <w:t>河南省贵合资产鉴定评估</w:t>
      </w:r>
    </w:p>
    <w:p>
      <w:pPr>
        <w:jc w:val="center"/>
        <w:rPr>
          <w:rFonts w:ascii="黑体" w:eastAsia="黑体"/>
          <w:b/>
          <w:bCs/>
          <w:sz w:val="72"/>
          <w:szCs w:val="72"/>
        </w:rPr>
      </w:pPr>
      <w:r>
        <w:rPr>
          <w:rFonts w:hint="eastAsia" w:ascii="黑体" w:eastAsia="黑体"/>
          <w:b/>
          <w:bCs/>
          <w:sz w:val="72"/>
          <w:szCs w:val="72"/>
        </w:rPr>
        <w:t>有 限 公 司</w:t>
      </w:r>
    </w:p>
    <w:p>
      <w:pPr>
        <w:jc w:val="center"/>
        <w:rPr>
          <w:rFonts w:ascii="仿宋_GB2312" w:eastAsia="仿宋_GB2312"/>
          <w:b/>
          <w:bCs/>
          <w:color w:val="000000" w:themeColor="text1"/>
          <w:szCs w:val="28"/>
        </w:rPr>
      </w:pPr>
      <w:r>
        <w:rPr>
          <w:rFonts w:hint="eastAsia" w:ascii="仿宋_GB2312" w:eastAsia="仿宋_GB2312"/>
          <w:b/>
          <w:bCs/>
          <w:sz w:val="28"/>
          <w:szCs w:val="28"/>
        </w:rPr>
        <w:t>河贵评（2020）</w:t>
      </w:r>
      <w:r>
        <w:rPr>
          <w:rFonts w:hint="eastAsia" w:ascii="仿宋_GB2312" w:eastAsia="仿宋_GB2312"/>
          <w:b/>
          <w:bCs/>
          <w:color w:val="000000" w:themeColor="text1"/>
          <w:sz w:val="28"/>
          <w:szCs w:val="28"/>
        </w:rPr>
        <w:t>1006号</w:t>
      </w:r>
    </w:p>
    <w:p>
      <w:pPr>
        <w:jc w:val="center"/>
        <w:rPr>
          <w:rFonts w:ascii="黑体" w:eastAsia="黑体"/>
          <w:b/>
          <w:bCs/>
          <w:sz w:val="72"/>
          <w:szCs w:val="72"/>
        </w:rPr>
      </w:pPr>
    </w:p>
    <w:p>
      <w:pPr>
        <w:jc w:val="center"/>
        <w:rPr>
          <w:rFonts w:ascii="黑体" w:eastAsia="黑体"/>
          <w:b/>
          <w:bCs/>
          <w:sz w:val="72"/>
          <w:szCs w:val="72"/>
        </w:rPr>
      </w:pPr>
      <w:r>
        <w:rPr>
          <w:rFonts w:hint="eastAsia" w:ascii="黑体" w:eastAsia="黑体"/>
          <w:b/>
          <w:bCs/>
          <w:sz w:val="72"/>
          <w:szCs w:val="72"/>
        </w:rPr>
        <w:t>鉴</w:t>
      </w:r>
    </w:p>
    <w:p>
      <w:pPr>
        <w:jc w:val="center"/>
        <w:rPr>
          <w:rFonts w:ascii="黑体" w:eastAsia="黑体"/>
          <w:b/>
          <w:bCs/>
          <w:sz w:val="72"/>
          <w:szCs w:val="72"/>
        </w:rPr>
      </w:pPr>
      <w:r>
        <w:rPr>
          <w:rFonts w:hint="eastAsia" w:ascii="黑体" w:eastAsia="黑体"/>
          <w:b/>
          <w:bCs/>
          <w:sz w:val="72"/>
          <w:szCs w:val="72"/>
        </w:rPr>
        <w:t>定</w:t>
      </w:r>
    </w:p>
    <w:p>
      <w:pPr>
        <w:jc w:val="center"/>
        <w:rPr>
          <w:rFonts w:ascii="黑体" w:eastAsia="黑体"/>
          <w:b/>
          <w:bCs/>
          <w:sz w:val="72"/>
          <w:szCs w:val="72"/>
        </w:rPr>
      </w:pPr>
      <w:r>
        <w:rPr>
          <w:rFonts w:hint="eastAsia" w:ascii="黑体" w:eastAsia="黑体"/>
          <w:b/>
          <w:bCs/>
          <w:sz w:val="72"/>
          <w:szCs w:val="72"/>
        </w:rPr>
        <w:t>评</w:t>
      </w:r>
    </w:p>
    <w:p>
      <w:pPr>
        <w:jc w:val="center"/>
        <w:rPr>
          <w:rFonts w:ascii="黑体" w:eastAsia="黑体"/>
          <w:b/>
          <w:bCs/>
          <w:sz w:val="72"/>
          <w:szCs w:val="72"/>
        </w:rPr>
      </w:pPr>
      <w:r>
        <w:rPr>
          <w:rFonts w:hint="eastAsia" w:ascii="黑体" w:eastAsia="黑体"/>
          <w:b/>
          <w:bCs/>
          <w:sz w:val="72"/>
          <w:szCs w:val="72"/>
        </w:rPr>
        <w:t>估</w:t>
      </w:r>
    </w:p>
    <w:p>
      <w:pPr>
        <w:jc w:val="center"/>
        <w:rPr>
          <w:rFonts w:ascii="黑体" w:eastAsia="黑体"/>
          <w:b/>
          <w:bCs/>
          <w:sz w:val="72"/>
          <w:szCs w:val="72"/>
        </w:rPr>
      </w:pPr>
      <w:r>
        <w:rPr>
          <w:rFonts w:hint="eastAsia" w:ascii="黑体" w:eastAsia="黑体"/>
          <w:b/>
          <w:bCs/>
          <w:sz w:val="72"/>
          <w:szCs w:val="72"/>
        </w:rPr>
        <w:t>意</w:t>
      </w:r>
    </w:p>
    <w:p>
      <w:pPr>
        <w:jc w:val="center"/>
        <w:rPr>
          <w:rFonts w:ascii="黑体" w:eastAsia="黑体"/>
          <w:b/>
          <w:bCs/>
          <w:sz w:val="72"/>
          <w:szCs w:val="72"/>
        </w:rPr>
      </w:pPr>
      <w:r>
        <w:rPr>
          <w:rFonts w:hint="eastAsia" w:ascii="黑体" w:eastAsia="黑体"/>
          <w:b/>
          <w:bCs/>
          <w:sz w:val="72"/>
          <w:szCs w:val="72"/>
        </w:rPr>
        <w:t>见</w:t>
      </w:r>
    </w:p>
    <w:p>
      <w:pPr>
        <w:jc w:val="center"/>
        <w:rPr>
          <w:rFonts w:ascii="黑体" w:eastAsia="黑体"/>
          <w:b/>
          <w:bCs/>
          <w:sz w:val="72"/>
          <w:szCs w:val="72"/>
        </w:rPr>
      </w:pPr>
      <w:r>
        <w:rPr>
          <w:rFonts w:hint="eastAsia" w:ascii="黑体" w:eastAsia="黑体"/>
          <w:b/>
          <w:bCs/>
          <w:sz w:val="72"/>
          <w:szCs w:val="72"/>
        </w:rPr>
        <w:t>书</w:t>
      </w:r>
    </w:p>
    <w:p>
      <w:pPr>
        <w:jc w:val="center"/>
        <w:rPr>
          <w:rFonts w:ascii="黑体" w:eastAsia="黑体"/>
          <w:b/>
          <w:bCs/>
          <w:sz w:val="44"/>
          <w:szCs w:val="44"/>
        </w:rPr>
      </w:pPr>
    </w:p>
    <w:p>
      <w:pPr>
        <w:rPr>
          <w:rFonts w:ascii="黑体" w:eastAsia="黑体"/>
          <w:sz w:val="40"/>
          <w:szCs w:val="40"/>
        </w:rPr>
      </w:pPr>
      <w:r>
        <w:rPr>
          <w:rFonts w:hint="eastAsia" w:ascii="黑体" w:eastAsia="黑体"/>
          <w:sz w:val="32"/>
          <w:szCs w:val="32"/>
        </w:rPr>
        <w:t xml:space="preserve">                      </w:t>
      </w:r>
    </w:p>
    <w:p>
      <w:pPr>
        <w:rPr>
          <w:rFonts w:ascii="黑体" w:eastAsia="黑体"/>
          <w:sz w:val="32"/>
          <w:szCs w:val="32"/>
        </w:rPr>
      </w:pPr>
      <w:r>
        <w:rPr>
          <w:rFonts w:hint="eastAsia" w:ascii="黑体" w:eastAsia="黑体"/>
          <w:sz w:val="32"/>
          <w:szCs w:val="32"/>
        </w:rPr>
        <w:t xml:space="preserve">   </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地址：滑县新区文明路与S222省道交叉口北300米路西</w:t>
      </w:r>
    </w:p>
    <w:p>
      <w:pPr>
        <w:tabs>
          <w:tab w:val="left" w:pos="0"/>
        </w:tabs>
        <w:autoSpaceDE w:val="0"/>
        <w:autoSpaceDN w:val="0"/>
        <w:ind w:right="66"/>
        <w:jc w:val="center"/>
        <w:textAlignment w:val="bottom"/>
        <w:rPr>
          <w:b/>
          <w:sz w:val="24"/>
        </w:rPr>
      </w:pPr>
      <w:r>
        <w:rPr>
          <w:rFonts w:hint="eastAsia" w:ascii="黑体" w:eastAsia="黑体"/>
          <w:sz w:val="32"/>
          <w:szCs w:val="32"/>
        </w:rPr>
        <w:t>电话：0372-5501009     15637298111    13603465376</w:t>
      </w:r>
      <w:r>
        <w:rPr>
          <w:b/>
          <w:sz w:val="24"/>
        </w:rPr>
        <w:br w:type="page"/>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五、我们出具的评估报告中的分析、判断和结论受评估报告中假设和限定条件的限制，评估报告使用者应当充分关注评估报告中载明的特别事项说明及其对评估意见的影响。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意见仅限于评估报告载明的评估目的，仅在评估意见使用有效期限内使用，因使用不当造成的后果与本公司及签字盖章评估师无关。</w:t>
      </w:r>
    </w:p>
    <w:p>
      <w:pPr>
        <w:pStyle w:val="6"/>
        <w:rPr>
          <w:rFonts w:ascii="黑体" w:eastAsia="黑体"/>
          <w:sz w:val="48"/>
          <w:szCs w:val="48"/>
        </w:rPr>
      </w:pPr>
      <w:r>
        <w:rPr>
          <w:b/>
          <w:sz w:val="24"/>
        </w:rPr>
        <w:br w:type="page"/>
      </w:r>
    </w:p>
    <w:p>
      <w:pPr>
        <w:pStyle w:val="6"/>
        <w:spacing w:line="570" w:lineRule="exact"/>
        <w:jc w:val="center"/>
        <w:rPr>
          <w:rFonts w:ascii="黑体" w:eastAsia="黑体"/>
          <w:sz w:val="48"/>
          <w:szCs w:val="48"/>
        </w:rPr>
      </w:pPr>
      <w:r>
        <w:rPr>
          <w:rFonts w:hint="eastAsia" w:ascii="黑体" w:eastAsia="黑体"/>
          <w:sz w:val="48"/>
          <w:szCs w:val="48"/>
        </w:rPr>
        <w:t>河南省贵合资产鉴定评估有限公司</w:t>
      </w:r>
    </w:p>
    <w:p>
      <w:pPr>
        <w:pStyle w:val="6"/>
        <w:spacing w:line="570" w:lineRule="exact"/>
        <w:rPr>
          <w:rFonts w:ascii="仿宋_GB2312" w:eastAsia="仿宋_GB2312"/>
          <w:sz w:val="32"/>
          <w:szCs w:val="32"/>
        </w:rPr>
      </w:pPr>
      <w:r>
        <w:rPr>
          <w:rFonts w:hint="eastAsia" w:ascii="仿宋_GB2312" w:eastAsia="仿宋_GB2312"/>
          <w:sz w:val="32"/>
          <w:szCs w:val="32"/>
          <w:u w:val="single"/>
        </w:rPr>
        <w:t xml:space="preserve">                河贵</w:t>
      </w:r>
      <w:r>
        <w:rPr>
          <w:rFonts w:hint="eastAsia" w:ascii="仿宋_GB2312" w:eastAsia="仿宋_GB2312"/>
          <w:bCs/>
          <w:sz w:val="32"/>
          <w:szCs w:val="32"/>
          <w:u w:val="single"/>
        </w:rPr>
        <w:t>评</w:t>
      </w:r>
      <w:r>
        <w:rPr>
          <w:rFonts w:hint="eastAsia" w:ascii="仿宋_GB2312" w:eastAsia="仿宋_GB2312"/>
          <w:sz w:val="32"/>
          <w:szCs w:val="32"/>
          <w:u w:val="single"/>
        </w:rPr>
        <w:t>（2020）</w:t>
      </w:r>
      <w:r>
        <w:rPr>
          <w:rFonts w:hint="eastAsia" w:ascii="仿宋_GB2312" w:eastAsia="仿宋_GB2312"/>
          <w:color w:val="000000" w:themeColor="text1"/>
          <w:sz w:val="32"/>
          <w:szCs w:val="32"/>
          <w:u w:val="single"/>
        </w:rPr>
        <w:t xml:space="preserve">1006号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pStyle w:val="6"/>
        <w:spacing w:line="570" w:lineRule="exact"/>
        <w:jc w:val="center"/>
        <w:rPr>
          <w:rFonts w:ascii="宋体" w:hAnsi="宋体"/>
          <w:sz w:val="40"/>
          <w:szCs w:val="40"/>
        </w:rPr>
      </w:pPr>
      <w:r>
        <w:rPr>
          <w:rFonts w:hint="eastAsia" w:ascii="宋体" w:hAnsi="宋体"/>
          <w:sz w:val="40"/>
          <w:szCs w:val="40"/>
        </w:rPr>
        <w:t>关于房产价值的</w:t>
      </w:r>
    </w:p>
    <w:p>
      <w:pPr>
        <w:pStyle w:val="6"/>
        <w:spacing w:line="570" w:lineRule="exact"/>
        <w:jc w:val="center"/>
        <w:rPr>
          <w:rFonts w:ascii="宋体" w:hAnsi="宋体"/>
          <w:sz w:val="40"/>
          <w:szCs w:val="40"/>
        </w:rPr>
      </w:pPr>
      <w:r>
        <w:rPr>
          <w:rFonts w:hint="eastAsia" w:ascii="宋体" w:hAnsi="宋体"/>
          <w:sz w:val="40"/>
          <w:szCs w:val="40"/>
        </w:rPr>
        <w:t>评估意见书</w:t>
      </w:r>
    </w:p>
    <w:p>
      <w:pPr>
        <w:pStyle w:val="6"/>
        <w:spacing w:line="570" w:lineRule="exact"/>
        <w:rPr>
          <w:rFonts w:ascii="宋体" w:hAnsi="宋体"/>
          <w:color w:val="000000" w:themeColor="text1"/>
          <w:sz w:val="28"/>
          <w:szCs w:val="28"/>
        </w:rPr>
      </w:pPr>
      <w:r>
        <w:rPr>
          <w:rFonts w:hint="eastAsia" w:ascii="宋体" w:hAnsi="宋体"/>
          <w:color w:val="000000" w:themeColor="text1"/>
          <w:sz w:val="28"/>
          <w:szCs w:val="28"/>
        </w:rPr>
        <w:t>滑县人民法院：</w:t>
      </w:r>
    </w:p>
    <w:p>
      <w:pPr>
        <w:pStyle w:val="6"/>
        <w:spacing w:line="570" w:lineRule="exact"/>
        <w:ind w:firstLine="570"/>
        <w:rPr>
          <w:rFonts w:ascii="宋体" w:hAnsi="宋体"/>
          <w:sz w:val="28"/>
          <w:szCs w:val="28"/>
        </w:rPr>
      </w:pPr>
      <w:r>
        <w:rPr>
          <w:rFonts w:hint="eastAsia" w:ascii="宋体" w:hAnsi="宋体"/>
          <w:sz w:val="28"/>
          <w:szCs w:val="28"/>
        </w:rPr>
        <w:t>根据贵院的委托，我公司遵循合法、科学、客观、公正的原则，按照规定的标准、程序和方法，依法对您单位委托书所列指的标的的价格进行评估。现将价格评估情况综述如下：</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价格评估标的</w:t>
      </w:r>
    </w:p>
    <w:p>
      <w:pPr>
        <w:pStyle w:val="6"/>
        <w:spacing w:line="570" w:lineRule="exact"/>
        <w:ind w:left="570"/>
        <w:rPr>
          <w:rFonts w:ascii="宋体" w:hAnsi="宋体"/>
          <w:color w:val="000000" w:themeColor="text1"/>
          <w:sz w:val="28"/>
          <w:szCs w:val="28"/>
        </w:rPr>
      </w:pPr>
      <w:r>
        <w:rPr>
          <w:rFonts w:hint="eastAsia" w:ascii="宋体" w:hAnsi="宋体"/>
          <w:sz w:val="28"/>
          <w:szCs w:val="28"/>
        </w:rPr>
        <w:t>评估标的：</w:t>
      </w:r>
      <w:r>
        <w:rPr>
          <w:rFonts w:hint="eastAsia" w:ascii="宋体" w:hAnsi="宋体"/>
          <w:color w:val="000000" w:themeColor="text1"/>
          <w:sz w:val="28"/>
          <w:szCs w:val="28"/>
        </w:rPr>
        <w:t>津兰名郡19幢1单元5层501；</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房产位置：滑县新区人民路与滑州</w:t>
      </w:r>
      <w:r>
        <w:rPr>
          <w:rFonts w:hint="eastAsia" w:ascii="宋体" w:hAnsi="宋体"/>
          <w:color w:val="000000" w:themeColor="text1"/>
          <w:sz w:val="28"/>
          <w:szCs w:val="28"/>
          <w:lang w:eastAsia="zh-CN"/>
        </w:rPr>
        <w:t>南</w:t>
      </w:r>
      <w:r>
        <w:rPr>
          <w:rFonts w:hint="eastAsia" w:ascii="宋体" w:hAnsi="宋体"/>
          <w:color w:val="000000" w:themeColor="text1"/>
          <w:sz w:val="28"/>
          <w:szCs w:val="28"/>
        </w:rPr>
        <w:t>路交汇处；</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产权所有人：姜荣康；</w:t>
      </w:r>
    </w:p>
    <w:p>
      <w:pPr>
        <w:pStyle w:val="6"/>
        <w:spacing w:line="57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房产简介：该房产设计用途为住宅，属</w:t>
      </w:r>
      <w:r>
        <w:rPr>
          <w:rFonts w:hint="eastAsia" w:ascii="宋体" w:hAnsi="宋体"/>
          <w:color w:val="000000" w:themeColor="text1"/>
          <w:sz w:val="28"/>
          <w:szCs w:val="28"/>
          <w:lang w:eastAsia="zh-CN"/>
        </w:rPr>
        <w:t>砖混</w:t>
      </w:r>
      <w:r>
        <w:rPr>
          <w:rFonts w:hint="eastAsia" w:ascii="宋体" w:hAnsi="宋体"/>
          <w:color w:val="000000" w:themeColor="text1"/>
          <w:sz w:val="28"/>
          <w:szCs w:val="28"/>
        </w:rPr>
        <w:t>结构，层高为2.6M，房产建筑面积为</w:t>
      </w:r>
      <w:r>
        <w:rPr>
          <w:rFonts w:hint="eastAsia" w:ascii="宋体" w:hAnsi="宋体" w:cs="宋体"/>
          <w:color w:val="000000" w:themeColor="text1"/>
          <w:sz w:val="28"/>
          <w:szCs w:val="28"/>
        </w:rPr>
        <w:t>1</w:t>
      </w:r>
      <w:r>
        <w:rPr>
          <w:rFonts w:hint="eastAsia" w:ascii="宋体" w:hAnsi="宋体" w:cs="宋体"/>
          <w:color w:val="000000" w:themeColor="text1"/>
          <w:sz w:val="28"/>
          <w:szCs w:val="28"/>
          <w:lang w:val="en-US" w:eastAsia="zh-CN"/>
        </w:rPr>
        <w:t>35.58</w:t>
      </w:r>
      <w:r>
        <w:rPr>
          <w:rFonts w:hint="eastAsia" w:ascii="宋体" w:hAnsi="宋体" w:cs="宋体"/>
          <w:color w:val="000000" w:themeColor="text1"/>
          <w:sz w:val="28"/>
          <w:szCs w:val="28"/>
        </w:rPr>
        <w:t>平方米，朝向：南北，户型：三室两厅</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卫，入室方式：</w:t>
      </w:r>
      <w:r>
        <w:rPr>
          <w:rFonts w:hint="eastAsia" w:ascii="宋体" w:hAnsi="宋体" w:cs="宋体"/>
          <w:color w:val="000000" w:themeColor="text1"/>
          <w:sz w:val="28"/>
          <w:szCs w:val="28"/>
          <w:lang w:eastAsia="zh-CN"/>
        </w:rPr>
        <w:t>步</w:t>
      </w:r>
      <w:r>
        <w:rPr>
          <w:rFonts w:hint="eastAsia" w:ascii="宋体" w:hAnsi="宋体" w:cs="宋体"/>
          <w:color w:val="000000" w:themeColor="text1"/>
          <w:sz w:val="28"/>
          <w:szCs w:val="28"/>
        </w:rPr>
        <w:t>梯（一梯两户），委估标的位于5层</w:t>
      </w:r>
      <w:r>
        <w:rPr>
          <w:rFonts w:hint="eastAsia" w:ascii="宋体" w:hAnsi="宋体"/>
          <w:color w:val="000000" w:themeColor="text1"/>
          <w:sz w:val="28"/>
          <w:szCs w:val="28"/>
        </w:rPr>
        <w:t>。</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价格评估目的</w:t>
      </w:r>
    </w:p>
    <w:p>
      <w:pPr>
        <w:pStyle w:val="6"/>
        <w:spacing w:line="570" w:lineRule="exact"/>
        <w:ind w:firstLine="568" w:firstLineChars="203"/>
        <w:rPr>
          <w:rFonts w:ascii="宋体" w:hAnsi="宋体"/>
          <w:sz w:val="28"/>
          <w:szCs w:val="28"/>
        </w:rPr>
      </w:pPr>
      <w:r>
        <w:rPr>
          <w:rFonts w:hint="eastAsia" w:ascii="宋体" w:hAnsi="宋体"/>
          <w:sz w:val="28"/>
          <w:szCs w:val="28"/>
        </w:rPr>
        <w:t>为委托方提供评估标的在评估基准日的市场价值与拍卖价格。</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价格评估基准日</w:t>
      </w:r>
    </w:p>
    <w:p>
      <w:pPr>
        <w:pStyle w:val="6"/>
        <w:spacing w:line="570" w:lineRule="exact"/>
        <w:ind w:left="570"/>
        <w:rPr>
          <w:rFonts w:ascii="宋体" w:hAnsi="宋体"/>
          <w:color w:val="000000" w:themeColor="text1"/>
          <w:sz w:val="28"/>
          <w:szCs w:val="28"/>
        </w:rPr>
      </w:pPr>
      <w:r>
        <w:rPr>
          <w:rFonts w:hint="eastAsia" w:ascii="宋体" w:hAnsi="宋体"/>
          <w:color w:val="000000" w:themeColor="text1"/>
          <w:sz w:val="28"/>
          <w:szCs w:val="28"/>
        </w:rPr>
        <w:t>20</w:t>
      </w:r>
      <w:r>
        <w:rPr>
          <w:rFonts w:hint="eastAsia" w:ascii="宋体" w:hAnsi="宋体"/>
          <w:color w:val="000000" w:themeColor="text1"/>
          <w:sz w:val="28"/>
          <w:szCs w:val="28"/>
          <w:lang w:val="en-US" w:eastAsia="zh-CN"/>
        </w:rPr>
        <w:t>20</w:t>
      </w:r>
      <w:r>
        <w:rPr>
          <w:rFonts w:hint="eastAsia" w:ascii="宋体" w:hAnsi="宋体"/>
          <w:color w:val="000000" w:themeColor="text1"/>
          <w:sz w:val="28"/>
          <w:szCs w:val="28"/>
        </w:rPr>
        <w:t>年</w:t>
      </w:r>
      <w:r>
        <w:rPr>
          <w:rFonts w:hint="eastAsia" w:ascii="宋体" w:hAnsi="宋体"/>
          <w:color w:val="000000" w:themeColor="text1"/>
          <w:sz w:val="28"/>
          <w:szCs w:val="28"/>
          <w:lang w:val="en-US" w:eastAsia="zh-CN"/>
        </w:rPr>
        <w:t>1</w:t>
      </w:r>
      <w:r>
        <w:rPr>
          <w:rFonts w:hint="eastAsia" w:ascii="宋体" w:hAnsi="宋体"/>
          <w:color w:val="000000" w:themeColor="text1"/>
          <w:sz w:val="28"/>
          <w:szCs w:val="28"/>
        </w:rPr>
        <w:t>月</w:t>
      </w:r>
      <w:r>
        <w:rPr>
          <w:rFonts w:hint="eastAsia" w:ascii="宋体" w:hAnsi="宋体"/>
          <w:color w:val="000000" w:themeColor="text1"/>
          <w:sz w:val="28"/>
          <w:szCs w:val="28"/>
          <w:lang w:val="en-US" w:eastAsia="zh-CN"/>
        </w:rPr>
        <w:t>10</w:t>
      </w:r>
      <w:r>
        <w:rPr>
          <w:rFonts w:hint="eastAsia" w:ascii="宋体" w:hAnsi="宋体"/>
          <w:color w:val="000000" w:themeColor="text1"/>
          <w:sz w:val="28"/>
          <w:szCs w:val="28"/>
        </w:rPr>
        <w:t>日</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价格定义</w:t>
      </w:r>
    </w:p>
    <w:p>
      <w:pPr>
        <w:pStyle w:val="6"/>
        <w:spacing w:line="570" w:lineRule="exact"/>
        <w:ind w:firstLine="504" w:firstLineChars="200"/>
        <w:rPr>
          <w:rFonts w:ascii="宋体" w:hAnsi="宋体"/>
          <w:sz w:val="28"/>
          <w:szCs w:val="28"/>
        </w:rPr>
      </w:pPr>
      <w:r>
        <w:rPr>
          <w:rFonts w:hint="eastAsia" w:ascii="宋体" w:hAnsi="宋体" w:cs="宋体"/>
          <w:w w:val="90"/>
          <w:sz w:val="28"/>
          <w:szCs w:val="28"/>
        </w:rPr>
        <w:t xml:space="preserve">价格评估结论所指价格是：采用市场法确定评估标的在评估基准日的市场价值。 </w:t>
      </w:r>
      <w:r>
        <w:rPr>
          <w:rFonts w:hint="eastAsia" w:ascii="黑体" w:eastAsia="黑体"/>
          <w:w w:val="90"/>
          <w:szCs w:val="28"/>
        </w:rPr>
        <w:t xml:space="preserve"> </w:t>
      </w:r>
    </w:p>
    <w:p>
      <w:pPr>
        <w:pStyle w:val="6"/>
        <w:numPr>
          <w:ilvl w:val="0"/>
          <w:numId w:val="1"/>
        </w:numPr>
        <w:spacing w:line="570" w:lineRule="exact"/>
        <w:rPr>
          <w:rFonts w:ascii="宋体" w:hAnsi="宋体"/>
          <w:b/>
          <w:bCs/>
          <w:sz w:val="28"/>
          <w:szCs w:val="28"/>
        </w:rPr>
      </w:pPr>
      <w:r>
        <w:rPr>
          <w:rFonts w:hint="eastAsia" w:ascii="宋体" w:hAnsi="宋体"/>
          <w:b/>
          <w:bCs/>
          <w:sz w:val="28"/>
          <w:szCs w:val="28"/>
        </w:rPr>
        <w:t>价格评估依据</w:t>
      </w:r>
    </w:p>
    <w:p>
      <w:pPr>
        <w:numPr>
          <w:ilvl w:val="0"/>
          <w:numId w:val="2"/>
        </w:numPr>
        <w:spacing w:line="570" w:lineRule="exact"/>
        <w:rPr>
          <w:sz w:val="28"/>
          <w:szCs w:val="28"/>
        </w:rPr>
      </w:pPr>
      <w:r>
        <w:rPr>
          <w:rFonts w:hint="eastAsia"/>
          <w:sz w:val="28"/>
          <w:szCs w:val="28"/>
        </w:rPr>
        <w:t>法律法规</w:t>
      </w:r>
    </w:p>
    <w:p>
      <w:pPr>
        <w:spacing w:line="570" w:lineRule="exact"/>
        <w:ind w:left="540"/>
        <w:rPr>
          <w:sz w:val="28"/>
          <w:szCs w:val="28"/>
        </w:rPr>
      </w:pPr>
      <w:r>
        <w:rPr>
          <w:rFonts w:hint="eastAsia"/>
          <w:sz w:val="28"/>
          <w:szCs w:val="28"/>
        </w:rPr>
        <w:t>1、《中华人民共和国价格法》；</w:t>
      </w:r>
    </w:p>
    <w:p>
      <w:pPr>
        <w:spacing w:line="570" w:lineRule="exact"/>
        <w:ind w:left="540"/>
        <w:rPr>
          <w:sz w:val="28"/>
          <w:szCs w:val="28"/>
        </w:rPr>
      </w:pPr>
      <w:r>
        <w:rPr>
          <w:rFonts w:hint="eastAsia"/>
          <w:sz w:val="28"/>
          <w:szCs w:val="28"/>
        </w:rPr>
        <w:t>2、《国家计委价格认证管理办法》。</w:t>
      </w:r>
    </w:p>
    <w:p>
      <w:pPr>
        <w:spacing w:line="570" w:lineRule="exact"/>
        <w:ind w:left="540"/>
        <w:rPr>
          <w:sz w:val="28"/>
          <w:szCs w:val="28"/>
        </w:rPr>
      </w:pPr>
      <w:r>
        <w:rPr>
          <w:rFonts w:hint="eastAsia"/>
          <w:sz w:val="28"/>
          <w:szCs w:val="28"/>
        </w:rPr>
        <w:t>（二）委托机关提供的有关资料</w:t>
      </w:r>
    </w:p>
    <w:p>
      <w:pPr>
        <w:spacing w:line="570" w:lineRule="exact"/>
        <w:ind w:left="540"/>
        <w:rPr>
          <w:sz w:val="28"/>
          <w:szCs w:val="28"/>
        </w:rPr>
      </w:pPr>
      <w:r>
        <w:rPr>
          <w:rFonts w:hint="eastAsia"/>
          <w:sz w:val="28"/>
          <w:szCs w:val="28"/>
        </w:rPr>
        <w:t>1、委托方出具的价格评估委托书；</w:t>
      </w:r>
    </w:p>
    <w:p>
      <w:pPr>
        <w:spacing w:line="570" w:lineRule="exact"/>
        <w:ind w:left="540"/>
        <w:rPr>
          <w:sz w:val="28"/>
          <w:szCs w:val="28"/>
        </w:rPr>
      </w:pPr>
      <w:r>
        <w:rPr>
          <w:rFonts w:hint="eastAsia"/>
          <w:sz w:val="28"/>
          <w:szCs w:val="28"/>
        </w:rPr>
        <w:t>2、委托方提供的相关资料。</w:t>
      </w:r>
    </w:p>
    <w:p>
      <w:pPr>
        <w:spacing w:line="570" w:lineRule="exact"/>
        <w:ind w:left="540"/>
        <w:rPr>
          <w:sz w:val="28"/>
          <w:szCs w:val="28"/>
        </w:rPr>
      </w:pPr>
      <w:r>
        <w:rPr>
          <w:rFonts w:hint="eastAsia"/>
          <w:sz w:val="28"/>
          <w:szCs w:val="28"/>
        </w:rPr>
        <w:t>（三）评估机构收集的有关资料、市场调查资料。</w:t>
      </w:r>
    </w:p>
    <w:p>
      <w:pPr>
        <w:numPr>
          <w:ilvl w:val="0"/>
          <w:numId w:val="1"/>
        </w:numPr>
        <w:spacing w:line="570" w:lineRule="exact"/>
        <w:rPr>
          <w:b/>
          <w:bCs/>
          <w:sz w:val="28"/>
          <w:szCs w:val="28"/>
        </w:rPr>
      </w:pPr>
      <w:r>
        <w:rPr>
          <w:rFonts w:hint="eastAsia"/>
          <w:b/>
          <w:bCs/>
          <w:sz w:val="28"/>
          <w:szCs w:val="28"/>
        </w:rPr>
        <w:t>价格评估方法</w:t>
      </w:r>
    </w:p>
    <w:p>
      <w:pPr>
        <w:spacing w:line="570" w:lineRule="exact"/>
        <w:ind w:left="570"/>
        <w:rPr>
          <w:sz w:val="28"/>
          <w:szCs w:val="28"/>
        </w:rPr>
      </w:pPr>
      <w:r>
        <w:rPr>
          <w:rFonts w:hint="eastAsia" w:ascii="宋体" w:hAnsi="宋体" w:cs="宋体"/>
          <w:w w:val="90"/>
          <w:sz w:val="28"/>
          <w:szCs w:val="28"/>
        </w:rPr>
        <w:t>采用市场法确定的变现底价</w:t>
      </w:r>
      <w:r>
        <w:rPr>
          <w:rFonts w:hint="eastAsia"/>
          <w:sz w:val="28"/>
          <w:szCs w:val="28"/>
        </w:rPr>
        <w:t>。</w:t>
      </w:r>
    </w:p>
    <w:p>
      <w:pPr>
        <w:numPr>
          <w:ilvl w:val="0"/>
          <w:numId w:val="3"/>
        </w:numPr>
        <w:spacing w:line="570" w:lineRule="exact"/>
        <w:ind w:left="570"/>
        <w:rPr>
          <w:b/>
          <w:bCs/>
          <w:sz w:val="28"/>
          <w:szCs w:val="28"/>
        </w:rPr>
      </w:pPr>
      <w:r>
        <w:rPr>
          <w:rFonts w:hint="eastAsia"/>
          <w:b/>
          <w:bCs/>
          <w:sz w:val="28"/>
          <w:szCs w:val="28"/>
        </w:rPr>
        <w:t>价格评估标的基本概况</w:t>
      </w:r>
    </w:p>
    <w:p>
      <w:pPr>
        <w:spacing w:line="570" w:lineRule="exact"/>
        <w:ind w:firstLine="560" w:firstLineChars="200"/>
        <w:rPr>
          <w:rFonts w:ascii="宋体" w:hAnsi="宋体" w:cs="宋体"/>
          <w:color w:val="000000" w:themeColor="text1"/>
          <w:sz w:val="28"/>
          <w:szCs w:val="28"/>
        </w:rPr>
      </w:pPr>
      <w:r>
        <w:rPr>
          <w:rFonts w:hint="eastAsia" w:ascii="宋体" w:hAnsi="宋体" w:cs="宋体"/>
          <w:sz w:val="28"/>
          <w:szCs w:val="28"/>
        </w:rPr>
        <w:t>评估标的为</w:t>
      </w:r>
      <w:r>
        <w:rPr>
          <w:rFonts w:hint="eastAsia" w:ascii="宋体" w:hAnsi="宋体"/>
          <w:color w:val="000000" w:themeColor="text1"/>
          <w:sz w:val="28"/>
          <w:szCs w:val="28"/>
        </w:rPr>
        <w:t>姜荣康</w:t>
      </w:r>
      <w:r>
        <w:rPr>
          <w:rFonts w:hint="eastAsia" w:ascii="宋体" w:hAnsi="宋体"/>
          <w:sz w:val="28"/>
          <w:szCs w:val="28"/>
        </w:rPr>
        <w:t>名下</w:t>
      </w:r>
      <w:r>
        <w:rPr>
          <w:rFonts w:hint="eastAsia" w:ascii="宋体" w:hAnsi="宋体" w:cs="宋体"/>
          <w:sz w:val="28"/>
          <w:szCs w:val="28"/>
        </w:rPr>
        <w:t>位于</w:t>
      </w:r>
      <w:r>
        <w:rPr>
          <w:rFonts w:hint="eastAsia" w:ascii="宋体" w:hAnsi="宋体"/>
          <w:color w:val="000000" w:themeColor="text1"/>
          <w:sz w:val="28"/>
          <w:szCs w:val="28"/>
        </w:rPr>
        <w:t>滑县新区人民路与滑州</w:t>
      </w:r>
      <w:r>
        <w:rPr>
          <w:rFonts w:hint="eastAsia" w:ascii="宋体" w:hAnsi="宋体"/>
          <w:color w:val="000000" w:themeColor="text1"/>
          <w:sz w:val="28"/>
          <w:szCs w:val="28"/>
          <w:lang w:eastAsia="zh-CN"/>
        </w:rPr>
        <w:t>南</w:t>
      </w:r>
      <w:r>
        <w:rPr>
          <w:rFonts w:hint="eastAsia" w:ascii="宋体" w:hAnsi="宋体"/>
          <w:color w:val="000000" w:themeColor="text1"/>
          <w:sz w:val="28"/>
          <w:szCs w:val="28"/>
        </w:rPr>
        <w:t>路交汇处津兰名郡19幢1单元5层501号房产。该房产设计用途为住宅，属</w:t>
      </w:r>
      <w:r>
        <w:rPr>
          <w:rFonts w:hint="eastAsia" w:ascii="宋体" w:hAnsi="宋体"/>
          <w:color w:val="000000" w:themeColor="text1"/>
          <w:sz w:val="28"/>
          <w:szCs w:val="28"/>
          <w:lang w:eastAsia="zh-CN"/>
        </w:rPr>
        <w:t>砖混</w:t>
      </w:r>
      <w:r>
        <w:rPr>
          <w:rFonts w:hint="eastAsia" w:ascii="宋体" w:hAnsi="宋体"/>
          <w:color w:val="000000" w:themeColor="text1"/>
          <w:sz w:val="28"/>
          <w:szCs w:val="28"/>
        </w:rPr>
        <w:t>结构，层高为2.</w:t>
      </w:r>
      <w:r>
        <w:rPr>
          <w:rFonts w:hint="eastAsia" w:ascii="宋体" w:hAnsi="宋体"/>
          <w:color w:val="000000" w:themeColor="text1"/>
          <w:sz w:val="28"/>
          <w:szCs w:val="28"/>
          <w:lang w:val="en-US" w:eastAsia="zh-CN"/>
        </w:rPr>
        <w:t>6</w:t>
      </w:r>
      <w:r>
        <w:rPr>
          <w:rFonts w:hint="eastAsia" w:ascii="宋体" w:hAnsi="宋体"/>
          <w:color w:val="000000" w:themeColor="text1"/>
          <w:sz w:val="28"/>
          <w:szCs w:val="28"/>
        </w:rPr>
        <w:t>M，房产建筑面积为</w:t>
      </w:r>
      <w:r>
        <w:rPr>
          <w:rFonts w:hint="eastAsia" w:ascii="宋体" w:hAnsi="宋体"/>
          <w:color w:val="000000" w:themeColor="text1"/>
          <w:sz w:val="28"/>
          <w:szCs w:val="28"/>
          <w:lang w:val="en-US" w:eastAsia="zh-CN"/>
        </w:rPr>
        <w:t>135.58</w:t>
      </w:r>
      <w:r>
        <w:rPr>
          <w:rFonts w:hint="eastAsia" w:ascii="宋体" w:hAnsi="宋体" w:cs="宋体"/>
          <w:color w:val="000000" w:themeColor="text1"/>
          <w:sz w:val="28"/>
          <w:szCs w:val="28"/>
        </w:rPr>
        <w:t>平方米，朝向：南北，户型：三室两厅</w:t>
      </w:r>
      <w:r>
        <w:rPr>
          <w:rFonts w:hint="eastAsia" w:ascii="宋体" w:hAnsi="宋体" w:cs="宋体"/>
          <w:color w:val="000000" w:themeColor="text1"/>
          <w:sz w:val="28"/>
          <w:szCs w:val="28"/>
          <w:lang w:eastAsia="zh-CN"/>
        </w:rPr>
        <w:t>两</w:t>
      </w:r>
      <w:r>
        <w:rPr>
          <w:rFonts w:hint="eastAsia" w:ascii="宋体" w:hAnsi="宋体" w:cs="宋体"/>
          <w:color w:val="000000" w:themeColor="text1"/>
          <w:sz w:val="28"/>
          <w:szCs w:val="28"/>
        </w:rPr>
        <w:t>卫，入室方式：</w:t>
      </w:r>
      <w:r>
        <w:rPr>
          <w:rFonts w:hint="eastAsia" w:ascii="宋体" w:hAnsi="宋体" w:cs="宋体"/>
          <w:color w:val="000000" w:themeColor="text1"/>
          <w:sz w:val="28"/>
          <w:szCs w:val="28"/>
          <w:lang w:eastAsia="zh-CN"/>
        </w:rPr>
        <w:t>步</w:t>
      </w:r>
      <w:r>
        <w:rPr>
          <w:rFonts w:hint="eastAsia" w:ascii="宋体" w:hAnsi="宋体" w:cs="宋体"/>
          <w:color w:val="000000" w:themeColor="text1"/>
          <w:sz w:val="28"/>
          <w:szCs w:val="28"/>
        </w:rPr>
        <w:t>梯（一梯两户），委估标的位于5层，室内装修为：</w:t>
      </w:r>
      <w:r>
        <w:rPr>
          <w:rFonts w:hint="eastAsia" w:ascii="宋体" w:hAnsi="宋体" w:cs="宋体"/>
          <w:color w:val="000000" w:themeColor="text1"/>
          <w:sz w:val="28"/>
          <w:szCs w:val="28"/>
          <w:lang w:eastAsia="zh-CN"/>
        </w:rPr>
        <w:t>简单</w:t>
      </w:r>
      <w:r>
        <w:rPr>
          <w:rFonts w:hint="eastAsia" w:ascii="宋体" w:hAnsi="宋体" w:cs="宋体"/>
          <w:color w:val="000000" w:themeColor="text1"/>
          <w:sz w:val="28"/>
          <w:szCs w:val="28"/>
        </w:rPr>
        <w:t>装修。遵照我国相关法律、法规和制度，遵</w:t>
      </w:r>
      <w:r>
        <w:rPr>
          <w:rFonts w:hint="eastAsia" w:ascii="宋体" w:hAnsi="宋体" w:cs="宋体"/>
          <w:sz w:val="28"/>
          <w:szCs w:val="28"/>
        </w:rPr>
        <w:t>循估价原则，按照估价程序，采用合理的估价方法，在综合分析房地产价格因素的基础上，对该房产在估价时点（评估基准日）的客观合理价值进行了评定估算，最终确定委估房产在估价时点的客观合理价值</w:t>
      </w:r>
      <w:r>
        <w:rPr>
          <w:rFonts w:hint="eastAsia"/>
          <w:sz w:val="28"/>
          <w:szCs w:val="28"/>
        </w:rPr>
        <w:t>取整</w:t>
      </w:r>
      <w:r>
        <w:rPr>
          <w:rFonts w:hint="eastAsia" w:ascii="宋体" w:hAnsi="宋体" w:cs="宋体"/>
          <w:sz w:val="28"/>
          <w:szCs w:val="28"/>
        </w:rPr>
        <w:t>为</w:t>
      </w:r>
      <w:r>
        <w:rPr>
          <w:rFonts w:hint="eastAsia"/>
          <w:sz w:val="28"/>
          <w:szCs w:val="28"/>
        </w:rPr>
        <w:t>人民币</w:t>
      </w:r>
      <w:r>
        <w:rPr>
          <w:rFonts w:hint="eastAsia"/>
          <w:color w:val="000000" w:themeColor="text1"/>
          <w:sz w:val="28"/>
          <w:szCs w:val="28"/>
        </w:rPr>
        <w:t>：</w:t>
      </w:r>
      <w:r>
        <w:rPr>
          <w:rFonts w:hint="eastAsia"/>
          <w:color w:val="000000" w:themeColor="text1"/>
          <w:sz w:val="28"/>
          <w:szCs w:val="28"/>
          <w:lang w:eastAsia="zh-CN"/>
        </w:rPr>
        <w:t>肆拾捌万捌仟</w:t>
      </w:r>
      <w:r>
        <w:rPr>
          <w:rFonts w:hint="eastAsia"/>
          <w:color w:val="000000" w:themeColor="text1"/>
          <w:sz w:val="28"/>
          <w:szCs w:val="28"/>
        </w:rPr>
        <w:t>圆整（RMB：</w:t>
      </w:r>
      <w:r>
        <w:rPr>
          <w:rFonts w:hint="eastAsia"/>
          <w:color w:val="000000" w:themeColor="text1"/>
          <w:sz w:val="28"/>
          <w:szCs w:val="28"/>
          <w:lang w:val="en-US" w:eastAsia="zh-CN"/>
        </w:rPr>
        <w:t>488000</w:t>
      </w:r>
      <w:r>
        <w:rPr>
          <w:rFonts w:hint="eastAsia"/>
          <w:color w:val="000000" w:themeColor="text1"/>
          <w:sz w:val="28"/>
          <w:szCs w:val="28"/>
        </w:rPr>
        <w:t>.00元）。</w:t>
      </w:r>
    </w:p>
    <w:p>
      <w:pPr>
        <w:spacing w:line="570" w:lineRule="exact"/>
        <w:ind w:firstLine="562" w:firstLineChars="200"/>
        <w:rPr>
          <w:b/>
          <w:bCs/>
          <w:sz w:val="28"/>
          <w:szCs w:val="28"/>
        </w:rPr>
      </w:pPr>
      <w:r>
        <w:rPr>
          <w:rFonts w:hint="eastAsia"/>
          <w:b/>
          <w:bCs/>
          <w:sz w:val="28"/>
          <w:szCs w:val="28"/>
        </w:rPr>
        <w:t>八、价格评估过程</w:t>
      </w:r>
    </w:p>
    <w:p>
      <w:pPr>
        <w:spacing w:line="570" w:lineRule="exact"/>
        <w:ind w:firstLine="560" w:firstLineChars="200"/>
        <w:rPr>
          <w:sz w:val="28"/>
          <w:szCs w:val="28"/>
        </w:rPr>
      </w:pPr>
      <w:r>
        <w:rPr>
          <w:rFonts w:hint="eastAsia"/>
          <w:sz w:val="28"/>
          <w:szCs w:val="28"/>
        </w:rPr>
        <w:t>受理委托后，我公司成立了价格评估小组，制定了价格评估作业方案，查阅了委托方提供的相关资料并进行了现场勘查及周边走访调查，按照市场法对评估标的进行了价格评估。</w:t>
      </w:r>
    </w:p>
    <w:p>
      <w:pPr>
        <w:spacing w:line="570" w:lineRule="exact"/>
        <w:ind w:firstLine="562" w:firstLineChars="200"/>
        <w:rPr>
          <w:b/>
          <w:bCs/>
          <w:sz w:val="28"/>
          <w:szCs w:val="28"/>
        </w:rPr>
      </w:pPr>
      <w:r>
        <w:rPr>
          <w:rFonts w:hint="eastAsia"/>
          <w:b/>
          <w:bCs/>
          <w:sz w:val="28"/>
          <w:szCs w:val="28"/>
        </w:rPr>
        <w:t>九、价格评估意见</w:t>
      </w:r>
    </w:p>
    <w:p>
      <w:pPr>
        <w:spacing w:line="570" w:lineRule="exact"/>
        <w:ind w:firstLine="560" w:firstLineChars="200"/>
        <w:rPr>
          <w:color w:val="0000FF"/>
          <w:sz w:val="28"/>
          <w:szCs w:val="28"/>
        </w:rPr>
      </w:pPr>
      <w:r>
        <w:rPr>
          <w:rFonts w:hint="eastAsia"/>
          <w:color w:val="000000" w:themeColor="text1"/>
          <w:sz w:val="28"/>
          <w:szCs w:val="28"/>
        </w:rPr>
        <w:t>价格评估标的在评估基准日的客观合理</w:t>
      </w:r>
      <w:r>
        <w:rPr>
          <w:rFonts w:hint="eastAsia" w:ascii="宋体" w:hAnsi="宋体" w:cs="宋体"/>
          <w:color w:val="000000" w:themeColor="text1"/>
          <w:sz w:val="28"/>
          <w:szCs w:val="28"/>
        </w:rPr>
        <w:t>价值</w:t>
      </w:r>
      <w:r>
        <w:rPr>
          <w:rFonts w:hint="eastAsia"/>
          <w:color w:val="000000" w:themeColor="text1"/>
          <w:sz w:val="28"/>
          <w:szCs w:val="28"/>
        </w:rPr>
        <w:t>为人民币取整为：</w:t>
      </w:r>
      <w:r>
        <w:rPr>
          <w:rFonts w:hint="eastAsia"/>
          <w:color w:val="000000" w:themeColor="text1"/>
          <w:sz w:val="28"/>
          <w:szCs w:val="28"/>
          <w:lang w:eastAsia="zh-CN"/>
        </w:rPr>
        <w:t>肆拾捌万捌仟</w:t>
      </w:r>
      <w:r>
        <w:rPr>
          <w:rFonts w:hint="eastAsia"/>
          <w:color w:val="000000" w:themeColor="text1"/>
          <w:sz w:val="28"/>
          <w:szCs w:val="28"/>
        </w:rPr>
        <w:t>圆整（RMB：</w:t>
      </w:r>
      <w:r>
        <w:rPr>
          <w:rFonts w:hint="eastAsia"/>
          <w:color w:val="000000" w:themeColor="text1"/>
          <w:sz w:val="28"/>
          <w:szCs w:val="28"/>
          <w:lang w:val="en-US" w:eastAsia="zh-CN"/>
        </w:rPr>
        <w:t>488000</w:t>
      </w:r>
      <w:r>
        <w:rPr>
          <w:rFonts w:hint="eastAsia"/>
          <w:color w:val="000000" w:themeColor="text1"/>
          <w:sz w:val="28"/>
          <w:szCs w:val="28"/>
        </w:rPr>
        <w:t>.00元）；</w:t>
      </w:r>
    </w:p>
    <w:p>
      <w:pPr>
        <w:spacing w:line="570" w:lineRule="exact"/>
        <w:ind w:firstLine="560" w:firstLineChars="200"/>
        <w:rPr>
          <w:color w:val="000000" w:themeColor="text1"/>
          <w:sz w:val="28"/>
          <w:szCs w:val="28"/>
        </w:rPr>
      </w:pPr>
      <w:r>
        <w:rPr>
          <w:rFonts w:hint="eastAsia"/>
          <w:color w:val="000000" w:themeColor="text1"/>
          <w:sz w:val="28"/>
          <w:szCs w:val="28"/>
        </w:rPr>
        <w:t>变现底价为人民币取整为：</w:t>
      </w:r>
      <w:r>
        <w:rPr>
          <w:rFonts w:hint="eastAsia"/>
          <w:color w:val="000000" w:themeColor="text1"/>
          <w:sz w:val="28"/>
          <w:szCs w:val="28"/>
          <w:lang w:eastAsia="zh-CN"/>
        </w:rPr>
        <w:t>肆拾叁万玖仟</w:t>
      </w:r>
      <w:r>
        <w:rPr>
          <w:rFonts w:hint="eastAsia"/>
          <w:color w:val="000000" w:themeColor="text1"/>
          <w:sz w:val="28"/>
          <w:szCs w:val="28"/>
        </w:rPr>
        <w:t>圆整（RMB：</w:t>
      </w:r>
      <w:r>
        <w:rPr>
          <w:rFonts w:hint="eastAsia"/>
          <w:color w:val="000000" w:themeColor="text1"/>
          <w:sz w:val="28"/>
          <w:szCs w:val="28"/>
          <w:lang w:val="en-US" w:eastAsia="zh-CN"/>
        </w:rPr>
        <w:t>439000</w:t>
      </w:r>
      <w:r>
        <w:rPr>
          <w:rFonts w:hint="eastAsia"/>
          <w:color w:val="000000" w:themeColor="text1"/>
          <w:sz w:val="28"/>
          <w:szCs w:val="28"/>
        </w:rPr>
        <w:t>.00元）。</w:t>
      </w:r>
    </w:p>
    <w:p>
      <w:pPr>
        <w:spacing w:line="570" w:lineRule="exact"/>
        <w:rPr>
          <w:b/>
          <w:bCs/>
          <w:sz w:val="28"/>
          <w:szCs w:val="28"/>
        </w:rPr>
      </w:pPr>
      <w:r>
        <w:rPr>
          <w:rFonts w:hint="eastAsia"/>
          <w:b/>
          <w:bCs/>
          <w:sz w:val="28"/>
          <w:szCs w:val="28"/>
        </w:rPr>
        <w:t xml:space="preserve">    十、价格评估限定条件</w:t>
      </w:r>
    </w:p>
    <w:p>
      <w:pPr>
        <w:spacing w:line="570" w:lineRule="exact"/>
        <w:ind w:firstLine="560" w:firstLineChars="200"/>
        <w:rPr>
          <w:sz w:val="28"/>
          <w:szCs w:val="28"/>
        </w:rPr>
      </w:pPr>
      <w:r>
        <w:rPr>
          <w:rFonts w:hint="eastAsia"/>
          <w:sz w:val="28"/>
          <w:szCs w:val="28"/>
        </w:rPr>
        <w:t>1、委托机关提供的资料客观真实；</w:t>
      </w:r>
    </w:p>
    <w:p>
      <w:pPr>
        <w:spacing w:line="570" w:lineRule="exact"/>
        <w:ind w:firstLine="560" w:firstLineChars="200"/>
        <w:rPr>
          <w:sz w:val="28"/>
          <w:szCs w:val="28"/>
        </w:rPr>
      </w:pPr>
      <w:r>
        <w:rPr>
          <w:rFonts w:hint="eastAsia"/>
          <w:sz w:val="28"/>
          <w:szCs w:val="28"/>
        </w:rPr>
        <w:t>2、标的物的数量由委托方负责。</w:t>
      </w:r>
    </w:p>
    <w:p>
      <w:pPr>
        <w:spacing w:line="570" w:lineRule="exact"/>
        <w:ind w:firstLine="562" w:firstLineChars="200"/>
        <w:rPr>
          <w:b/>
          <w:bCs/>
          <w:sz w:val="28"/>
          <w:szCs w:val="28"/>
        </w:rPr>
      </w:pPr>
      <w:r>
        <w:rPr>
          <w:rFonts w:hint="eastAsia"/>
          <w:b/>
          <w:bCs/>
          <w:sz w:val="28"/>
          <w:szCs w:val="28"/>
        </w:rPr>
        <w:t>十一、声明</w:t>
      </w:r>
    </w:p>
    <w:p>
      <w:pPr>
        <w:spacing w:line="570" w:lineRule="exact"/>
        <w:ind w:firstLine="560" w:firstLineChars="200"/>
        <w:rPr>
          <w:sz w:val="28"/>
          <w:szCs w:val="28"/>
        </w:rPr>
      </w:pPr>
      <w:r>
        <w:rPr>
          <w:rFonts w:hint="eastAsia"/>
          <w:sz w:val="28"/>
          <w:szCs w:val="28"/>
        </w:rPr>
        <w:t>（一）价格评估意见书受鉴定评估意见书中已说明的条件限制。</w:t>
      </w:r>
    </w:p>
    <w:p>
      <w:pPr>
        <w:spacing w:line="570" w:lineRule="exact"/>
        <w:ind w:firstLine="560" w:firstLineChars="200"/>
        <w:rPr>
          <w:sz w:val="28"/>
          <w:szCs w:val="28"/>
        </w:rPr>
      </w:pPr>
      <w:r>
        <w:rPr>
          <w:rFonts w:hint="eastAsia"/>
          <w:sz w:val="28"/>
          <w:szCs w:val="28"/>
        </w:rPr>
        <w:t>（二）委托方提供资料的真实性由委托方负责。</w:t>
      </w:r>
    </w:p>
    <w:p>
      <w:pPr>
        <w:spacing w:line="570" w:lineRule="exact"/>
        <w:ind w:firstLine="560" w:firstLineChars="200"/>
        <w:rPr>
          <w:sz w:val="28"/>
          <w:szCs w:val="28"/>
        </w:rPr>
      </w:pPr>
      <w:r>
        <w:rPr>
          <w:rFonts w:hint="eastAsia"/>
          <w:sz w:val="28"/>
          <w:szCs w:val="28"/>
        </w:rPr>
        <w:t>（三）此鉴定评估意见书仅对本次委托有效，不做他用。未经我公司同意，不得向委托方和有关当事人之外的任何单位和个人提供，意见书的全部或部分内容，不得发表在任何公开媒体上。</w:t>
      </w:r>
    </w:p>
    <w:p>
      <w:pPr>
        <w:spacing w:line="570" w:lineRule="exact"/>
        <w:ind w:firstLine="560" w:firstLineChars="200"/>
        <w:rPr>
          <w:sz w:val="28"/>
          <w:szCs w:val="28"/>
        </w:rPr>
      </w:pPr>
      <w:r>
        <w:rPr>
          <w:rFonts w:hint="eastAsia"/>
          <w:sz w:val="28"/>
          <w:szCs w:val="28"/>
        </w:rPr>
        <w:t>（四）价格评估机构及评估人员与价格评估标的没有利益关系。</w:t>
      </w:r>
    </w:p>
    <w:p>
      <w:pPr>
        <w:spacing w:line="570" w:lineRule="exact"/>
        <w:ind w:firstLine="560" w:firstLineChars="200"/>
        <w:rPr>
          <w:sz w:val="28"/>
          <w:szCs w:val="28"/>
        </w:rPr>
      </w:pPr>
      <w:r>
        <w:rPr>
          <w:rFonts w:hint="eastAsia"/>
          <w:sz w:val="28"/>
          <w:szCs w:val="28"/>
        </w:rPr>
        <w:t>（五）如对本意见书有异议，可于意见书送达之日起</w:t>
      </w:r>
      <w:r>
        <w:rPr>
          <w:sz w:val="28"/>
          <w:szCs w:val="28"/>
        </w:rPr>
        <w:t>5</w:t>
      </w:r>
      <w:r>
        <w:rPr>
          <w:rFonts w:hint="eastAsia"/>
          <w:sz w:val="28"/>
          <w:szCs w:val="28"/>
        </w:rPr>
        <w:t>个工作日内，向原价格评估机构提出补充评估，或委托其他价格评估机构重新评估。</w:t>
      </w:r>
    </w:p>
    <w:p>
      <w:pPr>
        <w:spacing w:line="570" w:lineRule="exact"/>
        <w:ind w:firstLine="560" w:firstLineChars="200"/>
        <w:rPr>
          <w:color w:val="000000" w:themeColor="text1"/>
          <w:sz w:val="28"/>
          <w:szCs w:val="28"/>
        </w:rPr>
      </w:pPr>
      <w:r>
        <w:rPr>
          <w:rFonts w:hint="eastAsia"/>
          <w:sz w:val="28"/>
          <w:szCs w:val="28"/>
        </w:rPr>
        <w:t>（六）本鉴定评估意见书的有效期为一年，即从</w:t>
      </w:r>
      <w:r>
        <w:rPr>
          <w:rFonts w:hint="eastAsia"/>
          <w:color w:val="000000" w:themeColor="text1"/>
          <w:sz w:val="28"/>
          <w:szCs w:val="28"/>
        </w:rPr>
        <w:t>20</w:t>
      </w:r>
      <w:r>
        <w:rPr>
          <w:rFonts w:hint="eastAsia"/>
          <w:color w:val="000000" w:themeColor="text1"/>
          <w:sz w:val="28"/>
          <w:szCs w:val="28"/>
          <w:lang w:val="en-US" w:eastAsia="zh-CN"/>
        </w:rPr>
        <w:t>20</w:t>
      </w:r>
      <w:r>
        <w:rPr>
          <w:rFonts w:hint="eastAsia"/>
          <w:color w:val="000000" w:themeColor="text1"/>
          <w:sz w:val="28"/>
          <w:szCs w:val="28"/>
        </w:rPr>
        <w:t>年</w:t>
      </w:r>
      <w:r>
        <w:rPr>
          <w:rFonts w:hint="eastAsia"/>
          <w:color w:val="000000" w:themeColor="text1"/>
          <w:sz w:val="28"/>
          <w:szCs w:val="28"/>
          <w:lang w:val="en-US" w:eastAsia="zh-CN"/>
        </w:rPr>
        <w:t>3</w:t>
      </w:r>
      <w:r>
        <w:rPr>
          <w:rFonts w:hint="eastAsia"/>
          <w:color w:val="000000" w:themeColor="text1"/>
          <w:sz w:val="28"/>
          <w:szCs w:val="28"/>
        </w:rPr>
        <w:t>月</w:t>
      </w:r>
      <w:r>
        <w:rPr>
          <w:rFonts w:hint="eastAsia"/>
          <w:color w:val="000000" w:themeColor="text1"/>
          <w:sz w:val="28"/>
          <w:szCs w:val="28"/>
          <w:lang w:val="en-US" w:eastAsia="zh-CN"/>
        </w:rPr>
        <w:t>2</w:t>
      </w:r>
      <w:r>
        <w:rPr>
          <w:rFonts w:hint="eastAsia"/>
          <w:color w:val="000000" w:themeColor="text1"/>
          <w:sz w:val="28"/>
          <w:szCs w:val="28"/>
        </w:rPr>
        <w:t>日至202</w:t>
      </w:r>
      <w:r>
        <w:rPr>
          <w:rFonts w:hint="eastAsia"/>
          <w:color w:val="000000" w:themeColor="text1"/>
          <w:sz w:val="28"/>
          <w:szCs w:val="28"/>
          <w:lang w:val="en-US" w:eastAsia="zh-CN"/>
        </w:rPr>
        <w:t>1</w:t>
      </w:r>
      <w:r>
        <w:rPr>
          <w:rFonts w:hint="eastAsia"/>
          <w:color w:val="000000" w:themeColor="text1"/>
          <w:sz w:val="28"/>
          <w:szCs w:val="28"/>
        </w:rPr>
        <w:t>年</w:t>
      </w:r>
      <w:r>
        <w:rPr>
          <w:rFonts w:hint="eastAsia"/>
          <w:color w:val="000000" w:themeColor="text1"/>
          <w:sz w:val="28"/>
          <w:szCs w:val="28"/>
          <w:lang w:val="en-US" w:eastAsia="zh-CN"/>
        </w:rPr>
        <w:t>3</w:t>
      </w:r>
      <w:r>
        <w:rPr>
          <w:rFonts w:hint="eastAsia"/>
          <w:color w:val="000000" w:themeColor="text1"/>
          <w:sz w:val="28"/>
          <w:szCs w:val="28"/>
        </w:rPr>
        <w:t>月</w:t>
      </w:r>
      <w:r>
        <w:rPr>
          <w:rFonts w:hint="eastAsia"/>
          <w:color w:val="000000" w:themeColor="text1"/>
          <w:sz w:val="28"/>
          <w:szCs w:val="28"/>
          <w:lang w:val="en-US" w:eastAsia="zh-CN"/>
        </w:rPr>
        <w:t>1</w:t>
      </w:r>
      <w:r>
        <w:rPr>
          <w:rFonts w:hint="eastAsia"/>
          <w:color w:val="000000" w:themeColor="text1"/>
          <w:sz w:val="28"/>
          <w:szCs w:val="28"/>
        </w:rPr>
        <w:t>日止。如在有效期内当地政策调整或市场发生重大变化对评估意见书产生重大影响时，应当重新确定评估基准日进行鉴定评估。</w:t>
      </w:r>
    </w:p>
    <w:p>
      <w:pPr>
        <w:spacing w:line="570" w:lineRule="exact"/>
        <w:ind w:firstLine="560" w:firstLineChars="200"/>
        <w:rPr>
          <w:color w:val="000000" w:themeColor="text1"/>
          <w:sz w:val="28"/>
          <w:szCs w:val="28"/>
        </w:rPr>
      </w:pPr>
      <w:r>
        <w:rPr>
          <w:rFonts w:hint="eastAsia"/>
          <w:color w:val="000000" w:themeColor="text1"/>
          <w:sz w:val="28"/>
          <w:szCs w:val="28"/>
        </w:rPr>
        <w:t>（七）本鉴定评估意见书复印无效。</w:t>
      </w:r>
    </w:p>
    <w:p>
      <w:pPr>
        <w:spacing w:line="570" w:lineRule="exact"/>
        <w:ind w:firstLine="560" w:firstLineChars="200"/>
        <w:rPr>
          <w:color w:val="000000" w:themeColor="text1"/>
          <w:sz w:val="28"/>
          <w:szCs w:val="28"/>
        </w:rPr>
      </w:pPr>
      <w:r>
        <w:rPr>
          <w:rFonts w:hint="eastAsia"/>
          <w:color w:val="000000" w:themeColor="text1"/>
          <w:sz w:val="28"/>
          <w:szCs w:val="28"/>
        </w:rPr>
        <w:t>（八）本鉴定评估意见书评估的价格仅供参考。</w:t>
      </w:r>
    </w:p>
    <w:p>
      <w:pPr>
        <w:spacing w:line="570" w:lineRule="exact"/>
        <w:ind w:firstLine="562" w:firstLineChars="200"/>
        <w:rPr>
          <w:b/>
          <w:bCs/>
          <w:color w:val="000000" w:themeColor="text1"/>
          <w:sz w:val="28"/>
          <w:szCs w:val="28"/>
        </w:rPr>
      </w:pPr>
      <w:r>
        <w:rPr>
          <w:rFonts w:hint="eastAsia"/>
          <w:b/>
          <w:bCs/>
          <w:color w:val="000000" w:themeColor="text1"/>
          <w:sz w:val="28"/>
          <w:szCs w:val="28"/>
        </w:rPr>
        <w:t>十二、价格评估作业日期</w:t>
      </w:r>
    </w:p>
    <w:p>
      <w:pPr>
        <w:spacing w:line="57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1</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6</w:t>
      </w:r>
      <w:r>
        <w:rPr>
          <w:rFonts w:hint="eastAsia" w:ascii="宋体" w:hAnsi="宋体" w:cs="宋体"/>
          <w:color w:val="000000" w:themeColor="text1"/>
          <w:sz w:val="28"/>
          <w:szCs w:val="28"/>
        </w:rPr>
        <w:t>日至20</w:t>
      </w:r>
      <w:r>
        <w:rPr>
          <w:rFonts w:hint="eastAsia" w:ascii="宋体" w:hAnsi="宋体" w:cs="宋体"/>
          <w:color w:val="000000" w:themeColor="text1"/>
          <w:sz w:val="28"/>
          <w:szCs w:val="28"/>
          <w:lang w:val="en-US" w:eastAsia="zh-CN"/>
        </w:rPr>
        <w:t>20</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1</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15</w:t>
      </w:r>
      <w:r>
        <w:rPr>
          <w:rFonts w:hint="eastAsia" w:ascii="宋体" w:hAnsi="宋体" w:cs="宋体"/>
          <w:color w:val="000000" w:themeColor="text1"/>
          <w:sz w:val="28"/>
          <w:szCs w:val="28"/>
        </w:rPr>
        <w:t>日</w:t>
      </w:r>
    </w:p>
    <w:p>
      <w:pPr>
        <w:spacing w:line="570" w:lineRule="exact"/>
        <w:ind w:firstLine="560"/>
        <w:rPr>
          <w:rFonts w:ascii="黑体" w:eastAsia="黑体"/>
          <w:sz w:val="32"/>
          <w:szCs w:val="32"/>
        </w:rPr>
      </w:pPr>
      <w:r>
        <w:rPr>
          <w:rFonts w:hint="eastAsia" w:ascii="黑体" w:eastAsia="黑体"/>
          <w:sz w:val="32"/>
          <w:szCs w:val="32"/>
        </w:rPr>
        <w:t>十三、价格评估机构：</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机构名称：河南省贵合资产鉴定评估有限公司</w:t>
      </w:r>
    </w:p>
    <w:p>
      <w:pPr>
        <w:spacing w:line="570" w:lineRule="exact"/>
        <w:ind w:firstLine="608" w:firstLineChars="190"/>
        <w:rPr>
          <w:rFonts w:ascii="仿宋" w:hAnsi="仿宋" w:eastAsia="仿宋" w:cs="仿宋"/>
          <w:sz w:val="32"/>
          <w:szCs w:val="32"/>
        </w:rPr>
      </w:pPr>
      <w:r>
        <w:rPr>
          <w:rFonts w:hint="eastAsia" w:ascii="仿宋" w:hAnsi="仿宋" w:eastAsia="仿宋" w:cs="仿宋"/>
          <w:sz w:val="32"/>
          <w:szCs w:val="32"/>
          <w:u w:val="thick"/>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机构资质证书号：中J160060   </w:t>
      </w:r>
    </w:p>
    <w:p>
      <w:pPr>
        <w:spacing w:line="570" w:lineRule="exact"/>
        <w:ind w:firstLine="614" w:firstLineChars="192"/>
        <w:rPr>
          <w:rFonts w:ascii="黑体" w:eastAsia="黑体"/>
          <w:sz w:val="32"/>
          <w:szCs w:val="32"/>
        </w:rPr>
      </w:pPr>
      <w:r>
        <w:rPr>
          <w:rFonts w:hint="eastAsia" w:ascii="黑体" w:eastAsia="黑体"/>
          <w:sz w:val="32"/>
          <w:szCs w:val="32"/>
        </w:rPr>
        <w:t xml:space="preserve">十四、价格评估人员：                                             </w:t>
      </w:r>
    </w:p>
    <w:p>
      <w:pPr>
        <w:spacing w:line="570" w:lineRule="exact"/>
        <w:ind w:firstLine="614" w:firstLineChars="192"/>
        <w:rPr>
          <w:rFonts w:ascii="仿宋_GB2312" w:eastAsia="仿宋_GB2312"/>
          <w:sz w:val="32"/>
          <w:szCs w:val="32"/>
        </w:rPr>
      </w:pPr>
      <w:r>
        <w:rPr>
          <w:rFonts w:hint="eastAsia" w:ascii="仿宋_GB2312" w:eastAsia="仿宋_GB2312"/>
          <w:sz w:val="32"/>
          <w:szCs w:val="32"/>
        </w:rPr>
        <w:t>姓  名  执业资格名称    资格证号     印章</w:t>
      </w:r>
    </w:p>
    <w:p>
      <w:pPr>
        <w:spacing w:line="570" w:lineRule="exact"/>
        <w:rPr>
          <w:rFonts w:ascii="仿宋_GB2312" w:eastAsia="仿宋_GB2312"/>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ascii="仿宋" w:hAnsi="仿宋" w:eastAsia="仿宋" w:cs="仿宋"/>
          <w:sz w:val="32"/>
          <w:szCs w:val="32"/>
        </w:rPr>
      </w:pPr>
    </w:p>
    <w:p>
      <w:pPr>
        <w:spacing w:line="570" w:lineRule="exact"/>
        <w:ind w:firstLine="640" w:firstLineChars="200"/>
        <w:rPr>
          <w:rFonts w:hint="eastAsia" w:ascii="仿宋" w:hAnsi="仿宋" w:eastAsia="仿宋" w:cs="仿宋"/>
          <w:sz w:val="32"/>
          <w:szCs w:val="32"/>
        </w:rPr>
      </w:pPr>
    </w:p>
    <w:p>
      <w:pPr>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张素娟    价格鉴证师     0012766</w:t>
      </w:r>
    </w:p>
    <w:p>
      <w:pPr>
        <w:spacing w:line="570" w:lineRule="exact"/>
        <w:ind w:right="-506" w:rightChars="-241" w:firstLine="640" w:firstLineChars="200"/>
        <w:rPr>
          <w:rFonts w:ascii="仿宋" w:hAnsi="仿宋" w:eastAsia="仿宋" w:cs="仿宋"/>
          <w:sz w:val="32"/>
          <w:szCs w:val="32"/>
        </w:rPr>
      </w:pPr>
    </w:p>
    <w:p>
      <w:pPr>
        <w:spacing w:line="570" w:lineRule="exact"/>
        <w:ind w:right="-506" w:rightChars="-241"/>
        <w:rPr>
          <w:rFonts w:ascii="仿宋" w:hAnsi="仿宋" w:eastAsia="仿宋" w:cs="仿宋"/>
          <w:sz w:val="32"/>
          <w:szCs w:val="32"/>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rFonts w:ascii="仿宋" w:hAnsi="仿宋" w:eastAsia="仿宋" w:cs="仿宋"/>
          <w:sz w:val="32"/>
          <w:szCs w:val="28"/>
        </w:rPr>
      </w:pPr>
    </w:p>
    <w:p>
      <w:pPr>
        <w:spacing w:line="570" w:lineRule="exact"/>
        <w:ind w:firstLine="640" w:firstLineChars="200"/>
        <w:rPr>
          <w:rFonts w:hint="eastAsia" w:ascii="仿宋" w:hAnsi="仿宋" w:eastAsia="仿宋" w:cs="仿宋"/>
          <w:sz w:val="32"/>
          <w:szCs w:val="28"/>
        </w:rPr>
      </w:pPr>
    </w:p>
    <w:p>
      <w:pPr>
        <w:spacing w:line="570" w:lineRule="exact"/>
        <w:ind w:firstLine="640" w:firstLineChars="200"/>
        <w:rPr>
          <w:sz w:val="28"/>
        </w:rPr>
      </w:pPr>
      <w:r>
        <w:rPr>
          <w:rFonts w:hint="eastAsia" w:ascii="仿宋" w:hAnsi="仿宋" w:eastAsia="仿宋" w:cs="仿宋"/>
          <w:sz w:val="32"/>
          <w:szCs w:val="28"/>
        </w:rPr>
        <w:t>张本相    价格鉴证师     160232</w:t>
      </w:r>
    </w:p>
    <w:p>
      <w:pPr>
        <w:spacing w:line="570" w:lineRule="exact"/>
        <w:rPr>
          <w:sz w:val="28"/>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ascii="仿宋" w:hAnsi="仿宋" w:eastAsia="仿宋" w:cs="仿宋"/>
          <w:sz w:val="32"/>
          <w:szCs w:val="32"/>
        </w:rPr>
      </w:pPr>
    </w:p>
    <w:p>
      <w:pPr>
        <w:spacing w:line="570" w:lineRule="exact"/>
        <w:ind w:firstLine="3200" w:firstLineChars="1000"/>
        <w:rPr>
          <w:rFonts w:hint="eastAsia" w:ascii="仿宋" w:hAnsi="仿宋" w:eastAsia="仿宋" w:cs="仿宋"/>
          <w:sz w:val="32"/>
          <w:szCs w:val="32"/>
        </w:rPr>
      </w:pPr>
    </w:p>
    <w:p>
      <w:pPr>
        <w:spacing w:line="570" w:lineRule="exact"/>
        <w:ind w:firstLine="3200" w:firstLineChars="1000"/>
        <w:rPr>
          <w:rFonts w:ascii="仿宋" w:hAnsi="仿宋" w:eastAsia="仿宋" w:cs="仿宋"/>
          <w:sz w:val="32"/>
          <w:szCs w:val="32"/>
        </w:rPr>
      </w:pPr>
      <w:r>
        <w:rPr>
          <w:rFonts w:hint="eastAsia" w:ascii="仿宋" w:hAnsi="仿宋" w:eastAsia="仿宋" w:cs="仿宋"/>
          <w:sz w:val="32"/>
          <w:szCs w:val="32"/>
        </w:rPr>
        <w:t>河南省贵合资产鉴定评估有限公司</w:t>
      </w:r>
    </w:p>
    <w:p>
      <w:pPr>
        <w:spacing w:line="570" w:lineRule="exact"/>
        <w:ind w:firstLine="4160" w:firstLineChars="13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二0</w:t>
      </w:r>
      <w:r>
        <w:rPr>
          <w:rFonts w:hint="eastAsia" w:ascii="仿宋" w:hAnsi="仿宋" w:eastAsia="仿宋" w:cs="仿宋"/>
          <w:color w:val="000000" w:themeColor="text1"/>
          <w:sz w:val="32"/>
          <w:szCs w:val="32"/>
          <w:lang w:eastAsia="zh-CN"/>
        </w:rPr>
        <w:t>二</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eastAsia="zh-CN"/>
        </w:rPr>
        <w:t>三</w:t>
      </w:r>
      <w:r>
        <w:rPr>
          <w:rFonts w:hint="eastAsia" w:ascii="仿宋" w:hAnsi="仿宋" w:eastAsia="仿宋" w:cs="仿宋"/>
          <w:color w:val="000000" w:themeColor="text1"/>
          <w:sz w:val="32"/>
          <w:szCs w:val="32"/>
        </w:rPr>
        <w:t>月</w:t>
      </w:r>
      <w:r>
        <w:rPr>
          <w:rFonts w:hint="eastAsia" w:ascii="仿宋" w:hAnsi="仿宋" w:eastAsia="仿宋" w:cs="仿宋"/>
          <w:color w:val="000000" w:themeColor="text1"/>
          <w:sz w:val="32"/>
          <w:szCs w:val="32"/>
          <w:lang w:eastAsia="zh-CN"/>
        </w:rPr>
        <w:t>二</w:t>
      </w:r>
      <w:r>
        <w:rPr>
          <w:rFonts w:hint="eastAsia" w:ascii="仿宋" w:hAnsi="仿宋" w:eastAsia="仿宋" w:cs="仿宋"/>
          <w:color w:val="000000" w:themeColor="text1"/>
          <w:sz w:val="32"/>
          <w:szCs w:val="32"/>
        </w:rPr>
        <w:t xml:space="preserve">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3A64CAC"/>
    <w:rsid w:val="00002DA4"/>
    <w:rsid w:val="00060174"/>
    <w:rsid w:val="001A70DB"/>
    <w:rsid w:val="00215AA9"/>
    <w:rsid w:val="00246483"/>
    <w:rsid w:val="00255DB3"/>
    <w:rsid w:val="00340F9B"/>
    <w:rsid w:val="00410038"/>
    <w:rsid w:val="00567B06"/>
    <w:rsid w:val="005B77AE"/>
    <w:rsid w:val="006E24DD"/>
    <w:rsid w:val="00762385"/>
    <w:rsid w:val="008E322D"/>
    <w:rsid w:val="0091720A"/>
    <w:rsid w:val="009D6BE8"/>
    <w:rsid w:val="00A76119"/>
    <w:rsid w:val="00AA4EC7"/>
    <w:rsid w:val="00C10C8A"/>
    <w:rsid w:val="00D05887"/>
    <w:rsid w:val="00D72B42"/>
    <w:rsid w:val="00E17705"/>
    <w:rsid w:val="00E95A18"/>
    <w:rsid w:val="00F238A2"/>
    <w:rsid w:val="00F42EA1"/>
    <w:rsid w:val="00F86BA7"/>
    <w:rsid w:val="00FE2955"/>
    <w:rsid w:val="01315C01"/>
    <w:rsid w:val="019611DC"/>
    <w:rsid w:val="024E77A7"/>
    <w:rsid w:val="029B693F"/>
    <w:rsid w:val="03A64CAC"/>
    <w:rsid w:val="090C3CB3"/>
    <w:rsid w:val="09877558"/>
    <w:rsid w:val="0A776592"/>
    <w:rsid w:val="0AAA2C68"/>
    <w:rsid w:val="0B520DA6"/>
    <w:rsid w:val="0D3503A2"/>
    <w:rsid w:val="0E5424A7"/>
    <w:rsid w:val="0F031CAD"/>
    <w:rsid w:val="0F9012B0"/>
    <w:rsid w:val="11887B43"/>
    <w:rsid w:val="12E14B7B"/>
    <w:rsid w:val="135D1325"/>
    <w:rsid w:val="14DC377A"/>
    <w:rsid w:val="193D5954"/>
    <w:rsid w:val="1CEF5172"/>
    <w:rsid w:val="1D874EF2"/>
    <w:rsid w:val="1E752FDB"/>
    <w:rsid w:val="1F230115"/>
    <w:rsid w:val="1F926C83"/>
    <w:rsid w:val="20524578"/>
    <w:rsid w:val="20E4292B"/>
    <w:rsid w:val="216E4278"/>
    <w:rsid w:val="216F5094"/>
    <w:rsid w:val="22BE2632"/>
    <w:rsid w:val="22C540B1"/>
    <w:rsid w:val="22D9178F"/>
    <w:rsid w:val="22F2501D"/>
    <w:rsid w:val="230B491E"/>
    <w:rsid w:val="2AAC132D"/>
    <w:rsid w:val="2AAE323E"/>
    <w:rsid w:val="2D1048E7"/>
    <w:rsid w:val="2D3F3A3A"/>
    <w:rsid w:val="2DC519E4"/>
    <w:rsid w:val="2DF938C7"/>
    <w:rsid w:val="2F2824D3"/>
    <w:rsid w:val="2F82261D"/>
    <w:rsid w:val="2FD63439"/>
    <w:rsid w:val="315B03AD"/>
    <w:rsid w:val="319D2E5E"/>
    <w:rsid w:val="3540209D"/>
    <w:rsid w:val="365F5791"/>
    <w:rsid w:val="36FC73F6"/>
    <w:rsid w:val="373E6886"/>
    <w:rsid w:val="3A1D2D40"/>
    <w:rsid w:val="3CB4263F"/>
    <w:rsid w:val="42B96134"/>
    <w:rsid w:val="468A6A08"/>
    <w:rsid w:val="47046219"/>
    <w:rsid w:val="49C5625F"/>
    <w:rsid w:val="4CF10812"/>
    <w:rsid w:val="4DEE16CD"/>
    <w:rsid w:val="4EAA23D2"/>
    <w:rsid w:val="50A27AD6"/>
    <w:rsid w:val="50F412EA"/>
    <w:rsid w:val="52D67BB3"/>
    <w:rsid w:val="54F86FF7"/>
    <w:rsid w:val="55C41F81"/>
    <w:rsid w:val="57792B80"/>
    <w:rsid w:val="582F2B15"/>
    <w:rsid w:val="58F70F1F"/>
    <w:rsid w:val="591A1ADA"/>
    <w:rsid w:val="5DAB6CE7"/>
    <w:rsid w:val="5F240E35"/>
    <w:rsid w:val="61E27065"/>
    <w:rsid w:val="6391142F"/>
    <w:rsid w:val="65911249"/>
    <w:rsid w:val="66EC5FF2"/>
    <w:rsid w:val="68AD5BE1"/>
    <w:rsid w:val="6BD859AD"/>
    <w:rsid w:val="6D035B2E"/>
    <w:rsid w:val="6D2228DA"/>
    <w:rsid w:val="6D535020"/>
    <w:rsid w:val="6D9D0FCB"/>
    <w:rsid w:val="6E3D1CB6"/>
    <w:rsid w:val="6F1F1FBA"/>
    <w:rsid w:val="6F5C2E93"/>
    <w:rsid w:val="72303B7C"/>
    <w:rsid w:val="746E0F07"/>
    <w:rsid w:val="75703DE2"/>
    <w:rsid w:val="75BD28E5"/>
    <w:rsid w:val="771C38CD"/>
    <w:rsid w:val="7731314D"/>
    <w:rsid w:val="787B17A4"/>
    <w:rsid w:val="7A685C7B"/>
    <w:rsid w:val="7A913942"/>
    <w:rsid w:val="7B2C6E78"/>
    <w:rsid w:val="7CEE3579"/>
    <w:rsid w:val="7EA35C48"/>
    <w:rsid w:val="7EBF2F70"/>
    <w:rsid w:val="7FE55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ra</Company>
  <Pages>6</Pages>
  <Words>390</Words>
  <Characters>2224</Characters>
  <Lines>18</Lines>
  <Paragraphs>5</Paragraphs>
  <TotalTime>104</TotalTime>
  <ScaleCrop>false</ScaleCrop>
  <LinksUpToDate>false</LinksUpToDate>
  <CharactersWithSpaces>2609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2020-01-11T07:07:00Z</dcterms:created>
  <dc:creator>wangjunli</dc:creator>
  <cp:lastModifiedBy>娜娜</cp:lastModifiedBy>
  <cp:lastPrinted>2019-06-17T09:25:00Z</cp:lastPrinted>
  <dcterms:modified xsi:type="dcterms:W3CDTF">2020-03-02T07:40:11Z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